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Pr>
          <w:rFonts w:hint="default" w:ascii="黑体" w:hAnsi="黑体" w:eastAsia="黑体"/>
          <w:color w:val="auto"/>
          <w:sz w:val="32"/>
          <w:szCs w:val="32"/>
          <w:highlight w:val="none"/>
          <w:lang w:val="en-US" w:eastAsia="zh-CN"/>
        </w:rPr>
      </w:pPr>
    </w:p>
    <w:p>
      <w:pPr>
        <w:jc w:val="center"/>
        <w:rPr>
          <w:rFonts w:hint="eastAsia" w:ascii="宋体" w:hAnsi="宋体" w:eastAsia="宋体" w:cs="宋体"/>
          <w:b/>
          <w:bCs/>
          <w:color w:val="auto"/>
          <w:kern w:val="0"/>
          <w:sz w:val="52"/>
          <w:szCs w:val="52"/>
          <w:highlight w:val="none"/>
          <w:lang w:val="en-US" w:eastAsia="zh-CN"/>
        </w:rPr>
      </w:pPr>
    </w:p>
    <w:p>
      <w:pPr>
        <w:jc w:val="center"/>
        <w:rPr>
          <w:rFonts w:hint="eastAsia" w:ascii="宋体" w:hAnsi="宋体" w:eastAsia="宋体" w:cs="宋体"/>
          <w:b/>
          <w:bCs/>
          <w:color w:val="auto"/>
          <w:kern w:val="0"/>
          <w:sz w:val="52"/>
          <w:szCs w:val="52"/>
          <w:highlight w:val="none"/>
          <w:lang w:val="en-US" w:eastAsia="zh-CN"/>
        </w:rPr>
      </w:pPr>
      <w:r>
        <w:rPr>
          <w:rFonts w:hint="eastAsia" w:ascii="宋体" w:hAnsi="宋体" w:eastAsia="宋体" w:cs="宋体"/>
          <w:b/>
          <w:bCs/>
          <w:color w:val="auto"/>
          <w:kern w:val="0"/>
          <w:sz w:val="52"/>
          <w:szCs w:val="52"/>
          <w:highlight w:val="none"/>
          <w:lang w:val="en-US" w:eastAsia="zh-CN"/>
        </w:rPr>
        <w:t>新疆交通职业技术大学高水平专业群建设跟踪评价及应届毕业生调研评价项目</w:t>
      </w:r>
    </w:p>
    <w:p>
      <w:pPr>
        <w:jc w:val="center"/>
        <w:rPr>
          <w:rFonts w:hint="eastAsia" w:ascii="宋体" w:hAnsi="宋体" w:eastAsia="宋体" w:cs="宋体"/>
          <w:b/>
          <w:bCs/>
          <w:color w:val="auto"/>
          <w:kern w:val="0"/>
          <w:sz w:val="52"/>
          <w:szCs w:val="52"/>
          <w:highlight w:val="none"/>
          <w:lang w:val="en-US" w:eastAsia="zh-CN"/>
        </w:rPr>
      </w:pPr>
      <w:r>
        <w:rPr>
          <w:rFonts w:hint="eastAsia" w:ascii="宋体" w:hAnsi="宋体" w:eastAsia="宋体" w:cs="宋体"/>
          <w:b/>
          <w:bCs/>
          <w:color w:val="auto"/>
          <w:kern w:val="0"/>
          <w:sz w:val="52"/>
          <w:szCs w:val="52"/>
          <w:highlight w:val="none"/>
          <w:lang w:val="en-US" w:eastAsia="zh-CN"/>
        </w:rPr>
        <w:t>招标文件</w:t>
      </w:r>
    </w:p>
    <w:p>
      <w:pPr>
        <w:jc w:val="center"/>
        <w:rPr>
          <w:rFonts w:hint="eastAsia" w:ascii="宋体" w:hAnsi="宋体" w:eastAsia="宋体" w:cs="宋体"/>
          <w:b/>
          <w:bCs/>
          <w:color w:val="auto"/>
          <w:kern w:val="0"/>
          <w:sz w:val="60"/>
          <w:szCs w:val="60"/>
          <w:highlight w:val="none"/>
          <w:lang w:val="en-US" w:eastAsia="zh-CN"/>
        </w:rPr>
      </w:pPr>
      <w:r>
        <w:rPr>
          <w:rFonts w:hint="eastAsia" w:ascii="宋体" w:hAnsi="宋体" w:eastAsia="宋体" w:cs="宋体"/>
          <w:b/>
          <w:bCs/>
          <w:color w:val="auto"/>
          <w:kern w:val="0"/>
          <w:sz w:val="52"/>
          <w:szCs w:val="52"/>
          <w:highlight w:val="none"/>
          <w:lang w:val="en-US" w:eastAsia="zh-CN"/>
        </w:rPr>
        <w:t>（服务）</w:t>
      </w:r>
    </w:p>
    <w:p>
      <w:pPr>
        <w:spacing w:line="240" w:lineRule="auto"/>
        <w:jc w:val="center"/>
        <w:rPr>
          <w:rFonts w:ascii="黑体" w:hAnsi="黑体" w:eastAsia="黑体"/>
          <w:color w:val="auto"/>
          <w:sz w:val="52"/>
          <w:szCs w:val="52"/>
          <w:highlight w:val="none"/>
        </w:rPr>
      </w:pPr>
    </w:p>
    <w:p>
      <w:pPr>
        <w:spacing w:line="240" w:lineRule="auto"/>
        <w:jc w:val="center"/>
        <w:rPr>
          <w:rFonts w:ascii="黑体" w:hAnsi="黑体" w:eastAsia="黑体"/>
          <w:color w:val="auto"/>
          <w:sz w:val="52"/>
          <w:szCs w:val="52"/>
          <w:highlight w:val="none"/>
        </w:rPr>
      </w:pPr>
    </w:p>
    <w:p>
      <w:pPr>
        <w:spacing w:line="240" w:lineRule="auto"/>
        <w:jc w:val="center"/>
        <w:rPr>
          <w:rFonts w:ascii="黑体" w:hAnsi="黑体" w:eastAsia="黑体"/>
          <w:color w:val="auto"/>
          <w:sz w:val="52"/>
          <w:szCs w:val="52"/>
          <w:highlight w:val="none"/>
        </w:rPr>
      </w:pPr>
    </w:p>
    <w:p>
      <w:pPr>
        <w:ind w:left="420" w:leftChars="175"/>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pacing w:val="106"/>
          <w:kern w:val="0"/>
          <w:sz w:val="32"/>
          <w:szCs w:val="32"/>
          <w:highlight w:val="none"/>
          <w:fitText w:val="1920" w:id="1292597387"/>
        </w:rPr>
        <w:t>项目编</w:t>
      </w:r>
      <w:r>
        <w:rPr>
          <w:rFonts w:hint="eastAsia" w:ascii="宋体" w:hAnsi="宋体" w:eastAsia="宋体" w:cs="宋体"/>
          <w:i w:val="0"/>
          <w:iCs w:val="0"/>
          <w:color w:val="auto"/>
          <w:spacing w:val="2"/>
          <w:kern w:val="0"/>
          <w:sz w:val="32"/>
          <w:szCs w:val="32"/>
          <w:highlight w:val="none"/>
          <w:fitText w:val="1920" w:id="1292597387"/>
        </w:rPr>
        <w:t>号</w:t>
      </w:r>
      <w:r>
        <w:rPr>
          <w:rFonts w:hint="eastAsia" w:ascii="宋体" w:hAnsi="宋体" w:eastAsia="宋体" w:cs="宋体"/>
          <w:i w:val="0"/>
          <w:iCs w:val="0"/>
          <w:color w:val="auto"/>
          <w:sz w:val="32"/>
          <w:szCs w:val="32"/>
          <w:highlight w:val="none"/>
        </w:rPr>
        <w:t>：</w:t>
      </w:r>
      <w:r>
        <w:rPr>
          <w:rFonts w:hint="eastAsia" w:ascii="宋体" w:hAnsi="宋体" w:eastAsia="宋体" w:cs="宋体"/>
          <w:i w:val="0"/>
          <w:iCs w:val="0"/>
          <w:color w:val="auto"/>
          <w:sz w:val="32"/>
          <w:szCs w:val="32"/>
          <w:highlight w:val="none"/>
          <w:u w:val="single"/>
        </w:rPr>
        <w:t xml:space="preserve"> </w:t>
      </w:r>
      <w:r>
        <w:rPr>
          <w:rFonts w:hint="eastAsia" w:ascii="宋体" w:hAnsi="宋体" w:eastAsia="宋体" w:cs="宋体"/>
          <w:i w:val="0"/>
          <w:iCs w:val="0"/>
          <w:color w:val="auto"/>
          <w:sz w:val="32"/>
          <w:szCs w:val="32"/>
          <w:highlight w:val="none"/>
          <w:u w:val="single"/>
          <w:lang w:val="en-US" w:eastAsia="zh-CN"/>
        </w:rPr>
        <w:t>XJZD-2026-D008</w:t>
      </w:r>
      <w:r>
        <w:rPr>
          <w:rFonts w:hint="eastAsia" w:ascii="宋体" w:hAnsi="宋体" w:eastAsia="宋体" w:cs="宋体"/>
          <w:i w:val="0"/>
          <w:iCs w:val="0"/>
          <w:color w:val="auto"/>
          <w:sz w:val="32"/>
          <w:szCs w:val="32"/>
          <w:highlight w:val="none"/>
          <w:u w:val="single"/>
        </w:rPr>
        <w:t xml:space="preserve"> </w:t>
      </w:r>
    </w:p>
    <w:p>
      <w:pPr>
        <w:ind w:left="420" w:leftChars="175"/>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pacing w:val="106"/>
          <w:kern w:val="0"/>
          <w:sz w:val="32"/>
          <w:szCs w:val="32"/>
          <w:highlight w:val="none"/>
          <w:fitText w:val="1920" w:id="1917285640"/>
        </w:rPr>
        <w:t>项目名</w:t>
      </w:r>
      <w:r>
        <w:rPr>
          <w:rFonts w:hint="eastAsia" w:ascii="宋体" w:hAnsi="宋体" w:eastAsia="宋体" w:cs="宋体"/>
          <w:i w:val="0"/>
          <w:iCs w:val="0"/>
          <w:color w:val="auto"/>
          <w:spacing w:val="2"/>
          <w:kern w:val="0"/>
          <w:sz w:val="32"/>
          <w:szCs w:val="32"/>
          <w:highlight w:val="none"/>
          <w:fitText w:val="1920" w:id="1917285640"/>
        </w:rPr>
        <w:t>称</w:t>
      </w:r>
      <w:r>
        <w:rPr>
          <w:rFonts w:hint="eastAsia" w:ascii="宋体" w:hAnsi="宋体" w:eastAsia="宋体" w:cs="宋体"/>
          <w:i w:val="0"/>
          <w:iCs w:val="0"/>
          <w:color w:val="auto"/>
          <w:sz w:val="32"/>
          <w:szCs w:val="32"/>
          <w:highlight w:val="none"/>
        </w:rPr>
        <w:t>：</w:t>
      </w:r>
      <w:r>
        <w:rPr>
          <w:rFonts w:hint="eastAsia" w:ascii="宋体" w:hAnsi="宋体" w:eastAsia="宋体" w:cs="宋体"/>
          <w:i w:val="0"/>
          <w:iCs w:val="0"/>
          <w:color w:val="auto"/>
          <w:sz w:val="32"/>
          <w:szCs w:val="32"/>
          <w:highlight w:val="none"/>
          <w:u w:val="single"/>
        </w:rPr>
        <w:t xml:space="preserve"> </w:t>
      </w:r>
      <w:r>
        <w:rPr>
          <w:rFonts w:hint="eastAsia" w:ascii="宋体" w:hAnsi="宋体" w:eastAsia="宋体" w:cs="宋体"/>
          <w:i w:val="0"/>
          <w:iCs w:val="0"/>
          <w:color w:val="auto"/>
          <w:sz w:val="32"/>
          <w:szCs w:val="32"/>
          <w:highlight w:val="none"/>
          <w:u w:val="single"/>
          <w:lang w:val="en-US" w:eastAsia="zh-CN"/>
        </w:rPr>
        <w:t>新疆交通职业技术大学高水平专业群建设跟踪评价及应届毕业生调研评价项目</w:t>
      </w:r>
      <w:r>
        <w:rPr>
          <w:rFonts w:hint="eastAsia" w:ascii="宋体" w:hAnsi="宋体" w:eastAsia="宋体" w:cs="宋体"/>
          <w:i w:val="0"/>
          <w:iCs w:val="0"/>
          <w:color w:val="auto"/>
          <w:sz w:val="32"/>
          <w:szCs w:val="32"/>
          <w:highlight w:val="none"/>
          <w:u w:val="single"/>
        </w:rPr>
        <w:t xml:space="preserve"> </w:t>
      </w:r>
    </w:p>
    <w:p>
      <w:pPr>
        <w:ind w:left="420" w:leftChars="175"/>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pacing w:val="240"/>
          <w:kern w:val="0"/>
          <w:sz w:val="32"/>
          <w:szCs w:val="32"/>
          <w:highlight w:val="none"/>
          <w:fitText w:val="1920" w:id="141961686"/>
        </w:rPr>
        <w:t>采购</w:t>
      </w:r>
      <w:r>
        <w:rPr>
          <w:rFonts w:hint="eastAsia" w:ascii="宋体" w:hAnsi="宋体" w:eastAsia="宋体" w:cs="宋体"/>
          <w:i w:val="0"/>
          <w:iCs w:val="0"/>
          <w:color w:val="auto"/>
          <w:spacing w:val="0"/>
          <w:kern w:val="0"/>
          <w:sz w:val="32"/>
          <w:szCs w:val="32"/>
          <w:highlight w:val="none"/>
          <w:fitText w:val="1920" w:id="141961686"/>
        </w:rPr>
        <w:t>人</w:t>
      </w:r>
      <w:r>
        <w:rPr>
          <w:rFonts w:hint="eastAsia" w:ascii="宋体" w:hAnsi="宋体" w:eastAsia="宋体" w:cs="宋体"/>
          <w:i w:val="0"/>
          <w:iCs w:val="0"/>
          <w:color w:val="auto"/>
          <w:sz w:val="32"/>
          <w:szCs w:val="32"/>
          <w:highlight w:val="none"/>
        </w:rPr>
        <w:t>：</w:t>
      </w:r>
      <w:r>
        <w:rPr>
          <w:rFonts w:hint="eastAsia" w:ascii="宋体" w:hAnsi="宋体" w:eastAsia="宋体" w:cs="宋体"/>
          <w:i w:val="0"/>
          <w:iCs w:val="0"/>
          <w:color w:val="auto"/>
          <w:sz w:val="32"/>
          <w:szCs w:val="32"/>
          <w:highlight w:val="none"/>
          <w:u w:val="single"/>
        </w:rPr>
        <w:t xml:space="preserve"> 新疆交通职业技术大学 </w:t>
      </w:r>
    </w:p>
    <w:p>
      <w:pPr>
        <w:ind w:left="420" w:leftChars="175"/>
        <w:rPr>
          <w:rFonts w:hint="eastAsia" w:ascii="宋体" w:hAnsi="宋体" w:eastAsia="宋体" w:cs="宋体"/>
          <w:color w:val="auto"/>
          <w:sz w:val="36"/>
          <w:szCs w:val="36"/>
          <w:highlight w:val="none"/>
        </w:rPr>
      </w:pPr>
      <w:r>
        <w:rPr>
          <w:rFonts w:hint="eastAsia" w:ascii="宋体" w:hAnsi="宋体" w:eastAsia="宋体" w:cs="宋体"/>
          <w:i w:val="0"/>
          <w:iCs w:val="0"/>
          <w:color w:val="auto"/>
          <w:sz w:val="32"/>
          <w:szCs w:val="32"/>
          <w:highlight w:val="none"/>
        </w:rPr>
        <w:t>采购代理机构：</w:t>
      </w:r>
      <w:r>
        <w:rPr>
          <w:rFonts w:hint="eastAsia" w:ascii="宋体" w:hAnsi="宋体" w:eastAsia="宋体" w:cs="宋体"/>
          <w:i w:val="0"/>
          <w:iCs w:val="0"/>
          <w:color w:val="auto"/>
          <w:sz w:val="32"/>
          <w:szCs w:val="32"/>
          <w:highlight w:val="none"/>
          <w:u w:val="single"/>
        </w:rPr>
        <w:t xml:space="preserve"> </w:t>
      </w:r>
      <w:r>
        <w:rPr>
          <w:rFonts w:hint="eastAsia" w:cs="宋体"/>
          <w:i w:val="0"/>
          <w:iCs w:val="0"/>
          <w:color w:val="auto"/>
          <w:sz w:val="32"/>
          <w:szCs w:val="32"/>
          <w:highlight w:val="none"/>
          <w:u w:val="single"/>
          <w:lang w:val="en-US" w:eastAsia="zh-CN"/>
        </w:rPr>
        <w:t>四川三招建设项目管理有限公司</w:t>
      </w:r>
      <w:r>
        <w:rPr>
          <w:rFonts w:hint="eastAsia" w:ascii="宋体" w:hAnsi="宋体" w:eastAsia="宋体" w:cs="宋体"/>
          <w:i w:val="0"/>
          <w:iCs w:val="0"/>
          <w:color w:val="auto"/>
          <w:sz w:val="32"/>
          <w:szCs w:val="32"/>
          <w:highlight w:val="none"/>
          <w:u w:val="single"/>
        </w:rPr>
        <w:t xml:space="preserve"> </w:t>
      </w:r>
    </w:p>
    <w:p>
      <w:pPr>
        <w:rPr>
          <w:rFonts w:ascii="黑体" w:hAnsi="黑体" w:eastAsia="黑体"/>
          <w:color w:val="auto"/>
          <w:highlight w:val="none"/>
        </w:rPr>
      </w:pPr>
    </w:p>
    <w:p>
      <w:pPr>
        <w:jc w:val="center"/>
        <w:rPr>
          <w:rFonts w:hint="eastAsia" w:ascii="黑体" w:hAnsi="黑体" w:eastAsia="黑体"/>
          <w:color w:val="auto"/>
          <w:sz w:val="48"/>
          <w:szCs w:val="48"/>
          <w:highlight w:val="none"/>
        </w:rPr>
      </w:pPr>
    </w:p>
    <w:p>
      <w:pPr>
        <w:jc w:val="center"/>
        <w:rPr>
          <w:rFonts w:hint="eastAsia" w:ascii="黑体" w:hAnsi="黑体" w:eastAsia="黑体"/>
          <w:color w:val="auto"/>
          <w:sz w:val="48"/>
          <w:szCs w:val="48"/>
          <w:highlight w:val="none"/>
        </w:rPr>
      </w:pPr>
    </w:p>
    <w:p>
      <w:pPr>
        <w:pStyle w:val="36"/>
        <w:rPr>
          <w:rFonts w:hint="eastAsia" w:ascii="黑体" w:hAnsi="黑体" w:eastAsia="黑体"/>
          <w:color w:val="auto"/>
          <w:sz w:val="72"/>
          <w:szCs w:val="72"/>
          <w:highlight w:val="none"/>
        </w:rPr>
        <w:sectPr>
          <w:headerReference r:id="rId5" w:type="default"/>
          <w:pgSz w:w="11905" w:h="16838"/>
          <w:pgMar w:top="1587" w:right="1361" w:bottom="1474" w:left="1474" w:header="851" w:footer="992" w:gutter="0"/>
          <w:pgBorders>
            <w:top w:val="none" w:sz="0" w:space="0"/>
            <w:left w:val="none" w:sz="0" w:space="0"/>
            <w:bottom w:val="none" w:sz="0" w:space="0"/>
            <w:right w:val="none" w:sz="0" w:space="0"/>
          </w:pgBorders>
          <w:pgNumType w:fmt="numberInDash"/>
          <w:cols w:space="0" w:num="1"/>
          <w:rtlGutter w:val="0"/>
          <w:docGrid w:type="lines" w:linePitch="328" w:charSpace="0"/>
        </w:sectPr>
      </w:pPr>
    </w:p>
    <w:p>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pPr>
        <w:pStyle w:val="21"/>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highlight w:val="none"/>
        </w:rPr>
      </w:pPr>
      <w:bookmarkStart w:id="0" w:name="_Toc155185859"/>
      <w:bookmarkStart w:id="1" w:name="_Toc10815"/>
      <w:bookmarkStart w:id="2" w:name="_Hlk130458318"/>
      <w:r>
        <w:rPr>
          <w:rFonts w:hint="eastAsia" w:ascii="宋体" w:hAnsi="宋体" w:eastAsia="宋体" w:cs="宋体"/>
          <w:caps w:val="0"/>
          <w:smallCaps w:val="0"/>
          <w:color w:val="auto"/>
          <w:spacing w:val="0"/>
          <w:sz w:val="28"/>
          <w:szCs w:val="28"/>
          <w:highlight w:val="none"/>
        </w:rPr>
        <w:fldChar w:fldCharType="begin"/>
      </w:r>
      <w:r>
        <w:rPr>
          <w:rFonts w:hint="eastAsia" w:ascii="宋体" w:hAnsi="宋体" w:eastAsia="宋体" w:cs="宋体"/>
          <w:caps w:val="0"/>
          <w:smallCaps w:val="0"/>
          <w:color w:val="auto"/>
          <w:spacing w:val="0"/>
          <w:sz w:val="28"/>
          <w:szCs w:val="28"/>
          <w:highlight w:val="none"/>
        </w:rPr>
        <w:instrText xml:space="preserve">TOC \o "1-2" \h \u </w:instrText>
      </w:r>
      <w:r>
        <w:rPr>
          <w:rFonts w:hint="eastAsia" w:ascii="宋体" w:hAnsi="宋体" w:eastAsia="宋体" w:cs="宋体"/>
          <w:caps w:val="0"/>
          <w:smallCaps w:val="0"/>
          <w:color w:val="auto"/>
          <w:spacing w:val="0"/>
          <w:sz w:val="28"/>
          <w:szCs w:val="28"/>
          <w:highlight w:val="none"/>
        </w:rPr>
        <w:fldChar w:fldCharType="separate"/>
      </w:r>
      <w:r>
        <w:rPr>
          <w:rFonts w:hint="eastAsia" w:ascii="宋体" w:hAnsi="宋体" w:eastAsia="宋体" w:cs="宋体"/>
          <w:caps w:val="0"/>
          <w:smallCaps w:val="0"/>
          <w:color w:val="auto"/>
          <w:spacing w:val="0"/>
          <w:sz w:val="28"/>
          <w:szCs w:val="28"/>
          <w:highlight w:val="none"/>
        </w:rPr>
        <w:fldChar w:fldCharType="begin"/>
      </w:r>
      <w:r>
        <w:rPr>
          <w:rFonts w:hint="eastAsia" w:ascii="宋体" w:hAnsi="宋体" w:eastAsia="宋体" w:cs="宋体"/>
          <w:caps w:val="0"/>
          <w:smallCaps w:val="0"/>
          <w:color w:val="auto"/>
          <w:spacing w:val="0"/>
          <w:sz w:val="28"/>
          <w:szCs w:val="28"/>
          <w:highlight w:val="none"/>
        </w:rPr>
        <w:instrText xml:space="preserve"> HYPERLINK \l _Toc11922 </w:instrText>
      </w:r>
      <w:r>
        <w:rPr>
          <w:rFonts w:hint="eastAsia" w:ascii="宋体" w:hAnsi="宋体" w:eastAsia="宋体" w:cs="宋体"/>
          <w:caps w:val="0"/>
          <w:smallCaps w:val="0"/>
          <w:color w:val="auto"/>
          <w:spacing w:val="0"/>
          <w:sz w:val="28"/>
          <w:szCs w:val="28"/>
          <w:highlight w:val="none"/>
        </w:rPr>
        <w:fldChar w:fldCharType="separate"/>
      </w:r>
      <w:r>
        <w:rPr>
          <w:rFonts w:hint="eastAsia" w:ascii="宋体" w:hAnsi="宋体" w:eastAsia="宋体" w:cs="宋体"/>
          <w:bCs/>
          <w:color w:val="auto"/>
          <w:kern w:val="44"/>
          <w:sz w:val="28"/>
          <w:szCs w:val="28"/>
          <w:highlight w:val="none"/>
          <w:lang w:val="en-US" w:eastAsia="zh-CN" w:bidi="ar-SA"/>
        </w:rPr>
        <w:t xml:space="preserve">第一章 </w:t>
      </w:r>
      <w:r>
        <w:rPr>
          <w:rFonts w:hint="eastAsia" w:ascii="宋体" w:hAnsi="宋体" w:eastAsia="宋体" w:cs="宋体"/>
          <w:color w:val="auto"/>
          <w:sz w:val="28"/>
          <w:szCs w:val="28"/>
          <w:highlight w:val="none"/>
          <w:lang w:val="en-US" w:eastAsia="zh-CN"/>
        </w:rPr>
        <w:t>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_Toc11922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- 1 -</w:t>
      </w:r>
      <w:r>
        <w:rPr>
          <w:rFonts w:hint="eastAsia" w:ascii="宋体" w:hAnsi="宋体" w:eastAsia="宋体" w:cs="宋体"/>
          <w:color w:val="auto"/>
          <w:sz w:val="28"/>
          <w:szCs w:val="28"/>
          <w:highlight w:val="none"/>
        </w:rPr>
        <w:fldChar w:fldCharType="end"/>
      </w:r>
      <w:r>
        <w:rPr>
          <w:rFonts w:hint="eastAsia" w:ascii="宋体" w:hAnsi="宋体" w:eastAsia="宋体" w:cs="宋体"/>
          <w:caps w:val="0"/>
          <w:smallCaps w:val="0"/>
          <w:color w:val="auto"/>
          <w:spacing w:val="0"/>
          <w:sz w:val="28"/>
          <w:szCs w:val="28"/>
          <w:highlight w:val="none"/>
        </w:rPr>
        <w:fldChar w:fldCharType="end"/>
      </w:r>
    </w:p>
    <w:p>
      <w:pPr>
        <w:pStyle w:val="21"/>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highlight w:val="none"/>
        </w:rPr>
      </w:pPr>
      <w:r>
        <w:rPr>
          <w:rFonts w:hint="eastAsia" w:ascii="宋体" w:hAnsi="宋体" w:eastAsia="宋体" w:cs="宋体"/>
          <w:caps w:val="0"/>
          <w:smallCaps w:val="0"/>
          <w:color w:val="auto"/>
          <w:spacing w:val="0"/>
          <w:sz w:val="28"/>
          <w:szCs w:val="28"/>
          <w:highlight w:val="none"/>
        </w:rPr>
        <w:fldChar w:fldCharType="begin"/>
      </w:r>
      <w:r>
        <w:rPr>
          <w:rFonts w:hint="eastAsia" w:ascii="宋体" w:hAnsi="宋体" w:eastAsia="宋体" w:cs="宋体"/>
          <w:caps w:val="0"/>
          <w:smallCaps w:val="0"/>
          <w:color w:val="auto"/>
          <w:spacing w:val="0"/>
          <w:sz w:val="28"/>
          <w:szCs w:val="28"/>
          <w:highlight w:val="none"/>
        </w:rPr>
        <w:instrText xml:space="preserve"> HYPERLINK \l _Toc32500 </w:instrText>
      </w:r>
      <w:r>
        <w:rPr>
          <w:rFonts w:hint="eastAsia" w:ascii="宋体" w:hAnsi="宋体" w:eastAsia="宋体" w:cs="宋体"/>
          <w:caps w:val="0"/>
          <w:smallCaps w:val="0"/>
          <w:color w:val="auto"/>
          <w:spacing w:val="0"/>
          <w:sz w:val="28"/>
          <w:szCs w:val="28"/>
          <w:highlight w:val="none"/>
        </w:rPr>
        <w:fldChar w:fldCharType="separate"/>
      </w:r>
      <w:r>
        <w:rPr>
          <w:rFonts w:hint="eastAsia" w:ascii="宋体" w:hAnsi="宋体" w:eastAsia="宋体" w:cs="宋体"/>
          <w:bCs/>
          <w:color w:val="auto"/>
          <w:kern w:val="44"/>
          <w:sz w:val="28"/>
          <w:szCs w:val="28"/>
          <w:highlight w:val="none"/>
          <w:lang w:val="en-US" w:eastAsia="zh-CN" w:bidi="ar-SA"/>
        </w:rPr>
        <w:t>第二章 投标人须知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_Toc32500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- 4 -</w:t>
      </w:r>
      <w:r>
        <w:rPr>
          <w:rFonts w:hint="eastAsia" w:ascii="宋体" w:hAnsi="宋体" w:eastAsia="宋体" w:cs="宋体"/>
          <w:color w:val="auto"/>
          <w:sz w:val="28"/>
          <w:szCs w:val="28"/>
          <w:highlight w:val="none"/>
        </w:rPr>
        <w:fldChar w:fldCharType="end"/>
      </w:r>
      <w:r>
        <w:rPr>
          <w:rFonts w:hint="eastAsia" w:ascii="宋体" w:hAnsi="宋体" w:eastAsia="宋体" w:cs="宋体"/>
          <w:caps w:val="0"/>
          <w:smallCaps w:val="0"/>
          <w:color w:val="auto"/>
          <w:spacing w:val="0"/>
          <w:sz w:val="28"/>
          <w:szCs w:val="28"/>
          <w:highlight w:val="none"/>
        </w:rPr>
        <w:fldChar w:fldCharType="end"/>
      </w:r>
    </w:p>
    <w:p>
      <w:pPr>
        <w:pStyle w:val="21"/>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highlight w:val="none"/>
        </w:rPr>
      </w:pPr>
      <w:r>
        <w:rPr>
          <w:rFonts w:hint="eastAsia" w:ascii="宋体" w:hAnsi="宋体" w:eastAsia="宋体" w:cs="宋体"/>
          <w:caps w:val="0"/>
          <w:smallCaps w:val="0"/>
          <w:color w:val="auto"/>
          <w:spacing w:val="0"/>
          <w:sz w:val="28"/>
          <w:szCs w:val="28"/>
          <w:highlight w:val="none"/>
        </w:rPr>
        <w:fldChar w:fldCharType="begin"/>
      </w:r>
      <w:r>
        <w:rPr>
          <w:rFonts w:hint="eastAsia" w:ascii="宋体" w:hAnsi="宋体" w:eastAsia="宋体" w:cs="宋体"/>
          <w:caps w:val="0"/>
          <w:smallCaps w:val="0"/>
          <w:color w:val="auto"/>
          <w:spacing w:val="0"/>
          <w:sz w:val="28"/>
          <w:szCs w:val="28"/>
          <w:highlight w:val="none"/>
        </w:rPr>
        <w:instrText xml:space="preserve"> HYPERLINK \l _Toc32401 </w:instrText>
      </w:r>
      <w:r>
        <w:rPr>
          <w:rFonts w:hint="eastAsia" w:ascii="宋体" w:hAnsi="宋体" w:eastAsia="宋体" w:cs="宋体"/>
          <w:caps w:val="0"/>
          <w:smallCaps w:val="0"/>
          <w:color w:val="auto"/>
          <w:spacing w:val="0"/>
          <w:sz w:val="28"/>
          <w:szCs w:val="28"/>
          <w:highlight w:val="none"/>
        </w:rPr>
        <w:fldChar w:fldCharType="separate"/>
      </w:r>
      <w:r>
        <w:rPr>
          <w:rFonts w:hint="eastAsia" w:ascii="宋体" w:hAnsi="宋体" w:eastAsia="宋体" w:cs="宋体"/>
          <w:bCs/>
          <w:color w:val="auto"/>
          <w:kern w:val="44"/>
          <w:sz w:val="28"/>
          <w:szCs w:val="28"/>
          <w:highlight w:val="none"/>
          <w:lang w:val="en-US" w:eastAsia="zh-CN" w:bidi="ar-SA"/>
        </w:rPr>
        <w:t>第三章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_Toc32401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- 36 -</w:t>
      </w:r>
      <w:r>
        <w:rPr>
          <w:rFonts w:hint="eastAsia" w:ascii="宋体" w:hAnsi="宋体" w:eastAsia="宋体" w:cs="宋体"/>
          <w:color w:val="auto"/>
          <w:sz w:val="28"/>
          <w:szCs w:val="28"/>
          <w:highlight w:val="none"/>
        </w:rPr>
        <w:fldChar w:fldCharType="end"/>
      </w:r>
      <w:r>
        <w:rPr>
          <w:rFonts w:hint="eastAsia" w:ascii="宋体" w:hAnsi="宋体" w:eastAsia="宋体" w:cs="宋体"/>
          <w:caps w:val="0"/>
          <w:smallCaps w:val="0"/>
          <w:color w:val="auto"/>
          <w:spacing w:val="0"/>
          <w:sz w:val="28"/>
          <w:szCs w:val="28"/>
          <w:highlight w:val="none"/>
        </w:rPr>
        <w:fldChar w:fldCharType="end"/>
      </w:r>
    </w:p>
    <w:p>
      <w:pPr>
        <w:pStyle w:val="21"/>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highlight w:val="none"/>
        </w:rPr>
      </w:pPr>
      <w:r>
        <w:rPr>
          <w:rFonts w:hint="eastAsia" w:ascii="宋体" w:hAnsi="宋体" w:eastAsia="宋体" w:cs="宋体"/>
          <w:caps w:val="0"/>
          <w:smallCaps w:val="0"/>
          <w:color w:val="auto"/>
          <w:spacing w:val="0"/>
          <w:sz w:val="28"/>
          <w:szCs w:val="28"/>
          <w:highlight w:val="none"/>
        </w:rPr>
        <w:fldChar w:fldCharType="begin"/>
      </w:r>
      <w:r>
        <w:rPr>
          <w:rFonts w:hint="eastAsia" w:ascii="宋体" w:hAnsi="宋体" w:eastAsia="宋体" w:cs="宋体"/>
          <w:caps w:val="0"/>
          <w:smallCaps w:val="0"/>
          <w:color w:val="auto"/>
          <w:spacing w:val="0"/>
          <w:sz w:val="28"/>
          <w:szCs w:val="28"/>
          <w:highlight w:val="none"/>
        </w:rPr>
        <w:instrText xml:space="preserve"> HYPERLINK \l _Toc7544 </w:instrText>
      </w:r>
      <w:r>
        <w:rPr>
          <w:rFonts w:hint="eastAsia" w:ascii="宋体" w:hAnsi="宋体" w:eastAsia="宋体" w:cs="宋体"/>
          <w:caps w:val="0"/>
          <w:smallCaps w:val="0"/>
          <w:color w:val="auto"/>
          <w:spacing w:val="0"/>
          <w:sz w:val="28"/>
          <w:szCs w:val="28"/>
          <w:highlight w:val="none"/>
        </w:rPr>
        <w:fldChar w:fldCharType="separate"/>
      </w:r>
      <w:r>
        <w:rPr>
          <w:rFonts w:hint="eastAsia" w:ascii="宋体" w:hAnsi="宋体" w:eastAsia="宋体" w:cs="宋体"/>
          <w:bCs/>
          <w:color w:val="auto"/>
          <w:kern w:val="44"/>
          <w:sz w:val="28"/>
          <w:szCs w:val="28"/>
          <w:highlight w:val="none"/>
          <w:lang w:val="en-US" w:eastAsia="zh-CN" w:bidi="ar-SA"/>
        </w:rPr>
        <w:t>第四章 资格审查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_Toc7544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- 44 -</w:t>
      </w:r>
      <w:r>
        <w:rPr>
          <w:rFonts w:hint="eastAsia" w:ascii="宋体" w:hAnsi="宋体" w:eastAsia="宋体" w:cs="宋体"/>
          <w:color w:val="auto"/>
          <w:sz w:val="28"/>
          <w:szCs w:val="28"/>
          <w:highlight w:val="none"/>
        </w:rPr>
        <w:fldChar w:fldCharType="end"/>
      </w:r>
      <w:r>
        <w:rPr>
          <w:rFonts w:hint="eastAsia" w:ascii="宋体" w:hAnsi="宋体" w:eastAsia="宋体" w:cs="宋体"/>
          <w:caps w:val="0"/>
          <w:smallCaps w:val="0"/>
          <w:color w:val="auto"/>
          <w:spacing w:val="0"/>
          <w:sz w:val="28"/>
          <w:szCs w:val="28"/>
          <w:highlight w:val="none"/>
        </w:rPr>
        <w:fldChar w:fldCharType="end"/>
      </w:r>
    </w:p>
    <w:p>
      <w:pPr>
        <w:pStyle w:val="21"/>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highlight w:val="none"/>
        </w:rPr>
      </w:pPr>
      <w:r>
        <w:rPr>
          <w:rFonts w:hint="eastAsia" w:ascii="宋体" w:hAnsi="宋体" w:eastAsia="宋体" w:cs="宋体"/>
          <w:caps w:val="0"/>
          <w:smallCaps w:val="0"/>
          <w:color w:val="auto"/>
          <w:spacing w:val="0"/>
          <w:sz w:val="28"/>
          <w:szCs w:val="28"/>
          <w:highlight w:val="none"/>
        </w:rPr>
        <w:fldChar w:fldCharType="begin"/>
      </w:r>
      <w:r>
        <w:rPr>
          <w:rFonts w:hint="eastAsia" w:ascii="宋体" w:hAnsi="宋体" w:eastAsia="宋体" w:cs="宋体"/>
          <w:caps w:val="0"/>
          <w:smallCaps w:val="0"/>
          <w:color w:val="auto"/>
          <w:spacing w:val="0"/>
          <w:sz w:val="28"/>
          <w:szCs w:val="28"/>
          <w:highlight w:val="none"/>
        </w:rPr>
        <w:instrText xml:space="preserve"> HYPERLINK \l _Toc28158 </w:instrText>
      </w:r>
      <w:r>
        <w:rPr>
          <w:rFonts w:hint="eastAsia" w:ascii="宋体" w:hAnsi="宋体" w:eastAsia="宋体" w:cs="宋体"/>
          <w:caps w:val="0"/>
          <w:smallCaps w:val="0"/>
          <w:color w:val="auto"/>
          <w:spacing w:val="0"/>
          <w:sz w:val="28"/>
          <w:szCs w:val="28"/>
          <w:highlight w:val="none"/>
        </w:rPr>
        <w:fldChar w:fldCharType="separate"/>
      </w:r>
      <w:r>
        <w:rPr>
          <w:rFonts w:hint="eastAsia" w:ascii="宋体" w:hAnsi="宋体" w:eastAsia="宋体" w:cs="宋体"/>
          <w:bCs/>
          <w:color w:val="auto"/>
          <w:kern w:val="44"/>
          <w:sz w:val="28"/>
          <w:szCs w:val="28"/>
          <w:highlight w:val="none"/>
          <w:lang w:val="en-US" w:eastAsia="zh-CN" w:bidi="ar-SA"/>
        </w:rPr>
        <w:t>第五章 评标方法及标准(综合评分法)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_Toc28158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- 46 -</w:t>
      </w:r>
      <w:r>
        <w:rPr>
          <w:rFonts w:hint="eastAsia" w:ascii="宋体" w:hAnsi="宋体" w:eastAsia="宋体" w:cs="宋体"/>
          <w:color w:val="auto"/>
          <w:sz w:val="28"/>
          <w:szCs w:val="28"/>
          <w:highlight w:val="none"/>
        </w:rPr>
        <w:fldChar w:fldCharType="end"/>
      </w:r>
      <w:r>
        <w:rPr>
          <w:rFonts w:hint="eastAsia" w:ascii="宋体" w:hAnsi="宋体" w:eastAsia="宋体" w:cs="宋体"/>
          <w:caps w:val="0"/>
          <w:smallCaps w:val="0"/>
          <w:color w:val="auto"/>
          <w:spacing w:val="0"/>
          <w:sz w:val="28"/>
          <w:szCs w:val="28"/>
          <w:highlight w:val="none"/>
        </w:rPr>
        <w:fldChar w:fldCharType="end"/>
      </w:r>
    </w:p>
    <w:p>
      <w:pPr>
        <w:pStyle w:val="21"/>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highlight w:val="none"/>
        </w:rPr>
      </w:pPr>
      <w:r>
        <w:rPr>
          <w:rFonts w:hint="eastAsia" w:ascii="宋体" w:hAnsi="宋体" w:eastAsia="宋体" w:cs="宋体"/>
          <w:caps w:val="0"/>
          <w:smallCaps w:val="0"/>
          <w:color w:val="auto"/>
          <w:spacing w:val="0"/>
          <w:sz w:val="28"/>
          <w:szCs w:val="28"/>
          <w:highlight w:val="none"/>
        </w:rPr>
        <w:fldChar w:fldCharType="begin"/>
      </w:r>
      <w:r>
        <w:rPr>
          <w:rFonts w:hint="eastAsia" w:ascii="宋体" w:hAnsi="宋体" w:eastAsia="宋体" w:cs="宋体"/>
          <w:caps w:val="0"/>
          <w:smallCaps w:val="0"/>
          <w:color w:val="auto"/>
          <w:spacing w:val="0"/>
          <w:sz w:val="28"/>
          <w:szCs w:val="28"/>
          <w:highlight w:val="none"/>
        </w:rPr>
        <w:instrText xml:space="preserve"> HYPERLINK \l _Toc1640 </w:instrText>
      </w:r>
      <w:r>
        <w:rPr>
          <w:rFonts w:hint="eastAsia" w:ascii="宋体" w:hAnsi="宋体" w:eastAsia="宋体" w:cs="宋体"/>
          <w:caps w:val="0"/>
          <w:smallCaps w:val="0"/>
          <w:color w:val="auto"/>
          <w:spacing w:val="0"/>
          <w:sz w:val="28"/>
          <w:szCs w:val="28"/>
          <w:highlight w:val="none"/>
        </w:rPr>
        <w:fldChar w:fldCharType="separate"/>
      </w:r>
      <w:r>
        <w:rPr>
          <w:rFonts w:hint="eastAsia" w:ascii="宋体" w:hAnsi="宋体" w:eastAsia="宋体" w:cs="宋体"/>
          <w:bCs/>
          <w:color w:val="auto"/>
          <w:kern w:val="44"/>
          <w:sz w:val="28"/>
          <w:szCs w:val="28"/>
          <w:highlight w:val="none"/>
          <w:lang w:val="zh-CN" w:eastAsia="zh-CN" w:bidi="ar-SA"/>
        </w:rPr>
        <w:t>第六章 合同</w:t>
      </w:r>
      <w:r>
        <w:rPr>
          <w:rFonts w:hint="eastAsia" w:ascii="宋体" w:hAnsi="宋体" w:eastAsia="宋体" w:cs="宋体"/>
          <w:bCs/>
          <w:color w:val="auto"/>
          <w:kern w:val="44"/>
          <w:sz w:val="28"/>
          <w:szCs w:val="28"/>
          <w:highlight w:val="none"/>
          <w:lang w:val="en-US" w:eastAsia="zh-CN" w:bidi="ar-SA"/>
        </w:rPr>
        <w:t>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_Toc1640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- 58 -</w:t>
      </w:r>
      <w:r>
        <w:rPr>
          <w:rFonts w:hint="eastAsia" w:ascii="宋体" w:hAnsi="宋体" w:eastAsia="宋体" w:cs="宋体"/>
          <w:color w:val="auto"/>
          <w:sz w:val="28"/>
          <w:szCs w:val="28"/>
          <w:highlight w:val="none"/>
        </w:rPr>
        <w:fldChar w:fldCharType="end"/>
      </w:r>
      <w:r>
        <w:rPr>
          <w:rFonts w:hint="eastAsia" w:ascii="宋体" w:hAnsi="宋体" w:eastAsia="宋体" w:cs="宋体"/>
          <w:caps w:val="0"/>
          <w:smallCaps w:val="0"/>
          <w:color w:val="auto"/>
          <w:spacing w:val="0"/>
          <w:sz w:val="28"/>
          <w:szCs w:val="28"/>
          <w:highlight w:val="none"/>
        </w:rPr>
        <w:fldChar w:fldCharType="end"/>
      </w:r>
    </w:p>
    <w:p>
      <w:pPr>
        <w:pStyle w:val="21"/>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8"/>
          <w:szCs w:val="28"/>
          <w:highlight w:val="none"/>
        </w:rPr>
      </w:pPr>
      <w:r>
        <w:rPr>
          <w:rFonts w:hint="eastAsia" w:ascii="宋体" w:hAnsi="宋体" w:eastAsia="宋体" w:cs="宋体"/>
          <w:caps w:val="0"/>
          <w:smallCaps w:val="0"/>
          <w:color w:val="auto"/>
          <w:spacing w:val="0"/>
          <w:sz w:val="28"/>
          <w:szCs w:val="28"/>
          <w:highlight w:val="none"/>
        </w:rPr>
        <w:fldChar w:fldCharType="begin"/>
      </w:r>
      <w:r>
        <w:rPr>
          <w:rFonts w:hint="eastAsia" w:ascii="宋体" w:hAnsi="宋体" w:eastAsia="宋体" w:cs="宋体"/>
          <w:caps w:val="0"/>
          <w:smallCaps w:val="0"/>
          <w:color w:val="auto"/>
          <w:spacing w:val="0"/>
          <w:sz w:val="28"/>
          <w:szCs w:val="28"/>
          <w:highlight w:val="none"/>
        </w:rPr>
        <w:instrText xml:space="preserve"> HYPERLINK \l _Toc20007 </w:instrText>
      </w:r>
      <w:r>
        <w:rPr>
          <w:rFonts w:hint="eastAsia" w:ascii="宋体" w:hAnsi="宋体" w:eastAsia="宋体" w:cs="宋体"/>
          <w:caps w:val="0"/>
          <w:smallCaps w:val="0"/>
          <w:color w:val="auto"/>
          <w:spacing w:val="0"/>
          <w:sz w:val="28"/>
          <w:szCs w:val="28"/>
          <w:highlight w:val="none"/>
        </w:rPr>
        <w:fldChar w:fldCharType="separate"/>
      </w:r>
      <w:r>
        <w:rPr>
          <w:rFonts w:hint="eastAsia" w:ascii="宋体" w:hAnsi="宋体" w:eastAsia="宋体" w:cs="宋体"/>
          <w:bCs/>
          <w:color w:val="auto"/>
          <w:kern w:val="44"/>
          <w:sz w:val="28"/>
          <w:szCs w:val="28"/>
          <w:highlight w:val="none"/>
          <w:lang w:val="en-US" w:eastAsia="zh-CN" w:bidi="ar-SA"/>
        </w:rPr>
        <w:t>第七章 投标文件格式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_Toc20007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- 68 -</w:t>
      </w:r>
      <w:r>
        <w:rPr>
          <w:rFonts w:hint="eastAsia" w:ascii="宋体" w:hAnsi="宋体" w:eastAsia="宋体" w:cs="宋体"/>
          <w:color w:val="auto"/>
          <w:sz w:val="28"/>
          <w:szCs w:val="28"/>
          <w:highlight w:val="none"/>
        </w:rPr>
        <w:fldChar w:fldCharType="end"/>
      </w:r>
      <w:r>
        <w:rPr>
          <w:rFonts w:hint="eastAsia" w:ascii="宋体" w:hAnsi="宋体" w:eastAsia="宋体" w:cs="宋体"/>
          <w:caps w:val="0"/>
          <w:smallCaps w:val="0"/>
          <w:color w:val="auto"/>
          <w:spacing w:val="0"/>
          <w:sz w:val="28"/>
          <w:szCs w:val="28"/>
          <w:highlight w:val="none"/>
        </w:rPr>
        <w:fldChar w:fldCharType="end"/>
      </w:r>
    </w:p>
    <w:p>
      <w:pPr>
        <w:keepNext w:val="0"/>
        <w:keepLines w:val="0"/>
        <w:pageBreakBefore w:val="0"/>
        <w:widowControl w:val="0"/>
        <w:kinsoku/>
        <w:wordWrap/>
        <w:overflowPunct/>
        <w:topLinePunct w:val="0"/>
        <w:autoSpaceDE/>
        <w:autoSpaceDN/>
        <w:bidi w:val="0"/>
        <w:adjustRightInd/>
        <w:snapToGrid/>
        <w:spacing w:before="0" w:after="0" w:line="360" w:lineRule="auto"/>
        <w:textAlignment w:val="auto"/>
        <w:rPr>
          <w:color w:val="auto"/>
          <w:highlight w:val="none"/>
        </w:rPr>
      </w:pPr>
      <w:r>
        <w:rPr>
          <w:rFonts w:hint="eastAsia" w:ascii="宋体" w:hAnsi="宋体" w:eastAsia="宋体" w:cs="宋体"/>
          <w:caps w:val="0"/>
          <w:smallCaps w:val="0"/>
          <w:color w:val="auto"/>
          <w:spacing w:val="0"/>
          <w:sz w:val="28"/>
          <w:szCs w:val="28"/>
          <w:highlight w:val="none"/>
        </w:rPr>
        <w:fldChar w:fldCharType="end"/>
      </w:r>
    </w:p>
    <w:p>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headerReference r:id="rId6" w:type="default"/>
          <w:footerReference r:id="rId7" w:type="default"/>
          <w:pgSz w:w="11905" w:h="16838"/>
          <w:pgMar w:top="1587" w:right="1361" w:bottom="1474" w:left="1474" w:header="851" w:footer="992" w:gutter="0"/>
          <w:pgBorders>
            <w:top w:val="none" w:sz="0" w:space="0"/>
            <w:left w:val="none" w:sz="0" w:space="0"/>
            <w:bottom w:val="none" w:sz="0" w:space="0"/>
            <w:right w:val="none" w:sz="0" w:space="0"/>
          </w:pgBorders>
          <w:pgNumType w:fmt="numberInDash" w:start="1"/>
          <w:cols w:space="0" w:num="1"/>
          <w:rtlGutter w:val="0"/>
          <w:docGrid w:type="lines" w:linePitch="328" w:charSpace="0"/>
        </w:sectPr>
      </w:pPr>
    </w:p>
    <w:p>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2"/>
          <w:szCs w:val="32"/>
          <w:highlight w:val="none"/>
          <w:lang w:val="en-US" w:eastAsia="zh-CN"/>
        </w:rPr>
      </w:pPr>
      <w:bookmarkStart w:id="3" w:name="_Toc11922"/>
      <w:r>
        <w:rPr>
          <w:rFonts w:hint="eastAsia" w:ascii="宋体" w:hAnsi="宋体" w:eastAsia="宋体" w:cs="宋体"/>
          <w:b/>
          <w:bCs/>
          <w:color w:val="auto"/>
          <w:kern w:val="44"/>
          <w:sz w:val="32"/>
          <w:szCs w:val="32"/>
          <w:highlight w:val="none"/>
          <w:lang w:val="en-US" w:eastAsia="zh-CN" w:bidi="ar-SA"/>
        </w:rPr>
        <w:t xml:space="preserve">第一章 </w:t>
      </w:r>
      <w:bookmarkEnd w:id="0"/>
      <w:r>
        <w:rPr>
          <w:rFonts w:hint="eastAsia" w:ascii="宋体" w:hAnsi="宋体" w:eastAsia="宋体" w:cs="宋体"/>
          <w:color w:val="auto"/>
          <w:sz w:val="32"/>
          <w:szCs w:val="32"/>
          <w:highlight w:val="none"/>
          <w:lang w:val="en-US" w:eastAsia="zh-CN"/>
        </w:rPr>
        <w:t>招标公告</w:t>
      </w:r>
      <w:bookmarkEnd w:id="1"/>
      <w:bookmarkEnd w:id="3"/>
    </w:p>
    <w:tbl>
      <w:tblPr>
        <w:tblStyle w:val="3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vAlign w:val="top"/>
          </w:tcPr>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4" w:name="_Toc27128"/>
            <w:bookmarkStart w:id="5" w:name="_Toc10915"/>
            <w:bookmarkStart w:id="6" w:name="_Toc9180"/>
            <w:bookmarkStart w:id="7" w:name="_Toc27552"/>
            <w:bookmarkStart w:id="8" w:name="_Toc1899"/>
            <w:bookmarkStart w:id="9" w:name="_Toc28359089"/>
            <w:bookmarkStart w:id="10" w:name="_Toc155185860"/>
            <w:bookmarkStart w:id="11" w:name="_Toc109899410"/>
            <w:bookmarkStart w:id="12" w:name="_Toc35393798"/>
            <w:bookmarkStart w:id="13" w:name="_Toc109900248"/>
            <w:bookmarkStart w:id="14" w:name="_Toc140132745"/>
            <w:bookmarkStart w:id="15" w:name="_Toc35393629"/>
            <w:bookmarkStart w:id="16" w:name="_Toc28359012"/>
            <w:bookmarkStart w:id="17" w:name="_Toc109899829"/>
            <w:bookmarkStart w:id="18" w:name="_Toc44583628"/>
            <w:r>
              <w:rPr>
                <w:rFonts w:hint="eastAsia"/>
                <w:color w:val="auto"/>
                <w:sz w:val="24"/>
                <w:szCs w:val="24"/>
                <w:highlight w:val="none"/>
                <w:lang w:val="en-US" w:eastAsia="zh-CN"/>
              </w:rPr>
              <w:t>项目概况：</w:t>
            </w:r>
            <w:bookmarkEnd w:id="4"/>
            <w:bookmarkEnd w:id="5"/>
            <w:bookmarkEnd w:id="6"/>
            <w:bookmarkEnd w:id="7"/>
            <w:bookmarkEnd w:id="8"/>
          </w:p>
          <w:p>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新疆交通职业技术大学高水平专业群建设跟踪评价及应届毕业生调研评价项目</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招标项目的潜在投标人应在政采云平台线上获取招标文件，并于</w:t>
            </w:r>
            <w:r>
              <w:rPr>
                <w:rFonts w:hint="eastAsia" w:cstheme="minorBidi"/>
                <w:iCs/>
                <w:color w:val="auto"/>
                <w:kern w:val="2"/>
                <w:sz w:val="24"/>
                <w:szCs w:val="24"/>
                <w:highlight w:val="none"/>
                <w:u w:val="single"/>
                <w:shd w:val="clear" w:color="auto" w:fill="FFFFFF" w:themeFill="background1"/>
                <w:lang w:val="en-US" w:eastAsia="zh-CN" w:bidi="ar-SA"/>
              </w:rPr>
              <w:t>2026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年</w:t>
            </w:r>
            <w:r>
              <w:rPr>
                <w:rFonts w:hint="eastAsia" w:cstheme="minorBidi"/>
                <w:iCs/>
                <w:color w:val="auto"/>
                <w:kern w:val="2"/>
                <w:sz w:val="24"/>
                <w:szCs w:val="24"/>
                <w:highlight w:val="none"/>
                <w:u w:val="single"/>
                <w:shd w:val="clear" w:color="auto" w:fill="FFFFFF" w:themeFill="background1"/>
                <w:lang w:val="en-US" w:eastAsia="zh-CN" w:bidi="ar-SA"/>
              </w:rPr>
              <w:t>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月</w:t>
            </w:r>
            <w:r>
              <w:rPr>
                <w:rFonts w:hint="eastAsia" w:cstheme="minorBidi"/>
                <w:iCs/>
                <w:color w:val="auto"/>
                <w:kern w:val="2"/>
                <w:sz w:val="24"/>
                <w:szCs w:val="24"/>
                <w:highlight w:val="none"/>
                <w:u w:val="single"/>
                <w:shd w:val="clear" w:color="auto" w:fill="FFFFFF" w:themeFill="background1"/>
                <w:lang w:val="en-US" w:eastAsia="zh-CN" w:bidi="ar-SA"/>
              </w:rPr>
              <w:t>16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日</w:t>
            </w:r>
            <w:r>
              <w:rPr>
                <w:rFonts w:hint="eastAsia" w:cstheme="minorBidi"/>
                <w:iCs/>
                <w:color w:val="auto"/>
                <w:kern w:val="2"/>
                <w:sz w:val="24"/>
                <w:szCs w:val="24"/>
                <w:highlight w:val="none"/>
                <w:u w:val="single"/>
                <w:shd w:val="clear" w:color="auto" w:fill="FFFFFF" w:themeFill="background1"/>
                <w:lang w:val="en-US" w:eastAsia="zh-CN" w:bidi="ar-SA"/>
              </w:rPr>
              <w:t>11时00</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分</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9" w:name="_Toc4038"/>
      <w:bookmarkStart w:id="20" w:name="_Toc21391"/>
      <w:bookmarkStart w:id="21" w:name="_Toc6854"/>
      <w:bookmarkStart w:id="22" w:name="_Toc25986"/>
      <w:r>
        <w:rPr>
          <w:rFonts w:hint="eastAsia" w:ascii="宋体" w:hAnsi="宋体" w:eastAsia="宋体" w:cs="宋体"/>
          <w:b/>
          <w:bCs/>
          <w:color w:val="auto"/>
          <w:kern w:val="2"/>
          <w:sz w:val="24"/>
          <w:szCs w:val="24"/>
          <w:highlight w:val="none"/>
          <w:lang w:val="hr-HR" w:eastAsia="zh-CN" w:bidi="ar-SA"/>
        </w:rPr>
        <w:t>一、项目基本情况</w:t>
      </w:r>
      <w:bookmarkEnd w:id="9"/>
      <w:bookmarkEnd w:id="10"/>
      <w:bookmarkEnd w:id="11"/>
      <w:bookmarkEnd w:id="12"/>
      <w:bookmarkEnd w:id="13"/>
      <w:bookmarkEnd w:id="14"/>
      <w:bookmarkEnd w:id="15"/>
      <w:bookmarkEnd w:id="16"/>
      <w:bookmarkEnd w:id="17"/>
      <w:bookmarkEnd w:id="18"/>
      <w:bookmarkEnd w:id="19"/>
      <w:bookmarkEnd w:id="20"/>
      <w:bookmarkEnd w:id="21"/>
      <w:bookmarkEnd w:id="22"/>
    </w:p>
    <w:p>
      <w:pPr>
        <w:pStyle w:val="37"/>
        <w:pageBreakBefore w:val="0"/>
        <w:widowControl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lang w:val="en-US" w:eastAsia="zh-CN"/>
        </w:rPr>
      </w:pPr>
      <w:bookmarkStart w:id="23" w:name="_Toc28359013"/>
      <w:bookmarkStart w:id="24" w:name="_Toc35393630"/>
      <w:bookmarkStart w:id="25" w:name="_Toc35393799"/>
      <w:bookmarkStart w:id="26" w:name="_Toc28359090"/>
      <w:bookmarkStart w:id="27" w:name="_Toc44583629"/>
      <w:r>
        <w:rPr>
          <w:rFonts w:hint="eastAsia" w:ascii="宋体" w:hAnsi="宋体" w:eastAsia="宋体" w:cs="宋体"/>
          <w:color w:val="auto"/>
          <w:sz w:val="24"/>
          <w:highlight w:val="none"/>
          <w:lang w:val="en-US" w:eastAsia="zh-CN"/>
        </w:rPr>
        <w:t>项目编号：XJZD-2026-D008</w:t>
      </w:r>
    </w:p>
    <w:p>
      <w:pPr>
        <w:pStyle w:val="37"/>
        <w:pageBreakBefore w:val="0"/>
        <w:widowControl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项目名称：新疆交通职业技术大学高水平专业群建设跟踪评价及应届毕业生调研评价项目</w:t>
      </w:r>
    </w:p>
    <w:p>
      <w:pPr>
        <w:pStyle w:val="37"/>
        <w:pageBreakBefore w:val="0"/>
        <w:widowControl w:val="0"/>
        <w:kinsoku/>
        <w:overflowPunct/>
        <w:topLinePunct w:val="0"/>
        <w:autoSpaceDE/>
        <w:autoSpaceDN/>
        <w:bidi w:val="0"/>
        <w:adjustRightInd/>
        <w:snapToGrid/>
        <w:spacing w:line="360" w:lineRule="auto"/>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采购方式：</w:t>
      </w:r>
      <w:r>
        <w:rPr>
          <w:rFonts w:hint="eastAsia" w:cs="宋体"/>
          <w:color w:val="auto"/>
          <w:sz w:val="24"/>
          <w:highlight w:val="none"/>
          <w:lang w:val="en-US" w:eastAsia="zh-CN"/>
        </w:rPr>
        <w:t>公开招标</w:t>
      </w:r>
    </w:p>
    <w:p>
      <w:pPr>
        <w:pStyle w:val="37"/>
        <w:pageBreakBefore w:val="0"/>
        <w:widowControl w:val="0"/>
        <w:kinsoku/>
        <w:overflowPunct/>
        <w:topLinePunct w:val="0"/>
        <w:autoSpaceDE/>
        <w:autoSpaceDN/>
        <w:bidi w:val="0"/>
        <w:adjustRightInd/>
        <w:snapToGrid/>
        <w:spacing w:line="360" w:lineRule="auto"/>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预算金额（元）：</w:t>
      </w:r>
      <w:r>
        <w:rPr>
          <w:rFonts w:hint="eastAsia" w:cs="宋体"/>
          <w:color w:val="auto"/>
          <w:sz w:val="24"/>
          <w:highlight w:val="none"/>
          <w:lang w:val="en-US" w:eastAsia="zh-CN"/>
        </w:rPr>
        <w:t>550000</w:t>
      </w:r>
    </w:p>
    <w:p>
      <w:pPr>
        <w:pStyle w:val="37"/>
        <w:pageBreakBefore w:val="0"/>
        <w:widowControl w:val="0"/>
        <w:kinsoku/>
        <w:overflowPunct/>
        <w:topLinePunct w:val="0"/>
        <w:autoSpaceDE/>
        <w:autoSpaceDN/>
        <w:bidi w:val="0"/>
        <w:adjustRightInd/>
        <w:snapToGrid/>
        <w:spacing w:line="360" w:lineRule="auto"/>
        <w:jc w:val="both"/>
        <w:textAlignment w:val="auto"/>
        <w:rPr>
          <w:rFonts w:hint="eastAsia" w:cs="宋体"/>
          <w:color w:val="auto"/>
          <w:sz w:val="24"/>
          <w:highlight w:val="none"/>
          <w:lang w:val="en-US" w:eastAsia="zh-CN"/>
        </w:rPr>
      </w:pPr>
      <w:r>
        <w:rPr>
          <w:rFonts w:hint="eastAsia" w:ascii="宋体" w:hAnsi="宋体" w:eastAsia="宋体" w:cs="宋体"/>
          <w:color w:val="auto"/>
          <w:sz w:val="24"/>
          <w:highlight w:val="none"/>
          <w:lang w:val="en-US" w:eastAsia="zh-CN"/>
        </w:rPr>
        <w:t>最高限价（元）：</w:t>
      </w:r>
      <w:r>
        <w:rPr>
          <w:rFonts w:hint="eastAsia" w:cs="宋体"/>
          <w:color w:val="auto"/>
          <w:sz w:val="24"/>
          <w:highlight w:val="none"/>
          <w:lang w:val="en-US" w:eastAsia="zh-CN"/>
        </w:rPr>
        <w:t>550000</w:t>
      </w:r>
    </w:p>
    <w:p>
      <w:pPr>
        <w:pStyle w:val="37"/>
        <w:pageBreakBefore w:val="0"/>
        <w:widowControl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采购需求：</w:t>
      </w:r>
    </w:p>
    <w:p>
      <w:pPr>
        <w:pStyle w:val="37"/>
        <w:pageBreakBefore w:val="0"/>
        <w:widowControl w:val="0"/>
        <w:kinsoku/>
        <w:overflowPunct/>
        <w:topLinePunct w:val="0"/>
        <w:autoSpaceDE/>
        <w:autoSpaceDN/>
        <w:bidi w:val="0"/>
        <w:adjustRightInd/>
        <w:snapToGrid/>
        <w:spacing w:line="360" w:lineRule="auto"/>
        <w:ind w:left="420" w:leftChars="0" w:firstLine="420" w:firstLineChars="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标项名称</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新疆交通职业技术大学高水平专业群建设跟踪评价及应届毕业生调研评价项目</w:t>
      </w:r>
    </w:p>
    <w:p>
      <w:pPr>
        <w:pStyle w:val="37"/>
        <w:pageBreakBefore w:val="0"/>
        <w:widowControl w:val="0"/>
        <w:kinsoku/>
        <w:overflowPunct/>
        <w:topLinePunct w:val="0"/>
        <w:autoSpaceDE/>
        <w:autoSpaceDN/>
        <w:bidi w:val="0"/>
        <w:adjustRightInd/>
        <w:snapToGrid/>
        <w:spacing w:line="360" w:lineRule="auto"/>
        <w:jc w:val="both"/>
        <w:textAlignment w:val="auto"/>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ab/>
      </w:r>
      <w:r>
        <w:rPr>
          <w:rFonts w:hint="eastAsia" w:ascii="宋体" w:hAnsi="宋体" w:eastAsia="宋体" w:cs="宋体"/>
          <w:color w:val="auto"/>
          <w:sz w:val="24"/>
          <w:highlight w:val="none"/>
          <w:lang w:val="en-US" w:eastAsia="zh-CN"/>
        </w:rPr>
        <w:t>数量</w:t>
      </w:r>
      <w:r>
        <w:rPr>
          <w:rFonts w:hint="eastAsia" w:cs="宋体"/>
          <w:color w:val="auto"/>
          <w:sz w:val="24"/>
          <w:highlight w:val="none"/>
          <w:lang w:val="en-US" w:eastAsia="zh-CN"/>
        </w:rPr>
        <w:t>：1</w:t>
      </w:r>
    </w:p>
    <w:p>
      <w:pPr>
        <w:pStyle w:val="37"/>
        <w:pageBreakBefore w:val="0"/>
        <w:widowControl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ab/>
      </w:r>
      <w:r>
        <w:rPr>
          <w:rFonts w:hint="eastAsia" w:ascii="宋体" w:hAnsi="宋体" w:eastAsia="宋体" w:cs="宋体"/>
          <w:color w:val="auto"/>
          <w:sz w:val="24"/>
          <w:highlight w:val="none"/>
          <w:lang w:val="en-US" w:eastAsia="zh-CN"/>
        </w:rPr>
        <w:t>预算金额（元）</w:t>
      </w:r>
      <w:r>
        <w:rPr>
          <w:rFonts w:hint="eastAsia" w:cs="宋体"/>
          <w:color w:val="auto"/>
          <w:sz w:val="24"/>
          <w:highlight w:val="none"/>
          <w:lang w:val="en-US" w:eastAsia="zh-CN"/>
        </w:rPr>
        <w:t>：550000</w:t>
      </w:r>
    </w:p>
    <w:p>
      <w:pPr>
        <w:pStyle w:val="37"/>
        <w:pageBreakBefore w:val="0"/>
        <w:widowControl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ab/>
      </w:r>
      <w:r>
        <w:rPr>
          <w:rFonts w:hint="eastAsia" w:ascii="宋体" w:hAnsi="宋体" w:eastAsia="宋体" w:cs="宋体"/>
          <w:color w:val="auto"/>
          <w:sz w:val="24"/>
          <w:highlight w:val="none"/>
          <w:lang w:val="en-US" w:eastAsia="zh-CN"/>
        </w:rPr>
        <w:t>单位：</w:t>
      </w:r>
      <w:r>
        <w:rPr>
          <w:rFonts w:hint="eastAsia" w:cs="宋体"/>
          <w:color w:val="auto"/>
          <w:sz w:val="24"/>
          <w:highlight w:val="none"/>
          <w:lang w:val="en-US" w:eastAsia="zh-CN"/>
        </w:rPr>
        <w:t>批</w:t>
      </w:r>
    </w:p>
    <w:p>
      <w:pPr>
        <w:pStyle w:val="37"/>
        <w:pageBreakBefore w:val="0"/>
        <w:widowControl w:val="0"/>
        <w:kinsoku/>
        <w:overflowPunct/>
        <w:topLinePunct w:val="0"/>
        <w:autoSpaceDE/>
        <w:autoSpaceDN/>
        <w:bidi w:val="0"/>
        <w:adjustRightInd/>
        <w:snapToGrid/>
        <w:spacing w:line="360" w:lineRule="auto"/>
        <w:jc w:val="both"/>
        <w:textAlignment w:val="auto"/>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ab/>
      </w:r>
      <w:r>
        <w:rPr>
          <w:rFonts w:hint="eastAsia" w:ascii="宋体" w:hAnsi="宋体" w:eastAsia="宋体" w:cs="宋体"/>
          <w:color w:val="auto"/>
          <w:sz w:val="24"/>
          <w:highlight w:val="none"/>
          <w:lang w:val="en-US" w:eastAsia="zh-CN"/>
        </w:rPr>
        <w:t>简要规格描述或项目基本概况介绍、用途：开展应届毕业生培养质量跟踪监测、就业质量年度报告项目及高水平高等职业技术学院建设满意度跟踪项目</w:t>
      </w:r>
      <w:r>
        <w:rPr>
          <w:rFonts w:hint="eastAsia" w:cs="宋体"/>
          <w:color w:val="auto"/>
          <w:sz w:val="24"/>
          <w:highlight w:val="none"/>
          <w:lang w:val="en-US" w:eastAsia="zh-CN"/>
        </w:rPr>
        <w:t>，具体详见招标文件。</w:t>
      </w:r>
    </w:p>
    <w:p>
      <w:pPr>
        <w:pStyle w:val="37"/>
        <w:pageBreakBefore w:val="0"/>
        <w:widowControl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ab/>
      </w:r>
      <w:r>
        <w:rPr>
          <w:rFonts w:hint="eastAsia" w:ascii="宋体" w:hAnsi="宋体" w:eastAsia="宋体" w:cs="宋体"/>
          <w:color w:val="auto"/>
          <w:sz w:val="24"/>
          <w:highlight w:val="none"/>
          <w:lang w:val="en-US" w:eastAsia="zh-CN"/>
        </w:rPr>
        <w:t>备注：</w:t>
      </w:r>
    </w:p>
    <w:p>
      <w:pPr>
        <w:pStyle w:val="37"/>
        <w:pageBreakBefore w:val="0"/>
        <w:widowControl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合同履行期限：以合同约定为准</w:t>
      </w:r>
    </w:p>
    <w:p>
      <w:pPr>
        <w:pStyle w:val="37"/>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lang w:val="en-US" w:eastAsia="zh-CN"/>
        </w:rPr>
        <w:t>本项目（否）接受联合体投标</w:t>
      </w:r>
    </w:p>
    <w:p>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8" w:name="_Toc15695"/>
      <w:bookmarkStart w:id="29" w:name="_Toc17328"/>
      <w:bookmarkStart w:id="30" w:name="_Toc140132746"/>
      <w:bookmarkStart w:id="31" w:name="_Toc17974"/>
      <w:bookmarkStart w:id="32" w:name="_Toc155185861"/>
      <w:bookmarkStart w:id="33" w:name="_Toc109899830"/>
      <w:bookmarkStart w:id="34" w:name="_Toc14552"/>
      <w:bookmarkStart w:id="35" w:name="_Toc109900249"/>
      <w:bookmarkStart w:id="36" w:name="_Toc109899411"/>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3"/>
      <w:bookmarkEnd w:id="24"/>
      <w:bookmarkEnd w:id="25"/>
      <w:bookmarkEnd w:id="26"/>
      <w:bookmarkEnd w:id="27"/>
      <w:bookmarkEnd w:id="28"/>
      <w:bookmarkEnd w:id="29"/>
      <w:bookmarkEnd w:id="30"/>
      <w:bookmarkEnd w:id="31"/>
      <w:bookmarkEnd w:id="32"/>
      <w:bookmarkEnd w:id="33"/>
      <w:bookmarkEnd w:id="34"/>
      <w:bookmarkEnd w:id="35"/>
      <w:bookmarkEnd w:id="36"/>
    </w:p>
    <w:p>
      <w:pPr>
        <w:spacing w:line="360" w:lineRule="auto"/>
        <w:ind w:firstLine="480" w:firstLineChars="200"/>
        <w:rPr>
          <w:rFonts w:hint="eastAsia" w:ascii="宋体" w:hAnsi="宋体" w:eastAsia="宋体" w:cs="宋体"/>
          <w:color w:val="auto"/>
          <w:sz w:val="24"/>
          <w:szCs w:val="24"/>
          <w:highlight w:val="none"/>
          <w:lang w:val="en-US" w:eastAsia="zh-CN"/>
        </w:rPr>
      </w:pPr>
      <w:bookmarkStart w:id="37" w:name="_Hlk89807755"/>
      <w:bookmarkStart w:id="38" w:name="_Toc28359091"/>
      <w:bookmarkStart w:id="39" w:name="_Toc44583630"/>
      <w:bookmarkStart w:id="40" w:name="_Toc35393631"/>
      <w:bookmarkStart w:id="41" w:name="_Toc35393800"/>
      <w:bookmarkStart w:id="42" w:name="_Toc28359014"/>
      <w:r>
        <w:rPr>
          <w:rFonts w:hint="eastAsia" w:ascii="宋体" w:hAnsi="宋体" w:eastAsia="宋体" w:cs="宋体"/>
          <w:color w:val="auto"/>
          <w:sz w:val="24"/>
          <w:szCs w:val="24"/>
          <w:highlight w:val="none"/>
          <w:lang w:val="en-US" w:eastAsia="zh-CN"/>
        </w:rPr>
        <w:t>1.满足《中华人民共和国政府采购法》第二十二条规定；</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cs="宋体"/>
          <w:color w:val="auto"/>
          <w:sz w:val="24"/>
          <w:szCs w:val="24"/>
          <w:highlight w:val="none"/>
          <w:u w:val="single"/>
          <w:lang w:val="en-US" w:eastAsia="zh-CN"/>
        </w:rPr>
        <w:t>本项目</w:t>
      </w:r>
      <w:r>
        <w:rPr>
          <w:rFonts w:hint="eastAsia" w:ascii="宋体" w:hAnsi="宋体" w:eastAsia="宋体" w:cs="宋体"/>
          <w:color w:val="auto"/>
          <w:sz w:val="24"/>
          <w:szCs w:val="24"/>
          <w:highlight w:val="none"/>
          <w:u w:val="single"/>
          <w:lang w:val="en-US" w:eastAsia="zh-CN"/>
        </w:rPr>
        <w:t>专门面向中小企业</w:t>
      </w:r>
      <w:r>
        <w:rPr>
          <w:rFonts w:hint="eastAsia" w:cs="宋体"/>
          <w:color w:val="auto"/>
          <w:sz w:val="24"/>
          <w:szCs w:val="24"/>
          <w:highlight w:val="none"/>
          <w:u w:val="single"/>
          <w:lang w:val="en-US" w:eastAsia="zh-CN"/>
        </w:rPr>
        <w:t>。</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pPr>
        <w:pStyle w:val="37"/>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hr-HR"/>
        </w:rPr>
        <w:t>法定代表人或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hr-HR"/>
        </w:rPr>
        <w:t>负责人为同一人或者存在</w:t>
      </w:r>
      <w:r>
        <w:rPr>
          <w:rFonts w:hint="eastAsia" w:ascii="宋体" w:hAnsi="宋体" w:eastAsia="宋体" w:cs="宋体"/>
          <w:color w:val="auto"/>
          <w:sz w:val="24"/>
          <w:szCs w:val="24"/>
          <w:highlight w:val="none"/>
          <w:lang w:val="en-US" w:eastAsia="zh-CN"/>
        </w:rPr>
        <w:t>直接</w:t>
      </w:r>
      <w:r>
        <w:rPr>
          <w:rFonts w:hint="eastAsia" w:ascii="宋体" w:hAnsi="宋体" w:eastAsia="宋体" w:cs="宋体"/>
          <w:color w:val="auto"/>
          <w:sz w:val="24"/>
          <w:szCs w:val="24"/>
          <w:highlight w:val="none"/>
          <w:lang w:val="hr-HR"/>
        </w:rPr>
        <w:t>控股、管理关系的</w:t>
      </w:r>
      <w:r>
        <w:rPr>
          <w:rFonts w:hint="eastAsia" w:ascii="宋体" w:hAnsi="宋体" w:eastAsia="宋体" w:cs="宋体"/>
          <w:color w:val="auto"/>
          <w:sz w:val="24"/>
          <w:szCs w:val="24"/>
          <w:highlight w:val="none"/>
          <w:lang w:val="en-US" w:eastAsia="zh-CN"/>
        </w:rPr>
        <w:t>不同供应商</w:t>
      </w:r>
      <w:r>
        <w:rPr>
          <w:rFonts w:hint="eastAsia" w:ascii="宋体" w:hAnsi="宋体" w:eastAsia="宋体" w:cs="宋体"/>
          <w:color w:val="auto"/>
          <w:sz w:val="24"/>
          <w:szCs w:val="24"/>
          <w:highlight w:val="none"/>
          <w:lang w:val="hr-HR"/>
        </w:rPr>
        <w:t>，不得参加同一合同项下的政府采购活动。</w:t>
      </w:r>
      <w:r>
        <w:rPr>
          <w:rFonts w:hint="eastAsia" w:cs="宋体"/>
          <w:color w:val="auto"/>
          <w:sz w:val="24"/>
          <w:szCs w:val="24"/>
          <w:highlight w:val="none"/>
          <w:lang w:val="en-US" w:eastAsia="zh-CN"/>
        </w:rPr>
        <w:t>自行提供承诺函加盖公章。</w:t>
      </w:r>
    </w:p>
    <w:p>
      <w:pPr>
        <w:pStyle w:val="37"/>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除单一来源采购项目外，为采购项目提供整体设计、规范编制或者项目管理、监理、检测等服务的供应商，不得再参加该采购项目的其他采购活动。</w:t>
      </w:r>
      <w:r>
        <w:rPr>
          <w:rFonts w:hint="eastAsia" w:cs="宋体"/>
          <w:color w:val="auto"/>
          <w:sz w:val="24"/>
          <w:szCs w:val="24"/>
          <w:highlight w:val="none"/>
          <w:lang w:val="en-US" w:eastAsia="zh-CN"/>
        </w:rPr>
        <w:t>自行提供承诺函加盖公章。</w:t>
      </w:r>
    </w:p>
    <w:bookmarkEnd w:id="37"/>
    <w:p>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3" w:name="_Toc16687"/>
      <w:bookmarkStart w:id="44" w:name="_Toc109899412"/>
      <w:bookmarkStart w:id="45" w:name="_Toc109899831"/>
      <w:bookmarkStart w:id="46" w:name="_Toc10741"/>
      <w:bookmarkStart w:id="47" w:name="_Toc109900250"/>
      <w:bookmarkStart w:id="48" w:name="_Toc140132747"/>
      <w:bookmarkStart w:id="49" w:name="_Toc13473"/>
      <w:bookmarkStart w:id="50" w:name="_Toc155185862"/>
      <w:bookmarkStart w:id="51" w:name="_Toc24509"/>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eastAsia="宋体" w:cs="宋体"/>
          <w:b/>
          <w:bCs/>
          <w:color w:val="auto"/>
          <w:kern w:val="2"/>
          <w:sz w:val="24"/>
          <w:szCs w:val="24"/>
          <w:highlight w:val="none"/>
          <w:lang w:val="hr-HR" w:eastAsia="zh-CN" w:bidi="ar-SA"/>
        </w:rPr>
        <w:t xml:space="preserve"> </w:t>
      </w:r>
    </w:p>
    <w:p>
      <w:pPr>
        <w:pStyle w:val="37"/>
        <w:pageBreakBefore w:val="0"/>
        <w:widowControl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lang w:val="hr-HR"/>
        </w:rPr>
      </w:pPr>
      <w:bookmarkStart w:id="52" w:name="_Hlk130457234"/>
      <w:bookmarkStart w:id="53" w:name="_Toc28359092"/>
      <w:bookmarkStart w:id="54" w:name="_Toc35393801"/>
      <w:bookmarkStart w:id="55" w:name="_Hlk130457327"/>
      <w:bookmarkStart w:id="56" w:name="_Hlk130457261"/>
      <w:bookmarkStart w:id="57" w:name="_Toc35393632"/>
      <w:bookmarkStart w:id="58" w:name="_Toc28359015"/>
      <w:r>
        <w:rPr>
          <w:rFonts w:hint="eastAsia" w:ascii="宋体" w:hAnsi="宋体" w:eastAsia="宋体" w:cs="宋体"/>
          <w:color w:val="auto"/>
          <w:sz w:val="24"/>
          <w:highlight w:val="none"/>
          <w:lang w:val="hr-HR"/>
        </w:rPr>
        <w:t>时间：</w:t>
      </w:r>
      <w:r>
        <w:rPr>
          <w:rFonts w:hint="eastAsia" w:cs="宋体"/>
          <w:color w:val="auto"/>
          <w:sz w:val="24"/>
          <w:highlight w:val="none"/>
          <w:u w:val="single"/>
          <w:lang w:val="en-US" w:eastAsia="zh-CN"/>
        </w:rPr>
        <w:t xml:space="preserve"> 2026 </w:t>
      </w:r>
      <w:r>
        <w:rPr>
          <w:rFonts w:hint="eastAsia" w:ascii="宋体" w:hAnsi="宋体" w:eastAsia="宋体" w:cs="宋体"/>
          <w:color w:val="auto"/>
          <w:sz w:val="24"/>
          <w:highlight w:val="none"/>
          <w:lang w:val="hr-HR"/>
        </w:rPr>
        <w:t>年</w:t>
      </w:r>
      <w:r>
        <w:rPr>
          <w:rFonts w:hint="eastAsia" w:cs="宋体"/>
          <w:color w:val="auto"/>
          <w:sz w:val="24"/>
          <w:highlight w:val="none"/>
          <w:u w:val="single"/>
          <w:lang w:val="en-US" w:eastAsia="zh-CN"/>
        </w:rPr>
        <w:t xml:space="preserve"> 5 </w:t>
      </w:r>
      <w:r>
        <w:rPr>
          <w:rFonts w:hint="eastAsia" w:ascii="宋体" w:hAnsi="宋体" w:eastAsia="宋体" w:cs="宋体"/>
          <w:color w:val="auto"/>
          <w:sz w:val="24"/>
          <w:highlight w:val="none"/>
          <w:lang w:val="hr-HR"/>
        </w:rPr>
        <w:t>月</w:t>
      </w:r>
      <w:r>
        <w:rPr>
          <w:rFonts w:hint="eastAsia" w:cs="宋体"/>
          <w:color w:val="auto"/>
          <w:sz w:val="24"/>
          <w:highlight w:val="none"/>
          <w:u w:val="single"/>
          <w:lang w:val="en-US" w:eastAsia="zh-CN"/>
        </w:rPr>
        <w:t xml:space="preserve"> 25 </w:t>
      </w:r>
      <w:r>
        <w:rPr>
          <w:rFonts w:hint="eastAsia" w:ascii="宋体" w:hAnsi="宋体" w:eastAsia="宋体" w:cs="宋体"/>
          <w:color w:val="auto"/>
          <w:sz w:val="24"/>
          <w:highlight w:val="none"/>
          <w:lang w:val="hr-HR"/>
        </w:rPr>
        <w:t>日至</w:t>
      </w:r>
      <w:r>
        <w:rPr>
          <w:rFonts w:hint="eastAsia" w:cs="宋体"/>
          <w:color w:val="auto"/>
          <w:sz w:val="24"/>
          <w:highlight w:val="none"/>
          <w:u w:val="single"/>
          <w:lang w:val="en-US" w:eastAsia="zh-CN"/>
        </w:rPr>
        <w:t xml:space="preserve"> 2026 </w:t>
      </w:r>
      <w:r>
        <w:rPr>
          <w:rFonts w:hint="eastAsia" w:ascii="宋体" w:hAnsi="宋体" w:eastAsia="宋体" w:cs="宋体"/>
          <w:color w:val="auto"/>
          <w:sz w:val="24"/>
          <w:highlight w:val="none"/>
          <w:lang w:val="hr-HR"/>
        </w:rPr>
        <w:t>年</w:t>
      </w:r>
      <w:r>
        <w:rPr>
          <w:rFonts w:hint="eastAsia" w:cs="宋体"/>
          <w:color w:val="auto"/>
          <w:sz w:val="24"/>
          <w:highlight w:val="none"/>
          <w:u w:val="single"/>
          <w:lang w:val="en-US" w:eastAsia="zh-CN"/>
        </w:rPr>
        <w:t xml:space="preserve"> 6 </w:t>
      </w:r>
      <w:r>
        <w:rPr>
          <w:rFonts w:hint="eastAsia" w:ascii="宋体" w:hAnsi="宋体" w:eastAsia="宋体" w:cs="宋体"/>
          <w:color w:val="auto"/>
          <w:sz w:val="24"/>
          <w:highlight w:val="none"/>
          <w:lang w:val="hr-HR"/>
        </w:rPr>
        <w:t>月</w:t>
      </w:r>
      <w:r>
        <w:rPr>
          <w:rFonts w:hint="eastAsia" w:cs="宋体"/>
          <w:color w:val="auto"/>
          <w:sz w:val="24"/>
          <w:highlight w:val="none"/>
          <w:u w:val="single"/>
          <w:lang w:val="en-US" w:eastAsia="zh-CN"/>
        </w:rPr>
        <w:t xml:space="preserve"> 4 </w:t>
      </w:r>
      <w:r>
        <w:rPr>
          <w:rFonts w:hint="eastAsia" w:ascii="宋体" w:hAnsi="宋体" w:eastAsia="宋体" w:cs="宋体"/>
          <w:color w:val="auto"/>
          <w:sz w:val="24"/>
          <w:highlight w:val="none"/>
          <w:lang w:val="hr-HR"/>
        </w:rPr>
        <w:t>日，每天上午00:00至14:00，下午14:00至23:59（北京时间，法定节假日除外）</w:t>
      </w:r>
    </w:p>
    <w:bookmarkEnd w:id="52"/>
    <w:p>
      <w:pPr>
        <w:pStyle w:val="37"/>
        <w:pageBreakBefore w:val="0"/>
        <w:widowControl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地点：政采云平台线上</w:t>
      </w:r>
    </w:p>
    <w:p>
      <w:pPr>
        <w:pStyle w:val="37"/>
        <w:pageBreakBefore w:val="0"/>
        <w:widowControl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w:t>
      </w:r>
      <w:r>
        <w:rPr>
          <w:rFonts w:hint="eastAsia" w:cs="宋体"/>
          <w:color w:val="auto"/>
          <w:sz w:val="24"/>
          <w:highlight w:val="none"/>
          <w:lang w:val="en-US" w:eastAsia="zh-CN"/>
        </w:rPr>
        <w:t>登录</w:t>
      </w:r>
      <w:r>
        <w:rPr>
          <w:rFonts w:hint="eastAsia" w:ascii="宋体" w:hAnsi="宋体" w:eastAsia="宋体" w:cs="宋体"/>
          <w:color w:val="auto"/>
          <w:sz w:val="24"/>
          <w:highlight w:val="none"/>
          <w:lang w:val="en-US" w:eastAsia="zh-CN"/>
        </w:rPr>
        <w:t>，直接获取采购文件。</w:t>
      </w:r>
    </w:p>
    <w:p>
      <w:pPr>
        <w:pStyle w:val="37"/>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highlight w:val="none"/>
          <w:lang w:val="en-US" w:eastAsia="zh-CN"/>
        </w:rPr>
        <w:t>售价（元）：0</w:t>
      </w:r>
    </w:p>
    <w:bookmarkEnd w:id="53"/>
    <w:bookmarkEnd w:id="54"/>
    <w:bookmarkEnd w:id="55"/>
    <w:bookmarkEnd w:id="56"/>
    <w:bookmarkEnd w:id="57"/>
    <w:bookmarkEnd w:id="58"/>
    <w:p>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9" w:name="_Toc109899832"/>
      <w:bookmarkStart w:id="60" w:name="_Toc155185863"/>
      <w:bookmarkStart w:id="61" w:name="_Toc109900251"/>
      <w:bookmarkStart w:id="62" w:name="_Toc109899413"/>
      <w:bookmarkStart w:id="63" w:name="_Toc140132748"/>
      <w:bookmarkStart w:id="64" w:name="_Toc11313"/>
      <w:bookmarkStart w:id="65" w:name="_Toc30285"/>
      <w:bookmarkStart w:id="66" w:name="_Toc25593"/>
      <w:bookmarkStart w:id="67" w:name="_Toc5152"/>
      <w:bookmarkStart w:id="68" w:name="_Hlk130457395"/>
      <w:bookmarkStart w:id="69" w:name="_Toc35393634"/>
      <w:bookmarkStart w:id="70" w:name="_Toc44583633"/>
      <w:bookmarkStart w:id="71" w:name="_Toc28359017"/>
      <w:bookmarkStart w:id="72" w:name="_Toc28359094"/>
      <w:bookmarkStart w:id="73" w:name="_Toc35393803"/>
      <w:r>
        <w:rPr>
          <w:rFonts w:hint="eastAsia" w:ascii="宋体" w:hAnsi="宋体" w:eastAsia="宋体" w:cs="宋体"/>
          <w:b/>
          <w:bCs/>
          <w:color w:val="auto"/>
          <w:kern w:val="2"/>
          <w:sz w:val="24"/>
          <w:szCs w:val="24"/>
          <w:highlight w:val="none"/>
          <w:lang w:val="en-US" w:eastAsia="zh-CN" w:bidi="ar-SA"/>
        </w:rPr>
        <w:t>四、</w:t>
      </w:r>
      <w:bookmarkEnd w:id="59"/>
      <w:bookmarkEnd w:id="60"/>
      <w:bookmarkEnd w:id="61"/>
      <w:bookmarkEnd w:id="62"/>
      <w:bookmarkEnd w:id="63"/>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开标时间、递交方式和</w:t>
      </w:r>
      <w:r>
        <w:rPr>
          <w:rFonts w:hint="eastAsia" w:ascii="宋体" w:hAnsi="宋体" w:eastAsia="宋体" w:cs="宋体"/>
          <w:b/>
          <w:bCs/>
          <w:color w:val="auto"/>
          <w:kern w:val="2"/>
          <w:sz w:val="24"/>
          <w:szCs w:val="24"/>
          <w:highlight w:val="none"/>
          <w:lang w:val="en-US" w:eastAsia="zh-CN" w:bidi="ar-SA"/>
        </w:rPr>
        <w:t>开标</w:t>
      </w:r>
      <w:r>
        <w:rPr>
          <w:rFonts w:hint="eastAsia" w:ascii="宋体" w:hAnsi="宋体" w:eastAsia="宋体" w:cs="宋体"/>
          <w:b/>
          <w:bCs/>
          <w:color w:val="auto"/>
          <w:kern w:val="2"/>
          <w:sz w:val="24"/>
          <w:szCs w:val="24"/>
          <w:highlight w:val="none"/>
          <w:lang w:val="hr-HR" w:eastAsia="zh-CN" w:bidi="ar-SA"/>
        </w:rPr>
        <w:t>地点</w:t>
      </w:r>
      <w:bookmarkEnd w:id="64"/>
      <w:bookmarkEnd w:id="65"/>
      <w:bookmarkEnd w:id="66"/>
      <w:bookmarkEnd w:id="67"/>
    </w:p>
    <w:p>
      <w:pPr>
        <w:pStyle w:val="37"/>
        <w:pageBreakBefore w:val="0"/>
        <w:widowControl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rPr>
        <w:t>提交投标文件截止时间：</w:t>
      </w:r>
      <w:r>
        <w:rPr>
          <w:rFonts w:hint="eastAsia" w:ascii="宋体" w:hAnsi="宋体" w:eastAsia="宋体" w:cs="宋体"/>
          <w:color w:val="auto"/>
          <w:sz w:val="24"/>
          <w:highlight w:val="none"/>
          <w:lang w:val="en-US" w:eastAsia="zh-CN"/>
        </w:rPr>
        <w:t xml:space="preserve"> </w:t>
      </w:r>
      <w:r>
        <w:rPr>
          <w:rFonts w:hint="eastAsia" w:cs="宋体"/>
          <w:color w:val="auto"/>
          <w:sz w:val="24"/>
          <w:highlight w:val="none"/>
          <w:lang w:val="en-US" w:eastAsia="zh-CN"/>
        </w:rPr>
        <w:t xml:space="preserve">2026 </w:t>
      </w:r>
      <w:r>
        <w:rPr>
          <w:rFonts w:hint="eastAsia" w:ascii="宋体" w:hAnsi="宋体" w:eastAsia="宋体" w:cs="宋体"/>
          <w:color w:val="auto"/>
          <w:sz w:val="24"/>
          <w:highlight w:val="none"/>
          <w:lang w:val="en-US"/>
        </w:rPr>
        <w:t>年</w:t>
      </w:r>
      <w:r>
        <w:rPr>
          <w:rFonts w:hint="eastAsia" w:ascii="宋体" w:hAnsi="宋体" w:eastAsia="宋体" w:cs="宋体"/>
          <w:color w:val="auto"/>
          <w:sz w:val="24"/>
          <w:highlight w:val="none"/>
          <w:lang w:val="en-US" w:eastAsia="zh-CN"/>
        </w:rPr>
        <w:t xml:space="preserve"> </w:t>
      </w:r>
      <w:r>
        <w:rPr>
          <w:rFonts w:hint="eastAsia" w:cs="宋体"/>
          <w:color w:val="auto"/>
          <w:sz w:val="24"/>
          <w:highlight w:val="none"/>
          <w:lang w:val="en-US" w:eastAsia="zh-CN"/>
        </w:rPr>
        <w:t>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en-US"/>
        </w:rPr>
        <w:t>月</w:t>
      </w:r>
      <w:r>
        <w:rPr>
          <w:rFonts w:hint="eastAsia" w:ascii="宋体" w:hAnsi="宋体" w:eastAsia="宋体" w:cs="宋体"/>
          <w:color w:val="auto"/>
          <w:sz w:val="24"/>
          <w:highlight w:val="none"/>
          <w:lang w:val="en-US" w:eastAsia="zh-CN"/>
        </w:rPr>
        <w:t xml:space="preserve"> </w:t>
      </w:r>
      <w:r>
        <w:rPr>
          <w:rFonts w:hint="eastAsia" w:cs="宋体"/>
          <w:color w:val="auto"/>
          <w:sz w:val="24"/>
          <w:highlight w:val="none"/>
          <w:lang w:val="en-US" w:eastAsia="zh-CN"/>
        </w:rPr>
        <w:t>16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en-US"/>
        </w:rPr>
        <w:t xml:space="preserve">日 </w:t>
      </w:r>
      <w:r>
        <w:rPr>
          <w:rFonts w:hint="eastAsia" w:cs="宋体"/>
          <w:color w:val="auto"/>
          <w:sz w:val="24"/>
          <w:highlight w:val="none"/>
          <w:lang w:val="en-US" w:eastAsia="zh-CN"/>
        </w:rPr>
        <w:t>11</w:t>
      </w:r>
      <w:r>
        <w:rPr>
          <w:rFonts w:hint="eastAsia" w:ascii="宋体" w:hAnsi="宋体" w:eastAsia="宋体" w:cs="宋体"/>
          <w:color w:val="auto"/>
          <w:sz w:val="24"/>
          <w:highlight w:val="none"/>
          <w:lang w:val="en-US" w:eastAsia="zh-CN"/>
        </w:rPr>
        <w:t xml:space="preserve"> 时 </w:t>
      </w:r>
      <w:r>
        <w:rPr>
          <w:rFonts w:hint="eastAsia" w:cs="宋体"/>
          <w:color w:val="auto"/>
          <w:sz w:val="24"/>
          <w:highlight w:val="none"/>
          <w:lang w:val="en-US" w:eastAsia="zh-CN"/>
        </w:rPr>
        <w:t>00</w:t>
      </w:r>
      <w:r>
        <w:rPr>
          <w:rFonts w:hint="eastAsia" w:ascii="宋体" w:hAnsi="宋体" w:eastAsia="宋体" w:cs="宋体"/>
          <w:color w:val="auto"/>
          <w:sz w:val="24"/>
          <w:highlight w:val="none"/>
          <w:lang w:val="en-US" w:eastAsia="zh-CN"/>
        </w:rPr>
        <w:t xml:space="preserve"> 分</w:t>
      </w:r>
      <w:r>
        <w:rPr>
          <w:rFonts w:hint="eastAsia" w:ascii="宋体" w:hAnsi="宋体" w:eastAsia="宋体" w:cs="宋体"/>
          <w:color w:val="auto"/>
          <w:sz w:val="24"/>
          <w:highlight w:val="none"/>
          <w:lang w:val="en-US"/>
        </w:rPr>
        <w:t>（北京时间）</w:t>
      </w:r>
    </w:p>
    <w:p>
      <w:pPr>
        <w:pStyle w:val="37"/>
        <w:pageBreakBefore w:val="0"/>
        <w:widowControl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rPr>
        <w:t>投标地点：请登录政采云投标客户端投标（逾期未上传的或不符合规定的投标文件将被拒绝接受）</w:t>
      </w:r>
    </w:p>
    <w:p>
      <w:pPr>
        <w:pStyle w:val="37"/>
        <w:pageBreakBefore w:val="0"/>
        <w:widowControl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rPr>
        <w:t>开标时间：</w:t>
      </w:r>
      <w:r>
        <w:rPr>
          <w:rFonts w:hint="eastAsia" w:ascii="宋体" w:hAnsi="宋体" w:eastAsia="宋体" w:cs="宋体"/>
          <w:color w:val="auto"/>
          <w:sz w:val="24"/>
          <w:highlight w:val="none"/>
          <w:lang w:val="en-US" w:eastAsia="zh-CN"/>
        </w:rPr>
        <w:t xml:space="preserve"> </w:t>
      </w:r>
      <w:r>
        <w:rPr>
          <w:rFonts w:hint="eastAsia" w:cs="宋体"/>
          <w:color w:val="auto"/>
          <w:sz w:val="24"/>
          <w:highlight w:val="none"/>
          <w:lang w:val="en-US" w:eastAsia="zh-CN"/>
        </w:rPr>
        <w:t>2026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en-US"/>
        </w:rPr>
        <w:t>年</w:t>
      </w:r>
      <w:r>
        <w:rPr>
          <w:rFonts w:hint="eastAsia" w:ascii="宋体" w:hAnsi="宋体" w:eastAsia="宋体" w:cs="宋体"/>
          <w:color w:val="auto"/>
          <w:sz w:val="24"/>
          <w:highlight w:val="none"/>
          <w:lang w:val="en-US" w:eastAsia="zh-CN"/>
        </w:rPr>
        <w:t xml:space="preserve"> </w:t>
      </w:r>
      <w:r>
        <w:rPr>
          <w:rFonts w:hint="eastAsia" w:cs="宋体"/>
          <w:color w:val="auto"/>
          <w:sz w:val="24"/>
          <w:highlight w:val="none"/>
          <w:lang w:val="en-US" w:eastAsia="zh-CN"/>
        </w:rPr>
        <w:t>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en-US"/>
        </w:rPr>
        <w:t>月</w:t>
      </w:r>
      <w:r>
        <w:rPr>
          <w:rFonts w:hint="eastAsia" w:ascii="宋体" w:hAnsi="宋体" w:eastAsia="宋体" w:cs="宋体"/>
          <w:color w:val="auto"/>
          <w:sz w:val="24"/>
          <w:highlight w:val="none"/>
          <w:lang w:val="en-US" w:eastAsia="zh-CN"/>
        </w:rPr>
        <w:t xml:space="preserve"> </w:t>
      </w:r>
      <w:r>
        <w:rPr>
          <w:rFonts w:hint="eastAsia" w:cs="宋体"/>
          <w:color w:val="auto"/>
          <w:sz w:val="24"/>
          <w:highlight w:val="none"/>
          <w:lang w:val="en-US" w:eastAsia="zh-CN"/>
        </w:rPr>
        <w:t>16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val="en-US"/>
        </w:rPr>
        <w:t xml:space="preserve">日 </w:t>
      </w:r>
      <w:r>
        <w:rPr>
          <w:rFonts w:hint="eastAsia" w:cs="宋体"/>
          <w:color w:val="auto"/>
          <w:sz w:val="24"/>
          <w:highlight w:val="none"/>
          <w:lang w:val="en-US" w:eastAsia="zh-CN"/>
        </w:rPr>
        <w:t>11</w:t>
      </w:r>
      <w:r>
        <w:rPr>
          <w:rFonts w:hint="eastAsia" w:ascii="宋体" w:hAnsi="宋体" w:eastAsia="宋体" w:cs="宋体"/>
          <w:color w:val="auto"/>
          <w:sz w:val="24"/>
          <w:highlight w:val="none"/>
          <w:lang w:val="en-US" w:eastAsia="zh-CN"/>
        </w:rPr>
        <w:t xml:space="preserve"> 时 </w:t>
      </w:r>
      <w:r>
        <w:rPr>
          <w:rFonts w:hint="eastAsia" w:cs="宋体"/>
          <w:color w:val="auto"/>
          <w:sz w:val="24"/>
          <w:highlight w:val="none"/>
          <w:lang w:val="en-US" w:eastAsia="zh-CN"/>
        </w:rPr>
        <w:t>00</w:t>
      </w:r>
      <w:r>
        <w:rPr>
          <w:rFonts w:hint="eastAsia" w:ascii="宋体" w:hAnsi="宋体" w:eastAsia="宋体" w:cs="宋体"/>
          <w:color w:val="auto"/>
          <w:sz w:val="24"/>
          <w:highlight w:val="none"/>
          <w:lang w:val="en-US" w:eastAsia="zh-CN"/>
        </w:rPr>
        <w:t xml:space="preserve"> 分</w:t>
      </w:r>
      <w:r>
        <w:rPr>
          <w:rFonts w:hint="eastAsia" w:ascii="宋体" w:hAnsi="宋体" w:eastAsia="宋体" w:cs="宋体"/>
          <w:color w:val="auto"/>
          <w:sz w:val="24"/>
          <w:highlight w:val="none"/>
          <w:lang w:val="en-US"/>
        </w:rPr>
        <w:t>（北京时间）</w:t>
      </w:r>
    </w:p>
    <w:p>
      <w:pPr>
        <w:pStyle w:val="37"/>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lang w:val="en-US"/>
        </w:rPr>
        <w:t>开标地点：投标人登录政采云平台https://www.zcygov.cn/，进入“项目采购-开标评标</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rPr>
        <w:t>右边选择对应项目点击“进入项目”进入开标大厅</w:t>
      </w:r>
      <w:r>
        <w:rPr>
          <w:rFonts w:hint="eastAsia" w:ascii="宋体" w:hAnsi="宋体" w:eastAsia="宋体" w:cs="宋体"/>
          <w:color w:val="auto"/>
          <w:sz w:val="24"/>
          <w:highlight w:val="none"/>
          <w:lang w:val="en-US" w:eastAsia="zh-CN"/>
        </w:rPr>
        <w:t>。</w:t>
      </w:r>
    </w:p>
    <w:bookmarkEnd w:id="68"/>
    <w:p>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4" w:name="_Toc5825"/>
      <w:bookmarkStart w:id="75" w:name="_Toc140132749"/>
      <w:bookmarkStart w:id="76" w:name="_Toc109899833"/>
      <w:bookmarkStart w:id="77" w:name="_Toc109899414"/>
      <w:bookmarkStart w:id="78" w:name="_Toc27965"/>
      <w:bookmarkStart w:id="79" w:name="_Toc155185864"/>
      <w:bookmarkStart w:id="80" w:name="_Toc109900252"/>
      <w:bookmarkStart w:id="81" w:name="_Toc22506"/>
      <w:bookmarkStart w:id="82" w:name="_Toc22987"/>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69"/>
      <w:bookmarkEnd w:id="70"/>
      <w:bookmarkEnd w:id="71"/>
      <w:bookmarkEnd w:id="72"/>
      <w:bookmarkEnd w:id="73"/>
      <w:bookmarkEnd w:id="74"/>
      <w:bookmarkEnd w:id="75"/>
      <w:bookmarkEnd w:id="76"/>
      <w:bookmarkEnd w:id="77"/>
      <w:bookmarkEnd w:id="78"/>
      <w:bookmarkEnd w:id="79"/>
      <w:bookmarkEnd w:id="80"/>
      <w:bookmarkEnd w:id="81"/>
      <w:bookmarkEnd w:id="82"/>
    </w:p>
    <w:p>
      <w:pPr>
        <w:pStyle w:val="3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自招标公告发布之日起5个工作日。</w:t>
      </w:r>
    </w:p>
    <w:p>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3" w:name="_Toc109900253"/>
      <w:bookmarkStart w:id="84" w:name="_Toc109899834"/>
      <w:bookmarkStart w:id="85" w:name="_Toc109899415"/>
      <w:bookmarkStart w:id="86" w:name="_Toc44583634"/>
      <w:bookmarkStart w:id="87" w:name="_Toc155185865"/>
      <w:bookmarkStart w:id="88" w:name="_Toc32450"/>
      <w:bookmarkStart w:id="89" w:name="_Toc35393804"/>
      <w:bookmarkStart w:id="90" w:name="_Toc140132750"/>
      <w:bookmarkStart w:id="91" w:name="_Toc35393635"/>
      <w:bookmarkStart w:id="92" w:name="_Toc10290"/>
      <w:bookmarkStart w:id="93" w:name="_Toc19698"/>
      <w:bookmarkStart w:id="94" w:name="_Toc299"/>
      <w:bookmarkStart w:id="95" w:name="_Toc35393637"/>
      <w:bookmarkStart w:id="96" w:name="_Toc28359019"/>
      <w:bookmarkStart w:id="97" w:name="_Toc35393806"/>
      <w:bookmarkStart w:id="98" w:name="_Toc28359096"/>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83"/>
      <w:bookmarkEnd w:id="84"/>
      <w:bookmarkEnd w:id="85"/>
      <w:bookmarkEnd w:id="86"/>
      <w:bookmarkEnd w:id="87"/>
      <w:bookmarkEnd w:id="88"/>
      <w:bookmarkEnd w:id="89"/>
      <w:bookmarkEnd w:id="90"/>
      <w:bookmarkEnd w:id="91"/>
      <w:bookmarkEnd w:id="92"/>
      <w:bookmarkEnd w:id="93"/>
      <w:bookmarkEnd w:id="94"/>
    </w:p>
    <w:p>
      <w:pPr>
        <w:pStyle w:val="37"/>
        <w:pageBreakBefore w:val="0"/>
        <w:widowControl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1.</w:t>
      </w:r>
      <w:r>
        <w:rPr>
          <w:rFonts w:hint="eastAsia" w:ascii="宋体" w:hAnsi="宋体" w:eastAsia="宋体" w:cs="宋体"/>
          <w:color w:val="auto"/>
          <w:sz w:val="24"/>
          <w:highlight w:val="none"/>
          <w:lang w:val="en-US" w:eastAsia="zh-CN"/>
        </w:rPr>
        <w:t>本项目实行网上投标，采用电子投标文件。</w:t>
      </w:r>
    </w:p>
    <w:p>
      <w:pPr>
        <w:pStyle w:val="37"/>
        <w:pageBreakBefore w:val="0"/>
        <w:widowControl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2.</w:t>
      </w:r>
      <w:r>
        <w:rPr>
          <w:rFonts w:hint="eastAsia" w:ascii="宋体" w:hAnsi="宋体" w:eastAsia="宋体" w:cs="宋体"/>
          <w:color w:val="auto"/>
          <w:sz w:val="24"/>
          <w:highlight w:val="none"/>
          <w:lang w:val="en-US" w:eastAsia="zh-CN"/>
        </w:rPr>
        <w:t>各供应商应在开标前确保成为正式注册入库供应商，并完成CA数字证书</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符合国密标准</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申领。因未注册入库、未办理CA数字证书等原因造成无法投标或投标失败等后果由供应商自行承担。如需咨询，请联系新疆-安信CA服务热线0991-7810912；翔晟CA服务热线025-66085508；新疆CA服务热线4000921999。</w:t>
      </w:r>
    </w:p>
    <w:p>
      <w:pPr>
        <w:pStyle w:val="37"/>
        <w:pageBreakBefore w:val="0"/>
        <w:widowControl w:val="0"/>
        <w:kinsoku/>
        <w:overflowPunct/>
        <w:topLinePunct w:val="0"/>
        <w:autoSpaceDE/>
        <w:autoSpaceDN/>
        <w:bidi w:val="0"/>
        <w:adjustRightInd/>
        <w:snapToGrid/>
        <w:spacing w:line="360" w:lineRule="auto"/>
        <w:jc w:val="both"/>
        <w:textAlignment w:val="auto"/>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3.</w:t>
      </w:r>
      <w:r>
        <w:rPr>
          <w:rFonts w:hint="eastAsia" w:ascii="宋体" w:hAnsi="宋体" w:eastAsia="宋体" w:cs="宋体"/>
          <w:color w:val="auto"/>
          <w:sz w:val="24"/>
          <w:highlight w:val="none"/>
          <w:lang w:val="en-US" w:eastAsia="zh-CN"/>
        </w:rPr>
        <w:t>供应商将政采云电子交易客户端下载、安装完成后，可通过账号密码或CA登录客户端进行投标文件的制作。在使用政采云投标客户端时，建议使用WIN7及以上操作系统。</w:t>
      </w:r>
    </w:p>
    <w:p>
      <w:pPr>
        <w:pStyle w:val="37"/>
        <w:spacing w:line="360" w:lineRule="auto"/>
        <w:rPr>
          <w:rFonts w:hint="eastAsia" w:ascii="宋体" w:hAnsi="宋体" w:eastAsia="宋体" w:cs="宋体"/>
          <w:color w:val="auto"/>
          <w:sz w:val="24"/>
          <w:szCs w:val="24"/>
          <w:highlight w:val="none"/>
          <w:lang w:val="en-US" w:eastAsia="zh-CN"/>
        </w:rPr>
      </w:pPr>
      <w:r>
        <w:rPr>
          <w:rFonts w:hint="eastAsia" w:cs="宋体"/>
          <w:color w:val="auto"/>
          <w:sz w:val="24"/>
          <w:highlight w:val="none"/>
          <w:lang w:val="en-US" w:eastAsia="zh-CN"/>
        </w:rPr>
        <w:t>4.</w:t>
      </w:r>
      <w:r>
        <w:rPr>
          <w:rFonts w:hint="eastAsia" w:ascii="宋体" w:hAnsi="宋体" w:eastAsia="宋体" w:cs="宋体"/>
          <w:color w:val="auto"/>
          <w:sz w:val="24"/>
          <w:highlight w:val="none"/>
          <w:lang w:val="en-US" w:eastAsia="zh-CN"/>
        </w:rPr>
        <w:t>其他事项：响应文件开启当日，供应商需通过政采云平台“不见面”开标大厅完成远程解密、开标、澄清、结果公布等交互环节。供应商必须使用能正确解密响应文件的“CA锁”在规定的时间内完成远程解密，因供应商原因未能解密、解密失败或解密超时，视为供应商撤销其响应文件。逾期上传或者未上传指定地点的响应文件，采购人不予受理。</w:t>
      </w:r>
    </w:p>
    <w:bookmarkEnd w:id="2"/>
    <w:bookmarkEnd w:id="95"/>
    <w:bookmarkEnd w:id="96"/>
    <w:bookmarkEnd w:id="97"/>
    <w:bookmarkEnd w:id="98"/>
    <w:p>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99" w:name="_Toc35393636"/>
      <w:bookmarkStart w:id="100" w:name="_Toc44583635"/>
      <w:bookmarkStart w:id="101" w:name="_Toc35393805"/>
      <w:bookmarkStart w:id="102" w:name="_Toc109899835"/>
      <w:bookmarkStart w:id="103" w:name="_Toc28359095"/>
      <w:bookmarkStart w:id="104" w:name="_Toc140132751"/>
      <w:bookmarkStart w:id="105" w:name="_Toc155185866"/>
      <w:bookmarkStart w:id="106" w:name="_Toc28359018"/>
      <w:bookmarkStart w:id="107" w:name="_Toc109900254"/>
      <w:bookmarkStart w:id="108" w:name="_Toc109899416"/>
      <w:bookmarkStart w:id="109" w:name="_Toc22952"/>
      <w:bookmarkStart w:id="110" w:name="_Toc10776"/>
      <w:bookmarkStart w:id="111" w:name="_Toc15605"/>
      <w:bookmarkStart w:id="112" w:name="_Toc17135"/>
      <w:r>
        <w:rPr>
          <w:rFonts w:hint="eastAsia" w:ascii="宋体" w:hAnsi="宋体" w:eastAsia="宋体" w:cs="宋体"/>
          <w:b/>
          <w:bCs/>
          <w:color w:val="auto"/>
          <w:kern w:val="2"/>
          <w:sz w:val="24"/>
          <w:szCs w:val="24"/>
          <w:highlight w:val="none"/>
          <w:lang w:val="en-US" w:eastAsia="zh-CN" w:bidi="ar-SA"/>
        </w:rPr>
        <w:t>七、</w:t>
      </w:r>
      <w:bookmarkEnd w:id="99"/>
      <w:bookmarkEnd w:id="100"/>
      <w:bookmarkEnd w:id="101"/>
      <w:bookmarkEnd w:id="102"/>
      <w:bookmarkEnd w:id="103"/>
      <w:bookmarkEnd w:id="104"/>
      <w:bookmarkEnd w:id="105"/>
      <w:bookmarkEnd w:id="106"/>
      <w:bookmarkEnd w:id="107"/>
      <w:bookmarkEnd w:id="108"/>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109"/>
      <w:bookmarkEnd w:id="110"/>
      <w:bookmarkEnd w:id="111"/>
      <w:bookmarkEnd w:id="112"/>
    </w:p>
    <w:p>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val="en-US" w:eastAsia="zh-CN"/>
        </w:rPr>
        <w:t>新疆交通职业技术大学</w:t>
      </w:r>
      <w:r>
        <w:rPr>
          <w:rFonts w:hint="eastAsia" w:ascii="宋体" w:hAnsi="宋体" w:eastAsia="宋体" w:cs="宋体"/>
          <w:color w:val="auto"/>
          <w:sz w:val="24"/>
          <w:highlight w:val="none"/>
          <w:u w:val="single"/>
        </w:rPr>
        <w:t xml:space="preserve"> </w:t>
      </w:r>
    </w:p>
    <w:p>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新疆乌鲁木齐市米东区永顺街478号 </w:t>
      </w:r>
    </w:p>
    <w:p>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bookmarkStart w:id="113" w:name="_Hlk46775675"/>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val="en-US" w:eastAsia="zh-CN"/>
        </w:rPr>
        <w:t>09913392912</w:t>
      </w:r>
      <w:r>
        <w:rPr>
          <w:rFonts w:hint="eastAsia" w:ascii="宋体" w:hAnsi="宋体" w:eastAsia="宋体" w:cs="宋体"/>
          <w:color w:val="auto"/>
          <w:sz w:val="24"/>
          <w:highlight w:val="none"/>
          <w:u w:val="single"/>
        </w:rPr>
        <w:t xml:space="preserve"> </w:t>
      </w:r>
    </w:p>
    <w:bookmarkEnd w:id="113"/>
    <w:p>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bookmarkStart w:id="114" w:name="_Toc28359097"/>
      <w:bookmarkStart w:id="115" w:name="_Toc35393807"/>
      <w:bookmarkStart w:id="116" w:name="_Toc28359020"/>
      <w:bookmarkStart w:id="117" w:name="_Toc35393638"/>
      <w:r>
        <w:rPr>
          <w:rFonts w:hint="eastAsia" w:ascii="宋体" w:hAnsi="宋体" w:eastAsia="宋体" w:cs="宋体"/>
          <w:color w:val="auto"/>
          <w:sz w:val="24"/>
          <w:highlight w:val="none"/>
        </w:rPr>
        <w:t>2.采购代理机构信息</w:t>
      </w:r>
      <w:bookmarkEnd w:id="114"/>
      <w:bookmarkEnd w:id="115"/>
      <w:bookmarkEnd w:id="116"/>
      <w:bookmarkEnd w:id="117"/>
    </w:p>
    <w:p>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val="en-US" w:eastAsia="zh-CN"/>
        </w:rPr>
        <w:t>四川三招建设项目管理有限公司</w:t>
      </w:r>
      <w:r>
        <w:rPr>
          <w:rFonts w:hint="eastAsia" w:ascii="宋体" w:hAnsi="宋体" w:eastAsia="宋体" w:cs="宋体"/>
          <w:color w:val="auto"/>
          <w:sz w:val="24"/>
          <w:highlight w:val="none"/>
          <w:u w:val="single"/>
        </w:rPr>
        <w:t xml:space="preserve"> </w:t>
      </w:r>
    </w:p>
    <w:p>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新疆维吾尔自治区乌鲁木齐市沙依巴克区青峰路西十三巷（原23医院院内）</w:t>
      </w:r>
    </w:p>
    <w:p>
      <w:pPr>
        <w:pStyle w:val="37"/>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val="en-US" w:eastAsia="zh-CN"/>
        </w:rPr>
        <w:t>18167557125</w:t>
      </w:r>
      <w:r>
        <w:rPr>
          <w:rFonts w:hint="eastAsia" w:ascii="宋体" w:hAnsi="宋体" w:eastAsia="宋体" w:cs="宋体"/>
          <w:color w:val="auto"/>
          <w:sz w:val="24"/>
          <w:highlight w:val="none"/>
          <w:u w:val="single"/>
        </w:rPr>
        <w:t xml:space="preserve"> </w:t>
      </w:r>
    </w:p>
    <w:p>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8" w:type="default"/>
          <w:pgSz w:w="11905" w:h="16838"/>
          <w:pgMar w:top="1587" w:right="1361" w:bottom="1474" w:left="1474" w:header="851" w:footer="992" w:gutter="0"/>
          <w:pgBorders>
            <w:top w:val="none" w:sz="0" w:space="0"/>
            <w:left w:val="none" w:sz="0" w:space="0"/>
            <w:bottom w:val="none" w:sz="0" w:space="0"/>
            <w:right w:val="none" w:sz="0" w:space="0"/>
          </w:pgBorders>
          <w:pgNumType w:fmt="numberInDash" w:start="1"/>
          <w:cols w:space="0" w:num="1"/>
          <w:rtlGutter w:val="0"/>
          <w:docGrid w:type="lines" w:linePitch="328" w:charSpace="0"/>
        </w:sectPr>
      </w:pPr>
    </w:p>
    <w:p>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eastAsia" w:ascii="宋体" w:hAnsi="宋体" w:eastAsia="宋体" w:cs="宋体"/>
          <w:b/>
          <w:bCs/>
          <w:color w:val="auto"/>
          <w:kern w:val="44"/>
          <w:sz w:val="32"/>
          <w:szCs w:val="32"/>
          <w:highlight w:val="none"/>
          <w:lang w:val="en-US" w:eastAsia="zh-CN" w:bidi="ar-SA"/>
        </w:rPr>
      </w:pPr>
      <w:bookmarkStart w:id="118" w:name="_Toc32500"/>
      <w:bookmarkStart w:id="119" w:name="_Toc155185867"/>
      <w:bookmarkStart w:id="120" w:name="_Toc26793"/>
      <w:r>
        <w:rPr>
          <w:rFonts w:hint="eastAsia" w:ascii="宋体" w:hAnsi="宋体" w:eastAsia="宋体" w:cs="宋体"/>
          <w:b/>
          <w:bCs/>
          <w:color w:val="auto"/>
          <w:kern w:val="44"/>
          <w:sz w:val="32"/>
          <w:szCs w:val="32"/>
          <w:highlight w:val="none"/>
          <w:lang w:val="en-US" w:eastAsia="zh-CN" w:bidi="ar-SA"/>
        </w:rPr>
        <w:t>第二章 投标人须知</w:t>
      </w:r>
      <w:bookmarkEnd w:id="118"/>
      <w:bookmarkEnd w:id="119"/>
      <w:bookmarkEnd w:id="120"/>
    </w:p>
    <w:p>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21" w:name="_Toc1168"/>
      <w:bookmarkStart w:id="122" w:name="_Toc2970"/>
      <w:bookmarkStart w:id="123" w:name="_Toc155185868"/>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21"/>
      <w:bookmarkEnd w:id="122"/>
      <w:bookmarkEnd w:id="123"/>
    </w:p>
    <w:p>
      <w:pPr>
        <w:pStyle w:val="37"/>
        <w:keepNext w:val="0"/>
        <w:keepLines w:val="0"/>
        <w:pageBreakBefore w:val="0"/>
        <w:widowControl w:val="0"/>
        <w:kinsoku/>
        <w:overflowPunct/>
        <w:topLinePunct w:val="0"/>
        <w:autoSpaceDE/>
        <w:autoSpaceDN/>
        <w:bidi w:val="0"/>
        <w:adjustRightInd/>
        <w:snapToGrid/>
        <w:textAlignment w:val="auto"/>
        <w:rPr>
          <w:rFonts w:hint="default" w:eastAsia="宋体"/>
          <w:color w:val="auto"/>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r>
        <w:rPr>
          <w:rFonts w:hint="eastAsia" w:ascii="宋体" w:hAnsi="宋体" w:eastAsia="宋体"/>
          <w:color w:val="auto"/>
          <w:highlight w:val="none"/>
          <w:lang w:val="en-US" w:eastAsia="zh-CN"/>
        </w:rPr>
        <w:t>。</w:t>
      </w:r>
    </w:p>
    <w:tbl>
      <w:tblPr>
        <w:tblStyle w:val="29"/>
        <w:tblW w:w="1020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49"/>
        <w:gridCol w:w="1988"/>
        <w:gridCol w:w="72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jc w:val="center"/>
        </w:trPr>
        <w:tc>
          <w:tcPr>
            <w:tcW w:w="94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4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4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726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4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jc w:val="center"/>
        </w:trPr>
        <w:tc>
          <w:tcPr>
            <w:tcW w:w="949" w:type="dxa"/>
            <w:vAlign w:val="center"/>
          </w:tcPr>
          <w:p>
            <w:pPr>
              <w:pStyle w:val="49"/>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2.2</w:t>
            </w:r>
          </w:p>
        </w:tc>
        <w:tc>
          <w:tcPr>
            <w:tcW w:w="1988" w:type="dxa"/>
            <w:shd w:val="clear" w:color="auto" w:fill="auto"/>
            <w:vAlign w:val="center"/>
          </w:tcPr>
          <w:p>
            <w:pPr>
              <w:pStyle w:val="49"/>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采购人</w:t>
            </w:r>
          </w:p>
        </w:tc>
        <w:tc>
          <w:tcPr>
            <w:tcW w:w="7268" w:type="dxa"/>
            <w:shd w:val="clear" w:color="auto" w:fill="auto"/>
            <w:vAlign w:val="center"/>
          </w:tcPr>
          <w:p>
            <w:pPr>
              <w:pStyle w:val="49"/>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采购人：新疆交通职业技术大学 </w:t>
            </w:r>
          </w:p>
          <w:p>
            <w:pPr>
              <w:pStyle w:val="49"/>
              <w:rPr>
                <w:rFonts w:hint="default" w:cs="宋体"/>
                <w:color w:val="auto"/>
                <w:sz w:val="24"/>
                <w:szCs w:val="24"/>
                <w:highlight w:val="none"/>
                <w:lang w:val="en-US" w:eastAsia="zh-CN"/>
              </w:rPr>
            </w:pPr>
            <w:r>
              <w:rPr>
                <w:rFonts w:hint="eastAsia" w:cs="宋体"/>
                <w:color w:val="auto"/>
                <w:sz w:val="24"/>
                <w:szCs w:val="24"/>
                <w:highlight w:val="none"/>
                <w:lang w:val="en-US" w:eastAsia="zh-CN"/>
              </w:rPr>
              <w:t>联系人：纪老师</w:t>
            </w:r>
          </w:p>
          <w:p>
            <w:pPr>
              <w:pStyle w:val="49"/>
              <w:rPr>
                <w:rFonts w:hint="default"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联系方式：09913392912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jc w:val="center"/>
        </w:trPr>
        <w:tc>
          <w:tcPr>
            <w:tcW w:w="949" w:type="dxa"/>
            <w:vAlign w:val="center"/>
          </w:tcPr>
          <w:p>
            <w:pPr>
              <w:pStyle w:val="49"/>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2.3</w:t>
            </w:r>
          </w:p>
        </w:tc>
        <w:tc>
          <w:tcPr>
            <w:tcW w:w="1988" w:type="dxa"/>
            <w:shd w:val="clear" w:color="auto" w:fill="auto"/>
            <w:vAlign w:val="center"/>
          </w:tcPr>
          <w:p>
            <w:pPr>
              <w:pStyle w:val="4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采购代理机构</w:t>
            </w:r>
          </w:p>
        </w:tc>
        <w:tc>
          <w:tcPr>
            <w:tcW w:w="7268" w:type="dxa"/>
            <w:shd w:val="clear" w:color="auto" w:fill="auto"/>
            <w:vAlign w:val="center"/>
          </w:tcPr>
          <w:p>
            <w:pPr>
              <w:pStyle w:val="49"/>
              <w:rPr>
                <w:rFonts w:hint="default" w:cs="宋体"/>
                <w:color w:val="auto"/>
                <w:sz w:val="24"/>
                <w:szCs w:val="24"/>
                <w:highlight w:val="none"/>
                <w:lang w:val="en-US" w:eastAsia="zh-CN"/>
              </w:rPr>
            </w:pPr>
            <w:r>
              <w:rPr>
                <w:rFonts w:hint="eastAsia" w:cs="宋体"/>
                <w:color w:val="auto"/>
                <w:sz w:val="24"/>
                <w:szCs w:val="24"/>
                <w:highlight w:val="none"/>
                <w:lang w:val="en-US" w:eastAsia="zh-CN"/>
              </w:rPr>
              <w:t>采购代理机构：四川三招建设项目管理有限公司</w:t>
            </w:r>
          </w:p>
          <w:p>
            <w:pPr>
              <w:pStyle w:val="49"/>
              <w:rPr>
                <w:rFonts w:hint="default" w:cs="宋体"/>
                <w:color w:val="auto"/>
                <w:sz w:val="24"/>
                <w:szCs w:val="24"/>
                <w:highlight w:val="none"/>
                <w:lang w:val="en-US" w:eastAsia="zh-CN"/>
              </w:rPr>
            </w:pPr>
            <w:r>
              <w:rPr>
                <w:rFonts w:hint="eastAsia" w:cs="宋体"/>
                <w:color w:val="auto"/>
                <w:sz w:val="24"/>
                <w:szCs w:val="24"/>
                <w:highlight w:val="none"/>
                <w:lang w:val="en-US" w:eastAsia="zh-CN"/>
              </w:rPr>
              <w:t>联系人：李琳</w:t>
            </w:r>
          </w:p>
          <w:p>
            <w:pPr>
              <w:pStyle w:val="49"/>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联系方式：18167557125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jc w:val="center"/>
        </w:trPr>
        <w:tc>
          <w:tcPr>
            <w:tcW w:w="949" w:type="dxa"/>
            <w:vAlign w:val="center"/>
          </w:tcPr>
          <w:p>
            <w:pPr>
              <w:pStyle w:val="49"/>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2.5</w:t>
            </w:r>
          </w:p>
        </w:tc>
        <w:tc>
          <w:tcPr>
            <w:tcW w:w="1988" w:type="dxa"/>
            <w:shd w:val="clear" w:color="auto" w:fill="auto"/>
            <w:vAlign w:val="center"/>
          </w:tcPr>
          <w:p>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服务包含的内容</w:t>
            </w:r>
          </w:p>
        </w:tc>
        <w:tc>
          <w:tcPr>
            <w:tcW w:w="7268" w:type="dxa"/>
            <w:shd w:val="clear" w:color="auto" w:fill="auto"/>
            <w:vAlign w:val="center"/>
          </w:tcPr>
          <w:p>
            <w:pPr>
              <w:pStyle w:val="4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通过开展应届毕业生培养质量跟踪监测、就业质量年度报告项目及高水平高等职业技术学院建设满意度跟踪项目，本项目基于院校内部常态化数据应用场景，结合外部考核（包括职业本科合格评估）等重点工作进行设计，主要服务于学校开展外部综合定位、分析社会需求适应度、测量能力素养达成、获取毕业生满意度以及教学质量保障工作等方面，为学校提供有价值的数据及分析，为质量改进工作提供参考。项目反馈毕业生培养质量及双高建设利益相关方的满意度跟踪，并结合教学质量年报数据，构建办学投入—学生产出综合分析模型，帮助我校精准定位。同时，对教学培养过程进行反馈，并结合多维度数据，深挖改进方向，为我校职业本科合格评估及新双高建设及人才培养提供数据支持和效果举证。</w:t>
            </w:r>
            <w:r>
              <w:rPr>
                <w:rFonts w:hint="eastAsia" w:cs="宋体"/>
                <w:color w:val="auto"/>
                <w:kern w:val="2"/>
                <w:sz w:val="24"/>
                <w:szCs w:val="24"/>
                <w:highlight w:val="none"/>
                <w:lang w:val="en-US" w:eastAsia="zh-CN" w:bidi="ar-SA"/>
              </w:rPr>
              <w:t>详见第三章采购需求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49" w:type="dxa"/>
            <w:vAlign w:val="center"/>
          </w:tcPr>
          <w:p>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988" w:type="dxa"/>
            <w:vAlign w:val="center"/>
          </w:tcPr>
          <w:p>
            <w:pPr>
              <w:pStyle w:val="49"/>
              <w:rPr>
                <w:rFonts w:hint="eastAsia" w:ascii="宋体" w:hAnsi="宋体" w:eastAsia="宋体" w:cs="宋体"/>
                <w:color w:val="auto"/>
                <w:sz w:val="24"/>
                <w:szCs w:val="24"/>
                <w:highlight w:val="none"/>
              </w:rPr>
            </w:pPr>
            <w:bookmarkStart w:id="124" w:name="_Hlk143529175"/>
            <w:r>
              <w:rPr>
                <w:rFonts w:hint="eastAsia" w:ascii="宋体" w:hAnsi="宋体" w:eastAsia="宋体" w:cs="宋体"/>
                <w:color w:val="auto"/>
                <w:sz w:val="24"/>
                <w:szCs w:val="24"/>
                <w:highlight w:val="none"/>
              </w:rPr>
              <w:t>现场考察</w:t>
            </w:r>
            <w:bookmarkEnd w:id="124"/>
          </w:p>
        </w:tc>
        <w:tc>
          <w:tcPr>
            <w:tcW w:w="7268" w:type="dxa"/>
            <w:vAlign w:val="center"/>
          </w:tcPr>
          <w:p>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49" w:type="dxa"/>
            <w:shd w:val="clear" w:color="auto" w:fill="auto"/>
            <w:vAlign w:val="center"/>
          </w:tcPr>
          <w:p>
            <w:pPr>
              <w:pStyle w:val="49"/>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9.5</w:t>
            </w:r>
          </w:p>
        </w:tc>
        <w:tc>
          <w:tcPr>
            <w:tcW w:w="1988" w:type="dxa"/>
            <w:shd w:val="clear" w:color="auto" w:fill="auto"/>
            <w:vAlign w:val="center"/>
          </w:tcPr>
          <w:p>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答疑会</w:t>
            </w:r>
          </w:p>
        </w:tc>
        <w:tc>
          <w:tcPr>
            <w:tcW w:w="7268" w:type="dxa"/>
            <w:shd w:val="clear" w:color="auto" w:fill="auto"/>
            <w:vAlign w:val="center"/>
          </w:tcPr>
          <w:p>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49" w:type="dxa"/>
            <w:vAlign w:val="center"/>
          </w:tcPr>
          <w:p>
            <w:pPr>
              <w:pStyle w:val="49"/>
              <w:jc w:val="center"/>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14</w:t>
            </w:r>
          </w:p>
        </w:tc>
        <w:tc>
          <w:tcPr>
            <w:tcW w:w="1988" w:type="dxa"/>
            <w:vAlign w:val="center"/>
          </w:tcPr>
          <w:p>
            <w:pPr>
              <w:pStyle w:val="49"/>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投标报价</w:t>
            </w:r>
          </w:p>
        </w:tc>
        <w:tc>
          <w:tcPr>
            <w:tcW w:w="7268" w:type="dxa"/>
            <w:vAlign w:val="center"/>
          </w:tcPr>
          <w:p>
            <w:pPr>
              <w:pStyle w:val="49"/>
              <w:rPr>
                <w:rFonts w:hint="default" w:cs="宋体"/>
                <w:color w:val="auto"/>
                <w:sz w:val="24"/>
                <w:szCs w:val="24"/>
                <w:highlight w:val="none"/>
                <w:lang w:val="en-US" w:eastAsia="zh-CN"/>
              </w:rPr>
            </w:pPr>
            <w:r>
              <w:rPr>
                <w:rFonts w:hint="eastAsia" w:cs="宋体"/>
                <w:color w:val="auto"/>
                <w:sz w:val="24"/>
                <w:szCs w:val="24"/>
                <w:highlight w:val="none"/>
                <w:lang w:val="en-US" w:eastAsia="zh-CN"/>
              </w:rPr>
              <w:t>预算金额：550000元</w:t>
            </w:r>
          </w:p>
          <w:p>
            <w:pPr>
              <w:pStyle w:val="49"/>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供应商投标报价不得超过预算金额，否则按无效投标处理。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49" w:type="dxa"/>
            <w:vAlign w:val="center"/>
          </w:tcPr>
          <w:p>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988" w:type="dxa"/>
            <w:vAlign w:val="center"/>
          </w:tcPr>
          <w:p>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7268" w:type="dxa"/>
            <w:vAlign w:val="center"/>
          </w:tcPr>
          <w:p>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49" w:type="dxa"/>
            <w:vAlign w:val="center"/>
          </w:tcPr>
          <w:p>
            <w:pPr>
              <w:pStyle w:val="49"/>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16.9</w:t>
            </w:r>
          </w:p>
        </w:tc>
        <w:tc>
          <w:tcPr>
            <w:tcW w:w="1988" w:type="dxa"/>
            <w:vAlign w:val="center"/>
          </w:tcPr>
          <w:p>
            <w:pPr>
              <w:pStyle w:val="49"/>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签字盖章要求</w:t>
            </w:r>
          </w:p>
        </w:tc>
        <w:tc>
          <w:tcPr>
            <w:tcW w:w="7268" w:type="dxa"/>
            <w:vAlign w:val="center"/>
          </w:tcPr>
          <w:p>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注：除满足正文及格式等相关要求外，签字和（或）盖章的其他要求：申请人应按招标文件要求在规定地方加盖投标人牵头单位法人公章和法定代表人（或法定代表人授权委托人）签字或盖章（名章）。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49" w:type="dxa"/>
            <w:vAlign w:val="center"/>
          </w:tcPr>
          <w:p>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988" w:type="dxa"/>
            <w:vAlign w:val="center"/>
          </w:tcPr>
          <w:p>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7268" w:type="dxa"/>
            <w:vAlign w:val="center"/>
          </w:tcPr>
          <w:p>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免收</w:t>
            </w:r>
          </w:p>
          <w:p>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预算金额</w:t>
            </w:r>
            <w:r>
              <w:rPr>
                <w:rFonts w:hint="eastAsia" w:ascii="宋体" w:hAnsi="宋体" w:eastAsia="宋体" w:cs="宋体"/>
                <w:color w:val="auto"/>
                <w:sz w:val="24"/>
                <w:szCs w:val="24"/>
                <w:highlight w:val="none"/>
              </w:rPr>
              <w:t>的   %</w:t>
            </w:r>
            <w:r>
              <w:rPr>
                <w:rFonts w:hint="eastAsia" w:ascii="宋体" w:hAnsi="宋体" w:eastAsia="宋体" w:cs="宋体"/>
                <w:color w:val="auto"/>
                <w:sz w:val="24"/>
                <w:szCs w:val="24"/>
                <w:highlight w:val="none"/>
                <w:lang w:eastAsia="zh-CN"/>
              </w:rPr>
              <w:t>。</w:t>
            </w:r>
          </w:p>
          <w:p>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定额收取：人民币</w:t>
            </w:r>
            <w:r>
              <w:rPr>
                <w:rFonts w:hint="eastAsia" w:ascii="宋体" w:hAnsi="宋体" w:cs="宋体"/>
                <w:color w:val="auto"/>
                <w:sz w:val="24"/>
                <w:szCs w:val="24"/>
                <w:highlight w:val="none"/>
                <w:lang w:val="en-US" w:eastAsia="zh-CN"/>
              </w:rPr>
              <w:t>10000</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大写：壹万元整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投标人可自主选择以支票、汇票、本票、电汇、转账、网银、保函等非现金形式从投标人的基本账户汇到指定的投标保证金专用账户。</w:t>
            </w:r>
            <w:r>
              <w:rPr>
                <w:rFonts w:hint="eastAsia" w:ascii="宋体" w:hAnsi="宋体" w:eastAsia="宋体" w:cs="宋体"/>
                <w:b/>
                <w:bCs/>
                <w:color w:val="auto"/>
                <w:sz w:val="24"/>
                <w:szCs w:val="24"/>
                <w:highlight w:val="none"/>
                <w:lang w:val="en-US" w:eastAsia="zh-CN"/>
              </w:rPr>
              <w:t>未从投标人基本账户缴纳的视为无效。</w:t>
            </w:r>
          </w:p>
          <w:p>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收取单位：</w:t>
            </w:r>
            <w:r>
              <w:rPr>
                <w:rFonts w:hint="eastAsia" w:ascii="宋体" w:hAnsi="宋体" w:eastAsia="宋体" w:cs="宋体"/>
                <w:i w:val="0"/>
                <w:iCs w:val="0"/>
                <w:color w:val="auto"/>
                <w:sz w:val="24"/>
                <w:szCs w:val="24"/>
                <w:highlight w:val="none"/>
                <w:lang w:val="zh-CN" w:eastAsia="zh-CN"/>
              </w:rPr>
              <w:t>四川三招建设项目管理有限公司新疆分公司</w:t>
            </w:r>
          </w:p>
          <w:p>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4.收取账号：</w:t>
            </w:r>
          </w:p>
          <w:p>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开户行：中国工商银行股份有限公司乌鲁木齐仓房沟支行</w:t>
            </w:r>
          </w:p>
          <w:p>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账号：3002013609200024443</w:t>
            </w:r>
          </w:p>
          <w:p>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行号：102881001361</w:t>
            </w:r>
          </w:p>
          <w:p>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退还时间：</w:t>
            </w:r>
            <w:r>
              <w:rPr>
                <w:rFonts w:hint="eastAsia" w:ascii="宋体" w:hAnsi="宋体" w:eastAsia="宋体" w:cs="宋体"/>
                <w:iCs/>
                <w:color w:val="auto"/>
                <w:kern w:val="2"/>
                <w:sz w:val="24"/>
                <w:szCs w:val="24"/>
                <w:highlight w:val="none"/>
                <w:shd w:val="clear" w:color="auto" w:fill="FFFFFF" w:themeFill="background1"/>
                <w:lang w:val="en-US" w:eastAsia="zh-CN" w:bidi="ar-SA"/>
              </w:rPr>
              <w:t>未</w:t>
            </w:r>
            <w:r>
              <w:rPr>
                <w:rFonts w:hint="eastAsia" w:ascii="宋体" w:hAnsi="宋体" w:cs="宋体"/>
                <w:iCs/>
                <w:color w:val="auto"/>
                <w:kern w:val="2"/>
                <w:sz w:val="24"/>
                <w:szCs w:val="24"/>
                <w:highlight w:val="none"/>
                <w:shd w:val="clear" w:color="auto" w:fill="FFFFFF" w:themeFill="background1"/>
                <w:lang w:val="en-US" w:eastAsia="zh-CN" w:bidi="ar-SA"/>
              </w:rPr>
              <w:t>中标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cs="宋体"/>
                <w:color w:val="auto"/>
                <w:sz w:val="24"/>
                <w:szCs w:val="24"/>
                <w:highlight w:val="none"/>
                <w:lang w:val="en-US" w:eastAsia="zh-CN"/>
              </w:rPr>
              <w:t>投标</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保证金应当自</w:t>
            </w:r>
            <w:r>
              <w:rPr>
                <w:rFonts w:hint="eastAsia" w:ascii="宋体" w:hAnsi="宋体" w:cs="宋体"/>
                <w:iCs/>
                <w:color w:val="auto"/>
                <w:kern w:val="2"/>
                <w:sz w:val="24"/>
                <w:szCs w:val="24"/>
                <w:highlight w:val="none"/>
                <w:shd w:val="clear" w:color="auto" w:fill="FFFFFF" w:themeFill="background1"/>
                <w:lang w:val="en-US" w:eastAsia="zh-CN" w:bidi="ar-SA"/>
              </w:rPr>
              <w:t>中标</w:t>
            </w:r>
            <w:r>
              <w:rPr>
                <w:rFonts w:hint="eastAsia" w:ascii="宋体" w:hAnsi="宋体" w:eastAsia="宋体" w:cs="宋体"/>
                <w:iCs/>
                <w:color w:val="auto"/>
                <w:kern w:val="2"/>
                <w:sz w:val="24"/>
                <w:szCs w:val="24"/>
                <w:highlight w:val="none"/>
                <w:shd w:val="clear" w:color="auto" w:fill="FFFFFF" w:themeFill="background1"/>
                <w:lang w:val="en-US" w:eastAsia="zh-CN" w:bidi="ar-SA"/>
              </w:rPr>
              <w:t>通知书发出之日起 5 个工作日内退还，</w:t>
            </w:r>
            <w:r>
              <w:rPr>
                <w:rFonts w:hint="eastAsia" w:ascii="宋体" w:hAnsi="宋体" w:cs="宋体"/>
                <w:iCs/>
                <w:color w:val="auto"/>
                <w:kern w:val="2"/>
                <w:sz w:val="24"/>
                <w:szCs w:val="24"/>
                <w:highlight w:val="none"/>
                <w:shd w:val="clear" w:color="auto" w:fill="FFFFFF" w:themeFill="background1"/>
                <w:lang w:val="en-US" w:eastAsia="zh-CN" w:bidi="ar-SA"/>
              </w:rPr>
              <w:t>中标人</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cs="宋体"/>
                <w:color w:val="auto"/>
                <w:sz w:val="24"/>
                <w:szCs w:val="24"/>
                <w:highlight w:val="none"/>
                <w:lang w:val="en-US" w:eastAsia="zh-CN"/>
              </w:rPr>
              <w:t>投标</w:t>
            </w:r>
            <w:r>
              <w:rPr>
                <w:rFonts w:hint="eastAsia" w:ascii="宋体" w:hAnsi="宋体" w:eastAsia="宋体" w:cs="宋体"/>
                <w:iCs/>
                <w:color w:val="auto"/>
                <w:kern w:val="2"/>
                <w:sz w:val="24"/>
                <w:szCs w:val="24"/>
                <w:highlight w:val="none"/>
                <w:shd w:val="clear" w:color="auto" w:fill="FFFFFF" w:themeFill="background1"/>
                <w:lang w:val="en-US" w:eastAsia="zh-CN" w:bidi="ar-SA"/>
              </w:rPr>
              <w:t>保证金应当自采购合同签订之日起 5 个工作日内退还。</w:t>
            </w:r>
          </w:p>
          <w:p>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pPr>
              <w:pStyle w:val="53"/>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49" w:type="dxa"/>
            <w:vAlign w:val="center"/>
          </w:tcPr>
          <w:p>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988" w:type="dxa"/>
            <w:vAlign w:val="center"/>
          </w:tcPr>
          <w:p>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7268" w:type="dxa"/>
            <w:vAlign w:val="center"/>
          </w:tcPr>
          <w:p>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49" w:type="dxa"/>
            <w:vAlign w:val="center"/>
          </w:tcPr>
          <w:p>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988" w:type="dxa"/>
            <w:vAlign w:val="center"/>
          </w:tcPr>
          <w:p>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7268" w:type="dxa"/>
            <w:vAlign w:val="center"/>
          </w:tcPr>
          <w:p>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49" w:type="dxa"/>
            <w:vAlign w:val="center"/>
          </w:tcPr>
          <w:p>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988" w:type="dxa"/>
            <w:vAlign w:val="center"/>
          </w:tcPr>
          <w:p>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7268" w:type="dxa"/>
            <w:vAlign w:val="center"/>
          </w:tcPr>
          <w:p>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r>
              <w:rPr>
                <w:rFonts w:hint="eastAsia" w:ascii="宋体" w:hAnsi="宋体" w:eastAsia="宋体" w:cs="宋体"/>
                <w:color w:val="auto"/>
                <w:sz w:val="24"/>
                <w:szCs w:val="24"/>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49" w:type="dxa"/>
            <w:vAlign w:val="center"/>
          </w:tcPr>
          <w:p>
            <w:pPr>
              <w:pStyle w:val="49"/>
              <w:jc w:val="center"/>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28</w:t>
            </w:r>
          </w:p>
        </w:tc>
        <w:tc>
          <w:tcPr>
            <w:tcW w:w="1988" w:type="dxa"/>
            <w:vAlign w:val="center"/>
          </w:tcPr>
          <w:p>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评标委员会</w:t>
            </w:r>
          </w:p>
        </w:tc>
        <w:tc>
          <w:tcPr>
            <w:tcW w:w="7268" w:type="dxa"/>
            <w:vAlign w:val="center"/>
          </w:tcPr>
          <w:p>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r>
              <w:rPr>
                <w:rFonts w:hint="eastAsia"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rPr>
              <w:t>人，其中招标人代表：</w:t>
            </w:r>
            <w:r>
              <w:rPr>
                <w:rFonts w:hint="eastAsia"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rPr>
              <w:t>人。</w:t>
            </w:r>
          </w:p>
          <w:p>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评委确定方式：新疆政府采购网政采云平台专家库中随机抽取。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37" w:hRule="atLeast"/>
          <w:jc w:val="center"/>
        </w:trPr>
        <w:tc>
          <w:tcPr>
            <w:tcW w:w="949" w:type="dxa"/>
            <w:vAlign w:val="center"/>
          </w:tcPr>
          <w:p>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988" w:type="dxa"/>
            <w:vAlign w:val="center"/>
          </w:tcPr>
          <w:p>
            <w:pPr>
              <w:pStyle w:val="49"/>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7268" w:type="dxa"/>
            <w:vAlign w:val="center"/>
          </w:tcPr>
          <w:p>
            <w:pPr>
              <w:pStyle w:val="49"/>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pPr>
              <w:pStyle w:val="49"/>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49" w:type="dxa"/>
            <w:vAlign w:val="center"/>
          </w:tcPr>
          <w:p>
            <w:pPr>
              <w:pStyle w:val="49"/>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988" w:type="dxa"/>
            <w:vAlign w:val="center"/>
          </w:tcPr>
          <w:p>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7268" w:type="dxa"/>
            <w:vAlign w:val="center"/>
          </w:tcPr>
          <w:p>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0" w:hRule="atLeast"/>
          <w:jc w:val="center"/>
        </w:trPr>
        <w:tc>
          <w:tcPr>
            <w:tcW w:w="949" w:type="dxa"/>
            <w:vAlign w:val="center"/>
          </w:tcPr>
          <w:p>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988" w:type="dxa"/>
            <w:vAlign w:val="center"/>
          </w:tcPr>
          <w:p>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7268" w:type="dxa"/>
            <w:vAlign w:val="center"/>
          </w:tcPr>
          <w:p>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pPr>
              <w:pStyle w:val="49"/>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49" w:type="dxa"/>
            <w:shd w:val="clear" w:color="auto" w:fill="auto"/>
            <w:vAlign w:val="center"/>
          </w:tcPr>
          <w:p>
            <w:pPr>
              <w:pStyle w:val="49"/>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988" w:type="dxa"/>
            <w:shd w:val="clear" w:color="auto" w:fill="auto"/>
            <w:vAlign w:val="center"/>
          </w:tcPr>
          <w:p>
            <w:pPr>
              <w:pStyle w:val="49"/>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履约保证金</w:t>
            </w:r>
          </w:p>
        </w:tc>
        <w:tc>
          <w:tcPr>
            <w:tcW w:w="7268" w:type="dxa"/>
            <w:shd w:val="clear" w:color="auto" w:fill="auto"/>
            <w:vAlign w:val="center"/>
          </w:tcPr>
          <w:p>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pPr>
              <w:pStyle w:val="4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□免收</w:t>
            </w:r>
          </w:p>
          <w:p>
            <w:pPr>
              <w:pStyle w:val="4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合同价的</w:t>
            </w:r>
            <w:r>
              <w:rPr>
                <w:rFonts w:hint="eastAsia" w:cs="宋体"/>
                <w:color w:val="auto"/>
                <w:sz w:val="24"/>
                <w:szCs w:val="24"/>
                <w:highlight w:val="none"/>
                <w:lang w:val="en-US" w:eastAsia="zh-CN"/>
              </w:rPr>
              <w:t xml:space="preserve"> 10 </w:t>
            </w:r>
            <w:r>
              <w:rPr>
                <w:rFonts w:hint="eastAsia" w:ascii="宋体" w:hAnsi="宋体" w:eastAsia="宋体" w:cs="宋体"/>
                <w:color w:val="auto"/>
                <w:sz w:val="24"/>
                <w:szCs w:val="24"/>
                <w:highlight w:val="none"/>
              </w:rPr>
              <w:t>%</w:t>
            </w:r>
          </w:p>
          <w:p>
            <w:pPr>
              <w:pStyle w:val="49"/>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pPr>
              <w:pStyle w:val="53"/>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乙方应在合同签订前按约定方式，以银行出具的银行保函、保兑支票、银行汇票、支票等形式，提交签约合同价10%的履约保证金。</w:t>
            </w:r>
          </w:p>
          <w:p>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收取单位：</w:t>
            </w:r>
            <w:r>
              <w:rPr>
                <w:rFonts w:hint="eastAsia" w:cs="宋体"/>
                <w:color w:val="auto"/>
                <w:sz w:val="24"/>
                <w:szCs w:val="24"/>
                <w:highlight w:val="none"/>
                <w:lang w:val="en-US" w:eastAsia="zh-CN"/>
              </w:rPr>
              <w:t>新疆交通职业技术大学</w:t>
            </w:r>
          </w:p>
          <w:p>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4.收取账号：</w:t>
            </w:r>
            <w:r>
              <w:rPr>
                <w:rFonts w:hint="eastAsia" w:cs="宋体"/>
                <w:color w:val="auto"/>
                <w:sz w:val="24"/>
                <w:szCs w:val="24"/>
                <w:highlight w:val="none"/>
                <w:lang w:val="en-US" w:eastAsia="zh-CN"/>
              </w:rPr>
              <w:t>详见合同</w:t>
            </w:r>
          </w:p>
          <w:p>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退还时间：</w:t>
            </w:r>
            <w:r>
              <w:rPr>
                <w:rFonts w:hint="eastAsia" w:cs="宋体"/>
                <w:color w:val="auto"/>
                <w:sz w:val="24"/>
                <w:szCs w:val="24"/>
                <w:highlight w:val="none"/>
                <w:lang w:val="en-US" w:eastAsia="zh-CN"/>
              </w:rPr>
              <w:t>详见合同。</w:t>
            </w:r>
          </w:p>
          <w:p>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pPr>
              <w:pStyle w:val="49"/>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49" w:type="dxa"/>
            <w:vAlign w:val="center"/>
          </w:tcPr>
          <w:p>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988" w:type="dxa"/>
            <w:vAlign w:val="center"/>
          </w:tcPr>
          <w:p>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7268" w:type="dxa"/>
            <w:vAlign w:val="center"/>
          </w:tcPr>
          <w:p>
            <w:pPr>
              <w:pStyle w:val="49"/>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49" w:type="dxa"/>
            <w:vAlign w:val="center"/>
          </w:tcPr>
          <w:p>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988" w:type="dxa"/>
            <w:vAlign w:val="center"/>
          </w:tcPr>
          <w:p>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7268" w:type="dxa"/>
            <w:vAlign w:val="center"/>
          </w:tcPr>
          <w:p>
            <w:pPr>
              <w:pStyle w:val="57"/>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递交方式：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书面方式</w:t>
            </w:r>
            <w:r>
              <w:rPr>
                <w:rFonts w:hint="eastAsia" w:ascii="宋体" w:hAnsi="宋体" w:eastAsia="宋体" w:cs="宋体"/>
                <w:color w:val="auto"/>
                <w:sz w:val="24"/>
                <w:szCs w:val="24"/>
                <w:highlight w:val="none"/>
                <w:u w:val="single"/>
              </w:rPr>
              <w:t xml:space="preserve"> </w:t>
            </w:r>
          </w:p>
          <w:p>
            <w:pPr>
              <w:pStyle w:val="57"/>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接收部门：</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采购人或采购代理机构</w:t>
            </w:r>
            <w:r>
              <w:rPr>
                <w:rFonts w:hint="eastAsia" w:ascii="宋体" w:hAnsi="宋体" w:eastAsia="宋体" w:cs="宋体"/>
                <w:color w:val="auto"/>
                <w:sz w:val="24"/>
                <w:szCs w:val="24"/>
                <w:highlight w:val="none"/>
                <w:u w:val="single"/>
              </w:rPr>
              <w:t xml:space="preserve"> </w:t>
            </w:r>
          </w:p>
          <w:p>
            <w:pPr>
              <w:pStyle w:val="57"/>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针对同一采购程序环节的质疑次数：</w:t>
            </w:r>
            <w:r>
              <w:rPr>
                <w:rFonts w:hint="eastAsia" w:ascii="宋体" w:hAnsi="宋体" w:eastAsia="宋体" w:cs="宋体"/>
                <w:i w:val="0"/>
                <w:iCs w:val="0"/>
                <w:color w:val="auto"/>
                <w:kern w:val="2"/>
                <w:sz w:val="24"/>
                <w:szCs w:val="24"/>
                <w:highlight w:val="none"/>
                <w:u w:val="single"/>
                <w:lang w:val="zh-CN" w:eastAsia="zh-CN" w:bidi="ar-SA"/>
              </w:rPr>
              <w:t>一次性提出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80" w:hRule="atLeast"/>
          <w:jc w:val="center"/>
        </w:trPr>
        <w:tc>
          <w:tcPr>
            <w:tcW w:w="949" w:type="dxa"/>
            <w:vAlign w:val="center"/>
          </w:tcPr>
          <w:p>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988" w:type="dxa"/>
            <w:vAlign w:val="center"/>
          </w:tcPr>
          <w:p>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7268" w:type="dxa"/>
            <w:vAlign w:val="center"/>
          </w:tcPr>
          <w:p>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收费</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u w:val="single"/>
              </w:rPr>
              <w:t xml:space="preserve"> </w:t>
            </w:r>
            <w:bookmarkStart w:id="125" w:name="EB08acd175b39d48b299ea518ca053ce1b"/>
            <w:r>
              <w:rPr>
                <w:rFonts w:hint="eastAsia" w:ascii="宋体" w:hAnsi="宋体" w:eastAsia="宋体" w:cs="宋体"/>
                <w:color w:val="auto"/>
                <w:sz w:val="24"/>
                <w:szCs w:val="24"/>
                <w:highlight w:val="none"/>
                <w:u w:val="single"/>
              </w:rPr>
              <w:t>本项目服务费参考计价格</w:t>
            </w:r>
            <w:r>
              <w:rPr>
                <w:rFonts w:hint="eastAsia" w:ascii="宋体" w:hAnsi="宋体" w:eastAsia="宋体" w:cs="宋体"/>
                <w:color w:val="auto"/>
                <w:sz w:val="24"/>
                <w:szCs w:val="24"/>
                <w:highlight w:val="none"/>
                <w:u w:val="single"/>
                <w:lang w:eastAsia="zh-CN"/>
              </w:rPr>
              <w:t>〔2002〕1980号</w:t>
            </w:r>
            <w:r>
              <w:rPr>
                <w:rFonts w:hint="eastAsia" w:ascii="宋体" w:hAnsi="宋体" w:eastAsia="宋体" w:cs="宋体"/>
                <w:color w:val="auto"/>
                <w:sz w:val="24"/>
                <w:szCs w:val="24"/>
                <w:highlight w:val="none"/>
                <w:u w:val="single"/>
              </w:rPr>
              <w:t>文《关于印发招标代理服务收费管理暂行办法的通知》</w:t>
            </w:r>
            <w:bookmarkEnd w:id="125"/>
            <w:r>
              <w:rPr>
                <w:rFonts w:hint="eastAsia" w:ascii="宋体" w:hAnsi="宋体" w:eastAsia="宋体" w:cs="宋体"/>
                <w:i w:val="0"/>
                <w:iCs w:val="0"/>
                <w:color w:val="auto"/>
                <w:sz w:val="24"/>
                <w:szCs w:val="24"/>
                <w:highlight w:val="none"/>
                <w:u w:val="single"/>
                <w:lang w:val="en-US" w:eastAsia="zh-CN"/>
              </w:rPr>
              <w:t>下浮20%</w:t>
            </w:r>
            <w:r>
              <w:rPr>
                <w:rFonts w:hint="eastAsia" w:ascii="宋体" w:hAnsi="宋体" w:eastAsia="宋体" w:cs="宋体"/>
                <w:i w:val="0"/>
                <w:iCs w:val="0"/>
                <w:color w:val="auto"/>
                <w:sz w:val="24"/>
                <w:szCs w:val="24"/>
                <w:highlight w:val="none"/>
                <w:u w:val="single"/>
                <w:lang w:eastAsia="zh-CN"/>
              </w:rPr>
              <w:t>收取，由</w:t>
            </w:r>
            <w:r>
              <w:rPr>
                <w:rFonts w:hint="eastAsia" w:ascii="宋体" w:hAnsi="宋体" w:eastAsia="宋体" w:cs="宋体"/>
                <w:i w:val="0"/>
                <w:iCs w:val="0"/>
                <w:color w:val="auto"/>
                <w:sz w:val="24"/>
                <w:szCs w:val="24"/>
                <w:highlight w:val="none"/>
                <w:u w:val="single"/>
                <w:lang w:val="en-US" w:eastAsia="zh-CN"/>
              </w:rPr>
              <w:t>中标人</w:t>
            </w:r>
            <w:r>
              <w:rPr>
                <w:rFonts w:hint="eastAsia" w:ascii="宋体" w:hAnsi="宋体" w:eastAsia="宋体" w:cs="宋体"/>
                <w:i w:val="0"/>
                <w:iCs w:val="0"/>
                <w:color w:val="auto"/>
                <w:sz w:val="24"/>
                <w:szCs w:val="24"/>
                <w:highlight w:val="none"/>
                <w:u w:val="single"/>
                <w:lang w:eastAsia="zh-CN"/>
              </w:rPr>
              <w:t>支付。</w:t>
            </w:r>
            <w:r>
              <w:rPr>
                <w:rFonts w:hint="eastAsia" w:ascii="宋体" w:hAnsi="宋体" w:eastAsia="宋体" w:cs="宋体"/>
                <w:color w:val="auto"/>
                <w:sz w:val="24"/>
                <w:szCs w:val="24"/>
                <w:highlight w:val="none"/>
                <w:u w:val="single"/>
              </w:rPr>
              <w:t xml:space="preserve"> </w:t>
            </w:r>
          </w:p>
          <w:p>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中标通知书发出时</w:t>
            </w:r>
            <w:r>
              <w:rPr>
                <w:rFonts w:hint="eastAsia" w:ascii="宋体" w:hAnsi="宋体" w:eastAsia="宋体" w:cs="宋体"/>
                <w:color w:val="auto"/>
                <w:sz w:val="24"/>
                <w:szCs w:val="24"/>
                <w:highlight w:val="none"/>
                <w:u w:val="single"/>
              </w:rPr>
              <w:t xml:space="preserve"> </w:t>
            </w:r>
          </w:p>
          <w:p>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电汇</w:t>
            </w:r>
            <w:r>
              <w:rPr>
                <w:rFonts w:hint="eastAsia" w:ascii="宋体" w:hAnsi="宋体" w:eastAsia="宋体" w:cs="宋体"/>
                <w:color w:val="auto"/>
                <w:sz w:val="24"/>
                <w:szCs w:val="24"/>
                <w:highlight w:val="none"/>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1" w:hRule="atLeast"/>
          <w:jc w:val="center"/>
        </w:trPr>
        <w:tc>
          <w:tcPr>
            <w:tcW w:w="949" w:type="dxa"/>
            <w:shd w:val="clear" w:color="auto" w:fill="auto"/>
            <w:vAlign w:val="center"/>
          </w:tcPr>
          <w:p>
            <w:pPr>
              <w:pStyle w:val="49"/>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41.1</w:t>
            </w:r>
          </w:p>
        </w:tc>
        <w:tc>
          <w:tcPr>
            <w:tcW w:w="1988" w:type="dxa"/>
            <w:shd w:val="clear" w:color="auto" w:fill="auto"/>
            <w:vAlign w:val="center"/>
          </w:tcPr>
          <w:p>
            <w:pPr>
              <w:pStyle w:val="49"/>
              <w:jc w:val="center"/>
              <w:rPr>
                <w:rFonts w:hint="eastAsia" w:ascii="宋体" w:hAnsi="宋体" w:eastAsia="宋体" w:cs="宋体"/>
                <w:color w:val="auto"/>
                <w:kern w:val="2"/>
                <w:sz w:val="24"/>
                <w:szCs w:val="24"/>
                <w:highlight w:val="none"/>
                <w:lang w:val="zh-CN" w:eastAsia="zh-CN" w:bidi="ar-SA"/>
              </w:rPr>
            </w:pPr>
            <w:r>
              <w:rPr>
                <w:rFonts w:hint="eastAsia" w:cs="宋体"/>
                <w:color w:val="auto"/>
                <w:sz w:val="24"/>
                <w:szCs w:val="24"/>
                <w:highlight w:val="none"/>
                <w:lang w:eastAsia="zh-CN"/>
              </w:rPr>
              <w:t>支持本国产品政策</w:t>
            </w:r>
          </w:p>
        </w:tc>
        <w:tc>
          <w:tcPr>
            <w:tcW w:w="7268" w:type="dxa"/>
            <w:shd w:val="clear" w:color="auto" w:fill="auto"/>
            <w:vAlign w:val="center"/>
          </w:tcPr>
          <w:p>
            <w:pPr>
              <w:pStyle w:val="70"/>
              <w:widowControl w:val="0"/>
              <w:spacing w:before="0" w:beforeAutospacing="0" w:after="0" w:afterAutospacing="0" w:line="240" w:lineRule="auto"/>
              <w:jc w:val="both"/>
              <w:rPr>
                <w:rFonts w:hint="eastAsia" w:ascii="宋体" w:hAnsi="宋体" w:eastAsia="宋体" w:cs="宋体"/>
                <w:b/>
                <w:bCs/>
                <w:color w:val="auto"/>
                <w:kern w:val="0"/>
                <w:sz w:val="24"/>
                <w:szCs w:val="24"/>
                <w:highlight w:val="none"/>
                <w:lang w:val="en-US" w:eastAsia="zh-CN" w:bidi="ar-SA"/>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1" w:hRule="atLeast"/>
          <w:jc w:val="center"/>
        </w:trPr>
        <w:tc>
          <w:tcPr>
            <w:tcW w:w="949" w:type="dxa"/>
            <w:vAlign w:val="center"/>
          </w:tcPr>
          <w:p>
            <w:pPr>
              <w:pStyle w:val="49"/>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w:t>
            </w:r>
          </w:p>
        </w:tc>
        <w:tc>
          <w:tcPr>
            <w:tcW w:w="1988" w:type="dxa"/>
            <w:vAlign w:val="center"/>
          </w:tcPr>
          <w:p>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7268" w:type="dxa"/>
            <w:vAlign w:val="center"/>
          </w:tcPr>
          <w:p>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49" w:type="dxa"/>
            <w:vAlign w:val="center"/>
          </w:tcPr>
          <w:p>
            <w:pPr>
              <w:pStyle w:val="49"/>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988" w:type="dxa"/>
            <w:vAlign w:val="center"/>
          </w:tcPr>
          <w:p>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p>
        </w:tc>
        <w:tc>
          <w:tcPr>
            <w:tcW w:w="7268" w:type="dxa"/>
            <w:vAlign w:val="center"/>
          </w:tcPr>
          <w:p>
            <w:pPr>
              <w:pStyle w:val="70"/>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本项目为专门面向中小企业采购项目</w:t>
            </w:r>
            <w:r>
              <w:rPr>
                <w:rFonts w:hint="eastAsia" w:cs="宋体"/>
                <w:b w:val="0"/>
                <w:bCs/>
                <w:color w:val="auto"/>
                <w:kern w:val="0"/>
                <w:sz w:val="24"/>
                <w:szCs w:val="24"/>
                <w:highlight w:val="none"/>
                <w:lang w:val="en-US" w:eastAsia="zh-CN" w:bidi="ar-SA"/>
              </w:rPr>
              <w:t>，不再执行价格扣除</w:t>
            </w:r>
            <w:r>
              <w:rPr>
                <w:rFonts w:hint="eastAsia" w:ascii="宋体" w:hAnsi="宋体" w:eastAsia="宋体" w:cs="宋体"/>
                <w:b w:val="0"/>
                <w:bCs/>
                <w:color w:val="auto"/>
                <w:kern w:val="0"/>
                <w:sz w:val="24"/>
                <w:szCs w:val="24"/>
                <w:highlight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78" w:hRule="atLeast"/>
          <w:jc w:val="center"/>
        </w:trPr>
        <w:tc>
          <w:tcPr>
            <w:tcW w:w="949" w:type="dxa"/>
            <w:vAlign w:val="center"/>
          </w:tcPr>
          <w:p>
            <w:pPr>
              <w:pStyle w:val="4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988" w:type="dxa"/>
            <w:vAlign w:val="center"/>
          </w:tcPr>
          <w:p>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pPr>
              <w:pStyle w:val="49"/>
              <w:rPr>
                <w:rFonts w:hint="eastAsia" w:ascii="宋体" w:hAnsi="宋体" w:eastAsia="宋体" w:cs="宋体"/>
                <w:color w:val="auto"/>
                <w:sz w:val="24"/>
                <w:szCs w:val="24"/>
                <w:highlight w:val="none"/>
                <w:lang w:val="en-US" w:eastAsia="zh-CN"/>
              </w:rPr>
            </w:pPr>
            <w:r>
              <w:rPr>
                <w:rStyle w:val="32"/>
                <w:rFonts w:hint="eastAsia" w:ascii="宋体" w:hAnsi="宋体" w:eastAsia="宋体" w:cs="宋体"/>
                <w:b w:val="0"/>
                <w:color w:val="auto"/>
                <w:sz w:val="24"/>
                <w:szCs w:val="24"/>
                <w:highlight w:val="none"/>
                <w:lang w:val="en-US" w:eastAsia="zh-CN"/>
              </w:rPr>
              <w:t>参照后附</w:t>
            </w:r>
            <w:r>
              <w:rPr>
                <w:rStyle w:val="32"/>
                <w:rFonts w:hint="eastAsia" w:ascii="宋体" w:hAnsi="宋体" w:eastAsia="宋体" w:cs="宋体"/>
                <w:b w:val="0"/>
                <w:color w:val="auto"/>
                <w:sz w:val="24"/>
                <w:szCs w:val="24"/>
                <w:highlight w:val="none"/>
                <w:lang w:eastAsia="zh-CN"/>
              </w:rPr>
              <w:t>《</w:t>
            </w:r>
            <w:r>
              <w:rPr>
                <w:rStyle w:val="32"/>
                <w:rFonts w:hint="eastAsia" w:ascii="宋体" w:hAnsi="宋体" w:eastAsia="宋体" w:cs="宋体"/>
                <w:b w:val="0"/>
                <w:color w:val="auto"/>
                <w:sz w:val="24"/>
                <w:szCs w:val="24"/>
                <w:highlight w:val="none"/>
              </w:rPr>
              <w:t>工信部联企业〔2011〕300号</w:t>
            </w:r>
            <w:r>
              <w:rPr>
                <w:rStyle w:val="32"/>
                <w:rFonts w:hint="eastAsia" w:ascii="宋体" w:hAnsi="宋体" w:eastAsia="宋体" w:cs="宋体"/>
                <w:b w:val="0"/>
                <w:color w:val="auto"/>
                <w:sz w:val="24"/>
                <w:szCs w:val="24"/>
                <w:highlight w:val="none"/>
                <w:lang w:eastAsia="zh-CN"/>
              </w:rPr>
              <w:t>》</w:t>
            </w:r>
          </w:p>
        </w:tc>
        <w:tc>
          <w:tcPr>
            <w:tcW w:w="7268" w:type="dxa"/>
            <w:vAlign w:val="center"/>
          </w:tcPr>
          <w:p>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0"/>
              <w:tblW w:w="6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403"/>
              <w:gridCol w:w="3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2403" w:type="dxa"/>
                  <w:vAlign w:val="center"/>
                </w:tcPr>
                <w:p>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3428" w:type="dxa"/>
                  <w:vAlign w:val="center"/>
                </w:tcPr>
                <w:p>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第1包</w:t>
                  </w:r>
                </w:p>
              </w:tc>
              <w:tc>
                <w:tcPr>
                  <w:tcW w:w="2403" w:type="dxa"/>
                  <w:vAlign w:val="center"/>
                </w:tcPr>
                <w:p>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sz w:val="24"/>
                      <w:highlight w:val="none"/>
                      <w:lang w:val="en-US" w:eastAsia="zh-CN"/>
                    </w:rPr>
                    <w:t>新疆交通职业技术大学高水平专业群建设跟踪评价及应届毕业生调研评价项目</w:t>
                  </w:r>
                </w:p>
              </w:tc>
              <w:tc>
                <w:tcPr>
                  <w:tcW w:w="3428" w:type="dxa"/>
                  <w:vAlign w:val="center"/>
                </w:tcPr>
                <w:p>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其他未列明行业</w:t>
                  </w:r>
                </w:p>
              </w:tc>
            </w:tr>
          </w:tbl>
          <w:p>
            <w:pPr>
              <w:pStyle w:val="49"/>
              <w:rPr>
                <w:rFonts w:hint="eastAsia" w:ascii="宋体" w:hAnsi="宋体" w:eastAsia="宋体" w:cs="宋体"/>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jc w:val="center"/>
        </w:trPr>
        <w:tc>
          <w:tcPr>
            <w:tcW w:w="949" w:type="dxa"/>
            <w:shd w:val="clear" w:color="auto" w:fill="auto"/>
            <w:vAlign w:val="center"/>
          </w:tcPr>
          <w:p>
            <w:pPr>
              <w:pStyle w:val="49"/>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988" w:type="dxa"/>
            <w:shd w:val="clear" w:color="auto" w:fill="auto"/>
            <w:vAlign w:val="center"/>
          </w:tcPr>
          <w:p>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7268" w:type="dxa"/>
            <w:shd w:val="clear" w:color="auto" w:fill="auto"/>
            <w:vAlign w:val="center"/>
          </w:tcPr>
          <w:p>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本项目不适用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3" w:hRule="atLeast"/>
          <w:jc w:val="center"/>
        </w:trPr>
        <w:tc>
          <w:tcPr>
            <w:tcW w:w="949" w:type="dxa"/>
            <w:vMerge w:val="restart"/>
            <w:tcBorders>
              <w:right w:val="single" w:color="auto" w:sz="4" w:space="0"/>
            </w:tcBorders>
            <w:vAlign w:val="center"/>
          </w:tcPr>
          <w:p>
            <w:pPr>
              <w:pStyle w:val="49"/>
            </w:pPr>
          </w:p>
        </w:tc>
        <w:tc>
          <w:tcPr>
            <w:tcW w:w="1988" w:type="dxa"/>
            <w:vMerge w:val="restart"/>
            <w:tcBorders>
              <w:right w:val="single" w:color="auto" w:sz="4" w:space="0"/>
            </w:tcBorders>
            <w:vAlign w:val="center"/>
          </w:tcPr>
          <w:p>
            <w:pPr>
              <w:pStyle w:val="49"/>
            </w:pPr>
          </w:p>
        </w:tc>
        <w:tc>
          <w:tcPr>
            <w:tcW w:w="7268" w:type="dxa"/>
            <w:tcBorders>
              <w:left w:val="single" w:color="auto" w:sz="4" w:space="0"/>
            </w:tcBorders>
            <w:vAlign w:val="center"/>
          </w:tcPr>
          <w:p>
            <w:pPr>
              <w:pStyle w:val="4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信誉资料查询：</w:t>
            </w:r>
          </w:p>
          <w:p>
            <w:pPr>
              <w:pStyle w:val="4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查询渠道：信用中国网站和中国政府采购网（www.creditchina.gov.cn 、www.ccgp.gov.cn）； </w:t>
            </w:r>
          </w:p>
          <w:p>
            <w:pPr>
              <w:pStyle w:val="4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截止时点：投标截止时间以后、资格审查阶段采购人或采购代理机构的实际查询时间； </w:t>
            </w:r>
          </w:p>
          <w:p>
            <w:pPr>
              <w:pStyle w:val="4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信用信息查询记录和证据留存具体方式：查询结果网页打印页作为查询记录和证据，与其他采购文件一并保存； </w:t>
            </w:r>
          </w:p>
          <w:p>
            <w:pPr>
              <w:pStyle w:val="49"/>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信用信息的使用原则：经认定的被列入失信被执行人、重大税收违法失信主体、政府采购严重违法失信行为记录名单的投标人，其投标无效。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3" w:hRule="atLeast"/>
          <w:jc w:val="center"/>
        </w:trPr>
        <w:tc>
          <w:tcPr>
            <w:tcW w:w="949" w:type="dxa"/>
            <w:vMerge w:val="continue"/>
            <w:tcBorders>
              <w:right w:val="single" w:color="auto" w:sz="4" w:space="0"/>
            </w:tcBorders>
            <w:vAlign w:val="center"/>
          </w:tcPr>
          <w:p>
            <w:pPr>
              <w:pStyle w:val="49"/>
              <w:rPr>
                <w:rFonts w:hint="eastAsia" w:ascii="宋体" w:hAnsi="宋体" w:eastAsia="宋体" w:cs="宋体"/>
                <w:color w:val="auto"/>
                <w:sz w:val="24"/>
                <w:szCs w:val="24"/>
                <w:highlight w:val="none"/>
                <w:lang w:eastAsia="zh-CN"/>
              </w:rPr>
            </w:pPr>
          </w:p>
        </w:tc>
        <w:tc>
          <w:tcPr>
            <w:tcW w:w="1988" w:type="dxa"/>
            <w:vMerge w:val="continue"/>
            <w:tcBorders>
              <w:right w:val="single" w:color="auto" w:sz="4" w:space="0"/>
            </w:tcBorders>
            <w:vAlign w:val="center"/>
          </w:tcPr>
          <w:p>
            <w:pPr>
              <w:pStyle w:val="49"/>
              <w:rPr>
                <w:rFonts w:hint="eastAsia" w:ascii="宋体" w:hAnsi="宋体" w:eastAsia="宋体" w:cs="宋体"/>
                <w:color w:val="auto"/>
                <w:sz w:val="24"/>
                <w:szCs w:val="24"/>
                <w:highlight w:val="none"/>
                <w:lang w:eastAsia="zh-CN"/>
              </w:rPr>
            </w:pPr>
          </w:p>
        </w:tc>
        <w:tc>
          <w:tcPr>
            <w:tcW w:w="7268" w:type="dxa"/>
            <w:tcBorders>
              <w:left w:val="single" w:color="auto" w:sz="4" w:space="0"/>
            </w:tcBorders>
            <w:vAlign w:val="center"/>
          </w:tcPr>
          <w:p>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中标人须在政采云电子评标结束、结果公告发布后须提供：</w:t>
            </w:r>
          </w:p>
          <w:p>
            <w:pPr>
              <w:pStyle w:val="4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投标文件（纸质版）份数：正本一份、副本贰份。</w:t>
            </w:r>
          </w:p>
          <w:p>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其他要求：</w:t>
            </w:r>
          </w:p>
          <w:p>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若招标文件评分项中规定须提供业绩、证件等资料作为评分依据的，投标人须在投标文件中附原件的直接扫描件并清晰可辨，否则视为未提供评标证明资料。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3" w:hRule="atLeast"/>
          <w:jc w:val="center"/>
        </w:trPr>
        <w:tc>
          <w:tcPr>
            <w:tcW w:w="949" w:type="dxa"/>
            <w:vMerge w:val="continue"/>
            <w:tcBorders>
              <w:right w:val="single" w:color="auto" w:sz="4" w:space="0"/>
            </w:tcBorders>
            <w:vAlign w:val="center"/>
          </w:tcPr>
          <w:p>
            <w:pPr>
              <w:pStyle w:val="49"/>
              <w:rPr>
                <w:rFonts w:hint="eastAsia" w:ascii="宋体" w:hAnsi="宋体" w:eastAsia="宋体" w:cs="宋体"/>
                <w:color w:val="auto"/>
                <w:sz w:val="24"/>
                <w:szCs w:val="24"/>
                <w:highlight w:val="none"/>
                <w:lang w:eastAsia="zh-CN"/>
              </w:rPr>
            </w:pPr>
          </w:p>
        </w:tc>
        <w:tc>
          <w:tcPr>
            <w:tcW w:w="1988" w:type="dxa"/>
            <w:vMerge w:val="continue"/>
            <w:tcBorders>
              <w:right w:val="single" w:color="auto" w:sz="4" w:space="0"/>
            </w:tcBorders>
            <w:vAlign w:val="center"/>
          </w:tcPr>
          <w:p>
            <w:pPr>
              <w:pStyle w:val="49"/>
              <w:rPr>
                <w:rFonts w:hint="eastAsia" w:ascii="宋体" w:hAnsi="宋体" w:eastAsia="宋体" w:cs="宋体"/>
                <w:color w:val="auto"/>
                <w:sz w:val="24"/>
                <w:szCs w:val="24"/>
                <w:highlight w:val="none"/>
                <w:lang w:eastAsia="zh-CN"/>
              </w:rPr>
            </w:pPr>
          </w:p>
        </w:tc>
        <w:tc>
          <w:tcPr>
            <w:tcW w:w="7268" w:type="dxa"/>
            <w:tcBorders>
              <w:left w:val="single" w:color="auto" w:sz="4" w:space="0"/>
            </w:tcBorders>
            <w:vAlign w:val="center"/>
          </w:tcPr>
          <w:p>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电子招投标具体要求：</w:t>
            </w:r>
          </w:p>
          <w:p>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文件解密时间：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2.供应商报价CA签字确认：报价文件开启后将开启签字时段，供应商须在20分钟内用CA证书对报价进行签字确认。</w:t>
            </w:r>
          </w:p>
          <w:p>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3.备注：</w:t>
            </w:r>
          </w:p>
          <w:p>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次采购采用电子交易方式，“中国政府采购网新疆分网（政府采购云平台）（www.ccgp-xinjiang.gov.cn）”。供应商参与本项目电子交易活动前，应注册成为政府采购云平台供应商。编制电子投标文件前还需申领CA证书并绑定账号。供应商应充分考虑完成平台注册、申领CA证书等所需的时间。因未注册入库、未办理CA数字证书等原因造成无法投标或投标失败等后果由供应商自行承担。</w:t>
            </w:r>
          </w:p>
          <w:p>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（3）供应商应当在投标截止时间前，将“电子招投标供应商客户端”生成的“电子加密投标文件”上传电子交易平台。</w:t>
            </w:r>
          </w:p>
          <w:p>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（4）服务与支持。各政府采购代理机构（含集采机构）及供应商对不见面开评标系统的技术操作咨询，可通过</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"https://edu.zcygov.cn/luban/xinjiang-e-biding"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https://edu.zcygov.cn/luban/xinjiang-e-biding</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自助查询，也可在政采云帮助中心常见问题解答和操作流程讲解视频中自助查询，网址为：</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"https://service.zcygov.cn/" \l "/help"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https://service.zcygov.cn/#/help</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项目采购—操作流程—电子招投标—政府采购项目电子交易管理操作指南－供应商”版面获取操作指南，同时对自助查询无法解决的问题可通过钉钉群及政采云在线客服获取服务支持。政采云热线人工号码：95763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10205" w:type="dxa"/>
            <w:gridSpan w:val="3"/>
            <w:vAlign w:val="center"/>
          </w:tcPr>
          <w:p>
            <w:pPr>
              <w:pStyle w:val="4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color w:val="auto"/>
                <w:sz w:val="24"/>
                <w:szCs w:val="24"/>
                <w:highlight w:val="none"/>
                <w:lang w:val="en-US" w:eastAsia="zh-CN"/>
              </w:rPr>
              <w:t>：</w:t>
            </w:r>
          </w:p>
          <w:p>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  年  月  日，则“近三年”是指  年  月  日至  年  月  日。</w:t>
            </w:r>
          </w:p>
          <w:p>
            <w:pPr>
              <w:pStyle w:val="4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以下</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内</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以内”，包括本数；所称的“不足”，不包括本数。</w:t>
            </w:r>
          </w:p>
        </w:tc>
      </w:tr>
    </w:tbl>
    <w:p>
      <w:pPr>
        <w:rPr>
          <w:color w:val="auto"/>
          <w:highlight w:val="none"/>
        </w:rPr>
      </w:pPr>
      <w:r>
        <w:rPr>
          <w:color w:val="auto"/>
          <w:highlight w:val="none"/>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eastAsia="宋体" w:asciiTheme="majorHAnsi" w:hAnsiTheme="majorHAnsi" w:cstheme="majorBidi"/>
          <w:b/>
          <w:bCs/>
          <w:color w:val="auto"/>
          <w:kern w:val="2"/>
          <w:sz w:val="28"/>
          <w:szCs w:val="28"/>
          <w:highlight w:val="none"/>
          <w:lang w:val="en-US" w:eastAsia="zh-CN" w:bidi="ar-SA"/>
        </w:rPr>
      </w:pPr>
      <w:bookmarkStart w:id="126" w:name="_Toc9440"/>
      <w:bookmarkStart w:id="127" w:name="_Toc155185869"/>
      <w:bookmarkStart w:id="128" w:name="_Toc27559"/>
      <w:r>
        <w:rPr>
          <w:rFonts w:hint="eastAsia" w:eastAsia="宋体" w:asciiTheme="majorHAnsi" w:hAnsiTheme="majorHAnsi" w:cstheme="majorBidi"/>
          <w:b/>
          <w:bCs/>
          <w:color w:val="auto"/>
          <w:kern w:val="2"/>
          <w:sz w:val="28"/>
          <w:szCs w:val="28"/>
          <w:highlight w:val="none"/>
          <w:lang w:val="en-US" w:eastAsia="zh-CN" w:bidi="ar-SA"/>
        </w:rPr>
        <w:t>二、投标人须知</w:t>
      </w:r>
      <w:bookmarkEnd w:id="126"/>
      <w:bookmarkEnd w:id="127"/>
      <w:bookmarkEnd w:id="128"/>
    </w:p>
    <w:p>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29" w:name="_Toc155185870"/>
      <w:bookmarkStart w:id="130" w:name="_Toc163492822"/>
      <w:bookmarkStart w:id="131" w:name="_Toc22384"/>
      <w:r>
        <w:rPr>
          <w:rFonts w:hint="eastAsia" w:ascii="宋体" w:hAnsi="宋体" w:eastAsia="宋体" w:cs="宋体"/>
          <w:b/>
          <w:bCs/>
          <w:color w:val="auto"/>
          <w:kern w:val="2"/>
          <w:sz w:val="24"/>
          <w:szCs w:val="24"/>
          <w:highlight w:val="none"/>
          <w:lang w:val="en-US" w:eastAsia="zh-CN" w:bidi="ar-SA"/>
        </w:rPr>
        <w:t>（一）总则</w:t>
      </w:r>
      <w:bookmarkEnd w:id="129"/>
      <w:bookmarkEnd w:id="130"/>
      <w:bookmarkEnd w:id="131"/>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32" w:name="_Toc155095689"/>
      <w:bookmarkStart w:id="133" w:name="_Toc31233"/>
      <w:bookmarkStart w:id="134" w:name="_Toc109897532"/>
      <w:bookmarkStart w:id="135" w:name="_Toc163492823"/>
      <w:bookmarkStart w:id="136" w:name="_Toc109899631"/>
      <w:bookmarkStart w:id="137" w:name="_Toc30340"/>
      <w:bookmarkStart w:id="138" w:name="_Toc109900050"/>
      <w:bookmarkStart w:id="139" w:name="_Toc109900469"/>
      <w:r>
        <w:rPr>
          <w:rFonts w:hint="eastAsia" w:ascii="宋体" w:hAnsi="宋体" w:eastAsia="宋体" w:cs="宋体"/>
          <w:b/>
          <w:bCs/>
          <w:color w:val="auto"/>
          <w:kern w:val="2"/>
          <w:sz w:val="24"/>
          <w:szCs w:val="24"/>
          <w:highlight w:val="none"/>
          <w:lang w:val="en-US" w:eastAsia="zh-CN" w:bidi="ar-SA"/>
        </w:rPr>
        <w:t>1.适用范围</w:t>
      </w:r>
      <w:bookmarkEnd w:id="132"/>
      <w:bookmarkEnd w:id="133"/>
      <w:bookmarkEnd w:id="134"/>
      <w:bookmarkEnd w:id="135"/>
      <w:bookmarkEnd w:id="136"/>
      <w:bookmarkEnd w:id="137"/>
      <w:bookmarkEnd w:id="138"/>
      <w:bookmarkEnd w:id="139"/>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1.1本招标文件仅适用于本项目的采购活动。</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0" w:name="_Toc7979"/>
      <w:bookmarkStart w:id="141" w:name="_Toc163492824"/>
      <w:r>
        <w:rPr>
          <w:rFonts w:hint="eastAsia" w:ascii="宋体" w:hAnsi="宋体" w:eastAsia="宋体" w:cs="宋体"/>
          <w:b/>
          <w:bCs/>
          <w:color w:val="auto"/>
          <w:kern w:val="2"/>
          <w:sz w:val="24"/>
          <w:szCs w:val="24"/>
          <w:highlight w:val="none"/>
          <w:lang w:val="en-US" w:eastAsia="zh-CN" w:bidi="ar-SA"/>
        </w:rPr>
        <w:t>2.基本定义</w:t>
      </w:r>
      <w:bookmarkEnd w:id="140"/>
      <w:bookmarkEnd w:id="141"/>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2.1根据《中华人民共和国政府采购法》及其实施条例等有关</w:t>
      </w:r>
      <w:r>
        <w:rPr>
          <w:rFonts w:hint="eastAsia" w:cs="宋体"/>
          <w:color w:val="auto"/>
          <w:sz w:val="24"/>
          <w:szCs w:val="24"/>
          <w:highlight w:val="none"/>
          <w:lang w:eastAsia="zh-CN"/>
        </w:rPr>
        <w:t>法律法规</w:t>
      </w:r>
      <w:r>
        <w:rPr>
          <w:rFonts w:hint="eastAsia" w:ascii="宋体" w:hAnsi="宋体" w:eastAsia="宋体" w:cs="宋体"/>
          <w:color w:val="auto"/>
          <w:sz w:val="24"/>
          <w:szCs w:val="24"/>
          <w:highlight w:val="none"/>
        </w:rPr>
        <w:t>和规章的规定，制定本招标文件。</w:t>
      </w:r>
    </w:p>
    <w:p>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rPr>
        <w:t>。</w:t>
      </w:r>
    </w:p>
    <w:p>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lang w:val="en-US" w:eastAsia="zh-CN"/>
        </w:rPr>
        <w:t>委托的采购代理机构</w:t>
      </w:r>
      <w:r>
        <w:rPr>
          <w:rFonts w:hint="eastAsia" w:ascii="宋体" w:hAnsi="宋体" w:eastAsia="宋体" w:cs="宋体"/>
          <w:color w:val="auto"/>
          <w:sz w:val="24"/>
          <w:szCs w:val="24"/>
          <w:highlight w:val="none"/>
        </w:rPr>
        <w:t>。</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 服务包含的内容见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w:t>
      </w:r>
    </w:p>
    <w:p>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shd w:val="clear" w:color="auto" w:fill="FFFFFF" w:themeFill="background1"/>
        </w:rPr>
        <w:t>2.6投标人（也称“供应商</w:t>
      </w:r>
      <w:r>
        <w:rPr>
          <w:rFonts w:hint="eastAsia" w:cs="宋体"/>
          <w:iCs/>
          <w:color w:val="auto"/>
          <w:sz w:val="24"/>
          <w:szCs w:val="24"/>
          <w:highlight w:val="none"/>
          <w:shd w:val="clear" w:color="auto" w:fill="FFFFFF" w:themeFill="background1"/>
          <w:lang w:eastAsia="zh-CN"/>
        </w:rPr>
        <w:t>”“</w:t>
      </w:r>
      <w:r>
        <w:rPr>
          <w:rFonts w:hint="eastAsia" w:ascii="宋体" w:hAnsi="宋体" w:eastAsia="宋体" w:cs="宋体"/>
          <w:iCs/>
          <w:color w:val="auto"/>
          <w:sz w:val="24"/>
          <w:szCs w:val="24"/>
          <w:highlight w:val="none"/>
          <w:shd w:val="clear" w:color="auto" w:fill="FFFFFF" w:themeFill="background1"/>
        </w:rPr>
        <w:t>申请人”）：指向采购人提供货物、工程或者服务的法人、其他组织或者自然人。</w:t>
      </w:r>
      <w:r>
        <w:rPr>
          <w:rFonts w:hint="eastAsia" w:ascii="宋体" w:hAnsi="宋体" w:eastAsia="宋体" w:cs="宋体"/>
          <w:color w:val="auto"/>
          <w:sz w:val="24"/>
          <w:szCs w:val="24"/>
          <w:highlight w:val="none"/>
        </w:rPr>
        <w:t>分支机构不得参加政府采购活动，但银行、保险、石油石化、电力、电信等</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行业特殊</w:t>
      </w:r>
      <w:r>
        <w:rPr>
          <w:rFonts w:hint="eastAsia" w:ascii="宋体" w:hAnsi="宋体" w:eastAsia="宋体" w:cs="宋体"/>
          <w:color w:val="auto"/>
          <w:sz w:val="24"/>
          <w:szCs w:val="24"/>
          <w:highlight w:val="none"/>
          <w:lang w:val="en-US" w:eastAsia="zh-CN"/>
        </w:rPr>
        <w:t>情况的</w:t>
      </w:r>
      <w:r>
        <w:rPr>
          <w:rFonts w:hint="eastAsia" w:ascii="宋体" w:hAnsi="宋体" w:eastAsia="宋体" w:cs="宋体"/>
          <w:color w:val="auto"/>
          <w:sz w:val="24"/>
          <w:szCs w:val="24"/>
          <w:highlight w:val="none"/>
        </w:rPr>
        <w:t>除外。本项目的投标人须满足以下条件：</w:t>
      </w:r>
    </w:p>
    <w:p>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2.6.1具备《中华人民共和国政府采购法》第二十二条规定的条件，遵守本项目采购人本级和上级财政部门政府采购的有关规定。</w:t>
      </w:r>
    </w:p>
    <w:p>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2.6.2以招标公告中发布的方式依法获得了本项目的招标文件。</w:t>
      </w:r>
    </w:p>
    <w:p>
      <w:p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2.6.3符合本招标文件规定并参加投标的供应商。</w:t>
      </w:r>
    </w:p>
    <w:p>
      <w:pPr>
        <w:pStyle w:val="37"/>
        <w:keepNext w:val="0"/>
        <w:keepLines w:val="0"/>
        <w:pageBreakBefore w:val="0"/>
        <w:widowControl w:val="0"/>
        <w:kinsoku/>
        <w:overflowPunct/>
        <w:topLinePunct w:val="0"/>
        <w:autoSpaceDE/>
        <w:autoSpaceDN/>
        <w:bidi w:val="0"/>
        <w:adjustRightInd/>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iCs/>
          <w:color w:val="auto"/>
          <w:sz w:val="24"/>
          <w:szCs w:val="24"/>
          <w:highlight w:val="none"/>
          <w:shd w:val="clear" w:color="auto" w:fill="FFFFFF" w:themeFill="background1"/>
        </w:rPr>
        <w:t>潜在投标人、潜在供应商</w:t>
      </w:r>
      <w:r>
        <w:rPr>
          <w:rFonts w:hint="eastAsia" w:ascii="宋体" w:hAnsi="宋体" w:eastAsia="宋体" w:cs="宋体"/>
          <w:iCs/>
          <w:color w:val="auto"/>
          <w:sz w:val="24"/>
          <w:szCs w:val="24"/>
          <w:highlight w:val="none"/>
          <w:shd w:val="clear" w:color="auto" w:fill="FFFFFF" w:themeFill="background1"/>
          <w:lang w:eastAsia="zh-CN"/>
        </w:rPr>
        <w:t>：</w:t>
      </w:r>
      <w:r>
        <w:rPr>
          <w:rFonts w:hint="eastAsia" w:ascii="宋体" w:hAnsi="宋体" w:eastAsia="宋体" w:cs="宋体"/>
          <w:iCs/>
          <w:color w:val="auto"/>
          <w:sz w:val="24"/>
          <w:szCs w:val="24"/>
          <w:highlight w:val="none"/>
          <w:shd w:val="clear" w:color="auto" w:fill="FFFFFF" w:themeFill="background1"/>
          <w:lang w:val="en-US" w:eastAsia="zh-CN"/>
        </w:rPr>
        <w:t>指</w:t>
      </w:r>
      <w:r>
        <w:rPr>
          <w:rFonts w:hint="eastAsia" w:ascii="宋体" w:hAnsi="宋体" w:eastAsia="宋体" w:cs="宋体"/>
          <w:color w:val="auto"/>
          <w:sz w:val="24"/>
          <w:szCs w:val="24"/>
          <w:highlight w:val="none"/>
          <w:lang w:val="en-US" w:eastAsia="zh-CN"/>
        </w:rPr>
        <w:t>符合本招标文件规定的供应商</w:t>
      </w:r>
      <w:r>
        <w:rPr>
          <w:rFonts w:hint="eastAsia" w:ascii="宋体" w:hAnsi="宋体" w:eastAsia="宋体" w:cs="宋体"/>
          <w:color w:val="auto"/>
          <w:sz w:val="24"/>
          <w:szCs w:val="24"/>
          <w:highlight w:val="none"/>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2" w:name="_Toc21761"/>
      <w:bookmarkStart w:id="143" w:name="_Toc140132758"/>
      <w:bookmarkStart w:id="144" w:name="_Toc163492825"/>
      <w:r>
        <w:rPr>
          <w:rFonts w:hint="eastAsia" w:ascii="宋体" w:hAnsi="宋体" w:eastAsia="宋体" w:cs="宋体"/>
          <w:b/>
          <w:bCs/>
          <w:color w:val="auto"/>
          <w:kern w:val="2"/>
          <w:sz w:val="24"/>
          <w:szCs w:val="24"/>
          <w:highlight w:val="none"/>
          <w:lang w:val="en-US" w:eastAsia="zh-CN" w:bidi="ar-SA"/>
        </w:rPr>
        <w:t>3.资金来源</w:t>
      </w:r>
      <w:bookmarkEnd w:id="142"/>
      <w:bookmarkEnd w:id="143"/>
      <w:bookmarkEnd w:id="144"/>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3.1资金来源：</w:t>
      </w:r>
      <w:r>
        <w:rPr>
          <w:rFonts w:hint="eastAsia" w:ascii="宋体" w:hAnsi="宋体" w:eastAsia="宋体" w:cs="宋体"/>
          <w:color w:val="auto"/>
          <w:sz w:val="24"/>
          <w:szCs w:val="24"/>
          <w:highlight w:val="none"/>
          <w:lang w:val="en-US" w:eastAsia="zh-CN"/>
        </w:rPr>
        <w:t>为财政性资金即</w:t>
      </w:r>
      <w:r>
        <w:rPr>
          <w:rFonts w:hint="eastAsia" w:ascii="宋体" w:hAnsi="宋体" w:eastAsia="宋体" w:cs="宋体"/>
          <w:color w:val="auto"/>
          <w:sz w:val="24"/>
          <w:szCs w:val="24"/>
          <w:highlight w:val="none"/>
        </w:rPr>
        <w:t>纳入预算管理的资金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以财政性资金作为还款来源的借贷资金，视同财政性资金。财政性资金与非财政性资金无法分割采购的，统一适用《中华人民共和国政府采购法》及其实施条例。</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5" w:name="_Toc163492826"/>
      <w:bookmarkStart w:id="146" w:name="_Toc140132760"/>
      <w:bookmarkStart w:id="147" w:name="_Toc8143"/>
      <w:r>
        <w:rPr>
          <w:rFonts w:hint="eastAsia" w:ascii="宋体" w:hAnsi="宋体" w:eastAsia="宋体" w:cs="宋体"/>
          <w:b/>
          <w:bCs/>
          <w:color w:val="auto"/>
          <w:kern w:val="2"/>
          <w:sz w:val="24"/>
          <w:szCs w:val="24"/>
          <w:highlight w:val="none"/>
          <w:lang w:val="en-US" w:eastAsia="zh-CN" w:bidi="ar-SA"/>
        </w:rPr>
        <w:t>4.投标人资格要求</w:t>
      </w:r>
      <w:bookmarkEnd w:id="145"/>
      <w:bookmarkEnd w:id="146"/>
      <w:bookmarkEnd w:id="147"/>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4.1投标人资格要求：见“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val="zh-CN" w:eastAsia="zh-CN"/>
        </w:rPr>
        <w:t>”规定接受联合体投标的，还应遵守以下规定：</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1两个以上的自然人、法人或者其他组织可以组成一个联合体，以一个</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的身份共同参加政府采购。</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以联合体形式进行政府采购的，参加联合体的供应商均应当具备《</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iCs/>
          <w:color w:val="auto"/>
          <w:kern w:val="2"/>
          <w:sz w:val="24"/>
          <w:szCs w:val="24"/>
          <w:highlight w:val="none"/>
          <w:shd w:val="clear" w:color="auto" w:fill="FFFFFF" w:themeFill="background1"/>
          <w:lang w:val="zh-CN" w:eastAsia="zh-CN" w:bidi="ar-SA"/>
        </w:rPr>
        <w:t>》第二十二条规定的条件。</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2.2</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联合体各方应按招标文件提供的格式签订联合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作为投标文件的一部分提交，该协议书对联合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Cs/>
          <w:color w:val="auto"/>
          <w:kern w:val="2"/>
          <w:sz w:val="24"/>
          <w:szCs w:val="24"/>
          <w:highlight w:val="none"/>
          <w:shd w:val="clear" w:color="auto" w:fill="FFFFFF" w:themeFill="background1"/>
          <w:lang w:val="zh-CN" w:eastAsia="zh-CN" w:bidi="ar-SA"/>
        </w:rPr>
        <w:t>均具有法律约束力。</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4.2.3</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olor w:val="auto"/>
          <w:kern w:val="2"/>
          <w:sz w:val="24"/>
          <w:szCs w:val="24"/>
          <w:highlight w:val="none"/>
          <w:shd w:val="clear" w:color="auto" w:fill="FFFFFF" w:themeFill="background1"/>
          <w:lang w:val="en-US" w:eastAsia="zh-CN" w:bidi="ar-SA"/>
        </w:rPr>
        <w:t>同一合同项下的</w:t>
      </w:r>
      <w:r>
        <w:rPr>
          <w:rFonts w:hint="eastAsia" w:ascii="宋体" w:hAnsi="宋体" w:eastAsia="宋体" w:cs="宋体"/>
          <w:iCs/>
          <w:color w:val="auto"/>
          <w:kern w:val="2"/>
          <w:sz w:val="24"/>
          <w:szCs w:val="24"/>
          <w:highlight w:val="none"/>
          <w:shd w:val="clear" w:color="auto" w:fill="FFFFFF" w:themeFill="background1"/>
          <w:lang w:val="zh-CN" w:eastAsia="zh-CN" w:bidi="ar-SA"/>
        </w:rPr>
        <w:t>投标，否则相关投标将被认定为</w:t>
      </w:r>
      <w:r>
        <w:rPr>
          <w:rFonts w:hint="eastAsia" w:ascii="宋体" w:hAnsi="宋体" w:eastAsia="宋体" w:cs="宋体"/>
          <w:b/>
          <w:bCs/>
          <w:iCs/>
          <w:color w:val="auto"/>
          <w:kern w:val="2"/>
          <w:sz w:val="24"/>
          <w:szCs w:val="24"/>
          <w:highlight w:val="none"/>
          <w:shd w:val="clear" w:color="auto" w:fill="FFFFFF" w:themeFill="background1"/>
          <w:lang w:val="zh-CN" w:eastAsia="zh-CN" w:bidi="ar-SA"/>
        </w:rPr>
        <w:t>投标无效</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投标</w:t>
      </w:r>
      <w:r>
        <w:rPr>
          <w:rFonts w:hint="eastAsia" w:ascii="宋体" w:hAnsi="宋体" w:eastAsia="宋体" w:cs="宋体"/>
          <w:iCs/>
          <w:color w:val="auto"/>
          <w:kern w:val="2"/>
          <w:sz w:val="24"/>
          <w:szCs w:val="24"/>
          <w:highlight w:val="none"/>
          <w:shd w:val="clear" w:color="auto" w:fill="FFFFFF" w:themeFill="background1"/>
          <w:lang w:val="en-US" w:eastAsia="zh-CN" w:bidi="ar-SA"/>
        </w:rPr>
        <w:t>合同</w:t>
      </w:r>
      <w:r>
        <w:rPr>
          <w:rFonts w:hint="eastAsia" w:ascii="宋体" w:hAnsi="宋体" w:eastAsia="宋体" w:cs="宋体"/>
          <w:iCs/>
          <w:color w:val="auto"/>
          <w:kern w:val="2"/>
          <w:sz w:val="24"/>
          <w:szCs w:val="24"/>
          <w:highlight w:val="none"/>
          <w:shd w:val="clear" w:color="auto" w:fill="FFFFFF" w:themeFill="background1"/>
          <w:lang w:val="zh-CN" w:eastAsia="zh-CN" w:bidi="ar-SA"/>
        </w:rPr>
        <w:t>总金额的比例。</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.6</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采购</w:t>
      </w:r>
      <w:r>
        <w:rPr>
          <w:rFonts w:hint="eastAsia" w:ascii="宋体" w:hAnsi="宋体" w:eastAsia="宋体" w:cs="宋体"/>
          <w:iCs/>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Cs/>
          <w:color w:val="auto"/>
          <w:kern w:val="2"/>
          <w:sz w:val="24"/>
          <w:szCs w:val="24"/>
          <w:highlight w:val="none"/>
          <w:shd w:val="clear" w:color="auto" w:fill="FFFFFF" w:themeFill="background1"/>
          <w:lang w:val="en-US" w:eastAsia="zh-CN" w:bidi="ar-SA"/>
        </w:rPr>
        <w:t>及</w:t>
      </w:r>
      <w:r>
        <w:rPr>
          <w:rFonts w:hint="eastAsia" w:ascii="宋体" w:hAnsi="宋体" w:eastAsia="宋体" w:cs="宋体"/>
          <w:iCs/>
          <w:color w:val="auto"/>
          <w:kern w:val="2"/>
          <w:sz w:val="24"/>
          <w:szCs w:val="24"/>
          <w:highlight w:val="none"/>
          <w:shd w:val="clear" w:color="auto" w:fill="FFFFFF" w:themeFill="background1"/>
          <w:lang w:val="zh-CN" w:eastAsia="zh-CN" w:bidi="ar-SA"/>
        </w:rPr>
        <w:t>加盖</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Cs/>
          <w:color w:val="auto"/>
          <w:kern w:val="2"/>
          <w:sz w:val="24"/>
          <w:szCs w:val="24"/>
          <w:highlight w:val="none"/>
          <w:shd w:val="clear" w:color="auto" w:fill="FFFFFF" w:themeFill="background1"/>
          <w:lang w:val="en-US" w:eastAsia="zh-CN" w:bidi="ar-SA"/>
        </w:rPr>
        <w:t>并</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.7</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olor w:val="auto"/>
          <w:kern w:val="2"/>
          <w:sz w:val="24"/>
          <w:szCs w:val="24"/>
          <w:highlight w:val="none"/>
          <w:shd w:val="clear" w:color="auto" w:fill="FFFFFF" w:themeFill="background1"/>
          <w:lang w:val="en-US" w:eastAsia="zh-CN" w:bidi="ar-SA"/>
        </w:rPr>
        <w:t>人</w:t>
      </w:r>
      <w:r>
        <w:rPr>
          <w:rFonts w:hint="eastAsia" w:ascii="宋体" w:hAnsi="宋体" w:eastAsia="宋体" w:cs="宋体"/>
          <w:iCs/>
          <w:color w:val="auto"/>
          <w:kern w:val="2"/>
          <w:sz w:val="24"/>
          <w:szCs w:val="24"/>
          <w:highlight w:val="none"/>
          <w:shd w:val="clear" w:color="auto" w:fill="FFFFFF" w:themeFill="background1"/>
          <w:lang w:val="zh-CN" w:eastAsia="zh-CN" w:bidi="ar-SA"/>
        </w:rPr>
        <w:t>书面同意并且须遵守相关</w:t>
      </w:r>
      <w:r>
        <w:rPr>
          <w:rFonts w:hint="eastAsia" w:cs="宋体"/>
          <w:iCs/>
          <w:color w:val="auto"/>
          <w:kern w:val="2"/>
          <w:sz w:val="24"/>
          <w:szCs w:val="24"/>
          <w:highlight w:val="none"/>
          <w:shd w:val="clear" w:color="auto" w:fill="FFFFFF" w:themeFill="background1"/>
          <w:lang w:val="zh-CN" w:eastAsia="zh-CN" w:bidi="ar-SA"/>
        </w:rPr>
        <w:t>法律法规</w:t>
      </w:r>
      <w:r>
        <w:rPr>
          <w:rFonts w:hint="eastAsia" w:ascii="宋体" w:hAnsi="宋体" w:eastAsia="宋体" w:cs="宋体"/>
          <w:iCs/>
          <w:color w:val="auto"/>
          <w:kern w:val="2"/>
          <w:sz w:val="24"/>
          <w:szCs w:val="24"/>
          <w:highlight w:val="none"/>
          <w:shd w:val="clear" w:color="auto" w:fill="FFFFFF" w:themeFill="background1"/>
          <w:lang w:val="zh-CN" w:eastAsia="zh-CN" w:bidi="ar-SA"/>
        </w:rPr>
        <w:t>、本次招标的全部相关规定。</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8</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对联合体投标的其他资格要求见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中的“二、</w:t>
      </w:r>
      <w:r>
        <w:rPr>
          <w:rFonts w:hint="eastAsia" w:ascii="宋体" w:hAnsi="宋体" w:eastAsia="宋体" w:cs="宋体"/>
          <w:iCs/>
          <w:color w:val="auto"/>
          <w:kern w:val="2"/>
          <w:sz w:val="24"/>
          <w:szCs w:val="24"/>
          <w:highlight w:val="none"/>
          <w:shd w:val="clear" w:color="auto" w:fill="FFFFFF" w:themeFill="background1"/>
          <w:lang w:val="en-US" w:eastAsia="zh-CN" w:bidi="ar-SA"/>
        </w:rPr>
        <w:t>申请人的</w:t>
      </w:r>
      <w:r>
        <w:rPr>
          <w:rFonts w:hint="eastAsia" w:ascii="宋体" w:hAnsi="宋体" w:eastAsia="宋体" w:cs="宋体"/>
          <w:iCs/>
          <w:color w:val="auto"/>
          <w:kern w:val="2"/>
          <w:sz w:val="24"/>
          <w:szCs w:val="24"/>
          <w:highlight w:val="none"/>
          <w:shd w:val="clear" w:color="auto" w:fill="FFFFFF" w:themeFill="background1"/>
          <w:lang w:val="zh-CN" w:eastAsia="zh-CN" w:bidi="ar-SA"/>
        </w:rPr>
        <w:t>资格</w:t>
      </w:r>
      <w:r>
        <w:rPr>
          <w:rFonts w:hint="eastAsia" w:ascii="宋体" w:hAnsi="宋体" w:eastAsia="宋体" w:cs="宋体"/>
          <w:iCs/>
          <w:color w:val="auto"/>
          <w:kern w:val="2"/>
          <w:sz w:val="24"/>
          <w:szCs w:val="24"/>
          <w:highlight w:val="none"/>
          <w:shd w:val="clear" w:color="auto" w:fill="FFFFFF" w:themeFill="background1"/>
          <w:lang w:val="en-US" w:eastAsia="zh-CN" w:bidi="ar-SA"/>
        </w:rPr>
        <w:t>要求”</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8" w:name="_Toc18281"/>
      <w:bookmarkStart w:id="149" w:name="_Toc163492827"/>
      <w:r>
        <w:rPr>
          <w:rFonts w:hint="eastAsia" w:ascii="宋体" w:hAnsi="宋体" w:eastAsia="宋体" w:cs="宋体"/>
          <w:b/>
          <w:bCs/>
          <w:color w:val="auto"/>
          <w:kern w:val="2"/>
          <w:sz w:val="24"/>
          <w:szCs w:val="24"/>
          <w:highlight w:val="none"/>
          <w:lang w:val="en-US" w:eastAsia="zh-CN" w:bidi="ar-SA"/>
        </w:rPr>
        <w:t>5.费用承担</w:t>
      </w:r>
      <w:bookmarkEnd w:id="148"/>
      <w:bookmarkEnd w:id="149"/>
    </w:p>
    <w:p>
      <w:pPr>
        <w:pStyle w:val="37"/>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不论投标的结果如何，投标人应承担所有与准备和参加投标有关的费用。</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0" w:name="_Toc163492828"/>
      <w:bookmarkStart w:id="151" w:name="_Toc140132761"/>
      <w:bookmarkStart w:id="152" w:name="_Toc4542"/>
      <w:r>
        <w:rPr>
          <w:rFonts w:hint="eastAsia" w:ascii="宋体" w:hAnsi="宋体" w:eastAsia="宋体" w:cs="宋体"/>
          <w:b/>
          <w:bCs/>
          <w:color w:val="auto"/>
          <w:kern w:val="2"/>
          <w:sz w:val="24"/>
          <w:szCs w:val="24"/>
          <w:highlight w:val="none"/>
          <w:lang w:val="en-US" w:eastAsia="zh-CN" w:bidi="ar-SA"/>
        </w:rPr>
        <w:t>6.保密</w:t>
      </w:r>
      <w:bookmarkEnd w:id="150"/>
      <w:bookmarkEnd w:id="151"/>
      <w:bookmarkEnd w:id="152"/>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2 </w:t>
      </w:r>
      <w:r>
        <w:rPr>
          <w:rFonts w:hint="eastAsia" w:ascii="宋体" w:hAnsi="宋体" w:eastAsia="宋体" w:cs="宋体"/>
          <w:color w:val="auto"/>
          <w:kern w:val="2"/>
          <w:sz w:val="24"/>
          <w:szCs w:val="24"/>
          <w:highlight w:val="none"/>
        </w:rPr>
        <w:t>投标人自领取招标文件之日起，须承担本招标项目保密义务，不得将因本次招标获得的信息向第三人外传。由采购人向投标人提供的图纸、详细资料、样品、模型、模件和所有</w:t>
      </w:r>
      <w:r>
        <w:rPr>
          <w:rFonts w:hint="eastAsia" w:ascii="宋体" w:hAnsi="宋体" w:eastAsia="宋体" w:cs="宋体"/>
          <w:color w:val="auto"/>
          <w:kern w:val="2"/>
          <w:sz w:val="24"/>
          <w:szCs w:val="24"/>
          <w:highlight w:val="none"/>
          <w:lang w:eastAsia="zh-CN"/>
        </w:rPr>
        <w:t>其他</w:t>
      </w:r>
      <w:r>
        <w:rPr>
          <w:rFonts w:hint="eastAsia" w:ascii="宋体" w:hAnsi="宋体" w:eastAsia="宋体" w:cs="宋体"/>
          <w:color w:val="auto"/>
          <w:kern w:val="2"/>
          <w:sz w:val="24"/>
          <w:szCs w:val="24"/>
          <w:highlight w:val="none"/>
        </w:rPr>
        <w:t>资料，被视为保密资料，仅被用于它所规定的用途。除非得到采购人的同意，不能向任何第三方透露。开标结束后，应采购人要求，投标人应归还所有从采购人处获得的保密资料。</w:t>
      </w:r>
    </w:p>
    <w:p>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3 </w:t>
      </w:r>
      <w:r>
        <w:rPr>
          <w:rFonts w:hint="eastAsia" w:ascii="宋体" w:hAnsi="宋体" w:eastAsia="宋体" w:cs="宋体"/>
          <w:color w:val="auto"/>
          <w:kern w:val="2"/>
          <w:sz w:val="24"/>
          <w:szCs w:val="24"/>
          <w:highlight w:val="none"/>
        </w:rPr>
        <w:t>采购代理机构有权将投标人提供的所有资料向有关政府部门或评审</w:t>
      </w:r>
      <w:r>
        <w:rPr>
          <w:rFonts w:hint="eastAsia" w:ascii="宋体" w:hAnsi="宋体" w:eastAsia="宋体" w:cs="宋体"/>
          <w:color w:val="auto"/>
          <w:kern w:val="2"/>
          <w:sz w:val="24"/>
          <w:szCs w:val="24"/>
          <w:highlight w:val="none"/>
          <w:lang w:val="en-US" w:eastAsia="zh-CN"/>
        </w:rPr>
        <w:t>投标文件</w:t>
      </w:r>
      <w:r>
        <w:rPr>
          <w:rFonts w:hint="eastAsia" w:ascii="宋体" w:hAnsi="宋体" w:eastAsia="宋体" w:cs="宋体"/>
          <w:color w:val="auto"/>
          <w:kern w:val="2"/>
          <w:sz w:val="24"/>
          <w:szCs w:val="24"/>
          <w:highlight w:val="none"/>
        </w:rPr>
        <w:t>的有关人员披露。</w:t>
      </w:r>
    </w:p>
    <w:p>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color w:val="auto"/>
          <w:kern w:val="2"/>
          <w:sz w:val="24"/>
          <w:szCs w:val="24"/>
          <w:highlight w:val="none"/>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3" w:name="_Toc140132762"/>
      <w:bookmarkStart w:id="154" w:name="_Toc163492829"/>
      <w:bookmarkStart w:id="155" w:name="_Toc9160"/>
      <w:r>
        <w:rPr>
          <w:rFonts w:hint="eastAsia" w:ascii="宋体" w:hAnsi="宋体" w:eastAsia="宋体" w:cs="宋体"/>
          <w:b/>
          <w:bCs/>
          <w:color w:val="auto"/>
          <w:kern w:val="2"/>
          <w:sz w:val="24"/>
          <w:szCs w:val="24"/>
          <w:highlight w:val="none"/>
          <w:lang w:val="en-US" w:eastAsia="zh-CN" w:bidi="ar-SA"/>
        </w:rPr>
        <w:t>7.语言文字</w:t>
      </w:r>
      <w:bookmarkEnd w:id="153"/>
      <w:bookmarkEnd w:id="154"/>
      <w:bookmarkEnd w:id="155"/>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7.1招标投标</w:t>
      </w:r>
      <w:r>
        <w:rPr>
          <w:rFonts w:hint="eastAsia" w:ascii="宋体" w:hAnsi="宋体" w:eastAsia="宋体" w:cs="宋体"/>
          <w:color w:val="auto"/>
          <w:sz w:val="24"/>
          <w:szCs w:val="24"/>
          <w:highlight w:val="none"/>
          <w:lang w:val="en-US" w:eastAsia="zh-CN"/>
        </w:rPr>
        <w:t>过程</w:t>
      </w:r>
      <w:r>
        <w:rPr>
          <w:rFonts w:hint="eastAsia" w:ascii="宋体" w:hAnsi="宋体" w:eastAsia="宋体" w:cs="宋体"/>
          <w:color w:val="auto"/>
          <w:sz w:val="24"/>
          <w:szCs w:val="24"/>
          <w:highlight w:val="none"/>
        </w:rPr>
        <w:t>文件使用的语言文字为中文。专用术语使用外文的，应附有中文注释。</w:t>
      </w:r>
      <w:r>
        <w:rPr>
          <w:rFonts w:hint="eastAsia" w:ascii="宋体" w:hAnsi="宋体" w:eastAsia="宋体" w:cs="宋体"/>
          <w:color w:val="auto"/>
          <w:sz w:val="24"/>
          <w:szCs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6" w:name="_Toc15679"/>
      <w:bookmarkStart w:id="157" w:name="_Toc163492830"/>
      <w:bookmarkStart w:id="158" w:name="_Toc140132763"/>
      <w:r>
        <w:rPr>
          <w:rFonts w:hint="eastAsia" w:ascii="宋体" w:hAnsi="宋体" w:eastAsia="宋体" w:cs="宋体"/>
          <w:b/>
          <w:bCs/>
          <w:color w:val="auto"/>
          <w:kern w:val="2"/>
          <w:sz w:val="24"/>
          <w:szCs w:val="24"/>
          <w:highlight w:val="none"/>
          <w:lang w:val="en-US" w:eastAsia="zh-CN" w:bidi="ar-SA"/>
        </w:rPr>
        <w:t>8.计量单位</w:t>
      </w:r>
      <w:bookmarkEnd w:id="156"/>
      <w:bookmarkEnd w:id="157"/>
      <w:bookmarkEnd w:id="158"/>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8.1所有计量均采用中华人民共和国法定计量单位。</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9" w:name="_Toc140132764"/>
      <w:bookmarkStart w:id="160" w:name="_Toc163492831"/>
      <w:bookmarkStart w:id="161" w:name="_Toc23050"/>
      <w:r>
        <w:rPr>
          <w:rFonts w:hint="eastAsia" w:ascii="宋体" w:hAnsi="宋体" w:eastAsia="宋体" w:cs="宋体"/>
          <w:b/>
          <w:bCs/>
          <w:color w:val="auto"/>
          <w:kern w:val="2"/>
          <w:sz w:val="24"/>
          <w:szCs w:val="24"/>
          <w:highlight w:val="none"/>
          <w:lang w:val="en-US" w:eastAsia="zh-CN" w:bidi="ar-SA"/>
        </w:rPr>
        <w:t>9.现场考察和答疑会</w:t>
      </w:r>
      <w:bookmarkEnd w:id="159"/>
      <w:bookmarkEnd w:id="160"/>
      <w:bookmarkEnd w:id="161"/>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162" w:name="_Hlk143529198"/>
      <w:r>
        <w:rPr>
          <w:rFonts w:hint="eastAsia" w:ascii="宋体" w:hAnsi="宋体" w:eastAsia="宋体" w:cs="宋体"/>
          <w:color w:val="auto"/>
          <w:sz w:val="24"/>
          <w:szCs w:val="24"/>
          <w:highlight w:val="none"/>
        </w:rPr>
        <w:t xml:space="preserve">9.1 “投标人须知前附表”规定组织现场考察的，采购代理机构按“投标人须知前附表”规定的时间、地点组织投标人项目现场考察。 </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投标人现场考察发生的费用自理。</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在现场考察中，因投标人自身原因发生的人员伤亡和财产损失，由投标人自行负责。</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采购人在现场考察中介绍的项目场地和相关的周边环境情况，仅供投标人在编制投标文件时参考，采购人和采购代理机构不对投标人据此作出的判断和决策负责。</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“投标人须知前附表”规定召开答疑会的，采购代理机构按“投标人须知前附表”规定的时间和地点召开答疑会，澄清投标人提出的问题。</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62"/>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3" w:name="_Toc163492833"/>
      <w:bookmarkStart w:id="164" w:name="_Toc72"/>
      <w:bookmarkStart w:id="165" w:name="_Toc155185858"/>
      <w:bookmarkStart w:id="166" w:name="_Toc155185871"/>
      <w:r>
        <w:rPr>
          <w:rFonts w:hint="eastAsia" w:ascii="宋体" w:hAnsi="宋体" w:eastAsia="宋体" w:cs="宋体"/>
          <w:b/>
          <w:bCs/>
          <w:color w:val="auto"/>
          <w:kern w:val="2"/>
          <w:sz w:val="24"/>
          <w:szCs w:val="24"/>
          <w:highlight w:val="none"/>
          <w:lang w:val="en-US" w:eastAsia="zh-CN" w:bidi="ar-SA"/>
        </w:rPr>
        <w:t>10.电子投标说明</w:t>
      </w:r>
      <w:bookmarkEnd w:id="163"/>
      <w:bookmarkEnd w:id="164"/>
      <w:bookmarkEnd w:id="165"/>
      <w:r>
        <w:rPr>
          <w:rFonts w:hint="eastAsia" w:ascii="宋体" w:hAnsi="宋体" w:eastAsia="宋体" w:cs="宋体"/>
          <w:b/>
          <w:bCs/>
          <w:color w:val="auto"/>
          <w:kern w:val="2"/>
          <w:sz w:val="24"/>
          <w:szCs w:val="24"/>
          <w:highlight w:val="none"/>
          <w:lang w:val="en-US" w:eastAsia="zh-CN" w:bidi="ar-SA"/>
        </w:rPr>
        <w:t xml:space="preserve">   </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10.1 </w:t>
      </w:r>
      <w:r>
        <w:rPr>
          <w:rFonts w:hint="eastAsia" w:ascii="宋体" w:hAnsi="宋体" w:eastAsia="宋体" w:cs="宋体"/>
          <w:color w:val="auto"/>
          <w:sz w:val="24"/>
          <w:szCs w:val="24"/>
          <w:highlight w:val="none"/>
        </w:rPr>
        <w:t>本次采购采用电子交易方式，电子交易平台为</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rPr>
        <w:t>。投标人参与本项目电子交易活动前，应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政</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lang w:val="en-US"/>
        </w:rPr>
        <w:t>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val="en-US" w:eastAsia="zh-CN"/>
        </w:rPr>
        <w:t>供应商账号</w:t>
      </w:r>
      <w:r>
        <w:rPr>
          <w:rFonts w:hint="eastAsia" w:ascii="宋体" w:hAnsi="宋体" w:eastAsia="宋体" w:cs="宋体"/>
          <w:color w:val="auto"/>
          <w:sz w:val="24"/>
          <w:szCs w:val="24"/>
          <w:highlight w:val="none"/>
        </w:rPr>
        <w:t>。编制电子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文件前还需</w:t>
      </w:r>
      <w:r>
        <w:rPr>
          <w:rFonts w:hint="eastAsia" w:ascii="宋体" w:hAnsi="宋体" w:eastAsia="宋体" w:cs="宋体"/>
          <w:color w:val="auto"/>
          <w:sz w:val="24"/>
          <w:szCs w:val="24"/>
          <w:highlight w:val="none"/>
          <w:lang w:val="en-US" w:eastAsia="zh-CN"/>
        </w:rPr>
        <w:t>申领CA证书并绑定</w:t>
      </w:r>
      <w:r>
        <w:rPr>
          <w:rFonts w:hint="eastAsia" w:cs="宋体"/>
          <w:color w:val="auto"/>
          <w:sz w:val="24"/>
          <w:szCs w:val="24"/>
          <w:highlight w:val="none"/>
          <w:lang w:val="en-US" w:eastAsia="zh-CN"/>
        </w:rPr>
        <w:t>账号</w:t>
      </w:r>
      <w:r>
        <w:rPr>
          <w:rFonts w:hint="eastAsia" w:ascii="宋体" w:hAnsi="宋体" w:eastAsia="宋体" w:cs="宋体"/>
          <w:color w:val="auto"/>
          <w:sz w:val="24"/>
          <w:szCs w:val="24"/>
          <w:highlight w:val="none"/>
          <w:lang w:val="en-US" w:eastAsia="zh-CN"/>
        </w:rPr>
        <w:t>。投标人应充分考虑完成平台注册、申领CA证书等所需的时间。</w:t>
      </w:r>
      <w:r>
        <w:rPr>
          <w:rFonts w:hint="eastAsia" w:ascii="宋体" w:hAnsi="宋体" w:eastAsia="宋体" w:cs="宋体"/>
          <w:color w:val="auto"/>
          <w:sz w:val="24"/>
          <w:szCs w:val="24"/>
          <w:highlight w:val="none"/>
          <w:lang w:val="zh-CN" w:eastAsia="zh-CN"/>
        </w:rPr>
        <w:t>潜在投标人领取文件须提前完成注册、CA证书和电子签章申领和绑定、下载</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投标客户端</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w:t>
      </w:r>
      <w:r>
        <w:rPr>
          <w:rFonts w:hint="eastAsia" w:ascii="宋体" w:hAnsi="宋体" w:eastAsia="宋体"/>
          <w:color w:val="auto"/>
          <w:sz w:val="24"/>
          <w:highlight w:val="none"/>
          <w:lang w:val="zh-CN" w:eastAsia="zh-CN"/>
        </w:rPr>
        <w:t>因未办理CA数字证书、CA证书故障、操作不当等原因造成无法投标或投标失败等后果由投标人自行承担。</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投标人将</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平台电子交易客户端下载、安装完成后，可通过账号密码或CA登录客户端进行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制作。在使用政采云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投标客户端</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时，建议使用WIN7及以上操作系统。</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登录</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政府采购网“下载专区”—“电子招投标客户端下载”下载相关客户端，如有问题可拨打政采云客户服务热线95763进行咨询。</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加密的电子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递交截止时间前通过政采云平台上传完成。逾期上传或者未上传指定地点的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，不予受理。</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投标人在开标前须提前配置好电脑</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浏览器，开标时请使用制作加密电子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的CA锁进行解密及报价确认。本项目</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解密时间</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，如因自身原因导致无法正常解密，后果由投标人自行承担。</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如遇“</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rPr>
        <w:t>”电子交易规则调整，以最新要求为准。</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10.6 电子交易系统咨询：投标人应当充分考虑到电子投标可能会发生的各种问题和风险，特别是投标文件签署、提交等问题，可按照“第一章 招标公告”的联系方式咨询相关人员。</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7" w:name="_Toc12064"/>
      <w:bookmarkStart w:id="168" w:name="_Toc163492834"/>
      <w:r>
        <w:rPr>
          <w:rFonts w:hint="eastAsia" w:ascii="宋体" w:hAnsi="宋体" w:eastAsia="宋体" w:cs="宋体"/>
          <w:b/>
          <w:bCs/>
          <w:color w:val="auto"/>
          <w:kern w:val="2"/>
          <w:sz w:val="24"/>
          <w:szCs w:val="24"/>
          <w:highlight w:val="none"/>
          <w:lang w:val="en-US" w:eastAsia="zh-CN" w:bidi="ar-SA"/>
        </w:rPr>
        <w:t>（二）招标文件</w:t>
      </w:r>
      <w:bookmarkEnd w:id="166"/>
      <w:bookmarkEnd w:id="167"/>
      <w:bookmarkEnd w:id="168"/>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9" w:name="_Toc14223"/>
      <w:bookmarkStart w:id="170" w:name="_Toc140132768"/>
      <w:bookmarkStart w:id="171" w:name="_Toc163492835"/>
      <w:r>
        <w:rPr>
          <w:rFonts w:hint="eastAsia" w:ascii="宋体" w:hAnsi="宋体" w:eastAsia="宋体" w:cs="宋体"/>
          <w:b/>
          <w:bCs/>
          <w:color w:val="auto"/>
          <w:kern w:val="2"/>
          <w:sz w:val="24"/>
          <w:szCs w:val="24"/>
          <w:highlight w:val="none"/>
          <w:lang w:val="en-US" w:eastAsia="zh-CN" w:bidi="ar-SA"/>
        </w:rPr>
        <w:t>11.招标文件的组成</w:t>
      </w:r>
      <w:bookmarkEnd w:id="169"/>
      <w:bookmarkEnd w:id="170"/>
      <w:bookmarkEnd w:id="171"/>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.1本招标文件包括下列文件及根据本章第9款、第1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款对招标文件所作的澄清或者修改。</w:t>
      </w:r>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招标公告</w:t>
      </w:r>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采购需求</w:t>
      </w:r>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资格审查</w:t>
      </w:r>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pPr>
        <w:keepNext w:val="0"/>
        <w:keepLines w:val="0"/>
        <w:pageBreakBefore w:val="0"/>
        <w:widowControl w:val="0"/>
        <w:kinsoku/>
        <w:overflowPunct/>
        <w:topLinePunct w:val="0"/>
        <w:autoSpaceDE/>
        <w:autoSpaceDN/>
        <w:bidi w:val="0"/>
        <w:adjustRightInd/>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第六章 合同</w:t>
      </w:r>
      <w:r>
        <w:rPr>
          <w:rFonts w:hint="eastAsia" w:cs="宋体"/>
          <w:color w:val="auto"/>
          <w:sz w:val="24"/>
          <w:szCs w:val="24"/>
          <w:highlight w:val="none"/>
          <w:lang w:val="en-US" w:eastAsia="zh-CN"/>
        </w:rPr>
        <w:t>条款及格式</w:t>
      </w:r>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投标文件的格式</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72" w:name="_Toc12876"/>
      <w:bookmarkStart w:id="173" w:name="_Toc163492836"/>
      <w:bookmarkStart w:id="174" w:name="_Toc140132769"/>
      <w:r>
        <w:rPr>
          <w:rFonts w:hint="eastAsia" w:ascii="宋体" w:hAnsi="宋体" w:eastAsia="宋体" w:cs="宋体"/>
          <w:b/>
          <w:bCs/>
          <w:color w:val="auto"/>
          <w:kern w:val="2"/>
          <w:sz w:val="24"/>
          <w:szCs w:val="24"/>
          <w:highlight w:val="none"/>
          <w:lang w:val="en-US" w:eastAsia="zh-CN" w:bidi="ar-SA"/>
        </w:rPr>
        <w:t>12.招标文件的询问、澄清或者修改</w:t>
      </w:r>
      <w:bookmarkEnd w:id="172"/>
      <w:bookmarkEnd w:id="173"/>
      <w:bookmarkEnd w:id="174"/>
    </w:p>
    <w:p>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投标人如对招标文件内容有疑问，须在投标人须知前附表规定的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仿宋_GB2312"/>
          <w:color w:val="auto"/>
          <w:sz w:val="24"/>
          <w:szCs w:val="24"/>
          <w:highlight w:val="none"/>
          <w:lang w:val="en-US" w:eastAsia="zh-CN"/>
        </w:rPr>
        <w:t>新疆政府采购云平台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pPr>
        <w:pStyle w:val="37"/>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75" w:name="_Toc155185872"/>
      <w:bookmarkStart w:id="176" w:name="_Toc19757"/>
      <w:bookmarkStart w:id="177" w:name="_Toc163492837"/>
      <w:r>
        <w:rPr>
          <w:rFonts w:hint="eastAsia" w:ascii="宋体" w:hAnsi="宋体" w:eastAsia="宋体" w:cs="宋体"/>
          <w:b/>
          <w:bCs/>
          <w:color w:val="auto"/>
          <w:kern w:val="2"/>
          <w:sz w:val="24"/>
          <w:szCs w:val="24"/>
          <w:highlight w:val="none"/>
          <w:lang w:val="en-US" w:eastAsia="zh-CN" w:bidi="ar-SA"/>
        </w:rPr>
        <w:t>（三）投标文件</w:t>
      </w:r>
      <w:bookmarkEnd w:id="175"/>
      <w:bookmarkEnd w:id="176"/>
      <w:bookmarkEnd w:id="177"/>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78" w:name="_Toc163492838"/>
      <w:bookmarkStart w:id="179" w:name="_Toc17841"/>
      <w:r>
        <w:rPr>
          <w:rFonts w:hint="eastAsia" w:ascii="宋体" w:hAnsi="宋体" w:eastAsia="宋体" w:cs="宋体"/>
          <w:b/>
          <w:bCs/>
          <w:color w:val="auto"/>
          <w:kern w:val="2"/>
          <w:sz w:val="24"/>
          <w:szCs w:val="24"/>
          <w:highlight w:val="none"/>
          <w:lang w:val="en-US" w:eastAsia="zh-CN" w:bidi="ar-SA"/>
        </w:rPr>
        <w:t>13.投标文件的组成</w:t>
      </w:r>
      <w:bookmarkEnd w:id="178"/>
      <w:bookmarkEnd w:id="179"/>
    </w:p>
    <w:p>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bookmarkStart w:id="180" w:name="_Toc140132772"/>
      <w:bookmarkStart w:id="181" w:name="_Toc163492839"/>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.1投标人应完整地按招标文件提供的投标文件格式及要求编写投标文件，具体内容详见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 xml:space="preserve">第七章 </w:t>
      </w:r>
      <w:r>
        <w:rPr>
          <w:rFonts w:hint="eastAsia" w:ascii="宋体" w:hAnsi="宋体" w:eastAsia="宋体" w:cs="宋体"/>
          <w:color w:val="auto"/>
          <w:kern w:val="2"/>
          <w:sz w:val="24"/>
          <w:szCs w:val="24"/>
          <w:highlight w:val="none"/>
        </w:rPr>
        <w:t>投标文件格式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的相关内容。</w:t>
      </w:r>
    </w:p>
    <w:p>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13.2</w:t>
      </w:r>
      <w:r>
        <w:rPr>
          <w:rFonts w:hint="eastAsia" w:ascii="宋体" w:hAnsi="宋体" w:eastAsia="宋体" w:cs="宋体"/>
          <w:color w:val="auto"/>
          <w:kern w:val="2"/>
          <w:sz w:val="24"/>
          <w:szCs w:val="24"/>
          <w:highlight w:val="none"/>
        </w:rPr>
        <w:t>投标人应提交招标文件要求的证明文件，证明其投标内容符合招标文件规定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该证明文件是投标文件的一部分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证明文件</w:t>
      </w:r>
      <w:r>
        <w:rPr>
          <w:rFonts w:hint="eastAsia" w:ascii="宋体" w:hAnsi="宋体" w:eastAsia="宋体" w:cs="宋体"/>
          <w:color w:val="auto"/>
          <w:kern w:val="2"/>
          <w:sz w:val="24"/>
          <w:szCs w:val="24"/>
          <w:highlight w:val="none"/>
          <w:lang w:val="en-US" w:eastAsia="zh-CN"/>
        </w:rPr>
        <w:t>形式</w:t>
      </w:r>
      <w:r>
        <w:rPr>
          <w:rFonts w:hint="eastAsia" w:ascii="宋体" w:hAnsi="宋体" w:eastAsia="宋体" w:cs="宋体"/>
          <w:color w:val="auto"/>
          <w:kern w:val="2"/>
          <w:sz w:val="24"/>
          <w:szCs w:val="24"/>
          <w:highlight w:val="none"/>
        </w:rPr>
        <w:t>可以是文字资料、图纸和数据</w:t>
      </w:r>
      <w:bookmarkStart w:id="182" w:name="_Hlk11703583"/>
      <w:r>
        <w:rPr>
          <w:rFonts w:hint="eastAsia" w:ascii="宋体" w:hAnsi="宋体" w:eastAsia="宋体" w:cs="宋体"/>
          <w:color w:val="auto"/>
          <w:kern w:val="2"/>
          <w:sz w:val="24"/>
          <w:szCs w:val="24"/>
          <w:highlight w:val="none"/>
          <w:lang w:val="en-US" w:eastAsia="zh-CN"/>
        </w:rPr>
        <w:t>等。</w:t>
      </w:r>
    </w:p>
    <w:bookmarkEnd w:id="182"/>
    <w:p>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13.3</w:t>
      </w:r>
      <w:r>
        <w:rPr>
          <w:rFonts w:hint="eastAsia" w:ascii="宋体" w:hAnsi="宋体" w:eastAsia="宋体" w:cs="宋体"/>
          <w:color w:val="auto"/>
          <w:kern w:val="2"/>
          <w:sz w:val="24"/>
          <w:szCs w:val="24"/>
          <w:highlight w:val="none"/>
        </w:rPr>
        <w:t>为保证公平公正，除非</w:t>
      </w:r>
      <w:r>
        <w:rPr>
          <w:rFonts w:hint="eastAsia" w:ascii="宋体" w:hAnsi="宋体" w:eastAsia="宋体" w:cs="宋体"/>
          <w:color w:val="auto"/>
          <w:kern w:val="2"/>
          <w:sz w:val="24"/>
          <w:szCs w:val="24"/>
          <w:highlight w:val="none"/>
          <w:lang w:val="en-US" w:eastAsia="zh-CN"/>
        </w:rPr>
        <w:t>本招标文件</w:t>
      </w:r>
      <w:r>
        <w:rPr>
          <w:rFonts w:hint="eastAsia" w:ascii="宋体" w:hAnsi="宋体" w:eastAsia="宋体" w:cs="宋体"/>
          <w:color w:val="auto"/>
          <w:kern w:val="2"/>
          <w:sz w:val="24"/>
          <w:szCs w:val="24"/>
          <w:highlight w:val="none"/>
        </w:rPr>
        <w:t>另有规定或说明，投标人对同一项目投标时，不得同时提供备选投标方案。</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3" w:name="_Toc348"/>
      <w:r>
        <w:rPr>
          <w:rFonts w:hint="eastAsia" w:ascii="宋体" w:hAnsi="宋体" w:eastAsia="宋体" w:cs="宋体"/>
          <w:b/>
          <w:bCs/>
          <w:color w:val="auto"/>
          <w:kern w:val="2"/>
          <w:sz w:val="24"/>
          <w:szCs w:val="24"/>
          <w:highlight w:val="none"/>
          <w:lang w:val="en-US" w:eastAsia="zh-CN" w:bidi="ar-SA"/>
        </w:rPr>
        <w:t>14.投标报价</w:t>
      </w:r>
      <w:bookmarkEnd w:id="180"/>
      <w:bookmarkEnd w:id="181"/>
      <w:bookmarkEnd w:id="183"/>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 xml:space="preserve">.1 </w:t>
      </w:r>
      <w:r>
        <w:rPr>
          <w:rFonts w:hint="eastAsia" w:ascii="宋体" w:hAnsi="宋体" w:eastAsia="宋体" w:cs="宋体"/>
          <w:snapToGrid w:val="0"/>
          <w:color w:val="auto"/>
          <w:sz w:val="24"/>
          <w:szCs w:val="24"/>
          <w:highlight w:val="none"/>
          <w:lang w:val="zh-CN"/>
        </w:rPr>
        <w:t>投标人的报价均应以人民币进行报价。</w:t>
      </w:r>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投标人应按照本招标文件规定的报价方式进行报价，投标报价中不得包含招标文件要求以外的内容，否则，在评标时不予核减。投标报价中也不得遗漏招标文件所要求的内容，否则其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kern w:val="2"/>
          <w:sz w:val="24"/>
          <w:szCs w:val="24"/>
          <w:highlight w:val="none"/>
          <w:lang w:val="en-US" w:eastAsia="zh-CN"/>
        </w:rPr>
        <w:t>14.3</w:t>
      </w:r>
      <w:r>
        <w:rPr>
          <w:rFonts w:hint="eastAsia" w:ascii="宋体" w:hAnsi="宋体" w:eastAsia="宋体" w:cs="宋体"/>
          <w:snapToGrid w:val="0"/>
          <w:color w:val="auto"/>
          <w:sz w:val="24"/>
          <w:szCs w:val="24"/>
          <w:highlight w:val="none"/>
          <w:lang w:val="en-US" w:eastAsia="zh-CN"/>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snapToGrid w:val="0"/>
          <w:color w:val="auto"/>
          <w:sz w:val="24"/>
          <w:szCs w:val="24"/>
          <w:highlight w:val="none"/>
        </w:rPr>
        <w:t>。</w:t>
      </w:r>
    </w:p>
    <w:p>
      <w:pPr>
        <w:pStyle w:val="1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14.4投标人的报价应包括但不限于按照招标文件要求完成本项目的全部相关费用。</w:t>
      </w:r>
    </w:p>
    <w:p>
      <w:pPr>
        <w:ind w:firstLine="480" w:firstLineChars="200"/>
        <w:jc w:val="both"/>
        <w:rPr>
          <w:rFonts w:hint="eastAsia" w:ascii="宋体" w:hAnsi="宋体" w:eastAsia="宋体" w:cs="宋体"/>
          <w:snapToGrid w:val="0"/>
          <w:color w:val="auto"/>
          <w:sz w:val="24"/>
          <w:szCs w:val="24"/>
          <w:highlight w:val="none"/>
          <w:lang w:val="zh-CN"/>
        </w:rPr>
      </w:pPr>
      <w:r>
        <w:rPr>
          <w:rFonts w:hint="eastAsia" w:ascii="宋体" w:hAnsi="宋体" w:eastAsia="宋体" w:cs="宋体"/>
          <w:color w:val="auto"/>
          <w:kern w:val="2"/>
          <w:sz w:val="24"/>
          <w:szCs w:val="24"/>
          <w:highlight w:val="none"/>
          <w:lang w:val="en-US" w:eastAsia="zh-CN" w:bidi="ar-SA"/>
        </w:rPr>
        <w:t>14.5 投标人须严格按照分项报价表规定的内容填写服务单价以及其他事项。</w:t>
      </w:r>
      <w:r>
        <w:rPr>
          <w:rFonts w:hint="eastAsia" w:ascii="宋体" w:hAnsi="宋体"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w:t>
      </w:r>
      <w:r>
        <w:rPr>
          <w:rFonts w:hint="eastAsia" w:cs="宋体"/>
          <w:snapToGrid w:val="0"/>
          <w:color w:val="auto"/>
          <w:sz w:val="24"/>
          <w:szCs w:val="24"/>
          <w:highlight w:val="none"/>
          <w:lang w:val="zh-CN"/>
        </w:rPr>
        <w:t>其他</w:t>
      </w:r>
      <w:r>
        <w:rPr>
          <w:rFonts w:hint="eastAsia" w:ascii="宋体" w:hAnsi="宋体" w:eastAsia="宋体" w:cs="宋体"/>
          <w:snapToGrid w:val="0"/>
          <w:color w:val="auto"/>
          <w:sz w:val="24"/>
          <w:szCs w:val="24"/>
          <w:highlight w:val="none"/>
          <w:lang w:val="zh-CN"/>
        </w:rPr>
        <w:t>原因应由投标人支付的税款和其他应交纳的费用都应包括在投标人提交的投标报价中。</w:t>
      </w:r>
    </w:p>
    <w:p>
      <w:pPr>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14.6 投标人在投标文件中注明免费的项目将视为包含在投标报价中。</w:t>
      </w:r>
    </w:p>
    <w:p>
      <w:pPr>
        <w:pStyle w:val="1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14.7 每一种采购内容只允许</w:t>
      </w:r>
      <w:r>
        <w:rPr>
          <w:rFonts w:hint="eastAsia" w:ascii="宋体" w:hAnsi="宋体" w:eastAsia="宋体" w:cs="宋体"/>
          <w:snapToGrid w:val="0"/>
          <w:color w:val="auto"/>
          <w:sz w:val="24"/>
          <w:szCs w:val="24"/>
          <w:highlight w:val="none"/>
        </w:rPr>
        <w:t>有一个报价，否则其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r>
        <w:rPr>
          <w:rFonts w:hint="eastAsia" w:ascii="宋体" w:hAnsi="宋体" w:eastAsia="宋体" w:cs="宋体"/>
          <w:color w:val="auto"/>
          <w:kern w:val="2"/>
          <w:sz w:val="24"/>
          <w:szCs w:val="24"/>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4"/>
          <w:highlight w:val="none"/>
          <w:lang w:val="en-US" w:eastAsia="zh-CN"/>
        </w:rPr>
        <w:t>实质性</w:t>
      </w:r>
      <w:r>
        <w:rPr>
          <w:rFonts w:hint="eastAsia" w:ascii="宋体" w:hAnsi="宋体" w:eastAsia="宋体" w:cs="宋体"/>
          <w:color w:val="auto"/>
          <w:kern w:val="2"/>
          <w:sz w:val="24"/>
          <w:szCs w:val="24"/>
          <w:highlight w:val="none"/>
        </w:rPr>
        <w:t>响应</w:t>
      </w:r>
      <w:r>
        <w:rPr>
          <w:rFonts w:hint="eastAsia" w:ascii="宋体" w:hAnsi="宋体" w:eastAsia="宋体" w:cs="宋体"/>
          <w:color w:val="auto"/>
          <w:kern w:val="2"/>
          <w:sz w:val="24"/>
          <w:szCs w:val="24"/>
          <w:highlight w:val="none"/>
          <w:lang w:val="en-US" w:eastAsia="zh-CN"/>
        </w:rPr>
        <w:t>招标文件</w:t>
      </w:r>
      <w:r>
        <w:rPr>
          <w:rFonts w:hint="eastAsia" w:ascii="宋体"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其</w:t>
      </w:r>
      <w:r>
        <w:rPr>
          <w:rFonts w:hint="eastAsia" w:ascii="宋体" w:hAnsi="宋体" w:eastAsia="宋体" w:cs="宋体"/>
          <w:b/>
          <w:bCs/>
          <w:color w:val="auto"/>
          <w:kern w:val="2"/>
          <w:sz w:val="24"/>
          <w:szCs w:val="24"/>
          <w:highlight w:val="none"/>
          <w:lang w:eastAsia="zh-CN"/>
        </w:rPr>
        <w:t>投标无效</w:t>
      </w:r>
      <w:r>
        <w:rPr>
          <w:rFonts w:hint="eastAsia" w:ascii="宋体" w:hAnsi="宋体" w:eastAsia="宋体" w:cs="宋体"/>
          <w:color w:val="auto"/>
          <w:kern w:val="2"/>
          <w:sz w:val="24"/>
          <w:szCs w:val="24"/>
          <w:highlight w:val="none"/>
        </w:rPr>
        <w:t>。</w:t>
      </w:r>
    </w:p>
    <w:p>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投标报价不得超过“</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”中规定的最高投标限价</w:t>
      </w:r>
      <w:r>
        <w:rPr>
          <w:rFonts w:hint="eastAsia" w:ascii="宋体" w:hAnsi="宋体" w:eastAsia="宋体" w:cs="宋体"/>
          <w:color w:val="auto"/>
          <w:sz w:val="24"/>
          <w:szCs w:val="24"/>
          <w:highlight w:val="none"/>
          <w:lang w:val="en-US" w:eastAsia="zh-CN"/>
        </w:rPr>
        <w:t>或者预算金额</w:t>
      </w:r>
      <w:r>
        <w:rPr>
          <w:rFonts w:hint="eastAsia" w:ascii="宋体" w:hAnsi="宋体" w:eastAsia="宋体" w:cs="宋体"/>
          <w:color w:val="auto"/>
          <w:sz w:val="24"/>
          <w:szCs w:val="24"/>
          <w:highlight w:val="none"/>
        </w:rPr>
        <w:t>，否则评标委员会将</w:t>
      </w:r>
      <w:r>
        <w:rPr>
          <w:rFonts w:hint="eastAsia" w:ascii="宋体" w:hAnsi="宋体" w:eastAsia="宋体" w:cs="宋体"/>
          <w:b w:val="0"/>
          <w:bCs w:val="0"/>
          <w:color w:val="auto"/>
          <w:sz w:val="24"/>
          <w:szCs w:val="24"/>
          <w:highlight w:val="none"/>
          <w:lang w:val="en-US" w:eastAsia="zh-CN"/>
        </w:rPr>
        <w:t>对</w:t>
      </w:r>
      <w:r>
        <w:rPr>
          <w:rFonts w:hint="eastAsia" w:ascii="宋体" w:hAnsi="宋体" w:eastAsia="宋体" w:cs="宋体"/>
          <w:b w:val="0"/>
          <w:bCs w:val="0"/>
          <w:color w:val="auto"/>
          <w:sz w:val="24"/>
          <w:szCs w:val="24"/>
          <w:highlight w:val="none"/>
        </w:rPr>
        <w:t>其</w:t>
      </w:r>
      <w:r>
        <w:rPr>
          <w:rFonts w:hint="eastAsia" w:ascii="宋体" w:hAnsi="宋体" w:eastAsia="宋体" w:cs="宋体"/>
          <w:b w:val="0"/>
          <w:bCs w:val="0"/>
          <w:color w:val="auto"/>
          <w:sz w:val="24"/>
          <w:szCs w:val="24"/>
          <w:highlight w:val="none"/>
          <w:lang w:val="en-US" w:eastAsia="zh-CN"/>
        </w:rPr>
        <w:t>作</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处理</w:t>
      </w:r>
      <w:r>
        <w:rPr>
          <w:rFonts w:hint="eastAsia" w:ascii="宋体" w:hAnsi="宋体" w:eastAsia="宋体" w:cs="宋体"/>
          <w:color w:val="auto"/>
          <w:sz w:val="24"/>
          <w:szCs w:val="24"/>
          <w:highlight w:val="none"/>
        </w:rPr>
        <w:t>。</w:t>
      </w:r>
    </w:p>
    <w:p>
      <w:pPr>
        <w:pStyle w:val="54"/>
        <w:pageBreakBefore w:val="0"/>
        <w:shd w:val="clear" w:color="auto" w:fill="auto"/>
        <w:kinsoku/>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9 </w:t>
      </w:r>
      <w:r>
        <w:rPr>
          <w:rFonts w:hint="eastAsia" w:ascii="宋体" w:hAnsi="宋体" w:eastAsia="宋体" w:cs="宋体"/>
          <w:color w:val="auto"/>
          <w:kern w:val="2"/>
          <w:sz w:val="24"/>
          <w:szCs w:val="24"/>
          <w:highlight w:val="none"/>
        </w:rPr>
        <w:t>投标人对投标报价若有说明应在投标文件中显著处注明。</w:t>
      </w:r>
    </w:p>
    <w:p>
      <w:pPr>
        <w:pStyle w:val="54"/>
        <w:pageBreakBefore w:val="0"/>
        <w:shd w:val="clear" w:color="auto" w:fill="auto"/>
        <w:kinsoku/>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除政策性文件规定以外，投标人所报价格在合同实施期间不因市场变化因素而变动。</w:t>
      </w:r>
    </w:p>
    <w:p>
      <w:pPr>
        <w:pStyle w:val="54"/>
        <w:pageBreakBefore w:val="0"/>
        <w:shd w:val="clear" w:color="auto" w:fill="auto"/>
        <w:kinsoku/>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10 </w:t>
      </w:r>
      <w:r>
        <w:rPr>
          <w:rFonts w:hint="eastAsia" w:ascii="宋体" w:hAnsi="宋体" w:eastAsia="宋体" w:cs="宋体"/>
          <w:color w:val="auto"/>
          <w:kern w:val="2"/>
          <w:sz w:val="24"/>
          <w:szCs w:val="24"/>
          <w:highlight w:val="none"/>
        </w:rPr>
        <w:t>最低报价不能作为中标的保证。</w:t>
      </w:r>
    </w:p>
    <w:p>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14.11</w:t>
      </w:r>
      <w:r>
        <w:rPr>
          <w:rFonts w:hint="eastAsia" w:ascii="宋体" w:hAnsi="宋体" w:eastAsia="宋体" w:cs="宋体"/>
          <w:color w:val="auto"/>
          <w:kern w:val="0"/>
          <w:sz w:val="24"/>
          <w:szCs w:val="24"/>
          <w:highlight w:val="none"/>
          <w:lang w:val="en-US" w:eastAsia="zh-CN" w:bidi="ar"/>
        </w:rPr>
        <w:t>采购人不得向投标人索要或者接受其给予的赠品、回扣或者与采购无关的其他商品、服务。</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4" w:name="_Toc163492840"/>
      <w:bookmarkStart w:id="185" w:name="_Toc7336"/>
      <w:bookmarkStart w:id="186" w:name="_Toc140132773"/>
      <w:r>
        <w:rPr>
          <w:rFonts w:hint="eastAsia" w:ascii="宋体" w:hAnsi="宋体" w:eastAsia="宋体" w:cs="宋体"/>
          <w:b/>
          <w:bCs/>
          <w:color w:val="auto"/>
          <w:kern w:val="2"/>
          <w:sz w:val="24"/>
          <w:szCs w:val="24"/>
          <w:highlight w:val="none"/>
          <w:lang w:val="en-US" w:eastAsia="zh-CN" w:bidi="ar-SA"/>
        </w:rPr>
        <w:t>15.投标有效期</w:t>
      </w:r>
      <w:bookmarkEnd w:id="184"/>
      <w:bookmarkEnd w:id="185"/>
      <w:bookmarkEnd w:id="186"/>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.1 </w:t>
      </w:r>
      <w:r>
        <w:rPr>
          <w:rFonts w:hint="eastAsia" w:ascii="宋体" w:hAnsi="宋体" w:eastAsia="宋体" w:cs="宋体"/>
          <w:color w:val="auto"/>
          <w:kern w:val="0"/>
          <w:sz w:val="24"/>
          <w:szCs w:val="24"/>
          <w:highlight w:val="none"/>
          <w:lang w:val="en"/>
        </w:rPr>
        <w:t>投标有效期</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 xml:space="preserve">第二章 </w:t>
      </w:r>
      <w:r>
        <w:rPr>
          <w:rFonts w:hint="eastAsia" w:ascii="宋体" w:hAnsi="宋体" w:eastAsia="宋体" w:cs="宋体"/>
          <w:color w:val="auto"/>
          <w:sz w:val="24"/>
          <w:szCs w:val="24"/>
          <w:highlight w:val="none"/>
        </w:rPr>
        <w:t>投标人须知前附表”，投标人承诺的投标有效期</w:t>
      </w:r>
      <w:r>
        <w:rPr>
          <w:rFonts w:hint="eastAsia" w:ascii="宋体" w:hAnsi="宋体" w:eastAsia="宋体" w:cs="宋体"/>
          <w:snapToGrid w:val="0"/>
          <w:color w:val="auto"/>
          <w:sz w:val="24"/>
          <w:szCs w:val="24"/>
          <w:highlight w:val="none"/>
          <w:lang w:val="zh-CN" w:eastAsia="zh-CN"/>
        </w:rPr>
        <w:t>少于</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val="zh-CN" w:eastAsia="zh-CN"/>
        </w:rPr>
        <w:t>文件规定期限的，其</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lang w:val="zh-CN" w:eastAsia="zh-CN"/>
        </w:rPr>
        <w:t>无效</w:t>
      </w:r>
      <w:r>
        <w:rPr>
          <w:rFonts w:hint="eastAsia" w:ascii="宋体" w:hAnsi="宋体" w:eastAsia="宋体" w:cs="宋体"/>
          <w:snapToGrid w:val="0"/>
          <w:color w:val="auto"/>
          <w:sz w:val="24"/>
          <w:szCs w:val="24"/>
          <w:highlight w:val="none"/>
          <w:lang w:val="zh-CN" w:eastAsia="zh-CN"/>
        </w:rPr>
        <w:t>。</w:t>
      </w:r>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投标人同意延长的，</w:t>
      </w:r>
      <w:r>
        <w:rPr>
          <w:rFonts w:hint="eastAsia" w:ascii="宋体" w:hAnsi="宋体" w:eastAsia="宋体" w:cs="宋体"/>
          <w:color w:val="auto"/>
          <w:kern w:val="2"/>
          <w:sz w:val="24"/>
          <w:szCs w:val="24"/>
          <w:highlight w:val="none"/>
          <w:lang w:val="en-US" w:eastAsia="zh-CN"/>
        </w:rPr>
        <w:t>其</w:t>
      </w:r>
      <w:r>
        <w:rPr>
          <w:rFonts w:hint="eastAsia" w:ascii="宋体" w:hAnsi="宋体" w:eastAsia="宋体" w:cs="宋体"/>
          <w:color w:val="auto"/>
          <w:kern w:val="2"/>
          <w:sz w:val="24"/>
          <w:szCs w:val="24"/>
          <w:highlight w:val="none"/>
        </w:rPr>
        <w:t>投标保证金的有效期也相应延长</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但</w:t>
      </w:r>
      <w:r>
        <w:rPr>
          <w:rFonts w:hint="eastAsia" w:ascii="宋体" w:hAnsi="宋体" w:eastAsia="宋体" w:cs="宋体"/>
          <w:color w:val="auto"/>
          <w:sz w:val="24"/>
          <w:szCs w:val="24"/>
          <w:highlight w:val="none"/>
        </w:rPr>
        <w:t>不得要求或被允许修改或撤销其投标文件；</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拒绝延长的，其投标文件在原投标有效期满后将不再有效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但其提交的投标保证金可予以退还</w:t>
      </w:r>
      <w:r>
        <w:rPr>
          <w:rFonts w:hint="eastAsia" w:ascii="宋体" w:hAnsi="宋体" w:eastAsia="宋体" w:cs="宋体"/>
          <w:color w:val="auto"/>
          <w:sz w:val="24"/>
          <w:szCs w:val="24"/>
          <w:highlight w:val="none"/>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7" w:name="_Toc163492841"/>
      <w:bookmarkStart w:id="188" w:name="_Toc26129"/>
      <w:bookmarkStart w:id="189" w:name="_Toc140132774"/>
      <w:r>
        <w:rPr>
          <w:rFonts w:hint="eastAsia" w:ascii="宋体" w:hAnsi="宋体" w:eastAsia="宋体" w:cs="宋体"/>
          <w:b/>
          <w:bCs/>
          <w:color w:val="auto"/>
          <w:kern w:val="2"/>
          <w:sz w:val="24"/>
          <w:szCs w:val="24"/>
          <w:highlight w:val="none"/>
          <w:lang w:val="en-US" w:eastAsia="zh-CN" w:bidi="ar-SA"/>
        </w:rPr>
        <w:t>16.投标文件的编制</w:t>
      </w:r>
      <w:bookmarkEnd w:id="187"/>
      <w:bookmarkEnd w:id="188"/>
      <w:bookmarkEnd w:id="189"/>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中进行编制，在投标文件中要求加盖印章的，除有特殊说明之外，</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使用电子签章签署。</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bookmarkStart w:id="190" w:name="_Hlk143528557"/>
      <w:r>
        <w:rPr>
          <w:rFonts w:hint="eastAsia" w:ascii="宋体" w:hAnsi="宋体" w:eastAsia="宋体" w:cs="宋体"/>
          <w:color w:val="auto"/>
          <w:sz w:val="24"/>
          <w:szCs w:val="24"/>
          <w:highlight w:val="none"/>
        </w:rPr>
        <w:t>2投标人在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中的格式要求填写响应内容后，生成投标文件。投标人须按照招标文件的要求使用电子签章对要求加盖印章的部分逐一进行签章。</w:t>
      </w:r>
      <w:bookmarkEnd w:id="190"/>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olor w:val="auto"/>
          <w:sz w:val="24"/>
          <w:szCs w:val="24"/>
          <w:highlight w:val="none"/>
        </w:rPr>
        <w:t>导致</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投标文件须严格按照</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招标文件第</w:t>
      </w:r>
      <w:r>
        <w:rPr>
          <w:rFonts w:hint="eastAsia" w:ascii="宋体" w:hAnsi="宋体" w:eastAsia="宋体" w:cs="宋体"/>
          <w:color w:val="auto"/>
          <w:sz w:val="24"/>
          <w:szCs w:val="24"/>
          <w:highlight w:val="none"/>
          <w:lang w:val="en-US" w:eastAsia="zh-CN"/>
        </w:rPr>
        <w:t>七章</w:t>
      </w:r>
      <w:r>
        <w:rPr>
          <w:rFonts w:hint="eastAsia" w:ascii="宋体" w:hAnsi="宋体" w:eastAsia="宋体" w:cs="宋体"/>
          <w:color w:val="auto"/>
          <w:sz w:val="24"/>
          <w:szCs w:val="24"/>
          <w:highlight w:val="none"/>
        </w:rPr>
        <w:t>规定的格式提交，并按规定的统一格式逐项填写，不准有空项；无相应内容可填的项，应填写“无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未测试</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没有相应指标”等明确的回答文字。由于编排混乱导致投标文件被误读或查找不到，其责任由投标人承担。</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开标一览表为在开标</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唱标的内容，要求按格式统一填写，不得自行增减内容。</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olor w:val="auto"/>
          <w:sz w:val="24"/>
          <w:szCs w:val="24"/>
          <w:highlight w:val="none"/>
          <w:lang w:val="en-US" w:eastAsia="zh-CN"/>
        </w:rPr>
        <w:t>按</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rPr>
        <w:t>处理。</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投标人必须保证投标文件所提供的全部资料真实可靠，并接受采购</w:t>
      </w:r>
      <w:r>
        <w:rPr>
          <w:rFonts w:hint="eastAsia" w:ascii="宋体" w:hAnsi="宋体" w:eastAsia="宋体" w:cs="宋体"/>
          <w:color w:val="auto"/>
          <w:sz w:val="24"/>
          <w:szCs w:val="24"/>
          <w:highlight w:val="none"/>
          <w:lang w:val="en-US" w:eastAsia="zh-CN"/>
        </w:rPr>
        <w:t>人、采购</w:t>
      </w:r>
      <w:r>
        <w:rPr>
          <w:rFonts w:hint="eastAsia" w:ascii="宋体" w:hAnsi="宋体" w:eastAsia="宋体" w:cs="宋体"/>
          <w:color w:val="auto"/>
          <w:sz w:val="24"/>
          <w:szCs w:val="24"/>
          <w:highlight w:val="none"/>
        </w:rPr>
        <w:t>代理机构或评标委员会对其中任何资料进一步审查的要求。</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16.9电子投标文件的编制</w:t>
      </w:r>
    </w:p>
    <w:p>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16.9.1电子投标文件需按招标文件要求进行制作编制。投标文件制作时，不同内容按标签提示制作导入，按照招标文件中明确的投标文件目录和格式进行编制，保证目录清晰、内容完整；</w:t>
      </w:r>
    </w:p>
    <w:p>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其投标无效</w:t>
      </w:r>
      <w:r>
        <w:rPr>
          <w:rFonts w:hint="eastAsia" w:ascii="宋体" w:hAnsi="宋体" w:eastAsia="宋体" w:cs="宋体"/>
          <w:iCs/>
          <w:color w:val="auto"/>
          <w:kern w:val="2"/>
          <w:sz w:val="24"/>
          <w:szCs w:val="24"/>
          <w:highlight w:val="none"/>
          <w:shd w:val="clear" w:color="auto" w:fill="FFFFFF" w:themeFill="background1"/>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1" w:name="_Toc163492842"/>
      <w:bookmarkStart w:id="192" w:name="_Toc25951"/>
      <w:bookmarkStart w:id="193" w:name="_Toc155185873"/>
      <w:r>
        <w:rPr>
          <w:rFonts w:hint="eastAsia" w:ascii="宋体" w:hAnsi="宋体" w:eastAsia="宋体" w:cs="宋体"/>
          <w:b/>
          <w:bCs/>
          <w:color w:val="auto"/>
          <w:kern w:val="2"/>
          <w:sz w:val="24"/>
          <w:szCs w:val="24"/>
          <w:highlight w:val="none"/>
          <w:lang w:val="en-US" w:eastAsia="zh-CN" w:bidi="ar-SA"/>
        </w:rPr>
        <w:t>（四）投标</w:t>
      </w:r>
      <w:bookmarkEnd w:id="191"/>
      <w:bookmarkEnd w:id="192"/>
      <w:bookmarkEnd w:id="193"/>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4" w:name="_Toc3205"/>
      <w:bookmarkStart w:id="195" w:name="_Toc163492843"/>
      <w:r>
        <w:rPr>
          <w:rFonts w:hint="eastAsia" w:ascii="宋体" w:hAnsi="宋体" w:eastAsia="宋体" w:cs="宋体"/>
          <w:b/>
          <w:bCs/>
          <w:color w:val="auto"/>
          <w:kern w:val="2"/>
          <w:sz w:val="24"/>
          <w:szCs w:val="24"/>
          <w:highlight w:val="none"/>
          <w:lang w:val="en-US" w:eastAsia="zh-CN" w:bidi="ar-SA"/>
        </w:rPr>
        <w:t>17.投标保证金</w:t>
      </w:r>
      <w:bookmarkEnd w:id="194"/>
    </w:p>
    <w:p>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投标人须知前附表”规定的金额及要求提交投标保证金。投标人自愿超额缴纳投标保证金的，投标文件不作无效处理。</w:t>
      </w:r>
    </w:p>
    <w:p>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17.2提交投标保证金可采用的形式：政府采购法律法规接受的支票、汇票、本票、网上银行支付或者金融机构、担保机构出具的保函等非现金形式。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4"/>
          <w:highlight w:val="none"/>
          <w:lang w:val="en-US" w:eastAsia="zh-CN" w:bidi="ar-SA"/>
        </w:rPr>
        <w:t>投标人未按照招标文件要求提交投标保证金的，其</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投标保证金有效期同投标有效期。</w:t>
      </w:r>
    </w:p>
    <w:p>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4"/>
          <w:highlight w:val="none"/>
          <w:lang w:val="en-US" w:eastAsia="zh-CN"/>
        </w:rPr>
        <w:t>投标无效</w:t>
      </w:r>
      <w:r>
        <w:rPr>
          <w:rFonts w:hint="eastAsia" w:ascii="宋体" w:hAnsi="宋体" w:eastAsia="宋体" w:cs="宋体"/>
          <w:color w:val="auto"/>
          <w:kern w:val="2"/>
          <w:sz w:val="24"/>
          <w:szCs w:val="24"/>
          <w:highlight w:val="none"/>
          <w:lang w:val="en-US" w:eastAsia="zh-CN"/>
        </w:rPr>
        <w:t>。</w:t>
      </w:r>
    </w:p>
    <w:p>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17.4 投标人为联合体的，可以由联合体中的一方或者多方共同提交投标保证金，其提交的投标保证金对联合体各方均具有约束力。 </w:t>
      </w:r>
    </w:p>
    <w:p>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17.6 投标人在投标截止时间前撤回已提交的投标文件的，自收到投标人书面撤回通知之日起 5 个工作日内，退还已收取的投标保证金，但因投标人自身原因导致无法及时退还的除外。 </w:t>
      </w:r>
    </w:p>
    <w:p>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17.7 终止招标项目已经收取投标保证金的，自终止采购活动后 5 个工作日内退还已收取的投标保证金及其在银行产生的孳息。</w:t>
      </w:r>
    </w:p>
    <w:p>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 有下列情形之一的，采购人或采购代理机构可以不予退还投标保证金，</w:t>
      </w:r>
      <w:r>
        <w:rPr>
          <w:rFonts w:hint="eastAsia" w:ascii="宋体" w:hAnsi="宋体" w:eastAsia="宋体" w:cs="宋体"/>
          <w:color w:val="auto"/>
          <w:kern w:val="2"/>
          <w:sz w:val="24"/>
          <w:szCs w:val="24"/>
          <w:highlight w:val="none"/>
        </w:rPr>
        <w:t>情节严重的将其列入不良记录名单</w:t>
      </w:r>
      <w:r>
        <w:rPr>
          <w:rFonts w:hint="eastAsia" w:ascii="宋体" w:hAnsi="宋体" w:eastAsia="宋体" w:cs="宋体"/>
          <w:iCs/>
          <w:color w:val="auto"/>
          <w:kern w:val="2"/>
          <w:sz w:val="24"/>
          <w:szCs w:val="24"/>
          <w:highlight w:val="none"/>
          <w:shd w:val="clear" w:color="auto" w:fill="FFFFFF" w:themeFill="background1"/>
          <w:lang w:val="en-US" w:eastAsia="zh-CN" w:bidi="ar-SA"/>
        </w:rPr>
        <w:t>：</w:t>
      </w:r>
    </w:p>
    <w:p>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17.8.1 </w:t>
      </w:r>
      <w:r>
        <w:rPr>
          <w:rFonts w:hint="eastAsia" w:ascii="宋体" w:hAnsi="宋体" w:eastAsia="宋体" w:cs="宋体"/>
          <w:color w:val="auto"/>
          <w:kern w:val="2"/>
          <w:sz w:val="24"/>
          <w:szCs w:val="24"/>
          <w:highlight w:val="none"/>
        </w:rPr>
        <w:t>开标后在投标有效期内，投标人撤</w:t>
      </w:r>
      <w:r>
        <w:rPr>
          <w:rFonts w:hint="eastAsia" w:ascii="宋体" w:hAnsi="宋体" w:eastAsia="宋体" w:cs="宋体"/>
          <w:color w:val="auto"/>
          <w:kern w:val="2"/>
          <w:sz w:val="24"/>
          <w:szCs w:val="24"/>
          <w:highlight w:val="none"/>
          <w:lang w:val="en-US" w:eastAsia="zh-CN"/>
        </w:rPr>
        <w:t>销</w:t>
      </w:r>
      <w:r>
        <w:rPr>
          <w:rFonts w:hint="eastAsia" w:ascii="宋体" w:hAnsi="宋体" w:eastAsia="宋体" w:cs="宋体"/>
          <w:color w:val="auto"/>
          <w:kern w:val="2"/>
          <w:sz w:val="24"/>
          <w:szCs w:val="24"/>
          <w:highlight w:val="none"/>
        </w:rPr>
        <w:t>其投标</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rPr>
        <w:t>；</w:t>
      </w:r>
    </w:p>
    <w:p>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17.8.2 </w:t>
      </w:r>
      <w:r>
        <w:rPr>
          <w:rFonts w:hint="eastAsia" w:ascii="宋体" w:hAnsi="宋体" w:eastAsia="宋体" w:cs="宋体"/>
          <w:color w:val="auto"/>
          <w:kern w:val="2"/>
          <w:sz w:val="24"/>
          <w:szCs w:val="24"/>
          <w:highlight w:val="none"/>
        </w:rPr>
        <w:t>中标后无正当理由不与采购人签订合同的；</w:t>
      </w:r>
    </w:p>
    <w:p>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4"/>
          <w:highlight w:val="none"/>
        </w:rPr>
        <w:t>中标人与采购人订立背离合同实质性内容的其他协议；</w:t>
      </w:r>
    </w:p>
    <w:p>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将中标项目转让给他人，或者在投标文件中未说明，且未经采购</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同意，将中标项目分包给他人的；</w:t>
      </w:r>
    </w:p>
    <w:p>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存在串通投标行为的；</w:t>
      </w:r>
    </w:p>
    <w:p>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存在弄虚作假或提供虚假材料谋取中标的；</w:t>
      </w:r>
    </w:p>
    <w:p>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7</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投标人其他未按招标文件规定和合同约定履行义务的行为。</w:t>
      </w:r>
    </w:p>
    <w:p>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pPr>
        <w:pStyle w:val="54"/>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如采用政采云电子保函形式，可按照以下形式进行在线申请，电子保函申请链接（https://jinrong.zcygov.cn/luban/finance/letter/xinjiang?pageModelFlag=650000&amp;utm=site.site-PC-42166.1718-block_comp_1709189989843012.6.d9224e6033d911f1baab97f37b5ca83b），如遇问题可拨打客服电话：95763。</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6" w:name="_Toc16592"/>
      <w:r>
        <w:rPr>
          <w:rFonts w:hint="eastAsia" w:ascii="宋体" w:hAnsi="宋体" w:eastAsia="宋体" w:cs="宋体"/>
          <w:b/>
          <w:bCs/>
          <w:color w:val="auto"/>
          <w:kern w:val="2"/>
          <w:sz w:val="24"/>
          <w:szCs w:val="24"/>
          <w:highlight w:val="none"/>
          <w:lang w:val="en-US" w:eastAsia="zh-CN" w:bidi="ar-SA"/>
        </w:rPr>
        <w:t>18.投标文件的加密</w:t>
      </w:r>
      <w:bookmarkEnd w:id="195"/>
      <w:bookmarkEnd w:id="196"/>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u w:val="single"/>
        </w:rPr>
      </w:pPr>
      <w:bookmarkStart w:id="197" w:name="_Hlk14353186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中对投标文件进行加密。</w:t>
      </w:r>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中对加密的投标文件进行解密验证，以防止投标文件加密异常，在开标时无法解密。</w:t>
      </w:r>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投标人应保证加密投标文件的CA证书有效期在开标时间之前。若CA证书有效期临近开标时间，建议投标人提前办理CA证书续期，以免开标时无法进行解密。</w:t>
      </w:r>
    </w:p>
    <w:p>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时间前通过</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政府采购网（http://ccgp-bingtuan.gov.cn/）的政采云登录入口登录后，将加密电子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上传到对应项目的指定位置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投标人认为有必要提交的其他资料请于投标截止时间前一并提交。</w:t>
      </w:r>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如果投标人未按上述要求</w:t>
      </w:r>
      <w:r>
        <w:rPr>
          <w:rFonts w:hint="eastAsia" w:ascii="宋体" w:hAnsi="宋体" w:eastAsia="宋体" w:cs="宋体"/>
          <w:color w:val="auto"/>
          <w:sz w:val="24"/>
          <w:szCs w:val="24"/>
          <w:highlight w:val="none"/>
          <w:lang w:val="en-US" w:eastAsia="zh-CN"/>
        </w:rPr>
        <w:t>加密并上传</w:t>
      </w:r>
      <w:r>
        <w:rPr>
          <w:rFonts w:hint="eastAsia" w:ascii="宋体" w:hAnsi="宋体" w:eastAsia="宋体" w:cs="宋体"/>
          <w:color w:val="auto"/>
          <w:sz w:val="24"/>
          <w:szCs w:val="24"/>
          <w:highlight w:val="none"/>
        </w:rPr>
        <w:t>，采购代理机构对投标文件的误投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无法解密、传输错误等问题</w:t>
      </w:r>
      <w:r>
        <w:rPr>
          <w:rFonts w:hint="eastAsia" w:ascii="宋体" w:hAnsi="宋体" w:eastAsia="宋体" w:cs="宋体"/>
          <w:color w:val="auto"/>
          <w:sz w:val="24"/>
          <w:szCs w:val="24"/>
          <w:highlight w:val="none"/>
        </w:rPr>
        <w:t>概不负责。对由此造成</w:t>
      </w:r>
      <w:r>
        <w:rPr>
          <w:rFonts w:hint="eastAsia" w:ascii="宋体" w:hAnsi="宋体" w:eastAsia="宋体" w:cs="宋体"/>
          <w:color w:val="auto"/>
          <w:sz w:val="24"/>
          <w:szCs w:val="24"/>
          <w:highlight w:val="none"/>
          <w:lang w:val="en-US" w:eastAsia="zh-CN"/>
        </w:rPr>
        <w:t>无法正常开启</w:t>
      </w:r>
      <w:r>
        <w:rPr>
          <w:rFonts w:hint="eastAsia" w:ascii="宋体" w:hAnsi="宋体" w:eastAsia="宋体" w:cs="宋体"/>
          <w:color w:val="auto"/>
          <w:sz w:val="24"/>
          <w:szCs w:val="24"/>
          <w:highlight w:val="none"/>
        </w:rPr>
        <w:t>的投标文件，采购代理机构有权予以拒绝，并退回投标人。</w:t>
      </w:r>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本项目采用不见面开标，无需提供电子投标文件U盘。</w:t>
      </w:r>
    </w:p>
    <w:bookmarkEnd w:id="197"/>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8" w:name="_Toc140132777"/>
      <w:bookmarkStart w:id="199" w:name="_Toc7146"/>
      <w:bookmarkStart w:id="200" w:name="_Toc163492844"/>
      <w:r>
        <w:rPr>
          <w:rFonts w:hint="eastAsia" w:ascii="宋体" w:hAnsi="宋体" w:eastAsia="宋体" w:cs="宋体"/>
          <w:b/>
          <w:bCs/>
          <w:color w:val="auto"/>
          <w:kern w:val="2"/>
          <w:sz w:val="24"/>
          <w:szCs w:val="24"/>
          <w:highlight w:val="none"/>
          <w:lang w:val="en-US" w:eastAsia="zh-CN" w:bidi="ar-SA"/>
        </w:rPr>
        <w:t>19.投标文件的递交</w:t>
      </w:r>
      <w:bookmarkEnd w:id="198"/>
      <w:r>
        <w:rPr>
          <w:rFonts w:hint="eastAsia" w:ascii="宋体" w:hAnsi="宋体" w:eastAsia="宋体" w:cs="宋体"/>
          <w:b/>
          <w:bCs/>
          <w:color w:val="auto"/>
          <w:kern w:val="2"/>
          <w:sz w:val="24"/>
          <w:szCs w:val="24"/>
          <w:highlight w:val="none"/>
          <w:lang w:val="en-US" w:eastAsia="zh-CN" w:bidi="ar-SA"/>
        </w:rPr>
        <w:t>（上传）</w:t>
      </w:r>
      <w:bookmarkEnd w:id="199"/>
      <w:bookmarkEnd w:id="200"/>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bookmarkStart w:id="201" w:name="_Hlk143531977"/>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投标人应在“</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”规定的投标截止时间前递交（上传）投标文件。</w:t>
      </w:r>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投标人递交（上传）投标文件的地点见“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投标文件上传）中获取投标文件递交回执单。</w:t>
      </w:r>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中下载未加密且完成签章的投标文件妥善保存，以便启动应急开标程序时使用。</w:t>
      </w:r>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.5投标人所递交的投标文件不予退还。</w:t>
      </w:r>
    </w:p>
    <w:bookmarkEnd w:id="201"/>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02" w:name="_Toc788"/>
      <w:bookmarkStart w:id="203" w:name="_Toc163492845"/>
      <w:r>
        <w:rPr>
          <w:rFonts w:hint="eastAsia" w:ascii="宋体" w:hAnsi="宋体" w:eastAsia="宋体" w:cs="宋体"/>
          <w:b/>
          <w:bCs/>
          <w:color w:val="auto"/>
          <w:kern w:val="2"/>
          <w:sz w:val="24"/>
          <w:szCs w:val="24"/>
          <w:highlight w:val="none"/>
          <w:lang w:val="en-US" w:eastAsia="zh-CN" w:bidi="ar-SA"/>
        </w:rPr>
        <w:t>20.拒收</w:t>
      </w:r>
      <w:bookmarkEnd w:id="202"/>
      <w:bookmarkEnd w:id="203"/>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超过投标文件提交截止时间</w:t>
      </w:r>
      <w:bookmarkStart w:id="204" w:name="_Hlk143532404"/>
      <w:r>
        <w:rPr>
          <w:rFonts w:hint="eastAsia" w:ascii="宋体" w:hAnsi="宋体" w:eastAsia="宋体" w:cs="宋体"/>
          <w:color w:val="auto"/>
          <w:sz w:val="24"/>
          <w:szCs w:val="24"/>
          <w:highlight w:val="none"/>
        </w:rPr>
        <w:t>或者不按照本章要求加密的投标文件，交易系统应当拒收</w:t>
      </w:r>
      <w:bookmarkEnd w:id="204"/>
      <w:r>
        <w:rPr>
          <w:rFonts w:hint="eastAsia" w:ascii="宋体" w:hAnsi="宋体" w:eastAsia="宋体" w:cs="宋体"/>
          <w:color w:val="auto"/>
          <w:sz w:val="24"/>
          <w:szCs w:val="24"/>
          <w:highlight w:val="none"/>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05" w:name="_Toc140132778"/>
      <w:bookmarkStart w:id="206" w:name="_Toc163492846"/>
      <w:bookmarkStart w:id="207" w:name="_Toc735"/>
      <w:r>
        <w:rPr>
          <w:rFonts w:hint="eastAsia" w:ascii="宋体" w:hAnsi="宋体" w:eastAsia="宋体" w:cs="宋体"/>
          <w:b/>
          <w:bCs/>
          <w:color w:val="auto"/>
          <w:kern w:val="2"/>
          <w:sz w:val="24"/>
          <w:szCs w:val="24"/>
          <w:highlight w:val="none"/>
          <w:lang w:val="en-US" w:eastAsia="zh-CN" w:bidi="ar-SA"/>
        </w:rPr>
        <w:t>21.投标文件的修改与撤回</w:t>
      </w:r>
      <w:bookmarkEnd w:id="205"/>
      <w:bookmarkEnd w:id="206"/>
      <w:bookmarkEnd w:id="207"/>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bookmarkStart w:id="208" w:name="_Hlk143532466"/>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递交截止时间之前，可在</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政府采购电子交易云平台上随时撤回已上传的电子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，将修改好的电子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递交截止时间前重新上传到</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政府采购电子交易云平台的</w:t>
      </w:r>
      <w:r>
        <w:rPr>
          <w:rFonts w:hint="eastAsia" w:ascii="宋体" w:hAnsi="宋体" w:eastAsia="宋体" w:cs="宋体"/>
          <w:color w:val="auto"/>
          <w:sz w:val="24"/>
          <w:szCs w:val="24"/>
          <w:highlight w:val="none"/>
          <w:lang w:val="en-US" w:eastAsia="zh-CN"/>
        </w:rPr>
        <w:t>指</w:t>
      </w:r>
      <w:r>
        <w:rPr>
          <w:rFonts w:hint="eastAsia" w:ascii="宋体" w:hAnsi="宋体" w:eastAsia="宋体" w:cs="宋体"/>
          <w:color w:val="auto"/>
          <w:sz w:val="24"/>
          <w:szCs w:val="24"/>
          <w:highlight w:val="none"/>
        </w:rPr>
        <w:t>定位置。</w:t>
      </w:r>
    </w:p>
    <w:bookmarkEnd w:id="208"/>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09" w:name="_Toc18326"/>
      <w:bookmarkStart w:id="210" w:name="_Toc155185874"/>
      <w:bookmarkStart w:id="211" w:name="_Toc163492847"/>
      <w:r>
        <w:rPr>
          <w:rFonts w:hint="eastAsia" w:ascii="宋体" w:hAnsi="宋体" w:eastAsia="宋体" w:cs="宋体"/>
          <w:b/>
          <w:bCs/>
          <w:color w:val="auto"/>
          <w:kern w:val="2"/>
          <w:sz w:val="24"/>
          <w:szCs w:val="24"/>
          <w:highlight w:val="none"/>
          <w:lang w:val="en-US" w:eastAsia="zh-CN" w:bidi="ar-SA"/>
        </w:rPr>
        <w:t>22.实物样品</w:t>
      </w:r>
      <w:bookmarkEnd w:id="209"/>
      <w:bookmarkEnd w:id="210"/>
      <w:bookmarkEnd w:id="211"/>
      <w:r>
        <w:rPr>
          <w:rFonts w:hint="eastAsia" w:ascii="宋体" w:hAnsi="宋体" w:cs="宋体"/>
          <w:b/>
          <w:bCs/>
          <w:color w:val="auto"/>
          <w:kern w:val="2"/>
          <w:sz w:val="24"/>
          <w:szCs w:val="24"/>
          <w:highlight w:val="none"/>
          <w:lang w:val="en-US" w:eastAsia="zh-CN" w:bidi="ar-SA"/>
        </w:rPr>
        <w:t>（本项目不适用）</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.1“投标人须知前附表”要求提供样品的，样品的具体要求及评审详见“第三章 采购需求”和“第五章 评标</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.2样品退还：未中标的投标人应</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自行联系采购人取回投标样品；中标人的样品由采购人进行保管、封存，并作为履约验收的参考（招标文件另有规定的从其规定）。</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2" w:name="_Toc155185875"/>
      <w:bookmarkStart w:id="213" w:name="_Toc16730"/>
      <w:bookmarkStart w:id="214" w:name="_Toc163492848"/>
      <w:r>
        <w:rPr>
          <w:rFonts w:hint="eastAsia" w:ascii="宋体" w:hAnsi="宋体" w:eastAsia="宋体" w:cs="宋体"/>
          <w:b/>
          <w:bCs/>
          <w:color w:val="auto"/>
          <w:kern w:val="2"/>
          <w:sz w:val="24"/>
          <w:szCs w:val="24"/>
          <w:highlight w:val="none"/>
          <w:lang w:val="en-US" w:eastAsia="zh-CN" w:bidi="ar-SA"/>
        </w:rPr>
        <w:t>23.演示</w:t>
      </w:r>
      <w:bookmarkEnd w:id="212"/>
      <w:bookmarkEnd w:id="213"/>
      <w:bookmarkEnd w:id="214"/>
      <w:r>
        <w:rPr>
          <w:rFonts w:hint="eastAsia" w:ascii="宋体" w:hAnsi="宋体" w:cs="宋体"/>
          <w:b/>
          <w:bCs/>
          <w:color w:val="auto"/>
          <w:kern w:val="2"/>
          <w:sz w:val="24"/>
          <w:szCs w:val="24"/>
          <w:highlight w:val="none"/>
          <w:lang w:val="en-US" w:eastAsia="zh-CN" w:bidi="ar-SA"/>
        </w:rPr>
        <w:t>（本项目不适用）</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.1要求投标人进行演示的，演示要求详见“投标人须知前附表”。</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.2演示的评审详见“第三章 采购需求”和“第五章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5" w:name="_Toc155185876"/>
      <w:bookmarkStart w:id="216" w:name="_Toc32704"/>
      <w:bookmarkStart w:id="217" w:name="_Toc163492849"/>
      <w:bookmarkStart w:id="218" w:name="_Toc140132779"/>
      <w:r>
        <w:rPr>
          <w:rFonts w:hint="eastAsia" w:ascii="宋体" w:hAnsi="宋体" w:eastAsia="宋体" w:cs="宋体"/>
          <w:b/>
          <w:bCs/>
          <w:color w:val="auto"/>
          <w:kern w:val="2"/>
          <w:sz w:val="24"/>
          <w:szCs w:val="24"/>
          <w:highlight w:val="none"/>
          <w:lang w:val="en-US" w:eastAsia="zh-CN" w:bidi="ar-SA"/>
        </w:rPr>
        <w:t>（五）开标</w:t>
      </w:r>
      <w:bookmarkEnd w:id="215"/>
      <w:bookmarkEnd w:id="216"/>
      <w:bookmarkEnd w:id="217"/>
      <w:bookmarkEnd w:id="218"/>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9" w:name="_Toc30506"/>
      <w:bookmarkStart w:id="220" w:name="_Toc140132780"/>
      <w:bookmarkStart w:id="221" w:name="_Toc163492850"/>
      <w:r>
        <w:rPr>
          <w:rFonts w:hint="eastAsia" w:ascii="宋体" w:hAnsi="宋体" w:eastAsia="宋体" w:cs="宋体"/>
          <w:b/>
          <w:bCs/>
          <w:color w:val="auto"/>
          <w:kern w:val="2"/>
          <w:sz w:val="24"/>
          <w:szCs w:val="24"/>
          <w:highlight w:val="none"/>
          <w:lang w:val="en-US" w:eastAsia="zh-CN" w:bidi="ar-SA"/>
        </w:rPr>
        <w:t>24.开标会议</w:t>
      </w:r>
      <w:bookmarkEnd w:id="219"/>
      <w:bookmarkEnd w:id="220"/>
      <w:bookmarkEnd w:id="221"/>
    </w:p>
    <w:p>
      <w:pPr>
        <w:keepNext w:val="0"/>
        <w:keepLines w:val="0"/>
        <w:pageBreakBefore w:val="0"/>
        <w:widowControl w:val="0"/>
        <w:kinsoku/>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lang w:eastAsia="zh-CN"/>
        </w:rPr>
      </w:pPr>
      <w:bookmarkStart w:id="222" w:name="_Toc140132781"/>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开标会按“</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”规定的开标时间和地点准时举行，采购人、采购代理机构邀请所有投标人准时参加开标会。投标人应按照</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的要求参与</w:t>
      </w:r>
      <w:r>
        <w:rPr>
          <w:rFonts w:hint="eastAsia" w:ascii="宋体" w:hAnsi="宋体" w:eastAsia="宋体" w:cs="宋体"/>
          <w:color w:val="auto"/>
          <w:sz w:val="24"/>
          <w:szCs w:val="24"/>
          <w:highlight w:val="none"/>
          <w:lang w:val="en-US" w:eastAsia="zh-CN"/>
        </w:rPr>
        <w:t>不见面开标</w:t>
      </w:r>
      <w:r>
        <w:rPr>
          <w:rFonts w:hint="eastAsia" w:ascii="宋体" w:hAnsi="宋体" w:eastAsia="宋体" w:cs="宋体"/>
          <w:color w:val="auto"/>
          <w:sz w:val="24"/>
          <w:szCs w:val="24"/>
          <w:highlight w:val="none"/>
        </w:rPr>
        <w:t>。</w:t>
      </w:r>
    </w:p>
    <w:p>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bookmarkEnd w:id="222"/>
      <w:r>
        <w:rPr>
          <w:rFonts w:hint="eastAsia" w:ascii="宋体" w:hAnsi="宋体" w:eastAsia="宋体" w:cs="宋体"/>
          <w:color w:val="auto"/>
          <w:kern w:val="2"/>
          <w:sz w:val="24"/>
          <w:szCs w:val="24"/>
          <w:highlight w:val="none"/>
        </w:rPr>
        <w:t>采购代理机构按照招标文件规定的时间、地点主持开标。采购人在规定的</w:t>
      </w:r>
      <w:r>
        <w:rPr>
          <w:rFonts w:hint="eastAsia" w:ascii="宋体" w:hAnsi="宋体" w:eastAsia="宋体" w:cs="宋体"/>
          <w:color w:val="auto"/>
          <w:kern w:val="2"/>
          <w:sz w:val="24"/>
          <w:szCs w:val="24"/>
          <w:highlight w:val="none"/>
          <w:lang w:eastAsia="zh-CN"/>
        </w:rPr>
        <w:t>投标文件</w:t>
      </w:r>
      <w:r>
        <w:rPr>
          <w:rFonts w:hint="eastAsia" w:ascii="宋体" w:hAnsi="宋体" w:eastAsia="宋体" w:cs="宋体"/>
          <w:color w:val="auto"/>
          <w:kern w:val="2"/>
          <w:sz w:val="24"/>
          <w:szCs w:val="24"/>
          <w:highlight w:val="none"/>
        </w:rPr>
        <w:t>递交截止时间（开标时间）和地点进行不见面远程开标。</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的法定代表人或其委托代理人无需到达开标现场，仅需在任意地点通过</w:t>
      </w:r>
      <w:r>
        <w:rPr>
          <w:rFonts w:hint="eastAsia" w:cs="宋体"/>
          <w:color w:val="auto"/>
          <w:kern w:val="2"/>
          <w:sz w:val="24"/>
          <w:szCs w:val="24"/>
          <w:highlight w:val="none"/>
          <w:lang w:val="en-US" w:eastAsia="zh-CN"/>
        </w:rPr>
        <w:t>新疆</w:t>
      </w:r>
      <w:r>
        <w:rPr>
          <w:rFonts w:hint="eastAsia" w:ascii="宋体" w:hAnsi="宋体" w:eastAsia="宋体" w:cs="宋体"/>
          <w:color w:val="auto"/>
          <w:kern w:val="2"/>
          <w:sz w:val="24"/>
          <w:szCs w:val="24"/>
          <w:highlight w:val="none"/>
          <w:lang w:val="en-US" w:eastAsia="zh-CN"/>
        </w:rPr>
        <w:t>政府采购电子交易云平台（网址：https://www.zcygov.cn/）</w:t>
      </w:r>
      <w:r>
        <w:rPr>
          <w:rFonts w:hint="eastAsia" w:ascii="宋体" w:hAnsi="宋体" w:eastAsia="宋体" w:cs="宋体"/>
          <w:color w:val="auto"/>
          <w:kern w:val="2"/>
          <w:sz w:val="24"/>
          <w:szCs w:val="24"/>
          <w:highlight w:val="none"/>
        </w:rPr>
        <w:t>的</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政采云登录入口”登录后，进入“政采云远程开标大厅”参加开标会议，并使用CA密钥完成远程解密、提疑澄清、开标唱标、结果公布等交互环节。</w:t>
      </w:r>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24.3开标过程将宣布投标人名称、投标价格和招标文件规定的需要宣布的其他内容并进行记录，并由参加开标的各投标人确认。投标人未在规定时间内提出疑义或确认一览表的，视同认可开标结果。</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23" w:name="_Toc6154"/>
      <w:bookmarkStart w:id="224" w:name="_Toc140132783"/>
      <w:bookmarkStart w:id="225" w:name="_Toc163492852"/>
      <w:r>
        <w:rPr>
          <w:rFonts w:hint="eastAsia" w:ascii="宋体" w:hAnsi="宋体" w:eastAsia="宋体" w:cs="宋体"/>
          <w:b/>
          <w:bCs/>
          <w:color w:val="auto"/>
          <w:kern w:val="2"/>
          <w:sz w:val="24"/>
          <w:szCs w:val="24"/>
          <w:highlight w:val="none"/>
          <w:lang w:val="en-US" w:eastAsia="zh-CN" w:bidi="ar-SA"/>
        </w:rPr>
        <w:t>25.开标程序</w:t>
      </w:r>
      <w:bookmarkEnd w:id="223"/>
      <w:bookmarkEnd w:id="224"/>
      <w:bookmarkEnd w:id="225"/>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投标人不足3家的，不得开标。</w:t>
      </w:r>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评标委员会成员不得参加开标活动。</w:t>
      </w:r>
    </w:p>
    <w:p>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.3主持人按下列程序进行开标：</w:t>
      </w:r>
    </w:p>
    <w:p>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（1）宣布开标会纪律；</w:t>
      </w:r>
    </w:p>
    <w:p>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（2）介绍参加开标会的单位和人员；</w:t>
      </w:r>
    </w:p>
    <w:p>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（3）发起投标文件解密。投标人应在“投标人须知前附表”规定的时间内使用加密投标文件的CA证书在系统中完成投标文件的解密；</w:t>
      </w:r>
      <w:r>
        <w:rPr>
          <w:rFonts w:hint="eastAsia" w:ascii="宋体" w:hAnsi="宋体" w:eastAsia="宋体" w:cs="宋体"/>
          <w:color w:val="auto"/>
          <w:sz w:val="24"/>
          <w:szCs w:val="24"/>
          <w:highlight w:val="none"/>
          <w:lang w:val="en-US" w:eastAsia="zh-CN"/>
        </w:rPr>
        <w:t>投标人不足3家的，不予解密；</w:t>
      </w:r>
    </w:p>
    <w:p>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（4）解密完成后，系统自动显示投标人名称、投标价格和招标文件规定的需要宣布的其他内容；</w:t>
      </w:r>
    </w:p>
    <w:p>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（5）系统自动生成开标记录表，供应商应在线对开标记录进行签署确认</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（6）开标会结束。</w:t>
      </w:r>
      <w:bookmarkStart w:id="226" w:name="_Toc140132784"/>
      <w:bookmarkStart w:id="227" w:name="_Toc163492853"/>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28" w:name="_Toc829"/>
      <w:r>
        <w:rPr>
          <w:rFonts w:hint="eastAsia" w:ascii="宋体" w:hAnsi="宋体" w:eastAsia="宋体" w:cs="宋体"/>
          <w:b/>
          <w:bCs/>
          <w:color w:val="auto"/>
          <w:kern w:val="2"/>
          <w:sz w:val="24"/>
          <w:szCs w:val="24"/>
          <w:highlight w:val="none"/>
          <w:lang w:val="en-US" w:eastAsia="zh-CN" w:bidi="ar-SA"/>
        </w:rPr>
        <w:t>26.开标疑义及回避情形</w:t>
      </w:r>
      <w:bookmarkEnd w:id="226"/>
      <w:bookmarkEnd w:id="227"/>
      <w:bookmarkEnd w:id="228"/>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.2投标人未参加开标的，视同认可开标结果。</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29" w:name="_Toc140132785"/>
      <w:bookmarkStart w:id="230" w:name="_Toc163492854"/>
      <w:bookmarkStart w:id="231" w:name="_Toc155185877"/>
      <w:bookmarkStart w:id="232" w:name="_Toc28318"/>
      <w:r>
        <w:rPr>
          <w:rFonts w:hint="eastAsia" w:ascii="宋体" w:hAnsi="宋体" w:eastAsia="宋体" w:cs="宋体"/>
          <w:b/>
          <w:bCs/>
          <w:color w:val="auto"/>
          <w:kern w:val="2"/>
          <w:sz w:val="24"/>
          <w:szCs w:val="24"/>
          <w:highlight w:val="none"/>
          <w:lang w:val="en-US" w:eastAsia="zh-CN" w:bidi="ar-SA"/>
        </w:rPr>
        <w:t>（六）资格审查</w:t>
      </w:r>
      <w:bookmarkEnd w:id="229"/>
      <w:bookmarkEnd w:id="230"/>
      <w:bookmarkEnd w:id="231"/>
      <w:bookmarkEnd w:id="232"/>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33" w:name="_Toc163492855"/>
      <w:bookmarkStart w:id="234" w:name="_Toc8772"/>
      <w:r>
        <w:rPr>
          <w:rFonts w:hint="eastAsia" w:ascii="宋体" w:hAnsi="宋体" w:eastAsia="宋体" w:cs="宋体"/>
          <w:b/>
          <w:bCs/>
          <w:color w:val="auto"/>
          <w:kern w:val="2"/>
          <w:sz w:val="24"/>
          <w:szCs w:val="24"/>
          <w:highlight w:val="none"/>
          <w:lang w:val="en-US" w:eastAsia="zh-CN" w:bidi="ar-SA"/>
        </w:rPr>
        <w:t>27.资格审查及审查主体</w:t>
      </w:r>
      <w:bookmarkEnd w:id="233"/>
      <w:bookmarkEnd w:id="234"/>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35" w:name="_Toc14013278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bookmarkEnd w:id="235"/>
      <w:r>
        <w:rPr>
          <w:rFonts w:hint="eastAsia" w:ascii="宋体" w:hAnsi="宋体" w:eastAsia="宋体" w:cs="宋体"/>
          <w:color w:val="auto"/>
          <w:sz w:val="24"/>
          <w:szCs w:val="24"/>
          <w:highlight w:val="none"/>
        </w:rPr>
        <w:t>开标结束后，采购人或者采购代理机构应当依法对投标人的资格进行审查。</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36" w:name="_Toc140132787"/>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.2资格审查按“第四章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资格审查”的规定进行。</w:t>
      </w:r>
      <w:bookmarkEnd w:id="236"/>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37" w:name="_Toc14013278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.3资格审查结束后，应及时对资格审查结果进行复核，对资格审查错误进行及时纠正并记录。</w:t>
      </w:r>
      <w:bookmarkEnd w:id="237"/>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27.4</w:t>
      </w:r>
      <w:r>
        <w:rPr>
          <w:rFonts w:hint="eastAsia" w:ascii="宋体" w:hAnsi="宋体" w:eastAsia="宋体" w:cs="宋体"/>
          <w:color w:val="auto"/>
          <w:sz w:val="24"/>
          <w:szCs w:val="24"/>
          <w:highlight w:val="none"/>
        </w:rPr>
        <w:t>资格审查合格投标人不足3家的，不得评标。</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38" w:name="_Toc155185878"/>
      <w:bookmarkStart w:id="239" w:name="_Toc140132789"/>
      <w:bookmarkStart w:id="240" w:name="_Toc163492856"/>
      <w:bookmarkStart w:id="241" w:name="_Toc28643"/>
      <w:r>
        <w:rPr>
          <w:rFonts w:hint="eastAsia" w:ascii="宋体" w:hAnsi="宋体" w:eastAsia="宋体" w:cs="宋体"/>
          <w:b/>
          <w:bCs/>
          <w:color w:val="auto"/>
          <w:kern w:val="2"/>
          <w:sz w:val="24"/>
          <w:szCs w:val="24"/>
          <w:highlight w:val="none"/>
          <w:lang w:val="en-US" w:eastAsia="zh-CN" w:bidi="ar-SA"/>
        </w:rPr>
        <w:t>（七）评标</w:t>
      </w:r>
      <w:bookmarkEnd w:id="238"/>
      <w:bookmarkEnd w:id="239"/>
      <w:bookmarkEnd w:id="240"/>
      <w:bookmarkEnd w:id="241"/>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42" w:name="_Toc163492857"/>
      <w:bookmarkStart w:id="243" w:name="_Toc12158"/>
      <w:bookmarkStart w:id="244" w:name="_Toc140132790"/>
      <w:r>
        <w:rPr>
          <w:rFonts w:hint="eastAsia" w:ascii="宋体" w:hAnsi="宋体" w:eastAsia="宋体" w:cs="宋体"/>
          <w:b/>
          <w:bCs/>
          <w:color w:val="auto"/>
          <w:kern w:val="2"/>
          <w:sz w:val="24"/>
          <w:szCs w:val="24"/>
          <w:highlight w:val="none"/>
          <w:lang w:val="en-US" w:eastAsia="zh-CN" w:bidi="ar-SA"/>
        </w:rPr>
        <w:t>28.评标委员会</w:t>
      </w:r>
      <w:bookmarkEnd w:id="242"/>
      <w:bookmarkEnd w:id="243"/>
      <w:bookmarkEnd w:id="244"/>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评标由采购人依法组建的评标委员会负责。评标委员会由采购人代表和评审专家组成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成员人数应当为5</w:t>
      </w:r>
      <w:r>
        <w:rPr>
          <w:rFonts w:hint="eastAsia" w:ascii="宋体" w:hAnsi="宋体" w:eastAsia="宋体" w:cs="宋体"/>
          <w:color w:val="auto"/>
          <w:sz w:val="24"/>
          <w:szCs w:val="24"/>
          <w:highlight w:val="none"/>
        </w:rPr>
        <w:t>人以上单数，其中</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专家不</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少于</w:t>
      </w:r>
      <w:r>
        <w:rPr>
          <w:rFonts w:hint="eastAsia" w:ascii="宋体" w:hAnsi="宋体" w:eastAsia="宋体" w:cs="宋体"/>
          <w:color w:val="auto"/>
          <w:sz w:val="24"/>
          <w:szCs w:val="24"/>
          <w:highlight w:val="none"/>
          <w:lang w:val="en-US" w:eastAsia="zh-CN"/>
        </w:rPr>
        <w:t>成员总数的</w:t>
      </w:r>
      <w:r>
        <w:rPr>
          <w:rFonts w:hint="eastAsia" w:ascii="宋体" w:hAnsi="宋体" w:eastAsia="宋体" w:cs="宋体"/>
          <w:color w:val="auto"/>
          <w:sz w:val="24"/>
          <w:szCs w:val="24"/>
          <w:highlight w:val="none"/>
        </w:rPr>
        <w:t>三分之二。</w:t>
      </w:r>
      <w:r>
        <w:rPr>
          <w:rFonts w:hint="eastAsia" w:ascii="宋体" w:hAnsi="宋体" w:eastAsia="宋体" w:cs="宋体"/>
          <w:color w:val="auto"/>
          <w:sz w:val="24"/>
          <w:szCs w:val="24"/>
          <w:highlight w:val="none"/>
          <w:lang w:val="en-US" w:eastAsia="zh-CN"/>
        </w:rPr>
        <w:t>采购人或者采购代理机构应当从省级以上财政部门设立的政府采购评审专家库中，通过随机方式抽取评审专家。</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28.2 采购项目符合下列情形之一的，评标委员会成员人数应当为7人以上单数：</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（1）采购预算金额在1000万元以上；</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（2）技术复杂；</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（3）社会影响较大。</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28.4评标委员会成员名单在评标结果公告前应当保密。</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28.5评标中因评标委员会成员缺席、回避或者健康等特殊原因导致评标委员会组成不符合本办法规定的，采购人或者采购代理机构应当依法补足后继续评标。被更换的评标委员会成员所作出的评标意见无效。</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28.6无法及时补足评标委员会成员的，采购人或者采购代理机构应当停止评标活动，封存所有投标文件和开标、评标资料，依法重新组建评标委员会进行评标。原评标委员会所作出的评标意见无效。</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评标委员会成员有下列情形之一的，应当回避：</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（1）参加采购活动前3年内与投标人存在劳动关系；</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（2）参加采购活动前3年内担任投标人的董事、监事；</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（3）参加采购活动前3年内是投标人的控股股东或实际控制人；</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（4）与投标人的法定代表人或者负责人有夫妻、直系血亲、三代以内旁系血亲或者近姻亲关系；</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（5）与投标人有其他可能影响采购活动公平、公正进行的关系。</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45" w:name="_Toc140132791"/>
      <w:bookmarkStart w:id="246" w:name="_Toc4280"/>
      <w:bookmarkStart w:id="247" w:name="_Toc163492858"/>
      <w:r>
        <w:rPr>
          <w:rFonts w:hint="eastAsia" w:ascii="宋体" w:hAnsi="宋体" w:eastAsia="宋体" w:cs="宋体"/>
          <w:b/>
          <w:bCs/>
          <w:color w:val="auto"/>
          <w:kern w:val="2"/>
          <w:sz w:val="24"/>
          <w:szCs w:val="24"/>
          <w:highlight w:val="none"/>
          <w:lang w:val="en-US" w:eastAsia="zh-CN" w:bidi="ar-SA"/>
        </w:rPr>
        <w:t>29.评标</w:t>
      </w:r>
      <w:bookmarkEnd w:id="245"/>
      <w:bookmarkEnd w:id="246"/>
      <w:bookmarkEnd w:id="247"/>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评标方法分为综合评分法和</w:t>
      </w:r>
      <w:r>
        <w:rPr>
          <w:rFonts w:hint="eastAsia" w:ascii="宋体" w:hAnsi="宋体" w:eastAsia="宋体" w:cs="宋体"/>
          <w:color w:val="auto"/>
          <w:sz w:val="24"/>
          <w:szCs w:val="24"/>
          <w:highlight w:val="none"/>
        </w:rPr>
        <w:t>最低评标价法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本项目评标</w:t>
      </w:r>
      <w:r>
        <w:rPr>
          <w:rFonts w:hint="eastAsia" w:ascii="宋体" w:hAnsi="宋体" w:eastAsia="宋体" w:cs="宋体"/>
          <w:color w:val="auto"/>
          <w:sz w:val="24"/>
          <w:szCs w:val="24"/>
          <w:highlight w:val="none"/>
          <w:lang w:val="en-US" w:eastAsia="zh-CN"/>
        </w:rPr>
        <w:t>方法详见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p>
    <w:p>
      <w:pPr>
        <w:pStyle w:val="3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9.1.1</w:t>
      </w:r>
      <w:r>
        <w:rPr>
          <w:rFonts w:hint="eastAsia" w:ascii="宋体" w:hAnsi="宋体" w:eastAsia="宋体" w:cs="宋体"/>
          <w:color w:val="auto"/>
          <w:sz w:val="24"/>
          <w:szCs w:val="24"/>
          <w:highlight w:val="none"/>
        </w:rPr>
        <w:t>综合评分法，是指投标文件满足招标文件全部实质性要求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且按照评审因素的量化指标评审得分最高的投标人为中标候选人的评标方法。</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29.1.2.</w:t>
      </w:r>
      <w:r>
        <w:rPr>
          <w:rFonts w:hint="eastAsia" w:ascii="宋体" w:hAnsi="宋体" w:eastAsia="宋体" w:cs="宋体"/>
          <w:color w:val="auto"/>
          <w:sz w:val="24"/>
          <w:szCs w:val="24"/>
          <w:highlight w:val="none"/>
        </w:rPr>
        <w:t>最低评标价法，是指投标文件满足招标文件全部实质性要求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且投标报价最低的投标人为中标候选人的评标方法。</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评标委员会按照“第五章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规定对投标文件进行评审。“第五章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法及标准”没有规定的方法、评审因素和标准，不作为评标依据。</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评标委员会按“投标人须知前附表”规定的中标候选人数量在评标报告中向采购人推荐中标候选人。</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29.4 开标之后，直到签订合同止，凡是属于审查、澄清、评价和比较投标的有关资料以及定标意向等，均不得向投标人或者其他与评标无关的人员透露。</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 在确定中标人之前，投标人试图在投标文件审查、澄清、比较和评标时对评标委员会、采购人和采购代理机构施加任何影响都可能导致其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 电子招投标的应急措施</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29.6.1电子开标、评标如出现下列原因，导致系统无法正常运行或无法正常评标时，应采取应急措施。</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（1）系统服务器发生故障，无法访问或无法使用系统；</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（2）系统的软件或数据库出现错误，不能进行正常操作；</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（3）系统发现有安全漏洞，有潜在的泄密危险；</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（4）病毒发作或受到外来病毒的攻击；</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（5）出现其他不可抗拒的客观原因造成开评标系统无法正常使用。</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出现上述情况时，应对未开标的暂停开标。已在系统内开标、评标的立即停止。采取应急措施时，必须对原有资料及信息作出妥善保密处理。</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 投标人瑕疵滞后发现的处理规则</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29.7.1无论基于何种原因，各项本应作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48" w:name="_Toc140132792"/>
      <w:bookmarkStart w:id="249" w:name="_Toc157"/>
      <w:bookmarkStart w:id="250" w:name="_Toc155185879"/>
      <w:bookmarkStart w:id="251" w:name="_Toc163492859"/>
      <w:r>
        <w:rPr>
          <w:rFonts w:hint="eastAsia" w:ascii="宋体" w:hAnsi="宋体" w:eastAsia="宋体" w:cs="宋体"/>
          <w:b/>
          <w:bCs/>
          <w:color w:val="auto"/>
          <w:kern w:val="2"/>
          <w:sz w:val="24"/>
          <w:szCs w:val="24"/>
          <w:highlight w:val="none"/>
          <w:lang w:val="en-US" w:eastAsia="zh-CN" w:bidi="ar-SA"/>
        </w:rPr>
        <w:t>（八）中标</w:t>
      </w:r>
      <w:bookmarkEnd w:id="248"/>
      <w:bookmarkEnd w:id="249"/>
      <w:bookmarkEnd w:id="250"/>
      <w:bookmarkEnd w:id="251"/>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2" w:name="_Toc163492860"/>
      <w:bookmarkStart w:id="253" w:name="_Toc23329"/>
      <w:bookmarkStart w:id="254" w:name="_Toc140132793"/>
      <w:r>
        <w:rPr>
          <w:rFonts w:hint="eastAsia" w:ascii="宋体" w:hAnsi="宋体" w:eastAsia="宋体" w:cs="宋体"/>
          <w:b/>
          <w:bCs/>
          <w:color w:val="auto"/>
          <w:kern w:val="2"/>
          <w:sz w:val="24"/>
          <w:szCs w:val="24"/>
          <w:highlight w:val="none"/>
          <w:lang w:val="en-US" w:eastAsia="zh-CN" w:bidi="ar-SA"/>
        </w:rPr>
        <w:t>30.确定中标人</w:t>
      </w:r>
      <w:bookmarkEnd w:id="252"/>
      <w:bookmarkEnd w:id="253"/>
      <w:bookmarkEnd w:id="254"/>
    </w:p>
    <w:p>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5" w:name="_Toc24110"/>
      <w:bookmarkStart w:id="256" w:name="_Toc163492861"/>
      <w:bookmarkStart w:id="257" w:name="_Toc140132794"/>
      <w:r>
        <w:rPr>
          <w:rFonts w:hint="eastAsia" w:ascii="宋体" w:hAnsi="宋体" w:eastAsia="宋体" w:cs="宋体"/>
          <w:b/>
          <w:bCs/>
          <w:color w:val="auto"/>
          <w:kern w:val="2"/>
          <w:sz w:val="24"/>
          <w:szCs w:val="24"/>
          <w:highlight w:val="none"/>
          <w:lang w:val="en-US" w:eastAsia="zh-CN" w:bidi="ar-SA"/>
        </w:rPr>
        <w:t>31.中标结果公告</w:t>
      </w:r>
      <w:bookmarkEnd w:id="255"/>
      <w:bookmarkEnd w:id="256"/>
      <w:bookmarkEnd w:id="257"/>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采购代理机构应当自中标人确定之日起2个工作日内，在</w:t>
      </w:r>
      <w:r>
        <w:rPr>
          <w:rFonts w:hint="eastAsia" w:ascii="宋体" w:hAnsi="宋体" w:eastAsia="宋体" w:cs="宋体"/>
          <w:color w:val="auto"/>
          <w:sz w:val="24"/>
          <w:szCs w:val="24"/>
          <w:highlight w:val="none"/>
          <w:lang w:val="en-US" w:eastAsia="zh-CN"/>
        </w:rPr>
        <w:t>发布招标公告的同一</w:t>
      </w:r>
      <w:r>
        <w:rPr>
          <w:rFonts w:hint="eastAsia" w:ascii="宋体" w:hAnsi="宋体" w:eastAsia="宋体" w:cs="宋体"/>
          <w:color w:val="auto"/>
          <w:sz w:val="24"/>
          <w:szCs w:val="24"/>
          <w:highlight w:val="none"/>
        </w:rPr>
        <w:t>媒体上发布中标结果公告，</w:t>
      </w:r>
      <w:r>
        <w:rPr>
          <w:rFonts w:hint="eastAsia" w:ascii="宋体" w:hAnsi="宋体" w:eastAsia="宋体" w:cs="宋体"/>
          <w:color w:val="auto"/>
          <w:sz w:val="24"/>
          <w:szCs w:val="24"/>
          <w:highlight w:val="none"/>
          <w:lang w:val="en-US" w:eastAsia="zh-CN"/>
        </w:rPr>
        <w:t>同时向中标人</w:t>
      </w:r>
      <w:r>
        <w:rPr>
          <w:rFonts w:hint="eastAsia" w:ascii="宋体" w:hAnsi="宋体" w:eastAsia="宋体" w:cs="宋体"/>
          <w:color w:val="auto"/>
          <w:sz w:val="24"/>
          <w:szCs w:val="24"/>
          <w:highlight w:val="none"/>
        </w:rPr>
        <w:t>发出中标通知书</w:t>
      </w:r>
      <w:r>
        <w:rPr>
          <w:rFonts w:hint="eastAsia" w:ascii="宋体" w:hAnsi="宋体" w:eastAsia="宋体" w:cs="宋体"/>
          <w:color w:val="auto"/>
          <w:sz w:val="24"/>
          <w:szCs w:val="24"/>
          <w:highlight w:val="none"/>
          <w:lang w:eastAsia="zh-CN"/>
        </w:rPr>
        <w:t>。招标文件随中标结果同时公告，</w:t>
      </w:r>
      <w:r>
        <w:rPr>
          <w:rFonts w:hint="eastAsia" w:ascii="宋体" w:hAnsi="宋体" w:eastAsia="宋体" w:cs="宋体"/>
          <w:color w:val="auto"/>
          <w:sz w:val="24"/>
          <w:szCs w:val="24"/>
          <w:highlight w:val="none"/>
        </w:rPr>
        <w:t>中标结果公告期限为1个工作日。</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中标供应商为中小企业</w:t>
      </w:r>
      <w:r>
        <w:rPr>
          <w:rFonts w:hint="eastAsia" w:ascii="宋体" w:hAnsi="宋体" w:eastAsia="宋体" w:cs="宋体"/>
          <w:bCs/>
          <w:color w:val="auto"/>
          <w:sz w:val="24"/>
          <w:szCs w:val="24"/>
          <w:highlight w:val="none"/>
          <w:lang w:val="en-US" w:eastAsia="zh-CN"/>
        </w:rPr>
        <w:t>享受中小企业扶持政策的</w:t>
      </w:r>
      <w:r>
        <w:rPr>
          <w:rFonts w:hint="eastAsia" w:ascii="宋体" w:hAnsi="宋体" w:eastAsia="宋体" w:cs="宋体"/>
          <w:bCs/>
          <w:color w:val="auto"/>
          <w:sz w:val="24"/>
          <w:szCs w:val="24"/>
          <w:highlight w:val="none"/>
          <w:lang w:eastAsia="zh-CN"/>
        </w:rPr>
        <w:t>，其“中小企业声明函”随中标结果同时公告。中标供应商为残疾人福利性单位的，其“残疾人福利性单位声明函”随中标结果同时公告。</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31.3</w:t>
      </w:r>
      <w:r>
        <w:rPr>
          <w:rFonts w:hint="eastAsia" w:ascii="宋体" w:hAnsi="宋体" w:eastAsia="宋体" w:cs="宋体"/>
          <w:color w:val="auto"/>
          <w:sz w:val="24"/>
          <w:szCs w:val="24"/>
          <w:highlight w:val="none"/>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8" w:name="_Toc10669"/>
      <w:bookmarkStart w:id="259" w:name="_Toc140132795"/>
      <w:bookmarkStart w:id="260" w:name="_Toc163492862"/>
      <w:r>
        <w:rPr>
          <w:rFonts w:hint="eastAsia" w:ascii="宋体" w:hAnsi="宋体" w:eastAsia="宋体" w:cs="宋体"/>
          <w:b/>
          <w:bCs/>
          <w:color w:val="auto"/>
          <w:kern w:val="2"/>
          <w:sz w:val="24"/>
          <w:szCs w:val="24"/>
          <w:highlight w:val="none"/>
          <w:lang w:val="en-US" w:eastAsia="zh-CN" w:bidi="ar-SA"/>
        </w:rPr>
        <w:t>32.中标通知</w:t>
      </w:r>
      <w:bookmarkEnd w:id="258"/>
      <w:bookmarkEnd w:id="259"/>
      <w:bookmarkEnd w:id="260"/>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2</w:t>
      </w:r>
      <w:r>
        <w:rPr>
          <w:rFonts w:hint="eastAsia" w:ascii="宋体" w:hAnsi="宋体" w:eastAsia="宋体" w:cs="宋体"/>
          <w:color w:val="auto"/>
          <w:sz w:val="24"/>
          <w:szCs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32.2中标通知书对采购人和中标供应商均具有法律效力。中标通知书发出后，采购人改变中标结果的，或者中标供应商放弃中标项目的，应当依法承担法律责任。</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1" w:name="_Toc25579"/>
      <w:bookmarkStart w:id="262" w:name="_Toc163492863"/>
      <w:r>
        <w:rPr>
          <w:rFonts w:hint="eastAsia" w:ascii="宋体" w:hAnsi="宋体" w:eastAsia="宋体" w:cs="宋体"/>
          <w:b/>
          <w:bCs/>
          <w:color w:val="auto"/>
          <w:kern w:val="2"/>
          <w:sz w:val="24"/>
          <w:szCs w:val="24"/>
          <w:highlight w:val="none"/>
          <w:lang w:val="en-US" w:eastAsia="zh-CN" w:bidi="ar-SA"/>
        </w:rPr>
        <w:t>（九）签订</w:t>
      </w:r>
      <w:bookmarkStart w:id="263" w:name="_Toc155185880"/>
      <w:bookmarkStart w:id="264" w:name="_Toc140132796"/>
      <w:r>
        <w:rPr>
          <w:rFonts w:hint="eastAsia" w:ascii="宋体" w:hAnsi="宋体" w:eastAsia="宋体" w:cs="宋体"/>
          <w:b/>
          <w:bCs/>
          <w:color w:val="auto"/>
          <w:kern w:val="2"/>
          <w:sz w:val="24"/>
          <w:szCs w:val="24"/>
          <w:highlight w:val="none"/>
          <w:lang w:val="en-US" w:eastAsia="zh-CN" w:bidi="ar-SA"/>
        </w:rPr>
        <w:t>合同</w:t>
      </w:r>
      <w:bookmarkEnd w:id="261"/>
      <w:bookmarkEnd w:id="262"/>
      <w:bookmarkEnd w:id="263"/>
      <w:bookmarkEnd w:id="264"/>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5" w:name="_Toc140132797"/>
      <w:bookmarkStart w:id="266" w:name="_Toc163492864"/>
      <w:bookmarkStart w:id="267" w:name="_Toc20208"/>
      <w:r>
        <w:rPr>
          <w:rFonts w:hint="eastAsia" w:ascii="宋体" w:hAnsi="宋体" w:eastAsia="宋体" w:cs="宋体"/>
          <w:b/>
          <w:bCs/>
          <w:color w:val="auto"/>
          <w:kern w:val="2"/>
          <w:sz w:val="24"/>
          <w:szCs w:val="24"/>
          <w:highlight w:val="none"/>
          <w:lang w:val="en-US" w:eastAsia="zh-CN" w:bidi="ar-SA"/>
        </w:rPr>
        <w:t>33.履约保证金</w:t>
      </w:r>
      <w:bookmarkEnd w:id="265"/>
      <w:bookmarkEnd w:id="266"/>
      <w:bookmarkEnd w:id="267"/>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.1在签订合同前，中标人应按“投标人须知前附表”规定的金额、担保形式和采购人认可的履约担保格式向采购人提交履约保证金。</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.2中标人不能按本章第3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.1项要求提交履约担保的，视为放弃中标，给采购人造成损失的，中标人还应当承担民事责任。</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8" w:name="_Toc12503"/>
      <w:bookmarkStart w:id="269" w:name="_Toc140132798"/>
      <w:bookmarkStart w:id="270" w:name="_Toc163492865"/>
      <w:r>
        <w:rPr>
          <w:rFonts w:hint="eastAsia" w:ascii="宋体" w:hAnsi="宋体" w:eastAsia="宋体" w:cs="宋体"/>
          <w:b/>
          <w:bCs/>
          <w:color w:val="auto"/>
          <w:kern w:val="2"/>
          <w:sz w:val="24"/>
          <w:szCs w:val="24"/>
          <w:highlight w:val="none"/>
          <w:lang w:val="en-US" w:eastAsia="zh-CN" w:bidi="ar-SA"/>
        </w:rPr>
        <w:t>34.签订合同</w:t>
      </w:r>
      <w:bookmarkEnd w:id="268"/>
      <w:bookmarkEnd w:id="269"/>
      <w:bookmarkEnd w:id="270"/>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.1 采购人和中标人应当自中标通知书发出之日起</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34.2 中标人拒绝与采购人签订合同的，采购人可以按照评标报告推荐的中标候选人名单排序，确定下一候选人为中标人，也可以重新开展政府采购活动。</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采购人和中标人不得向对方提出任何不合理的要求，作为签订合同的条件，双方不得私下订立背离合同实质性内容的协议。</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 联合体中标的，联合体各方应当共同与采购人签订合同，就采购合同约定的事项向采购人承担连带责任。</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。中标人就采购项目和分包项目向采购人负责，分包供应商就分包项目承担责任。</w:t>
      </w:r>
      <w:r>
        <w:rPr>
          <w:rFonts w:hint="eastAsia" w:ascii="宋体" w:hAnsi="宋体" w:eastAsia="宋体" w:cs="宋体"/>
          <w:b/>
          <w:bCs/>
          <w:color w:val="auto"/>
          <w:sz w:val="24"/>
          <w:szCs w:val="24"/>
          <w:highlight w:val="none"/>
          <w:lang w:val="en-US" w:eastAsia="zh-CN"/>
        </w:rPr>
        <w:t>政府采购合同不能转包。</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采购合同履行中，采购人需追加与合同标的相同的</w:t>
      </w:r>
      <w:r>
        <w:rPr>
          <w:rFonts w:hint="eastAsia" w:ascii="宋体" w:hAnsi="宋体" w:eastAsia="宋体" w:cs="宋体"/>
          <w:color w:val="auto"/>
          <w:sz w:val="24"/>
          <w:szCs w:val="24"/>
          <w:highlight w:val="none"/>
          <w:lang w:val="en-US" w:eastAsia="zh-CN"/>
        </w:rPr>
        <w:t>货物、工程或者服务</w:t>
      </w:r>
      <w:r>
        <w:rPr>
          <w:rFonts w:hint="eastAsia" w:ascii="宋体" w:hAnsi="宋体" w:eastAsia="宋体" w:cs="宋体"/>
          <w:color w:val="auto"/>
          <w:sz w:val="24"/>
          <w:szCs w:val="24"/>
          <w:highlight w:val="none"/>
        </w:rPr>
        <w:t>的，在不改变合同其他条款的前提下，可以与中标人协商签订补充合同，但所有补充合同的采购金额不得超过原合同采购金额的百分之十。</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34.7 采购人应于签订合同之日起2个工作日内在政采云平台备案公示。</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71" w:name="_Toc163492866"/>
      <w:bookmarkStart w:id="272" w:name="_Toc140132799"/>
      <w:bookmarkStart w:id="273" w:name="_Toc4530"/>
      <w:bookmarkStart w:id="274" w:name="_Toc155185881"/>
      <w:r>
        <w:rPr>
          <w:rFonts w:hint="eastAsia" w:ascii="宋体" w:hAnsi="宋体" w:eastAsia="宋体" w:cs="宋体"/>
          <w:b/>
          <w:bCs/>
          <w:color w:val="auto"/>
          <w:kern w:val="2"/>
          <w:sz w:val="24"/>
          <w:szCs w:val="24"/>
          <w:highlight w:val="none"/>
          <w:lang w:val="en-US" w:eastAsia="zh-CN" w:bidi="ar-SA"/>
        </w:rPr>
        <w:t>（十）质疑和投诉</w:t>
      </w:r>
      <w:bookmarkEnd w:id="271"/>
      <w:bookmarkEnd w:id="272"/>
      <w:bookmarkEnd w:id="273"/>
      <w:bookmarkEnd w:id="274"/>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75" w:name="_Toc140132800"/>
      <w:bookmarkStart w:id="276" w:name="_Toc19743"/>
      <w:bookmarkStart w:id="277" w:name="_Toc163492867"/>
      <w:r>
        <w:rPr>
          <w:rFonts w:hint="eastAsia" w:ascii="宋体" w:hAnsi="宋体" w:eastAsia="宋体" w:cs="宋体"/>
          <w:b/>
          <w:bCs/>
          <w:color w:val="auto"/>
          <w:kern w:val="2"/>
          <w:sz w:val="24"/>
          <w:szCs w:val="24"/>
          <w:highlight w:val="none"/>
          <w:lang w:val="en-US" w:eastAsia="zh-CN" w:bidi="ar-SA"/>
        </w:rPr>
        <w:t>35.质疑</w:t>
      </w:r>
      <w:bookmarkEnd w:id="275"/>
      <w:bookmarkEnd w:id="276"/>
      <w:bookmarkEnd w:id="277"/>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。供应商在法定质疑期内一次性提出针对同一采购程序环节的质疑。</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.2提出质疑的供应商（以下简称质疑供应商）应当是参与所质疑项目采购活动的供应商。</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rPr>
        <w:t>潜在供应商已依法获取其可质疑的采购文件的，可以对该文件提出质疑。对采购文件提出质疑的，应当在获取采购文件或者采购文件公告期限届满之日起7个工作日内提出。</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35.4</w:t>
      </w:r>
      <w:r>
        <w:rPr>
          <w:rFonts w:hint="eastAsia" w:ascii="宋体" w:hAnsi="宋体" w:eastAsia="宋体" w:cs="宋体"/>
          <w:color w:val="auto"/>
          <w:sz w:val="24"/>
          <w:szCs w:val="24"/>
          <w:highlight w:val="none"/>
        </w:rPr>
        <w:t>供应商提出质疑应当提交质疑函和必要的证明材料。质疑函应当包括下列内容：</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）供应商的姓名或者名称、地址、邮编、联系人及联系电话；</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rPr>
        <w:t>；</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）具体、明确的质疑事项和与质疑事项相关的请求；</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）必要的法律依据；</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）提出质疑的日期。</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.5质疑函不符合上述要求的，采购人或代理机构应书面告知具体事项，质疑人应当按要求进行修改或补充，并在质疑有效期限内提交。</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6</w:t>
      </w:r>
      <w:r>
        <w:rPr>
          <w:rFonts w:hint="eastAsia" w:ascii="宋体" w:hAnsi="宋体" w:eastAsia="宋体" w:cs="宋体"/>
          <w:snapToGrid w:val="0"/>
          <w:color w:val="auto"/>
          <w:sz w:val="24"/>
          <w:szCs w:val="24"/>
          <w:highlight w:val="none"/>
        </w:rPr>
        <w:t>投标人进行虚假和恶意</w:t>
      </w:r>
      <w:r>
        <w:rPr>
          <w:rFonts w:hint="eastAsia" w:ascii="宋体" w:hAnsi="宋体" w:eastAsia="宋体" w:cs="宋体"/>
          <w:snapToGrid w:val="0"/>
          <w:color w:val="auto"/>
          <w:sz w:val="24"/>
          <w:szCs w:val="24"/>
          <w:highlight w:val="none"/>
          <w:lang w:val="en-US" w:eastAsia="zh-CN"/>
        </w:rPr>
        <w:t>质疑投诉</w:t>
      </w:r>
      <w:r>
        <w:rPr>
          <w:rFonts w:hint="eastAsia" w:ascii="宋体" w:hAnsi="宋体" w:eastAsia="宋体" w:cs="宋体"/>
          <w:snapToGrid w:val="0"/>
          <w:color w:val="auto"/>
          <w:sz w:val="24"/>
          <w:szCs w:val="24"/>
          <w:highlight w:val="none"/>
        </w:rPr>
        <w:t>的，采购代理机构将提请有关部门将其列入不良记录名单，在一至三年内禁止参加政府采购活动，并将处理决定在相关政府采购媒体上公布。</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35.7</w:t>
      </w:r>
      <w:r>
        <w:rPr>
          <w:rFonts w:hint="eastAsia" w:ascii="宋体" w:hAnsi="宋体" w:eastAsia="宋体" w:cs="宋体"/>
          <w:color w:val="auto"/>
          <w:sz w:val="24"/>
          <w:szCs w:val="24"/>
          <w:highlight w:val="none"/>
        </w:rPr>
        <w:t>质疑函</w:t>
      </w:r>
      <w:r>
        <w:rPr>
          <w:rFonts w:hint="eastAsia" w:ascii="宋体" w:hAnsi="宋体" w:eastAsia="宋体" w:cs="宋体"/>
          <w:color w:val="auto"/>
          <w:sz w:val="24"/>
          <w:szCs w:val="24"/>
          <w:highlight w:val="none"/>
          <w:lang w:val="en-US" w:eastAsia="zh-CN"/>
        </w:rPr>
        <w:t>应当使用中文，并采用财政部门制定的范本。</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78" w:name="_Toc140132801"/>
      <w:bookmarkStart w:id="279" w:name="_Toc27598"/>
      <w:bookmarkStart w:id="280" w:name="_Toc163492868"/>
      <w:r>
        <w:rPr>
          <w:rFonts w:hint="eastAsia" w:ascii="宋体" w:hAnsi="宋体" w:eastAsia="宋体" w:cs="宋体"/>
          <w:b/>
          <w:bCs/>
          <w:color w:val="auto"/>
          <w:kern w:val="2"/>
          <w:sz w:val="24"/>
          <w:szCs w:val="24"/>
          <w:highlight w:val="none"/>
          <w:lang w:val="en-US" w:eastAsia="zh-CN" w:bidi="ar-SA"/>
        </w:rPr>
        <w:t>36.质疑答复</w:t>
      </w:r>
      <w:bookmarkEnd w:id="278"/>
      <w:bookmarkEnd w:id="279"/>
      <w:bookmarkEnd w:id="280"/>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81" w:name="_Toc163492869"/>
      <w:bookmarkStart w:id="282" w:name="_Toc140132802"/>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36.2供应商对评审过程、中标结果提出质疑的，采购人、采购代理机构可以组织原评标委员会协助答复质疑。</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质疑答复应当包括下列内容：</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）质疑供应商的姓名或者名称；</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）收到质疑函的日期、质疑项目名称及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eastAsia="zh-CN"/>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zh-CN" w:eastAsia="zh-CN"/>
        </w:rPr>
        <w:t>；</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）质疑事项、质疑答复的具体内容、事实依据和法律依据；</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）告知质疑供应商依法投诉的权利；</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）质疑答复人名称；</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）答复质疑的日期。</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质疑答复的内容不得涉及商业秘密。</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3" w:name="_Toc7181"/>
      <w:r>
        <w:rPr>
          <w:rFonts w:hint="eastAsia" w:ascii="宋体" w:hAnsi="宋体" w:eastAsia="宋体" w:cs="宋体"/>
          <w:b/>
          <w:bCs/>
          <w:color w:val="auto"/>
          <w:kern w:val="2"/>
          <w:sz w:val="24"/>
          <w:szCs w:val="24"/>
          <w:highlight w:val="none"/>
          <w:lang w:val="en-US" w:eastAsia="zh-CN" w:bidi="ar-SA"/>
        </w:rPr>
        <w:t>37.投诉</w:t>
      </w:r>
      <w:bookmarkEnd w:id="281"/>
      <w:bookmarkEnd w:id="282"/>
      <w:bookmarkEnd w:id="283"/>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37.1</w:t>
      </w:r>
      <w:r>
        <w:rPr>
          <w:rFonts w:hint="eastAsia" w:ascii="宋体" w:hAnsi="宋体" w:eastAsia="宋体" w:cs="宋体"/>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sz w:val="24"/>
          <w:szCs w:val="24"/>
          <w:highlight w:val="none"/>
          <w:lang w:val="en-US" w:eastAsia="zh-CN"/>
        </w:rPr>
        <w:t>同级政府采购监督管理部门</w:t>
      </w:r>
      <w:r>
        <w:rPr>
          <w:rFonts w:hint="eastAsia" w:ascii="宋体" w:hAnsi="宋体" w:eastAsia="宋体" w:cs="宋体"/>
          <w:color w:val="auto"/>
          <w:sz w:val="24"/>
          <w:szCs w:val="24"/>
          <w:highlight w:val="none"/>
        </w:rPr>
        <w:t>提起投诉。</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37.2</w:t>
      </w:r>
      <w:r>
        <w:rPr>
          <w:rFonts w:hint="eastAsia" w:ascii="宋体" w:hAnsi="宋体" w:eastAsia="宋体" w:cs="宋体"/>
          <w:color w:val="auto"/>
          <w:sz w:val="24"/>
          <w:szCs w:val="24"/>
          <w:highlight w:val="none"/>
        </w:rPr>
        <w:t>投诉人投诉时</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应当提交投诉书和必要的证明材料，并按照被投诉采购人、采购代理机构（以下简称被投诉人）和与投诉事项有关的供应商数量提供投诉书的副本。投诉书应当包括下列内容：</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）投诉人和被投诉人的姓名或者名称、通讯地址、邮编、联系人及联系电话；</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）质疑和质疑答复情况说明及相关证明材料；</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）具体、明确的投诉事项和与投诉事项相关的投诉请求；</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）法律依据；</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）提起投诉的日期。</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37.3</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质疑、</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val="en-US" w:eastAsia="zh-CN"/>
        </w:rPr>
        <w:t>应当有明确的请求和必要的证明材料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供应商投诉的事项不得超出</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质疑事项的范围，但基于质疑答复内容提出的投诉事项除外</w:t>
      </w:r>
      <w:r>
        <w:rPr>
          <w:rFonts w:hint="eastAsia" w:ascii="宋体" w:hAnsi="宋体" w:eastAsia="宋体" w:cs="宋体"/>
          <w:bCs/>
          <w:color w:val="auto"/>
          <w:sz w:val="24"/>
          <w:szCs w:val="24"/>
          <w:highlight w:val="none"/>
        </w:rPr>
        <w:t>。</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color w:val="auto"/>
          <w:sz w:val="24"/>
          <w:szCs w:val="24"/>
          <w:highlight w:val="none"/>
        </w:rPr>
      </w:pPr>
      <w:r>
        <w:rPr>
          <w:rFonts w:hint="eastAsia" w:ascii="宋体" w:hAnsi="宋体" w:eastAsia="宋体" w:cs="宋体"/>
          <w:snapToGrid w:val="0"/>
          <w:color w:val="auto"/>
          <w:sz w:val="24"/>
          <w:szCs w:val="24"/>
          <w:highlight w:val="none"/>
          <w:lang w:val="en-US" w:eastAsia="zh-CN"/>
        </w:rPr>
        <w:t>37.4</w:t>
      </w:r>
      <w:r>
        <w:rPr>
          <w:rFonts w:hint="eastAsia" w:ascii="宋体" w:hAnsi="宋体" w:eastAsia="宋体" w:cs="宋体"/>
          <w:color w:val="auto"/>
          <w:sz w:val="24"/>
          <w:szCs w:val="24"/>
          <w:highlight w:val="none"/>
          <w:lang w:val="en-US" w:eastAsia="zh-CN"/>
        </w:rPr>
        <w:t>投诉书应当使用中文，并采用财政部门制定的范本。</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4" w:name="_Toc163492870"/>
      <w:bookmarkStart w:id="285" w:name="_Toc140132803"/>
      <w:bookmarkStart w:id="286" w:name="_Toc155185882"/>
      <w:bookmarkStart w:id="287" w:name="_Toc10455"/>
      <w:r>
        <w:rPr>
          <w:rFonts w:hint="eastAsia" w:ascii="宋体" w:hAnsi="宋体" w:eastAsia="宋体" w:cs="宋体"/>
          <w:b/>
          <w:bCs/>
          <w:color w:val="auto"/>
          <w:kern w:val="2"/>
          <w:sz w:val="24"/>
          <w:szCs w:val="24"/>
          <w:highlight w:val="none"/>
          <w:lang w:val="en-US" w:eastAsia="zh-CN" w:bidi="ar-SA"/>
        </w:rPr>
        <w:t>（十一）采购代理服务费</w:t>
      </w:r>
      <w:bookmarkEnd w:id="284"/>
      <w:bookmarkEnd w:id="285"/>
      <w:bookmarkEnd w:id="286"/>
      <w:bookmarkEnd w:id="287"/>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8" w:name="_Toc8855"/>
      <w:bookmarkStart w:id="289" w:name="_Toc163492871"/>
      <w:bookmarkStart w:id="290" w:name="_Toc140132804"/>
      <w:r>
        <w:rPr>
          <w:rFonts w:hint="eastAsia" w:ascii="宋体" w:hAnsi="宋体" w:eastAsia="宋体" w:cs="宋体"/>
          <w:b/>
          <w:bCs/>
          <w:color w:val="auto"/>
          <w:kern w:val="2"/>
          <w:sz w:val="24"/>
          <w:szCs w:val="24"/>
          <w:highlight w:val="none"/>
          <w:lang w:val="en-US" w:eastAsia="zh-CN" w:bidi="ar-SA"/>
        </w:rPr>
        <w:t>38.收取方式和标准</w:t>
      </w:r>
      <w:bookmarkEnd w:id="288"/>
      <w:bookmarkEnd w:id="289"/>
      <w:bookmarkEnd w:id="290"/>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rPr>
        <w:t>.1采购代理机构按“投标人须知前附表”规定的方式和标准收取采购代理服务费。</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91" w:name="_Toc140132805"/>
      <w:bookmarkStart w:id="292" w:name="_Toc155185883"/>
      <w:bookmarkStart w:id="293" w:name="_Toc10992"/>
      <w:bookmarkStart w:id="294" w:name="_Toc163492872"/>
      <w:r>
        <w:rPr>
          <w:rFonts w:hint="eastAsia" w:ascii="宋体" w:hAnsi="宋体" w:eastAsia="宋体" w:cs="宋体"/>
          <w:b/>
          <w:bCs/>
          <w:color w:val="auto"/>
          <w:kern w:val="2"/>
          <w:sz w:val="24"/>
          <w:szCs w:val="24"/>
          <w:highlight w:val="none"/>
          <w:lang w:val="en-US" w:eastAsia="zh-CN" w:bidi="ar-SA"/>
        </w:rPr>
        <w:t>（十二）无效投标和废标</w:t>
      </w:r>
      <w:bookmarkEnd w:id="291"/>
      <w:bookmarkEnd w:id="292"/>
      <w:bookmarkEnd w:id="293"/>
      <w:bookmarkEnd w:id="294"/>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95" w:name="_Toc140132806"/>
      <w:bookmarkStart w:id="296" w:name="_Toc28487"/>
      <w:bookmarkStart w:id="297" w:name="_Toc163492873"/>
      <w:r>
        <w:rPr>
          <w:rFonts w:hint="eastAsia" w:ascii="宋体" w:hAnsi="宋体" w:eastAsia="宋体" w:cs="宋体"/>
          <w:b/>
          <w:bCs/>
          <w:color w:val="auto"/>
          <w:kern w:val="2"/>
          <w:sz w:val="24"/>
          <w:szCs w:val="24"/>
          <w:highlight w:val="none"/>
          <w:lang w:val="en-US" w:eastAsia="zh-CN" w:bidi="ar-SA"/>
        </w:rPr>
        <w:t>39.无效投标</w:t>
      </w:r>
      <w:bookmarkEnd w:id="295"/>
      <w:bookmarkEnd w:id="296"/>
      <w:bookmarkEnd w:id="297"/>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.1投标文件存在“第四章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规定的投标无效情形的，其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98" w:name="_Toc163492874"/>
      <w:bookmarkStart w:id="299" w:name="_Toc140132807"/>
      <w:bookmarkStart w:id="300" w:name="_Toc3980"/>
      <w:r>
        <w:rPr>
          <w:rFonts w:hint="eastAsia" w:ascii="宋体" w:hAnsi="宋体" w:eastAsia="宋体" w:cs="宋体"/>
          <w:b/>
          <w:bCs/>
          <w:color w:val="auto"/>
          <w:kern w:val="2"/>
          <w:sz w:val="24"/>
          <w:szCs w:val="24"/>
          <w:highlight w:val="none"/>
          <w:lang w:val="en-US" w:eastAsia="zh-CN" w:bidi="ar-SA"/>
        </w:rPr>
        <w:t>40.废标</w:t>
      </w:r>
      <w:bookmarkEnd w:id="298"/>
      <w:bookmarkEnd w:id="299"/>
      <w:bookmarkEnd w:id="300"/>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.1在招标采购中出现有“第五章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规定的废标情形的，应予以</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01" w:name="_Toc163492875"/>
      <w:bookmarkStart w:id="302" w:name="_Toc140132766"/>
      <w:bookmarkStart w:id="303" w:name="_Toc5781"/>
      <w:bookmarkStart w:id="304" w:name="_Toc155185884"/>
      <w:bookmarkStart w:id="305" w:name="_Toc140132808"/>
      <w:r>
        <w:rPr>
          <w:rFonts w:hint="eastAsia" w:ascii="宋体" w:hAnsi="宋体" w:eastAsia="宋体" w:cs="宋体"/>
          <w:b/>
          <w:bCs/>
          <w:color w:val="auto"/>
          <w:kern w:val="2"/>
          <w:sz w:val="24"/>
          <w:szCs w:val="24"/>
          <w:highlight w:val="none"/>
          <w:lang w:val="en-US" w:eastAsia="zh-CN" w:bidi="ar-SA"/>
        </w:rPr>
        <w:t>（十三）落实政府采购政策</w:t>
      </w:r>
      <w:bookmarkEnd w:id="301"/>
      <w:bookmarkEnd w:id="302"/>
      <w:r>
        <w:rPr>
          <w:rFonts w:hint="eastAsia" w:ascii="宋体" w:hAnsi="宋体" w:eastAsia="宋体" w:cs="宋体"/>
          <w:b/>
          <w:bCs/>
          <w:color w:val="auto"/>
          <w:kern w:val="2"/>
          <w:sz w:val="24"/>
          <w:szCs w:val="24"/>
          <w:highlight w:val="none"/>
          <w:lang w:val="en-US" w:eastAsia="zh-CN" w:bidi="ar-SA"/>
        </w:rPr>
        <w:t>（包括但不限于下列具体政策要求）</w:t>
      </w:r>
      <w:bookmarkEnd w:id="303"/>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306" w:name="_Toc163492876"/>
      <w:r>
        <w:rPr>
          <w:rFonts w:hint="eastAsia" w:ascii="宋体" w:hAnsi="宋体" w:eastAsia="宋体" w:cs="宋体"/>
          <w:b/>
          <w:bCs/>
          <w:color w:val="auto"/>
          <w:kern w:val="2"/>
          <w:sz w:val="24"/>
          <w:szCs w:val="28"/>
          <w:highlight w:val="none"/>
          <w:lang w:val="en-US" w:eastAsia="zh-CN" w:bidi="ar-SA"/>
        </w:rPr>
        <w:t>41.</w:t>
      </w:r>
      <w:r>
        <w:rPr>
          <w:rFonts w:hint="eastAsia" w:ascii="宋体" w:hAnsi="宋体" w:cs="宋体"/>
          <w:b/>
          <w:bCs/>
          <w:color w:val="auto"/>
          <w:kern w:val="2"/>
          <w:sz w:val="24"/>
          <w:szCs w:val="28"/>
          <w:highlight w:val="none"/>
          <w:lang w:val="en-US" w:eastAsia="zh-CN" w:bidi="ar-SA"/>
        </w:rPr>
        <w:t>本</w:t>
      </w:r>
      <w:r>
        <w:rPr>
          <w:rFonts w:hint="eastAsia" w:ascii="宋体" w:hAnsi="宋体" w:eastAsia="宋体" w:cs="宋体"/>
          <w:b/>
          <w:bCs/>
          <w:color w:val="auto"/>
          <w:kern w:val="2"/>
          <w:sz w:val="24"/>
          <w:szCs w:val="28"/>
          <w:highlight w:val="none"/>
          <w:lang w:val="en-US" w:eastAsia="zh-CN" w:bidi="ar-SA"/>
        </w:rPr>
        <w:t>国产品和进口产品</w:t>
      </w:r>
      <w:bookmarkEnd w:id="306"/>
    </w:p>
    <w:p>
      <w:pPr>
        <w:pStyle w:val="37"/>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pPr>
        <w:pStyle w:val="37"/>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pPr>
        <w:pStyle w:val="37"/>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w:t>
      </w:r>
      <w:r>
        <w:rPr>
          <w:rFonts w:hint="eastAsia"/>
          <w:iCs/>
          <w:snapToGrid w:val="0"/>
          <w:color w:val="auto"/>
          <w:spacing w:val="-6"/>
          <w:sz w:val="24"/>
          <w:highlight w:val="none"/>
          <w:lang w:val="en-US" w:eastAsia="zh-CN"/>
        </w:rPr>
        <w:t>录及比例标准正式实施前的过渡期内，符合境内生产条件的产品，可视同本国产</w:t>
      </w:r>
      <w:r>
        <w:rPr>
          <w:rFonts w:hint="eastAsia"/>
          <w:snapToGrid w:val="0"/>
          <w:color w:val="auto"/>
          <w:sz w:val="24"/>
          <w:highlight w:val="none"/>
          <w:lang w:val="en-US" w:eastAsia="zh-CN"/>
        </w:rPr>
        <w:t>品。</w:t>
      </w:r>
    </w:p>
    <w:p>
      <w:pPr>
        <w:pStyle w:val="37"/>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pPr>
        <w:pStyle w:val="37"/>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37"/>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pPr>
        <w:pStyle w:val="37"/>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pPr>
        <w:pStyle w:val="37"/>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r>
        <w:rPr>
          <w:rFonts w:hint="eastAsia"/>
          <w:snapToGrid w:val="0"/>
          <w:color w:val="auto"/>
          <w:sz w:val="24"/>
          <w:highlight w:val="none"/>
          <w:lang w:val="en-US" w:eastAsia="zh-CN"/>
        </w:rPr>
        <w:t>。</w:t>
      </w:r>
    </w:p>
    <w:p>
      <w:pPr>
        <w:pStyle w:val="37"/>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pPr>
        <w:pStyle w:val="37"/>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41.1.8对于仅有本国产品参与竞争的政府采购项目，本国产品不享受价格扣除评审优惠。</w:t>
      </w:r>
    </w:p>
    <w:p>
      <w:pPr>
        <w:pStyle w:val="37"/>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pPr>
        <w:pStyle w:val="37"/>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41.2</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 xml:space="preserve">进口产品指通过中国海关报关验放进入中国境内且产自关境外的产品，包括已经进入中国境内的进口产品。 </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3若采购需求中写明允许采购进口产品，投标人应保证所投产品可履行合法报通关手续进入中国关境内。</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4若采购需求中未写明允许采购进口产品，如投标人所投产品为进口产品，其投标将被认定为</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07" w:name="_Toc163492877"/>
      <w:bookmarkStart w:id="308" w:name="_Toc3821"/>
      <w:r>
        <w:rPr>
          <w:rFonts w:hint="eastAsia" w:ascii="宋体" w:hAnsi="宋体" w:eastAsia="宋体" w:cs="宋体"/>
          <w:b/>
          <w:bCs/>
          <w:color w:val="auto"/>
          <w:kern w:val="2"/>
          <w:sz w:val="24"/>
          <w:szCs w:val="24"/>
          <w:highlight w:val="none"/>
          <w:lang w:val="en-US" w:eastAsia="zh-CN" w:bidi="ar-SA"/>
        </w:rPr>
        <w:t>42.中小企业、监狱企业及残疾人福利性单位</w:t>
      </w:r>
      <w:bookmarkEnd w:id="307"/>
      <w:bookmarkEnd w:id="308"/>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 xml:space="preserve">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为促进中小企业发展，依据《关于印发</w:t>
      </w:r>
      <w:r>
        <w:rPr>
          <w:rFonts w:hint="eastAsia"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政府采购促进中小企业发展管理办法</w:t>
      </w:r>
      <w:r>
        <w:rPr>
          <w:rFonts w:hint="eastAsia" w:cs="宋体"/>
          <w:snapToGrid w:val="0"/>
          <w:color w:val="auto"/>
          <w:sz w:val="24"/>
          <w:szCs w:val="24"/>
          <w:highlight w:val="none"/>
          <w:lang w:eastAsia="zh-CN"/>
        </w:rPr>
        <w:t>〉的通知》</w:t>
      </w:r>
      <w:r>
        <w:rPr>
          <w:rFonts w:hint="eastAsia" w:ascii="宋体" w:hAnsi="宋体" w:eastAsia="宋体" w:cs="宋体"/>
          <w:snapToGrid w:val="0"/>
          <w:color w:val="auto"/>
          <w:sz w:val="24"/>
          <w:szCs w:val="24"/>
          <w:highlight w:val="none"/>
        </w:rPr>
        <w:t>（财库〔2020〕46号）、《财政部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snapToGrid w:val="0"/>
          <w:color w:val="auto"/>
          <w:sz w:val="24"/>
          <w:szCs w:val="24"/>
          <w:highlight w:val="none"/>
          <w:lang w:eastAsia="zh-CN"/>
        </w:rPr>
        <w:t>需享受中小企业相关政策的，且</w:t>
      </w:r>
      <w:r>
        <w:rPr>
          <w:rFonts w:hint="eastAsia" w:ascii="宋体" w:hAnsi="宋体" w:eastAsia="宋体" w:cs="宋体"/>
          <w:snapToGrid w:val="0"/>
          <w:color w:val="auto"/>
          <w:sz w:val="24"/>
          <w:szCs w:val="24"/>
          <w:highlight w:val="none"/>
        </w:rPr>
        <w:t>符合上述文件规定的，</w:t>
      </w:r>
      <w:r>
        <w:rPr>
          <w:rFonts w:hint="eastAsia" w:ascii="宋体" w:hAnsi="宋体" w:eastAsia="宋体" w:cs="宋体"/>
          <w:snapToGrid w:val="0"/>
          <w:color w:val="auto"/>
          <w:sz w:val="24"/>
          <w:szCs w:val="24"/>
          <w:highlight w:val="none"/>
          <w:lang w:eastAsia="zh-CN"/>
        </w:rPr>
        <w:t>应按本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，评审时，</w:t>
      </w:r>
      <w:r>
        <w:rPr>
          <w:rFonts w:hint="eastAsia" w:ascii="宋体" w:hAnsi="宋体" w:eastAsia="宋体" w:cs="宋体"/>
          <w:snapToGrid w:val="0"/>
          <w:color w:val="auto"/>
          <w:sz w:val="24"/>
          <w:szCs w:val="24"/>
          <w:highlight w:val="none"/>
          <w:lang w:val="en-US" w:eastAsia="zh-CN"/>
        </w:rPr>
        <w:t>评标委员会</w:t>
      </w:r>
      <w:r>
        <w:rPr>
          <w:rFonts w:hint="eastAsia" w:ascii="宋体" w:hAnsi="宋体" w:eastAsia="宋体" w:cs="宋体"/>
          <w:snapToGrid w:val="0"/>
          <w:color w:val="auto"/>
          <w:sz w:val="24"/>
          <w:szCs w:val="24"/>
          <w:highlight w:val="none"/>
        </w:rPr>
        <w:t>将依据</w:t>
      </w:r>
      <w:r>
        <w:rPr>
          <w:rFonts w:hint="eastAsia" w:ascii="宋体" w:hAnsi="宋体" w:eastAsia="宋体" w:cs="宋体"/>
          <w:snapToGrid w:val="0"/>
          <w:color w:val="auto"/>
          <w:sz w:val="24"/>
          <w:szCs w:val="24"/>
          <w:highlight w:val="none"/>
          <w:lang w:eastAsia="zh-CN"/>
        </w:rPr>
        <w:t>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投标人</w:t>
      </w:r>
      <w:r>
        <w:rPr>
          <w:rFonts w:hint="eastAsia" w:ascii="宋体" w:hAnsi="宋体" w:eastAsia="宋体" w:cs="宋体"/>
          <w:snapToGrid w:val="0"/>
          <w:color w:val="auto"/>
          <w:sz w:val="24"/>
          <w:szCs w:val="24"/>
          <w:highlight w:val="none"/>
        </w:rPr>
        <w:t>须知前附表”规定的报价扣除比例，对供应商报价进行价格扣除，用扣除后的价格参与评审</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公告中明确项目专门面向中小企业采购的，“</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”为资格要求文件，</w:t>
      </w:r>
      <w:r>
        <w:rPr>
          <w:rFonts w:hint="eastAsia" w:ascii="宋体" w:hAnsi="宋体" w:eastAsia="宋体" w:cs="宋体"/>
          <w:snapToGrid w:val="0"/>
          <w:color w:val="auto"/>
          <w:sz w:val="24"/>
          <w:szCs w:val="24"/>
          <w:highlight w:val="none"/>
        </w:rPr>
        <w:t>供应商</w:t>
      </w:r>
      <w:r>
        <w:rPr>
          <w:rFonts w:hint="eastAsia" w:ascii="宋体" w:hAnsi="宋体" w:eastAsia="宋体" w:cs="宋体"/>
          <w:snapToGrid w:val="0"/>
          <w:color w:val="auto"/>
          <w:sz w:val="24"/>
          <w:szCs w:val="24"/>
          <w:highlight w:val="none"/>
          <w:lang w:eastAsia="zh-CN"/>
        </w:rPr>
        <w:t>参与</w:t>
      </w:r>
      <w:r>
        <w:rPr>
          <w:rFonts w:hint="eastAsia" w:ascii="宋体" w:hAnsi="宋体" w:eastAsia="宋体" w:cs="宋体"/>
          <w:snapToGrid w:val="0"/>
          <w:color w:val="auto"/>
          <w:sz w:val="24"/>
          <w:szCs w:val="24"/>
          <w:highlight w:val="none"/>
          <w:lang w:val="en-US" w:eastAsia="zh-CN"/>
        </w:rPr>
        <w:t>投标</w:t>
      </w:r>
      <w:r>
        <w:rPr>
          <w:rFonts w:hint="eastAsia" w:ascii="宋体" w:hAnsi="宋体" w:eastAsia="宋体" w:cs="宋体"/>
          <w:snapToGrid w:val="0"/>
          <w:color w:val="auto"/>
          <w:sz w:val="24"/>
          <w:szCs w:val="24"/>
          <w:highlight w:val="none"/>
          <w:lang w:eastAsia="zh-CN"/>
        </w:rPr>
        <w:t>须按本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”等作为资格证明文件。</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 供应商提供的货物、工程或者服务符合下列情形的，享受中小企业扶持政策： </w:t>
      </w:r>
      <w:r>
        <w:rPr>
          <w:rFonts w:hint="eastAsia" w:cs="宋体"/>
          <w:snapToGrid w:val="0"/>
          <w:color w:val="auto"/>
          <w:sz w:val="24"/>
          <w:szCs w:val="24"/>
          <w:highlight w:val="none"/>
          <w:lang w:val="en-US" w:eastAsia="zh-CN"/>
        </w:rPr>
        <w:tab/>
      </w:r>
      <w:r>
        <w:rPr>
          <w:rFonts w:hint="eastAsia" w:ascii="宋体" w:hAnsi="宋体" w:eastAsia="宋体" w:cs="宋体"/>
          <w:snapToGrid w:val="0"/>
          <w:color w:val="auto"/>
          <w:sz w:val="24"/>
          <w:szCs w:val="24"/>
          <w:highlight w:val="none"/>
          <w:lang w:val="en-US" w:eastAsia="zh-CN"/>
        </w:rPr>
        <w:t>（1）在货物采购项目中，货物由中小企业制造，即货物由中小企业生产且使用该中小企业商号或者注册商标；</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（2）在工程采购项目中，工程由中小企业承建，即工程施工单位为中小企业；</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（3）在服务采购项目中，服务由中小企业承接，即提供服务的人员为中小企业依照《中华人民共和国劳动合同法》订立劳动合同的从业人员。</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42.4 在服务采购项目中，供应商提供的服务既有中小企业承接，也有大型企业承接的，不享受中小企业扶持政策。 </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42.5 以联合体形式参加政府采购活动，联合体各方均为中小企业的，联合体视同中小企业。其中，联合体各方均为小微企业的，联合体视同小微企业。</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42.7.2 依法与安置的每位残疾人签订了1年以上（含1年）的劳动合同或服务协议； </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42.8 本项目是否专门面向中小企业预留采购份额见“第一章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snapToGrid w:val="0"/>
          <w:color w:val="auto"/>
          <w:sz w:val="24"/>
          <w:szCs w:val="24"/>
          <w:highlight w:val="none"/>
          <w:lang w:val="en-US" w:eastAsia="zh-CN"/>
        </w:rPr>
        <w:t>”。    42.9 采购标的对应的中小企业划分标准所属行业见“投标人须知前附表”。    42.10 小微企业价格评审优惠的政策调整：见“投标人须知前附表”及“第五章 评标方法及标准”。</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09" w:name="_Toc163492878"/>
      <w:bookmarkStart w:id="310" w:name="_Toc18531"/>
      <w:r>
        <w:rPr>
          <w:rFonts w:hint="eastAsia" w:ascii="宋体" w:hAnsi="宋体" w:eastAsia="宋体" w:cs="宋体"/>
          <w:b/>
          <w:bCs/>
          <w:color w:val="auto"/>
          <w:kern w:val="2"/>
          <w:sz w:val="24"/>
          <w:szCs w:val="24"/>
          <w:highlight w:val="none"/>
          <w:lang w:val="en-US" w:eastAsia="zh-CN" w:bidi="ar-SA"/>
        </w:rPr>
        <w:t>43.政府采购节能产品、环境标志产品</w:t>
      </w:r>
      <w:bookmarkEnd w:id="309"/>
      <w:bookmarkEnd w:id="310"/>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 xml:space="preserve">。 </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43.4 非政府强制采购的节能产品或环境标志产品，依据品目清单和认证证书实施政府优先采购。优先采购的具体规定见“第五章 评标方法及标准”（如涉及）。</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43.5 </w:t>
      </w:r>
      <w:r>
        <w:rPr>
          <w:rFonts w:hint="eastAsia" w:ascii="宋体" w:hAnsi="宋体" w:eastAsia="宋体" w:cs="宋体"/>
          <w:snapToGrid w:val="0"/>
          <w:color w:val="auto"/>
          <w:sz w:val="24"/>
          <w:szCs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snapToGrid w:val="0"/>
          <w:color w:val="auto"/>
          <w:sz w:val="24"/>
          <w:szCs w:val="24"/>
          <w:highlight w:val="none"/>
          <w:lang w:val="en-US" w:eastAsia="zh-CN"/>
        </w:rPr>
        <w:t>评审优惠</w:t>
      </w:r>
      <w:r>
        <w:rPr>
          <w:rFonts w:hint="eastAsia" w:ascii="宋体" w:hAnsi="宋体" w:eastAsia="宋体" w:cs="宋体"/>
          <w:snapToGrid w:val="0"/>
          <w:color w:val="auto"/>
          <w:sz w:val="24"/>
          <w:szCs w:val="24"/>
          <w:highlight w:val="none"/>
        </w:rPr>
        <w:t>，未提供认证证书的视为</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rPr>
        <w:t>无效</w:t>
      </w:r>
      <w:r>
        <w:rPr>
          <w:rFonts w:hint="eastAsia" w:ascii="宋体" w:hAnsi="宋体" w:eastAsia="宋体" w:cs="宋体"/>
          <w:snapToGrid w:val="0"/>
          <w:color w:val="auto"/>
          <w:sz w:val="24"/>
          <w:szCs w:val="24"/>
          <w:highlight w:val="none"/>
        </w:rPr>
        <w:t>。属于</w:t>
      </w:r>
      <w:r>
        <w:rPr>
          <w:rFonts w:hint="eastAsia" w:ascii="宋体" w:hAnsi="宋体" w:eastAsia="宋体" w:cs="宋体"/>
          <w:snapToGrid w:val="0"/>
          <w:color w:val="auto"/>
          <w:sz w:val="24"/>
          <w:szCs w:val="24"/>
          <w:highlight w:val="none"/>
          <w:lang w:val="en-US" w:eastAsia="zh-CN"/>
        </w:rPr>
        <w:t>优先采购</w:t>
      </w:r>
      <w:r>
        <w:rPr>
          <w:rFonts w:hint="eastAsia" w:ascii="宋体" w:hAnsi="宋体" w:eastAsia="宋体" w:cs="宋体"/>
          <w:snapToGrid w:val="0"/>
          <w:color w:val="auto"/>
          <w:sz w:val="24"/>
          <w:szCs w:val="24"/>
          <w:highlight w:val="none"/>
        </w:rPr>
        <w:t>节能产品政府采购品目清单、环境标志产品政府采购品目清单</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创新产品</w:t>
      </w:r>
      <w:r>
        <w:rPr>
          <w:rFonts w:hint="eastAsia" w:ascii="宋体" w:hAnsi="宋体" w:eastAsia="宋体" w:cs="宋体"/>
          <w:snapToGrid w:val="0"/>
          <w:color w:val="auto"/>
          <w:sz w:val="24"/>
          <w:szCs w:val="24"/>
          <w:highlight w:val="none"/>
        </w:rPr>
        <w:t>范围的，按照“</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snapToGrid w:val="0"/>
          <w:color w:val="auto"/>
          <w:sz w:val="24"/>
          <w:szCs w:val="24"/>
          <w:highlight w:val="none"/>
        </w:rPr>
        <w:t>”中相关规定</w:t>
      </w:r>
      <w:r>
        <w:rPr>
          <w:rFonts w:hint="eastAsia" w:ascii="宋体" w:hAnsi="宋体" w:eastAsia="宋体" w:cs="宋体"/>
          <w:color w:val="auto"/>
          <w:sz w:val="24"/>
          <w:szCs w:val="24"/>
          <w:highlight w:val="none"/>
          <w:lang w:val="en-US" w:eastAsia="zh-CN"/>
        </w:rPr>
        <w:t>在</w:t>
      </w:r>
      <w:r>
        <w:rPr>
          <w:rFonts w:hint="eastAsia" w:ascii="宋体" w:hAnsi="宋体" w:eastAsia="宋体" w:cs="宋体"/>
          <w:snapToGrid w:val="0"/>
          <w:color w:val="auto"/>
          <w:sz w:val="24"/>
          <w:szCs w:val="24"/>
          <w:highlight w:val="none"/>
          <w:lang w:val="en-US" w:eastAsia="zh-CN"/>
        </w:rPr>
        <w:t>评审时给予优惠，具</w:t>
      </w:r>
      <w:r>
        <w:rPr>
          <w:rFonts w:hint="eastAsia" w:ascii="宋体" w:hAnsi="宋体" w:eastAsia="宋体" w:cs="宋体"/>
          <w:color w:val="auto"/>
          <w:sz w:val="24"/>
          <w:szCs w:val="24"/>
          <w:highlight w:val="none"/>
          <w:lang w:val="en-US" w:eastAsia="zh-CN"/>
        </w:rPr>
        <w:t>体详见</w:t>
      </w:r>
      <w:r>
        <w:rPr>
          <w:rFonts w:hint="eastAsia" w:ascii="宋体" w:hAnsi="宋体" w:eastAsia="宋体" w:cs="宋体"/>
          <w:snapToGrid w:val="0"/>
          <w:color w:val="auto"/>
          <w:sz w:val="24"/>
          <w:szCs w:val="24"/>
          <w:highlight w:val="none"/>
          <w:lang w:val="en-US" w:eastAsia="zh-CN"/>
        </w:rPr>
        <w:t>“投标人须知前附表”及</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color w:val="auto"/>
          <w:sz w:val="24"/>
          <w:szCs w:val="24"/>
          <w:highlight w:val="none"/>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1" w:name="_Toc20976"/>
      <w:bookmarkStart w:id="312" w:name="_Toc163492879"/>
      <w:r>
        <w:rPr>
          <w:rFonts w:hint="eastAsia" w:ascii="宋体" w:hAnsi="宋体" w:eastAsia="宋体" w:cs="宋体"/>
          <w:b/>
          <w:bCs/>
          <w:color w:val="auto"/>
          <w:kern w:val="2"/>
          <w:sz w:val="24"/>
          <w:szCs w:val="24"/>
          <w:highlight w:val="none"/>
          <w:lang w:val="en-US" w:eastAsia="zh-CN" w:bidi="ar-SA"/>
        </w:rPr>
        <w:t>44.正版软件</w:t>
      </w:r>
      <w:bookmarkEnd w:id="311"/>
      <w:r>
        <w:rPr>
          <w:rFonts w:hint="eastAsia" w:ascii="宋体" w:hAnsi="宋体" w:eastAsia="宋体" w:cs="宋体"/>
          <w:b/>
          <w:bCs/>
          <w:color w:val="auto"/>
          <w:kern w:val="2"/>
          <w:sz w:val="24"/>
          <w:szCs w:val="24"/>
          <w:highlight w:val="none"/>
          <w:lang w:val="en-US" w:eastAsia="zh-CN" w:bidi="ar-SA"/>
        </w:rPr>
        <w:t xml:space="preserve">  </w:t>
      </w:r>
    </w:p>
    <w:p>
      <w:pPr>
        <w:pStyle w:val="37"/>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3" w:name="_Toc3951"/>
      <w:r>
        <w:rPr>
          <w:rFonts w:hint="eastAsia" w:ascii="宋体" w:hAnsi="宋体" w:eastAsia="宋体" w:cs="宋体"/>
          <w:b/>
          <w:bCs/>
          <w:color w:val="auto"/>
          <w:kern w:val="2"/>
          <w:sz w:val="24"/>
          <w:szCs w:val="24"/>
          <w:highlight w:val="none"/>
          <w:lang w:val="en-US" w:eastAsia="zh-CN" w:bidi="ar-SA"/>
        </w:rPr>
        <w:t>45.网络安全专用产品</w:t>
      </w:r>
      <w:bookmarkEnd w:id="313"/>
      <w:r>
        <w:rPr>
          <w:rFonts w:hint="eastAsia" w:ascii="宋体" w:hAnsi="宋体" w:eastAsia="宋体" w:cs="宋体"/>
          <w:b/>
          <w:bCs/>
          <w:color w:val="auto"/>
          <w:kern w:val="2"/>
          <w:sz w:val="24"/>
          <w:szCs w:val="24"/>
          <w:highlight w:val="none"/>
          <w:lang w:val="en-US" w:eastAsia="zh-CN" w:bidi="ar-SA"/>
        </w:rPr>
        <w:t xml:space="preserve">   </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w:t>
      </w:r>
      <w:r>
        <w:rPr>
          <w:rFonts w:hint="eastAsia"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网络关键设备和网络安全专用产品目录</w:t>
      </w:r>
      <w:r>
        <w:rPr>
          <w:rFonts w:hint="eastAsia"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的公告》等相关文件要求，所投标（响应）设备或产品至少符合以下条件之一：一是已由具备资格的机构安全认证合格或安全检测符合要求；二是已获得《计算机信息系统安全专用产品销售许可证》，且在有效期内。采购人、中标</w:t>
      </w:r>
      <w:r>
        <w:rPr>
          <w:rFonts w:hint="eastAsia"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成交</w:t>
      </w:r>
      <w:r>
        <w:rPr>
          <w:rFonts w:hint="eastAsia"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人双方签订合同及验收环节，应包含上述网络安全要求的条款。</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w:t>
      </w:r>
      <w:r>
        <w:rPr>
          <w:rFonts w:hint="eastAsia"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成交</w:t>
      </w:r>
      <w:r>
        <w:rPr>
          <w:rFonts w:hint="eastAsia"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 xml:space="preserve">人双方签订合同及验收环节，应包含上述市场准入类资质要求的条款。 </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4" w:name="_Toc5298"/>
      <w:r>
        <w:rPr>
          <w:rFonts w:hint="eastAsia" w:ascii="宋体" w:hAnsi="宋体" w:eastAsia="宋体" w:cs="宋体"/>
          <w:b/>
          <w:bCs/>
          <w:color w:val="auto"/>
          <w:kern w:val="2"/>
          <w:sz w:val="24"/>
          <w:szCs w:val="24"/>
          <w:highlight w:val="none"/>
          <w:lang w:val="en-US" w:eastAsia="zh-CN" w:bidi="ar-SA"/>
        </w:rPr>
        <w:t>46.采购需求标准</w:t>
      </w:r>
      <w:bookmarkEnd w:id="314"/>
      <w:r>
        <w:rPr>
          <w:rFonts w:hint="eastAsia" w:ascii="宋体" w:hAnsi="宋体" w:eastAsia="宋体" w:cs="宋体"/>
          <w:b/>
          <w:bCs/>
          <w:color w:val="auto"/>
          <w:kern w:val="2"/>
          <w:sz w:val="24"/>
          <w:szCs w:val="24"/>
          <w:highlight w:val="none"/>
          <w:lang w:val="en-US" w:eastAsia="zh-CN" w:bidi="ar-SA"/>
        </w:rPr>
        <w:t xml:space="preserve">   </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46.1 商品包装、快递包装政府采购需求标准（试行） </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为助力打好污染防治攻坚战，推广使用绿色包装，根据财政部关于印发《商品包装政府采购需求标准（试行）</w:t>
      </w:r>
      <w:r>
        <w:rPr>
          <w:rFonts w:hint="eastAsia"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 xml:space="preserve">快递包装政府采购需求标准（试行）》的通知（财办库〔2020〕123 号），本项目如涉及商品包装和快递包装的，则其具体要求见第三章《采购需求》。 </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46.2 绿色数据中心政府采购需求标准（试行） </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46.3台式计算机政府采购需求标准</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46.4便携式计算机政府采购需求标准</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46.5一体式计算机政府采购需求标准</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46.6工作站政府采购需求标准</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46.7通用服务器政府采购需求标准</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46.8操作系统政府采购需求标准</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46.9数据库政府采购需求标准</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46.10物业管理服务政府采购需求标准（办公场所类）（试行）</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5" w:name="_Toc10007"/>
      <w:r>
        <w:rPr>
          <w:rFonts w:hint="eastAsia" w:ascii="宋体" w:hAnsi="宋体" w:eastAsia="宋体" w:cs="宋体"/>
          <w:b/>
          <w:bCs/>
          <w:color w:val="auto"/>
          <w:kern w:val="2"/>
          <w:sz w:val="24"/>
          <w:szCs w:val="24"/>
          <w:highlight w:val="none"/>
          <w:lang w:val="en-US" w:eastAsia="zh-CN" w:bidi="ar-SA"/>
        </w:rPr>
        <w:t>（十四）政府采购合同融资政策</w:t>
      </w:r>
      <w:bookmarkEnd w:id="304"/>
      <w:bookmarkEnd w:id="305"/>
      <w:bookmarkEnd w:id="312"/>
      <w:bookmarkEnd w:id="315"/>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6" w:name="_Toc14089"/>
      <w:bookmarkStart w:id="317" w:name="_Toc163492880"/>
      <w:r>
        <w:rPr>
          <w:rFonts w:hint="eastAsia" w:ascii="宋体" w:hAnsi="宋体" w:eastAsia="宋体" w:cs="宋体"/>
          <w:b/>
          <w:bCs/>
          <w:color w:val="auto"/>
          <w:kern w:val="2"/>
          <w:sz w:val="24"/>
          <w:szCs w:val="24"/>
          <w:highlight w:val="none"/>
          <w:lang w:val="en-US" w:eastAsia="zh-CN" w:bidi="ar-SA"/>
        </w:rPr>
        <w:t>47.政府采购合同融资政策</w:t>
      </w:r>
      <w:bookmarkEnd w:id="316"/>
      <w:bookmarkEnd w:id="317"/>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.1政府采购合同融资政策：见投标人须知前附表。</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8" w:name="_Toc26816"/>
      <w:bookmarkStart w:id="319" w:name="_Toc163492881"/>
      <w:r>
        <w:rPr>
          <w:rFonts w:hint="eastAsia" w:ascii="宋体" w:hAnsi="宋体" w:eastAsia="宋体" w:cs="宋体"/>
          <w:b/>
          <w:bCs/>
          <w:color w:val="auto"/>
          <w:kern w:val="2"/>
          <w:sz w:val="24"/>
          <w:szCs w:val="24"/>
          <w:highlight w:val="none"/>
          <w:lang w:val="en-US" w:eastAsia="zh-CN" w:bidi="ar-SA"/>
        </w:rPr>
        <w:t>（十五）其他</w:t>
      </w:r>
      <w:bookmarkEnd w:id="318"/>
      <w:bookmarkEnd w:id="319"/>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0" w:name="_Toc18980"/>
      <w:bookmarkStart w:id="321" w:name="_Toc163492882"/>
      <w:r>
        <w:rPr>
          <w:rFonts w:hint="eastAsia" w:ascii="宋体" w:hAnsi="宋体" w:eastAsia="宋体" w:cs="宋体"/>
          <w:b/>
          <w:bCs/>
          <w:color w:val="auto"/>
          <w:kern w:val="2"/>
          <w:sz w:val="24"/>
          <w:szCs w:val="24"/>
          <w:highlight w:val="none"/>
          <w:lang w:val="en-US" w:eastAsia="zh-CN" w:bidi="ar-SA"/>
        </w:rPr>
        <w:t>48.需要补充的其他内容</w:t>
      </w:r>
      <w:bookmarkEnd w:id="320"/>
      <w:bookmarkEnd w:id="321"/>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.1需要补充的其他内容：见投标人须知前附表。</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2" w:name="_Toc155185886"/>
      <w:bookmarkStart w:id="323" w:name="_Toc140132810"/>
      <w:bookmarkStart w:id="324" w:name="_Toc12494"/>
      <w:bookmarkStart w:id="325" w:name="_Toc163492883"/>
      <w:r>
        <w:rPr>
          <w:rFonts w:hint="eastAsia" w:ascii="宋体" w:hAnsi="宋体" w:eastAsia="宋体" w:cs="宋体"/>
          <w:b/>
          <w:bCs/>
          <w:color w:val="auto"/>
          <w:kern w:val="2"/>
          <w:sz w:val="24"/>
          <w:szCs w:val="24"/>
          <w:highlight w:val="none"/>
          <w:lang w:val="en-US" w:eastAsia="zh-CN" w:bidi="ar-SA"/>
        </w:rPr>
        <w:t>49.适用法律</w:t>
      </w:r>
      <w:bookmarkEnd w:id="322"/>
      <w:bookmarkEnd w:id="323"/>
      <w:bookmarkEnd w:id="324"/>
      <w:bookmarkEnd w:id="325"/>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.1采购人、采购代理机构及投标人的一切采购活动均适用《中华人民共和国政府采购法</w:t>
      </w:r>
      <w:r>
        <w:rPr>
          <w:rFonts w:hint="eastAsia"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中华人民共和国政府采购法实施条例</w:t>
      </w:r>
      <w:r>
        <w:rPr>
          <w:rFonts w:hint="eastAsia"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政府采购货物和服务招标投标管理办法》（财政部令第87号）及相关法律法规。</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.2政府采购合同的履行、违约责任和解决争议的方法等适用《中华人民共和国民法典》。</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6" w:name="_Toc155185887"/>
      <w:bookmarkStart w:id="327" w:name="_Toc163492884"/>
      <w:bookmarkStart w:id="328" w:name="_Toc20737"/>
      <w:r>
        <w:rPr>
          <w:rFonts w:hint="eastAsia" w:ascii="宋体" w:hAnsi="宋体" w:eastAsia="宋体" w:cs="宋体"/>
          <w:b/>
          <w:bCs/>
          <w:color w:val="auto"/>
          <w:kern w:val="2"/>
          <w:sz w:val="24"/>
          <w:szCs w:val="24"/>
          <w:highlight w:val="none"/>
          <w:lang w:val="en-US" w:eastAsia="zh-CN" w:bidi="ar-SA"/>
        </w:rPr>
        <w:t>50.解释权</w:t>
      </w:r>
      <w:bookmarkEnd w:id="326"/>
      <w:bookmarkEnd w:id="327"/>
      <w:bookmarkEnd w:id="328"/>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50</w:t>
      </w:r>
      <w:r>
        <w:rPr>
          <w:rFonts w:hint="eastAsia" w:ascii="宋体" w:hAnsi="宋体" w:eastAsia="宋体" w:cs="宋体"/>
          <w:snapToGrid w:val="0"/>
          <w:color w:val="auto"/>
          <w:sz w:val="24"/>
          <w:szCs w:val="24"/>
          <w:highlight w:val="none"/>
        </w:rPr>
        <w:t>.1本招标文件最终解释权归采购人或采购代理机构所有。</w:t>
      </w:r>
    </w:p>
    <w:p>
      <w:pPr>
        <w:jc w:val="both"/>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br w:type="page"/>
      </w:r>
    </w:p>
    <w:p>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2"/>
          <w:szCs w:val="32"/>
          <w:highlight w:val="none"/>
          <w:lang w:val="en-US" w:eastAsia="zh-CN" w:bidi="ar-SA"/>
        </w:rPr>
      </w:pPr>
      <w:bookmarkStart w:id="329" w:name="_Toc21960"/>
      <w:bookmarkStart w:id="330" w:name="_Toc155185888"/>
      <w:bookmarkStart w:id="331" w:name="_Toc32401"/>
      <w:r>
        <w:rPr>
          <w:rFonts w:hint="eastAsia" w:ascii="宋体" w:hAnsi="宋体" w:eastAsia="宋体" w:cs="宋体"/>
          <w:b/>
          <w:bCs/>
          <w:color w:val="auto"/>
          <w:kern w:val="44"/>
          <w:sz w:val="32"/>
          <w:szCs w:val="32"/>
          <w:highlight w:val="none"/>
          <w:lang w:val="en-US" w:eastAsia="zh-CN" w:bidi="ar-SA"/>
        </w:rPr>
        <w:t>第三章 采购需求</w:t>
      </w:r>
      <w:bookmarkEnd w:id="329"/>
      <w:bookmarkEnd w:id="330"/>
      <w:bookmarkEnd w:id="331"/>
    </w:p>
    <w:p>
      <w:pPr>
        <w:pStyle w:val="37"/>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snapToGrid w:val="0"/>
          <w:color w:val="auto"/>
          <w:sz w:val="24"/>
          <w:szCs w:val="24"/>
          <w:highlight w:val="none"/>
          <w:lang w:val="en-US" w:eastAsia="zh-CN"/>
        </w:rPr>
      </w:pPr>
      <w:bookmarkStart w:id="332" w:name="_Toc140132812"/>
      <w:bookmarkStart w:id="333" w:name="_Toc155185889"/>
      <w:r>
        <w:rPr>
          <w:rFonts w:hint="eastAsia"/>
          <w:snapToGrid w:val="0"/>
          <w:color w:val="auto"/>
          <w:sz w:val="24"/>
          <w:szCs w:val="24"/>
          <w:highlight w:val="none"/>
          <w:lang w:val="en-US" w:eastAsia="zh-CN"/>
        </w:rPr>
        <w:t>通过开展应届毕业生培养质量跟踪监测、就业质量年度报告项目及高水平高等职业技术学院建设满意度跟踪项目，本项目基于院校内部常态化数据应用场景，结合外部考核（包括职业本科合格评估）等重点工作进行设计，主要服务于学校开展外部综合定位、分析社会需求适应度、测量能力素养达成、获取毕业生满意度以及教学质量保障工作等方面，为学校提供有价值的数据及分析，为质量改进工作提供参考。项目反馈毕业生培养质量及双高建设利益相关方的满意度跟踪，并结合教学质量年报数据，构建办学投入—学生产出综合分析模型，帮助我校精准定位。同时，对教学培养过程进行反馈，并结合多维度数据，深挖改进方向，为我校职业本科合格评估及新双高建设及人才培养提供数据支持和效果举证。</w:t>
      </w:r>
    </w:p>
    <w:tbl>
      <w:tblPr>
        <w:tblStyle w:val="30"/>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1948"/>
        <w:gridCol w:w="6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5" w:type="dxa"/>
            <w:vAlign w:val="center"/>
          </w:tcPr>
          <w:p>
            <w:pPr>
              <w:pStyle w:val="75"/>
              <w:keepNext w:val="0"/>
              <w:keepLines w:val="0"/>
              <w:pageBreakBefore w:val="0"/>
              <w:kinsoku/>
              <w:wordWrap/>
              <w:overflowPunct/>
              <w:topLinePunct w:val="0"/>
              <w:autoSpaceDE/>
              <w:autoSpaceDN/>
              <w:bidi w:val="0"/>
              <w:adjustRightInd/>
              <w:snapToGrid/>
              <w:spacing w:line="300" w:lineRule="auto"/>
              <w:jc w:val="center"/>
              <w:textAlignment w:val="auto"/>
              <w:rPr>
                <w:rFonts w:hint="eastAsia" w:ascii="宋体" w:hAnsi="宋体" w:eastAsia="宋体" w:cs="宋体"/>
                <w:b/>
                <w:bCs/>
                <w:snapToGrid w:val="0"/>
                <w:color w:val="auto"/>
                <w:sz w:val="24"/>
                <w:szCs w:val="24"/>
                <w:highlight w:val="none"/>
                <w:vertAlign w:val="baseline"/>
                <w:lang w:val="en-US" w:eastAsia="zh-CN"/>
              </w:rPr>
            </w:pPr>
            <w:r>
              <w:rPr>
                <w:rFonts w:hint="eastAsia" w:ascii="宋体" w:hAnsi="宋体" w:eastAsia="宋体" w:cs="宋体"/>
                <w:sz w:val="24"/>
                <w:szCs w:val="24"/>
                <w:lang w:val="en-US" w:eastAsia="zh-CN"/>
              </w:rPr>
              <w:t>项目名称</w:t>
            </w:r>
          </w:p>
        </w:tc>
        <w:tc>
          <w:tcPr>
            <w:tcW w:w="1948" w:type="dxa"/>
            <w:vAlign w:val="center"/>
          </w:tcPr>
          <w:p>
            <w:pPr>
              <w:pStyle w:val="75"/>
              <w:keepNext w:val="0"/>
              <w:keepLines w:val="0"/>
              <w:pageBreakBefore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cs="宋体"/>
                <w:b/>
                <w:bCs/>
                <w:snapToGrid w:val="0"/>
                <w:color w:val="auto"/>
                <w:sz w:val="24"/>
                <w:szCs w:val="24"/>
                <w:highlight w:val="none"/>
                <w:vertAlign w:val="baseline"/>
                <w:lang w:val="en-US" w:eastAsia="zh-CN"/>
              </w:rPr>
            </w:pPr>
            <w:r>
              <w:rPr>
                <w:rFonts w:hint="eastAsia" w:ascii="宋体" w:hAnsi="宋体" w:eastAsia="宋体" w:cs="宋体"/>
                <w:sz w:val="24"/>
                <w:szCs w:val="24"/>
                <w:lang w:val="en-US" w:eastAsia="zh-CN"/>
              </w:rPr>
              <w:t>子项目名称</w:t>
            </w:r>
          </w:p>
        </w:tc>
        <w:tc>
          <w:tcPr>
            <w:tcW w:w="6322" w:type="dxa"/>
            <w:vAlign w:val="center"/>
          </w:tcPr>
          <w:p>
            <w:pPr>
              <w:pStyle w:val="75"/>
              <w:keepNext w:val="0"/>
              <w:keepLines w:val="0"/>
              <w:pageBreakBefore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cs="宋体"/>
                <w:b/>
                <w:bCs/>
                <w:snapToGrid w:val="0"/>
                <w:color w:val="auto"/>
                <w:sz w:val="24"/>
                <w:szCs w:val="24"/>
                <w:highlight w:val="none"/>
                <w:vertAlign w:val="baseline"/>
                <w:lang w:val="en-US" w:eastAsia="zh-CN"/>
              </w:rPr>
            </w:pPr>
            <w:r>
              <w:rPr>
                <w:rFonts w:hint="eastAsia" w:ascii="宋体" w:hAnsi="宋体" w:eastAsia="宋体" w:cs="宋体"/>
                <w:sz w:val="24"/>
                <w:szCs w:val="24"/>
                <w:lang w:val="en-US" w:eastAsia="zh-CN"/>
              </w:rPr>
              <w:t>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1935" w:type="dxa"/>
            <w:vMerge w:val="restart"/>
            <w:vAlign w:val="center"/>
          </w:tcPr>
          <w:p>
            <w:pPr>
              <w:pStyle w:val="75"/>
              <w:keepNext w:val="0"/>
              <w:keepLines w:val="0"/>
              <w:pageBreakBefore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cs="宋体"/>
                <w:b/>
                <w:bCs/>
                <w:snapToGrid w:val="0"/>
                <w:color w:val="auto"/>
                <w:sz w:val="24"/>
                <w:szCs w:val="24"/>
                <w:highlight w:val="none"/>
                <w:vertAlign w:val="baseline"/>
                <w:lang w:val="en-US" w:eastAsia="zh-CN"/>
              </w:rPr>
            </w:pPr>
            <w:r>
              <w:rPr>
                <w:rFonts w:hint="eastAsia" w:ascii="宋体" w:hAnsi="宋体" w:eastAsia="宋体" w:cs="宋体"/>
                <w:sz w:val="24"/>
                <w:szCs w:val="24"/>
                <w:lang w:val="en-US" w:eastAsia="zh-CN"/>
              </w:rPr>
              <w:t>高水平专业群建设跟踪评价及应届毕业生调研</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评价项目</w:t>
            </w:r>
          </w:p>
        </w:tc>
        <w:tc>
          <w:tcPr>
            <w:tcW w:w="1948" w:type="dxa"/>
            <w:vAlign w:val="center"/>
          </w:tcPr>
          <w:p>
            <w:pPr>
              <w:pStyle w:val="75"/>
              <w:keepNext w:val="0"/>
              <w:keepLines w:val="0"/>
              <w:pageBreakBefore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cs="宋体"/>
                <w:b/>
                <w:bCs/>
                <w:snapToGrid w:val="0"/>
                <w:color w:val="auto"/>
                <w:sz w:val="24"/>
                <w:szCs w:val="24"/>
                <w:highlight w:val="none"/>
                <w:vertAlign w:val="baseline"/>
                <w:lang w:val="en-US" w:eastAsia="zh-CN"/>
              </w:rPr>
            </w:pPr>
            <w:r>
              <w:rPr>
                <w:rFonts w:hint="eastAsia" w:ascii="宋体" w:hAnsi="宋体" w:eastAsia="宋体" w:cs="宋体"/>
                <w:sz w:val="24"/>
                <w:szCs w:val="24"/>
                <w:lang w:val="en-US" w:eastAsia="zh-CN"/>
              </w:rPr>
              <w:t>应届毕业生培养质量监测</w:t>
            </w:r>
            <w:r>
              <w:rPr>
                <w:rFonts w:hint="eastAsia" w:ascii="宋体" w:hAnsi="宋体" w:eastAsia="宋体" w:cs="宋体"/>
                <w:sz w:val="24"/>
                <w:szCs w:val="24"/>
                <w:lang w:eastAsia="zh-CN"/>
              </w:rPr>
              <w:t>及报告</w:t>
            </w:r>
            <w:r>
              <w:rPr>
                <w:rFonts w:hint="eastAsia" w:ascii="宋体" w:hAnsi="宋体" w:eastAsia="宋体" w:cs="宋体"/>
                <w:sz w:val="24"/>
                <w:szCs w:val="24"/>
                <w:lang w:eastAsia="zh-CN"/>
              </w:rPr>
              <w:br w:type="textWrapping"/>
            </w:r>
            <w:r>
              <w:rPr>
                <w:rFonts w:hint="eastAsia" w:ascii="宋体" w:hAnsi="宋体" w:eastAsia="宋体" w:cs="宋体"/>
                <w:sz w:val="24"/>
                <w:szCs w:val="24"/>
                <w:lang w:val="en-US" w:eastAsia="zh-CN"/>
              </w:rPr>
              <w:t>（202</w:t>
            </w:r>
            <w:r>
              <w:rPr>
                <w:rFonts w:hint="eastAsia" w:cs="宋体"/>
                <w:sz w:val="24"/>
                <w:szCs w:val="24"/>
                <w:lang w:val="en-US" w:eastAsia="zh-CN"/>
              </w:rPr>
              <w:t>6</w:t>
            </w:r>
            <w:r>
              <w:rPr>
                <w:rFonts w:hint="eastAsia" w:ascii="宋体" w:hAnsi="宋体" w:eastAsia="宋体" w:cs="宋体"/>
                <w:sz w:val="24"/>
                <w:szCs w:val="24"/>
                <w:lang w:val="en-US" w:eastAsia="zh-CN"/>
              </w:rPr>
              <w:t>-2029年）</w:t>
            </w:r>
          </w:p>
        </w:tc>
        <w:tc>
          <w:tcPr>
            <w:tcW w:w="6322" w:type="dxa"/>
            <w:vAlign w:val="center"/>
          </w:tcPr>
          <w:p>
            <w:pPr>
              <w:pStyle w:val="75"/>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b/>
                <w:bCs/>
                <w:snapToGrid w:val="0"/>
                <w:color w:val="auto"/>
                <w:sz w:val="24"/>
                <w:szCs w:val="24"/>
                <w:highlight w:val="none"/>
                <w:vertAlign w:val="baseline"/>
                <w:lang w:val="en-US" w:eastAsia="zh-CN"/>
              </w:rPr>
            </w:pPr>
            <w:r>
              <w:rPr>
                <w:rFonts w:hint="eastAsia" w:ascii="宋体" w:hAnsi="宋体" w:eastAsia="宋体" w:cs="宋体"/>
                <w:sz w:val="24"/>
                <w:szCs w:val="24"/>
              </w:rPr>
              <w:t>主要包括毕业生的毕业去向、就业的职业行业地区特点、就业质量，分析人才需求变化，展现学校培养的毕业生面向学校所服务的区域和行业的就业情况。对毕业生通用能力、专业能力进行分析，了解能力需求程度与培养达成情况，综合分析能力培养改进方向。</w:t>
            </w:r>
            <w:r>
              <w:rPr>
                <w:rFonts w:hint="eastAsia" w:ascii="宋体" w:hAnsi="宋体" w:eastAsia="宋体" w:cs="宋体"/>
                <w:sz w:val="24"/>
                <w:szCs w:val="24"/>
                <w:lang w:val="en-US" w:eastAsia="zh-CN"/>
              </w:rPr>
              <w:t>毕</w:t>
            </w:r>
            <w:r>
              <w:rPr>
                <w:rFonts w:hint="eastAsia" w:ascii="宋体" w:hAnsi="宋体" w:eastAsia="宋体" w:cs="宋体"/>
                <w:sz w:val="24"/>
                <w:szCs w:val="24"/>
              </w:rPr>
              <w:t>业生对教学与课程、教师指导、实践教学等环节进行反馈，为持续提升教学培养效果提供改进依据。通过毕业生对学校各方面的满意度评价，获取毕业生反馈</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1935" w:type="dxa"/>
            <w:vMerge w:val="continue"/>
            <w:vAlign w:val="center"/>
          </w:tcPr>
          <w:p>
            <w:pPr>
              <w:pStyle w:val="75"/>
              <w:keepNext w:val="0"/>
              <w:keepLines w:val="0"/>
              <w:pageBreakBefore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cs="宋体"/>
                <w:b/>
                <w:bCs/>
                <w:snapToGrid w:val="0"/>
                <w:color w:val="auto"/>
                <w:sz w:val="24"/>
                <w:szCs w:val="24"/>
                <w:highlight w:val="none"/>
                <w:vertAlign w:val="baseline"/>
                <w:lang w:val="en-US" w:eastAsia="zh-CN"/>
              </w:rPr>
            </w:pPr>
          </w:p>
        </w:tc>
        <w:tc>
          <w:tcPr>
            <w:tcW w:w="1948" w:type="dxa"/>
            <w:vAlign w:val="center"/>
          </w:tcPr>
          <w:p>
            <w:pPr>
              <w:pStyle w:val="75"/>
              <w:keepNext w:val="0"/>
              <w:keepLines w:val="0"/>
              <w:pageBreakBefore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cs="宋体"/>
                <w:b/>
                <w:bCs/>
                <w:snapToGrid w:val="0"/>
                <w:color w:val="auto"/>
                <w:sz w:val="24"/>
                <w:szCs w:val="24"/>
                <w:highlight w:val="none"/>
                <w:vertAlign w:val="baseline"/>
                <w:lang w:val="en-US" w:eastAsia="zh-CN"/>
              </w:rPr>
            </w:pPr>
            <w:r>
              <w:rPr>
                <w:rFonts w:hint="eastAsia" w:ascii="宋体" w:hAnsi="宋体" w:eastAsia="宋体" w:cs="宋体"/>
                <w:sz w:val="24"/>
                <w:szCs w:val="24"/>
                <w:lang w:val="en-US" w:eastAsia="zh-CN"/>
              </w:rPr>
              <w:t>就业质量年度</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报告</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（202</w:t>
            </w:r>
            <w:r>
              <w:rPr>
                <w:rFonts w:hint="eastAsia" w:cs="宋体"/>
                <w:sz w:val="24"/>
                <w:szCs w:val="24"/>
                <w:lang w:val="en-US" w:eastAsia="zh-CN"/>
              </w:rPr>
              <w:t>6</w:t>
            </w:r>
            <w:r>
              <w:rPr>
                <w:rFonts w:hint="eastAsia" w:ascii="宋体" w:hAnsi="宋体" w:eastAsia="宋体" w:cs="宋体"/>
                <w:sz w:val="24"/>
                <w:szCs w:val="24"/>
                <w:lang w:val="en-US" w:eastAsia="zh-CN"/>
              </w:rPr>
              <w:t>-2029年）</w:t>
            </w:r>
          </w:p>
        </w:tc>
        <w:tc>
          <w:tcPr>
            <w:tcW w:w="6322" w:type="dxa"/>
            <w:vAlign w:val="center"/>
          </w:tcPr>
          <w:p>
            <w:pPr>
              <w:pStyle w:val="75"/>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b/>
                <w:bCs/>
                <w:snapToGrid w:val="0"/>
                <w:color w:val="auto"/>
                <w:sz w:val="24"/>
                <w:szCs w:val="24"/>
                <w:highlight w:val="none"/>
                <w:vertAlign w:val="baseline"/>
                <w:lang w:val="en-US" w:eastAsia="zh-CN"/>
              </w:rPr>
            </w:pPr>
            <w:r>
              <w:rPr>
                <w:rFonts w:hint="eastAsia" w:ascii="宋体" w:hAnsi="宋体" w:eastAsia="宋体" w:cs="宋体"/>
                <w:sz w:val="24"/>
                <w:szCs w:val="24"/>
              </w:rPr>
              <w:t>包含毕业生的规模和结构、毕业生的毕业去向落实率及去向、毕业生的就业流向（包含行业职业、用人单位、地区流向）、毕业生的升学情况、创业情况。包含毕业生对自身求职过程的评价、对学校就业服务工作情况、创新创业教育情况的反馈，同时由学校提供其促进毕业生就业的政策措施，供应商整理并展示在报告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935" w:type="dxa"/>
            <w:vMerge w:val="continue"/>
            <w:vAlign w:val="center"/>
          </w:tcPr>
          <w:p>
            <w:pPr>
              <w:pStyle w:val="75"/>
              <w:keepNext w:val="0"/>
              <w:keepLines w:val="0"/>
              <w:pageBreakBefore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cs="宋体"/>
                <w:b/>
                <w:bCs/>
                <w:snapToGrid w:val="0"/>
                <w:color w:val="auto"/>
                <w:sz w:val="24"/>
                <w:szCs w:val="24"/>
                <w:highlight w:val="none"/>
                <w:vertAlign w:val="baseline"/>
                <w:lang w:val="en-US" w:eastAsia="zh-CN"/>
              </w:rPr>
            </w:pPr>
          </w:p>
        </w:tc>
        <w:tc>
          <w:tcPr>
            <w:tcW w:w="1948" w:type="dxa"/>
            <w:vAlign w:val="center"/>
          </w:tcPr>
          <w:p>
            <w:pPr>
              <w:pStyle w:val="75"/>
              <w:keepNext w:val="0"/>
              <w:keepLines w:val="0"/>
              <w:pageBreakBefore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cs="宋体"/>
                <w:b/>
                <w:bCs/>
                <w:snapToGrid w:val="0"/>
                <w:color w:val="auto"/>
                <w:sz w:val="24"/>
                <w:szCs w:val="24"/>
                <w:highlight w:val="none"/>
                <w:vertAlign w:val="baseline"/>
                <w:lang w:val="en-US" w:eastAsia="zh-CN"/>
              </w:rPr>
            </w:pPr>
            <w:r>
              <w:rPr>
                <w:rFonts w:hint="eastAsia" w:ascii="宋体" w:hAnsi="宋体" w:eastAsia="宋体" w:cs="宋体"/>
                <w:sz w:val="24"/>
                <w:szCs w:val="24"/>
                <w:lang w:val="en-US" w:eastAsia="zh-CN"/>
              </w:rPr>
              <w:t>双高专业群建设满意度跟踪评价</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（2025-2029年）</w:t>
            </w:r>
          </w:p>
        </w:tc>
        <w:tc>
          <w:tcPr>
            <w:tcW w:w="6322" w:type="dxa"/>
            <w:vAlign w:val="center"/>
          </w:tcPr>
          <w:p>
            <w:pPr>
              <w:pStyle w:val="75"/>
              <w:keepNext w:val="0"/>
              <w:keepLines w:val="0"/>
              <w:pageBreakBefore w:val="0"/>
              <w:widowControl/>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b/>
                <w:bCs/>
                <w:snapToGrid w:val="0"/>
                <w:color w:val="auto"/>
                <w:sz w:val="24"/>
                <w:szCs w:val="24"/>
                <w:highlight w:val="none"/>
                <w:vertAlign w:val="baseline"/>
                <w:lang w:val="en-US" w:eastAsia="zh-CN"/>
              </w:rPr>
            </w:pPr>
            <w:r>
              <w:rPr>
                <w:rFonts w:hint="eastAsia" w:ascii="宋体" w:hAnsi="宋体" w:eastAsia="宋体" w:cs="宋体"/>
                <w:sz w:val="24"/>
                <w:szCs w:val="24"/>
              </w:rPr>
              <w:t>为配合“新双高”利益相关方满意度数据的填报要求，本项目采用问卷调研法，面向在校生、应届毕业生、教职工、用人单位、家长五类利益相关方开展，包括全校层面及参与遴选的专业群层面的数据</w:t>
            </w:r>
          </w:p>
        </w:tc>
      </w:tr>
    </w:tbl>
    <w:p>
      <w:pPr>
        <w:pStyle w:val="37"/>
        <w:keepNext w:val="0"/>
        <w:keepLines w:val="0"/>
        <w:pageBreakBefore w:val="0"/>
        <w:widowControl w:val="0"/>
        <w:kinsoku/>
        <w:wordWrap w:val="0"/>
        <w:overflowPunct/>
        <w:topLinePunct w:val="0"/>
        <w:autoSpaceDE/>
        <w:autoSpaceDN/>
        <w:bidi w:val="0"/>
        <w:adjustRightInd/>
        <w:snapToGrid/>
        <w:spacing w:before="157" w:beforeLines="50" w:after="157" w:afterLines="50"/>
        <w:ind w:firstLine="482"/>
        <w:textAlignment w:val="auto"/>
        <w:outlineLvl w:val="1"/>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一、建设内容</w:t>
      </w:r>
    </w:p>
    <w:p>
      <w:pPr>
        <w:pStyle w:val="37"/>
        <w:keepNext w:val="0"/>
        <w:keepLines w:val="0"/>
        <w:pageBreakBefore w:val="0"/>
        <w:widowControl/>
        <w:numPr>
          <w:ilvl w:val="0"/>
          <w:numId w:val="0"/>
        </w:numPr>
        <w:kinsoku/>
        <w:wordWrap w:val="0"/>
        <w:overflowPunct/>
        <w:topLinePunct w:val="0"/>
        <w:autoSpaceDE/>
        <w:autoSpaceDN/>
        <w:bidi w:val="0"/>
        <w:adjustRightInd/>
        <w:snapToGrid/>
        <w:ind w:firstLine="482" w:firstLineChars="200"/>
        <w:textAlignment w:val="auto"/>
        <w:rPr>
          <w:rFonts w:hint="eastAsia"/>
          <w:snapToGrid w:val="0"/>
          <w:color w:val="auto"/>
          <w:sz w:val="24"/>
          <w:szCs w:val="24"/>
          <w:highlight w:val="none"/>
          <w:lang w:val="en-US" w:eastAsia="zh-CN"/>
        </w:rPr>
      </w:pPr>
      <w:r>
        <w:rPr>
          <w:rFonts w:hint="eastAsia"/>
          <w:b/>
          <w:bCs/>
          <w:snapToGrid w:val="0"/>
          <w:color w:val="auto"/>
          <w:sz w:val="24"/>
          <w:szCs w:val="24"/>
          <w:highlight w:val="none"/>
          <w:lang w:val="en-US" w:eastAsia="zh-CN"/>
        </w:rPr>
        <w:t>1.应届毕业生培养质量跟踪监测</w:t>
      </w:r>
    </w:p>
    <w:p>
      <w:pPr>
        <w:pStyle w:val="37"/>
        <w:keepNext w:val="0"/>
        <w:keepLines w:val="0"/>
        <w:pageBreakBefore w:val="0"/>
        <w:widowControl/>
        <w:numPr>
          <w:ilvl w:val="0"/>
          <w:numId w:val="0"/>
        </w:numPr>
        <w:kinsoku/>
        <w:wordWrap w:val="0"/>
        <w:overflowPunct/>
        <w:topLinePunct w:val="0"/>
        <w:autoSpaceDE/>
        <w:autoSpaceDN/>
        <w:bidi w:val="0"/>
        <w:adjustRightInd/>
        <w:snapToGri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本项目基于院校内部常态化数据应用场景，结合外部考核（如职业本科合格评估、新双高建设、高等职业学校办学能力评价）等重点工作进行设计，主要服务于学校开展外部综合定位、分析社会需求适配、测量能力素养达成、获取毕业生满意度以及教学质量保障工作等方面，为学校提供有价值的数据及分析，为质量改进工作提供参考：</w:t>
      </w:r>
    </w:p>
    <w:tbl>
      <w:tblPr>
        <w:tblStyle w:val="30"/>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6"/>
        <w:gridCol w:w="7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default"/>
                <w:snapToGrid w:val="0"/>
                <w:color w:val="auto"/>
                <w:sz w:val="24"/>
                <w:szCs w:val="24"/>
                <w:highlight w:val="none"/>
                <w:vertAlign w:val="baseline"/>
                <w:lang w:val="en-US" w:eastAsia="zh-CN"/>
              </w:rPr>
            </w:pPr>
            <w:r>
              <w:rPr>
                <w:rFonts w:hint="eastAsia"/>
                <w:snapToGrid w:val="0"/>
                <w:color w:val="auto"/>
                <w:sz w:val="24"/>
                <w:szCs w:val="24"/>
                <w:highlight w:val="none"/>
                <w:vertAlign w:val="baseline"/>
                <w:lang w:val="en-US" w:eastAsia="zh-CN"/>
              </w:rPr>
              <w:t>外部综合分析</w:t>
            </w:r>
          </w:p>
        </w:tc>
        <w:tc>
          <w:tcPr>
            <w:tcW w:w="7088"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ind w:firstLine="0" w:firstLineChars="0"/>
              <w:jc w:val="left"/>
              <w:textAlignment w:val="auto"/>
              <w:rPr>
                <w:rFonts w:hint="eastAsia"/>
                <w:snapToGrid w:val="0"/>
                <w:color w:val="auto"/>
                <w:sz w:val="24"/>
                <w:szCs w:val="24"/>
                <w:highlight w:val="none"/>
                <w:vertAlign w:val="baseline"/>
                <w:lang w:val="en-US" w:eastAsia="zh-CN"/>
              </w:rPr>
            </w:pPr>
            <w:r>
              <w:rPr>
                <w:rFonts w:hint="eastAsia"/>
                <w:snapToGrid w:val="0"/>
                <w:color w:val="auto"/>
                <w:sz w:val="24"/>
                <w:szCs w:val="24"/>
                <w:highlight w:val="none"/>
                <w:vertAlign w:val="baseline"/>
                <w:lang w:val="en-US" w:eastAsia="zh-CN"/>
              </w:rPr>
              <w:t>引入质量年报数据，综合办学投入和学生产出核心指标，找准学校在同类院校中所处坐标和发展方向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default"/>
                <w:snapToGrid w:val="0"/>
                <w:color w:val="auto"/>
                <w:sz w:val="24"/>
                <w:szCs w:val="24"/>
                <w:highlight w:val="none"/>
                <w:vertAlign w:val="baseline"/>
                <w:lang w:val="en-US" w:eastAsia="zh-CN"/>
              </w:rPr>
            </w:pPr>
            <w:r>
              <w:rPr>
                <w:rFonts w:hint="eastAsia"/>
                <w:snapToGrid w:val="0"/>
                <w:color w:val="auto"/>
                <w:sz w:val="24"/>
                <w:szCs w:val="24"/>
                <w:highlight w:val="none"/>
                <w:vertAlign w:val="baseline"/>
                <w:lang w:val="en-US" w:eastAsia="zh-CN"/>
              </w:rPr>
              <w:t>社会需求适配</w:t>
            </w:r>
          </w:p>
        </w:tc>
        <w:tc>
          <w:tcPr>
            <w:tcW w:w="7088"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ind w:firstLine="0" w:firstLineChars="0"/>
              <w:jc w:val="left"/>
              <w:textAlignment w:val="auto"/>
              <w:rPr>
                <w:rFonts w:hint="eastAsia"/>
                <w:snapToGrid w:val="0"/>
                <w:color w:val="auto"/>
                <w:sz w:val="24"/>
                <w:szCs w:val="24"/>
                <w:highlight w:val="none"/>
                <w:vertAlign w:val="baseline"/>
                <w:lang w:val="en-US" w:eastAsia="zh-CN"/>
              </w:rPr>
            </w:pPr>
            <w:r>
              <w:rPr>
                <w:rFonts w:hint="eastAsia"/>
                <w:snapToGrid w:val="0"/>
                <w:color w:val="auto"/>
                <w:sz w:val="24"/>
                <w:szCs w:val="24"/>
                <w:highlight w:val="none"/>
                <w:vertAlign w:val="baseline"/>
                <w:lang w:val="en-US" w:eastAsia="zh-CN"/>
              </w:rPr>
              <w:t>洞察产业转型升级背景下，学校面临的人才需求变化，分析毕业生对接国家战略，地方重点产业就业情况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default"/>
                <w:snapToGrid w:val="0"/>
                <w:color w:val="auto"/>
                <w:sz w:val="24"/>
                <w:szCs w:val="24"/>
                <w:highlight w:val="none"/>
                <w:vertAlign w:val="baseline"/>
                <w:lang w:val="en-US" w:eastAsia="zh-CN"/>
              </w:rPr>
            </w:pPr>
            <w:r>
              <w:rPr>
                <w:rFonts w:hint="eastAsia"/>
                <w:snapToGrid w:val="0"/>
                <w:color w:val="auto"/>
                <w:sz w:val="24"/>
                <w:szCs w:val="24"/>
                <w:highlight w:val="none"/>
                <w:vertAlign w:val="baseline"/>
                <w:lang w:val="en-US" w:eastAsia="zh-CN"/>
              </w:rPr>
              <w:t>人才培养达成</w:t>
            </w:r>
          </w:p>
        </w:tc>
        <w:tc>
          <w:tcPr>
            <w:tcW w:w="7088"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ind w:firstLine="0" w:firstLineChars="0"/>
              <w:jc w:val="left"/>
              <w:textAlignment w:val="auto"/>
              <w:rPr>
                <w:rFonts w:hint="eastAsia"/>
                <w:snapToGrid w:val="0"/>
                <w:color w:val="auto"/>
                <w:sz w:val="24"/>
                <w:szCs w:val="24"/>
                <w:highlight w:val="none"/>
                <w:vertAlign w:val="baseline"/>
                <w:lang w:val="en-US" w:eastAsia="zh-CN"/>
              </w:rPr>
            </w:pPr>
            <w:r>
              <w:rPr>
                <w:rFonts w:hint="eastAsia"/>
                <w:snapToGrid w:val="0"/>
                <w:color w:val="auto"/>
                <w:sz w:val="24"/>
                <w:szCs w:val="24"/>
                <w:highlight w:val="none"/>
                <w:vertAlign w:val="baseline"/>
                <w:lang w:val="en-US" w:eastAsia="zh-CN"/>
              </w:rPr>
              <w:t>以社会需求为导向，分析能力培养达成，获取产业对能力的新要求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default"/>
                <w:snapToGrid w:val="0"/>
                <w:color w:val="auto"/>
                <w:sz w:val="24"/>
                <w:szCs w:val="24"/>
                <w:highlight w:val="none"/>
                <w:vertAlign w:val="baseline"/>
                <w:lang w:val="en-US" w:eastAsia="zh-CN"/>
              </w:rPr>
            </w:pPr>
            <w:r>
              <w:rPr>
                <w:rFonts w:hint="eastAsia"/>
                <w:snapToGrid w:val="0"/>
                <w:color w:val="auto"/>
                <w:sz w:val="24"/>
                <w:szCs w:val="24"/>
                <w:highlight w:val="none"/>
                <w:vertAlign w:val="baseline"/>
                <w:lang w:val="en-US" w:eastAsia="zh-CN"/>
              </w:rPr>
              <w:t>关键办学能力</w:t>
            </w:r>
          </w:p>
        </w:tc>
        <w:tc>
          <w:tcPr>
            <w:tcW w:w="7088"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ind w:firstLine="0" w:firstLineChars="0"/>
              <w:jc w:val="left"/>
              <w:textAlignment w:val="auto"/>
              <w:rPr>
                <w:rFonts w:hint="eastAsia"/>
                <w:snapToGrid w:val="0"/>
                <w:color w:val="auto"/>
                <w:sz w:val="24"/>
                <w:szCs w:val="24"/>
                <w:highlight w:val="none"/>
                <w:vertAlign w:val="baseline"/>
                <w:lang w:val="en-US" w:eastAsia="zh-CN"/>
              </w:rPr>
            </w:pPr>
            <w:r>
              <w:rPr>
                <w:rFonts w:hint="eastAsia"/>
                <w:snapToGrid w:val="0"/>
                <w:color w:val="auto"/>
                <w:sz w:val="24"/>
                <w:szCs w:val="24"/>
                <w:highlight w:val="none"/>
                <w:vertAlign w:val="baseline"/>
                <w:lang w:val="en-US" w:eastAsia="zh-CN"/>
              </w:rPr>
              <w:t>聚焦“五金”新基建，引入在校生成长调研与评课评教数据，深挖教学培养问题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8"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default"/>
                <w:snapToGrid w:val="0"/>
                <w:color w:val="auto"/>
                <w:sz w:val="24"/>
                <w:szCs w:val="24"/>
                <w:highlight w:val="none"/>
                <w:vertAlign w:val="baseline"/>
                <w:lang w:val="en-US" w:eastAsia="zh-CN"/>
              </w:rPr>
            </w:pPr>
            <w:r>
              <w:rPr>
                <w:rFonts w:hint="eastAsia"/>
                <w:snapToGrid w:val="0"/>
                <w:color w:val="auto"/>
                <w:sz w:val="24"/>
                <w:szCs w:val="24"/>
                <w:highlight w:val="none"/>
                <w:vertAlign w:val="baseline"/>
                <w:lang w:val="en-US" w:eastAsia="zh-CN"/>
              </w:rPr>
              <w:t>满意度评价</w:t>
            </w:r>
          </w:p>
        </w:tc>
        <w:tc>
          <w:tcPr>
            <w:tcW w:w="7088"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ind w:firstLine="0" w:firstLineChars="0"/>
              <w:jc w:val="left"/>
              <w:textAlignment w:val="auto"/>
              <w:rPr>
                <w:rFonts w:hint="eastAsia"/>
                <w:snapToGrid w:val="0"/>
                <w:color w:val="auto"/>
                <w:sz w:val="24"/>
                <w:szCs w:val="24"/>
                <w:highlight w:val="none"/>
                <w:vertAlign w:val="baseline"/>
                <w:lang w:val="en-US" w:eastAsia="zh-CN"/>
              </w:rPr>
            </w:pPr>
            <w:r>
              <w:rPr>
                <w:rFonts w:hint="eastAsia"/>
                <w:snapToGrid w:val="0"/>
                <w:color w:val="auto"/>
                <w:sz w:val="24"/>
                <w:szCs w:val="24"/>
                <w:highlight w:val="none"/>
                <w:vertAlign w:val="baseline"/>
                <w:lang w:val="en-US" w:eastAsia="zh-CN"/>
              </w:rPr>
              <w:t>获取毕业生对学习与成长的满意度</w:t>
            </w:r>
          </w:p>
        </w:tc>
      </w:tr>
    </w:tbl>
    <w:p>
      <w:pPr>
        <w:pStyle w:val="37"/>
        <w:keepNext w:val="0"/>
        <w:keepLines w:val="0"/>
        <w:pageBreakBefore w:val="0"/>
        <w:widowControl/>
        <w:numPr>
          <w:ilvl w:val="0"/>
          <w:numId w:val="0"/>
        </w:numPr>
        <w:kinsoku/>
        <w:wordWrap w:val="0"/>
        <w:overflowPunct/>
        <w:topLinePunct w:val="0"/>
        <w:autoSpaceDE/>
        <w:autoSpaceDN/>
        <w:bidi w:val="0"/>
        <w:adjustRightInd/>
        <w:snapToGrid/>
        <w:ind w:firstLine="482" w:firstLineChars="200"/>
        <w:textAlignment w:val="auto"/>
        <w:rPr>
          <w:rFonts w:hint="eastAsia"/>
          <w:snapToGrid w:val="0"/>
          <w:color w:val="auto"/>
          <w:sz w:val="24"/>
          <w:szCs w:val="24"/>
          <w:highlight w:val="none"/>
          <w:lang w:val="en-US" w:eastAsia="zh-CN"/>
        </w:rPr>
      </w:pPr>
      <w:r>
        <w:rPr>
          <w:rFonts w:hint="eastAsia"/>
          <w:b/>
          <w:bCs/>
          <w:snapToGrid w:val="0"/>
          <w:color w:val="auto"/>
          <w:sz w:val="24"/>
          <w:szCs w:val="24"/>
          <w:highlight w:val="none"/>
          <w:lang w:val="en-US" w:eastAsia="zh-CN"/>
        </w:rPr>
        <w:t>新增适配度分析</w:t>
      </w:r>
    </w:p>
    <w:p>
      <w:pPr>
        <w:pStyle w:val="37"/>
        <w:keepNext w:val="0"/>
        <w:keepLines w:val="0"/>
        <w:pageBreakBefore w:val="0"/>
        <w:widowControl/>
        <w:numPr>
          <w:ilvl w:val="0"/>
          <w:numId w:val="0"/>
        </w:numPr>
        <w:kinsoku/>
        <w:wordWrap w:val="0"/>
        <w:overflowPunct/>
        <w:topLinePunct w:val="0"/>
        <w:autoSpaceDE/>
        <w:autoSpaceDN/>
        <w:bidi w:val="0"/>
        <w:adjustRightInd/>
        <w:snapToGri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为深入落实《教育强国建设规划纲要（2024-2035 年）》及教育强国三年行动计划中关于“深化教育评价改革”“完善人才培养与经济社会发展适配机制”的核心要求，本项目将面向国家与区域重点产业发展趋势，深度梳理毕业生就业行业与重点产业的匹配关联，全面评估毕业生就业对区域重点产业的适配度与支撑度。通过这一系列分析，助力学校精准掌握人才培养与区域产业发展的适配现状，为学校优化专业结构、明确人才培养优化方向提供科学决策支撑。</w:t>
      </w:r>
    </w:p>
    <w:p>
      <w:pPr>
        <w:pStyle w:val="37"/>
        <w:keepNext w:val="0"/>
        <w:keepLines w:val="0"/>
        <w:pageBreakBefore w:val="0"/>
        <w:widowControl/>
        <w:numPr>
          <w:ilvl w:val="0"/>
          <w:numId w:val="0"/>
        </w:numPr>
        <w:kinsoku/>
        <w:wordWrap w:val="0"/>
        <w:overflowPunct/>
        <w:topLinePunct w:val="0"/>
        <w:autoSpaceDE/>
        <w:autoSpaceDN/>
        <w:bidi w:val="0"/>
        <w:adjustRightInd/>
        <w:snapToGri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本项目通过对应届毕业生调研，反馈能力素养达成、社会需求的适应度及毕业生满意度，并结合教学质量年报数据，构建办学投入—学生产出综合分析模型，帮助学校精准定位。同时，对教学培养过程进行反馈，并结合多维度数据，深挖改进方向。</w:t>
      </w:r>
    </w:p>
    <w:p>
      <w:pPr>
        <w:rPr>
          <w:rFonts w:hint="eastAsia"/>
          <w:snapToGrid w:val="0"/>
          <w:color w:val="auto"/>
          <w:sz w:val="24"/>
          <w:szCs w:val="24"/>
          <w:highlight w:val="none"/>
          <w:vertAlign w:val="baseline"/>
          <w:lang w:val="en-US" w:eastAsia="zh-CN"/>
        </w:rPr>
      </w:pPr>
      <w:r>
        <w:rPr>
          <w:rFonts w:hint="eastAsia"/>
          <w:snapToGrid w:val="0"/>
          <w:color w:val="auto"/>
          <w:sz w:val="24"/>
          <w:szCs w:val="24"/>
          <w:highlight w:val="none"/>
          <w:lang w:val="en-US" w:eastAsia="zh-CN"/>
        </w:rPr>
        <w:br w:type="page"/>
      </w:r>
    </w:p>
    <w:p>
      <w:pPr>
        <w:pStyle w:val="37"/>
        <w:keepNext w:val="0"/>
        <w:keepLines w:val="0"/>
        <w:pageBreakBefore w:val="0"/>
        <w:widowControl/>
        <w:numPr>
          <w:ilvl w:val="0"/>
          <w:numId w:val="0"/>
        </w:numPr>
        <w:kinsoku/>
        <w:wordWrap w:val="0"/>
        <w:overflowPunct/>
        <w:topLinePunct w:val="0"/>
        <w:autoSpaceDE/>
        <w:autoSpaceDN/>
        <w:bidi w:val="0"/>
        <w:adjustRightInd/>
        <w:snapToGrid/>
        <w:ind w:firstLine="482" w:firstLineChars="200"/>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就业质量年度报告</w:t>
      </w:r>
    </w:p>
    <w:p>
      <w:pPr>
        <w:pStyle w:val="37"/>
        <w:keepNext w:val="0"/>
        <w:keepLines w:val="0"/>
        <w:pageBreakBefore w:val="0"/>
        <w:widowControl/>
        <w:numPr>
          <w:ilvl w:val="0"/>
          <w:numId w:val="0"/>
        </w:numPr>
        <w:kinsoku/>
        <w:wordWrap w:val="0"/>
        <w:overflowPunct/>
        <w:topLinePunct w:val="0"/>
        <w:autoSpaceDE/>
        <w:autoSpaceDN/>
        <w:bidi w:val="0"/>
        <w:adjustRightInd/>
        <w:snapToGri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（1）提供内容完备的就业质量年报</w:t>
      </w:r>
    </w:p>
    <w:p>
      <w:pPr>
        <w:pStyle w:val="37"/>
        <w:keepNext w:val="0"/>
        <w:keepLines w:val="0"/>
        <w:pageBreakBefore w:val="0"/>
        <w:widowControl/>
        <w:numPr>
          <w:ilvl w:val="0"/>
          <w:numId w:val="0"/>
        </w:numPr>
        <w:kinsoku/>
        <w:wordWrap w:val="0"/>
        <w:overflowPunct/>
        <w:topLinePunct w:val="0"/>
        <w:autoSpaceDE/>
        <w:autoSpaceDN/>
        <w:bidi w:val="0"/>
        <w:adjustRightInd/>
        <w:snapToGri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根据教育部及各省教育厅对年报内容的需求，制定有针对性的调研问卷，形成报告，并可覆盖学校不同学历层次。报告内容完全覆盖就业质量年报要求的所需内容，包含就业基本情况、主要特点、相关分析、发展趋势、对教育教学的反馈五大方面。</w:t>
      </w:r>
    </w:p>
    <w:tbl>
      <w:tblPr>
        <w:tblStyle w:val="30"/>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8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r>
              <w:rPr>
                <w:rFonts w:hint="eastAsia"/>
                <w:snapToGrid w:val="0"/>
                <w:color w:val="auto"/>
                <w:sz w:val="24"/>
                <w:szCs w:val="24"/>
                <w:highlight w:val="none"/>
                <w:lang w:val="en-US" w:eastAsia="zh-CN"/>
              </w:rPr>
              <w:t>就业基本情况</w:t>
            </w:r>
          </w:p>
        </w:tc>
        <w:tc>
          <w:tcPr>
            <w:tcW w:w="8342"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both"/>
              <w:textAlignment w:val="auto"/>
              <w:rPr>
                <w:rFonts w:hint="eastAsia"/>
                <w:snapToGrid w:val="0"/>
                <w:color w:val="auto"/>
                <w:sz w:val="24"/>
                <w:szCs w:val="24"/>
                <w:highlight w:val="none"/>
                <w:vertAlign w:val="baseline"/>
                <w:lang w:val="en-US" w:eastAsia="zh-CN"/>
              </w:rPr>
            </w:pPr>
            <w:r>
              <w:rPr>
                <w:rFonts w:hint="eastAsia"/>
                <w:snapToGrid w:val="0"/>
                <w:color w:val="auto"/>
                <w:sz w:val="24"/>
                <w:szCs w:val="24"/>
                <w:highlight w:val="none"/>
                <w:lang w:val="en-US" w:eastAsia="zh-CN"/>
              </w:rPr>
              <w:t>主要包含毕业生的规模和结构、毕业生的就业率及去向、毕业生的就业流向（包含行职业、用人单位、地区流向）、毕业生的升学情况、创业情况。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r>
              <w:rPr>
                <w:rFonts w:hint="eastAsia"/>
                <w:snapToGrid w:val="0"/>
                <w:color w:val="auto"/>
                <w:sz w:val="24"/>
                <w:szCs w:val="24"/>
                <w:highlight w:val="none"/>
                <w:lang w:val="en-US" w:eastAsia="zh-CN"/>
              </w:rPr>
              <w:t>主要特点</w:t>
            </w:r>
          </w:p>
        </w:tc>
        <w:tc>
          <w:tcPr>
            <w:tcW w:w="8342"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textAlignment w:val="auto"/>
              <w:rPr>
                <w:rFonts w:hint="eastAsia"/>
                <w:snapToGrid w:val="0"/>
                <w:color w:val="auto"/>
                <w:sz w:val="24"/>
                <w:szCs w:val="24"/>
                <w:highlight w:val="none"/>
                <w:vertAlign w:val="baseline"/>
                <w:lang w:val="en-US" w:eastAsia="zh-CN"/>
              </w:rPr>
            </w:pPr>
            <w:r>
              <w:rPr>
                <w:rFonts w:hint="eastAsia"/>
                <w:snapToGrid w:val="0"/>
                <w:color w:val="auto"/>
                <w:sz w:val="24"/>
                <w:szCs w:val="24"/>
                <w:highlight w:val="none"/>
                <w:lang w:val="en-US" w:eastAsia="zh-CN"/>
              </w:rPr>
              <w:t>包含毕业生对学校就业指导服务情况、创新创业教育情况的反馈，同时由学校提供其促进毕业生就业的政策措施，供应商整理并展示在报告中。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r>
              <w:rPr>
                <w:rFonts w:hint="eastAsia"/>
                <w:snapToGrid w:val="0"/>
                <w:color w:val="auto"/>
                <w:sz w:val="24"/>
                <w:szCs w:val="24"/>
                <w:highlight w:val="none"/>
                <w:lang w:val="en-US" w:eastAsia="zh-CN"/>
              </w:rPr>
              <w:t>相关分析</w:t>
            </w:r>
          </w:p>
        </w:tc>
        <w:tc>
          <w:tcPr>
            <w:tcW w:w="8342"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both"/>
              <w:textAlignment w:val="auto"/>
              <w:rPr>
                <w:rFonts w:hint="eastAsia"/>
                <w:snapToGrid w:val="0"/>
                <w:color w:val="auto"/>
                <w:sz w:val="24"/>
                <w:szCs w:val="24"/>
                <w:highlight w:val="none"/>
                <w:vertAlign w:val="baseline"/>
                <w:lang w:val="en-US" w:eastAsia="zh-CN"/>
              </w:rPr>
            </w:pPr>
            <w:r>
              <w:rPr>
                <w:rFonts w:hint="eastAsia"/>
                <w:snapToGrid w:val="0"/>
                <w:color w:val="auto"/>
                <w:sz w:val="24"/>
                <w:szCs w:val="24"/>
                <w:highlight w:val="none"/>
                <w:lang w:val="en-US" w:eastAsia="zh-CN"/>
              </w:rPr>
              <w:t>主要是毕业生的就业状况，包含毕业生就业的月收入、工作与专业相关度、就业现状满意度、职业期待吻合度指标，反映毕业生的就业质量。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r>
              <w:rPr>
                <w:rFonts w:hint="eastAsia"/>
                <w:snapToGrid w:val="0"/>
                <w:color w:val="auto"/>
                <w:sz w:val="24"/>
                <w:szCs w:val="24"/>
                <w:highlight w:val="none"/>
                <w:lang w:val="en-US" w:eastAsia="zh-CN"/>
              </w:rPr>
              <w:t>发展趋势</w:t>
            </w:r>
          </w:p>
        </w:tc>
        <w:tc>
          <w:tcPr>
            <w:tcW w:w="8342"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textAlignment w:val="auto"/>
              <w:rPr>
                <w:rFonts w:hint="eastAsia"/>
                <w:snapToGrid w:val="0"/>
                <w:color w:val="auto"/>
                <w:sz w:val="24"/>
                <w:szCs w:val="24"/>
                <w:highlight w:val="none"/>
                <w:vertAlign w:val="baseline"/>
                <w:lang w:val="en-US" w:eastAsia="zh-CN"/>
              </w:rPr>
            </w:pPr>
            <w:r>
              <w:rPr>
                <w:rFonts w:hint="eastAsia"/>
                <w:snapToGrid w:val="0"/>
                <w:color w:val="auto"/>
                <w:sz w:val="24"/>
                <w:szCs w:val="24"/>
                <w:highlight w:val="none"/>
                <w:lang w:val="en-US" w:eastAsia="zh-CN"/>
              </w:rPr>
              <w:t>主要包含毕业生的就业率及去向、就业流向及特点、就业状况的变化趋势，根据毕业生的就业趋势数据撰写就业趋势性研判的内容。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r>
              <w:rPr>
                <w:rFonts w:hint="eastAsia"/>
                <w:snapToGrid w:val="0"/>
                <w:color w:val="auto"/>
                <w:sz w:val="24"/>
                <w:szCs w:val="24"/>
                <w:highlight w:val="none"/>
                <w:lang w:val="en-US" w:eastAsia="zh-CN"/>
              </w:rPr>
              <w:t>对教育教学的反馈</w:t>
            </w:r>
          </w:p>
        </w:tc>
        <w:tc>
          <w:tcPr>
            <w:tcW w:w="8342"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both"/>
              <w:textAlignment w:val="auto"/>
              <w:rPr>
                <w:rFonts w:hint="eastAsia"/>
                <w:snapToGrid w:val="0"/>
                <w:color w:val="auto"/>
                <w:sz w:val="24"/>
                <w:szCs w:val="24"/>
                <w:highlight w:val="none"/>
                <w:vertAlign w:val="baseline"/>
                <w:lang w:val="en-US" w:eastAsia="zh-CN"/>
              </w:rPr>
            </w:pPr>
            <w:r>
              <w:rPr>
                <w:rFonts w:hint="eastAsia"/>
                <w:snapToGrid w:val="0"/>
                <w:color w:val="auto"/>
                <w:sz w:val="24"/>
                <w:szCs w:val="24"/>
                <w:highlight w:val="none"/>
                <w:lang w:val="en-US" w:eastAsia="zh-CN"/>
              </w:rPr>
              <w:t>主要包含分析毕业生对人才培养的反馈，包含毕业生对学校的满意度、对教学的满意度、通用能力培养情况评价，根据就业和培养反馈数据从人才培养等方面撰写改进措施。</w:t>
            </w:r>
          </w:p>
        </w:tc>
      </w:tr>
    </w:tbl>
    <w:p>
      <w:pPr>
        <w:pStyle w:val="37"/>
        <w:keepNext w:val="0"/>
        <w:keepLines w:val="0"/>
        <w:pageBreakBefore w:val="0"/>
        <w:widowControl/>
        <w:numPr>
          <w:ilvl w:val="0"/>
          <w:numId w:val="0"/>
        </w:numPr>
        <w:kinsoku/>
        <w:wordWrap w:val="0"/>
        <w:overflowPunct/>
        <w:topLinePunct w:val="0"/>
        <w:autoSpaceDE/>
        <w:autoSpaceDN/>
        <w:bidi w:val="0"/>
        <w:adjustRightInd/>
        <w:snapToGri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（2）以真实有效的数据提升就业质量年报公信力</w:t>
      </w:r>
    </w:p>
    <w:p>
      <w:pPr>
        <w:pStyle w:val="37"/>
        <w:keepNext w:val="0"/>
        <w:keepLines w:val="0"/>
        <w:pageBreakBefore w:val="0"/>
        <w:widowControl/>
        <w:numPr>
          <w:ilvl w:val="0"/>
          <w:numId w:val="0"/>
        </w:numPr>
        <w:kinsoku/>
        <w:wordWrap w:val="0"/>
        <w:overflowPunct/>
        <w:topLinePunct w:val="0"/>
        <w:autoSpaceDE/>
        <w:autoSpaceDN/>
        <w:bidi w:val="0"/>
        <w:adjustRightInd/>
        <w:snapToGri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院校仅需提交毕业生基本信息与本校就业政策措施、指导服务等相关资料，供应商负责数据调研、数据分析、报告撰写等工作，确保数据来源透明、真实、有效，从而提升学校就业质量报告的公信力水平。</w:t>
      </w:r>
    </w:p>
    <w:tbl>
      <w:tblPr>
        <w:tblStyle w:val="30"/>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6"/>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gridSpan w:val="2"/>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default"/>
                <w:snapToGrid w:val="0"/>
                <w:color w:val="auto"/>
                <w:sz w:val="24"/>
                <w:szCs w:val="24"/>
                <w:highlight w:val="none"/>
                <w:vertAlign w:val="baseline"/>
                <w:lang w:val="en-US" w:eastAsia="zh-CN"/>
              </w:rPr>
            </w:pPr>
            <w:r>
              <w:rPr>
                <w:rFonts w:hint="eastAsia"/>
                <w:snapToGrid w:val="0"/>
                <w:color w:val="auto"/>
                <w:sz w:val="24"/>
                <w:szCs w:val="24"/>
                <w:highlight w:val="none"/>
                <w:vertAlign w:val="baseline"/>
                <w:lang w:val="en-US" w:eastAsia="zh-CN"/>
              </w:rPr>
              <w:t>指标体系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Merge w:val="restart"/>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default"/>
                <w:snapToGrid w:val="0"/>
                <w:color w:val="auto"/>
                <w:sz w:val="24"/>
                <w:szCs w:val="24"/>
                <w:highlight w:val="none"/>
                <w:vertAlign w:val="baseline"/>
                <w:lang w:val="en-US" w:eastAsia="zh-CN"/>
              </w:rPr>
            </w:pPr>
            <w:r>
              <w:rPr>
                <w:rFonts w:hint="eastAsia"/>
                <w:snapToGrid w:val="0"/>
                <w:color w:val="auto"/>
                <w:sz w:val="24"/>
                <w:szCs w:val="24"/>
                <w:highlight w:val="none"/>
                <w:vertAlign w:val="baseline"/>
                <w:lang w:val="en-US" w:eastAsia="zh-CN"/>
              </w:rPr>
              <w:t>就业基本情况</w:t>
            </w:r>
          </w:p>
        </w:tc>
        <w:tc>
          <w:tcPr>
            <w:tcW w:w="6796" w:type="dxa"/>
            <w:vAlign w:val="center"/>
          </w:tcPr>
          <w:p>
            <w:pPr>
              <w:keepNext w:val="0"/>
              <w:keepLines w:val="0"/>
              <w:widowControl/>
              <w:suppressLineNumbers w:val="0"/>
              <w:jc w:val="center"/>
              <w:textAlignment w:val="bottom"/>
              <w:rPr>
                <w:rFonts w:hint="eastAsia"/>
                <w:snapToGrid w:val="0"/>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毕业生规模和结构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Merge w:val="continue"/>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p>
        </w:tc>
        <w:tc>
          <w:tcPr>
            <w:tcW w:w="6796" w:type="dxa"/>
            <w:vAlign w:val="center"/>
          </w:tcPr>
          <w:p>
            <w:pPr>
              <w:keepNext w:val="0"/>
              <w:keepLines w:val="0"/>
              <w:widowControl/>
              <w:suppressLineNumbers w:val="0"/>
              <w:jc w:val="center"/>
              <w:textAlignment w:val="center"/>
              <w:rPr>
                <w:rFonts w:hint="eastAsia"/>
                <w:snapToGrid w:val="0"/>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就业率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Merge w:val="continue"/>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p>
        </w:tc>
        <w:tc>
          <w:tcPr>
            <w:tcW w:w="6796" w:type="dxa"/>
            <w:vAlign w:val="center"/>
          </w:tcPr>
          <w:p>
            <w:pPr>
              <w:keepNext w:val="0"/>
              <w:keepLines w:val="0"/>
              <w:widowControl/>
              <w:suppressLineNumbers w:val="0"/>
              <w:jc w:val="center"/>
              <w:textAlignment w:val="center"/>
              <w:rPr>
                <w:rFonts w:hint="eastAsia"/>
                <w:snapToGrid w:val="0"/>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行职业流向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Merge w:val="continue"/>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p>
        </w:tc>
        <w:tc>
          <w:tcPr>
            <w:tcW w:w="6796" w:type="dxa"/>
            <w:vAlign w:val="center"/>
          </w:tcPr>
          <w:p>
            <w:pPr>
              <w:keepNext w:val="0"/>
              <w:keepLines w:val="0"/>
              <w:widowControl/>
              <w:suppressLineNumbers w:val="0"/>
              <w:jc w:val="center"/>
              <w:textAlignment w:val="center"/>
              <w:rPr>
                <w:rFonts w:hint="eastAsia"/>
                <w:snapToGrid w:val="0"/>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用人单位及区域流向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Merge w:val="continue"/>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p>
        </w:tc>
        <w:tc>
          <w:tcPr>
            <w:tcW w:w="6796" w:type="dxa"/>
            <w:vAlign w:val="center"/>
          </w:tcPr>
          <w:p>
            <w:pPr>
              <w:keepNext w:val="0"/>
              <w:keepLines w:val="0"/>
              <w:widowControl/>
              <w:suppressLineNumbers w:val="0"/>
              <w:jc w:val="center"/>
              <w:textAlignment w:val="center"/>
              <w:rPr>
                <w:rFonts w:hint="eastAsia"/>
                <w:snapToGrid w:val="0"/>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升学情况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Merge w:val="continue"/>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p>
        </w:tc>
        <w:tc>
          <w:tcPr>
            <w:tcW w:w="6796" w:type="dxa"/>
            <w:vAlign w:val="center"/>
          </w:tcPr>
          <w:p>
            <w:pPr>
              <w:keepNext w:val="0"/>
              <w:keepLines w:val="0"/>
              <w:widowControl/>
              <w:suppressLineNumbers w:val="0"/>
              <w:jc w:val="center"/>
              <w:textAlignment w:val="center"/>
              <w:rPr>
                <w:rFonts w:hint="eastAsia"/>
                <w:snapToGrid w:val="0"/>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创业情况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Merge w:val="restart"/>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default"/>
                <w:snapToGrid w:val="0"/>
                <w:color w:val="auto"/>
                <w:sz w:val="24"/>
                <w:szCs w:val="24"/>
                <w:highlight w:val="none"/>
                <w:vertAlign w:val="baseline"/>
                <w:lang w:val="en-US" w:eastAsia="zh-CN"/>
              </w:rPr>
            </w:pPr>
            <w:r>
              <w:rPr>
                <w:rFonts w:hint="eastAsia"/>
                <w:snapToGrid w:val="0"/>
                <w:color w:val="auto"/>
                <w:sz w:val="24"/>
                <w:szCs w:val="24"/>
                <w:highlight w:val="none"/>
                <w:vertAlign w:val="baseline"/>
                <w:lang w:val="en-US" w:eastAsia="zh-CN"/>
              </w:rPr>
              <w:t>就业工作主要特点</w:t>
            </w:r>
          </w:p>
        </w:tc>
        <w:tc>
          <w:tcPr>
            <w:tcW w:w="6796" w:type="dxa"/>
            <w:vAlign w:val="center"/>
          </w:tcPr>
          <w:p>
            <w:pPr>
              <w:keepNext w:val="0"/>
              <w:keepLines w:val="0"/>
              <w:widowControl/>
              <w:suppressLineNumbers w:val="0"/>
              <w:jc w:val="center"/>
              <w:textAlignment w:val="center"/>
              <w:rPr>
                <w:rFonts w:hint="eastAsia"/>
                <w:snapToGrid w:val="0"/>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就业指导服务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Merge w:val="continue"/>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p>
        </w:tc>
        <w:tc>
          <w:tcPr>
            <w:tcW w:w="6796" w:type="dxa"/>
            <w:vAlign w:val="center"/>
          </w:tcPr>
          <w:p>
            <w:pPr>
              <w:keepNext w:val="0"/>
              <w:keepLines w:val="0"/>
              <w:widowControl/>
              <w:suppressLineNumbers w:val="0"/>
              <w:jc w:val="center"/>
              <w:textAlignment w:val="center"/>
              <w:rPr>
                <w:rFonts w:hint="eastAsia"/>
                <w:snapToGrid w:val="0"/>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创新创业教育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Merge w:val="continue"/>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p>
        </w:tc>
        <w:tc>
          <w:tcPr>
            <w:tcW w:w="6796" w:type="dxa"/>
            <w:vAlign w:val="top"/>
          </w:tcPr>
          <w:p>
            <w:pPr>
              <w:keepNext w:val="0"/>
              <w:keepLines w:val="0"/>
              <w:widowControl/>
              <w:suppressLineNumbers w:val="0"/>
              <w:jc w:val="center"/>
              <w:textAlignment w:val="top"/>
              <w:rPr>
                <w:rFonts w:hint="eastAsia"/>
                <w:snapToGrid w:val="0"/>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促进就业的政策措施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Merge w:val="restart"/>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default"/>
                <w:snapToGrid w:val="0"/>
                <w:color w:val="auto"/>
                <w:sz w:val="24"/>
                <w:szCs w:val="24"/>
                <w:highlight w:val="none"/>
                <w:vertAlign w:val="baseline"/>
                <w:lang w:val="en-US" w:eastAsia="zh-CN"/>
              </w:rPr>
            </w:pPr>
            <w:r>
              <w:rPr>
                <w:rFonts w:hint="eastAsia"/>
                <w:snapToGrid w:val="0"/>
                <w:color w:val="auto"/>
                <w:sz w:val="24"/>
                <w:szCs w:val="24"/>
                <w:highlight w:val="none"/>
                <w:vertAlign w:val="baseline"/>
                <w:lang w:val="en-US" w:eastAsia="zh-CN"/>
              </w:rPr>
              <w:t>就业相关分析</w:t>
            </w:r>
          </w:p>
        </w:tc>
        <w:tc>
          <w:tcPr>
            <w:tcW w:w="6796" w:type="dxa"/>
            <w:vAlign w:val="center"/>
          </w:tcPr>
          <w:p>
            <w:pPr>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default"/>
                <w:snapToGrid w:val="0"/>
                <w:color w:val="auto"/>
                <w:sz w:val="24"/>
                <w:szCs w:val="24"/>
                <w:highlight w:val="none"/>
                <w:vertAlign w:val="baseline"/>
                <w:lang w:val="en-US" w:eastAsia="zh-CN"/>
              </w:rPr>
            </w:pPr>
            <w:r>
              <w:rPr>
                <w:rFonts w:hint="eastAsia"/>
                <w:snapToGrid w:val="0"/>
                <w:color w:val="auto"/>
                <w:sz w:val="24"/>
                <w:szCs w:val="24"/>
                <w:highlight w:val="none"/>
                <w:vertAlign w:val="baseline"/>
                <w:lang w:val="en-US" w:eastAsia="zh-CN"/>
              </w:rPr>
              <w:t>月收入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Merge w:val="continue"/>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p>
        </w:tc>
        <w:tc>
          <w:tcPr>
            <w:tcW w:w="6796" w:type="dxa"/>
            <w:shd w:val="clear" w:color="auto" w:fill="auto"/>
            <w:vAlign w:val="center"/>
          </w:tcPr>
          <w:p>
            <w:pPr>
              <w:keepNext w:val="0"/>
              <w:keepLines w:val="0"/>
              <w:pageBreakBefore w:val="0"/>
              <w:widowControl/>
              <w:numPr>
                <w:ilvl w:val="0"/>
                <w:numId w:val="0"/>
              </w:numPr>
              <w:kinsoku/>
              <w:wordWrap w:val="0"/>
              <w:overflowPunct/>
              <w:topLinePunct w:val="0"/>
              <w:autoSpaceDE/>
              <w:autoSpaceDN/>
              <w:bidi w:val="0"/>
              <w:adjustRightInd/>
              <w:snapToGrid/>
              <w:ind w:left="0" w:leftChars="0" w:firstLine="0" w:firstLineChars="0"/>
              <w:jc w:val="center"/>
              <w:textAlignment w:val="auto"/>
              <w:rPr>
                <w:rFonts w:hint="eastAsia" w:ascii="宋体" w:hAnsi="宋体" w:eastAsia="宋体" w:cstheme="minorBidi"/>
                <w:snapToGrid w:val="0"/>
                <w:color w:val="auto"/>
                <w:kern w:val="2"/>
                <w:sz w:val="24"/>
                <w:szCs w:val="24"/>
                <w:highlight w:val="none"/>
                <w:vertAlign w:val="baseline"/>
                <w:lang w:val="en-US" w:eastAsia="zh-CN" w:bidi="ar-SA"/>
              </w:rPr>
            </w:pPr>
            <w:r>
              <w:rPr>
                <w:rFonts w:hint="eastAsia"/>
              </w:rPr>
              <w:t>工作与专业相关度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Merge w:val="continue"/>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p>
        </w:tc>
        <w:tc>
          <w:tcPr>
            <w:tcW w:w="6796" w:type="dxa"/>
            <w:shd w:val="clear" w:color="auto" w:fill="auto"/>
            <w:vAlign w:val="center"/>
          </w:tcPr>
          <w:p>
            <w:pPr>
              <w:keepNext w:val="0"/>
              <w:keepLines w:val="0"/>
              <w:pageBreakBefore w:val="0"/>
              <w:widowControl/>
              <w:numPr>
                <w:ilvl w:val="0"/>
                <w:numId w:val="0"/>
              </w:numPr>
              <w:kinsoku/>
              <w:wordWrap w:val="0"/>
              <w:overflowPunct/>
              <w:topLinePunct w:val="0"/>
              <w:autoSpaceDE/>
              <w:autoSpaceDN/>
              <w:bidi w:val="0"/>
              <w:adjustRightInd/>
              <w:snapToGrid/>
              <w:ind w:left="0" w:leftChars="0" w:firstLine="0" w:firstLineChars="0"/>
              <w:jc w:val="center"/>
              <w:textAlignment w:val="auto"/>
              <w:rPr>
                <w:rFonts w:hint="default" w:ascii="宋体" w:hAnsi="宋体" w:eastAsia="宋体" w:cstheme="minorBidi"/>
                <w:snapToGrid w:val="0"/>
                <w:color w:val="auto"/>
                <w:kern w:val="2"/>
                <w:sz w:val="24"/>
                <w:szCs w:val="24"/>
                <w:highlight w:val="none"/>
                <w:vertAlign w:val="baseline"/>
                <w:lang w:val="en-US" w:eastAsia="zh-CN" w:bidi="ar-SA"/>
              </w:rPr>
            </w:pPr>
            <w:r>
              <w:rPr>
                <w:rFonts w:hint="eastAsia"/>
              </w:rPr>
              <w:t>就业现状满意度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Merge w:val="continue"/>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p>
        </w:tc>
        <w:tc>
          <w:tcPr>
            <w:tcW w:w="6796" w:type="dxa"/>
            <w:shd w:val="clear" w:color="auto" w:fill="auto"/>
            <w:vAlign w:val="center"/>
          </w:tcPr>
          <w:p>
            <w:pPr>
              <w:keepNext w:val="0"/>
              <w:keepLines w:val="0"/>
              <w:pageBreakBefore w:val="0"/>
              <w:widowControl/>
              <w:numPr>
                <w:ilvl w:val="0"/>
                <w:numId w:val="0"/>
              </w:numPr>
              <w:kinsoku/>
              <w:wordWrap w:val="0"/>
              <w:overflowPunct/>
              <w:topLinePunct w:val="0"/>
              <w:autoSpaceDE/>
              <w:autoSpaceDN/>
              <w:bidi w:val="0"/>
              <w:adjustRightInd/>
              <w:snapToGrid/>
              <w:ind w:left="0" w:leftChars="0" w:firstLine="0" w:firstLineChars="0"/>
              <w:jc w:val="center"/>
              <w:textAlignment w:val="auto"/>
              <w:rPr>
                <w:rFonts w:hint="eastAsia" w:ascii="宋体" w:hAnsi="宋体" w:eastAsia="宋体" w:cstheme="minorBidi"/>
                <w:snapToGrid w:val="0"/>
                <w:color w:val="auto"/>
                <w:kern w:val="2"/>
                <w:sz w:val="24"/>
                <w:szCs w:val="24"/>
                <w:highlight w:val="none"/>
                <w:vertAlign w:val="baseline"/>
                <w:lang w:val="en-US" w:eastAsia="zh-CN" w:bidi="ar-SA"/>
              </w:rPr>
            </w:pPr>
            <w:r>
              <w:rPr>
                <w:rFonts w:hint="eastAsia"/>
                <w:snapToGrid w:val="0"/>
                <w:color w:val="auto"/>
                <w:sz w:val="24"/>
                <w:szCs w:val="24"/>
                <w:highlight w:val="none"/>
                <w:vertAlign w:val="baseline"/>
                <w:lang w:val="en-US" w:eastAsia="zh-CN"/>
              </w:rPr>
              <w:t>职业期待吻合度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Merge w:val="restart"/>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default"/>
                <w:snapToGrid w:val="0"/>
                <w:color w:val="auto"/>
                <w:sz w:val="24"/>
                <w:szCs w:val="24"/>
                <w:highlight w:val="none"/>
                <w:vertAlign w:val="baseline"/>
                <w:lang w:val="en-US" w:eastAsia="zh-CN"/>
              </w:rPr>
            </w:pPr>
            <w:r>
              <w:rPr>
                <w:rFonts w:hint="eastAsia"/>
                <w:snapToGrid w:val="0"/>
                <w:color w:val="auto"/>
                <w:sz w:val="24"/>
                <w:szCs w:val="24"/>
                <w:highlight w:val="none"/>
                <w:vertAlign w:val="baseline"/>
                <w:lang w:val="en-US" w:eastAsia="zh-CN"/>
              </w:rPr>
              <w:t>发展趋势分析</w:t>
            </w:r>
          </w:p>
        </w:tc>
        <w:tc>
          <w:tcPr>
            <w:tcW w:w="6796" w:type="dxa"/>
            <w:vAlign w:val="center"/>
          </w:tcPr>
          <w:p>
            <w:pPr>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r>
              <w:rPr>
                <w:rFonts w:hint="eastAsia"/>
              </w:rPr>
              <w:t>就业趋势性研判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Merge w:val="continue"/>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p>
        </w:tc>
        <w:tc>
          <w:tcPr>
            <w:tcW w:w="6796" w:type="dxa"/>
            <w:vAlign w:val="center"/>
          </w:tcPr>
          <w:p>
            <w:pPr>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r>
              <w:rPr>
                <w:rFonts w:hint="eastAsia"/>
              </w:rPr>
              <w:t>就业率趋势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Merge w:val="continue"/>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p>
        </w:tc>
        <w:tc>
          <w:tcPr>
            <w:tcW w:w="6796" w:type="dxa"/>
            <w:vAlign w:val="center"/>
          </w:tcPr>
          <w:p>
            <w:pPr>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r>
              <w:rPr>
                <w:rFonts w:hint="eastAsia"/>
              </w:rPr>
              <w:t>就业特点变化趋势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Merge w:val="continue"/>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p>
        </w:tc>
        <w:tc>
          <w:tcPr>
            <w:tcW w:w="6796" w:type="dxa"/>
            <w:vAlign w:val="center"/>
          </w:tcPr>
          <w:p>
            <w:pPr>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r>
              <w:rPr>
                <w:rFonts w:hint="eastAsia"/>
              </w:rPr>
              <w:t>就业质量变化趋势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Merge w:val="restart"/>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default"/>
                <w:snapToGrid w:val="0"/>
                <w:color w:val="auto"/>
                <w:sz w:val="24"/>
                <w:szCs w:val="24"/>
                <w:highlight w:val="none"/>
                <w:vertAlign w:val="baseline"/>
                <w:lang w:val="en-US" w:eastAsia="zh-CN"/>
              </w:rPr>
            </w:pPr>
            <w:r>
              <w:rPr>
                <w:rFonts w:hint="eastAsia"/>
                <w:snapToGrid w:val="0"/>
                <w:color w:val="auto"/>
                <w:sz w:val="24"/>
                <w:szCs w:val="24"/>
                <w:highlight w:val="none"/>
                <w:vertAlign w:val="baseline"/>
                <w:lang w:val="en-US" w:eastAsia="zh-CN"/>
              </w:rPr>
              <w:t>对教育教学的反馈</w:t>
            </w:r>
          </w:p>
        </w:tc>
        <w:tc>
          <w:tcPr>
            <w:tcW w:w="6796" w:type="dxa"/>
            <w:vAlign w:val="center"/>
          </w:tcPr>
          <w:p>
            <w:pPr>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r>
              <w:rPr>
                <w:rFonts w:hint="eastAsia"/>
              </w:rPr>
              <w:t>校友满意度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Merge w:val="continue"/>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p>
        </w:tc>
        <w:tc>
          <w:tcPr>
            <w:tcW w:w="6796" w:type="dxa"/>
            <w:vAlign w:val="center"/>
          </w:tcPr>
          <w:p>
            <w:pPr>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r>
              <w:rPr>
                <w:rFonts w:hint="eastAsia"/>
              </w:rPr>
              <w:t>教学满意度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Merge w:val="continue"/>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p>
        </w:tc>
        <w:tc>
          <w:tcPr>
            <w:tcW w:w="6796" w:type="dxa"/>
            <w:vAlign w:val="center"/>
          </w:tcPr>
          <w:p>
            <w:pPr>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r>
              <w:rPr>
                <w:rFonts w:hint="eastAsia"/>
              </w:rPr>
              <w:t>通用能力评价</w:t>
            </w:r>
          </w:p>
        </w:tc>
      </w:tr>
    </w:tbl>
    <w:p>
      <w:pPr>
        <w:pStyle w:val="37"/>
        <w:keepNext w:val="0"/>
        <w:keepLines w:val="0"/>
        <w:pageBreakBefore w:val="0"/>
        <w:widowControl/>
        <w:numPr>
          <w:ilvl w:val="0"/>
          <w:numId w:val="0"/>
        </w:numPr>
        <w:kinsoku/>
        <w:wordWrap w:val="0"/>
        <w:overflowPunct/>
        <w:topLinePunct w:val="0"/>
        <w:autoSpaceDE/>
        <w:autoSpaceDN/>
        <w:bidi w:val="0"/>
        <w:adjustRightInd/>
        <w:snapToGrid/>
        <w:ind w:firstLine="482" w:firstLineChars="200"/>
        <w:textAlignment w:val="auto"/>
        <w:rPr>
          <w:rFonts w:hint="eastAsia"/>
          <w:snapToGrid w:val="0"/>
          <w:color w:val="auto"/>
          <w:sz w:val="24"/>
          <w:szCs w:val="24"/>
          <w:highlight w:val="none"/>
          <w:lang w:val="en-US" w:eastAsia="zh-CN"/>
        </w:rPr>
      </w:pPr>
      <w:r>
        <w:rPr>
          <w:rFonts w:hint="eastAsia"/>
          <w:b/>
          <w:bCs/>
          <w:snapToGrid w:val="0"/>
          <w:color w:val="auto"/>
          <w:sz w:val="24"/>
          <w:szCs w:val="24"/>
          <w:highlight w:val="none"/>
          <w:lang w:val="en-US" w:eastAsia="zh-CN"/>
        </w:rPr>
        <w:t>2.高水平专业群建设满意度跟踪评价</w:t>
      </w:r>
    </w:p>
    <w:p>
      <w:pPr>
        <w:pStyle w:val="37"/>
        <w:keepNext w:val="0"/>
        <w:keepLines w:val="0"/>
        <w:pageBreakBefore w:val="0"/>
        <w:widowControl/>
        <w:numPr>
          <w:ilvl w:val="0"/>
          <w:numId w:val="0"/>
        </w:numPr>
        <w:kinsoku/>
        <w:wordWrap w:val="0"/>
        <w:overflowPunct/>
        <w:topLinePunct w:val="0"/>
        <w:autoSpaceDE/>
        <w:autoSpaceDN/>
        <w:bidi w:val="0"/>
        <w:adjustRightInd/>
        <w:snapToGri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为配合“新双高”利益相关方满意度数据的填报要求，本项目采用问卷调研法，面向在校生、应届毕业生、教职工、用人单位、家长五类利益相关方开展，包括全校层面及参与遴选的专业群层面的数据。具体内容如下：</w:t>
      </w:r>
    </w:p>
    <w:tbl>
      <w:tblPr>
        <w:tblStyle w:val="30"/>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8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r>
              <w:rPr>
                <w:rFonts w:hint="eastAsia"/>
                <w:snapToGrid w:val="0"/>
                <w:color w:val="auto"/>
                <w:sz w:val="24"/>
                <w:szCs w:val="24"/>
                <w:highlight w:val="none"/>
                <w:lang w:val="en-US" w:eastAsia="zh-CN"/>
              </w:rPr>
              <w:t>在校生</w:t>
            </w:r>
          </w:p>
        </w:tc>
        <w:tc>
          <w:tcPr>
            <w:tcW w:w="7846"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both"/>
              <w:textAlignment w:val="auto"/>
              <w:rPr>
                <w:rFonts w:hint="eastAsia"/>
                <w:snapToGrid w:val="0"/>
                <w:color w:val="auto"/>
                <w:sz w:val="24"/>
                <w:szCs w:val="24"/>
                <w:highlight w:val="none"/>
                <w:vertAlign w:val="baseline"/>
                <w:lang w:val="en-US" w:eastAsia="zh-CN"/>
              </w:rPr>
            </w:pPr>
            <w:r>
              <w:rPr>
                <w:rFonts w:hint="eastAsia"/>
                <w:snapToGrid w:val="0"/>
                <w:color w:val="auto"/>
                <w:sz w:val="24"/>
                <w:szCs w:val="24"/>
                <w:highlight w:val="none"/>
                <w:lang w:val="en-US" w:eastAsia="zh-CN"/>
              </w:rPr>
              <w:t>具体指本学年各年级在校生，调研内容包括总体满意度、教学满意度、各方面满意度等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r>
              <w:rPr>
                <w:rFonts w:hint="eastAsia"/>
                <w:snapToGrid w:val="0"/>
                <w:color w:val="auto"/>
                <w:sz w:val="24"/>
                <w:szCs w:val="24"/>
                <w:highlight w:val="none"/>
                <w:lang w:val="en-US" w:eastAsia="zh-CN"/>
              </w:rPr>
              <w:t>应届毕业生</w:t>
            </w:r>
          </w:p>
        </w:tc>
        <w:tc>
          <w:tcPr>
            <w:tcW w:w="7846"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both"/>
              <w:textAlignment w:val="auto"/>
              <w:rPr>
                <w:rFonts w:hint="eastAsia"/>
                <w:snapToGrid w:val="0"/>
                <w:color w:val="auto"/>
                <w:sz w:val="24"/>
                <w:szCs w:val="24"/>
                <w:highlight w:val="none"/>
                <w:vertAlign w:val="baseline"/>
                <w:lang w:val="en-US" w:eastAsia="zh-CN"/>
              </w:rPr>
            </w:pPr>
            <w:r>
              <w:rPr>
                <w:rFonts w:hint="eastAsia"/>
                <w:snapToGrid w:val="0"/>
                <w:color w:val="auto"/>
                <w:sz w:val="24"/>
                <w:szCs w:val="24"/>
                <w:highlight w:val="none"/>
                <w:lang w:val="en-US" w:eastAsia="zh-CN"/>
              </w:rPr>
              <w:t>具体指本年度应届毕业生，调研内容包括母校满意度、现状满意度、教学满意度、各方面满意度等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r>
              <w:rPr>
                <w:rFonts w:hint="eastAsia"/>
                <w:snapToGrid w:val="0"/>
                <w:color w:val="auto"/>
                <w:sz w:val="24"/>
                <w:szCs w:val="24"/>
                <w:highlight w:val="none"/>
                <w:lang w:val="en-US" w:eastAsia="zh-CN"/>
              </w:rPr>
              <w:t>教职工</w:t>
            </w:r>
          </w:p>
        </w:tc>
        <w:tc>
          <w:tcPr>
            <w:tcW w:w="7846"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both"/>
              <w:textAlignment w:val="auto"/>
              <w:rPr>
                <w:rFonts w:hint="eastAsia"/>
                <w:snapToGrid w:val="0"/>
                <w:color w:val="auto"/>
                <w:sz w:val="24"/>
                <w:szCs w:val="24"/>
                <w:highlight w:val="none"/>
                <w:vertAlign w:val="baseline"/>
                <w:lang w:val="en-US" w:eastAsia="zh-CN"/>
              </w:rPr>
            </w:pPr>
            <w:r>
              <w:rPr>
                <w:rFonts w:hint="eastAsia"/>
                <w:snapToGrid w:val="0"/>
                <w:color w:val="auto"/>
                <w:sz w:val="24"/>
                <w:szCs w:val="24"/>
                <w:highlight w:val="none"/>
                <w:lang w:val="en-US" w:eastAsia="zh-CN"/>
              </w:rPr>
              <w:t>具体指本年学校教职工（含行政管理人员），调研内容包括总体满意度、双高计划满意度、各方面满意度等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r>
              <w:rPr>
                <w:rFonts w:hint="eastAsia"/>
                <w:snapToGrid w:val="0"/>
                <w:color w:val="auto"/>
                <w:sz w:val="24"/>
                <w:szCs w:val="24"/>
                <w:highlight w:val="none"/>
                <w:lang w:val="en-US" w:eastAsia="zh-CN"/>
              </w:rPr>
              <w:t>用人单位</w:t>
            </w:r>
          </w:p>
        </w:tc>
        <w:tc>
          <w:tcPr>
            <w:tcW w:w="7846"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both"/>
              <w:textAlignment w:val="auto"/>
              <w:rPr>
                <w:rFonts w:hint="eastAsia"/>
                <w:snapToGrid w:val="0"/>
                <w:color w:val="auto"/>
                <w:sz w:val="24"/>
                <w:szCs w:val="24"/>
                <w:highlight w:val="none"/>
                <w:vertAlign w:val="baseline"/>
                <w:lang w:val="en-US" w:eastAsia="zh-CN"/>
              </w:rPr>
            </w:pPr>
            <w:r>
              <w:rPr>
                <w:rFonts w:hint="eastAsia"/>
                <w:snapToGrid w:val="0"/>
                <w:color w:val="auto"/>
                <w:sz w:val="24"/>
                <w:szCs w:val="24"/>
                <w:highlight w:val="none"/>
                <w:lang w:val="en-US" w:eastAsia="zh-CN"/>
              </w:rPr>
              <w:t>具体指本校（或本专业群）的雇主，调研内容包括用人单位满意度、对毕业生工作能力、素质、知识、专业技能满意度等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center"/>
              <w:textAlignment w:val="auto"/>
              <w:rPr>
                <w:rFonts w:hint="eastAsia"/>
                <w:snapToGrid w:val="0"/>
                <w:color w:val="auto"/>
                <w:sz w:val="24"/>
                <w:szCs w:val="24"/>
                <w:highlight w:val="none"/>
                <w:vertAlign w:val="baseline"/>
                <w:lang w:val="en-US" w:eastAsia="zh-CN"/>
              </w:rPr>
            </w:pPr>
            <w:r>
              <w:rPr>
                <w:rFonts w:hint="eastAsia"/>
                <w:snapToGrid w:val="0"/>
                <w:color w:val="auto"/>
                <w:sz w:val="24"/>
                <w:szCs w:val="24"/>
                <w:highlight w:val="none"/>
                <w:lang w:val="en-US" w:eastAsia="zh-CN"/>
              </w:rPr>
              <w:t>家长</w:t>
            </w:r>
          </w:p>
        </w:tc>
        <w:tc>
          <w:tcPr>
            <w:tcW w:w="7846" w:type="dxa"/>
            <w:vAlign w:val="center"/>
          </w:tcPr>
          <w:p>
            <w:pPr>
              <w:pStyle w:val="37"/>
              <w:keepNext w:val="0"/>
              <w:keepLines w:val="0"/>
              <w:pageBreakBefore w:val="0"/>
              <w:widowControl/>
              <w:numPr>
                <w:ilvl w:val="0"/>
                <w:numId w:val="0"/>
              </w:numPr>
              <w:kinsoku/>
              <w:wordWrap w:val="0"/>
              <w:overflowPunct/>
              <w:topLinePunct w:val="0"/>
              <w:autoSpaceDE/>
              <w:autoSpaceDN/>
              <w:bidi w:val="0"/>
              <w:adjustRightInd/>
              <w:snapToGrid/>
              <w:jc w:val="both"/>
              <w:textAlignment w:val="auto"/>
              <w:rPr>
                <w:rFonts w:hint="eastAsia"/>
                <w:snapToGrid w:val="0"/>
                <w:color w:val="auto"/>
                <w:sz w:val="24"/>
                <w:szCs w:val="24"/>
                <w:highlight w:val="none"/>
                <w:vertAlign w:val="baseline"/>
                <w:lang w:val="en-US" w:eastAsia="zh-CN"/>
              </w:rPr>
            </w:pPr>
            <w:r>
              <w:rPr>
                <w:rFonts w:hint="eastAsia"/>
                <w:snapToGrid w:val="0"/>
                <w:color w:val="auto"/>
                <w:sz w:val="24"/>
                <w:szCs w:val="24"/>
                <w:highlight w:val="none"/>
                <w:lang w:val="en-US" w:eastAsia="zh-CN"/>
              </w:rPr>
              <w:t>具体指本学年在校生的家长，调研内容包括总体满意度、各方面满意度等。</w:t>
            </w:r>
          </w:p>
        </w:tc>
      </w:tr>
    </w:tbl>
    <w:p>
      <w:pPr>
        <w:pStyle w:val="37"/>
        <w:keepNext w:val="0"/>
        <w:keepLines w:val="0"/>
        <w:pageBreakBefore w:val="0"/>
        <w:widowControl w:val="0"/>
        <w:numPr>
          <w:ilvl w:val="0"/>
          <w:numId w:val="0"/>
        </w:numPr>
        <w:kinsoku/>
        <w:overflowPunct/>
        <w:topLinePunct w:val="0"/>
        <w:autoSpaceDE/>
        <w:autoSpaceDN/>
        <w:bidi w:val="0"/>
        <w:adjustRightInd/>
        <w:ind w:firstLine="480" w:firstLineChars="0"/>
        <w:textAlignment w:val="auto"/>
        <w:outlineLvl w:val="1"/>
        <w:rPr>
          <w:rFonts w:hint="default" w:ascii="宋体" w:hAnsi="宋体" w:eastAsia="宋体" w:cs="宋体"/>
          <w:b/>
          <w:bCs/>
          <w:snapToGrid w:val="0"/>
          <w:color w:val="auto"/>
          <w:sz w:val="24"/>
          <w:szCs w:val="24"/>
          <w:highlight w:val="none"/>
          <w:lang w:val="en-US" w:eastAsia="zh-CN"/>
        </w:rPr>
      </w:pPr>
      <w:r>
        <w:rPr>
          <w:rFonts w:hint="eastAsia" w:ascii="宋体" w:hAnsi="宋体" w:eastAsia="宋体" w:cs="宋体"/>
          <w:b/>
          <w:bCs/>
          <w:iCs/>
          <w:snapToGrid w:val="0"/>
          <w:color w:val="auto"/>
          <w:kern w:val="2"/>
          <w:sz w:val="24"/>
          <w:szCs w:val="24"/>
          <w:shd w:val="clear" w:fill="FFFFFF" w:themeFill="background1"/>
          <w:lang w:val="en-US" w:eastAsia="zh-CN" w:bidi="ar-SA"/>
        </w:rPr>
        <w:t>二、</w:t>
      </w:r>
      <w:r>
        <w:rPr>
          <w:rFonts w:hint="eastAsia" w:ascii="宋体" w:hAnsi="宋体" w:eastAsia="宋体" w:cs="宋体"/>
          <w:b/>
          <w:bCs/>
          <w:snapToGrid w:val="0"/>
          <w:color w:val="auto"/>
          <w:sz w:val="24"/>
          <w:szCs w:val="24"/>
          <w:highlight w:val="none"/>
          <w:lang w:val="en-US" w:eastAsia="zh-CN"/>
        </w:rPr>
        <w:t>项目</w:t>
      </w:r>
      <w:r>
        <w:rPr>
          <w:rFonts w:hint="eastAsia" w:cs="宋体"/>
          <w:b/>
          <w:bCs/>
          <w:snapToGrid w:val="0"/>
          <w:color w:val="auto"/>
          <w:sz w:val="24"/>
          <w:szCs w:val="24"/>
          <w:highlight w:val="none"/>
          <w:lang w:val="en-US" w:eastAsia="zh-CN"/>
        </w:rPr>
        <w:t>要求</w:t>
      </w:r>
    </w:p>
    <w:p>
      <w:pPr>
        <w:pStyle w:val="37"/>
        <w:keepNext w:val="0"/>
        <w:keepLines w:val="0"/>
        <w:pageBreakBefore w:val="0"/>
        <w:widowControl w:val="0"/>
        <w:kinsoku/>
        <w:wordWrap w:val="0"/>
        <w:overflowPunct/>
        <w:topLinePunct w:val="0"/>
        <w:autoSpaceDE/>
        <w:autoSpaceDN/>
        <w:bidi w:val="0"/>
        <w:adjustRightInd/>
        <w:snapToGrid/>
        <w:ind w:firstLine="482" w:firstLineChars="200"/>
        <w:textAlignment w:val="auto"/>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1.分析方法</w:t>
      </w:r>
    </w:p>
    <w:p>
      <w:pPr>
        <w:pStyle w:val="37"/>
        <w:keepNext w:val="0"/>
        <w:keepLines w:val="0"/>
        <w:pageBreakBefore w:val="0"/>
        <w:widowControl w:val="0"/>
        <w:kinsoku/>
        <w:wordWrap w:val="0"/>
        <w:overflowPunct/>
        <w:topLinePunct w:val="0"/>
        <w:autoSpaceDE/>
        <w:autoSpaceDN/>
        <w:bidi w:val="0"/>
        <w:adjustRightInd/>
        <w:snapToGrid/>
        <w:ind w:firstLine="482" w:firstLineChars="200"/>
        <w:textAlignment w:val="auto"/>
        <w:rPr>
          <w:rFonts w:hint="eastAsia"/>
          <w:b/>
          <w:bCs/>
          <w:snapToGrid w:val="0"/>
          <w:color w:val="auto"/>
          <w:sz w:val="24"/>
          <w:szCs w:val="24"/>
          <w:highlight w:val="none"/>
          <w:lang w:val="en-US" w:eastAsia="zh-CN"/>
        </w:rPr>
      </w:pPr>
      <w:r>
        <w:rPr>
          <w:rFonts w:hint="eastAsia" w:ascii="宋体" w:hAnsi="宋体" w:cs="宋体"/>
          <w:b/>
          <w:bCs/>
          <w:sz w:val="24"/>
          <w:szCs w:val="24"/>
        </w:rPr>
        <w:t>★</w:t>
      </w:r>
      <w:r>
        <w:rPr>
          <w:rFonts w:hint="eastAsia"/>
          <w:b/>
          <w:bCs/>
          <w:snapToGrid w:val="0"/>
          <w:color w:val="auto"/>
          <w:sz w:val="24"/>
          <w:szCs w:val="24"/>
          <w:highlight w:val="none"/>
          <w:lang w:val="en-US" w:eastAsia="zh-CN"/>
        </w:rPr>
        <w:t>单一数据来源转变为多元数据综合评价</w:t>
      </w:r>
    </w:p>
    <w:p>
      <w:pPr>
        <w:pStyle w:val="37"/>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本项目的分析数据不局限于应届毕业生专项调查数据，也会</w:t>
      </w:r>
      <w:r>
        <w:rPr>
          <w:rFonts w:hint="eastAsia"/>
          <w:b/>
          <w:bCs/>
          <w:snapToGrid w:val="0"/>
          <w:color w:val="auto"/>
          <w:sz w:val="24"/>
          <w:szCs w:val="24"/>
          <w:highlight w:val="none"/>
          <w:lang w:val="en-US" w:eastAsia="zh-CN"/>
        </w:rPr>
        <w:t>引入学校质量年报中的校本数据，综合评价办学投入与学生产出情况</w:t>
      </w:r>
      <w:r>
        <w:rPr>
          <w:rFonts w:hint="eastAsia"/>
          <w:snapToGrid w:val="0"/>
          <w:color w:val="auto"/>
          <w:sz w:val="24"/>
          <w:szCs w:val="24"/>
          <w:highlight w:val="none"/>
          <w:lang w:val="en-US" w:eastAsia="zh-CN"/>
        </w:rPr>
        <w:t>。同时</w:t>
      </w:r>
      <w:r>
        <w:rPr>
          <w:rFonts w:hint="eastAsia"/>
          <w:b/>
          <w:bCs/>
          <w:snapToGrid w:val="0"/>
          <w:color w:val="auto"/>
          <w:sz w:val="24"/>
          <w:szCs w:val="24"/>
          <w:highlight w:val="none"/>
          <w:lang w:val="en-US" w:eastAsia="zh-CN"/>
        </w:rPr>
        <w:t>引入在校生专项调查数据、学生评课评教数据，深挖应届毕业生反馈的教学培养问题</w:t>
      </w:r>
      <w:r>
        <w:rPr>
          <w:rFonts w:hint="eastAsia"/>
          <w:snapToGrid w:val="0"/>
          <w:color w:val="auto"/>
          <w:sz w:val="24"/>
          <w:szCs w:val="24"/>
          <w:highlight w:val="none"/>
          <w:lang w:val="en-US" w:eastAsia="zh-CN"/>
        </w:rPr>
        <w:t>，精准定位改进方向。</w:t>
      </w:r>
    </w:p>
    <w:p>
      <w:pPr>
        <w:pStyle w:val="37"/>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此外，若学校同时合作在校生专项调查、中期毕业生专项调查，在出具单体项目报告（校级、院系、专业）的同时，另交付学院层面多元综合评价数据报告、专业层面多元综合评价数据报告。</w:t>
      </w:r>
    </w:p>
    <w:p>
      <w:pPr>
        <w:pStyle w:val="37"/>
        <w:keepNext w:val="0"/>
        <w:keepLines w:val="0"/>
        <w:pageBreakBefore w:val="0"/>
        <w:widowControl w:val="0"/>
        <w:kinsoku/>
        <w:wordWrap w:val="0"/>
        <w:overflowPunct/>
        <w:topLinePunct w:val="0"/>
        <w:autoSpaceDE/>
        <w:autoSpaceDN/>
        <w:bidi w:val="0"/>
        <w:adjustRightInd/>
        <w:snapToGrid/>
        <w:ind w:firstLine="482" w:firstLineChars="200"/>
        <w:textAlignment w:val="auto"/>
        <w:rPr>
          <w:rFonts w:hint="eastAsia"/>
          <w:b/>
          <w:bCs/>
          <w:snapToGrid w:val="0"/>
          <w:color w:val="auto"/>
          <w:sz w:val="24"/>
          <w:szCs w:val="24"/>
          <w:highlight w:val="none"/>
          <w:lang w:val="en-US" w:eastAsia="zh-CN"/>
        </w:rPr>
      </w:pPr>
      <w:r>
        <w:rPr>
          <w:rFonts w:hint="eastAsia" w:ascii="宋体" w:hAnsi="宋体" w:cs="宋体"/>
          <w:b/>
          <w:bCs/>
          <w:sz w:val="24"/>
          <w:szCs w:val="24"/>
        </w:rPr>
        <w:t>★</w:t>
      </w:r>
      <w:r>
        <w:rPr>
          <w:rFonts w:hint="eastAsia"/>
          <w:b/>
          <w:bCs/>
          <w:snapToGrid w:val="0"/>
          <w:color w:val="auto"/>
          <w:sz w:val="24"/>
          <w:szCs w:val="24"/>
          <w:highlight w:val="none"/>
          <w:lang w:val="en-US" w:eastAsia="zh-CN"/>
        </w:rPr>
        <w:t>多种类型参照库定标比超</w:t>
      </w:r>
    </w:p>
    <w:p>
      <w:pPr>
        <w:pStyle w:val="37"/>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本项目通过将本校数据表现（专项调查数据、校本数据、评课评教数据）与参照系进行比较，综合分析人才培养效果并定位自身培养问题。其中</w:t>
      </w:r>
      <w:r>
        <w:rPr>
          <w:rFonts w:hint="eastAsia"/>
          <w:b/>
          <w:bCs/>
          <w:snapToGrid w:val="0"/>
          <w:color w:val="auto"/>
          <w:sz w:val="24"/>
          <w:szCs w:val="24"/>
          <w:highlight w:val="none"/>
          <w:lang w:val="en-US" w:eastAsia="zh-CN"/>
        </w:rPr>
        <w:t>参照系可根据学校外部评估需求及内部对标需求提供同类型、同层次以及对标院校群的参照</w:t>
      </w:r>
      <w:r>
        <w:rPr>
          <w:rFonts w:hint="eastAsia"/>
          <w:snapToGrid w:val="0"/>
          <w:color w:val="auto"/>
          <w:sz w:val="24"/>
          <w:szCs w:val="24"/>
          <w:highlight w:val="none"/>
          <w:lang w:val="en-US" w:eastAsia="zh-CN"/>
        </w:rPr>
        <w:t>，方便学校通过定标比超，评价双高建设利益相关方满意度、培养质量，定位自身优劣势</w:t>
      </w:r>
    </w:p>
    <w:p>
      <w:pPr>
        <w:pStyle w:val="37"/>
        <w:ind w:firstLine="482" w:firstLineChars="200"/>
        <w:rPr>
          <w:rFonts w:hint="eastAsia"/>
          <w:b/>
          <w:bCs/>
          <w:snapToGrid w:val="0"/>
          <w:szCs w:val="24"/>
          <w:lang w:val="en-US"/>
        </w:rPr>
      </w:pPr>
      <w:r>
        <w:rPr>
          <w:rFonts w:hint="eastAsia"/>
          <w:b/>
          <w:bCs/>
          <w:snapToGrid w:val="0"/>
          <w:szCs w:val="24"/>
          <w:lang w:val="en-US" w:eastAsia="zh-CN"/>
        </w:rPr>
        <w:t>2</w:t>
      </w:r>
      <w:r>
        <w:rPr>
          <w:rFonts w:hint="eastAsia"/>
          <w:b/>
          <w:bCs/>
          <w:snapToGrid w:val="0"/>
          <w:szCs w:val="24"/>
          <w:lang w:val="en-US"/>
        </w:rPr>
        <w:t>.数字化服务</w:t>
      </w:r>
    </w:p>
    <w:p>
      <w:pPr>
        <w:pStyle w:val="37"/>
        <w:rPr>
          <w:rFonts w:hint="eastAsia"/>
          <w:b/>
          <w:snapToGrid w:val="0"/>
          <w:szCs w:val="24"/>
          <w:lang w:val="en-US"/>
        </w:rPr>
      </w:pPr>
      <w:r>
        <w:rPr>
          <w:rFonts w:hint="eastAsia"/>
          <w:b/>
          <w:snapToGrid w:val="0"/>
          <w:szCs w:val="24"/>
          <w:lang w:val="en-US"/>
        </w:rPr>
        <w:t>（一）服务要求</w:t>
      </w:r>
    </w:p>
    <w:p>
      <w:pPr>
        <w:pStyle w:val="37"/>
        <w:keepNext w:val="0"/>
        <w:keepLines w:val="0"/>
        <w:pageBreakBefore w:val="0"/>
        <w:widowControl w:val="0"/>
        <w:numPr>
          <w:ilvl w:val="0"/>
          <w:numId w:val="0"/>
        </w:numPr>
        <w:kinsoku/>
        <w:wordWrap w:val="0"/>
        <w:overflowPunct/>
        <w:topLinePunct w:val="0"/>
        <w:autoSpaceDE/>
        <w:autoSpaceDN/>
        <w:bidi w:val="0"/>
        <w:adjustRightInd/>
        <w:snapToGrid/>
        <w:ind w:left="0" w:leftChars="0" w:firstLine="480" w:firstLineChars="200"/>
        <w:textAlignment w:val="auto"/>
        <w:rPr>
          <w:rFonts w:hint="eastAsia"/>
          <w:snapToGrid w:val="0"/>
          <w:szCs w:val="24"/>
          <w:lang w:val="en-US"/>
        </w:rPr>
      </w:pPr>
      <w:r>
        <w:rPr>
          <w:rFonts w:hint="eastAsia" w:ascii="宋体" w:hAnsi="宋体" w:eastAsia="宋体" w:cstheme="minorBidi"/>
          <w:iCs/>
          <w:snapToGrid w:val="0"/>
          <w:color w:val="auto"/>
          <w:kern w:val="2"/>
          <w:sz w:val="24"/>
          <w:szCs w:val="24"/>
          <w:shd w:val="clear" w:fill="FFFFFF" w:themeFill="background1"/>
          <w:lang w:val="en-US" w:eastAsia="zh-CN" w:bidi="ar-SA"/>
        </w:rPr>
        <w:t>1.</w:t>
      </w:r>
      <w:r>
        <w:rPr>
          <w:rFonts w:hint="eastAsia"/>
          <w:snapToGrid w:val="0"/>
          <w:szCs w:val="24"/>
          <w:lang w:val="en-US"/>
        </w:rPr>
        <w:t>为项目提供数字化服务，帮助我校解决</w:t>
      </w:r>
      <w:r>
        <w:rPr>
          <w:snapToGrid w:val="0"/>
          <w:szCs w:val="24"/>
          <w:lang w:val="en-US"/>
        </w:rPr>
        <w:t>传统人才培养质量监测中数据分散、分析滞后、维度单一等痛点，构建“数据驱动、精准诊断、持续改进”的质量保障体系，</w:t>
      </w:r>
      <w:r>
        <w:rPr>
          <w:rFonts w:hint="eastAsia"/>
          <w:snapToGrid w:val="0"/>
          <w:szCs w:val="24"/>
          <w:lang w:val="en-US"/>
        </w:rPr>
        <w:t>供应商需为我校提供</w:t>
      </w:r>
      <w:r>
        <w:rPr>
          <w:snapToGrid w:val="0"/>
          <w:szCs w:val="24"/>
          <w:lang w:val="en-US"/>
        </w:rPr>
        <w:t>数字化智能管理平台。</w:t>
      </w:r>
    </w:p>
    <w:p>
      <w:pPr>
        <w:pStyle w:val="37"/>
        <w:keepNext w:val="0"/>
        <w:keepLines w:val="0"/>
        <w:pageBreakBefore w:val="0"/>
        <w:widowControl w:val="0"/>
        <w:kinsoku/>
        <w:wordWrap w:val="0"/>
        <w:overflowPunct/>
        <w:topLinePunct w:val="0"/>
        <w:autoSpaceDE/>
        <w:autoSpaceDN/>
        <w:bidi w:val="0"/>
        <w:adjustRightInd/>
        <w:snapToGrid/>
        <w:ind w:firstLine="482" w:firstLineChars="200"/>
        <w:textAlignment w:val="auto"/>
        <w:rPr>
          <w:rFonts w:hint="eastAsia"/>
          <w:snapToGrid w:val="0"/>
          <w:szCs w:val="24"/>
          <w:lang w:val="en-US"/>
        </w:rPr>
      </w:pPr>
      <w:r>
        <w:rPr>
          <w:b/>
          <w:snapToGrid w:val="0"/>
          <w:szCs w:val="24"/>
          <w:lang w:val="en-US"/>
        </w:rPr>
        <w:t>(二)主要技术参数</w:t>
      </w:r>
    </w:p>
    <w:p>
      <w:pPr>
        <w:pStyle w:val="37"/>
        <w:keepNext w:val="0"/>
        <w:keepLines w:val="0"/>
        <w:pageBreakBefore w:val="0"/>
        <w:widowControl w:val="0"/>
        <w:numPr>
          <w:ilvl w:val="0"/>
          <w:numId w:val="0"/>
        </w:numPr>
        <w:kinsoku/>
        <w:wordWrap w:val="0"/>
        <w:overflowPunct/>
        <w:topLinePunct w:val="0"/>
        <w:autoSpaceDE/>
        <w:autoSpaceDN/>
        <w:bidi w:val="0"/>
        <w:adjustRightInd/>
        <w:snapToGrid/>
        <w:ind w:left="0" w:leftChars="0" w:firstLine="480" w:firstLineChars="200"/>
        <w:textAlignment w:val="auto"/>
        <w:rPr>
          <w:rFonts w:hint="eastAsia"/>
          <w:snapToGrid w:val="0"/>
          <w:szCs w:val="24"/>
          <w:lang w:val="en-US"/>
        </w:rPr>
      </w:pPr>
      <w:r>
        <w:rPr>
          <w:rFonts w:hint="eastAsia" w:ascii="宋体" w:hAnsi="宋体" w:eastAsia="宋体" w:cstheme="minorBidi"/>
          <w:iCs/>
          <w:snapToGrid w:val="0"/>
          <w:color w:val="auto"/>
          <w:kern w:val="2"/>
          <w:sz w:val="24"/>
          <w:szCs w:val="24"/>
          <w:shd w:val="clear" w:fill="FFFFFF" w:themeFill="background1"/>
          <w:lang w:val="en-US" w:eastAsia="zh-CN" w:bidi="ar-SA"/>
        </w:rPr>
        <w:t>1.</w:t>
      </w:r>
      <w:r>
        <w:rPr>
          <w:snapToGrid w:val="0"/>
          <w:szCs w:val="24"/>
          <w:lang w:val="en-US"/>
        </w:rPr>
        <w:t>访问量及并发量：系统采用 B/S 架构，系统支持分布式部署。</w:t>
      </w:r>
    </w:p>
    <w:p>
      <w:pPr>
        <w:pStyle w:val="37"/>
        <w:keepNext w:val="0"/>
        <w:keepLines w:val="0"/>
        <w:pageBreakBefore w:val="0"/>
        <w:widowControl w:val="0"/>
        <w:numPr>
          <w:ilvl w:val="0"/>
          <w:numId w:val="0"/>
        </w:numPr>
        <w:kinsoku/>
        <w:wordWrap w:val="0"/>
        <w:overflowPunct/>
        <w:topLinePunct w:val="0"/>
        <w:autoSpaceDE/>
        <w:autoSpaceDN/>
        <w:bidi w:val="0"/>
        <w:adjustRightInd/>
        <w:snapToGrid/>
        <w:ind w:left="0" w:leftChars="0" w:firstLine="480" w:firstLineChars="200"/>
        <w:textAlignment w:val="auto"/>
        <w:rPr>
          <w:rFonts w:hint="eastAsia"/>
          <w:snapToGrid w:val="0"/>
          <w:szCs w:val="24"/>
          <w:lang w:val="en-US"/>
        </w:rPr>
      </w:pPr>
      <w:r>
        <w:rPr>
          <w:rFonts w:hint="eastAsia" w:ascii="宋体" w:hAnsi="宋体" w:eastAsia="宋体" w:cstheme="minorBidi"/>
          <w:iCs/>
          <w:snapToGrid w:val="0"/>
          <w:color w:val="auto"/>
          <w:kern w:val="2"/>
          <w:sz w:val="24"/>
          <w:szCs w:val="24"/>
          <w:shd w:val="clear" w:fill="FFFFFF" w:themeFill="background1"/>
          <w:lang w:val="en-US" w:eastAsia="zh-CN" w:bidi="ar-SA"/>
        </w:rPr>
        <w:t>2.</w:t>
      </w:r>
      <w:r>
        <w:rPr>
          <w:snapToGrid w:val="0"/>
          <w:szCs w:val="24"/>
          <w:lang w:val="en-US"/>
        </w:rPr>
        <w:t>易用性及浏览器兼容性：界面设计美观实用，操作逻辑清晰，图标无歧义，导航层级简洁。界面分辨率适配目前主流设置，系统支持 Chrome、Safari、360安全浏览器等主流浏览器，无兼容故障。</w:t>
      </w:r>
    </w:p>
    <w:p>
      <w:pPr>
        <w:pStyle w:val="37"/>
        <w:keepNext w:val="0"/>
        <w:keepLines w:val="0"/>
        <w:pageBreakBefore w:val="0"/>
        <w:widowControl w:val="0"/>
        <w:numPr>
          <w:ilvl w:val="0"/>
          <w:numId w:val="0"/>
        </w:numPr>
        <w:kinsoku/>
        <w:wordWrap w:val="0"/>
        <w:overflowPunct/>
        <w:topLinePunct w:val="0"/>
        <w:autoSpaceDE/>
        <w:autoSpaceDN/>
        <w:bidi w:val="0"/>
        <w:adjustRightInd/>
        <w:snapToGrid/>
        <w:ind w:left="0" w:leftChars="0" w:firstLine="480" w:firstLineChars="200"/>
        <w:textAlignment w:val="auto"/>
        <w:rPr>
          <w:rFonts w:hint="eastAsia"/>
          <w:snapToGrid w:val="0"/>
          <w:szCs w:val="24"/>
          <w:lang w:val="en-US"/>
        </w:rPr>
      </w:pPr>
      <w:r>
        <w:rPr>
          <w:rFonts w:hint="eastAsia" w:ascii="宋体" w:hAnsi="宋体" w:eastAsia="宋体" w:cstheme="minorBidi"/>
          <w:iCs/>
          <w:snapToGrid w:val="0"/>
          <w:color w:val="auto"/>
          <w:kern w:val="2"/>
          <w:sz w:val="24"/>
          <w:szCs w:val="24"/>
          <w:shd w:val="clear" w:fill="FFFFFF" w:themeFill="background1"/>
          <w:lang w:val="en-US" w:eastAsia="zh-CN" w:bidi="ar-SA"/>
        </w:rPr>
        <w:t>3.</w:t>
      </w:r>
      <w:r>
        <w:rPr>
          <w:snapToGrid w:val="0"/>
          <w:szCs w:val="24"/>
          <w:lang w:val="en-US"/>
        </w:rPr>
        <w:t>可靠性：备份至少最近 3 个月的核心业务数据（含人才培养各环节指标数据、分析报告等），业务数据必须保证非人工处理情况下，不被系统删除、篡改，系统支持数据恢复功能。</w:t>
      </w:r>
    </w:p>
    <w:p>
      <w:pPr>
        <w:pStyle w:val="37"/>
        <w:keepNext w:val="0"/>
        <w:keepLines w:val="0"/>
        <w:pageBreakBefore w:val="0"/>
        <w:widowControl w:val="0"/>
        <w:numPr>
          <w:ilvl w:val="0"/>
          <w:numId w:val="0"/>
        </w:numPr>
        <w:kinsoku/>
        <w:wordWrap w:val="0"/>
        <w:overflowPunct/>
        <w:topLinePunct w:val="0"/>
        <w:autoSpaceDE/>
        <w:autoSpaceDN/>
        <w:bidi w:val="0"/>
        <w:adjustRightInd/>
        <w:snapToGrid/>
        <w:ind w:left="0" w:leftChars="0" w:firstLine="480" w:firstLineChars="200"/>
        <w:textAlignment w:val="auto"/>
        <w:rPr>
          <w:rFonts w:hint="eastAsia"/>
          <w:snapToGrid w:val="0"/>
          <w:szCs w:val="24"/>
          <w:lang w:val="en-US"/>
        </w:rPr>
      </w:pPr>
      <w:r>
        <w:rPr>
          <w:rFonts w:hint="eastAsia" w:ascii="宋体" w:hAnsi="宋体" w:eastAsia="宋体" w:cstheme="minorBidi"/>
          <w:iCs/>
          <w:snapToGrid w:val="0"/>
          <w:color w:val="auto"/>
          <w:kern w:val="2"/>
          <w:sz w:val="24"/>
          <w:szCs w:val="24"/>
          <w:shd w:val="clear" w:fill="FFFFFF" w:themeFill="background1"/>
          <w:lang w:val="en-US" w:eastAsia="zh-CN" w:bidi="ar-SA"/>
        </w:rPr>
        <w:t>4.</w:t>
      </w:r>
      <w:r>
        <w:rPr>
          <w:snapToGrid w:val="0"/>
          <w:szCs w:val="24"/>
          <w:lang w:val="en-US"/>
        </w:rPr>
        <w:t>登录标准：系统支持平台账号密码登录，保障登录灵活性与安全性。</w:t>
      </w:r>
    </w:p>
    <w:p>
      <w:pPr>
        <w:pStyle w:val="37"/>
        <w:keepNext w:val="0"/>
        <w:keepLines w:val="0"/>
        <w:pageBreakBefore w:val="0"/>
        <w:widowControl w:val="0"/>
        <w:numPr>
          <w:ilvl w:val="0"/>
          <w:numId w:val="0"/>
        </w:numPr>
        <w:kinsoku/>
        <w:wordWrap w:val="0"/>
        <w:overflowPunct/>
        <w:topLinePunct w:val="0"/>
        <w:autoSpaceDE/>
        <w:autoSpaceDN/>
        <w:bidi w:val="0"/>
        <w:adjustRightInd/>
        <w:snapToGrid/>
        <w:ind w:left="0" w:leftChars="0" w:firstLine="480" w:firstLineChars="200"/>
        <w:textAlignment w:val="auto"/>
        <w:rPr>
          <w:rFonts w:hint="eastAsia"/>
          <w:snapToGrid w:val="0"/>
          <w:szCs w:val="24"/>
          <w:lang w:val="en-US"/>
        </w:rPr>
      </w:pPr>
      <w:r>
        <w:rPr>
          <w:rFonts w:hint="eastAsia" w:ascii="宋体" w:hAnsi="宋体" w:eastAsia="宋体" w:cstheme="minorBidi"/>
          <w:iCs/>
          <w:snapToGrid w:val="0"/>
          <w:color w:val="auto"/>
          <w:kern w:val="2"/>
          <w:sz w:val="24"/>
          <w:szCs w:val="24"/>
          <w:shd w:val="clear" w:fill="FFFFFF" w:themeFill="background1"/>
          <w:lang w:val="en-US" w:eastAsia="zh-CN" w:bidi="ar-SA"/>
        </w:rPr>
        <w:t>5.</w:t>
      </w:r>
      <w:r>
        <w:rPr>
          <w:snapToGrid w:val="0"/>
          <w:szCs w:val="24"/>
          <w:lang w:val="en-US"/>
        </w:rPr>
        <w:t>数据同步：保证系统能及时使用最新的学校调研数据。</w:t>
      </w:r>
    </w:p>
    <w:p>
      <w:pPr>
        <w:pStyle w:val="37"/>
        <w:rPr>
          <w:rFonts w:hint="eastAsia"/>
          <w:snapToGrid w:val="0"/>
          <w:szCs w:val="24"/>
          <w:lang w:val="en-US"/>
        </w:rPr>
      </w:pPr>
      <w:r>
        <w:rPr>
          <w:b/>
          <w:snapToGrid w:val="0"/>
          <w:szCs w:val="24"/>
          <w:lang w:val="en-US"/>
        </w:rPr>
        <w:t>(三)系统要求</w:t>
      </w:r>
    </w:p>
    <w:p>
      <w:pPr>
        <w:pStyle w:val="37"/>
        <w:rPr>
          <w:rFonts w:hint="eastAsia"/>
          <w:snapToGrid w:val="0"/>
          <w:szCs w:val="24"/>
          <w:lang w:val="en-US"/>
        </w:rPr>
      </w:pPr>
      <w:r>
        <w:rPr>
          <w:b/>
          <w:snapToGrid w:val="0"/>
          <w:szCs w:val="24"/>
          <w:lang w:val="en-US"/>
        </w:rPr>
        <w:t>3.1 用户权限管理</w:t>
      </w:r>
    </w:p>
    <w:p>
      <w:pPr>
        <w:pStyle w:val="37"/>
        <w:keepNext w:val="0"/>
        <w:keepLines w:val="0"/>
        <w:pageBreakBefore w:val="0"/>
        <w:widowControl w:val="0"/>
        <w:numPr>
          <w:ilvl w:val="0"/>
          <w:numId w:val="0"/>
        </w:numPr>
        <w:kinsoku/>
        <w:wordWrap w:val="0"/>
        <w:overflowPunct/>
        <w:topLinePunct w:val="0"/>
        <w:autoSpaceDE/>
        <w:autoSpaceDN/>
        <w:bidi w:val="0"/>
        <w:adjustRightInd/>
        <w:snapToGrid/>
        <w:ind w:left="0" w:leftChars="0" w:firstLine="480" w:firstLineChars="200"/>
        <w:textAlignment w:val="auto"/>
        <w:rPr>
          <w:rFonts w:hint="eastAsia"/>
          <w:snapToGrid w:val="0"/>
          <w:szCs w:val="24"/>
          <w:lang w:val="en-US"/>
        </w:rPr>
      </w:pPr>
      <w:r>
        <w:rPr>
          <w:rFonts w:hint="eastAsia" w:ascii="宋体" w:hAnsi="宋体" w:eastAsia="宋体" w:cstheme="minorBidi"/>
          <w:iCs/>
          <w:snapToGrid w:val="0"/>
          <w:color w:val="auto"/>
          <w:kern w:val="2"/>
          <w:sz w:val="24"/>
          <w:szCs w:val="24"/>
          <w:shd w:val="clear" w:fill="FFFFFF" w:themeFill="background1"/>
          <w:lang w:val="en-US" w:eastAsia="zh-CN" w:bidi="ar-SA"/>
        </w:rPr>
        <w:t>1.</w:t>
      </w:r>
      <w:r>
        <w:rPr>
          <w:snapToGrid w:val="0"/>
          <w:szCs w:val="24"/>
          <w:lang w:val="en-US"/>
        </w:rPr>
        <w:t>系统支持校级、职能部门、院级多级使用权限体系，为不同层级用户分别配置独立账号，根据权限等级开放查看权限，严格划分数据访问边界，保障数据安全合规。</w:t>
      </w:r>
    </w:p>
    <w:p>
      <w:pPr>
        <w:pStyle w:val="37"/>
        <w:keepNext w:val="0"/>
        <w:keepLines w:val="0"/>
        <w:pageBreakBefore w:val="0"/>
        <w:widowControl w:val="0"/>
        <w:numPr>
          <w:ilvl w:val="0"/>
          <w:numId w:val="0"/>
        </w:numPr>
        <w:kinsoku/>
        <w:wordWrap w:val="0"/>
        <w:overflowPunct/>
        <w:topLinePunct w:val="0"/>
        <w:autoSpaceDE/>
        <w:autoSpaceDN/>
        <w:bidi w:val="0"/>
        <w:adjustRightInd/>
        <w:snapToGrid/>
        <w:ind w:left="0" w:leftChars="0" w:firstLine="480" w:firstLineChars="200"/>
        <w:textAlignment w:val="auto"/>
        <w:rPr>
          <w:rFonts w:hint="eastAsia"/>
          <w:snapToGrid w:val="0"/>
          <w:szCs w:val="24"/>
          <w:lang w:val="en-US"/>
        </w:rPr>
      </w:pPr>
      <w:r>
        <w:rPr>
          <w:rFonts w:hint="eastAsia" w:ascii="宋体" w:hAnsi="宋体" w:eastAsia="宋体" w:cstheme="minorBidi"/>
          <w:iCs/>
          <w:snapToGrid w:val="0"/>
          <w:color w:val="auto"/>
          <w:kern w:val="2"/>
          <w:sz w:val="24"/>
          <w:szCs w:val="24"/>
          <w:shd w:val="clear" w:fill="FFFFFF" w:themeFill="background1"/>
          <w:lang w:val="en-US" w:eastAsia="zh-CN" w:bidi="ar-SA"/>
        </w:rPr>
        <w:t>2.</w:t>
      </w:r>
      <w:r>
        <w:rPr>
          <w:snapToGrid w:val="0"/>
          <w:szCs w:val="24"/>
          <w:lang w:val="en-US"/>
        </w:rPr>
        <w:t>校级权限：可查看全校、各学院、各专业全量人才培养数据，拥有指标查询、报告下载等全部操作权限，适配校领导及核心职能部门（教务处、质量监测处等）的决策需求。</w:t>
      </w:r>
    </w:p>
    <w:p>
      <w:pPr>
        <w:pStyle w:val="37"/>
        <w:keepNext w:val="0"/>
        <w:keepLines w:val="0"/>
        <w:pageBreakBefore w:val="0"/>
        <w:widowControl w:val="0"/>
        <w:numPr>
          <w:ilvl w:val="0"/>
          <w:numId w:val="0"/>
        </w:numPr>
        <w:kinsoku/>
        <w:wordWrap w:val="0"/>
        <w:overflowPunct/>
        <w:topLinePunct w:val="0"/>
        <w:autoSpaceDE/>
        <w:autoSpaceDN/>
        <w:bidi w:val="0"/>
        <w:adjustRightInd/>
        <w:snapToGrid/>
        <w:ind w:left="0" w:leftChars="0" w:firstLine="480" w:firstLineChars="200"/>
        <w:textAlignment w:val="auto"/>
        <w:rPr>
          <w:rFonts w:hint="eastAsia"/>
          <w:snapToGrid w:val="0"/>
          <w:szCs w:val="24"/>
          <w:lang w:val="en-US"/>
        </w:rPr>
      </w:pPr>
      <w:r>
        <w:rPr>
          <w:rFonts w:hint="eastAsia" w:ascii="宋体" w:hAnsi="宋体" w:eastAsia="宋体" w:cstheme="minorBidi"/>
          <w:iCs/>
          <w:snapToGrid w:val="0"/>
          <w:color w:val="auto"/>
          <w:kern w:val="2"/>
          <w:sz w:val="24"/>
          <w:szCs w:val="24"/>
          <w:shd w:val="clear" w:fill="FFFFFF" w:themeFill="background1"/>
          <w:lang w:val="en-US" w:eastAsia="zh-CN" w:bidi="ar-SA"/>
        </w:rPr>
        <w:t>3.</w:t>
      </w:r>
      <w:r>
        <w:rPr>
          <w:snapToGrid w:val="0"/>
          <w:szCs w:val="24"/>
          <w:lang w:val="en-US"/>
        </w:rPr>
        <w:t>院级权限：可查看本学院及下属所有专业数据，满足院系层级质量监测与管理需求，无跨学院数据访问权限。</w:t>
      </w:r>
    </w:p>
    <w:p>
      <w:pPr>
        <w:pStyle w:val="37"/>
        <w:rPr>
          <w:rFonts w:hint="eastAsia"/>
          <w:snapToGrid w:val="0"/>
          <w:szCs w:val="24"/>
          <w:lang w:val="en-US"/>
        </w:rPr>
      </w:pPr>
      <w:r>
        <w:rPr>
          <w:b/>
          <w:snapToGrid w:val="0"/>
          <w:szCs w:val="24"/>
          <w:lang w:val="en-US"/>
        </w:rPr>
        <w:t>3.2 指标查询功能</w:t>
      </w:r>
    </w:p>
    <w:p>
      <w:pPr>
        <w:pStyle w:val="37"/>
        <w:keepNext w:val="0"/>
        <w:keepLines w:val="0"/>
        <w:pageBreakBefore w:val="0"/>
        <w:widowControl w:val="0"/>
        <w:numPr>
          <w:ilvl w:val="0"/>
          <w:numId w:val="0"/>
        </w:numPr>
        <w:kinsoku/>
        <w:wordWrap w:val="0"/>
        <w:overflowPunct/>
        <w:topLinePunct w:val="0"/>
        <w:autoSpaceDE/>
        <w:autoSpaceDN/>
        <w:bidi w:val="0"/>
        <w:adjustRightInd/>
        <w:snapToGrid/>
        <w:ind w:left="0" w:leftChars="0" w:firstLine="480" w:firstLineChars="200"/>
        <w:textAlignment w:val="auto"/>
        <w:rPr>
          <w:rFonts w:hint="eastAsia"/>
          <w:snapToGrid w:val="0"/>
          <w:szCs w:val="24"/>
          <w:lang w:val="en-US"/>
        </w:rPr>
      </w:pPr>
      <w:r>
        <w:rPr>
          <w:rFonts w:hint="eastAsia" w:ascii="宋体" w:hAnsi="宋体" w:eastAsia="宋体" w:cstheme="minorBidi"/>
          <w:iCs/>
          <w:snapToGrid w:val="0"/>
          <w:color w:val="auto"/>
          <w:kern w:val="2"/>
          <w:sz w:val="24"/>
          <w:szCs w:val="24"/>
          <w:shd w:val="clear" w:fill="FFFFFF" w:themeFill="background1"/>
          <w:lang w:val="en-US" w:eastAsia="zh-CN" w:bidi="ar-SA"/>
        </w:rPr>
        <w:t>1.</w:t>
      </w:r>
      <w:r>
        <w:rPr>
          <w:snapToGrid w:val="0"/>
          <w:szCs w:val="24"/>
          <w:lang w:val="en-US"/>
        </w:rPr>
        <w:t>数据精准检索：系统支持通过指标名称、关键词等进行模糊检索，快速定位目标指标，提升查询效率。</w:t>
      </w:r>
    </w:p>
    <w:p>
      <w:pPr>
        <w:pStyle w:val="37"/>
        <w:keepNext w:val="0"/>
        <w:keepLines w:val="0"/>
        <w:pageBreakBefore w:val="0"/>
        <w:widowControl w:val="0"/>
        <w:numPr>
          <w:ilvl w:val="0"/>
          <w:numId w:val="0"/>
        </w:numPr>
        <w:kinsoku/>
        <w:wordWrap w:val="0"/>
        <w:overflowPunct/>
        <w:topLinePunct w:val="0"/>
        <w:autoSpaceDE/>
        <w:autoSpaceDN/>
        <w:bidi w:val="0"/>
        <w:adjustRightInd/>
        <w:snapToGrid/>
        <w:ind w:left="0" w:leftChars="0" w:firstLine="480" w:firstLineChars="200"/>
        <w:textAlignment w:val="auto"/>
        <w:rPr>
          <w:rFonts w:hint="eastAsia"/>
          <w:snapToGrid w:val="0"/>
          <w:szCs w:val="24"/>
          <w:lang w:val="en-US"/>
        </w:rPr>
      </w:pPr>
      <w:r>
        <w:rPr>
          <w:rFonts w:hint="eastAsia" w:ascii="宋体" w:hAnsi="宋体" w:eastAsia="宋体" w:cstheme="minorBidi"/>
          <w:iCs/>
          <w:snapToGrid w:val="0"/>
          <w:color w:val="auto"/>
          <w:kern w:val="2"/>
          <w:sz w:val="24"/>
          <w:szCs w:val="24"/>
          <w:shd w:val="clear" w:fill="FFFFFF" w:themeFill="background1"/>
          <w:lang w:val="en-US" w:eastAsia="zh-CN" w:bidi="ar-SA"/>
        </w:rPr>
        <w:t>2.</w:t>
      </w:r>
      <w:r>
        <w:rPr>
          <w:snapToGrid w:val="0"/>
          <w:szCs w:val="24"/>
          <w:lang w:val="en-US"/>
        </w:rPr>
        <w:t>数据展示：可直观展示核心指标（如毕业去向落实率、教学满意度、专业相关度等），系统支持趋势曲线、柱状图等可视化展示形式。</w:t>
      </w:r>
    </w:p>
    <w:p>
      <w:pPr>
        <w:pStyle w:val="37"/>
        <w:keepNext w:val="0"/>
        <w:keepLines w:val="0"/>
        <w:pageBreakBefore w:val="0"/>
        <w:widowControl w:val="0"/>
        <w:numPr>
          <w:ilvl w:val="0"/>
          <w:numId w:val="0"/>
        </w:numPr>
        <w:kinsoku/>
        <w:wordWrap w:val="0"/>
        <w:overflowPunct/>
        <w:topLinePunct w:val="0"/>
        <w:autoSpaceDE/>
        <w:autoSpaceDN/>
        <w:bidi w:val="0"/>
        <w:adjustRightInd/>
        <w:snapToGrid/>
        <w:ind w:left="0" w:leftChars="0" w:firstLine="480" w:firstLineChars="200"/>
        <w:textAlignment w:val="auto"/>
        <w:rPr>
          <w:rFonts w:hint="eastAsia"/>
          <w:snapToGrid w:val="0"/>
          <w:szCs w:val="24"/>
          <w:lang w:val="en-US"/>
        </w:rPr>
      </w:pPr>
      <w:r>
        <w:rPr>
          <w:rFonts w:hint="eastAsia" w:ascii="宋体" w:hAnsi="宋体" w:eastAsia="宋体" w:cstheme="minorBidi"/>
          <w:iCs/>
          <w:snapToGrid w:val="0"/>
          <w:color w:val="auto"/>
          <w:kern w:val="2"/>
          <w:sz w:val="24"/>
          <w:szCs w:val="24"/>
          <w:shd w:val="clear" w:fill="FFFFFF" w:themeFill="background1"/>
          <w:lang w:val="en-US" w:eastAsia="zh-CN" w:bidi="ar-SA"/>
        </w:rPr>
        <w:t>3.</w:t>
      </w:r>
      <w:r>
        <w:rPr>
          <w:snapToGrid w:val="0"/>
          <w:szCs w:val="24"/>
          <w:lang w:val="en-US"/>
        </w:rPr>
        <w:t>数据分类：系统支持所有数据按“招培就”“培养目标达成”等预设体系进行分类展示，分类标签清晰展示在指标查询界面。</w:t>
      </w:r>
    </w:p>
    <w:p>
      <w:pPr>
        <w:pStyle w:val="37"/>
        <w:keepNext w:val="0"/>
        <w:keepLines w:val="0"/>
        <w:pageBreakBefore w:val="0"/>
        <w:widowControl w:val="0"/>
        <w:numPr>
          <w:ilvl w:val="0"/>
          <w:numId w:val="0"/>
        </w:numPr>
        <w:kinsoku/>
        <w:wordWrap w:val="0"/>
        <w:overflowPunct/>
        <w:topLinePunct w:val="0"/>
        <w:autoSpaceDE/>
        <w:autoSpaceDN/>
        <w:bidi w:val="0"/>
        <w:adjustRightInd/>
        <w:snapToGrid/>
        <w:ind w:left="0" w:leftChars="0" w:firstLine="480" w:firstLineChars="200"/>
        <w:textAlignment w:val="auto"/>
        <w:rPr>
          <w:rFonts w:hint="eastAsia"/>
          <w:snapToGrid w:val="0"/>
          <w:szCs w:val="24"/>
          <w:lang w:val="en-US"/>
        </w:rPr>
      </w:pPr>
      <w:r>
        <w:rPr>
          <w:rFonts w:hint="eastAsia" w:ascii="宋体" w:hAnsi="宋体" w:eastAsia="宋体" w:cstheme="minorBidi"/>
          <w:iCs/>
          <w:snapToGrid w:val="0"/>
          <w:color w:val="auto"/>
          <w:kern w:val="2"/>
          <w:sz w:val="24"/>
          <w:szCs w:val="24"/>
          <w:shd w:val="clear" w:fill="FFFFFF" w:themeFill="background1"/>
          <w:lang w:val="en-US" w:eastAsia="zh-CN" w:bidi="ar-SA"/>
        </w:rPr>
        <w:t>4.</w:t>
      </w:r>
      <w:r>
        <w:rPr>
          <w:snapToGrid w:val="0"/>
          <w:szCs w:val="24"/>
          <w:lang w:val="en-US"/>
        </w:rPr>
        <w:t>指标内涵和解释：每个指标均配备详细的内涵界定与含义说明，明确指标的统计意义，帮助不同层级用户快速理解指标核心价值，避免因认知偏差影响分析判断。</w:t>
      </w:r>
    </w:p>
    <w:p>
      <w:pPr>
        <w:pStyle w:val="37"/>
        <w:keepNext w:val="0"/>
        <w:keepLines w:val="0"/>
        <w:pageBreakBefore w:val="0"/>
        <w:widowControl w:val="0"/>
        <w:numPr>
          <w:ilvl w:val="0"/>
          <w:numId w:val="0"/>
        </w:numPr>
        <w:kinsoku/>
        <w:wordWrap w:val="0"/>
        <w:overflowPunct/>
        <w:topLinePunct w:val="0"/>
        <w:autoSpaceDE/>
        <w:autoSpaceDN/>
        <w:bidi w:val="0"/>
        <w:adjustRightInd/>
        <w:snapToGrid/>
        <w:ind w:left="0" w:leftChars="0" w:firstLine="480" w:firstLineChars="200"/>
        <w:textAlignment w:val="auto"/>
        <w:rPr>
          <w:rFonts w:hint="eastAsia"/>
          <w:snapToGrid w:val="0"/>
          <w:szCs w:val="24"/>
          <w:lang w:val="en-US"/>
        </w:rPr>
      </w:pPr>
      <w:r>
        <w:rPr>
          <w:rFonts w:hint="eastAsia" w:ascii="宋体" w:hAnsi="宋体" w:eastAsia="宋体" w:cstheme="minorBidi"/>
          <w:iCs/>
          <w:snapToGrid w:val="0"/>
          <w:color w:val="auto"/>
          <w:kern w:val="2"/>
          <w:sz w:val="24"/>
          <w:szCs w:val="24"/>
          <w:shd w:val="clear" w:fill="FFFFFF" w:themeFill="background1"/>
          <w:lang w:val="en-US" w:eastAsia="zh-CN" w:bidi="ar-SA"/>
        </w:rPr>
        <w:t>5.</w:t>
      </w:r>
      <w:r>
        <w:rPr>
          <w:snapToGrid w:val="0"/>
          <w:szCs w:val="24"/>
          <w:lang w:val="en-US"/>
        </w:rPr>
        <w:t>★数据下钻：系统支持人才培养核心指标从校级到院级再到专业级的逐级下钻，可穿透数据层级直抵核心维度，帮助管理者精准定位各环节的薄弱点，快速识别异常数据，为教学质量提升、资源优化配置提供科学的数据支撑。</w:t>
      </w:r>
    </w:p>
    <w:p>
      <w:pPr>
        <w:pStyle w:val="37"/>
        <w:keepNext w:val="0"/>
        <w:keepLines w:val="0"/>
        <w:pageBreakBefore w:val="0"/>
        <w:widowControl w:val="0"/>
        <w:numPr>
          <w:ilvl w:val="0"/>
          <w:numId w:val="0"/>
        </w:numPr>
        <w:kinsoku/>
        <w:wordWrap w:val="0"/>
        <w:overflowPunct/>
        <w:topLinePunct w:val="0"/>
        <w:autoSpaceDE/>
        <w:autoSpaceDN/>
        <w:bidi w:val="0"/>
        <w:adjustRightInd/>
        <w:snapToGrid/>
        <w:ind w:left="0" w:leftChars="0" w:firstLine="480" w:firstLineChars="200"/>
        <w:textAlignment w:val="auto"/>
        <w:rPr>
          <w:rFonts w:hint="eastAsia"/>
          <w:snapToGrid w:val="0"/>
          <w:szCs w:val="24"/>
          <w:lang w:val="en-US"/>
        </w:rPr>
      </w:pPr>
      <w:r>
        <w:rPr>
          <w:rFonts w:hint="eastAsia" w:ascii="宋体" w:hAnsi="宋体" w:eastAsia="宋体" w:cstheme="minorBidi"/>
          <w:iCs/>
          <w:snapToGrid w:val="0"/>
          <w:color w:val="auto"/>
          <w:kern w:val="2"/>
          <w:sz w:val="24"/>
          <w:szCs w:val="24"/>
          <w:shd w:val="clear" w:fill="FFFFFF" w:themeFill="background1"/>
          <w:lang w:val="en-US" w:eastAsia="zh-CN" w:bidi="ar-SA"/>
        </w:rPr>
        <w:t>6.</w:t>
      </w:r>
      <w:r>
        <w:rPr>
          <w:snapToGrid w:val="0"/>
          <w:szCs w:val="24"/>
          <w:lang w:val="en-US"/>
        </w:rPr>
        <w:t>★多届次数据联合分析：系统支持用户自定义选取多届次数据进行比对，可直观展示核心指标的趋势变化。</w:t>
      </w:r>
    </w:p>
    <w:p>
      <w:pPr>
        <w:pStyle w:val="37"/>
        <w:keepNext w:val="0"/>
        <w:keepLines w:val="0"/>
        <w:pageBreakBefore w:val="0"/>
        <w:widowControl w:val="0"/>
        <w:numPr>
          <w:ilvl w:val="0"/>
          <w:numId w:val="0"/>
        </w:numPr>
        <w:kinsoku/>
        <w:wordWrap w:val="0"/>
        <w:overflowPunct/>
        <w:topLinePunct w:val="0"/>
        <w:autoSpaceDE/>
        <w:autoSpaceDN/>
        <w:bidi w:val="0"/>
        <w:adjustRightInd/>
        <w:snapToGrid/>
        <w:ind w:left="0" w:leftChars="0" w:firstLine="480" w:firstLineChars="200"/>
        <w:textAlignment w:val="auto"/>
        <w:rPr>
          <w:rFonts w:hint="eastAsia"/>
          <w:snapToGrid w:val="0"/>
          <w:szCs w:val="24"/>
          <w:lang w:val="en-US"/>
        </w:rPr>
      </w:pPr>
      <w:r>
        <w:rPr>
          <w:rFonts w:hint="eastAsia" w:ascii="宋体" w:hAnsi="宋体" w:eastAsia="宋体" w:cstheme="minorBidi"/>
          <w:iCs/>
          <w:snapToGrid w:val="0"/>
          <w:color w:val="auto"/>
          <w:kern w:val="2"/>
          <w:sz w:val="24"/>
          <w:szCs w:val="24"/>
          <w:shd w:val="clear" w:fill="FFFFFF" w:themeFill="background1"/>
          <w:lang w:val="en-US" w:eastAsia="zh-CN" w:bidi="ar-SA"/>
        </w:rPr>
        <w:t>7.</w:t>
      </w:r>
      <w:r>
        <w:rPr>
          <w:snapToGrid w:val="0"/>
          <w:szCs w:val="24"/>
          <w:lang w:val="en-US"/>
        </w:rPr>
        <w:t>★数据对比功能：系统支持多维度参照系横向对比，校级数据可与同类院校均值进行对标，直观呈现学校在行业内的定位；院级数据可与本校整体均值对比，快速识别学院在全校范围内的优势与差距；专业数据可与本院平均水平对比，精准定位专业建设的薄弱环节。</w:t>
      </w:r>
    </w:p>
    <w:p>
      <w:pPr>
        <w:pStyle w:val="37"/>
        <w:keepNext w:val="0"/>
        <w:keepLines w:val="0"/>
        <w:pageBreakBefore w:val="0"/>
        <w:widowControl w:val="0"/>
        <w:kinsoku/>
        <w:wordWrap w:val="0"/>
        <w:overflowPunct/>
        <w:topLinePunct w:val="0"/>
        <w:autoSpaceDE/>
        <w:autoSpaceDN/>
        <w:bidi w:val="0"/>
        <w:adjustRightInd/>
        <w:snapToGrid/>
        <w:ind w:firstLine="482" w:firstLineChars="200"/>
        <w:textAlignment w:val="auto"/>
        <w:rPr>
          <w:rFonts w:hint="eastAsia"/>
          <w:snapToGrid w:val="0"/>
          <w:szCs w:val="24"/>
          <w:lang w:val="en-US"/>
        </w:rPr>
      </w:pPr>
      <w:r>
        <w:rPr>
          <w:b/>
          <w:snapToGrid w:val="0"/>
          <w:szCs w:val="24"/>
          <w:lang w:val="en-US"/>
        </w:rPr>
        <w:t>3.3 报告下载功能</w:t>
      </w:r>
    </w:p>
    <w:p>
      <w:pPr>
        <w:pStyle w:val="37"/>
        <w:keepNext w:val="0"/>
        <w:keepLines w:val="0"/>
        <w:pageBreakBefore w:val="0"/>
        <w:widowControl w:val="0"/>
        <w:numPr>
          <w:ilvl w:val="0"/>
          <w:numId w:val="0"/>
        </w:numPr>
        <w:kinsoku/>
        <w:wordWrap w:val="0"/>
        <w:overflowPunct/>
        <w:topLinePunct w:val="0"/>
        <w:autoSpaceDE/>
        <w:autoSpaceDN/>
        <w:bidi w:val="0"/>
        <w:adjustRightInd/>
        <w:snapToGrid/>
        <w:ind w:left="0" w:leftChars="0" w:firstLine="480" w:firstLineChars="200"/>
        <w:textAlignment w:val="auto"/>
        <w:rPr>
          <w:rFonts w:hint="eastAsia"/>
          <w:snapToGrid w:val="0"/>
          <w:szCs w:val="24"/>
          <w:lang w:val="en-US"/>
        </w:rPr>
      </w:pPr>
      <w:r>
        <w:rPr>
          <w:rFonts w:hint="eastAsia" w:ascii="宋体" w:hAnsi="宋体" w:eastAsia="宋体" w:cstheme="minorBidi"/>
          <w:iCs/>
          <w:snapToGrid w:val="0"/>
          <w:color w:val="auto"/>
          <w:kern w:val="2"/>
          <w:sz w:val="24"/>
          <w:szCs w:val="24"/>
          <w:shd w:val="clear" w:fill="FFFFFF" w:themeFill="background1"/>
          <w:lang w:val="en-US" w:eastAsia="zh-CN" w:bidi="ar-SA"/>
        </w:rPr>
        <w:t>1.</w:t>
      </w:r>
      <w:r>
        <w:rPr>
          <w:snapToGrid w:val="0"/>
          <w:szCs w:val="24"/>
          <w:lang w:val="en-US"/>
        </w:rPr>
        <w:t>提供多版本报告下载入口：系统支持用户在线下载 Word、PDF 版本报告文档。</w:t>
      </w:r>
    </w:p>
    <w:p>
      <w:pPr>
        <w:pStyle w:val="37"/>
        <w:keepNext w:val="0"/>
        <w:keepLines w:val="0"/>
        <w:pageBreakBefore w:val="0"/>
        <w:widowControl w:val="0"/>
        <w:numPr>
          <w:ilvl w:val="0"/>
          <w:numId w:val="0"/>
        </w:numPr>
        <w:kinsoku/>
        <w:wordWrap w:val="0"/>
        <w:overflowPunct/>
        <w:topLinePunct w:val="0"/>
        <w:autoSpaceDE/>
        <w:autoSpaceDN/>
        <w:bidi w:val="0"/>
        <w:adjustRightInd/>
        <w:snapToGrid/>
        <w:ind w:left="0" w:leftChars="0" w:firstLine="480" w:firstLineChars="200"/>
        <w:textAlignment w:val="auto"/>
        <w:rPr>
          <w:rFonts w:hint="eastAsia"/>
          <w:snapToGrid w:val="0"/>
          <w:szCs w:val="24"/>
          <w:lang w:val="en-US"/>
        </w:rPr>
      </w:pPr>
      <w:r>
        <w:rPr>
          <w:rFonts w:hint="eastAsia" w:ascii="宋体" w:hAnsi="宋体" w:eastAsia="宋体" w:cstheme="minorBidi"/>
          <w:iCs/>
          <w:snapToGrid w:val="0"/>
          <w:color w:val="auto"/>
          <w:kern w:val="2"/>
          <w:sz w:val="24"/>
          <w:szCs w:val="24"/>
          <w:shd w:val="clear" w:fill="FFFFFF" w:themeFill="background1"/>
          <w:lang w:val="en-US" w:eastAsia="zh-CN" w:bidi="ar-SA"/>
        </w:rPr>
        <w:t>2.</w:t>
      </w:r>
      <w:r>
        <w:rPr>
          <w:snapToGrid w:val="0"/>
          <w:szCs w:val="24"/>
          <w:lang w:val="en-US"/>
        </w:rPr>
        <w:t>权限分级分发：系统区分校级、院级等不同权限管理报告下载范围，用户仅能下载自身权限对应的报告。</w:t>
      </w:r>
    </w:p>
    <w:p>
      <w:pPr>
        <w:pStyle w:val="37"/>
        <w:keepNext w:val="0"/>
        <w:keepLines w:val="0"/>
        <w:pageBreakBefore w:val="0"/>
        <w:widowControl w:val="0"/>
        <w:numPr>
          <w:ilvl w:val="0"/>
          <w:numId w:val="0"/>
        </w:numPr>
        <w:kinsoku/>
        <w:overflowPunct/>
        <w:topLinePunct w:val="0"/>
        <w:autoSpaceDE/>
        <w:autoSpaceDN/>
        <w:bidi w:val="0"/>
        <w:adjustRightInd/>
        <w:ind w:firstLine="480" w:firstLineChars="0"/>
        <w:textAlignment w:val="auto"/>
        <w:outlineLvl w:val="9"/>
        <w:rPr>
          <w:rFonts w:hint="eastAsia"/>
          <w:b/>
          <w:bCs/>
          <w:snapToGrid w:val="0"/>
          <w:color w:val="auto"/>
          <w:sz w:val="24"/>
          <w:szCs w:val="24"/>
          <w:highlight w:val="none"/>
          <w:lang w:val="en-US" w:eastAsia="zh-CN"/>
        </w:rPr>
      </w:pPr>
    </w:p>
    <w:p>
      <w:pPr>
        <w:pStyle w:val="37"/>
        <w:keepNext w:val="0"/>
        <w:keepLines w:val="0"/>
        <w:pageBreakBefore w:val="0"/>
        <w:widowControl w:val="0"/>
        <w:numPr>
          <w:ilvl w:val="0"/>
          <w:numId w:val="0"/>
        </w:numPr>
        <w:kinsoku/>
        <w:overflowPunct/>
        <w:topLinePunct w:val="0"/>
        <w:autoSpaceDE/>
        <w:autoSpaceDN/>
        <w:bidi w:val="0"/>
        <w:adjustRightInd/>
        <w:ind w:firstLine="480" w:firstLineChars="0"/>
        <w:textAlignment w:val="auto"/>
        <w:outlineLvl w:val="1"/>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三、项目交付成果：</w:t>
      </w:r>
    </w:p>
    <w:p>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1.《应届毕业生培养质量评价跟踪报告》（2026-2029）每年一份</w:t>
      </w:r>
    </w:p>
    <w:p>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2.《应届毕业生培养质量评价跟踪二级学院报告》（2026-2029）每年一份</w:t>
      </w:r>
    </w:p>
    <w:p>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3.《就业质量年度报告赠送版》（2026-2029）每年一份</w:t>
      </w:r>
    </w:p>
    <w:p>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4.《高水平专业群建设满意度报告》（2025-2029）每年一份</w:t>
      </w:r>
    </w:p>
    <w:p>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5.《原始数据库》（2025-2029）每年一份</w:t>
      </w:r>
    </w:p>
    <w:p>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6.项目进度查询系统（2025-2029）</w:t>
      </w:r>
    </w:p>
    <w:p>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注：（报告具体内容以当年执行内容为准）</w:t>
      </w:r>
    </w:p>
    <w:p>
      <w:pPr>
        <w:pStyle w:val="37"/>
        <w:keepNext w:val="0"/>
        <w:keepLines w:val="0"/>
        <w:pageBreakBefore w:val="0"/>
        <w:widowControl w:val="0"/>
        <w:kinsoku/>
        <w:overflowPunct/>
        <w:topLinePunct w:val="0"/>
        <w:autoSpaceDE/>
        <w:autoSpaceDN/>
        <w:bidi w:val="0"/>
        <w:adjustRightInd/>
        <w:textAlignment w:val="auto"/>
        <w:outlineLvl w:val="9"/>
        <w:rPr>
          <w:rFonts w:hint="eastAsia"/>
          <w:b/>
          <w:bCs/>
          <w:snapToGrid w:val="0"/>
          <w:color w:val="auto"/>
          <w:sz w:val="24"/>
          <w:szCs w:val="24"/>
          <w:highlight w:val="none"/>
          <w:lang w:val="en-US" w:eastAsia="zh-CN"/>
        </w:rPr>
      </w:pPr>
    </w:p>
    <w:p>
      <w:pPr>
        <w:pStyle w:val="37"/>
        <w:keepNext w:val="0"/>
        <w:keepLines w:val="0"/>
        <w:pageBreakBefore w:val="0"/>
        <w:widowControl w:val="0"/>
        <w:kinsoku/>
        <w:overflowPunct/>
        <w:topLinePunct w:val="0"/>
        <w:autoSpaceDE/>
        <w:autoSpaceDN/>
        <w:bidi w:val="0"/>
        <w:adjustRightInd/>
        <w:textAlignment w:val="auto"/>
        <w:outlineLvl w:val="1"/>
        <w:rPr>
          <w:rFonts w:hint="eastAsia"/>
          <w:b/>
          <w:bCs/>
          <w:snapToGrid w:val="0"/>
          <w:color w:val="auto"/>
          <w:sz w:val="24"/>
          <w:szCs w:val="24"/>
          <w:highlight w:val="none"/>
          <w:lang w:val="en-US" w:eastAsia="zh-CN"/>
        </w:rPr>
      </w:pPr>
      <w:r>
        <w:rPr>
          <w:rFonts w:hint="eastAsia"/>
          <w:b/>
          <w:bCs/>
          <w:snapToGrid w:val="0"/>
          <w:color w:val="auto"/>
          <w:sz w:val="24"/>
          <w:szCs w:val="24"/>
          <w:highlight w:val="none"/>
          <w:lang w:val="en-US" w:eastAsia="zh-CN"/>
        </w:rPr>
        <w:t>四、商务要求</w:t>
      </w:r>
    </w:p>
    <w:p>
      <w:pPr>
        <w:pStyle w:val="37"/>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交付时间和地点</w:t>
      </w:r>
    </w:p>
    <w:p>
      <w:pPr>
        <w:pStyle w:val="37"/>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交付时间：按年度交付。</w:t>
      </w:r>
    </w:p>
    <w:p>
      <w:pPr>
        <w:pStyle w:val="37"/>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交付地点：新疆交通职业技术大学</w:t>
      </w:r>
    </w:p>
    <w:p>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付款方式</w:t>
      </w:r>
    </w:p>
    <w:p>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（1）合同签署后的十个工作日内，甲方支付50%项目款，即人民币XXX（小写：XXX），乙方需向甲方提供正式发票。</w:t>
      </w:r>
    </w:p>
    <w:p>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（2）在2026年11月前，乙方完成2026年项目交付后的十个工作日内，甲方支付50%的项目款，即人民币XXX（小写：XXX），乙方需向甲方提供正式发票。</w:t>
      </w:r>
    </w:p>
    <w:p>
      <w:pPr>
        <w:pStyle w:val="37"/>
        <w:keepNext w:val="0"/>
        <w:keepLines w:val="0"/>
        <w:pageBreakBefore w:val="0"/>
        <w:widowControl w:val="0"/>
        <w:kinsoku/>
        <w:overflowPunct/>
        <w:topLinePunct w:val="0"/>
        <w:autoSpaceDE/>
        <w:autoSpaceDN/>
        <w:bidi w:val="0"/>
        <w:adjustRightInd/>
        <w:textAlignment w:val="auto"/>
        <w:rPr>
          <w:rFonts w:hint="default"/>
          <w:snapToGrid w:val="0"/>
          <w:color w:val="auto"/>
          <w:sz w:val="24"/>
          <w:szCs w:val="24"/>
          <w:highlight w:val="none"/>
          <w:lang w:val="en-US" w:eastAsia="zh-CN"/>
        </w:rPr>
      </w:pPr>
      <w:r>
        <w:rPr>
          <w:rFonts w:hint="eastAsia"/>
          <w:snapToGrid w:val="0"/>
          <w:color w:val="auto"/>
          <w:sz w:val="24"/>
          <w:szCs w:val="24"/>
          <w:highlight w:val="none"/>
          <w:lang w:val="en-US" w:eastAsia="zh-CN"/>
        </w:rPr>
        <w:t>（3）乙方需缴纳10%项目款作为履约保证金，在服务项目完成全部交付后的十个工作日内，甲方全额退还乙方。</w:t>
      </w:r>
    </w:p>
    <w:p>
      <w:pPr>
        <w:pStyle w:val="37"/>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3.其他要求：乙方应主动为甲方做好项目咨询服务，即乙方也应指定至少一名项目责任人与甲方定向沟通联系，建立与甲方的常态化沟通机制，沟通事项包括但不限于在项目前期与甲方负责人充分沟通并记录甲方对项目的具体需求，设计问卷、指标体系和报告大纲，认真核查甲方提交的毕业生信息，如发现问题则及时要求甲方更正，向甲方出具检查和清理后的毕业生邮箱总数量及覆盖各专业的情况说明，请甲方以Email最终确认无误，开通数据采集平台和项目进度查询系统的使用授权，定期监控数据回收进展。在项目执行过程中，及时响应甲方提出的合理意见和建议，积极协调各方资源，解决项目推进过程中的各类冲突和问题（如项目对接、系统维护、数据保密、进度跟进、报告解读等）。</w:t>
      </w:r>
    </w:p>
    <w:p>
      <w:pPr>
        <w:rPr>
          <w:rFonts w:hint="eastAsia" w:ascii="宋体" w:hAnsi="宋体" w:eastAsia="宋体" w:cs="宋体"/>
          <w:b/>
          <w:bCs/>
          <w:color w:val="auto"/>
          <w:kern w:val="44"/>
          <w:sz w:val="36"/>
          <w:szCs w:val="36"/>
          <w:highlight w:val="none"/>
          <w:lang w:val="en-US" w:eastAsia="zh-CN" w:bidi="ar-SA"/>
        </w:rPr>
      </w:pPr>
      <w:r>
        <w:rPr>
          <w:rFonts w:hint="eastAsia"/>
          <w:snapToGrid w:val="0"/>
          <w:color w:val="auto"/>
          <w:sz w:val="24"/>
          <w:szCs w:val="24"/>
          <w:highlight w:val="none"/>
          <w:lang w:val="en-US" w:eastAsia="zh-CN"/>
        </w:rPr>
        <w:br w:type="page"/>
      </w:r>
      <w:bookmarkEnd w:id="332"/>
      <w:bookmarkEnd w:id="333"/>
      <w:bookmarkStart w:id="334" w:name="_Toc155185895"/>
      <w:bookmarkStart w:id="335" w:name="_Toc12673"/>
      <w:bookmarkStart w:id="336" w:name="_Toc7544"/>
    </w:p>
    <w:p>
      <w:pPr>
        <w:pStyle w:val="2"/>
        <w:keepNext/>
        <w:keepLines/>
        <w:pageBreakBefore w:val="0"/>
        <w:widowControl w:val="0"/>
        <w:numPr>
          <w:ilvl w:val="0"/>
          <w:numId w:val="0"/>
        </w:numPr>
        <w:kinsoku/>
        <w:wordWrap/>
        <w:overflowPunct/>
        <w:topLinePunct w:val="0"/>
        <w:autoSpaceDE/>
        <w:autoSpaceDN/>
        <w:bidi w:val="0"/>
        <w:adjustRightInd/>
        <w:snapToGrid/>
        <w:spacing w:before="100" w:after="60" w:line="360" w:lineRule="auto"/>
        <w:ind w:left="420" w:leftChars="0" w:hanging="420" w:firstLineChars="0"/>
        <w:textAlignment w:val="auto"/>
        <w:rPr>
          <w:rFonts w:hint="eastAsia" w:ascii="宋体" w:hAnsi="宋体" w:eastAsia="宋体" w:cs="宋体"/>
          <w:b/>
          <w:bCs/>
          <w:color w:val="auto"/>
          <w:kern w:val="44"/>
          <w:sz w:val="32"/>
          <w:szCs w:val="32"/>
          <w:highlight w:val="none"/>
          <w:lang w:val="en-US" w:eastAsia="zh-CN" w:bidi="ar-SA"/>
        </w:rPr>
      </w:pPr>
      <w:r>
        <w:rPr>
          <w:rFonts w:hint="eastAsia" w:ascii="宋体" w:hAnsi="宋体" w:eastAsia="宋体" w:cs="宋体"/>
          <w:b/>
          <w:bCs/>
          <w:color w:val="auto"/>
          <w:kern w:val="44"/>
          <w:sz w:val="32"/>
          <w:szCs w:val="32"/>
          <w:highlight w:val="none"/>
          <w:lang w:val="en-US" w:eastAsia="zh-CN" w:bidi="ar-SA"/>
        </w:rPr>
        <w:t>第四章 资格审查</w:t>
      </w:r>
      <w:bookmarkEnd w:id="334"/>
      <w:bookmarkEnd w:id="335"/>
      <w:bookmarkEnd w:id="336"/>
    </w:p>
    <w:p>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337" w:name="_Toc20891"/>
      <w:bookmarkStart w:id="338" w:name="_Toc26947"/>
      <w:bookmarkStart w:id="339" w:name="_Toc23139"/>
      <w:r>
        <w:rPr>
          <w:rFonts w:hint="eastAsia"/>
          <w:color w:val="auto"/>
          <w:sz w:val="28"/>
          <w:szCs w:val="28"/>
          <w:highlight w:val="none"/>
          <w:lang w:val="en-US" w:eastAsia="zh-CN"/>
        </w:rPr>
        <w:t>一、资格审查程序</w:t>
      </w:r>
      <w:bookmarkEnd w:id="337"/>
      <w:bookmarkEnd w:id="338"/>
      <w:bookmarkEnd w:id="339"/>
      <w:r>
        <w:rPr>
          <w:rFonts w:hint="eastAsia"/>
          <w:color w:val="auto"/>
          <w:sz w:val="28"/>
          <w:szCs w:val="28"/>
          <w:highlight w:val="none"/>
          <w:lang w:val="en-US" w:eastAsia="zh-CN"/>
        </w:rPr>
        <w:t xml:space="preserve"> </w:t>
      </w:r>
    </w:p>
    <w:p>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1 开标结束后，采购人或采购代理机构将根据《资格审查要求》中的规定，对投标人进行资格审查，并形成资格审查结果。</w:t>
      </w:r>
    </w:p>
    <w:p>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default"/>
          <w:color w:val="auto"/>
          <w:highlight w:val="none"/>
          <w:lang w:val="en-US" w:eastAsia="zh-CN"/>
        </w:rPr>
        <w:t xml:space="preserve">2 </w:t>
      </w:r>
      <w:r>
        <w:rPr>
          <w:rFonts w:hint="eastAsia"/>
          <w:color w:val="auto"/>
          <w:highlight w:val="none"/>
          <w:lang w:val="en-US" w:eastAsia="zh-CN"/>
        </w:rPr>
        <w:t>投标人《资格证明文件》有任何一项不符合《资格审查要求》的，资格审查不合格，其</w:t>
      </w:r>
      <w:r>
        <w:rPr>
          <w:rFonts w:hint="eastAsia"/>
          <w:b/>
          <w:bCs/>
          <w:color w:val="auto"/>
          <w:highlight w:val="none"/>
          <w:lang w:val="en-US" w:eastAsia="zh-CN"/>
        </w:rPr>
        <w:t>投标无效</w:t>
      </w:r>
      <w:r>
        <w:rPr>
          <w:rFonts w:hint="eastAsia"/>
          <w:color w:val="auto"/>
          <w:highlight w:val="none"/>
          <w:lang w:val="en-US" w:eastAsia="zh-CN"/>
        </w:rPr>
        <w:t>。</w:t>
      </w:r>
    </w:p>
    <w:p>
      <w:pPr>
        <w:pStyle w:val="37"/>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3</w:t>
      </w:r>
      <w:r>
        <w:rPr>
          <w:rFonts w:hint="default"/>
          <w:color w:val="auto"/>
          <w:highlight w:val="none"/>
          <w:lang w:val="en-US" w:eastAsia="zh-CN"/>
        </w:rPr>
        <w:t xml:space="preserve"> </w:t>
      </w:r>
      <w:r>
        <w:rPr>
          <w:rFonts w:hint="eastAsia"/>
          <w:color w:val="auto"/>
          <w:highlight w:val="none"/>
          <w:lang w:val="en-US" w:eastAsia="zh-CN"/>
        </w:rPr>
        <w:t xml:space="preserve">资格审查合格的投标人不足 </w:t>
      </w:r>
      <w:r>
        <w:rPr>
          <w:rFonts w:hint="default"/>
          <w:color w:val="auto"/>
          <w:highlight w:val="none"/>
          <w:lang w:val="en-US" w:eastAsia="zh-CN"/>
        </w:rPr>
        <w:t xml:space="preserve">3 </w:t>
      </w:r>
      <w:r>
        <w:rPr>
          <w:rFonts w:hint="eastAsia"/>
          <w:color w:val="auto"/>
          <w:highlight w:val="none"/>
          <w:lang w:val="en-US" w:eastAsia="zh-CN"/>
        </w:rPr>
        <w:t>家的，不进行评标。</w:t>
      </w:r>
    </w:p>
    <w:p>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340" w:name="_Toc17193"/>
      <w:bookmarkStart w:id="341" w:name="_Toc15886"/>
      <w:bookmarkStart w:id="342" w:name="_Toc22545"/>
      <w:r>
        <w:rPr>
          <w:rFonts w:hint="eastAsia"/>
          <w:color w:val="auto"/>
          <w:sz w:val="28"/>
          <w:szCs w:val="28"/>
          <w:highlight w:val="none"/>
          <w:lang w:val="en-US" w:eastAsia="zh-CN"/>
        </w:rPr>
        <w:t>二、资格审查要求</w:t>
      </w:r>
      <w:bookmarkEnd w:id="340"/>
      <w:bookmarkEnd w:id="341"/>
      <w:bookmarkEnd w:id="342"/>
      <w:r>
        <w:rPr>
          <w:rFonts w:hint="eastAsia"/>
          <w:color w:val="auto"/>
          <w:sz w:val="28"/>
          <w:szCs w:val="28"/>
          <w:highlight w:val="none"/>
          <w:lang w:val="en-US" w:eastAsia="zh-CN"/>
        </w:rPr>
        <w:t xml:space="preserve"> </w:t>
      </w:r>
    </w:p>
    <w:tbl>
      <w:tblPr>
        <w:tblStyle w:val="29"/>
        <w:tblW w:w="54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68"/>
        <w:gridCol w:w="1927"/>
        <w:gridCol w:w="5709"/>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25" w:type="pct"/>
            <w:shd w:val="clear" w:color="auto" w:fill="D8D8D8" w:themeFill="background1" w:themeFillShade="D9"/>
            <w:vAlign w:val="center"/>
          </w:tcPr>
          <w:p>
            <w:pPr>
              <w:pStyle w:val="4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44" w:type="pct"/>
            <w:shd w:val="clear" w:color="auto" w:fill="D8D8D8" w:themeFill="background1" w:themeFillShade="D9"/>
            <w:vAlign w:val="center"/>
          </w:tcPr>
          <w:p>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2797" w:type="pct"/>
            <w:shd w:val="clear" w:color="auto" w:fill="D8D8D8" w:themeFill="background1" w:themeFillShade="D9"/>
            <w:vAlign w:val="center"/>
          </w:tcPr>
          <w:p>
            <w:pPr>
              <w:pStyle w:val="49"/>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832" w:type="pct"/>
            <w:shd w:val="clear" w:color="auto" w:fill="D8D8D8" w:themeFill="background1" w:themeFillShade="D9"/>
            <w:vAlign w:val="center"/>
          </w:tcPr>
          <w:p>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48" w:hRule="atLeast"/>
          <w:jc w:val="center"/>
        </w:trPr>
        <w:tc>
          <w:tcPr>
            <w:tcW w:w="425" w:type="pct"/>
            <w:shd w:val="clear" w:color="auto" w:fill="FFFFFF" w:themeFill="background1"/>
            <w:vAlign w:val="center"/>
          </w:tcPr>
          <w:p>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944" w:type="pct"/>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满足《政府采购 </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法》第二十二条 </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规定</w:t>
            </w:r>
          </w:p>
        </w:tc>
        <w:tc>
          <w:tcPr>
            <w:tcW w:w="2797" w:type="pct"/>
            <w:shd w:val="clear" w:color="auto" w:fill="FFFFFF" w:themeFill="background1"/>
            <w:vAlign w:val="center"/>
          </w:tcPr>
          <w:p>
            <w:pPr>
              <w:pStyle w:val="4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具体规定见“第一章 招标公告”</w:t>
            </w:r>
          </w:p>
        </w:tc>
        <w:tc>
          <w:tcPr>
            <w:tcW w:w="832" w:type="pct"/>
            <w:shd w:val="clear" w:color="auto" w:fill="FFFFFF" w:themeFill="background1"/>
            <w:vAlign w:val="center"/>
          </w:tcPr>
          <w:p>
            <w:pPr>
              <w:pStyle w:val="49"/>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536" w:hRule="atLeast"/>
          <w:jc w:val="center"/>
        </w:trPr>
        <w:tc>
          <w:tcPr>
            <w:tcW w:w="425" w:type="pct"/>
            <w:shd w:val="clear" w:color="auto" w:fill="FFFFFF" w:themeFill="background1"/>
            <w:vAlign w:val="center"/>
          </w:tcPr>
          <w:p>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w:t>
            </w:r>
          </w:p>
        </w:tc>
        <w:tc>
          <w:tcPr>
            <w:tcW w:w="944" w:type="pct"/>
            <w:shd w:val="clear" w:color="auto" w:fill="FFFFFF" w:themeFill="background1"/>
            <w:vAlign w:val="center"/>
          </w:tcPr>
          <w:p>
            <w:pPr>
              <w:pStyle w:val="4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营业执照等证明文件</w:t>
            </w:r>
          </w:p>
        </w:tc>
        <w:tc>
          <w:tcPr>
            <w:tcW w:w="2797" w:type="pct"/>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 xml:space="preserve">投标人为企业（包括合伙企业）的，应提供有效的“营业执照”； </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 xml:space="preserve">投标人为事业单位的，应提供有效的“事业单位法人证书” ； </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投标人是非企业机构的，应提供有效的“执业许可证</w:t>
            </w:r>
            <w:r>
              <w:rPr>
                <w:rFonts w:hint="eastAsia" w:cs="宋体"/>
                <w:color w:val="auto"/>
                <w:spacing w:val="-6"/>
                <w:kern w:val="0"/>
                <w:sz w:val="24"/>
                <w:szCs w:val="24"/>
                <w:highlight w:val="none"/>
                <w:lang w:val="en-US" w:eastAsia="zh-CN" w:bidi="ar"/>
              </w:rPr>
              <w:t>”“</w:t>
            </w:r>
            <w:r>
              <w:rPr>
                <w:rFonts w:hint="eastAsia" w:ascii="宋体" w:hAnsi="宋体" w:eastAsia="宋体" w:cs="宋体"/>
                <w:color w:val="auto"/>
                <w:spacing w:val="-6"/>
                <w:kern w:val="0"/>
                <w:sz w:val="24"/>
                <w:szCs w:val="24"/>
                <w:highlight w:val="none"/>
                <w:lang w:val="en-US" w:eastAsia="zh-CN" w:bidi="ar"/>
              </w:rPr>
              <w:t xml:space="preserve">登记证书”等证明文件； </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 xml:space="preserve">投标人是个体工商户的，应提供有效的“个体工商户营业执照”； </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spacing w:val="-6"/>
                <w:kern w:val="0"/>
                <w:sz w:val="24"/>
                <w:szCs w:val="24"/>
                <w:highlight w:val="none"/>
                <w:lang w:val="en-US" w:eastAsia="zh-CN" w:bidi="ar"/>
              </w:rPr>
              <w:t>投标人是自然人的，应提供有效的自然人身份证明。</w:t>
            </w:r>
          </w:p>
        </w:tc>
        <w:tc>
          <w:tcPr>
            <w:tcW w:w="832" w:type="pct"/>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2" w:hRule="atLeast"/>
          <w:jc w:val="center"/>
        </w:trPr>
        <w:tc>
          <w:tcPr>
            <w:tcW w:w="425" w:type="pct"/>
            <w:shd w:val="clear" w:color="auto" w:fill="FFFFFF" w:themeFill="background1"/>
            <w:vAlign w:val="center"/>
          </w:tcPr>
          <w:p>
            <w:pPr>
              <w:pStyle w:val="49"/>
              <w:jc w:val="center"/>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1-2</w:t>
            </w:r>
          </w:p>
        </w:tc>
        <w:tc>
          <w:tcPr>
            <w:tcW w:w="944" w:type="pct"/>
            <w:shd w:val="clear" w:color="auto" w:fill="FFFFFF" w:themeFill="background1"/>
            <w:vAlign w:val="center"/>
          </w:tcPr>
          <w:p>
            <w:pPr>
              <w:pStyle w:val="49"/>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投标人信用承诺</w:t>
            </w:r>
          </w:p>
        </w:tc>
        <w:tc>
          <w:tcPr>
            <w:tcW w:w="2797" w:type="pct"/>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pacing w:val="-11"/>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提供了符合招标文件要求的《政府采购供应商信用承诺函》。</w:t>
            </w:r>
          </w:p>
        </w:tc>
        <w:tc>
          <w:tcPr>
            <w:tcW w:w="832" w:type="pct"/>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格式见《第七章 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2" w:hRule="atLeast"/>
          <w:jc w:val="center"/>
        </w:trPr>
        <w:tc>
          <w:tcPr>
            <w:tcW w:w="425" w:type="pct"/>
            <w:shd w:val="clear" w:color="auto" w:fill="FFFFFF" w:themeFill="background1"/>
            <w:vAlign w:val="center"/>
          </w:tcPr>
          <w:p>
            <w:pPr>
              <w:pStyle w:val="49"/>
              <w:jc w:val="center"/>
              <w:rPr>
                <w:rFonts w:hint="default" w:cs="宋体"/>
                <w:b/>
                <w:bCs/>
                <w:color w:val="auto"/>
                <w:sz w:val="24"/>
                <w:szCs w:val="24"/>
                <w:highlight w:val="none"/>
                <w:lang w:val="en-US" w:eastAsia="zh-CN"/>
              </w:rPr>
            </w:pPr>
            <w:r>
              <w:rPr>
                <w:rFonts w:hint="eastAsia" w:cs="宋体"/>
                <w:b/>
                <w:bCs/>
                <w:color w:val="auto"/>
                <w:sz w:val="24"/>
                <w:szCs w:val="24"/>
                <w:highlight w:val="none"/>
                <w:lang w:val="en-US" w:eastAsia="zh-CN"/>
              </w:rPr>
              <w:t>1-3</w:t>
            </w:r>
          </w:p>
        </w:tc>
        <w:tc>
          <w:tcPr>
            <w:tcW w:w="944" w:type="pct"/>
            <w:shd w:val="clear" w:color="auto" w:fill="FFFFFF" w:themeFill="background1"/>
            <w:vAlign w:val="center"/>
          </w:tcPr>
          <w:p>
            <w:pPr>
              <w:pStyle w:val="49"/>
              <w:keepNext w:val="0"/>
              <w:keepLines w:val="0"/>
              <w:pageBreakBefore w:val="0"/>
              <w:kinsoku/>
              <w:overflowPunct/>
              <w:topLinePunct w:val="0"/>
              <w:autoSpaceDE/>
              <w:autoSpaceDN/>
              <w:bidi w:val="0"/>
              <w:adjustRightInd/>
              <w:snapToGrid/>
              <w:spacing w:line="3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pacing w:val="-6"/>
                <w:kern w:val="0"/>
                <w:sz w:val="24"/>
                <w:szCs w:val="24"/>
                <w:highlight w:val="none"/>
                <w:lang w:val="en-US" w:eastAsia="zh-CN" w:bidi="ar"/>
              </w:rPr>
              <w:t>具有良好的商业信誉和健全的财务会计制度</w:t>
            </w:r>
          </w:p>
        </w:tc>
        <w:tc>
          <w:tcPr>
            <w:tcW w:w="2797" w:type="pct"/>
            <w:shd w:val="clear" w:color="auto" w:fill="FFFFFF" w:themeFill="background1"/>
            <w:vAlign w:val="center"/>
          </w:tcPr>
          <w:p>
            <w:pPr>
              <w:pStyle w:val="49"/>
              <w:keepNext w:val="0"/>
              <w:keepLines w:val="0"/>
              <w:pageBreakBefore w:val="0"/>
              <w:kinsoku/>
              <w:overflowPunct/>
              <w:topLinePunct w:val="0"/>
              <w:autoSpaceDE/>
              <w:autoSpaceDN/>
              <w:bidi w:val="0"/>
              <w:adjustRightInd/>
              <w:snapToGrid/>
              <w:spacing w:line="3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pacing w:val="-6"/>
                <w:sz w:val="24"/>
                <w:szCs w:val="24"/>
                <w:highlight w:val="none"/>
                <w:lang w:val="en-US" w:eastAsia="zh-CN"/>
              </w:rPr>
              <w:t>提供2025年或2026年经审计的财务审计报告复印件加盖公章（报告中须包括资产负债表、利润表、现金流量表等）或基本开户银行在投标截止日前三个月内开具的资信证明（银行存款证明无效）并附基本账户开户许可证（或基本账户存款信息）。</w:t>
            </w:r>
          </w:p>
        </w:tc>
        <w:tc>
          <w:tcPr>
            <w:tcW w:w="832" w:type="pct"/>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提供凭证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2" w:hRule="atLeast"/>
          <w:jc w:val="center"/>
        </w:trPr>
        <w:tc>
          <w:tcPr>
            <w:tcW w:w="425" w:type="pct"/>
            <w:shd w:val="clear" w:color="auto" w:fill="FFFFFF" w:themeFill="background1"/>
            <w:vAlign w:val="center"/>
          </w:tcPr>
          <w:p>
            <w:pPr>
              <w:pStyle w:val="49"/>
              <w:jc w:val="center"/>
              <w:rPr>
                <w:rFonts w:hint="default" w:cs="宋体"/>
                <w:b/>
                <w:bCs/>
                <w:color w:val="auto"/>
                <w:sz w:val="24"/>
                <w:szCs w:val="24"/>
                <w:highlight w:val="none"/>
                <w:lang w:val="en-US" w:eastAsia="zh-CN"/>
              </w:rPr>
            </w:pPr>
            <w:r>
              <w:rPr>
                <w:rFonts w:hint="eastAsia" w:cs="宋体"/>
                <w:b/>
                <w:bCs/>
                <w:color w:val="auto"/>
                <w:sz w:val="24"/>
                <w:szCs w:val="24"/>
                <w:highlight w:val="none"/>
                <w:lang w:val="en-US" w:eastAsia="zh-CN"/>
              </w:rPr>
              <w:t>1-4</w:t>
            </w:r>
          </w:p>
        </w:tc>
        <w:tc>
          <w:tcPr>
            <w:tcW w:w="944" w:type="pct"/>
            <w:shd w:val="clear" w:color="auto" w:fill="FFFFFF" w:themeFill="background1"/>
            <w:vAlign w:val="center"/>
          </w:tcPr>
          <w:p>
            <w:pPr>
              <w:pStyle w:val="49"/>
              <w:keepNext w:val="0"/>
              <w:keepLines w:val="0"/>
              <w:pageBreakBefore w:val="0"/>
              <w:kinsoku/>
              <w:overflowPunct/>
              <w:topLinePunct w:val="0"/>
              <w:autoSpaceDE/>
              <w:autoSpaceDN/>
              <w:bidi w:val="0"/>
              <w:adjustRightInd/>
              <w:snapToGrid/>
              <w:spacing w:line="3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pacing w:val="-6"/>
                <w:sz w:val="24"/>
                <w:szCs w:val="24"/>
                <w:highlight w:val="none"/>
                <w:lang w:val="en-US" w:eastAsia="zh-CN"/>
              </w:rPr>
              <w:t>有依法缴纳税收和社会保障资金的良好记录</w:t>
            </w:r>
          </w:p>
        </w:tc>
        <w:tc>
          <w:tcPr>
            <w:tcW w:w="2797" w:type="pct"/>
            <w:shd w:val="clear" w:color="auto" w:fill="FFFFFF" w:themeFill="background1"/>
            <w:vAlign w:val="center"/>
          </w:tcPr>
          <w:p>
            <w:pPr>
              <w:pStyle w:val="49"/>
              <w:keepNext w:val="0"/>
              <w:keepLines w:val="0"/>
              <w:pageBreakBefore w:val="0"/>
              <w:kinsoku/>
              <w:overflowPunct/>
              <w:topLinePunct w:val="0"/>
              <w:autoSpaceDE/>
              <w:autoSpaceDN/>
              <w:bidi w:val="0"/>
              <w:adjustRightInd/>
              <w:snapToGrid/>
              <w:spacing w:line="3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pacing w:val="-6"/>
                <w:sz w:val="24"/>
                <w:szCs w:val="24"/>
                <w:highlight w:val="none"/>
                <w:lang w:val="en-US" w:eastAsia="zh-CN"/>
              </w:rPr>
              <w:t>提供近六个月内任意一个月的依法缴税凭据和缴纳社会保险的凭据复印件并加盖公章（依法免税或免缴社保的，提供依法免税或免缴社保的相关证明材料复印件并加盖公章）；</w:t>
            </w:r>
          </w:p>
        </w:tc>
        <w:tc>
          <w:tcPr>
            <w:tcW w:w="832" w:type="pct"/>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提供凭证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425" w:type="pct"/>
            <w:shd w:val="clear" w:color="auto" w:fill="FFFFFF" w:themeFill="background1"/>
            <w:vAlign w:val="center"/>
          </w:tcPr>
          <w:p>
            <w:pPr>
              <w:pStyle w:val="49"/>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r>
              <w:rPr>
                <w:rFonts w:hint="eastAsia" w:cs="宋体"/>
                <w:b/>
                <w:bCs/>
                <w:color w:val="auto"/>
                <w:sz w:val="24"/>
                <w:szCs w:val="24"/>
                <w:highlight w:val="none"/>
                <w:lang w:val="en-US" w:eastAsia="zh-CN"/>
              </w:rPr>
              <w:t>5</w:t>
            </w:r>
          </w:p>
        </w:tc>
        <w:tc>
          <w:tcPr>
            <w:tcW w:w="944" w:type="pct"/>
            <w:shd w:val="clear" w:color="auto" w:fill="FFFFFF" w:themeFill="background1"/>
            <w:vAlign w:val="center"/>
          </w:tcPr>
          <w:p>
            <w:pPr>
              <w:pStyle w:val="4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投标人信用记录</w:t>
            </w:r>
          </w:p>
        </w:tc>
        <w:tc>
          <w:tcPr>
            <w:tcW w:w="2797" w:type="pct"/>
            <w:shd w:val="clear" w:color="auto" w:fill="FFFFFF" w:themeFill="background1"/>
            <w:vAlign w:val="center"/>
          </w:tcPr>
          <w:p>
            <w:pPr>
              <w:pStyle w:val="49"/>
              <w:jc w:val="both"/>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 xml:space="preserve">查询渠道：信用中国网站和中国政府采购网（ </w:t>
            </w:r>
          </w:p>
          <w:p>
            <w:pPr>
              <w:pStyle w:val="4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lang w:val="en-US" w:eastAsia="zh-CN"/>
              </w:rPr>
              <w:t>www.creditchina.gov.cn 、www.ccgp.gov.cn）；</w:t>
            </w:r>
            <w:r>
              <w:rPr>
                <w:rFonts w:hint="eastAsia" w:ascii="宋体" w:hAnsi="宋体" w:eastAsia="宋体" w:cs="宋体"/>
                <w:color w:val="auto"/>
                <w:sz w:val="24"/>
                <w:szCs w:val="24"/>
                <w:highlight w:val="none"/>
                <w:lang w:val="en-US" w:eastAsia="zh-CN"/>
              </w:rPr>
              <w:t xml:space="preserve"> </w:t>
            </w:r>
          </w:p>
          <w:p>
            <w:pPr>
              <w:pStyle w:val="4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截止时点：投标截止时间以后、资格审查阶段采购人或采购代理机构的实际查询时间； </w:t>
            </w:r>
          </w:p>
          <w:p>
            <w:pPr>
              <w:pStyle w:val="4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信用信息查询记录和证据留存具体方式：查询结果网页打印页作为查询记录和证据，与其他采购文件一并保存； </w:t>
            </w:r>
          </w:p>
          <w:p>
            <w:pPr>
              <w:pStyle w:val="4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lang w:val="en-US" w:eastAsia="zh-CN"/>
              </w:rPr>
              <w:t>信用信息的使用原则：经认定的被列入失信被执行人、重大税收违法失信主体、政府采购严重违法失信行为记录名单的投标人，其</w:t>
            </w:r>
            <w:r>
              <w:rPr>
                <w:rFonts w:hint="eastAsia" w:ascii="宋体" w:hAnsi="宋体" w:eastAsia="宋体" w:cs="宋体"/>
                <w:b/>
                <w:bCs/>
                <w:color w:val="auto"/>
                <w:spacing w:val="-6"/>
                <w:sz w:val="24"/>
                <w:szCs w:val="24"/>
                <w:highlight w:val="none"/>
                <w:lang w:val="en-US" w:eastAsia="zh-CN"/>
              </w:rPr>
              <w:t>投标无效</w:t>
            </w:r>
            <w:r>
              <w:rPr>
                <w:rFonts w:hint="eastAsia" w:ascii="宋体" w:hAnsi="宋体" w:eastAsia="宋体" w:cs="宋体"/>
                <w:color w:val="auto"/>
                <w:spacing w:val="-6"/>
                <w:sz w:val="24"/>
                <w:szCs w:val="24"/>
                <w:highlight w:val="none"/>
                <w:lang w:val="en-US" w:eastAsia="zh-CN"/>
              </w:rPr>
              <w:t>。联合体形式投标的，联合体成员存在不良信用记录，视同联合体存在不良信用记录。</w:t>
            </w:r>
          </w:p>
        </w:tc>
        <w:tc>
          <w:tcPr>
            <w:tcW w:w="832" w:type="pct"/>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无须投标人提供，由采购人或采购代理机构查询。</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868" w:type="dxa"/>
            <w:shd w:val="clear" w:color="auto" w:fill="FFFFFF" w:themeFill="background1"/>
            <w:vAlign w:val="center"/>
          </w:tcPr>
          <w:p>
            <w:pPr>
              <w:pStyle w:val="49"/>
              <w:jc w:val="center"/>
              <w:rPr>
                <w:rFonts w:hint="eastAsia" w:ascii="宋体" w:hAnsi="宋体" w:eastAsia="宋体" w:cs="宋体"/>
                <w:b/>
                <w:bCs/>
                <w:color w:val="auto"/>
                <w:sz w:val="24"/>
                <w:szCs w:val="24"/>
                <w:highlight w:val="none"/>
                <w:lang w:val="en-US" w:eastAsia="zh-CN"/>
              </w:rPr>
            </w:pPr>
            <w:r>
              <w:rPr>
                <w:rFonts w:hint="eastAsia" w:cs="宋体"/>
                <w:b/>
                <w:bCs/>
                <w:szCs w:val="24"/>
              </w:rPr>
              <w:t>1-6</w:t>
            </w:r>
          </w:p>
        </w:tc>
        <w:tc>
          <w:tcPr>
            <w:tcW w:w="1927" w:type="dxa"/>
            <w:shd w:val="clear" w:color="auto" w:fill="FFFFFF" w:themeFill="background1"/>
            <w:vAlign w:val="center"/>
          </w:tcPr>
          <w:p>
            <w:pPr>
              <w:pStyle w:val="49"/>
              <w:jc w:val="both"/>
              <w:rPr>
                <w:rFonts w:hint="eastAsia" w:ascii="宋体" w:hAnsi="宋体" w:eastAsia="宋体" w:cs="宋体"/>
                <w:color w:val="auto"/>
                <w:sz w:val="24"/>
                <w:szCs w:val="24"/>
                <w:highlight w:val="none"/>
                <w:lang w:val="en-US" w:eastAsia="zh-CN"/>
              </w:rPr>
            </w:pPr>
            <w:r>
              <w:rPr>
                <w:rFonts w:hint="eastAsia" w:cs="宋体"/>
                <w:szCs w:val="24"/>
              </w:rPr>
              <w:t>法律、行政法规规定的其他条件</w:t>
            </w:r>
          </w:p>
        </w:tc>
        <w:tc>
          <w:tcPr>
            <w:tcW w:w="5709" w:type="dxa"/>
            <w:shd w:val="clear" w:color="auto" w:fill="FFFFFF" w:themeFill="background1"/>
            <w:vAlign w:val="center"/>
          </w:tcPr>
          <w:p>
            <w:pPr>
              <w:pStyle w:val="49"/>
              <w:jc w:val="both"/>
              <w:rPr>
                <w:rFonts w:hint="eastAsia" w:ascii="宋体" w:hAnsi="宋体" w:eastAsia="宋体" w:cs="宋体"/>
                <w:color w:val="auto"/>
                <w:spacing w:val="-6"/>
                <w:sz w:val="24"/>
                <w:szCs w:val="24"/>
                <w:highlight w:val="none"/>
                <w:lang w:val="en-US" w:eastAsia="zh-CN"/>
              </w:rPr>
            </w:pPr>
            <w:r>
              <w:rPr>
                <w:rFonts w:hint="eastAsia" w:cs="宋体"/>
                <w:szCs w:val="24"/>
              </w:rPr>
              <w:t>法律、行政法规规定的其他条件</w:t>
            </w:r>
          </w:p>
        </w:tc>
        <w:tc>
          <w:tcPr>
            <w:tcW w:w="832" w:type="pct"/>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420" w:hRule="atLeast"/>
          <w:jc w:val="center"/>
        </w:trPr>
        <w:tc>
          <w:tcPr>
            <w:tcW w:w="425" w:type="pct"/>
            <w:shd w:val="clear" w:color="auto" w:fill="FFFFFF" w:themeFill="background1"/>
            <w:vAlign w:val="center"/>
          </w:tcPr>
          <w:p>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p>
        </w:tc>
        <w:tc>
          <w:tcPr>
            <w:tcW w:w="944" w:type="pct"/>
            <w:shd w:val="clear" w:color="auto" w:fill="FFFFFF" w:themeFill="background1"/>
            <w:vAlign w:val="center"/>
          </w:tcPr>
          <w:p>
            <w:pPr>
              <w:pStyle w:val="49"/>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落实政府采购政策需满足的资格要求</w:t>
            </w:r>
          </w:p>
        </w:tc>
        <w:tc>
          <w:tcPr>
            <w:tcW w:w="2797" w:type="pct"/>
            <w:shd w:val="clear" w:color="auto" w:fill="FFFFFF" w:themeFill="background1"/>
            <w:vAlign w:val="center"/>
          </w:tcPr>
          <w:p>
            <w:pPr>
              <w:pStyle w:val="49"/>
              <w:jc w:val="both"/>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供应商需提供《</w:t>
            </w:r>
            <w:r>
              <w:rPr>
                <w:rFonts w:hint="eastAsia" w:ascii="宋体" w:hAnsi="宋体" w:eastAsia="宋体" w:cs="宋体"/>
                <w:color w:val="auto"/>
                <w:kern w:val="0"/>
                <w:sz w:val="24"/>
                <w:szCs w:val="24"/>
                <w:highlight w:val="none"/>
                <w:lang w:val="en-US" w:eastAsia="zh-CN" w:bidi="ar"/>
              </w:rPr>
              <w:t>中小企业声明函》</w:t>
            </w:r>
          </w:p>
        </w:tc>
        <w:tc>
          <w:tcPr>
            <w:tcW w:w="832" w:type="pct"/>
            <w:shd w:val="clear" w:color="auto" w:fill="FFFFFF" w:themeFill="background1"/>
            <w:vAlign w:val="center"/>
          </w:tcPr>
          <w:p>
            <w:pPr>
              <w:pStyle w:val="49"/>
              <w:jc w:val="center"/>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lang w:val="en-US" w:eastAsia="zh-CN" w:bidi="ar"/>
              </w:rPr>
              <w:t>格式见《第七章 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72" w:hRule="atLeast"/>
          <w:jc w:val="center"/>
        </w:trPr>
        <w:tc>
          <w:tcPr>
            <w:tcW w:w="425" w:type="pct"/>
            <w:shd w:val="clear" w:color="auto" w:fill="FFFFFF" w:themeFill="background1"/>
            <w:vAlign w:val="center"/>
          </w:tcPr>
          <w:p>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p>
        </w:tc>
        <w:tc>
          <w:tcPr>
            <w:tcW w:w="944" w:type="pct"/>
            <w:shd w:val="clear" w:color="auto" w:fill="FFFFFF" w:themeFill="background1"/>
            <w:vAlign w:val="center"/>
          </w:tcPr>
          <w:p>
            <w:pPr>
              <w:pStyle w:val="49"/>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本项目的特定资格要求</w:t>
            </w:r>
          </w:p>
        </w:tc>
        <w:tc>
          <w:tcPr>
            <w:tcW w:w="2797" w:type="pct"/>
            <w:shd w:val="clear" w:color="auto" w:fill="FFFFFF" w:themeFill="background1"/>
            <w:vAlign w:val="center"/>
          </w:tcPr>
          <w:p>
            <w:pPr>
              <w:pStyle w:val="49"/>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（1）法定代表人或单位负责人为同一人或者存在直接控股、管理关系的不同供应商，不得参加同一合同项下的政府采购活动。自行提供承诺函加盖公章。</w:t>
            </w:r>
          </w:p>
          <w:p>
            <w:pPr>
              <w:pStyle w:val="49"/>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（2）除单一来源采购项目外，为采购项目提供整体设计、规范编制或者项目管理、监理、检测等服务的供应商，不得再参加该采购项目的其他采购活动。自行提供承诺函加盖公章。</w:t>
            </w:r>
          </w:p>
        </w:tc>
        <w:tc>
          <w:tcPr>
            <w:tcW w:w="832" w:type="pct"/>
            <w:shd w:val="clear" w:color="auto" w:fill="FFFFFF" w:themeFill="background1"/>
            <w:vAlign w:val="center"/>
          </w:tcPr>
          <w:p>
            <w:pPr>
              <w:pStyle w:val="49"/>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自行提供承诺函加盖公章。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72" w:hRule="atLeast"/>
          <w:jc w:val="center"/>
        </w:trPr>
        <w:tc>
          <w:tcPr>
            <w:tcW w:w="425" w:type="pct"/>
            <w:shd w:val="clear" w:color="auto" w:fill="FFFFFF" w:themeFill="background1"/>
            <w:vAlign w:val="center"/>
          </w:tcPr>
          <w:p>
            <w:pPr>
              <w:pStyle w:val="49"/>
              <w:jc w:val="center"/>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4</w:t>
            </w:r>
          </w:p>
        </w:tc>
        <w:tc>
          <w:tcPr>
            <w:tcW w:w="944" w:type="pct"/>
            <w:shd w:val="clear" w:color="auto" w:fill="FFFFFF" w:themeFill="background1"/>
            <w:vAlign w:val="center"/>
          </w:tcPr>
          <w:p>
            <w:pPr>
              <w:pStyle w:val="49"/>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投标保证金</w:t>
            </w:r>
          </w:p>
        </w:tc>
        <w:tc>
          <w:tcPr>
            <w:tcW w:w="2797" w:type="pct"/>
            <w:shd w:val="clear" w:color="auto" w:fill="FFFFFF" w:themeFill="background1"/>
            <w:vAlign w:val="center"/>
          </w:tcPr>
          <w:p>
            <w:pPr>
              <w:pStyle w:val="49"/>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需按招标文件的规定缴纳投标保证金</w:t>
            </w:r>
          </w:p>
        </w:tc>
        <w:tc>
          <w:tcPr>
            <w:tcW w:w="832" w:type="pct"/>
            <w:shd w:val="clear" w:color="auto" w:fill="FFFFFF" w:themeFill="background1"/>
            <w:vAlign w:val="center"/>
          </w:tcPr>
          <w:p>
            <w:pPr>
              <w:pStyle w:val="49"/>
              <w:jc w:val="both"/>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提供缴纳凭证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72" w:hRule="atLeast"/>
          <w:jc w:val="center"/>
        </w:trPr>
        <w:tc>
          <w:tcPr>
            <w:tcW w:w="425" w:type="pct"/>
            <w:shd w:val="clear" w:color="auto" w:fill="FFFFFF" w:themeFill="background1"/>
            <w:vAlign w:val="center"/>
          </w:tcPr>
          <w:p>
            <w:pPr>
              <w:pStyle w:val="49"/>
              <w:jc w:val="center"/>
              <w:rPr>
                <w:rFonts w:hint="default" w:cs="宋体"/>
                <w:b/>
                <w:bCs/>
                <w:color w:val="auto"/>
                <w:sz w:val="24"/>
                <w:szCs w:val="24"/>
                <w:highlight w:val="none"/>
                <w:lang w:val="en-US" w:eastAsia="zh-CN"/>
              </w:rPr>
            </w:pPr>
            <w:r>
              <w:rPr>
                <w:rFonts w:hint="eastAsia" w:cs="宋体"/>
                <w:b/>
                <w:bCs/>
                <w:color w:val="auto"/>
                <w:sz w:val="24"/>
                <w:szCs w:val="24"/>
                <w:highlight w:val="none"/>
                <w:lang w:val="en-US" w:eastAsia="zh-CN"/>
              </w:rPr>
              <w:t>5</w:t>
            </w:r>
          </w:p>
        </w:tc>
        <w:tc>
          <w:tcPr>
            <w:tcW w:w="944" w:type="pct"/>
            <w:shd w:val="clear" w:color="auto" w:fill="FFFFFF" w:themeFill="background1"/>
            <w:vAlign w:val="center"/>
          </w:tcPr>
          <w:p>
            <w:pPr>
              <w:pStyle w:val="49"/>
              <w:jc w:val="both"/>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供应商法定代表人资格证明书，或法定代表人委托书</w:t>
            </w:r>
          </w:p>
        </w:tc>
        <w:tc>
          <w:tcPr>
            <w:tcW w:w="2797" w:type="pct"/>
            <w:shd w:val="clear" w:color="auto" w:fill="FFFFFF" w:themeFill="background1"/>
            <w:vAlign w:val="center"/>
          </w:tcPr>
          <w:p>
            <w:pPr>
              <w:pStyle w:val="49"/>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提供法定代表人身份证明，法定代表人授权委托人参加投标的还应提供法定代表人授权委托书。加盖公章。</w:t>
            </w:r>
          </w:p>
        </w:tc>
        <w:tc>
          <w:tcPr>
            <w:tcW w:w="832" w:type="pct"/>
            <w:shd w:val="clear" w:color="auto" w:fill="FFFFFF" w:themeFill="background1"/>
            <w:vAlign w:val="center"/>
          </w:tcPr>
          <w:p>
            <w:pPr>
              <w:pStyle w:val="49"/>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格式见《第七章 投标文件格式》</w:t>
            </w:r>
          </w:p>
        </w:tc>
      </w:tr>
    </w:tbl>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p>
    <w:p>
      <w:pP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br w:type="page"/>
      </w:r>
    </w:p>
    <w:p>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default" w:ascii="宋体" w:hAnsi="宋体" w:eastAsia="宋体" w:cs="宋体"/>
          <w:b/>
          <w:bCs/>
          <w:color w:val="auto"/>
          <w:kern w:val="44"/>
          <w:sz w:val="32"/>
          <w:szCs w:val="32"/>
          <w:highlight w:val="none"/>
          <w:lang w:val="en-US" w:eastAsia="zh-CN" w:bidi="ar-SA"/>
        </w:rPr>
      </w:pPr>
      <w:bookmarkStart w:id="343" w:name="_Toc155185903"/>
      <w:bookmarkStart w:id="344" w:name="_Toc30175"/>
      <w:bookmarkStart w:id="345" w:name="_Toc28158"/>
      <w:r>
        <w:rPr>
          <w:rFonts w:hint="eastAsia" w:ascii="宋体" w:hAnsi="宋体" w:eastAsia="宋体" w:cs="宋体"/>
          <w:b/>
          <w:bCs/>
          <w:color w:val="auto"/>
          <w:kern w:val="44"/>
          <w:sz w:val="32"/>
          <w:szCs w:val="32"/>
          <w:highlight w:val="none"/>
          <w:lang w:val="en-US" w:eastAsia="zh-CN" w:bidi="ar-SA"/>
        </w:rPr>
        <w:t>第五章 评标方法</w:t>
      </w:r>
      <w:bookmarkEnd w:id="343"/>
      <w:r>
        <w:rPr>
          <w:rFonts w:hint="eastAsia" w:ascii="宋体" w:hAnsi="宋体" w:eastAsia="宋体" w:cs="宋体"/>
          <w:b/>
          <w:bCs/>
          <w:color w:val="auto"/>
          <w:kern w:val="44"/>
          <w:sz w:val="32"/>
          <w:szCs w:val="32"/>
          <w:highlight w:val="none"/>
          <w:lang w:val="en-US" w:eastAsia="zh-CN" w:bidi="ar-SA"/>
        </w:rPr>
        <w:t>及标准</w:t>
      </w:r>
      <w:r>
        <w:rPr>
          <w:rFonts w:hint="eastAsia" w:eastAsia="宋体" w:cs="宋体"/>
          <w:b/>
          <w:bCs/>
          <w:color w:val="auto"/>
          <w:kern w:val="44"/>
          <w:sz w:val="32"/>
          <w:szCs w:val="32"/>
          <w:highlight w:val="none"/>
          <w:lang w:val="en-US" w:eastAsia="zh-CN" w:bidi="ar-SA"/>
        </w:rPr>
        <w:t>（</w:t>
      </w:r>
      <w:r>
        <w:rPr>
          <w:rFonts w:hint="eastAsia" w:ascii="宋体" w:hAnsi="宋体" w:eastAsia="宋体" w:cs="宋体"/>
          <w:b/>
          <w:bCs/>
          <w:color w:val="auto"/>
          <w:kern w:val="44"/>
          <w:sz w:val="32"/>
          <w:szCs w:val="32"/>
          <w:highlight w:val="none"/>
          <w:lang w:val="en-US" w:eastAsia="zh-CN" w:bidi="ar-SA"/>
        </w:rPr>
        <w:t>综合评分法</w:t>
      </w:r>
      <w:r>
        <w:rPr>
          <w:rFonts w:hint="eastAsia" w:eastAsia="宋体" w:cs="宋体"/>
          <w:b/>
          <w:bCs/>
          <w:color w:val="auto"/>
          <w:kern w:val="44"/>
          <w:sz w:val="32"/>
          <w:szCs w:val="32"/>
          <w:highlight w:val="none"/>
          <w:lang w:val="en-US" w:eastAsia="zh-CN" w:bidi="ar-SA"/>
        </w:rPr>
        <w:t>）</w:t>
      </w:r>
      <w:bookmarkEnd w:id="344"/>
      <w:bookmarkEnd w:id="345"/>
    </w:p>
    <w:p>
      <w:pPr>
        <w:pStyle w:val="3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46" w:name="_Toc4301"/>
      <w:bookmarkStart w:id="347" w:name="_Toc17592"/>
      <w:bookmarkStart w:id="348" w:name="_Toc109899484"/>
      <w:bookmarkStart w:id="349" w:name="_Toc278891606"/>
      <w:bookmarkStart w:id="350" w:name="_Toc140132826"/>
      <w:bookmarkStart w:id="351" w:name="_Toc511894518"/>
      <w:bookmarkStart w:id="352" w:name="_Toc109899903"/>
      <w:bookmarkStart w:id="353" w:name="_Toc61280402"/>
      <w:bookmarkStart w:id="354" w:name="_Toc272247709"/>
      <w:bookmarkStart w:id="355" w:name="_Toc494561962"/>
      <w:bookmarkStart w:id="356" w:name="_Toc109900322"/>
      <w:bookmarkStart w:id="357" w:name="_Toc155185905"/>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346"/>
      <w:bookmarkEnd w:id="347"/>
    </w:p>
    <w:p>
      <w:pPr>
        <w:pStyle w:val="37"/>
        <w:keepNext w:val="0"/>
        <w:keepLines w:val="0"/>
        <w:pageBreakBefore w:val="0"/>
        <w:widowControl w:val="0"/>
        <w:kinsoku/>
        <w:wordWrap w:val="0"/>
        <w:overflowPunct/>
        <w:topLinePunct w:val="0"/>
        <w:autoSpaceDE/>
        <w:autoSpaceDN/>
        <w:bidi w:val="0"/>
        <w:adjustRightInd/>
        <w:snapToGrid/>
        <w:ind w:firstLine="482"/>
        <w:jc w:val="both"/>
        <w:textAlignment w:val="auto"/>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58" w:name="_Toc27095"/>
      <w:bookmarkStart w:id="359" w:name="_Toc2887"/>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58"/>
      <w:bookmarkEnd w:id="359"/>
    </w:p>
    <w:p>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60" w:name="_Toc19642"/>
      <w:r>
        <w:rPr>
          <w:rFonts w:hint="eastAsia" w:ascii="宋体" w:hAnsi="宋体" w:eastAsia="宋体" w:cs="宋体"/>
          <w:b/>
          <w:bCs/>
          <w:color w:val="auto"/>
          <w:kern w:val="2"/>
          <w:sz w:val="24"/>
          <w:szCs w:val="24"/>
          <w:highlight w:val="none"/>
          <w:lang w:val="zh-CN" w:eastAsia="zh-CN" w:bidi="ar-SA"/>
        </w:rPr>
        <w:t>（一）符合性审查</w:t>
      </w:r>
      <w:bookmarkEnd w:id="360"/>
    </w:p>
    <w:p>
      <w:pPr>
        <w:pStyle w:val="37"/>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w:t>
      </w:r>
      <w:r>
        <w:rPr>
          <w:rFonts w:hint="eastAsia" w:cs="宋体"/>
          <w:color w:val="auto"/>
          <w:sz w:val="24"/>
          <w:szCs w:val="24"/>
          <w:highlight w:val="none"/>
          <w:lang w:val="en-US" w:eastAsia="zh-CN"/>
        </w:rPr>
        <w:t>详见</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pPr>
        <w:pStyle w:val="37"/>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61" w:name="_Toc102116048"/>
      <w:bookmarkStart w:id="362" w:name="_Toc102119879"/>
      <w:bookmarkStart w:id="363" w:name="_Toc155185907"/>
      <w:bookmarkStart w:id="364" w:name="_Toc102116178"/>
      <w:bookmarkStart w:id="365" w:name="_Toc102057744"/>
      <w:bookmarkStart w:id="366" w:name="_Toc102114946"/>
      <w:bookmarkStart w:id="367" w:name="_Toc102056244"/>
      <w:bookmarkStart w:id="368" w:name="_Toc32172"/>
      <w:bookmarkStart w:id="369" w:name="_Toc16349290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61"/>
      <w:bookmarkEnd w:id="362"/>
      <w:bookmarkEnd w:id="363"/>
      <w:bookmarkEnd w:id="364"/>
      <w:bookmarkEnd w:id="365"/>
      <w:bookmarkEnd w:id="366"/>
      <w:bookmarkEnd w:id="367"/>
      <w:r>
        <w:rPr>
          <w:rFonts w:hint="eastAsia" w:ascii="宋体" w:hAnsi="宋体" w:eastAsia="宋体" w:cs="宋体"/>
          <w:b/>
          <w:bCs/>
          <w:color w:val="auto"/>
          <w:kern w:val="2"/>
          <w:sz w:val="24"/>
          <w:szCs w:val="24"/>
          <w:highlight w:val="none"/>
          <w:lang w:val="zh-CN" w:eastAsia="zh-CN" w:bidi="ar-SA"/>
        </w:rPr>
        <w:t>及修正</w:t>
      </w:r>
      <w:bookmarkEnd w:id="368"/>
      <w:bookmarkEnd w:id="369"/>
    </w:p>
    <w:p>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w:t>
      </w:r>
    </w:p>
    <w:p>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4.投标人应按照评标委员会要求在规定时间内作出澄清、说明或者补正，澄清、说明或者补正不得超出投标文件的范围或者改变投标文件的实质性内容。</w:t>
      </w:r>
    </w:p>
    <w:p>
      <w:pPr>
        <w:pStyle w:val="3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5.投标人的澄清、说明或者补正是其投标文件的有效组成部分，澄清、说明或者补正应当在政采云平台评标系统中加盖电子印章后提交。</w:t>
      </w:r>
    </w:p>
    <w:p>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报价合理性说明：评标委员会认为投标人的报价明显低于其他通过符合性审查投标人的报价，有可能影响服务质量或者不能诚信履约的，应当要求该投标人在合理的时间内提供说明，必要时提交相关证明材料；若投标人不能证明其报价合理性的，评标委员会应当将其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w:t>
      </w:r>
    </w:p>
    <w:p>
      <w:pPr>
        <w:pStyle w:val="37"/>
        <w:jc w:val="both"/>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w:t>
      </w:r>
      <w:r>
        <w:rPr>
          <w:rFonts w:hint="eastAsia"/>
          <w:color w:val="auto"/>
          <w:highlight w:val="none"/>
          <w:lang w:val="en-US" w:eastAsia="zh-CN"/>
        </w:rPr>
        <w:t>将一个采购包中的内容拆分投标，其</w:t>
      </w:r>
      <w:r>
        <w:rPr>
          <w:rFonts w:hint="eastAsia"/>
          <w:b/>
          <w:bCs/>
          <w:color w:val="auto"/>
          <w:highlight w:val="none"/>
          <w:lang w:val="en-US" w:eastAsia="zh-CN"/>
        </w:rPr>
        <w:t>投标无效</w:t>
      </w:r>
      <w:r>
        <w:rPr>
          <w:rFonts w:hint="eastAsia"/>
          <w:color w:val="auto"/>
          <w:highlight w:val="none"/>
          <w:lang w:val="en-US" w:eastAsia="zh-CN"/>
        </w:rPr>
        <w:t>。</w:t>
      </w:r>
    </w:p>
    <w:p>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8.投标文件报价出现前后不一致的，除招标文件另有规定外，按照下列规定修正：</w:t>
      </w:r>
    </w:p>
    <w:p>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8.1投标文件中开标一览表（报价表）内容与投标文件中相应内容不一致的，以开标一览表（报价表）为准；</w:t>
      </w:r>
    </w:p>
    <w:p>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8.2大写金额和小写金额不一致的，以大写金额为准；</w:t>
      </w:r>
    </w:p>
    <w:p>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8.3单价金额小数点或者百分比有明显错位的，以开标一览表的总价为准，并修改单价；</w:t>
      </w:r>
    </w:p>
    <w:p>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8.4总价金额与按单价汇总金额不一致的，以单价金额计算结果为准。</w:t>
      </w:r>
    </w:p>
    <w:p>
      <w:pPr>
        <w:pStyle w:val="37"/>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b/>
          <w:bCs/>
          <w:color w:val="auto"/>
          <w:highlight w:val="none"/>
          <w:lang w:val="en-US" w:eastAsia="zh-CN"/>
        </w:rPr>
        <w:t>投标无效</w:t>
      </w:r>
      <w:r>
        <w:rPr>
          <w:rFonts w:hint="eastAsia"/>
          <w:color w:val="auto"/>
          <w:highlight w:val="none"/>
          <w:lang w:val="en-US" w:eastAsia="zh-CN"/>
        </w:rPr>
        <w:t>。</w:t>
      </w:r>
    </w:p>
    <w:p>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70" w:name="_Toc1308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370"/>
    </w:p>
    <w:p>
      <w:pPr>
        <w:pStyle w:val="3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pPr>
        <w:pStyle w:val="3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.有效投标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71" w:name="_Toc33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371"/>
    </w:p>
    <w:p>
      <w:pPr>
        <w:pStyle w:val="37"/>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投标报价评审</w:t>
      </w:r>
    </w:p>
    <w:p>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11.1服务项目的价格分值占总分值的比重不得低于</w:t>
      </w:r>
      <w:r>
        <w:rPr>
          <w:rFonts w:hint="default"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执行国家统一定价标准和采用固定价格采购的项目，其价格不列为评审因素。价格分应当采用低价优先法计算，即满足招标文件要求且投标价格最低的投标报价为评标基准价，其价格分为满分。其他投标人的价格分统一按照下列公式计算：</w:t>
      </w:r>
    </w:p>
    <w:p>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投标报价得分=</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评标基准价／投标报价</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×价格分值</w:t>
      </w:r>
    </w:p>
    <w:p>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评标过程中，不得去掉报价中的最高报价和最低报价。</w:t>
      </w:r>
    </w:p>
    <w:p>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11.2除算术修正和落实政府采购政策的价格扣除外，不对投标报价进行调整；</w:t>
      </w:r>
    </w:p>
    <w:p>
      <w:pPr>
        <w:pStyle w:val="37"/>
        <w:jc w:val="both"/>
        <w:rPr>
          <w:color w:val="auto"/>
          <w:highlight w:val="none"/>
        </w:rPr>
      </w:pPr>
      <w:r>
        <w:rPr>
          <w:rFonts w:hint="eastAsia" w:ascii="宋体" w:hAnsi="宋体" w:eastAsia="宋体" w:cs="宋体"/>
          <w:color w:val="auto"/>
          <w:sz w:val="24"/>
          <w:szCs w:val="24"/>
          <w:highlight w:val="none"/>
          <w:lang w:val="en-US" w:eastAsia="zh-CN"/>
        </w:rPr>
        <w:t>11.3价格分值见本章“四、评标标准”</w:t>
      </w:r>
      <w:r>
        <w:rPr>
          <w:color w:val="auto"/>
          <w:highlight w:val="none"/>
        </w:rPr>
        <w:t>。</w:t>
      </w:r>
    </w:p>
    <w:p>
      <w:pPr>
        <w:pStyle w:val="37"/>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w:t>
      </w:r>
      <w:r>
        <w:rPr>
          <w:rFonts w:hint="eastAsia"/>
          <w:color w:val="auto"/>
          <w:sz w:val="24"/>
          <w:szCs w:val="24"/>
          <w:highlight w:val="none"/>
          <w:lang w:eastAsia="zh-CN"/>
        </w:rPr>
        <w:t>〈</w:t>
      </w:r>
      <w:r>
        <w:rPr>
          <w:rFonts w:hint="eastAsia"/>
          <w:color w:val="auto"/>
          <w:sz w:val="24"/>
          <w:szCs w:val="24"/>
          <w:highlight w:val="none"/>
        </w:rPr>
        <w:t>全部通过符合性审查供应商投标（响应）报价平均值×50%；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w:t>
      </w:r>
      <w:r>
        <w:rPr>
          <w:rFonts w:hint="eastAsia"/>
          <w:color w:val="auto"/>
          <w:sz w:val="24"/>
          <w:szCs w:val="24"/>
          <w:highlight w:val="none"/>
          <w:lang w:eastAsia="zh-CN"/>
        </w:rPr>
        <w:t>〈</w:t>
      </w:r>
      <w:r>
        <w:rPr>
          <w:rFonts w:hint="eastAsia"/>
          <w:color w:val="auto"/>
          <w:sz w:val="24"/>
          <w:szCs w:val="24"/>
          <w:highlight w:val="none"/>
        </w:rPr>
        <w:t>通过符合性审查的次低报价供应商投标（响应）报价×50%；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w:t>
      </w:r>
      <w:r>
        <w:rPr>
          <w:rFonts w:hint="eastAsia"/>
          <w:color w:val="auto"/>
          <w:sz w:val="24"/>
          <w:szCs w:val="24"/>
          <w:highlight w:val="none"/>
          <w:lang w:eastAsia="zh-CN"/>
        </w:rPr>
        <w:t>〈</w:t>
      </w:r>
      <w:r>
        <w:rPr>
          <w:rFonts w:hint="eastAsia"/>
          <w:color w:val="auto"/>
          <w:sz w:val="24"/>
          <w:szCs w:val="24"/>
          <w:highlight w:val="none"/>
        </w:rPr>
        <w:t>采购项目最高限价×45%；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37"/>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pPr>
        <w:pStyle w:val="37"/>
        <w:numPr>
          <w:ilvl w:val="0"/>
          <w:numId w:val="0"/>
        </w:numPr>
        <w:ind w:firstLine="480" w:firstLineChars="200"/>
        <w:jc w:val="both"/>
        <w:rPr>
          <w:color w:val="auto"/>
          <w:highlight w:val="none"/>
        </w:rPr>
      </w:pPr>
      <w:r>
        <w:rPr>
          <w:color w:val="auto"/>
          <w:highlight w:val="none"/>
        </w:rPr>
        <w:t>1</w:t>
      </w:r>
      <w:r>
        <w:rPr>
          <w:rFonts w:hint="eastAsia"/>
          <w:color w:val="auto"/>
          <w:highlight w:val="none"/>
          <w:lang w:val="en-US" w:eastAsia="zh-CN"/>
        </w:rPr>
        <w:t>3</w:t>
      </w:r>
      <w:r>
        <w:rPr>
          <w:color w:val="auto"/>
          <w:highlight w:val="none"/>
        </w:rPr>
        <w:t>.1非专门面向中小企业的采购项目或采购包，对符合规定的小微企业（</w:t>
      </w:r>
      <w:r>
        <w:rPr>
          <w:rFonts w:hint="eastAsia"/>
          <w:color w:val="auto"/>
          <w:highlight w:val="none"/>
          <w:lang w:val="en-US" w:eastAsia="zh-CN"/>
        </w:rPr>
        <w:t>含</w:t>
      </w:r>
      <w:r>
        <w:rPr>
          <w:color w:val="auto"/>
          <w:highlight w:val="none"/>
        </w:rPr>
        <w:t>监狱企业、残疾人福利性单位、联合体各方均为小微企业的联合体、符合小微企业划分标准的个体工商户视同小微企业）报价</w:t>
      </w:r>
      <w:r>
        <w:rPr>
          <w:rFonts w:hint="eastAsia"/>
          <w:color w:val="auto"/>
          <w:highlight w:val="none"/>
        </w:rPr>
        <w:t>按照本招标文件</w:t>
      </w:r>
      <w:r>
        <w:rPr>
          <w:rFonts w:hint="eastAsia"/>
          <w:color w:val="auto"/>
          <w:highlight w:val="none"/>
          <w:lang w:eastAsia="zh-CN"/>
        </w:rPr>
        <w:t>“</w:t>
      </w:r>
      <w:r>
        <w:rPr>
          <w:rFonts w:hint="eastAsia"/>
          <w:color w:val="auto"/>
          <w:highlight w:val="none"/>
        </w:rPr>
        <w:t>投标人须知前附表”中的规定</w:t>
      </w:r>
      <w:r>
        <w:rPr>
          <w:color w:val="auto"/>
          <w:highlight w:val="none"/>
        </w:rPr>
        <w:t>扣除</w:t>
      </w:r>
      <w:r>
        <w:rPr>
          <w:rFonts w:hint="eastAsia"/>
          <w:color w:val="auto"/>
          <w:highlight w:val="none"/>
        </w:rPr>
        <w:t>，对小微企业中的监狱企业、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pPr>
        <w:pStyle w:val="37"/>
        <w:numPr>
          <w:ilvl w:val="0"/>
          <w:numId w:val="0"/>
        </w:numPr>
        <w:ind w:firstLine="480" w:firstLineChars="200"/>
        <w:jc w:val="both"/>
        <w:rPr>
          <w:rFonts w:ascii="宋体" w:hAnsi="宋体" w:eastAsia="宋体"/>
          <w:color w:val="auto"/>
          <w:highlight w:val="none"/>
        </w:rPr>
      </w:pPr>
      <w:r>
        <w:rPr>
          <w:rFonts w:hint="eastAsia" w:ascii="宋体" w:hAnsi="宋体" w:eastAsia="宋体"/>
          <w:color w:val="auto"/>
          <w:highlight w:val="none"/>
          <w:lang w:val="en-US" w:eastAsia="zh-CN"/>
        </w:rPr>
        <w:t>1</w:t>
      </w:r>
      <w:r>
        <w:rPr>
          <w:rFonts w:hint="eastAsia"/>
          <w:color w:val="auto"/>
          <w:highlight w:val="none"/>
          <w:lang w:val="en-US" w:eastAsia="zh-CN"/>
        </w:rPr>
        <w:t>3</w:t>
      </w:r>
      <w:r>
        <w:rPr>
          <w:rFonts w:hint="eastAsia" w:ascii="宋体" w:hAnsi="宋体" w:eastAsia="宋体"/>
          <w:color w:val="auto"/>
          <w:highlight w:val="none"/>
          <w:lang w:val="en-US" w:eastAsia="zh-CN"/>
        </w:rPr>
        <w:t>.</w:t>
      </w:r>
      <w:r>
        <w:rPr>
          <w:rFonts w:hint="eastAsia" w:ascii="宋体" w:hAnsi="宋体" w:eastAsia="宋体"/>
          <w:color w:val="auto"/>
          <w:highlight w:val="none"/>
          <w:lang w:val="zh-CN" w:eastAsia="zh-CN"/>
        </w:rPr>
        <w:t>2</w:t>
      </w:r>
      <w:r>
        <w:rPr>
          <w:rFonts w:ascii="宋体" w:hAnsi="宋体" w:eastAsia="宋体"/>
          <w:color w:val="auto"/>
          <w:highlight w:val="none"/>
        </w:rPr>
        <w:t>参加政府采购活动的小微企业</w:t>
      </w:r>
      <w:r>
        <w:rPr>
          <w:rFonts w:hint="eastAsia"/>
          <w:color w:val="auto"/>
          <w:highlight w:val="none"/>
        </w:rPr>
        <w:t>（含节能环保、创新产品企业）</w:t>
      </w:r>
      <w:r>
        <w:rPr>
          <w:rFonts w:ascii="宋体" w:hAnsi="宋体" w:eastAsia="宋体"/>
          <w:color w:val="auto"/>
          <w:highlight w:val="none"/>
        </w:rPr>
        <w:t>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olor w:val="auto"/>
          <w:highlight w:val="none"/>
          <w:lang w:val="en-US" w:eastAsia="zh-CN"/>
        </w:rPr>
        <w:t>若供应商同时属于小型或微型企业、监狱企业、残疾人福利性单位 中的两种及以上，将不重复享受小微企业价格扣减的优惠政策。</w:t>
      </w:r>
    </w:p>
    <w:p>
      <w:pPr>
        <w:pStyle w:val="37"/>
        <w:numPr>
          <w:ilvl w:val="0"/>
          <w:numId w:val="0"/>
        </w:numPr>
        <w:ind w:firstLine="480" w:firstLineChars="200"/>
        <w:jc w:val="both"/>
        <w:rPr>
          <w:rFonts w:hint="eastAsia"/>
          <w:color w:val="auto"/>
          <w:highlight w:val="none"/>
          <w:lang w:val="en-US" w:eastAsia="zh-CN"/>
        </w:rPr>
      </w:pPr>
      <w:r>
        <w:rPr>
          <w:rFonts w:hint="eastAsia"/>
          <w:color w:val="auto"/>
          <w:highlight w:val="none"/>
          <w:lang w:val="en-US" w:eastAsia="zh-CN"/>
        </w:rPr>
        <w:t>组成联合体或者接受分包的小微企业与联合体内其他企业、分包企业</w:t>
      </w:r>
      <w:r>
        <w:rPr>
          <w:rFonts w:hint="default"/>
          <w:color w:val="auto"/>
          <w:highlight w:val="none"/>
          <w:lang w:val="en-US" w:eastAsia="zh-CN"/>
        </w:rPr>
        <w:t>之间存在直接控股、管理关系的，不享受价格扣除优惠政策。</w:t>
      </w:r>
    </w:p>
    <w:p>
      <w:pPr>
        <w:pStyle w:val="37"/>
        <w:numPr>
          <w:ilvl w:val="0"/>
          <w:numId w:val="0"/>
        </w:numPr>
        <w:ind w:firstLine="480" w:firstLineChars="200"/>
        <w:jc w:val="both"/>
        <w:rPr>
          <w:rFonts w:ascii="宋体" w:hAnsi="宋体" w:eastAsia="宋体"/>
          <w:color w:val="auto"/>
          <w:highlight w:val="none"/>
        </w:rPr>
      </w:pPr>
      <w:r>
        <w:rPr>
          <w:rFonts w:ascii="宋体" w:hAnsi="宋体" w:eastAsia="宋体" w:cstheme="minorBidi"/>
          <w:color w:val="auto"/>
          <w:kern w:val="2"/>
          <w:sz w:val="24"/>
          <w:szCs w:val="22"/>
          <w:highlight w:val="none"/>
          <w:lang w:val="en-US" w:eastAsia="zh-CN" w:bidi="ar-SA"/>
        </w:rPr>
        <w:t>价格扣除比例对小型企业和微型企业同等对待，不作区分。</w:t>
      </w:r>
    </w:p>
    <w:p>
      <w:pPr>
        <w:pStyle w:val="37"/>
        <w:numPr>
          <w:ilvl w:val="0"/>
          <w:numId w:val="0"/>
        </w:numPr>
        <w:ind w:firstLine="480" w:firstLineChars="200"/>
        <w:jc w:val="both"/>
        <w:rPr>
          <w:rFonts w:ascii="宋体" w:hAnsi="宋体" w:eastAsia="宋体"/>
          <w:color w:val="auto"/>
          <w:highlight w:val="none"/>
        </w:rPr>
      </w:pPr>
      <w:r>
        <w:rPr>
          <w:rFonts w:hint="eastAsia" w:ascii="宋体" w:hAnsi="宋体" w:eastAsia="宋体"/>
          <w:color w:val="auto"/>
          <w:highlight w:val="none"/>
          <w:lang w:val="en-US" w:eastAsia="zh-CN"/>
        </w:rPr>
        <w:t>1</w:t>
      </w:r>
      <w:r>
        <w:rPr>
          <w:rFonts w:hint="eastAsia"/>
          <w:color w:val="auto"/>
          <w:highlight w:val="none"/>
          <w:lang w:val="en-US" w:eastAsia="zh-CN"/>
        </w:rPr>
        <w:t>3</w:t>
      </w:r>
      <w:r>
        <w:rPr>
          <w:rFonts w:hint="eastAsia" w:ascii="宋体" w:hAnsi="宋体" w:eastAsia="宋体"/>
          <w:color w:val="auto"/>
          <w:highlight w:val="none"/>
          <w:lang w:val="en-US" w:eastAsia="zh-CN"/>
        </w:rPr>
        <w:t>.</w:t>
      </w:r>
      <w:r>
        <w:rPr>
          <w:rFonts w:hint="eastAsia" w:ascii="宋体" w:hAnsi="宋体" w:eastAsia="宋体"/>
          <w:color w:val="auto"/>
          <w:highlight w:val="none"/>
          <w:lang w:val="zh-CN" w:eastAsia="zh-CN"/>
        </w:rPr>
        <w:t>3</w:t>
      </w:r>
      <w:r>
        <w:rPr>
          <w:rFonts w:ascii="宋体" w:hAnsi="宋体" w:eastAsia="宋体"/>
          <w:b/>
          <w:bCs/>
          <w:color w:val="auto"/>
          <w:highlight w:val="none"/>
        </w:rPr>
        <w:t>专门面向中小企业、预留部分采购份额面向中小企业采购的项目或采购包，评审时不再进行价格扣除。</w:t>
      </w:r>
    </w:p>
    <w:p>
      <w:pPr>
        <w:pStyle w:val="37"/>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color w:val="auto"/>
          <w:highlight w:val="none"/>
          <w:lang w:val="en-US" w:eastAsia="zh-CN"/>
        </w:rPr>
        <w:t>3</w:t>
      </w:r>
      <w:r>
        <w:rPr>
          <w:rFonts w:hint="eastAsia" w:ascii="宋体" w:hAnsi="宋体" w:eastAsia="宋体"/>
          <w:color w:val="auto"/>
          <w:highlight w:val="none"/>
          <w:lang w:val="en-US" w:eastAsia="zh-CN"/>
        </w:rPr>
        <w:t>.4</w:t>
      </w:r>
      <w:r>
        <w:rPr>
          <w:rFonts w:hint="eastAsia" w:ascii="宋体" w:hAnsi="宋体" w:eastAsia="宋体"/>
          <w:color w:val="auto"/>
          <w:highlight w:val="none"/>
        </w:rPr>
        <w:t>对于未预留份额专门面向中小企业的政府采购项目，以及预留份额政府采购项目中的非预留部分标项，对小型和微型企业的投标报价给予</w:t>
      </w:r>
      <w:r>
        <w:rPr>
          <w:rFonts w:hint="eastAsia"/>
          <w:color w:val="auto"/>
          <w:highlight w:val="none"/>
          <w:lang w:eastAsia="zh-CN"/>
        </w:rPr>
        <w:t>10%—20%</w:t>
      </w:r>
      <w:r>
        <w:rPr>
          <w:rFonts w:hint="eastAsia" w:ascii="宋体" w:hAnsi="宋体" w:eastAsia="宋体"/>
          <w:color w:val="auto"/>
          <w:highlight w:val="none"/>
        </w:rPr>
        <w:t>的扣除，用扣除后的价格参与评审。接受大中型企业与小微企业组成联合体或者允许大中型企业向一家或者多家小微企业分包的政府采购项目，对于联合</w:t>
      </w:r>
      <w:r>
        <w:rPr>
          <w:rFonts w:hint="eastAsia" w:ascii="宋体" w:hAnsi="宋体" w:eastAsia="宋体"/>
          <w:color w:val="auto"/>
          <w:highlight w:val="none"/>
          <w:lang w:val="en-US" w:eastAsia="zh-CN"/>
        </w:rPr>
        <w:t>体</w:t>
      </w:r>
      <w:r>
        <w:rPr>
          <w:rFonts w:hint="eastAsia" w:ascii="宋体" w:hAnsi="宋体" w:eastAsia="宋体"/>
          <w:color w:val="auto"/>
          <w:highlight w:val="none"/>
        </w:rPr>
        <w:t>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或者分包意向协议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约定小微企业的合同份额占到合同总金额30%以上的，对联合体或者大中型企业的报价给予</w:t>
      </w:r>
      <w:r>
        <w:rPr>
          <w:rFonts w:hint="eastAsia"/>
          <w:color w:val="auto"/>
          <w:highlight w:val="none"/>
          <w:lang w:eastAsia="zh-CN"/>
        </w:rPr>
        <w:t>4%—6%</w:t>
      </w:r>
      <w:r>
        <w:rPr>
          <w:rFonts w:hint="eastAsia" w:ascii="宋体" w:hAnsi="宋体" w:eastAsia="宋体"/>
          <w:color w:val="auto"/>
          <w:highlight w:val="none"/>
        </w:rPr>
        <w:t>的扣除，用扣除后的价格参加评审。组成联合体或者接受分包的小微企业与联合体内其他企业、分包企业之间存在直接控股、管理关系的，不享受价格扣除优惠政策。</w:t>
      </w:r>
    </w:p>
    <w:p>
      <w:pPr>
        <w:pStyle w:val="37"/>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供应商对其提供的产品出具《关于符合本国产品标准的声明函》（样式见附件1，以下简称《声明函》）或财政部会同有关部门规定的有关证明文件。出具符合要求的《声明函》或有关证明文件的，该产品视为本国产品。</w:t>
      </w:r>
    </w:p>
    <w:p>
      <w:pPr>
        <w:pStyle w:val="37"/>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37"/>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13.6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pPr>
        <w:pStyle w:val="37"/>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pPr>
        <w:pStyle w:val="37"/>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13.8对于仅有本国产品参与竞争的政府采购项目，本国产品不享受价格扣除评审优惠。</w:t>
      </w:r>
    </w:p>
    <w:p>
      <w:pPr>
        <w:pStyle w:val="37"/>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pPr>
        <w:pStyle w:val="37"/>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pPr>
        <w:pStyle w:val="37"/>
        <w:jc w:val="both"/>
        <w:rPr>
          <w:rFonts w:hint="eastAsia" w:ascii="宋体" w:hAnsi="宋体" w:eastAsia="宋体"/>
          <w:color w:val="auto"/>
          <w:highlight w:val="none"/>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10</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72" w:name="_Toc1351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372"/>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14.评标过程中，各项分值一般精确到小数点后两位，评标得分应为商务评分、技术评分、报价评分之和。评标委员会各成员应汇总每个投标人的得分。</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14.1.评标结果汇总完成后，采购代理机构应对评标结果进行复核。经复核发现存在以下情形之一的，</w:t>
      </w:r>
      <w:r>
        <w:rPr>
          <w:rFonts w:hint="eastAsia"/>
          <w:iCs/>
          <w:color w:val="auto"/>
          <w:spacing w:val="-6"/>
          <w:sz w:val="24"/>
          <w:highlight w:val="none"/>
          <w:lang w:val="en-US" w:eastAsia="zh-CN"/>
        </w:rPr>
        <w:t>评标委员会应当当场修改评标结果，并在评标报告中记载</w:t>
      </w:r>
      <w:r>
        <w:rPr>
          <w:rFonts w:hint="eastAsia"/>
          <w:color w:val="auto"/>
          <w:highlight w:val="none"/>
          <w:lang w:val="en-US" w:eastAsia="zh-CN"/>
        </w:rPr>
        <w:t>：</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s="宋体"/>
          <w:iCs/>
          <w:color w:val="auto"/>
          <w:kern w:val="2"/>
          <w:sz w:val="24"/>
          <w:szCs w:val="24"/>
          <w:highlight w:val="none"/>
          <w:shd w:val="clear" w:fill="FFFFFF" w:themeFill="background1"/>
          <w:lang w:val="en-US" w:eastAsia="zh-CN" w:bidi="ar-SA"/>
        </w:rPr>
        <w:t>（1）</w:t>
      </w:r>
      <w:r>
        <w:rPr>
          <w:rFonts w:hint="eastAsia"/>
          <w:color w:val="auto"/>
          <w:highlight w:val="none"/>
          <w:lang w:val="en-US" w:eastAsia="zh-CN"/>
        </w:rPr>
        <w:t>分值汇总计算错误的；</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（2）分项评分超出评分标准范围的；</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（3）评标委员会成员对客观评审因素评分不一致的；</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（4）经评标委员会认定评分畸高、畸低的。</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15.各投标人的最终得分为评标委员会所有成员对各投标人评标得分汇总后的算术平均值。</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15.2采购人或者采购代理机构不得通过对样品进行检测、对投标人进行考察等方式改变评审结果。</w:t>
      </w:r>
    </w:p>
    <w:p>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73" w:name="_Toc17225"/>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373"/>
    </w:p>
    <w:p>
      <w:pPr>
        <w:pStyle w:val="37"/>
        <w:jc w:val="both"/>
        <w:rPr>
          <w:rFonts w:hint="eastAsia"/>
          <w:color w:val="auto"/>
          <w:highlight w:val="none"/>
        </w:rPr>
      </w:pPr>
      <w:r>
        <w:rPr>
          <w:rFonts w:hint="eastAsia"/>
          <w:color w:val="auto"/>
          <w:highlight w:val="none"/>
          <w:lang w:val="en-US" w:eastAsia="zh-CN"/>
        </w:rPr>
        <w:t>16.</w:t>
      </w:r>
      <w:r>
        <w:rPr>
          <w:rFonts w:hint="eastAsia"/>
          <w:color w:val="auto"/>
          <w:highlight w:val="none"/>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Pr>
          <w:rFonts w:hint="eastAsia"/>
          <w:color w:val="auto"/>
          <w:highlight w:val="none"/>
          <w:lang w:val="en-US" w:eastAsia="zh-CN"/>
        </w:rPr>
        <w:t>按</w:t>
      </w:r>
      <w:r>
        <w:rPr>
          <w:rFonts w:hint="eastAsia"/>
          <w:color w:val="auto"/>
          <w:highlight w:val="none"/>
        </w:rPr>
        <w:t>技术指标</w:t>
      </w:r>
      <w:r>
        <w:rPr>
          <w:rFonts w:hint="eastAsia"/>
          <w:color w:val="auto"/>
          <w:highlight w:val="none"/>
          <w:lang w:val="en-US" w:eastAsia="zh-CN"/>
        </w:rPr>
        <w:t>优劣顺序排列</w:t>
      </w:r>
      <w:r>
        <w:rPr>
          <w:rFonts w:hint="eastAsia"/>
          <w:color w:val="auto"/>
          <w:highlight w:val="none"/>
        </w:rPr>
        <w:t>。</w:t>
      </w:r>
    </w:p>
    <w:p>
      <w:pPr>
        <w:pStyle w:val="37"/>
        <w:jc w:val="both"/>
        <w:rPr>
          <w:color w:val="auto"/>
          <w:highlight w:val="none"/>
        </w:rPr>
      </w:pPr>
      <w:r>
        <w:rPr>
          <w:rFonts w:hint="eastAsia"/>
          <w:color w:val="auto"/>
          <w:highlight w:val="none"/>
          <w:lang w:val="en-US" w:eastAsia="zh-CN"/>
        </w:rPr>
        <w:t>17.</w:t>
      </w:r>
      <w:r>
        <w:rPr>
          <w:rFonts w:hint="eastAsia"/>
          <w:color w:val="auto"/>
          <w:highlight w:val="none"/>
        </w:rPr>
        <w:t>中标候选人</w:t>
      </w:r>
      <w:r>
        <w:rPr>
          <w:rFonts w:hint="eastAsia"/>
          <w:color w:val="auto"/>
          <w:highlight w:val="none"/>
          <w:lang w:val="en-US" w:eastAsia="zh-CN"/>
        </w:rPr>
        <w:t>推荐家数详</w:t>
      </w:r>
      <w:r>
        <w:rPr>
          <w:rFonts w:hint="eastAsia"/>
          <w:color w:val="auto"/>
          <w:highlight w:val="none"/>
        </w:rPr>
        <w:t>见“</w:t>
      </w:r>
      <w:r>
        <w:rPr>
          <w:rFonts w:hint="eastAsia"/>
          <w:color w:val="auto"/>
          <w:highlight w:val="none"/>
          <w:lang w:val="en-US" w:eastAsia="zh-CN"/>
        </w:rPr>
        <w:t>投标人须知</w:t>
      </w:r>
      <w:r>
        <w:rPr>
          <w:rFonts w:hint="eastAsia"/>
          <w:color w:val="auto"/>
          <w:highlight w:val="none"/>
        </w:rPr>
        <w:t>前附表”。</w:t>
      </w:r>
    </w:p>
    <w:p>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74" w:name="_Toc2157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374"/>
    </w:p>
    <w:p>
      <w:pPr>
        <w:pStyle w:val="37"/>
        <w:jc w:val="both"/>
        <w:rPr>
          <w:color w:val="auto"/>
          <w:highlight w:val="none"/>
        </w:rPr>
      </w:pPr>
      <w:r>
        <w:rPr>
          <w:rFonts w:hint="eastAsia"/>
          <w:color w:val="auto"/>
          <w:highlight w:val="none"/>
          <w:lang w:val="en-US" w:eastAsia="zh-CN"/>
        </w:rPr>
        <w:t>18.</w:t>
      </w:r>
      <w:r>
        <w:rPr>
          <w:rFonts w:hint="eastAsia"/>
          <w:color w:val="auto"/>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75" w:name="_Toc102056217"/>
      <w:bookmarkStart w:id="376" w:name="_Toc163492906"/>
      <w:bookmarkStart w:id="377" w:name="_Toc102119852"/>
      <w:bookmarkStart w:id="378" w:name="_Toc102116021"/>
      <w:bookmarkStart w:id="379" w:name="_Toc155185913"/>
      <w:bookmarkStart w:id="380" w:name="_Toc102116151"/>
      <w:bookmarkStart w:id="381" w:name="_Toc102114919"/>
      <w:bookmarkStart w:id="382" w:name="_Toc1587"/>
      <w:bookmarkStart w:id="383" w:name="_Toc10205771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75"/>
      <w:bookmarkEnd w:id="376"/>
      <w:bookmarkEnd w:id="377"/>
      <w:bookmarkEnd w:id="378"/>
      <w:bookmarkEnd w:id="379"/>
      <w:bookmarkEnd w:id="380"/>
      <w:bookmarkEnd w:id="381"/>
      <w:bookmarkEnd w:id="382"/>
      <w:bookmarkEnd w:id="383"/>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19.投标人存在下列情形之一的，</w:t>
      </w:r>
      <w:r>
        <w:rPr>
          <w:rFonts w:hint="eastAsia"/>
          <w:b/>
          <w:bCs/>
          <w:color w:val="auto"/>
          <w:highlight w:val="none"/>
          <w:lang w:val="en-US" w:eastAsia="zh-CN"/>
        </w:rPr>
        <w:t>投标无效</w:t>
      </w:r>
      <w:r>
        <w:rPr>
          <w:rFonts w:hint="eastAsia"/>
          <w:color w:val="auto"/>
          <w:highlight w:val="none"/>
          <w:lang w:val="en-US" w:eastAsia="zh-CN"/>
        </w:rPr>
        <w:t>：</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投标人</w:t>
      </w:r>
      <w:r>
        <w:rPr>
          <w:rFonts w:hint="eastAsia"/>
          <w:color w:val="auto"/>
          <w:highlight w:val="none"/>
          <w:lang w:val="zh-CN" w:eastAsia="zh-CN"/>
        </w:rPr>
        <w:t>不具备《中华人民共和国政府采购法》第二十二条规定条件</w:t>
      </w:r>
      <w:r>
        <w:rPr>
          <w:rFonts w:hint="eastAsia"/>
          <w:color w:val="auto"/>
          <w:highlight w:val="none"/>
          <w:lang w:val="en-US" w:eastAsia="zh-CN"/>
        </w:rPr>
        <w:t>；</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eastAsia="宋体"/>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2</w:t>
      </w:r>
      <w:r>
        <w:rPr>
          <w:rFonts w:hint="eastAsia"/>
          <w:color w:val="auto"/>
          <w:highlight w:val="none"/>
        </w:rPr>
        <w:t>投标文件未按招标文件要求签署、盖章的</w:t>
      </w:r>
      <w:r>
        <w:rPr>
          <w:rFonts w:hint="eastAsia"/>
          <w:color w:val="auto"/>
          <w:highlight w:val="none"/>
          <w:lang w:val="en-US" w:eastAsia="zh-CN"/>
        </w:rPr>
        <w:t>；</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3</w:t>
      </w:r>
      <w:r>
        <w:rPr>
          <w:rFonts w:hint="eastAsia"/>
          <w:color w:val="auto"/>
          <w:highlight w:val="none"/>
          <w:lang w:val="en-US" w:eastAsia="zh-CN"/>
        </w:rPr>
        <w:t>不具备招标文件中规定的资格要求的（投标人未提供有效资格文件的，视为投标人不具备招标文件中规定的资格要求）；</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4</w:t>
      </w:r>
      <w:r>
        <w:rPr>
          <w:rFonts w:hint="eastAsia"/>
          <w:color w:val="auto"/>
          <w:highlight w:val="none"/>
          <w:lang w:val="en-US" w:eastAsia="zh-CN"/>
        </w:rPr>
        <w:t>投标</w:t>
      </w:r>
      <w:r>
        <w:rPr>
          <w:rFonts w:hint="eastAsia"/>
          <w:color w:val="auto"/>
          <w:highlight w:val="none"/>
          <w:lang w:val="zh-CN" w:eastAsia="zh-CN"/>
        </w:rPr>
        <w:t>文件提供虚假材料的</w:t>
      </w:r>
      <w:r>
        <w:rPr>
          <w:rFonts w:hint="eastAsia"/>
          <w:color w:val="auto"/>
          <w:highlight w:val="none"/>
          <w:lang w:val="en-US" w:eastAsia="zh-CN"/>
        </w:rPr>
        <w:t>；</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5</w:t>
      </w:r>
      <w:r>
        <w:rPr>
          <w:rFonts w:hint="eastAsia"/>
          <w:color w:val="auto"/>
          <w:highlight w:val="none"/>
          <w:lang w:val="en-US" w:eastAsia="zh-CN"/>
        </w:rPr>
        <w:t>投标</w:t>
      </w:r>
      <w:r>
        <w:rPr>
          <w:rFonts w:hint="eastAsia"/>
          <w:color w:val="auto"/>
          <w:highlight w:val="none"/>
          <w:lang w:val="zh-CN" w:eastAsia="zh-CN"/>
        </w:rPr>
        <w:t>文件不满足</w:t>
      </w:r>
      <w:r>
        <w:rPr>
          <w:rFonts w:hint="eastAsia"/>
          <w:color w:val="auto"/>
          <w:highlight w:val="none"/>
          <w:lang w:val="en-US" w:eastAsia="zh-CN"/>
        </w:rPr>
        <w:t>招标</w:t>
      </w:r>
      <w:r>
        <w:rPr>
          <w:rFonts w:hint="eastAsia"/>
          <w:color w:val="auto"/>
          <w:highlight w:val="none"/>
          <w:lang w:val="zh-CN" w:eastAsia="zh-CN"/>
        </w:rPr>
        <w:t>文件中标注“★”号的实质性条款（或指标）要求的</w:t>
      </w:r>
      <w:r>
        <w:rPr>
          <w:rFonts w:hint="eastAsia"/>
          <w:color w:val="auto"/>
          <w:highlight w:val="none"/>
          <w:lang w:val="en-US" w:eastAsia="zh-CN"/>
        </w:rPr>
        <w:t>；</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6</w:t>
      </w:r>
      <w:r>
        <w:rPr>
          <w:rFonts w:hint="eastAsia"/>
          <w:color w:val="auto"/>
          <w:highlight w:val="none"/>
          <w:lang w:val="en-US" w:eastAsia="zh-CN"/>
        </w:rPr>
        <w:t>投标人</w:t>
      </w:r>
      <w:r>
        <w:rPr>
          <w:rFonts w:hint="eastAsia"/>
          <w:color w:val="auto"/>
          <w:highlight w:val="none"/>
          <w:lang w:val="zh-CN" w:eastAsia="zh-CN"/>
        </w:rPr>
        <w:t>报价超过招标文件中规定的</w:t>
      </w:r>
      <w:r>
        <w:rPr>
          <w:rFonts w:hint="eastAsia" w:ascii="宋体" w:hAnsi="宋体" w:eastAsia="宋体"/>
          <w:color w:val="auto"/>
          <w:highlight w:val="none"/>
          <w:lang w:val="en-US" w:eastAsia="zh-CN"/>
        </w:rPr>
        <w:t>最高限价或者预算金额</w:t>
      </w:r>
      <w:r>
        <w:rPr>
          <w:rFonts w:hint="eastAsia"/>
          <w:color w:val="auto"/>
          <w:highlight w:val="none"/>
          <w:lang w:val="zh-CN" w:eastAsia="zh-CN"/>
        </w:rPr>
        <w:t>的</w:t>
      </w:r>
      <w:r>
        <w:rPr>
          <w:rFonts w:hint="eastAsia"/>
          <w:color w:val="auto"/>
          <w:highlight w:val="none"/>
          <w:lang w:val="en-US" w:eastAsia="zh-CN"/>
        </w:rPr>
        <w:t>；</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7联合体的供应商未提交各方共同签署的</w:t>
      </w:r>
      <w:r>
        <w:rPr>
          <w:rFonts w:hint="eastAsia"/>
          <w:color w:val="auto"/>
          <w:highlight w:val="none"/>
          <w:lang w:val="en-US" w:eastAsia="zh-CN"/>
        </w:rPr>
        <w:t>联合体</w:t>
      </w:r>
      <w:r>
        <w:rPr>
          <w:rFonts w:hint="eastAsia"/>
          <w:color w:val="auto"/>
          <w:highlight w:val="none"/>
          <w:lang w:val="zh-CN" w:eastAsia="zh-CN"/>
        </w:rPr>
        <w:t>协议</w:t>
      </w:r>
      <w:r>
        <w:rPr>
          <w:rFonts w:hint="eastAsia"/>
          <w:color w:val="auto"/>
          <w:highlight w:val="none"/>
          <w:lang w:val="en-US" w:eastAsia="zh-CN"/>
        </w:rPr>
        <w:t>的；</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8</w:t>
      </w:r>
      <w:r>
        <w:rPr>
          <w:rFonts w:hint="eastAsia"/>
          <w:color w:val="auto"/>
          <w:highlight w:val="none"/>
          <w:lang w:val="en-US" w:eastAsia="zh-CN"/>
        </w:rPr>
        <w:t>投标人</w:t>
      </w:r>
      <w:r>
        <w:rPr>
          <w:rFonts w:hint="eastAsia"/>
          <w:color w:val="auto"/>
          <w:highlight w:val="none"/>
          <w:lang w:val="zh-CN" w:eastAsia="zh-CN"/>
        </w:rPr>
        <w:t>未按</w:t>
      </w:r>
      <w:r>
        <w:rPr>
          <w:rFonts w:hint="eastAsia"/>
          <w:color w:val="auto"/>
          <w:highlight w:val="none"/>
          <w:lang w:val="en-US" w:eastAsia="zh-CN"/>
        </w:rPr>
        <w:t>招标</w:t>
      </w:r>
      <w:r>
        <w:rPr>
          <w:rFonts w:hint="eastAsia"/>
          <w:color w:val="auto"/>
          <w:highlight w:val="none"/>
          <w:lang w:val="zh-CN" w:eastAsia="zh-CN"/>
        </w:rPr>
        <w:t>文件</w:t>
      </w:r>
      <w:r>
        <w:rPr>
          <w:rFonts w:hint="eastAsia"/>
          <w:color w:val="auto"/>
          <w:highlight w:val="none"/>
          <w:lang w:val="en-US" w:eastAsia="zh-CN"/>
        </w:rPr>
        <w:t>的规定</w:t>
      </w:r>
      <w:r>
        <w:rPr>
          <w:rFonts w:hint="eastAsia"/>
          <w:color w:val="auto"/>
          <w:highlight w:val="none"/>
          <w:lang w:val="zh-CN" w:eastAsia="zh-CN"/>
        </w:rPr>
        <w:t>交纳投标保证金</w:t>
      </w:r>
      <w:r>
        <w:rPr>
          <w:rFonts w:hint="eastAsia"/>
          <w:color w:val="auto"/>
          <w:highlight w:val="none"/>
          <w:lang w:val="en-US" w:eastAsia="zh-CN"/>
        </w:rPr>
        <w:t>的；</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9评审期间，</w:t>
      </w:r>
      <w:r>
        <w:rPr>
          <w:rFonts w:hint="eastAsia"/>
          <w:color w:val="auto"/>
          <w:highlight w:val="none"/>
          <w:lang w:val="en-US" w:eastAsia="zh-CN"/>
        </w:rPr>
        <w:t>投标人</w:t>
      </w:r>
      <w:r>
        <w:rPr>
          <w:rFonts w:hint="eastAsia"/>
          <w:color w:val="auto"/>
          <w:highlight w:val="none"/>
          <w:lang w:val="zh-CN" w:eastAsia="zh-CN"/>
        </w:rPr>
        <w:t>没有按评标委员会的要求提交经授权代表签字的澄清、说明、补正或改变了</w:t>
      </w:r>
      <w:r>
        <w:rPr>
          <w:rFonts w:hint="eastAsia"/>
          <w:color w:val="auto"/>
          <w:highlight w:val="none"/>
          <w:lang w:val="en-US" w:eastAsia="zh-CN"/>
        </w:rPr>
        <w:t>投标</w:t>
      </w:r>
      <w:r>
        <w:rPr>
          <w:rFonts w:hint="eastAsia"/>
          <w:color w:val="auto"/>
          <w:highlight w:val="none"/>
          <w:lang w:val="zh-CN" w:eastAsia="zh-CN"/>
        </w:rPr>
        <w:t>文件的实质性内容</w:t>
      </w:r>
      <w:r>
        <w:rPr>
          <w:rFonts w:hint="eastAsia"/>
          <w:color w:val="auto"/>
          <w:highlight w:val="none"/>
          <w:lang w:val="en-US" w:eastAsia="zh-CN"/>
        </w:rPr>
        <w:t>的；</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10</w:t>
      </w:r>
      <w:r>
        <w:rPr>
          <w:rFonts w:hint="eastAsia"/>
          <w:color w:val="auto"/>
          <w:highlight w:val="none"/>
          <w:lang w:val="en-US" w:eastAsia="zh-CN"/>
        </w:rPr>
        <w:t>投标人</w:t>
      </w:r>
      <w:r>
        <w:rPr>
          <w:rFonts w:hint="eastAsia"/>
          <w:color w:val="auto"/>
          <w:highlight w:val="none"/>
          <w:lang w:val="zh-CN" w:eastAsia="zh-CN"/>
        </w:rPr>
        <w:t>对采购人、采购代理机构、评标委员会及其工作人员施加影响，有碍公平、公正</w:t>
      </w:r>
      <w:r>
        <w:rPr>
          <w:rFonts w:hint="eastAsia"/>
          <w:color w:val="auto"/>
          <w:highlight w:val="none"/>
          <w:lang w:val="en-US" w:eastAsia="zh-CN"/>
        </w:rPr>
        <w:t>的；</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default"/>
          <w:color w:val="auto"/>
          <w:highlight w:val="none"/>
          <w:lang w:val="en-US" w:eastAsia="zh-CN"/>
        </w:rPr>
      </w:pPr>
      <w:r>
        <w:rPr>
          <w:rFonts w:hint="eastAsia"/>
          <w:color w:val="auto"/>
          <w:highlight w:val="none"/>
          <w:lang w:val="en-US" w:eastAsia="zh-CN"/>
        </w:rPr>
        <w:t>19.11投标文件含有采购人不能接受的附加条件的；</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2法律法规</w:t>
      </w:r>
      <w:r>
        <w:rPr>
          <w:rFonts w:hint="eastAsia"/>
          <w:color w:val="auto"/>
          <w:highlight w:val="none"/>
          <w:lang w:val="zh-CN" w:eastAsia="zh-CN"/>
        </w:rPr>
        <w:t>、规章规定属于</w:t>
      </w:r>
      <w:r>
        <w:rPr>
          <w:rFonts w:hint="eastAsia"/>
          <w:color w:val="auto"/>
          <w:highlight w:val="none"/>
          <w:lang w:val="en-US" w:eastAsia="zh-CN"/>
        </w:rPr>
        <w:t>投标</w:t>
      </w:r>
      <w:r>
        <w:rPr>
          <w:rFonts w:hint="eastAsia"/>
          <w:color w:val="auto"/>
          <w:highlight w:val="none"/>
          <w:lang w:val="zh-CN" w:eastAsia="zh-CN"/>
        </w:rPr>
        <w:t>无效的其他情形。</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20.有下列情形之一的，视为投标人串通投标，其</w:t>
      </w:r>
      <w:r>
        <w:rPr>
          <w:rFonts w:hint="eastAsia"/>
          <w:b/>
          <w:bCs/>
          <w:color w:val="auto"/>
          <w:highlight w:val="none"/>
          <w:lang w:val="en-US" w:eastAsia="zh-CN"/>
        </w:rPr>
        <w:t>投标无效</w:t>
      </w:r>
      <w:r>
        <w:rPr>
          <w:rFonts w:hint="eastAsia"/>
          <w:color w:val="auto"/>
          <w:highlight w:val="none"/>
          <w:lang w:val="en-US" w:eastAsia="zh-CN"/>
        </w:rPr>
        <w:t>：</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20.1不同投标人的投标文件由同一单位或者个人编制；</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20.2不同投标人委托同一单位或者个人办理投标事宜；</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20.3不同投标人的投标文件载明的项目管理成员或者联系人员为同一人；</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20.4不同投标人的投标文件异常一致或者投标报价呈规律性差异；</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20.5不同投标人的投标文件相互混装；</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20.6不同投标人的投标保证金从同一单位或者个人的账户转出；</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20.7</w:t>
      </w:r>
      <w:r>
        <w:rPr>
          <w:rFonts w:hint="eastAsia"/>
          <w:color w:val="auto"/>
          <w:highlight w:val="none"/>
          <w:lang w:val="zh-CN" w:eastAsia="zh-CN"/>
        </w:rPr>
        <w:t>不同投标人使用同一电脑（机器特征值一致：如MAC地址等）或使用同一电子密钥，编制或上传电子投标文件</w:t>
      </w:r>
      <w:r>
        <w:rPr>
          <w:rFonts w:hint="eastAsia"/>
          <w:color w:val="auto"/>
          <w:highlight w:val="none"/>
          <w:lang w:val="en-US" w:eastAsia="zh-CN"/>
        </w:rPr>
        <w:t>；</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default" w:eastAsia="宋体"/>
          <w:color w:val="auto"/>
          <w:highlight w:val="none"/>
          <w:lang w:val="en-US" w:eastAsia="zh-CN"/>
        </w:rPr>
      </w:pPr>
      <w:r>
        <w:rPr>
          <w:rFonts w:hint="eastAsia"/>
          <w:color w:val="auto"/>
          <w:highlight w:val="none"/>
          <w:lang w:val="en-US" w:eastAsia="zh-CN"/>
        </w:rPr>
        <w:t>20.8法律法规、规章规定属于投标人串通投标的其他情形</w:t>
      </w:r>
      <w:r>
        <w:rPr>
          <w:rFonts w:hint="eastAsia"/>
          <w:color w:val="auto"/>
          <w:highlight w:val="none"/>
          <w:lang w:val="zh-CN" w:eastAsia="zh-CN"/>
        </w:rPr>
        <w:t>。</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w:t>
      </w:r>
      <w:r>
        <w:rPr>
          <w:rFonts w:hint="eastAsia"/>
          <w:color w:val="auto"/>
          <w:highlight w:val="none"/>
        </w:rPr>
        <w:t>根据《中华人民共和国政府采购法》第三十六条之规定，在招标采购过程中，出现下列情形之一的，应予</w:t>
      </w:r>
      <w:r>
        <w:rPr>
          <w:rFonts w:hint="eastAsia"/>
          <w:b/>
          <w:bCs/>
          <w:color w:val="auto"/>
          <w:highlight w:val="none"/>
        </w:rPr>
        <w:t>废标</w:t>
      </w:r>
      <w:r>
        <w:rPr>
          <w:rFonts w:hint="eastAsia"/>
          <w:color w:val="auto"/>
          <w:highlight w:val="none"/>
        </w:rPr>
        <w:t>：</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.1</w:t>
      </w:r>
      <w:r>
        <w:rPr>
          <w:rFonts w:hint="eastAsia"/>
          <w:iCs/>
          <w:color w:val="auto"/>
          <w:spacing w:val="-6"/>
          <w:sz w:val="24"/>
          <w:highlight w:val="none"/>
        </w:rPr>
        <w:t>符合专业条件的供应商或者对招标文件作实质响应的供应商不足3家的；</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.2</w:t>
      </w:r>
      <w:r>
        <w:rPr>
          <w:rFonts w:hint="eastAsia"/>
          <w:color w:val="auto"/>
          <w:highlight w:val="none"/>
        </w:rPr>
        <w:t>出现影响采购公正的违法、违规行为的；</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.3</w:t>
      </w:r>
      <w:r>
        <w:rPr>
          <w:rFonts w:hint="eastAsia"/>
          <w:color w:val="auto"/>
          <w:highlight w:val="none"/>
        </w:rPr>
        <w:t>投标人的报价均超过了采购预算，采购人不能支付的；</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21</w:t>
      </w:r>
      <w:r>
        <w:rPr>
          <w:color w:val="auto"/>
          <w:highlight w:val="none"/>
        </w:rPr>
        <w:t>.4</w:t>
      </w:r>
      <w:r>
        <w:rPr>
          <w:rFonts w:hint="eastAsia"/>
          <w:color w:val="auto"/>
          <w:highlight w:val="none"/>
        </w:rPr>
        <w:t>因重大变故，采购任务取消的</w:t>
      </w:r>
      <w:r>
        <w:rPr>
          <w:rFonts w:hint="eastAsia"/>
          <w:color w:val="auto"/>
          <w:highlight w:val="none"/>
          <w:lang w:val="en-US" w:eastAsia="zh-CN"/>
        </w:rPr>
        <w:t>；</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21.5法律法规</w:t>
      </w:r>
      <w:r>
        <w:rPr>
          <w:rFonts w:hint="eastAsia"/>
          <w:color w:val="auto"/>
          <w:highlight w:val="none"/>
        </w:rPr>
        <w:t>、规章规定属于</w:t>
      </w:r>
      <w:r>
        <w:rPr>
          <w:rFonts w:hint="eastAsia"/>
          <w:color w:val="auto"/>
          <w:highlight w:val="none"/>
          <w:lang w:val="en-US" w:eastAsia="zh-CN"/>
        </w:rPr>
        <w:t>废标</w:t>
      </w:r>
      <w:r>
        <w:rPr>
          <w:rFonts w:hint="eastAsia"/>
          <w:color w:val="auto"/>
          <w:highlight w:val="none"/>
        </w:rPr>
        <w:t>的其他情形。</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22.</w:t>
      </w:r>
      <w:r>
        <w:rPr>
          <w:rFonts w:hint="eastAsia"/>
          <w:color w:val="auto"/>
          <w:highlight w:val="none"/>
        </w:rPr>
        <w:t>废标后，采购人应当将废标理由通知所有投标人。</w:t>
      </w:r>
    </w:p>
    <w:p>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84" w:name="_Toc163492907"/>
      <w:bookmarkStart w:id="385" w:name="_Toc102056218"/>
      <w:bookmarkStart w:id="386" w:name="_Toc12911"/>
      <w:bookmarkStart w:id="387" w:name="_Toc155185914"/>
      <w:bookmarkStart w:id="388" w:name="_Toc102119853"/>
      <w:bookmarkStart w:id="389" w:name="_Toc102057718"/>
      <w:bookmarkStart w:id="390" w:name="_Toc102116152"/>
      <w:bookmarkStart w:id="391" w:name="_Toc102114920"/>
      <w:bookmarkStart w:id="392" w:name="_Toc10211602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84"/>
      <w:bookmarkEnd w:id="385"/>
      <w:bookmarkEnd w:id="386"/>
      <w:bookmarkEnd w:id="387"/>
      <w:bookmarkEnd w:id="388"/>
      <w:bookmarkEnd w:id="389"/>
      <w:bookmarkEnd w:id="390"/>
      <w:bookmarkEnd w:id="391"/>
      <w:bookmarkEnd w:id="392"/>
    </w:p>
    <w:p>
      <w:pPr>
        <w:pStyle w:val="37"/>
        <w:jc w:val="both"/>
        <w:rPr>
          <w:rFonts w:hint="eastAsia"/>
          <w:color w:val="auto"/>
          <w:highlight w:val="none"/>
        </w:rPr>
      </w:pPr>
      <w:r>
        <w:rPr>
          <w:rFonts w:hint="eastAsia"/>
          <w:color w:val="auto"/>
          <w:highlight w:val="none"/>
          <w:lang w:val="en-US" w:eastAsia="zh-CN"/>
        </w:rPr>
        <w:t>23</w:t>
      </w:r>
      <w:r>
        <w:rPr>
          <w:color w:val="auto"/>
          <w:highlight w:val="none"/>
        </w:rPr>
        <w:t>.</w:t>
      </w:r>
      <w:r>
        <w:rPr>
          <w:rFonts w:hint="eastAsia"/>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93" w:name="_Toc2192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393"/>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有</w:t>
      </w:r>
      <w:r>
        <w:rPr>
          <w:rFonts w:hint="eastAsia"/>
          <w:color w:val="auto"/>
          <w:highlight w:val="none"/>
          <w:lang w:eastAsia="zh-CN"/>
        </w:rPr>
        <w:t>《</w:t>
      </w:r>
      <w:r>
        <w:rPr>
          <w:rFonts w:hint="eastAsia"/>
          <w:color w:val="auto"/>
          <w:highlight w:val="none"/>
        </w:rPr>
        <w:t>中华人民共和国政府采购法</w:t>
      </w:r>
      <w:r>
        <w:rPr>
          <w:rFonts w:hint="eastAsia"/>
          <w:color w:val="auto"/>
          <w:highlight w:val="none"/>
          <w:lang w:eastAsia="zh-CN"/>
        </w:rPr>
        <w:t>》</w:t>
      </w:r>
      <w:r>
        <w:rPr>
          <w:rFonts w:hint="eastAsia"/>
          <w:color w:val="auto"/>
          <w:highlight w:val="none"/>
        </w:rPr>
        <w:t>第七十一条、第七十二条规定的违法行为之一，影响或者可能影响中标结果的，依照下列规定处理：</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.1</w:t>
      </w:r>
      <w:r>
        <w:rPr>
          <w:rFonts w:hint="eastAsia"/>
          <w:iCs/>
          <w:color w:val="auto"/>
          <w:spacing w:val="-6"/>
          <w:sz w:val="24"/>
          <w:highlight w:val="none"/>
        </w:rPr>
        <w:t>未确定中标供应商的，终止本次政府采购活动，重新开展政府采购活动。</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.2已确定中标供应商但尚未签订政府采购合同的，中标结果无效，从合格的中标候选人中另行确定中标供应商；没有合格的中标候选人的，重新开展政府采购活动。</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.3政府采购合同已签订但尚未履行的，撤销合同，从合格的中标候选人中另行确定中标供应商；没有合格的中标候选人的，重新开展政府采购活动。</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.4政府采购合同已经履行，给采购人、供应商造成损失的，由责任人承担赔偿责任。</w:t>
      </w:r>
    </w:p>
    <w:p>
      <w:pPr>
        <w:pStyle w:val="37"/>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24</w:t>
      </w:r>
      <w:r>
        <w:rPr>
          <w:rFonts w:hint="eastAsia"/>
          <w:color w:val="auto"/>
          <w:highlight w:val="none"/>
        </w:rPr>
        <w:t>.5政府采购当事人有其他违反</w:t>
      </w:r>
      <w:r>
        <w:rPr>
          <w:rFonts w:hint="eastAsia"/>
          <w:iCs/>
          <w:color w:val="auto"/>
          <w:spacing w:val="-6"/>
          <w:sz w:val="24"/>
          <w:highlight w:val="none"/>
          <w:lang w:eastAsia="zh-CN"/>
        </w:rPr>
        <w:t>《</w:t>
      </w:r>
      <w:r>
        <w:rPr>
          <w:rFonts w:hint="eastAsia"/>
          <w:iCs/>
          <w:color w:val="auto"/>
          <w:spacing w:val="-6"/>
          <w:sz w:val="24"/>
          <w:highlight w:val="none"/>
        </w:rPr>
        <w:t>中华人民共和国政府采购法</w:t>
      </w:r>
      <w:r>
        <w:rPr>
          <w:rFonts w:hint="eastAsia"/>
          <w:iCs/>
          <w:color w:val="auto"/>
          <w:spacing w:val="-6"/>
          <w:sz w:val="24"/>
          <w:highlight w:val="none"/>
          <w:lang w:eastAsia="zh-CN"/>
        </w:rPr>
        <w:t>》</w:t>
      </w:r>
      <w:r>
        <w:rPr>
          <w:rFonts w:hint="eastAsia"/>
          <w:iCs/>
          <w:color w:val="auto"/>
          <w:spacing w:val="-6"/>
          <w:sz w:val="24"/>
          <w:highlight w:val="none"/>
        </w:rPr>
        <w:t>或者</w:t>
      </w:r>
      <w:r>
        <w:rPr>
          <w:rFonts w:hint="eastAsia"/>
          <w:iCs/>
          <w:color w:val="auto"/>
          <w:spacing w:val="-6"/>
          <w:sz w:val="24"/>
          <w:highlight w:val="none"/>
          <w:lang w:eastAsia="zh-CN"/>
        </w:rPr>
        <w:t>《</w:t>
      </w:r>
      <w:r>
        <w:rPr>
          <w:rFonts w:hint="eastAsia"/>
          <w:iCs/>
          <w:color w:val="auto"/>
          <w:spacing w:val="-6"/>
          <w:sz w:val="24"/>
          <w:highlight w:val="none"/>
        </w:rPr>
        <w:t>中华人民共和国政府采购法实施条例</w:t>
      </w:r>
      <w:r>
        <w:rPr>
          <w:rFonts w:hint="eastAsia"/>
          <w:iCs/>
          <w:color w:val="auto"/>
          <w:spacing w:val="-6"/>
          <w:sz w:val="24"/>
          <w:highlight w:val="none"/>
          <w:lang w:eastAsia="zh-CN"/>
        </w:rPr>
        <w:t>》</w:t>
      </w:r>
      <w:r>
        <w:rPr>
          <w:rFonts w:hint="eastAsia"/>
          <w:color w:val="auto"/>
          <w:highlight w:val="none"/>
        </w:rPr>
        <w:t>等法律法规规定的行为，经改正后仍然影响或者可能影响中标结果或者依法被认定为中标无效的，依照</w:t>
      </w:r>
      <w:r>
        <w:rPr>
          <w:rFonts w:hint="eastAsia"/>
          <w:color w:val="auto"/>
          <w:highlight w:val="none"/>
          <w:lang w:val="en-US" w:eastAsia="zh-CN"/>
        </w:rPr>
        <w:t>24</w:t>
      </w:r>
      <w:r>
        <w:rPr>
          <w:rFonts w:hint="eastAsia"/>
          <w:color w:val="auto"/>
          <w:highlight w:val="none"/>
        </w:rPr>
        <w:t>.1</w:t>
      </w:r>
      <w:r>
        <w:rPr>
          <w:rFonts w:hint="eastAsia"/>
          <w:color w:val="auto"/>
          <w:highlight w:val="none"/>
          <w:lang w:eastAsia="zh-CN"/>
        </w:rPr>
        <w:t>—</w:t>
      </w:r>
      <w:r>
        <w:rPr>
          <w:rFonts w:hint="eastAsia"/>
          <w:color w:val="auto"/>
          <w:highlight w:val="none"/>
          <w:lang w:val="en-US" w:eastAsia="zh-CN"/>
        </w:rPr>
        <w:t>24</w:t>
      </w:r>
      <w:r>
        <w:rPr>
          <w:rFonts w:hint="eastAsia"/>
          <w:color w:val="auto"/>
          <w:highlight w:val="none"/>
        </w:rPr>
        <w:t>.4规定处理。</w:t>
      </w:r>
    </w:p>
    <w:bookmarkEnd w:id="348"/>
    <w:bookmarkEnd w:id="349"/>
    <w:bookmarkEnd w:id="350"/>
    <w:bookmarkEnd w:id="351"/>
    <w:bookmarkEnd w:id="352"/>
    <w:bookmarkEnd w:id="353"/>
    <w:bookmarkEnd w:id="354"/>
    <w:bookmarkEnd w:id="355"/>
    <w:bookmarkEnd w:id="356"/>
    <w:bookmarkEnd w:id="357"/>
    <w:p>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94" w:name="_Toc5253"/>
      <w:bookmarkStart w:id="395" w:name="_Toc27267"/>
      <w:r>
        <w:rPr>
          <w:rFonts w:hint="eastAsia" w:ascii="宋体" w:hAnsi="宋体" w:eastAsia="宋体" w:cs="宋体"/>
          <w:color w:val="auto"/>
          <w:sz w:val="28"/>
          <w:szCs w:val="28"/>
          <w:highlight w:val="none"/>
          <w:lang w:val="zh-CN" w:eastAsia="zh-CN"/>
        </w:rPr>
        <w:t>三、</w:t>
      </w:r>
      <w:bookmarkEnd w:id="394"/>
      <w:bookmarkEnd w:id="395"/>
      <w:bookmarkStart w:id="396" w:name="_Toc17549"/>
      <w:bookmarkStart w:id="397" w:name="_Toc3559"/>
      <w:r>
        <w:rPr>
          <w:rFonts w:hint="eastAsia" w:ascii="宋体" w:hAnsi="宋体" w:eastAsia="宋体" w:cs="宋体"/>
          <w:color w:val="auto"/>
          <w:sz w:val="28"/>
          <w:szCs w:val="28"/>
          <w:highlight w:val="none"/>
          <w:lang w:val="zh-CN" w:eastAsia="zh-CN"/>
        </w:rPr>
        <w:t>评标标准</w:t>
      </w:r>
      <w:bookmarkEnd w:id="396"/>
      <w:bookmarkEnd w:id="397"/>
    </w:p>
    <w:p>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98" w:name="_Toc163492909"/>
      <w:bookmarkStart w:id="399" w:name="_Toc9559"/>
      <w:r>
        <w:rPr>
          <w:rFonts w:hint="eastAsia" w:ascii="宋体" w:hAnsi="宋体" w:eastAsia="宋体" w:cs="宋体"/>
          <w:b/>
          <w:bCs/>
          <w:color w:val="auto"/>
          <w:kern w:val="2"/>
          <w:sz w:val="24"/>
          <w:szCs w:val="24"/>
          <w:highlight w:val="none"/>
          <w:lang w:val="zh-CN" w:eastAsia="zh-CN" w:bidi="ar-SA"/>
        </w:rPr>
        <w:t>（一）符合性审查表</w:t>
      </w:r>
      <w:bookmarkEnd w:id="398"/>
      <w:bookmarkEnd w:id="399"/>
    </w:p>
    <w:tbl>
      <w:tblPr>
        <w:tblStyle w:val="29"/>
        <w:tblW w:w="540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42"/>
        <w:gridCol w:w="1660"/>
        <w:gridCol w:w="5712"/>
        <w:gridCol w:w="931"/>
        <w:gridCol w:w="1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270" w:type="pct"/>
            <w:vMerge w:val="restart"/>
            <w:shd w:val="clear" w:color="auto" w:fill="D8D8D8" w:themeFill="background1" w:themeFillShade="D9"/>
            <w:vAlign w:val="center"/>
          </w:tcPr>
          <w:p>
            <w:pPr>
              <w:pStyle w:val="49"/>
              <w:jc w:val="center"/>
              <w:rPr>
                <w:rFonts w:hint="eastAsia" w:ascii="宋体" w:hAnsi="宋体" w:eastAsia="宋体" w:cs="宋体"/>
                <w:b/>
                <w:bCs/>
                <w:color w:val="auto"/>
                <w:sz w:val="24"/>
                <w:szCs w:val="24"/>
                <w:highlight w:val="none"/>
                <w:lang w:val="zh-CN"/>
              </w:rPr>
            </w:pPr>
            <w:bookmarkStart w:id="400" w:name="_Toc155185917"/>
            <w:bookmarkStart w:id="401" w:name="_Toc163492910"/>
            <w:r>
              <w:rPr>
                <w:rFonts w:hint="eastAsia" w:ascii="宋体" w:hAnsi="宋体" w:eastAsia="宋体" w:cs="宋体"/>
                <w:b/>
                <w:bCs/>
                <w:color w:val="auto"/>
                <w:sz w:val="24"/>
                <w:szCs w:val="24"/>
                <w:highlight w:val="none"/>
                <w:lang w:val="zh-CN"/>
              </w:rPr>
              <w:t>序号</w:t>
            </w:r>
          </w:p>
        </w:tc>
        <w:tc>
          <w:tcPr>
            <w:tcW w:w="827" w:type="pct"/>
            <w:vMerge w:val="restart"/>
            <w:shd w:val="clear" w:color="auto" w:fill="D8D8D8" w:themeFill="background1" w:themeFillShade="D9"/>
            <w:vAlign w:val="center"/>
          </w:tcPr>
          <w:p>
            <w:pPr>
              <w:pStyle w:val="49"/>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审查项名称</w:t>
            </w:r>
          </w:p>
        </w:tc>
        <w:tc>
          <w:tcPr>
            <w:tcW w:w="2846" w:type="pct"/>
            <w:vMerge w:val="restart"/>
            <w:shd w:val="clear" w:color="auto" w:fill="D8D8D8" w:themeFill="background1" w:themeFillShade="D9"/>
            <w:vAlign w:val="center"/>
          </w:tcPr>
          <w:p>
            <w:pPr>
              <w:pStyle w:val="49"/>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审查内容</w:t>
            </w:r>
          </w:p>
        </w:tc>
        <w:tc>
          <w:tcPr>
            <w:tcW w:w="1056" w:type="pct"/>
            <w:gridSpan w:val="2"/>
            <w:shd w:val="clear" w:color="auto" w:fill="D8D8D8" w:themeFill="background1" w:themeFillShade="D9"/>
            <w:vAlign w:val="center"/>
          </w:tcPr>
          <w:p>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270" w:type="pct"/>
            <w:vMerge w:val="continue"/>
            <w:shd w:val="clear" w:color="auto" w:fill="D8D8D8" w:themeFill="background1" w:themeFillShade="D9"/>
            <w:vAlign w:val="center"/>
          </w:tcPr>
          <w:p>
            <w:pPr>
              <w:pStyle w:val="49"/>
              <w:jc w:val="center"/>
              <w:rPr>
                <w:rFonts w:hint="eastAsia" w:ascii="宋体" w:hAnsi="宋体" w:eastAsia="宋体" w:cs="宋体"/>
                <w:b/>
                <w:bCs/>
                <w:color w:val="auto"/>
                <w:sz w:val="24"/>
                <w:szCs w:val="24"/>
                <w:highlight w:val="none"/>
                <w:lang w:val="zh-CN"/>
              </w:rPr>
            </w:pPr>
          </w:p>
        </w:tc>
        <w:tc>
          <w:tcPr>
            <w:tcW w:w="827" w:type="pct"/>
            <w:vMerge w:val="continue"/>
            <w:shd w:val="clear" w:color="auto" w:fill="D8D8D8" w:themeFill="background1" w:themeFillShade="D9"/>
            <w:vAlign w:val="center"/>
          </w:tcPr>
          <w:p>
            <w:pPr>
              <w:pStyle w:val="49"/>
              <w:jc w:val="center"/>
              <w:rPr>
                <w:rFonts w:hint="eastAsia" w:ascii="宋体" w:hAnsi="宋体" w:eastAsia="宋体" w:cs="宋体"/>
                <w:b/>
                <w:bCs/>
                <w:color w:val="auto"/>
                <w:sz w:val="24"/>
                <w:szCs w:val="24"/>
                <w:highlight w:val="none"/>
                <w:lang w:val="zh-CN"/>
              </w:rPr>
            </w:pPr>
          </w:p>
        </w:tc>
        <w:tc>
          <w:tcPr>
            <w:tcW w:w="2846" w:type="pct"/>
            <w:vMerge w:val="continue"/>
            <w:shd w:val="clear" w:color="auto" w:fill="D8D8D8" w:themeFill="background1" w:themeFillShade="D9"/>
            <w:vAlign w:val="center"/>
          </w:tcPr>
          <w:p>
            <w:pPr>
              <w:pStyle w:val="49"/>
              <w:jc w:val="center"/>
              <w:rPr>
                <w:rFonts w:hint="eastAsia" w:ascii="宋体" w:hAnsi="宋体" w:eastAsia="宋体" w:cs="宋体"/>
                <w:b/>
                <w:bCs/>
                <w:color w:val="auto"/>
                <w:sz w:val="24"/>
                <w:szCs w:val="24"/>
                <w:highlight w:val="none"/>
                <w:lang w:val="zh-CN"/>
              </w:rPr>
            </w:pPr>
          </w:p>
        </w:tc>
        <w:tc>
          <w:tcPr>
            <w:tcW w:w="464" w:type="pct"/>
            <w:shd w:val="clear" w:color="auto" w:fill="D8D8D8" w:themeFill="background1" w:themeFillShade="D9"/>
            <w:vAlign w:val="center"/>
          </w:tcPr>
          <w:p>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符合</w:t>
            </w:r>
          </w:p>
        </w:tc>
        <w:tc>
          <w:tcPr>
            <w:tcW w:w="591" w:type="pct"/>
            <w:shd w:val="clear" w:color="auto" w:fill="D8D8D8" w:themeFill="background1" w:themeFillShade="D9"/>
            <w:vAlign w:val="center"/>
          </w:tcPr>
          <w:p>
            <w:pPr>
              <w:pStyle w:val="49"/>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不符合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70" w:type="pct"/>
            <w:shd w:val="clear" w:color="auto" w:fill="auto"/>
            <w:vAlign w:val="center"/>
          </w:tcPr>
          <w:p>
            <w:pPr>
              <w:pStyle w:val="49"/>
              <w:numPr>
                <w:ilvl w:val="0"/>
                <w:numId w:val="0"/>
              </w:numPr>
              <w:ind w:left="420" w:leftChars="0" w:hanging="420" w:firstLineChars="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kern w:val="2"/>
                <w:sz w:val="24"/>
                <w:szCs w:val="24"/>
                <w:highlight w:val="none"/>
                <w:lang w:val="zh-CN" w:eastAsia="zh-CN" w:bidi="ar-SA"/>
              </w:rPr>
              <w:t>1</w:t>
            </w:r>
          </w:p>
        </w:tc>
        <w:tc>
          <w:tcPr>
            <w:tcW w:w="827" w:type="pct"/>
            <w:vAlign w:val="center"/>
          </w:tcPr>
          <w:p>
            <w:pPr>
              <w:pStyle w:val="4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投标文件</w:t>
            </w:r>
            <w:r>
              <w:rPr>
                <w:rFonts w:hint="eastAsia" w:ascii="宋体" w:hAnsi="宋体" w:eastAsia="宋体" w:cs="宋体"/>
                <w:color w:val="auto"/>
                <w:sz w:val="24"/>
                <w:szCs w:val="24"/>
                <w:highlight w:val="none"/>
              </w:rPr>
              <w:t>签署</w:t>
            </w:r>
          </w:p>
        </w:tc>
        <w:tc>
          <w:tcPr>
            <w:tcW w:w="2846" w:type="pct"/>
            <w:shd w:val="clear" w:color="auto" w:fill="auto"/>
            <w:vAlign w:val="center"/>
          </w:tcPr>
          <w:p>
            <w:pPr>
              <w:pStyle w:val="49"/>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投标文件按招标文件要求签署、盖章的</w:t>
            </w:r>
          </w:p>
        </w:tc>
        <w:tc>
          <w:tcPr>
            <w:tcW w:w="464" w:type="pct"/>
            <w:shd w:val="clear" w:color="auto" w:fill="auto"/>
            <w:vAlign w:val="center"/>
          </w:tcPr>
          <w:p>
            <w:pPr>
              <w:pStyle w:val="49"/>
              <w:rPr>
                <w:rFonts w:hint="eastAsia" w:ascii="宋体" w:hAnsi="宋体" w:eastAsia="宋体" w:cs="宋体"/>
                <w:color w:val="auto"/>
                <w:sz w:val="24"/>
                <w:szCs w:val="24"/>
                <w:highlight w:val="none"/>
                <w:lang w:val="zh-CN"/>
              </w:rPr>
            </w:pPr>
          </w:p>
        </w:tc>
        <w:tc>
          <w:tcPr>
            <w:tcW w:w="591" w:type="pct"/>
            <w:shd w:val="clear" w:color="auto" w:fill="auto"/>
            <w:vAlign w:val="center"/>
          </w:tcPr>
          <w:p>
            <w:pPr>
              <w:pStyle w:val="49"/>
              <w:rPr>
                <w:rFonts w:hint="eastAsia" w:ascii="宋体" w:hAnsi="宋体" w:eastAsia="宋体" w:cs="宋体"/>
                <w:color w:val="auto"/>
                <w:sz w:val="24"/>
                <w:szCs w:val="24"/>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270" w:type="pct"/>
            <w:shd w:val="clear" w:color="auto" w:fill="auto"/>
            <w:vAlign w:val="center"/>
          </w:tcPr>
          <w:p>
            <w:pPr>
              <w:pStyle w:val="49"/>
              <w:numPr>
                <w:ilvl w:val="0"/>
                <w:numId w:val="0"/>
              </w:numPr>
              <w:ind w:left="420" w:leftChars="0" w:hanging="420" w:firstLineChars="0"/>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2</w:t>
            </w:r>
          </w:p>
        </w:tc>
        <w:tc>
          <w:tcPr>
            <w:tcW w:w="827" w:type="pct"/>
            <w:vAlign w:val="center"/>
          </w:tcPr>
          <w:p>
            <w:pPr>
              <w:pStyle w:val="4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zh-CN"/>
              </w:rPr>
              <w:t>投标报价</w:t>
            </w:r>
          </w:p>
        </w:tc>
        <w:tc>
          <w:tcPr>
            <w:tcW w:w="2846" w:type="pct"/>
            <w:shd w:val="clear" w:color="auto" w:fill="auto"/>
            <w:vAlign w:val="center"/>
          </w:tcPr>
          <w:p>
            <w:pPr>
              <w:pStyle w:val="4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投标人报价未超过招标文件中规定的</w:t>
            </w:r>
            <w:r>
              <w:rPr>
                <w:rFonts w:hint="eastAsia" w:ascii="宋体" w:hAnsi="宋体" w:eastAsia="宋体" w:cs="宋体"/>
                <w:color w:val="auto"/>
                <w:sz w:val="24"/>
                <w:szCs w:val="24"/>
                <w:highlight w:val="none"/>
                <w:lang w:val="en-US" w:eastAsia="zh-CN"/>
              </w:rPr>
              <w:t>最高限价或者预算金额</w:t>
            </w:r>
            <w:r>
              <w:rPr>
                <w:rFonts w:hint="eastAsia" w:ascii="宋体" w:hAnsi="宋体" w:eastAsia="宋体" w:cs="宋体"/>
                <w:color w:val="auto"/>
                <w:kern w:val="2"/>
                <w:sz w:val="24"/>
                <w:szCs w:val="24"/>
                <w:highlight w:val="none"/>
                <w:lang w:val="en-US" w:eastAsia="zh-CN" w:bidi="ar-SA"/>
              </w:rPr>
              <w:t>的</w:t>
            </w:r>
          </w:p>
        </w:tc>
        <w:tc>
          <w:tcPr>
            <w:tcW w:w="464" w:type="pct"/>
            <w:shd w:val="clear" w:color="auto" w:fill="auto"/>
            <w:vAlign w:val="center"/>
          </w:tcPr>
          <w:p>
            <w:pPr>
              <w:pStyle w:val="49"/>
              <w:rPr>
                <w:rFonts w:hint="eastAsia" w:ascii="宋体" w:hAnsi="宋体" w:eastAsia="宋体" w:cs="宋体"/>
                <w:color w:val="auto"/>
                <w:sz w:val="24"/>
                <w:szCs w:val="24"/>
                <w:highlight w:val="none"/>
                <w:lang w:val="zh-CN"/>
              </w:rPr>
            </w:pPr>
          </w:p>
        </w:tc>
        <w:tc>
          <w:tcPr>
            <w:tcW w:w="591" w:type="pct"/>
            <w:shd w:val="clear" w:color="auto" w:fill="auto"/>
            <w:vAlign w:val="center"/>
          </w:tcPr>
          <w:p>
            <w:pPr>
              <w:pStyle w:val="49"/>
              <w:rPr>
                <w:rFonts w:hint="eastAsia" w:ascii="宋体" w:hAnsi="宋体" w:eastAsia="宋体" w:cs="宋体"/>
                <w:color w:val="auto"/>
                <w:sz w:val="24"/>
                <w:szCs w:val="24"/>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270" w:type="pct"/>
            <w:shd w:val="clear" w:color="auto" w:fill="auto"/>
            <w:vAlign w:val="center"/>
          </w:tcPr>
          <w:p>
            <w:pPr>
              <w:pStyle w:val="49"/>
              <w:numPr>
                <w:ilvl w:val="0"/>
                <w:numId w:val="0"/>
              </w:numPr>
              <w:ind w:left="420" w:leftChars="0" w:hanging="420" w:firstLineChars="0"/>
              <w:jc w:val="center"/>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3</w:t>
            </w:r>
          </w:p>
        </w:tc>
        <w:tc>
          <w:tcPr>
            <w:tcW w:w="827" w:type="pct"/>
            <w:vAlign w:val="center"/>
          </w:tcPr>
          <w:p>
            <w:pPr>
              <w:pStyle w:val="4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虚假材料</w:t>
            </w:r>
          </w:p>
        </w:tc>
        <w:tc>
          <w:tcPr>
            <w:tcW w:w="2846" w:type="pct"/>
            <w:shd w:val="clear" w:color="auto" w:fill="auto"/>
            <w:vAlign w:val="center"/>
          </w:tcPr>
          <w:p>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lang w:val="zh-CN" w:eastAsia="zh-CN"/>
              </w:rPr>
              <w:t>提供虚假材料的</w:t>
            </w:r>
          </w:p>
        </w:tc>
        <w:tc>
          <w:tcPr>
            <w:tcW w:w="464" w:type="pct"/>
            <w:shd w:val="clear" w:color="auto" w:fill="auto"/>
            <w:vAlign w:val="center"/>
          </w:tcPr>
          <w:p>
            <w:pPr>
              <w:pStyle w:val="49"/>
              <w:rPr>
                <w:rFonts w:hint="eastAsia" w:ascii="宋体" w:hAnsi="宋体" w:eastAsia="宋体" w:cs="宋体"/>
                <w:color w:val="auto"/>
                <w:sz w:val="24"/>
                <w:szCs w:val="24"/>
                <w:highlight w:val="none"/>
                <w:lang w:val="zh-CN"/>
              </w:rPr>
            </w:pPr>
          </w:p>
        </w:tc>
        <w:tc>
          <w:tcPr>
            <w:tcW w:w="591" w:type="pct"/>
            <w:shd w:val="clear" w:color="auto" w:fill="auto"/>
            <w:vAlign w:val="center"/>
          </w:tcPr>
          <w:p>
            <w:pPr>
              <w:pStyle w:val="49"/>
              <w:rPr>
                <w:rFonts w:hint="eastAsia" w:ascii="宋体" w:hAnsi="宋体" w:eastAsia="宋体" w:cs="宋体"/>
                <w:color w:val="auto"/>
                <w:sz w:val="24"/>
                <w:szCs w:val="24"/>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270" w:type="pct"/>
            <w:shd w:val="clear" w:color="auto" w:fill="auto"/>
            <w:vAlign w:val="center"/>
          </w:tcPr>
          <w:p>
            <w:pPr>
              <w:pStyle w:val="49"/>
              <w:numPr>
                <w:ilvl w:val="0"/>
                <w:numId w:val="0"/>
              </w:numPr>
              <w:ind w:left="420" w:leftChars="0" w:hanging="420" w:firstLineChars="0"/>
              <w:jc w:val="center"/>
              <w:rPr>
                <w:rFonts w:hint="eastAsia" w:ascii="宋体" w:hAnsi="宋体" w:eastAsia="宋体" w:cs="宋体"/>
                <w:color w:val="auto"/>
                <w:kern w:val="2"/>
                <w:sz w:val="24"/>
                <w:szCs w:val="24"/>
                <w:highlight w:val="none"/>
                <w:lang w:val="zh-CN" w:eastAsia="zh-CN" w:bidi="ar-SA"/>
              </w:rPr>
            </w:pPr>
            <w:del w:id="0" w:author="李琳" w:date="2026-05-25T17:33:20Z">
              <w:r>
                <w:rPr>
                  <w:rFonts w:hint="default" w:cs="宋体"/>
                  <w:color w:val="auto"/>
                  <w:kern w:val="2"/>
                  <w:sz w:val="24"/>
                  <w:szCs w:val="24"/>
                  <w:highlight w:val="none"/>
                  <w:lang w:val="en-US" w:eastAsia="zh-CN" w:bidi="ar-SA"/>
                </w:rPr>
                <w:delText>5</w:delText>
              </w:r>
            </w:del>
            <w:ins w:id="1" w:author="李琳" w:date="2026-05-25T17:33:20Z">
              <w:r>
                <w:rPr>
                  <w:rFonts w:hint="eastAsia" w:cs="宋体"/>
                  <w:color w:val="auto"/>
                  <w:kern w:val="2"/>
                  <w:sz w:val="24"/>
                  <w:szCs w:val="24"/>
                  <w:highlight w:val="none"/>
                  <w:lang w:val="en-US" w:eastAsia="zh-CN" w:bidi="ar-SA"/>
                </w:rPr>
                <w:t>4</w:t>
              </w:r>
            </w:ins>
          </w:p>
        </w:tc>
        <w:tc>
          <w:tcPr>
            <w:tcW w:w="827" w:type="pct"/>
            <w:shd w:val="clear" w:color="auto" w:fill="auto"/>
            <w:vAlign w:val="center"/>
          </w:tcPr>
          <w:p>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投标文件的澄清、说明、补正</w:t>
            </w:r>
          </w:p>
        </w:tc>
        <w:tc>
          <w:tcPr>
            <w:tcW w:w="2846" w:type="pct"/>
            <w:shd w:val="clear" w:color="auto" w:fill="auto"/>
            <w:vAlign w:val="center"/>
          </w:tcPr>
          <w:p>
            <w:pPr>
              <w:pStyle w:val="4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zh-CN" w:eastAsia="zh-CN"/>
              </w:rPr>
              <w:t>评审期间</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按评标委员会的要求提交经授权代表签字的澄清、说明、补正或</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lang w:val="zh-CN" w:eastAsia="zh-CN"/>
              </w:rPr>
              <w:t>改变</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p>
        </w:tc>
        <w:tc>
          <w:tcPr>
            <w:tcW w:w="464" w:type="pct"/>
            <w:shd w:val="clear" w:color="auto" w:fill="auto"/>
            <w:vAlign w:val="center"/>
          </w:tcPr>
          <w:p>
            <w:pPr>
              <w:pStyle w:val="49"/>
              <w:rPr>
                <w:rFonts w:hint="eastAsia" w:ascii="宋体" w:hAnsi="宋体" w:eastAsia="宋体" w:cs="宋体"/>
                <w:color w:val="auto"/>
                <w:sz w:val="24"/>
                <w:szCs w:val="24"/>
                <w:highlight w:val="none"/>
                <w:lang w:val="zh-CN"/>
              </w:rPr>
            </w:pPr>
          </w:p>
        </w:tc>
        <w:tc>
          <w:tcPr>
            <w:tcW w:w="591" w:type="pct"/>
            <w:shd w:val="clear" w:color="auto" w:fill="auto"/>
            <w:vAlign w:val="center"/>
          </w:tcPr>
          <w:p>
            <w:pPr>
              <w:pStyle w:val="49"/>
              <w:rPr>
                <w:rFonts w:hint="eastAsia" w:ascii="宋体" w:hAnsi="宋体" w:eastAsia="宋体" w:cs="宋体"/>
                <w:color w:val="auto"/>
                <w:sz w:val="24"/>
                <w:szCs w:val="24"/>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270" w:type="pct"/>
            <w:shd w:val="clear" w:color="auto" w:fill="auto"/>
            <w:vAlign w:val="center"/>
          </w:tcPr>
          <w:p>
            <w:pPr>
              <w:pStyle w:val="49"/>
              <w:numPr>
                <w:ilvl w:val="0"/>
                <w:numId w:val="0"/>
              </w:numPr>
              <w:ind w:left="420" w:leftChars="0" w:hanging="420" w:firstLineChars="0"/>
              <w:jc w:val="center"/>
              <w:rPr>
                <w:rFonts w:hint="eastAsia" w:ascii="宋体" w:hAnsi="宋体" w:eastAsia="宋体" w:cs="宋体"/>
                <w:color w:val="auto"/>
                <w:kern w:val="2"/>
                <w:sz w:val="24"/>
                <w:szCs w:val="24"/>
                <w:highlight w:val="none"/>
                <w:lang w:val="zh-CN" w:eastAsia="zh-CN" w:bidi="ar-SA"/>
              </w:rPr>
            </w:pPr>
            <w:del w:id="2" w:author="李琳" w:date="2026-05-25T17:33:22Z">
              <w:r>
                <w:rPr>
                  <w:rFonts w:hint="default" w:cs="宋体"/>
                  <w:color w:val="auto"/>
                  <w:kern w:val="2"/>
                  <w:sz w:val="24"/>
                  <w:szCs w:val="24"/>
                  <w:highlight w:val="none"/>
                  <w:lang w:val="en-US" w:eastAsia="zh-CN" w:bidi="ar-SA"/>
                </w:rPr>
                <w:delText>6</w:delText>
              </w:r>
            </w:del>
            <w:ins w:id="3" w:author="李琳" w:date="2026-05-25T17:33:22Z">
              <w:r>
                <w:rPr>
                  <w:rFonts w:hint="eastAsia" w:cs="宋体"/>
                  <w:color w:val="auto"/>
                  <w:kern w:val="2"/>
                  <w:sz w:val="24"/>
                  <w:szCs w:val="24"/>
                  <w:highlight w:val="none"/>
                  <w:lang w:val="en-US" w:eastAsia="zh-CN" w:bidi="ar-SA"/>
                </w:rPr>
                <w:t>5</w:t>
              </w:r>
            </w:ins>
          </w:p>
        </w:tc>
        <w:tc>
          <w:tcPr>
            <w:tcW w:w="827" w:type="pct"/>
            <w:shd w:val="clear" w:color="auto" w:fill="auto"/>
            <w:vAlign w:val="center"/>
          </w:tcPr>
          <w:p>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投标人影响评标</w:t>
            </w:r>
          </w:p>
        </w:tc>
        <w:tc>
          <w:tcPr>
            <w:tcW w:w="2846" w:type="pct"/>
            <w:shd w:val="clear" w:color="auto" w:fill="auto"/>
            <w:vAlign w:val="center"/>
          </w:tcPr>
          <w:p>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lang w:val="zh-CN" w:eastAsia="zh-CN"/>
              </w:rPr>
              <w:t>施加影响</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sz w:val="24"/>
                <w:szCs w:val="24"/>
                <w:highlight w:val="none"/>
                <w:lang w:val="zh-CN" w:eastAsia="zh-CN"/>
              </w:rPr>
              <w:t>有碍公平、公正</w:t>
            </w:r>
            <w:r>
              <w:rPr>
                <w:rFonts w:hint="eastAsia" w:ascii="宋体" w:hAnsi="宋体" w:eastAsia="宋体" w:cs="宋体"/>
                <w:color w:val="auto"/>
                <w:sz w:val="24"/>
                <w:szCs w:val="24"/>
                <w:highlight w:val="none"/>
                <w:lang w:val="en-US" w:eastAsia="zh-CN"/>
              </w:rPr>
              <w:t>的</w:t>
            </w:r>
          </w:p>
        </w:tc>
        <w:tc>
          <w:tcPr>
            <w:tcW w:w="464" w:type="pct"/>
            <w:shd w:val="clear" w:color="auto" w:fill="auto"/>
            <w:vAlign w:val="center"/>
          </w:tcPr>
          <w:p>
            <w:pPr>
              <w:pStyle w:val="49"/>
              <w:rPr>
                <w:rFonts w:hint="eastAsia" w:ascii="宋体" w:hAnsi="宋体" w:eastAsia="宋体" w:cs="宋体"/>
                <w:color w:val="auto"/>
                <w:sz w:val="24"/>
                <w:szCs w:val="24"/>
                <w:highlight w:val="none"/>
                <w:lang w:val="zh-CN"/>
              </w:rPr>
            </w:pPr>
          </w:p>
        </w:tc>
        <w:tc>
          <w:tcPr>
            <w:tcW w:w="591" w:type="pct"/>
            <w:shd w:val="clear" w:color="auto" w:fill="auto"/>
            <w:vAlign w:val="center"/>
          </w:tcPr>
          <w:p>
            <w:pPr>
              <w:pStyle w:val="49"/>
              <w:rPr>
                <w:rFonts w:hint="eastAsia" w:ascii="宋体" w:hAnsi="宋体" w:eastAsia="宋体" w:cs="宋体"/>
                <w:color w:val="auto"/>
                <w:sz w:val="24"/>
                <w:szCs w:val="24"/>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70" w:type="pct"/>
            <w:shd w:val="clear" w:color="auto" w:fill="auto"/>
            <w:vAlign w:val="center"/>
          </w:tcPr>
          <w:p>
            <w:pPr>
              <w:pStyle w:val="49"/>
              <w:numPr>
                <w:ilvl w:val="0"/>
                <w:numId w:val="0"/>
              </w:numPr>
              <w:ind w:left="420" w:leftChars="0" w:hanging="420" w:firstLineChars="0"/>
              <w:jc w:val="center"/>
              <w:rPr>
                <w:rFonts w:hint="eastAsia" w:ascii="宋体" w:hAnsi="宋体" w:eastAsia="宋体" w:cs="宋体"/>
                <w:color w:val="auto"/>
                <w:kern w:val="2"/>
                <w:sz w:val="24"/>
                <w:szCs w:val="24"/>
                <w:highlight w:val="none"/>
                <w:lang w:val="zh-CN" w:eastAsia="zh-CN" w:bidi="ar-SA"/>
              </w:rPr>
            </w:pPr>
            <w:del w:id="4" w:author="李琳" w:date="2026-05-25T17:33:23Z">
              <w:r>
                <w:rPr>
                  <w:rFonts w:hint="default" w:cs="宋体"/>
                  <w:color w:val="auto"/>
                  <w:kern w:val="2"/>
                  <w:sz w:val="24"/>
                  <w:szCs w:val="24"/>
                  <w:highlight w:val="none"/>
                  <w:lang w:val="en-US" w:eastAsia="zh-CN" w:bidi="ar-SA"/>
                </w:rPr>
                <w:delText>7</w:delText>
              </w:r>
            </w:del>
            <w:ins w:id="5" w:author="李琳" w:date="2026-05-25T17:33:23Z">
              <w:r>
                <w:rPr>
                  <w:rFonts w:hint="eastAsia" w:cs="宋体"/>
                  <w:color w:val="auto"/>
                  <w:kern w:val="2"/>
                  <w:sz w:val="24"/>
                  <w:szCs w:val="24"/>
                  <w:highlight w:val="none"/>
                  <w:lang w:val="en-US" w:eastAsia="zh-CN" w:bidi="ar-SA"/>
                </w:rPr>
                <w:t>6</w:t>
              </w:r>
            </w:ins>
          </w:p>
        </w:tc>
        <w:tc>
          <w:tcPr>
            <w:tcW w:w="827" w:type="pct"/>
            <w:shd w:val="clear" w:color="auto" w:fill="auto"/>
            <w:vAlign w:val="center"/>
          </w:tcPr>
          <w:p>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围标串标情形</w:t>
            </w:r>
          </w:p>
        </w:tc>
        <w:tc>
          <w:tcPr>
            <w:tcW w:w="2846" w:type="pct"/>
            <w:shd w:val="clear" w:color="auto" w:fill="auto"/>
            <w:vAlign w:val="center"/>
          </w:tcPr>
          <w:p>
            <w:pPr>
              <w:pStyle w:val="4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没有</w:t>
            </w:r>
            <w:r>
              <w:rPr>
                <w:rFonts w:hint="eastAsia" w:ascii="宋体" w:hAnsi="宋体" w:eastAsia="宋体" w:cs="宋体"/>
                <w:color w:val="auto"/>
                <w:sz w:val="24"/>
                <w:szCs w:val="24"/>
                <w:highlight w:val="none"/>
                <w:lang w:val="zh-CN" w:eastAsia="zh-CN"/>
              </w:rPr>
              <w:t>“第五章 评标方法及标准”</w:t>
            </w:r>
            <w:r>
              <w:rPr>
                <w:rFonts w:hint="eastAsia" w:ascii="宋体" w:hAnsi="宋体" w:eastAsia="宋体" w:cs="宋体"/>
                <w:color w:val="auto"/>
                <w:sz w:val="24"/>
                <w:szCs w:val="24"/>
                <w:highlight w:val="none"/>
                <w:lang w:val="en-US" w:eastAsia="zh-CN"/>
              </w:rPr>
              <w:t>第20条情形之一的</w:t>
            </w:r>
          </w:p>
        </w:tc>
        <w:tc>
          <w:tcPr>
            <w:tcW w:w="464" w:type="pct"/>
            <w:shd w:val="clear" w:color="auto" w:fill="auto"/>
            <w:vAlign w:val="center"/>
          </w:tcPr>
          <w:p>
            <w:pPr>
              <w:pStyle w:val="49"/>
              <w:rPr>
                <w:rFonts w:hint="eastAsia" w:ascii="宋体" w:hAnsi="宋体" w:eastAsia="宋体" w:cs="宋体"/>
                <w:color w:val="auto"/>
                <w:sz w:val="24"/>
                <w:szCs w:val="24"/>
                <w:highlight w:val="none"/>
                <w:lang w:val="zh-CN"/>
              </w:rPr>
            </w:pPr>
          </w:p>
        </w:tc>
        <w:tc>
          <w:tcPr>
            <w:tcW w:w="591" w:type="pct"/>
            <w:shd w:val="clear" w:color="auto" w:fill="auto"/>
            <w:vAlign w:val="center"/>
          </w:tcPr>
          <w:p>
            <w:pPr>
              <w:pStyle w:val="49"/>
              <w:rPr>
                <w:rFonts w:hint="eastAsia" w:ascii="宋体" w:hAnsi="宋体" w:eastAsia="宋体" w:cs="宋体"/>
                <w:color w:val="auto"/>
                <w:sz w:val="24"/>
                <w:szCs w:val="24"/>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270" w:type="pct"/>
            <w:shd w:val="clear" w:color="auto" w:fill="auto"/>
            <w:vAlign w:val="center"/>
          </w:tcPr>
          <w:p>
            <w:pPr>
              <w:pStyle w:val="49"/>
              <w:numPr>
                <w:ilvl w:val="0"/>
                <w:numId w:val="0"/>
              </w:numPr>
              <w:ind w:left="420" w:leftChars="0" w:hanging="420" w:firstLineChars="0"/>
              <w:jc w:val="center"/>
              <w:rPr>
                <w:rFonts w:hint="eastAsia" w:ascii="宋体" w:hAnsi="宋体" w:eastAsia="宋体" w:cs="宋体"/>
                <w:color w:val="auto"/>
                <w:kern w:val="2"/>
                <w:sz w:val="24"/>
                <w:szCs w:val="24"/>
                <w:highlight w:val="none"/>
                <w:lang w:val="zh-CN" w:eastAsia="zh-CN" w:bidi="ar-SA"/>
              </w:rPr>
            </w:pPr>
            <w:del w:id="6" w:author="李琳" w:date="2026-05-25T17:33:25Z">
              <w:r>
                <w:rPr>
                  <w:rFonts w:hint="default" w:cs="宋体"/>
                  <w:color w:val="auto"/>
                  <w:kern w:val="2"/>
                  <w:sz w:val="24"/>
                  <w:szCs w:val="24"/>
                  <w:highlight w:val="none"/>
                  <w:lang w:val="en-US" w:eastAsia="zh-CN" w:bidi="ar-SA"/>
                </w:rPr>
                <w:delText>8</w:delText>
              </w:r>
            </w:del>
            <w:ins w:id="7" w:author="李琳" w:date="2026-05-25T17:33:25Z">
              <w:r>
                <w:rPr>
                  <w:rFonts w:hint="eastAsia" w:cs="宋体"/>
                  <w:color w:val="auto"/>
                  <w:kern w:val="2"/>
                  <w:sz w:val="24"/>
                  <w:szCs w:val="24"/>
                  <w:highlight w:val="none"/>
                  <w:lang w:val="en-US" w:eastAsia="zh-CN" w:bidi="ar-SA"/>
                </w:rPr>
                <w:t>7</w:t>
              </w:r>
            </w:ins>
          </w:p>
        </w:tc>
        <w:tc>
          <w:tcPr>
            <w:tcW w:w="827" w:type="pct"/>
            <w:shd w:val="clear" w:color="auto" w:fill="auto"/>
            <w:vAlign w:val="center"/>
          </w:tcPr>
          <w:p>
            <w:pPr>
              <w:pStyle w:val="4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附加条件</w:t>
            </w:r>
          </w:p>
        </w:tc>
        <w:tc>
          <w:tcPr>
            <w:tcW w:w="2846" w:type="pct"/>
            <w:shd w:val="clear" w:color="auto" w:fill="auto"/>
            <w:vAlign w:val="center"/>
          </w:tcPr>
          <w:p>
            <w:pPr>
              <w:pStyle w:val="4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投标文件没有采购人不能接受的附加条件的</w:t>
            </w:r>
          </w:p>
        </w:tc>
        <w:tc>
          <w:tcPr>
            <w:tcW w:w="464" w:type="pct"/>
            <w:shd w:val="clear" w:color="auto" w:fill="auto"/>
            <w:vAlign w:val="center"/>
          </w:tcPr>
          <w:p>
            <w:pPr>
              <w:pStyle w:val="49"/>
              <w:rPr>
                <w:rFonts w:hint="eastAsia" w:ascii="宋体" w:hAnsi="宋体" w:eastAsia="宋体" w:cs="宋体"/>
                <w:color w:val="auto"/>
                <w:sz w:val="24"/>
                <w:szCs w:val="24"/>
                <w:highlight w:val="none"/>
                <w:lang w:val="zh-CN"/>
              </w:rPr>
            </w:pPr>
          </w:p>
        </w:tc>
        <w:tc>
          <w:tcPr>
            <w:tcW w:w="591" w:type="pct"/>
            <w:shd w:val="clear" w:color="auto" w:fill="auto"/>
            <w:vAlign w:val="center"/>
          </w:tcPr>
          <w:p>
            <w:pPr>
              <w:pStyle w:val="49"/>
              <w:rPr>
                <w:rFonts w:hint="eastAsia" w:ascii="宋体" w:hAnsi="宋体" w:eastAsia="宋体" w:cs="宋体"/>
                <w:color w:val="auto"/>
                <w:sz w:val="24"/>
                <w:szCs w:val="24"/>
                <w:highlight w:val="none"/>
                <w:lang w:val="zh-CN"/>
              </w:rPr>
            </w:pPr>
          </w:p>
        </w:tc>
      </w:tr>
    </w:tbl>
    <w:p>
      <w:pPr>
        <w:rPr>
          <w:rFonts w:hint="eastAsia" w:ascii="宋体" w:hAnsi="宋体" w:cs="宋体"/>
          <w:b/>
          <w:color w:val="auto"/>
          <w:sz w:val="24"/>
          <w:highlight w:val="none"/>
        </w:rPr>
      </w:pPr>
      <w:r>
        <w:rPr>
          <w:rFonts w:hint="eastAsia" w:ascii="宋体" w:hAnsi="宋体" w:cs="宋体"/>
          <w:b/>
          <w:color w:val="auto"/>
          <w:sz w:val="24"/>
          <w:highlight w:val="none"/>
        </w:rPr>
        <w:br w:type="page"/>
      </w:r>
    </w:p>
    <w:p>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02" w:name="_Toc17074"/>
      <w:r>
        <w:rPr>
          <w:rFonts w:hint="eastAsia" w:ascii="宋体" w:hAnsi="宋体" w:eastAsia="宋体" w:cs="宋体"/>
          <w:b/>
          <w:bCs/>
          <w:color w:val="auto"/>
          <w:kern w:val="2"/>
          <w:sz w:val="24"/>
          <w:szCs w:val="24"/>
          <w:highlight w:val="none"/>
          <w:lang w:val="zh-CN" w:eastAsia="zh-CN" w:bidi="ar-SA"/>
        </w:rPr>
        <w:t>（二）评分标准</w:t>
      </w:r>
      <w:bookmarkEnd w:id="400"/>
      <w:bookmarkEnd w:id="401"/>
      <w:bookmarkEnd w:id="402"/>
    </w:p>
    <w:p>
      <w:pPr>
        <w:rPr>
          <w:rFonts w:hint="eastAsia"/>
          <w:color w:val="auto"/>
          <w:highlight w:val="none"/>
        </w:rPr>
      </w:pPr>
    </w:p>
    <w:tbl>
      <w:tblPr>
        <w:tblStyle w:val="29"/>
        <w:tblW w:w="54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1210"/>
        <w:gridCol w:w="798"/>
        <w:gridCol w:w="6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94" w:type="pct"/>
            <w:shd w:val="clear" w:color="auto" w:fill="D8D8D8" w:themeFill="background1" w:themeFillShade="D9"/>
            <w:vAlign w:val="center"/>
          </w:tcPr>
          <w:p>
            <w:pPr>
              <w:pStyle w:val="49"/>
              <w:widowControl/>
              <w:jc w:val="center"/>
              <w:rPr>
                <w:rFonts w:hint="eastAsia" w:cs="宋体"/>
                <w:b/>
                <w:bCs/>
                <w:sz w:val="21"/>
                <w:szCs w:val="21"/>
              </w:rPr>
            </w:pPr>
            <w:r>
              <w:rPr>
                <w:rFonts w:hint="eastAsia" w:cs="宋体"/>
                <w:b/>
                <w:bCs/>
                <w:sz w:val="21"/>
                <w:szCs w:val="21"/>
              </w:rPr>
              <w:t>评标项目</w:t>
            </w:r>
          </w:p>
        </w:tc>
        <w:tc>
          <w:tcPr>
            <w:tcW w:w="593" w:type="pct"/>
            <w:shd w:val="clear" w:color="auto" w:fill="D8D8D8" w:themeFill="background1" w:themeFillShade="D9"/>
            <w:vAlign w:val="center"/>
          </w:tcPr>
          <w:p>
            <w:pPr>
              <w:pStyle w:val="49"/>
              <w:widowControl/>
              <w:jc w:val="center"/>
              <w:rPr>
                <w:rFonts w:hint="eastAsia" w:cs="宋体"/>
                <w:b/>
                <w:bCs/>
                <w:sz w:val="21"/>
                <w:szCs w:val="21"/>
              </w:rPr>
            </w:pPr>
            <w:r>
              <w:rPr>
                <w:rFonts w:hint="eastAsia" w:cs="宋体"/>
                <w:b/>
                <w:bCs/>
                <w:sz w:val="21"/>
                <w:szCs w:val="21"/>
              </w:rPr>
              <w:t>评标分项</w:t>
            </w:r>
          </w:p>
        </w:tc>
        <w:tc>
          <w:tcPr>
            <w:tcW w:w="391" w:type="pct"/>
            <w:shd w:val="clear" w:color="auto" w:fill="D8D8D8" w:themeFill="background1" w:themeFillShade="D9"/>
            <w:vAlign w:val="center"/>
          </w:tcPr>
          <w:p>
            <w:pPr>
              <w:pStyle w:val="49"/>
              <w:widowControl/>
              <w:jc w:val="center"/>
              <w:rPr>
                <w:rFonts w:hint="eastAsia" w:cs="宋体"/>
                <w:b/>
                <w:bCs/>
                <w:sz w:val="21"/>
                <w:szCs w:val="21"/>
              </w:rPr>
            </w:pPr>
            <w:r>
              <w:rPr>
                <w:rFonts w:hint="eastAsia" w:cs="宋体"/>
                <w:b/>
                <w:bCs/>
                <w:sz w:val="21"/>
                <w:szCs w:val="21"/>
              </w:rPr>
              <w:t>分值</w:t>
            </w:r>
          </w:p>
        </w:tc>
        <w:tc>
          <w:tcPr>
            <w:tcW w:w="3421" w:type="pct"/>
            <w:shd w:val="clear" w:color="auto" w:fill="D8D8D8" w:themeFill="background1" w:themeFillShade="D9"/>
            <w:vAlign w:val="center"/>
          </w:tcPr>
          <w:p>
            <w:pPr>
              <w:pStyle w:val="49"/>
              <w:widowControl/>
              <w:jc w:val="center"/>
              <w:rPr>
                <w:rFonts w:hint="eastAsia" w:cs="宋体"/>
                <w:b/>
                <w:bCs/>
                <w:sz w:val="21"/>
                <w:szCs w:val="21"/>
              </w:rPr>
            </w:pPr>
            <w:r>
              <w:rPr>
                <w:rFonts w:hint="eastAsia" w:cs="宋体"/>
                <w:b/>
                <w:bCs/>
                <w:sz w:val="21"/>
                <w:szCs w:val="21"/>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594" w:type="pct"/>
            <w:vAlign w:val="center"/>
          </w:tcPr>
          <w:p>
            <w:pPr>
              <w:pStyle w:val="49"/>
              <w:widowControl/>
              <w:spacing w:line="300" w:lineRule="auto"/>
              <w:jc w:val="center"/>
              <w:rPr>
                <w:rFonts w:hint="eastAsia" w:cs="宋体"/>
                <w:szCs w:val="24"/>
              </w:rPr>
            </w:pPr>
            <w:r>
              <w:rPr>
                <w:rFonts w:hint="eastAsia" w:cs="宋体"/>
                <w:szCs w:val="24"/>
              </w:rPr>
              <w:t>价格部分</w:t>
            </w:r>
          </w:p>
          <w:p>
            <w:pPr>
              <w:pStyle w:val="49"/>
              <w:widowControl/>
              <w:spacing w:line="300" w:lineRule="auto"/>
              <w:jc w:val="center"/>
              <w:rPr>
                <w:rFonts w:hint="eastAsia" w:cs="宋体"/>
                <w:szCs w:val="24"/>
              </w:rPr>
            </w:pPr>
            <w:r>
              <w:rPr>
                <w:rFonts w:hint="eastAsia" w:cs="宋体"/>
                <w:szCs w:val="24"/>
              </w:rPr>
              <w:t>（10分）</w:t>
            </w:r>
          </w:p>
        </w:tc>
        <w:tc>
          <w:tcPr>
            <w:tcW w:w="593" w:type="pct"/>
            <w:tcBorders>
              <w:bottom w:val="single" w:color="auto" w:sz="4" w:space="0"/>
            </w:tcBorders>
            <w:vAlign w:val="center"/>
          </w:tcPr>
          <w:p>
            <w:pPr>
              <w:pStyle w:val="49"/>
              <w:widowControl/>
              <w:spacing w:line="300" w:lineRule="auto"/>
              <w:jc w:val="center"/>
              <w:rPr>
                <w:rFonts w:hint="eastAsia" w:cs="宋体"/>
                <w:szCs w:val="24"/>
              </w:rPr>
            </w:pPr>
            <w:r>
              <w:rPr>
                <w:rFonts w:hint="eastAsia" w:cs="宋体"/>
                <w:szCs w:val="24"/>
              </w:rPr>
              <w:t>投标报价</w:t>
            </w:r>
          </w:p>
        </w:tc>
        <w:tc>
          <w:tcPr>
            <w:tcW w:w="391" w:type="pct"/>
            <w:vAlign w:val="center"/>
          </w:tcPr>
          <w:p>
            <w:pPr>
              <w:pStyle w:val="49"/>
              <w:widowControl/>
              <w:spacing w:line="300" w:lineRule="auto"/>
              <w:jc w:val="center"/>
              <w:rPr>
                <w:rFonts w:hint="eastAsia" w:cs="宋体"/>
                <w:szCs w:val="24"/>
              </w:rPr>
            </w:pPr>
            <w:r>
              <w:rPr>
                <w:rFonts w:hint="eastAsia" w:cs="宋体"/>
                <w:szCs w:val="24"/>
              </w:rPr>
              <w:t>10分</w:t>
            </w:r>
          </w:p>
        </w:tc>
        <w:tc>
          <w:tcPr>
            <w:tcW w:w="3421" w:type="pct"/>
            <w:vAlign w:val="center"/>
          </w:tcPr>
          <w:p>
            <w:pPr>
              <w:pStyle w:val="49"/>
              <w:widowControl/>
              <w:spacing w:line="300" w:lineRule="auto"/>
              <w:rPr>
                <w:rFonts w:hint="eastAsia" w:cs="宋体"/>
                <w:szCs w:val="24"/>
              </w:rPr>
            </w:pPr>
            <w:r>
              <w:rPr>
                <w:rFonts w:hint="eastAsia" w:cs="宋体"/>
                <w:szCs w:val="24"/>
              </w:rPr>
              <w:t>满足招标文件要求且投标价格最低的投标报价为评标基准价，其价格分为满分。其他投标人的价格分统一按照下列公式计算：</w:t>
            </w:r>
          </w:p>
          <w:p>
            <w:pPr>
              <w:pStyle w:val="49"/>
              <w:widowControl/>
              <w:spacing w:line="300" w:lineRule="auto"/>
              <w:rPr>
                <w:rFonts w:hint="eastAsia" w:cs="宋体"/>
                <w:szCs w:val="24"/>
              </w:rPr>
            </w:pPr>
            <w:r>
              <w:rPr>
                <w:rFonts w:hint="eastAsia" w:cs="宋体"/>
                <w:szCs w:val="24"/>
              </w:rPr>
              <w:t>投标报价得分=（评标基准价／投标报价）×价格分值</w:t>
            </w:r>
          </w:p>
          <w:p>
            <w:pPr>
              <w:pStyle w:val="49"/>
              <w:widowControl/>
              <w:spacing w:line="300" w:lineRule="auto"/>
              <w:rPr>
                <w:rFonts w:hint="eastAsia" w:cs="宋体"/>
                <w:szCs w:val="24"/>
              </w:rPr>
            </w:pPr>
            <w:r>
              <w:rPr>
                <w:rFonts w:hint="eastAsia" w:cs="宋体"/>
                <w:b/>
                <w:bCs/>
                <w:szCs w:val="24"/>
              </w:rPr>
              <w:t>备注</w:t>
            </w:r>
            <w:r>
              <w:rPr>
                <w:rFonts w:hint="eastAsia" w:cs="宋体"/>
                <w:szCs w:val="24"/>
              </w:rPr>
              <w:t>：符合“投标人须知前附表”中价格扣除规定的，在评审时予以价格扣除，用扣除后的价格参与评审。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94" w:type="pct"/>
            <w:vMerge w:val="restart"/>
            <w:vAlign w:val="center"/>
          </w:tcPr>
          <w:p>
            <w:pPr>
              <w:pStyle w:val="49"/>
              <w:widowControl/>
              <w:spacing w:line="300" w:lineRule="auto"/>
              <w:jc w:val="center"/>
              <w:rPr>
                <w:rFonts w:hint="eastAsia" w:cs="宋体"/>
                <w:szCs w:val="24"/>
              </w:rPr>
            </w:pPr>
            <w:r>
              <w:rPr>
                <w:rFonts w:hint="eastAsia" w:cs="宋体"/>
                <w:szCs w:val="24"/>
              </w:rPr>
              <w:t>商务部分</w:t>
            </w:r>
            <w:r>
              <w:rPr>
                <w:rFonts w:hint="eastAsia" w:cs="宋体"/>
                <w:szCs w:val="24"/>
              </w:rPr>
              <w:br w:type="textWrapping"/>
            </w:r>
            <w:r>
              <w:rPr>
                <w:rFonts w:hint="eastAsia" w:cs="宋体"/>
                <w:szCs w:val="24"/>
              </w:rPr>
              <w:t>（</w:t>
            </w:r>
            <w:r>
              <w:rPr>
                <w:rFonts w:hint="eastAsia" w:cs="宋体"/>
                <w:szCs w:val="24"/>
                <w:lang w:val="en-US" w:eastAsia="zh-CN"/>
              </w:rPr>
              <w:t>16</w:t>
            </w:r>
            <w:r>
              <w:rPr>
                <w:rFonts w:hint="eastAsia" w:cs="宋体"/>
                <w:szCs w:val="24"/>
              </w:rPr>
              <w:t>分）</w:t>
            </w:r>
          </w:p>
        </w:tc>
        <w:tc>
          <w:tcPr>
            <w:tcW w:w="593" w:type="pct"/>
            <w:tcBorders>
              <w:top w:val="single" w:color="auto" w:sz="4" w:space="0"/>
            </w:tcBorders>
            <w:vAlign w:val="center"/>
          </w:tcPr>
          <w:p>
            <w:pPr>
              <w:pStyle w:val="49"/>
              <w:widowControl/>
              <w:spacing w:line="300" w:lineRule="auto"/>
              <w:jc w:val="center"/>
              <w:rPr>
                <w:rFonts w:hint="eastAsia" w:cs="宋体"/>
                <w:szCs w:val="24"/>
              </w:rPr>
            </w:pPr>
            <w:r>
              <w:rPr>
                <w:rFonts w:hint="eastAsia" w:cs="宋体"/>
                <w:szCs w:val="24"/>
              </w:rPr>
              <w:t>业绩</w:t>
            </w:r>
          </w:p>
        </w:tc>
        <w:tc>
          <w:tcPr>
            <w:tcW w:w="391" w:type="pct"/>
            <w:vAlign w:val="center"/>
          </w:tcPr>
          <w:p>
            <w:pPr>
              <w:pStyle w:val="49"/>
              <w:widowControl/>
              <w:spacing w:line="300" w:lineRule="auto"/>
              <w:jc w:val="center"/>
              <w:rPr>
                <w:rFonts w:hint="eastAsia" w:cs="宋体"/>
                <w:szCs w:val="24"/>
              </w:rPr>
            </w:pPr>
            <w:r>
              <w:rPr>
                <w:rFonts w:hint="eastAsia" w:cs="宋体"/>
                <w:szCs w:val="24"/>
              </w:rPr>
              <w:t>8分</w:t>
            </w:r>
          </w:p>
        </w:tc>
        <w:tc>
          <w:tcPr>
            <w:tcW w:w="3421" w:type="pct"/>
            <w:vAlign w:val="center"/>
          </w:tcPr>
          <w:p>
            <w:pPr>
              <w:pStyle w:val="49"/>
              <w:widowControl/>
              <w:spacing w:line="300" w:lineRule="auto"/>
              <w:rPr>
                <w:rFonts w:hint="eastAsia" w:cs="宋体"/>
                <w:szCs w:val="24"/>
              </w:rPr>
            </w:pPr>
            <w:r>
              <w:rPr>
                <w:rFonts w:hint="eastAsia" w:cs="宋体"/>
                <w:szCs w:val="24"/>
              </w:rPr>
              <w:t>近三年（2023年1月1日至今）承担的类似项目业绩，提供业绩证明材料，有1项得2分，最多得8分。</w:t>
            </w:r>
          </w:p>
          <w:p>
            <w:pPr>
              <w:pStyle w:val="49"/>
              <w:widowControl/>
              <w:spacing w:line="300" w:lineRule="auto"/>
              <w:rPr>
                <w:rFonts w:hint="eastAsia" w:cs="宋体"/>
                <w:szCs w:val="24"/>
              </w:rPr>
            </w:pPr>
            <w:r>
              <w:rPr>
                <w:rFonts w:hint="eastAsia" w:cs="宋体"/>
                <w:szCs w:val="24"/>
              </w:rPr>
              <w:t>注：提供中标（成交）通知书或合同扫描件（合同中包含但不限于首末页、金额页、签字页等关键页作为证明资料）并加盖公章，未提供或提供不完整的、模糊不清的业绩合同不予认可。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94" w:type="pct"/>
            <w:vMerge w:val="continue"/>
            <w:vAlign w:val="center"/>
          </w:tcPr>
          <w:p>
            <w:pPr>
              <w:pStyle w:val="49"/>
              <w:widowControl/>
              <w:spacing w:line="300" w:lineRule="auto"/>
              <w:jc w:val="center"/>
              <w:rPr>
                <w:rFonts w:hint="eastAsia" w:cs="宋体"/>
                <w:szCs w:val="24"/>
              </w:rPr>
            </w:pPr>
          </w:p>
        </w:tc>
        <w:tc>
          <w:tcPr>
            <w:tcW w:w="593" w:type="pct"/>
            <w:tcBorders>
              <w:top w:val="single" w:color="auto" w:sz="4" w:space="0"/>
            </w:tcBorders>
            <w:vAlign w:val="center"/>
          </w:tcPr>
          <w:p>
            <w:pPr>
              <w:pStyle w:val="49"/>
              <w:widowControl/>
              <w:spacing w:line="300" w:lineRule="auto"/>
              <w:jc w:val="center"/>
              <w:rPr>
                <w:rFonts w:hint="eastAsia" w:cs="宋体"/>
                <w:szCs w:val="24"/>
              </w:rPr>
            </w:pPr>
            <w:r>
              <w:rPr>
                <w:rFonts w:hint="eastAsia" w:cs="宋体"/>
                <w:szCs w:val="24"/>
              </w:rPr>
              <w:t>项目团队人员配置</w:t>
            </w:r>
          </w:p>
        </w:tc>
        <w:tc>
          <w:tcPr>
            <w:tcW w:w="391" w:type="pct"/>
            <w:vAlign w:val="center"/>
          </w:tcPr>
          <w:p>
            <w:pPr>
              <w:pStyle w:val="49"/>
              <w:widowControl/>
              <w:spacing w:line="300" w:lineRule="auto"/>
              <w:jc w:val="center"/>
              <w:rPr>
                <w:rFonts w:hint="eastAsia" w:cs="宋体"/>
                <w:szCs w:val="24"/>
              </w:rPr>
            </w:pPr>
            <w:r>
              <w:rPr>
                <w:rFonts w:hint="eastAsia" w:cs="宋体"/>
                <w:szCs w:val="24"/>
              </w:rPr>
              <w:t>8分</w:t>
            </w:r>
          </w:p>
        </w:tc>
        <w:tc>
          <w:tcPr>
            <w:tcW w:w="3421" w:type="pct"/>
            <w:vAlign w:val="center"/>
          </w:tcPr>
          <w:p>
            <w:pPr>
              <w:pStyle w:val="49"/>
              <w:widowControl/>
              <w:spacing w:line="300" w:lineRule="auto"/>
              <w:rPr>
                <w:rFonts w:hint="eastAsia" w:cs="宋体"/>
                <w:szCs w:val="24"/>
              </w:rPr>
            </w:pPr>
            <w:r>
              <w:rPr>
                <w:rFonts w:hint="eastAsia" w:cs="宋体"/>
                <w:szCs w:val="24"/>
              </w:rPr>
              <w:t>拟配备团队人员配置合理，分工职责与项目实施具体内容匹配，每提供一人得2分，最多得8分。</w:t>
            </w:r>
          </w:p>
          <w:p>
            <w:pPr>
              <w:pStyle w:val="49"/>
              <w:widowControl/>
              <w:spacing w:line="300" w:lineRule="auto"/>
              <w:rPr>
                <w:rFonts w:hint="eastAsia" w:cs="宋体"/>
                <w:szCs w:val="24"/>
              </w:rPr>
            </w:pPr>
            <w:r>
              <w:rPr>
                <w:rFonts w:cs="宋体"/>
                <w:szCs w:val="24"/>
              </w:rPr>
              <w:t>注：提供身份证、近六个月中任意一个月社保缴纳证明原件扫描件、劳动合同等证件并加盖公章（退休人员须提供退休证明及聘用合同），提供不全不得分。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94" w:type="pct"/>
            <w:vMerge w:val="restart"/>
            <w:vAlign w:val="center"/>
          </w:tcPr>
          <w:p>
            <w:pPr>
              <w:pStyle w:val="49"/>
              <w:widowControl/>
              <w:spacing w:line="300" w:lineRule="auto"/>
              <w:jc w:val="center"/>
              <w:rPr>
                <w:rFonts w:hint="eastAsia" w:cs="宋体"/>
                <w:szCs w:val="24"/>
              </w:rPr>
            </w:pPr>
            <w:r>
              <w:rPr>
                <w:rFonts w:hint="eastAsia" w:cs="宋体"/>
                <w:szCs w:val="24"/>
              </w:rPr>
              <w:t>技术部分</w:t>
            </w:r>
          </w:p>
          <w:p>
            <w:pPr>
              <w:pStyle w:val="49"/>
              <w:widowControl/>
              <w:spacing w:line="300" w:lineRule="auto"/>
              <w:jc w:val="center"/>
              <w:rPr>
                <w:rFonts w:hint="eastAsia" w:cs="宋体"/>
                <w:szCs w:val="24"/>
              </w:rPr>
            </w:pPr>
            <w:r>
              <w:rPr>
                <w:rFonts w:hint="eastAsia" w:cs="宋体"/>
                <w:szCs w:val="24"/>
              </w:rPr>
              <w:t>（</w:t>
            </w:r>
            <w:r>
              <w:rPr>
                <w:rFonts w:hint="eastAsia" w:cs="宋体"/>
                <w:szCs w:val="24"/>
                <w:lang w:val="en-US" w:eastAsia="zh-CN"/>
              </w:rPr>
              <w:t>74</w:t>
            </w:r>
            <w:r>
              <w:rPr>
                <w:rFonts w:hint="eastAsia" w:cs="宋体"/>
                <w:szCs w:val="24"/>
              </w:rPr>
              <w:t>分）</w:t>
            </w:r>
          </w:p>
        </w:tc>
        <w:tc>
          <w:tcPr>
            <w:tcW w:w="593" w:type="pct"/>
            <w:tcBorders>
              <w:top w:val="single" w:color="auto" w:sz="4" w:space="0"/>
            </w:tcBorders>
            <w:vAlign w:val="center"/>
          </w:tcPr>
          <w:p>
            <w:pPr>
              <w:pStyle w:val="49"/>
              <w:widowControl/>
              <w:spacing w:line="300" w:lineRule="auto"/>
              <w:jc w:val="center"/>
              <w:rPr>
                <w:rFonts w:hint="eastAsia" w:cs="宋体"/>
                <w:szCs w:val="24"/>
              </w:rPr>
            </w:pPr>
            <w:r>
              <w:rPr>
                <w:rFonts w:hint="eastAsia" w:cs="宋体"/>
                <w:szCs w:val="24"/>
              </w:rPr>
              <w:t>项目分析方案</w:t>
            </w:r>
          </w:p>
        </w:tc>
        <w:tc>
          <w:tcPr>
            <w:tcW w:w="391" w:type="pct"/>
            <w:vAlign w:val="center"/>
          </w:tcPr>
          <w:p>
            <w:pPr>
              <w:pStyle w:val="49"/>
              <w:widowControl/>
              <w:spacing w:line="300" w:lineRule="auto"/>
              <w:jc w:val="center"/>
              <w:rPr>
                <w:rFonts w:hint="eastAsia" w:cs="宋体"/>
                <w:szCs w:val="24"/>
              </w:rPr>
            </w:pPr>
            <w:r>
              <w:rPr>
                <w:rFonts w:hint="eastAsia" w:cs="宋体"/>
                <w:szCs w:val="24"/>
              </w:rPr>
              <w:t>10分</w:t>
            </w:r>
          </w:p>
        </w:tc>
        <w:tc>
          <w:tcPr>
            <w:tcW w:w="3421" w:type="pct"/>
            <w:vAlign w:val="center"/>
          </w:tcPr>
          <w:p>
            <w:pPr>
              <w:pStyle w:val="49"/>
              <w:widowControl/>
              <w:spacing w:line="300" w:lineRule="auto"/>
              <w:rPr>
                <w:rFonts w:hint="eastAsia"/>
                <w:szCs w:val="24"/>
              </w:rPr>
            </w:pPr>
            <w:r>
              <w:rPr>
                <w:rFonts w:hint="eastAsia"/>
                <w:szCs w:val="24"/>
              </w:rPr>
              <w:t>根据采购需求提供对</w:t>
            </w:r>
            <w:r>
              <w:rPr>
                <w:rFonts w:hint="eastAsia" w:cs="宋体"/>
                <w:szCs w:val="24"/>
              </w:rPr>
              <w:t>项目的理解分析，</w:t>
            </w:r>
            <w:r>
              <w:rPr>
                <w:rFonts w:hint="eastAsia"/>
                <w:szCs w:val="24"/>
              </w:rPr>
              <w:t>包含但不限于以下内容：</w:t>
            </w:r>
          </w:p>
          <w:p>
            <w:pPr>
              <w:pStyle w:val="49"/>
              <w:widowControl/>
              <w:spacing w:line="300" w:lineRule="auto"/>
              <w:rPr>
                <w:rFonts w:hint="eastAsia" w:cs="宋体"/>
                <w:szCs w:val="24"/>
              </w:rPr>
            </w:pPr>
            <w:r>
              <w:rPr>
                <w:rFonts w:hint="eastAsia" w:cs="宋体"/>
                <w:szCs w:val="24"/>
              </w:rPr>
              <w:t>①针对本项目的理解分析；②</w:t>
            </w:r>
            <w:r>
              <w:rPr>
                <w:rFonts w:cs="宋体"/>
                <w:szCs w:val="24"/>
              </w:rPr>
              <w:t>项目风险分析及控制措施进行分析</w:t>
            </w:r>
            <w:r>
              <w:rPr>
                <w:rFonts w:hint="eastAsia" w:cs="宋体"/>
                <w:szCs w:val="24"/>
              </w:rPr>
              <w:t>；③报告大纲。</w:t>
            </w:r>
          </w:p>
          <w:p>
            <w:pPr>
              <w:pStyle w:val="49"/>
              <w:widowControl/>
              <w:spacing w:line="300" w:lineRule="auto"/>
              <w:rPr>
                <w:rFonts w:hint="eastAsia"/>
                <w:szCs w:val="24"/>
              </w:rPr>
            </w:pPr>
            <w:r>
              <w:rPr>
                <w:rFonts w:hint="eastAsia"/>
                <w:szCs w:val="24"/>
              </w:rPr>
              <w:t>项目分析方案内容完整、科学严谨、切实可行，得10分；</w:t>
            </w:r>
          </w:p>
          <w:p>
            <w:pPr>
              <w:pStyle w:val="49"/>
              <w:widowControl/>
              <w:spacing w:line="300" w:lineRule="auto"/>
              <w:rPr>
                <w:rFonts w:hint="eastAsia"/>
                <w:szCs w:val="24"/>
              </w:rPr>
            </w:pPr>
            <w:r>
              <w:rPr>
                <w:rFonts w:hint="eastAsia"/>
                <w:szCs w:val="24"/>
              </w:rPr>
              <w:t>项目分析方案内容基本完整、可行，其他内容一般，得8分；</w:t>
            </w:r>
          </w:p>
          <w:p>
            <w:pPr>
              <w:pStyle w:val="49"/>
              <w:widowControl/>
              <w:spacing w:line="300" w:lineRule="auto"/>
              <w:rPr>
                <w:rFonts w:hint="eastAsia"/>
                <w:szCs w:val="24"/>
              </w:rPr>
            </w:pPr>
            <w:r>
              <w:rPr>
                <w:rFonts w:hint="eastAsia"/>
                <w:szCs w:val="24"/>
              </w:rPr>
              <w:t>项目分析方案内容缺漏，可行性较差，得6分。</w:t>
            </w:r>
          </w:p>
          <w:p>
            <w:pPr>
              <w:pStyle w:val="49"/>
              <w:widowControl/>
              <w:spacing w:line="300" w:lineRule="auto"/>
              <w:rPr>
                <w:rFonts w:hint="eastAsia" w:cs="宋体"/>
                <w:szCs w:val="24"/>
              </w:rPr>
            </w:pPr>
            <w:r>
              <w:rPr>
                <w:rFonts w:hint="eastAsia"/>
                <w:szCs w:val="24"/>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94" w:type="pct"/>
            <w:vMerge w:val="continue"/>
            <w:vAlign w:val="center"/>
          </w:tcPr>
          <w:p>
            <w:pPr>
              <w:pStyle w:val="49"/>
              <w:widowControl/>
              <w:spacing w:line="300" w:lineRule="auto"/>
              <w:jc w:val="center"/>
              <w:rPr>
                <w:rFonts w:hint="eastAsia" w:cs="宋体"/>
                <w:szCs w:val="24"/>
              </w:rPr>
            </w:pPr>
          </w:p>
        </w:tc>
        <w:tc>
          <w:tcPr>
            <w:tcW w:w="593" w:type="pct"/>
            <w:tcBorders>
              <w:top w:val="single" w:color="auto" w:sz="4" w:space="0"/>
            </w:tcBorders>
            <w:vAlign w:val="center"/>
          </w:tcPr>
          <w:p>
            <w:pPr>
              <w:pStyle w:val="49"/>
              <w:widowControl/>
              <w:spacing w:line="300" w:lineRule="auto"/>
              <w:jc w:val="center"/>
              <w:rPr>
                <w:rFonts w:hint="eastAsia" w:cs="宋体"/>
                <w:szCs w:val="24"/>
              </w:rPr>
            </w:pPr>
            <w:r>
              <w:rPr>
                <w:rFonts w:cs="宋体"/>
                <w:szCs w:val="24"/>
              </w:rPr>
              <w:t>数字化</w:t>
            </w:r>
            <w:r>
              <w:rPr>
                <w:rFonts w:hint="eastAsia" w:cs="宋体"/>
                <w:szCs w:val="24"/>
              </w:rPr>
              <w:t>服务</w:t>
            </w:r>
          </w:p>
        </w:tc>
        <w:tc>
          <w:tcPr>
            <w:tcW w:w="391" w:type="pct"/>
            <w:vAlign w:val="center"/>
          </w:tcPr>
          <w:p>
            <w:pPr>
              <w:pStyle w:val="49"/>
              <w:widowControl/>
              <w:spacing w:line="300" w:lineRule="auto"/>
              <w:jc w:val="center"/>
              <w:rPr>
                <w:rFonts w:hint="eastAsia" w:cs="宋体"/>
                <w:szCs w:val="24"/>
              </w:rPr>
            </w:pPr>
            <w:r>
              <w:rPr>
                <w:rFonts w:hint="eastAsia" w:cs="宋体"/>
                <w:szCs w:val="24"/>
                <w:lang w:val="en-US" w:eastAsia="zh-CN"/>
              </w:rPr>
              <w:t>10</w:t>
            </w:r>
            <w:r>
              <w:rPr>
                <w:rFonts w:hint="eastAsia" w:cs="宋体"/>
                <w:szCs w:val="24"/>
              </w:rPr>
              <w:t>分</w:t>
            </w:r>
          </w:p>
        </w:tc>
        <w:tc>
          <w:tcPr>
            <w:tcW w:w="3421" w:type="pct"/>
            <w:vAlign w:val="center"/>
          </w:tcPr>
          <w:p>
            <w:pPr>
              <w:pStyle w:val="49"/>
              <w:widowControl/>
              <w:spacing w:line="300" w:lineRule="auto"/>
              <w:rPr>
                <w:rFonts w:hint="eastAsia"/>
                <w:szCs w:val="24"/>
              </w:rPr>
            </w:pPr>
            <w:r>
              <w:rPr>
                <w:rFonts w:hint="eastAsia"/>
                <w:szCs w:val="24"/>
              </w:rPr>
              <w:t>供应商提供的数字化管理平台应满足以下功能：</w:t>
            </w:r>
          </w:p>
          <w:p>
            <w:pPr>
              <w:pStyle w:val="49"/>
              <w:widowControl/>
              <w:spacing w:line="300" w:lineRule="auto"/>
              <w:rPr>
                <w:rFonts w:hint="eastAsia"/>
                <w:szCs w:val="24"/>
              </w:rPr>
            </w:pPr>
            <w:r>
              <w:rPr>
                <w:rFonts w:hint="eastAsia"/>
                <w:szCs w:val="24"/>
              </w:rPr>
              <w:t>①支持构建校级、职能部门、院级多级权限管理体系，满足得</w:t>
            </w:r>
            <w:r>
              <w:rPr>
                <w:rFonts w:hint="eastAsia"/>
                <w:szCs w:val="24"/>
                <w:lang w:val="en-US" w:eastAsia="zh-CN"/>
              </w:rPr>
              <w:t>5</w:t>
            </w:r>
            <w:r>
              <w:rPr>
                <w:rFonts w:hint="eastAsia"/>
                <w:szCs w:val="24"/>
              </w:rPr>
              <w:t>分。</w:t>
            </w:r>
          </w:p>
          <w:p>
            <w:pPr>
              <w:pStyle w:val="49"/>
              <w:widowControl/>
              <w:spacing w:line="300" w:lineRule="auto"/>
              <w:rPr>
                <w:rFonts w:hint="eastAsia"/>
                <w:szCs w:val="24"/>
              </w:rPr>
            </w:pPr>
            <w:r>
              <w:rPr>
                <w:rFonts w:hint="eastAsia"/>
                <w:szCs w:val="24"/>
              </w:rPr>
              <w:t>②支持报告下载、指标查询功能：报告下载可实现多维度筛选、报告卡片展示、一键下载；指标查询含指标目录、指标搜索查询、指标解释内涵、复杂指标多图表展示、数据可视化与下钻、多维度数据查看及筛选，满足得</w:t>
            </w:r>
            <w:r>
              <w:rPr>
                <w:rFonts w:hint="eastAsia"/>
                <w:szCs w:val="24"/>
                <w:lang w:val="en-US" w:eastAsia="zh-CN"/>
              </w:rPr>
              <w:t>5</w:t>
            </w:r>
            <w:r>
              <w:rPr>
                <w:rFonts w:hint="eastAsia"/>
                <w:szCs w:val="24"/>
              </w:rPr>
              <w:t>分。</w:t>
            </w:r>
          </w:p>
          <w:p>
            <w:pPr>
              <w:pStyle w:val="49"/>
              <w:widowControl/>
              <w:spacing w:line="300" w:lineRule="auto"/>
              <w:rPr>
                <w:rFonts w:hint="eastAsia"/>
                <w:szCs w:val="24"/>
              </w:rPr>
            </w:pPr>
            <w:r>
              <w:rPr>
                <w:rFonts w:hint="eastAsia"/>
                <w:szCs w:val="24"/>
              </w:rPr>
              <w:t>注：提供以上功能截图（加盖公章），否则不得分。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94" w:type="pct"/>
            <w:vMerge w:val="continue"/>
            <w:vAlign w:val="center"/>
          </w:tcPr>
          <w:p>
            <w:pPr>
              <w:pStyle w:val="49"/>
              <w:widowControl/>
              <w:spacing w:line="300" w:lineRule="auto"/>
              <w:jc w:val="center"/>
              <w:rPr>
                <w:rFonts w:hint="eastAsia" w:cs="宋体"/>
                <w:szCs w:val="24"/>
              </w:rPr>
            </w:pPr>
          </w:p>
        </w:tc>
        <w:tc>
          <w:tcPr>
            <w:tcW w:w="593" w:type="pct"/>
            <w:tcBorders>
              <w:top w:val="single" w:color="auto" w:sz="4" w:space="0"/>
            </w:tcBorders>
            <w:vAlign w:val="center"/>
          </w:tcPr>
          <w:p>
            <w:pPr>
              <w:pStyle w:val="49"/>
              <w:widowControl/>
              <w:spacing w:line="300" w:lineRule="auto"/>
              <w:jc w:val="center"/>
              <w:rPr>
                <w:rFonts w:hint="eastAsia" w:cs="宋体"/>
                <w:szCs w:val="24"/>
              </w:rPr>
            </w:pPr>
            <w:r>
              <w:rPr>
                <w:rFonts w:hint="eastAsia" w:cs="宋体"/>
                <w:szCs w:val="24"/>
              </w:rPr>
              <w:t>技术方案</w:t>
            </w:r>
          </w:p>
        </w:tc>
        <w:tc>
          <w:tcPr>
            <w:tcW w:w="391" w:type="pct"/>
            <w:vAlign w:val="center"/>
          </w:tcPr>
          <w:p>
            <w:pPr>
              <w:pStyle w:val="49"/>
              <w:widowControl/>
              <w:spacing w:line="300" w:lineRule="auto"/>
              <w:jc w:val="center"/>
              <w:rPr>
                <w:rFonts w:hint="eastAsia" w:cs="宋体"/>
                <w:szCs w:val="24"/>
              </w:rPr>
            </w:pPr>
            <w:r>
              <w:rPr>
                <w:rFonts w:hint="eastAsia" w:cs="宋体"/>
                <w:szCs w:val="24"/>
              </w:rPr>
              <w:t>10分</w:t>
            </w:r>
          </w:p>
        </w:tc>
        <w:tc>
          <w:tcPr>
            <w:tcW w:w="3421" w:type="pct"/>
            <w:vAlign w:val="center"/>
          </w:tcPr>
          <w:p>
            <w:pPr>
              <w:pStyle w:val="49"/>
              <w:widowControl/>
              <w:spacing w:line="300" w:lineRule="auto"/>
              <w:rPr>
                <w:rFonts w:hint="eastAsia" w:cs="宋体"/>
                <w:szCs w:val="24"/>
              </w:rPr>
            </w:pPr>
            <w:r>
              <w:rPr>
                <w:rFonts w:hint="eastAsia"/>
                <w:szCs w:val="24"/>
              </w:rPr>
              <w:t>根据采购需求提供对</w:t>
            </w:r>
            <w:r>
              <w:rPr>
                <w:rFonts w:hint="eastAsia" w:cs="宋体"/>
                <w:szCs w:val="24"/>
              </w:rPr>
              <w:t>项目的技术方案，包括但不限于以下内容：</w:t>
            </w:r>
          </w:p>
          <w:p>
            <w:pPr>
              <w:pStyle w:val="49"/>
              <w:widowControl/>
              <w:spacing w:line="300" w:lineRule="auto"/>
              <w:rPr>
                <w:rFonts w:hint="eastAsia"/>
                <w:szCs w:val="24"/>
              </w:rPr>
            </w:pPr>
            <w:r>
              <w:rPr>
                <w:rFonts w:hint="eastAsia"/>
                <w:szCs w:val="24"/>
              </w:rPr>
              <w:t>①抽样准备；②问卷调查；③数据整理和分析；</w:t>
            </w:r>
            <w:r>
              <w:rPr>
                <w:rFonts w:hint="eastAsia" w:cs="宋体"/>
                <w:szCs w:val="24"/>
              </w:rPr>
              <w:t>④</w:t>
            </w:r>
            <w:r>
              <w:rPr>
                <w:rFonts w:hint="eastAsia"/>
                <w:szCs w:val="24"/>
              </w:rPr>
              <w:t>报告撰写。</w:t>
            </w:r>
          </w:p>
          <w:p>
            <w:pPr>
              <w:pStyle w:val="49"/>
              <w:widowControl/>
              <w:spacing w:line="300" w:lineRule="auto"/>
              <w:rPr>
                <w:rFonts w:hint="eastAsia"/>
                <w:szCs w:val="24"/>
              </w:rPr>
            </w:pPr>
            <w:r>
              <w:rPr>
                <w:rFonts w:hint="eastAsia"/>
                <w:szCs w:val="24"/>
              </w:rPr>
              <w:t>技术方案内容完整、科学严谨、切实可行，得10分；</w:t>
            </w:r>
          </w:p>
          <w:p>
            <w:pPr>
              <w:pStyle w:val="49"/>
              <w:widowControl/>
              <w:spacing w:line="300" w:lineRule="auto"/>
              <w:rPr>
                <w:rFonts w:hint="eastAsia"/>
                <w:szCs w:val="24"/>
              </w:rPr>
            </w:pPr>
            <w:r>
              <w:rPr>
                <w:rFonts w:hint="eastAsia"/>
                <w:szCs w:val="24"/>
              </w:rPr>
              <w:t>技术方案内容基本完整、可行，其他内容一般，得8分；</w:t>
            </w:r>
          </w:p>
          <w:p>
            <w:pPr>
              <w:pStyle w:val="49"/>
              <w:widowControl/>
              <w:spacing w:line="300" w:lineRule="auto"/>
              <w:rPr>
                <w:rFonts w:hint="eastAsia"/>
                <w:szCs w:val="24"/>
              </w:rPr>
            </w:pPr>
            <w:r>
              <w:rPr>
                <w:rFonts w:hint="eastAsia"/>
                <w:szCs w:val="24"/>
              </w:rPr>
              <w:t>技术方案内容缺漏，可行性较差，得6分。</w:t>
            </w:r>
          </w:p>
          <w:p>
            <w:pPr>
              <w:pStyle w:val="49"/>
              <w:widowControl/>
              <w:spacing w:line="300" w:lineRule="auto"/>
              <w:rPr>
                <w:rFonts w:hint="eastAsia"/>
                <w:szCs w:val="24"/>
              </w:rPr>
            </w:pPr>
            <w:r>
              <w:rPr>
                <w:rFonts w:hint="eastAsia"/>
                <w:szCs w:val="24"/>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94" w:type="pct"/>
            <w:vMerge w:val="continue"/>
            <w:vAlign w:val="center"/>
          </w:tcPr>
          <w:p>
            <w:pPr>
              <w:pStyle w:val="49"/>
              <w:widowControl/>
              <w:spacing w:line="300" w:lineRule="auto"/>
              <w:jc w:val="center"/>
              <w:rPr>
                <w:rFonts w:hint="eastAsia" w:cs="宋体"/>
                <w:szCs w:val="24"/>
              </w:rPr>
            </w:pPr>
          </w:p>
        </w:tc>
        <w:tc>
          <w:tcPr>
            <w:tcW w:w="593" w:type="pct"/>
            <w:vAlign w:val="center"/>
          </w:tcPr>
          <w:p>
            <w:pPr>
              <w:pStyle w:val="49"/>
              <w:widowControl/>
              <w:spacing w:line="300" w:lineRule="auto"/>
              <w:jc w:val="center"/>
              <w:rPr>
                <w:rFonts w:hint="eastAsia" w:cs="宋体"/>
                <w:szCs w:val="24"/>
              </w:rPr>
            </w:pPr>
            <w:r>
              <w:rPr>
                <w:rFonts w:hint="eastAsia" w:cs="宋体"/>
                <w:szCs w:val="24"/>
              </w:rPr>
              <w:t>质量保障方案</w:t>
            </w:r>
          </w:p>
        </w:tc>
        <w:tc>
          <w:tcPr>
            <w:tcW w:w="391" w:type="pct"/>
            <w:vAlign w:val="center"/>
          </w:tcPr>
          <w:p>
            <w:pPr>
              <w:pStyle w:val="49"/>
              <w:widowControl/>
              <w:spacing w:line="300" w:lineRule="auto"/>
              <w:jc w:val="center"/>
              <w:rPr>
                <w:rFonts w:hint="eastAsia" w:cs="宋体"/>
                <w:szCs w:val="24"/>
              </w:rPr>
            </w:pPr>
            <w:r>
              <w:rPr>
                <w:rFonts w:hint="eastAsia" w:cs="宋体"/>
                <w:szCs w:val="24"/>
              </w:rPr>
              <w:t>10分</w:t>
            </w:r>
          </w:p>
        </w:tc>
        <w:tc>
          <w:tcPr>
            <w:tcW w:w="3421" w:type="pct"/>
            <w:vAlign w:val="center"/>
          </w:tcPr>
          <w:p>
            <w:pPr>
              <w:pStyle w:val="49"/>
              <w:widowControl/>
              <w:spacing w:line="300" w:lineRule="auto"/>
              <w:rPr>
                <w:rFonts w:hint="eastAsia" w:cs="宋体"/>
                <w:szCs w:val="24"/>
              </w:rPr>
            </w:pPr>
            <w:r>
              <w:rPr>
                <w:rFonts w:hint="eastAsia"/>
                <w:szCs w:val="24"/>
              </w:rPr>
              <w:t>根据采购需求提供对</w:t>
            </w:r>
            <w:r>
              <w:rPr>
                <w:rFonts w:hint="eastAsia" w:cs="宋体"/>
                <w:szCs w:val="24"/>
              </w:rPr>
              <w:t>项目的质量保障方案，包括但不限于以下内容：</w:t>
            </w:r>
          </w:p>
          <w:p>
            <w:pPr>
              <w:widowControl/>
              <w:rPr>
                <w:rFonts w:hint="eastAsia" w:cs="宋体"/>
                <w:szCs w:val="24"/>
              </w:rPr>
            </w:pPr>
            <w:r>
              <w:rPr>
                <w:rFonts w:hint="eastAsia" w:cs="宋体"/>
                <w:szCs w:val="24"/>
              </w:rPr>
              <w:t>①质量保障措施、②</w:t>
            </w:r>
            <w:r>
              <w:rPr>
                <w:rFonts w:cs="宋体"/>
                <w:szCs w:val="24"/>
              </w:rPr>
              <w:t>售后服务体系</w:t>
            </w:r>
            <w:r>
              <w:rPr>
                <w:rFonts w:hint="eastAsia" w:cs="宋体"/>
                <w:szCs w:val="24"/>
              </w:rPr>
              <w:t>、③</w:t>
            </w:r>
            <w:r>
              <w:rPr>
                <w:rFonts w:cs="宋体"/>
                <w:szCs w:val="24"/>
              </w:rPr>
              <w:t>售后服务内容</w:t>
            </w:r>
            <w:r>
              <w:rPr>
                <w:rFonts w:hint="eastAsia" w:cs="宋体"/>
                <w:szCs w:val="24"/>
              </w:rPr>
              <w:t>及</w:t>
            </w:r>
            <w:r>
              <w:rPr>
                <w:rFonts w:cs="宋体"/>
                <w:szCs w:val="24"/>
              </w:rPr>
              <w:t>响应速度</w:t>
            </w:r>
            <w:r>
              <w:rPr>
                <w:rFonts w:hint="eastAsia" w:cs="宋体"/>
                <w:szCs w:val="24"/>
              </w:rPr>
              <w:t>。</w:t>
            </w:r>
          </w:p>
          <w:p>
            <w:pPr>
              <w:widowControl/>
              <w:rPr>
                <w:rFonts w:hint="eastAsia"/>
                <w:szCs w:val="24"/>
              </w:rPr>
            </w:pPr>
            <w:r>
              <w:rPr>
                <w:szCs w:val="24"/>
              </w:rPr>
              <w:t>质量保障</w:t>
            </w:r>
            <w:r>
              <w:rPr>
                <w:rFonts w:hint="eastAsia"/>
                <w:szCs w:val="24"/>
              </w:rPr>
              <w:t>方案内容完整清晰明确且科学合理、可行性高具有针对性、</w:t>
            </w:r>
            <w:r>
              <w:rPr>
                <w:rFonts w:hint="eastAsia" w:cs="宋体"/>
                <w:szCs w:val="24"/>
              </w:rPr>
              <w:t>服务响应时间快</w:t>
            </w:r>
            <w:r>
              <w:rPr>
                <w:rFonts w:hint="eastAsia"/>
                <w:szCs w:val="24"/>
              </w:rPr>
              <w:t>并满足采购需求的，</w:t>
            </w:r>
            <w:r>
              <w:rPr>
                <w:szCs w:val="24"/>
              </w:rPr>
              <w:t>得</w:t>
            </w:r>
            <w:r>
              <w:rPr>
                <w:rFonts w:hint="eastAsia"/>
                <w:szCs w:val="24"/>
              </w:rPr>
              <w:t>10</w:t>
            </w:r>
            <w:r>
              <w:rPr>
                <w:szCs w:val="24"/>
              </w:rPr>
              <w:t>分；</w:t>
            </w:r>
          </w:p>
          <w:p>
            <w:pPr>
              <w:widowControl/>
              <w:rPr>
                <w:rFonts w:hint="eastAsia"/>
                <w:szCs w:val="24"/>
              </w:rPr>
            </w:pPr>
            <w:r>
              <w:rPr>
                <w:szCs w:val="24"/>
              </w:rPr>
              <w:t>质量保障</w:t>
            </w:r>
            <w:r>
              <w:rPr>
                <w:rFonts w:hint="eastAsia"/>
                <w:szCs w:val="24"/>
              </w:rPr>
              <w:t>方案内容</w:t>
            </w:r>
            <w:r>
              <w:rPr>
                <w:rFonts w:hint="eastAsia" w:cs="宋体"/>
                <w:szCs w:val="24"/>
              </w:rPr>
              <w:t>基本可行，服务响应时间较快，其他各项服务内容一般</w:t>
            </w:r>
            <w:r>
              <w:rPr>
                <w:rFonts w:hint="eastAsia"/>
                <w:szCs w:val="24"/>
              </w:rPr>
              <w:t>，</w:t>
            </w:r>
            <w:r>
              <w:rPr>
                <w:szCs w:val="24"/>
              </w:rPr>
              <w:t>得</w:t>
            </w:r>
            <w:r>
              <w:rPr>
                <w:rFonts w:hint="eastAsia"/>
                <w:szCs w:val="24"/>
              </w:rPr>
              <w:t>8</w:t>
            </w:r>
            <w:r>
              <w:rPr>
                <w:szCs w:val="24"/>
              </w:rPr>
              <w:t>分；</w:t>
            </w:r>
          </w:p>
          <w:p>
            <w:pPr>
              <w:widowControl/>
              <w:rPr>
                <w:rFonts w:hint="eastAsia"/>
                <w:szCs w:val="24"/>
              </w:rPr>
            </w:pPr>
            <w:r>
              <w:rPr>
                <w:szCs w:val="24"/>
              </w:rPr>
              <w:t>质量保障</w:t>
            </w:r>
            <w:r>
              <w:rPr>
                <w:rFonts w:hint="eastAsia"/>
                <w:szCs w:val="24"/>
              </w:rPr>
              <w:t>方案</w:t>
            </w:r>
            <w:r>
              <w:rPr>
                <w:rFonts w:hint="eastAsia" w:cs="宋体"/>
                <w:szCs w:val="24"/>
              </w:rPr>
              <w:t>内容缺漏，可行性较差，服务响应时间一般</w:t>
            </w:r>
            <w:r>
              <w:rPr>
                <w:rFonts w:hint="eastAsia"/>
                <w:szCs w:val="24"/>
              </w:rPr>
              <w:t>，</w:t>
            </w:r>
            <w:r>
              <w:rPr>
                <w:szCs w:val="24"/>
              </w:rPr>
              <w:t>得</w:t>
            </w:r>
            <w:r>
              <w:rPr>
                <w:rFonts w:hint="eastAsia"/>
                <w:szCs w:val="24"/>
              </w:rPr>
              <w:t>6</w:t>
            </w:r>
            <w:r>
              <w:rPr>
                <w:szCs w:val="24"/>
              </w:rPr>
              <w:t>分；</w:t>
            </w:r>
          </w:p>
          <w:p>
            <w:pPr>
              <w:widowControl/>
              <w:rPr>
                <w:rFonts w:hint="eastAsia" w:cs="宋体"/>
                <w:szCs w:val="24"/>
              </w:rPr>
            </w:pPr>
            <w:r>
              <w:rPr>
                <w:rFonts w:hint="eastAsia"/>
                <w:szCs w:val="24"/>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94" w:type="pct"/>
            <w:vMerge w:val="continue"/>
            <w:vAlign w:val="center"/>
          </w:tcPr>
          <w:p>
            <w:pPr>
              <w:pStyle w:val="49"/>
              <w:widowControl/>
              <w:spacing w:line="300" w:lineRule="auto"/>
              <w:jc w:val="center"/>
              <w:rPr>
                <w:rFonts w:hint="eastAsia" w:cs="宋体"/>
                <w:szCs w:val="24"/>
              </w:rPr>
            </w:pPr>
          </w:p>
        </w:tc>
        <w:tc>
          <w:tcPr>
            <w:tcW w:w="593" w:type="pct"/>
            <w:vMerge w:val="restart"/>
            <w:vAlign w:val="center"/>
          </w:tcPr>
          <w:p>
            <w:pPr>
              <w:pStyle w:val="49"/>
              <w:widowControl/>
              <w:spacing w:line="300" w:lineRule="auto"/>
              <w:jc w:val="center"/>
              <w:rPr>
                <w:rFonts w:hint="eastAsia" w:cs="宋体"/>
                <w:szCs w:val="24"/>
              </w:rPr>
            </w:pPr>
            <w:r>
              <w:rPr>
                <w:rFonts w:cs="宋体"/>
                <w:szCs w:val="24"/>
              </w:rPr>
              <w:t>信息安全</w:t>
            </w:r>
            <w:r>
              <w:rPr>
                <w:rFonts w:hint="eastAsia" w:cs="宋体"/>
                <w:szCs w:val="24"/>
              </w:rPr>
              <w:t>保障方案</w:t>
            </w:r>
            <w:r>
              <w:rPr>
                <w:rFonts w:cs="宋体"/>
                <w:szCs w:val="24"/>
              </w:rPr>
              <w:t>及相关承诺</w:t>
            </w:r>
          </w:p>
        </w:tc>
        <w:tc>
          <w:tcPr>
            <w:tcW w:w="391" w:type="pct"/>
            <w:vMerge w:val="restart"/>
            <w:vAlign w:val="center"/>
          </w:tcPr>
          <w:p>
            <w:pPr>
              <w:pStyle w:val="49"/>
              <w:widowControl/>
              <w:spacing w:line="300" w:lineRule="auto"/>
              <w:jc w:val="center"/>
              <w:rPr>
                <w:rFonts w:hint="eastAsia" w:cs="宋体"/>
                <w:szCs w:val="24"/>
              </w:rPr>
            </w:pPr>
            <w:r>
              <w:rPr>
                <w:rFonts w:hint="eastAsia" w:cs="宋体"/>
                <w:szCs w:val="24"/>
                <w:lang w:val="en-US" w:eastAsia="zh-CN"/>
              </w:rPr>
              <w:t>14</w:t>
            </w:r>
            <w:r>
              <w:rPr>
                <w:rFonts w:hint="eastAsia" w:cs="宋体"/>
                <w:szCs w:val="24"/>
              </w:rPr>
              <w:t>分</w:t>
            </w:r>
          </w:p>
        </w:tc>
        <w:tc>
          <w:tcPr>
            <w:tcW w:w="3421" w:type="pct"/>
            <w:vAlign w:val="center"/>
          </w:tcPr>
          <w:p>
            <w:pPr>
              <w:pStyle w:val="49"/>
              <w:widowControl/>
              <w:spacing w:line="300" w:lineRule="auto"/>
              <w:rPr>
                <w:rFonts w:hint="eastAsia" w:cs="宋体"/>
                <w:szCs w:val="24"/>
              </w:rPr>
            </w:pPr>
            <w:r>
              <w:rPr>
                <w:rFonts w:hint="eastAsia"/>
                <w:szCs w:val="24"/>
              </w:rPr>
              <w:t>根据采购需求提供对</w:t>
            </w:r>
            <w:r>
              <w:rPr>
                <w:rFonts w:hint="eastAsia" w:cs="宋体"/>
                <w:szCs w:val="24"/>
              </w:rPr>
              <w:t>项目的</w:t>
            </w:r>
            <w:r>
              <w:rPr>
                <w:rFonts w:cs="宋体"/>
                <w:szCs w:val="24"/>
              </w:rPr>
              <w:t>信息安全</w:t>
            </w:r>
            <w:r>
              <w:rPr>
                <w:rFonts w:hint="eastAsia" w:cs="宋体"/>
                <w:szCs w:val="24"/>
              </w:rPr>
              <w:t>保障方</w:t>
            </w:r>
            <w:r>
              <w:rPr>
                <w:rFonts w:hint="eastAsia" w:cs="宋体"/>
                <w:szCs w:val="24"/>
                <w:lang w:val="en-US" w:eastAsia="zh-CN"/>
              </w:rPr>
              <w:t>及</w:t>
            </w:r>
            <w:r>
              <w:rPr>
                <w:rFonts w:hint="eastAsia" w:cs="宋体"/>
                <w:szCs w:val="24"/>
              </w:rPr>
              <w:t>案，包括但不限于以下内容：</w:t>
            </w:r>
          </w:p>
          <w:p>
            <w:pPr>
              <w:pStyle w:val="49"/>
              <w:widowControl/>
              <w:spacing w:line="300" w:lineRule="auto"/>
              <w:rPr>
                <w:rFonts w:hint="eastAsia" w:ascii="宋体" w:hAnsi="宋体" w:eastAsia="宋体" w:cs="宋体"/>
                <w:szCs w:val="24"/>
                <w:lang w:val="en-US" w:eastAsia="zh-CN"/>
              </w:rPr>
            </w:pPr>
            <w:r>
              <w:rPr>
                <w:rFonts w:hint="eastAsia" w:ascii="宋体" w:hAnsi="宋体" w:eastAsia="宋体" w:cs="宋体"/>
                <w:szCs w:val="24"/>
              </w:rPr>
              <w:t>①</w:t>
            </w:r>
            <w:r>
              <w:rPr>
                <w:rFonts w:hint="eastAsia" w:eastAsia="宋体"/>
                <w:szCs w:val="24"/>
                <w:lang w:val="en-US" w:eastAsia="zh-CN"/>
              </w:rPr>
              <w:t>信息安全保障体系、</w:t>
            </w:r>
            <w:r>
              <w:rPr>
                <w:rFonts w:hint="eastAsia" w:ascii="宋体" w:hAnsi="宋体" w:eastAsia="宋体" w:cs="宋体"/>
                <w:szCs w:val="24"/>
                <w:lang w:val="en-US" w:eastAsia="zh-CN"/>
              </w:rPr>
              <w:t>②</w:t>
            </w:r>
            <w:r>
              <w:rPr>
                <w:rFonts w:hint="eastAsia" w:eastAsia="宋体"/>
                <w:szCs w:val="24"/>
                <w:lang w:val="en-US" w:eastAsia="zh-CN"/>
              </w:rPr>
              <w:t>信息收集与使用、</w:t>
            </w:r>
            <w:r>
              <w:rPr>
                <w:rFonts w:hint="eastAsia" w:ascii="宋体" w:hAnsi="宋体" w:eastAsia="宋体" w:cs="宋体"/>
                <w:szCs w:val="24"/>
                <w:lang w:val="en-US" w:eastAsia="zh-CN"/>
              </w:rPr>
              <w:t>③信息存储与传输、④信息</w:t>
            </w:r>
            <w:ins w:id="8" w:author="李琳" w:date="2026-05-25T17:40:55Z">
              <w:r>
                <w:rPr>
                  <w:rFonts w:hint="eastAsia" w:cs="宋体"/>
                  <w:szCs w:val="24"/>
                  <w:lang w:val="en-US" w:eastAsia="zh-CN"/>
                </w:rPr>
                <w:t>保护</w:t>
              </w:r>
            </w:ins>
            <w:del w:id="9" w:author="李琳" w:date="2026-05-25T17:40:54Z">
              <w:r>
                <w:rPr>
                  <w:rFonts w:hint="eastAsia" w:ascii="宋体" w:hAnsi="宋体" w:eastAsia="宋体" w:cs="宋体"/>
                  <w:szCs w:val="24"/>
                  <w:lang w:val="en-US" w:eastAsia="zh-CN"/>
                </w:rPr>
                <w:delText>保密</w:delText>
              </w:r>
            </w:del>
            <w:r>
              <w:rPr>
                <w:rFonts w:hint="eastAsia" w:ascii="宋体" w:hAnsi="宋体" w:eastAsia="宋体" w:cs="宋体"/>
                <w:szCs w:val="24"/>
                <w:lang w:val="en-US" w:eastAsia="zh-CN"/>
              </w:rPr>
              <w:t>制度</w:t>
            </w:r>
          </w:p>
          <w:p>
            <w:pPr>
              <w:pStyle w:val="49"/>
              <w:widowControl/>
              <w:spacing w:line="300" w:lineRule="auto"/>
              <w:rPr>
                <w:rFonts w:hint="default" w:eastAsia="宋体" w:cs="宋体"/>
                <w:szCs w:val="24"/>
                <w:lang w:val="en-US" w:eastAsia="zh-CN"/>
              </w:rPr>
            </w:pPr>
            <w:r>
              <w:rPr>
                <w:rFonts w:cs="宋体"/>
                <w:szCs w:val="24"/>
              </w:rPr>
              <w:t>信息安全</w:t>
            </w:r>
            <w:r>
              <w:rPr>
                <w:rFonts w:hint="eastAsia" w:cs="宋体"/>
                <w:szCs w:val="24"/>
              </w:rPr>
              <w:t>保障方案</w:t>
            </w:r>
            <w:r>
              <w:rPr>
                <w:rFonts w:hint="eastAsia" w:cs="宋体"/>
                <w:szCs w:val="24"/>
                <w:lang w:val="en-US" w:eastAsia="zh-CN"/>
              </w:rPr>
              <w:t>完整规范、严谨，内容具体可行、有针对性，得10分；</w:t>
            </w:r>
          </w:p>
          <w:p>
            <w:pPr>
              <w:pStyle w:val="49"/>
              <w:widowControl/>
              <w:spacing w:line="300" w:lineRule="auto"/>
              <w:rPr>
                <w:rFonts w:hint="default" w:eastAsia="宋体" w:cs="宋体"/>
                <w:szCs w:val="24"/>
                <w:lang w:val="en-US" w:eastAsia="zh-CN"/>
              </w:rPr>
            </w:pPr>
            <w:r>
              <w:rPr>
                <w:rFonts w:cs="宋体"/>
                <w:szCs w:val="24"/>
              </w:rPr>
              <w:t>信息安全</w:t>
            </w:r>
            <w:r>
              <w:rPr>
                <w:rFonts w:hint="eastAsia" w:cs="宋体"/>
                <w:szCs w:val="24"/>
              </w:rPr>
              <w:t>保障方案</w:t>
            </w:r>
            <w:r>
              <w:rPr>
                <w:rFonts w:hint="eastAsia" w:cs="宋体"/>
                <w:szCs w:val="24"/>
                <w:lang w:val="en-US" w:eastAsia="zh-CN"/>
              </w:rPr>
              <w:t>基本完整、可行，针对性较弱，得8分；</w:t>
            </w:r>
          </w:p>
          <w:p>
            <w:pPr>
              <w:pStyle w:val="49"/>
              <w:widowControl/>
              <w:spacing w:line="300" w:lineRule="auto"/>
              <w:rPr>
                <w:rFonts w:hint="eastAsia" w:cs="宋体"/>
                <w:szCs w:val="24"/>
                <w:lang w:val="en-US" w:eastAsia="zh-CN"/>
              </w:rPr>
            </w:pPr>
            <w:r>
              <w:rPr>
                <w:rFonts w:cs="宋体"/>
                <w:szCs w:val="24"/>
              </w:rPr>
              <w:t>信息安全</w:t>
            </w:r>
            <w:r>
              <w:rPr>
                <w:rFonts w:hint="eastAsia" w:cs="宋体"/>
                <w:szCs w:val="24"/>
              </w:rPr>
              <w:t>保障方案</w:t>
            </w:r>
            <w:r>
              <w:rPr>
                <w:rFonts w:hint="eastAsia" w:cs="宋体"/>
                <w:szCs w:val="24"/>
                <w:lang w:val="en-US" w:eastAsia="zh-CN"/>
              </w:rPr>
              <w:t>内容缺漏，可行性较差，得6分</w:t>
            </w:r>
          </w:p>
          <w:p>
            <w:pPr>
              <w:pStyle w:val="49"/>
              <w:widowControl/>
              <w:spacing w:line="300" w:lineRule="auto"/>
              <w:rPr>
                <w:rFonts w:hint="default"/>
                <w:szCs w:val="24"/>
                <w:lang w:val="en-US" w:eastAsia="zh-CN"/>
              </w:rPr>
            </w:pPr>
            <w:r>
              <w:rPr>
                <w:rFonts w:hint="eastAsia" w:cs="宋体"/>
                <w:szCs w:val="24"/>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94" w:type="pct"/>
            <w:vMerge w:val="continue"/>
            <w:vAlign w:val="center"/>
          </w:tcPr>
          <w:p>
            <w:pPr>
              <w:pStyle w:val="49"/>
              <w:widowControl/>
              <w:spacing w:line="300" w:lineRule="auto"/>
            </w:pPr>
          </w:p>
        </w:tc>
        <w:tc>
          <w:tcPr>
            <w:tcW w:w="593" w:type="pct"/>
            <w:vMerge w:val="continue"/>
            <w:vAlign w:val="center"/>
          </w:tcPr>
          <w:p>
            <w:pPr>
              <w:pStyle w:val="49"/>
              <w:widowControl/>
              <w:spacing w:line="300" w:lineRule="auto"/>
            </w:pPr>
          </w:p>
        </w:tc>
        <w:tc>
          <w:tcPr>
            <w:tcW w:w="391" w:type="pct"/>
            <w:vMerge w:val="continue"/>
            <w:vAlign w:val="center"/>
          </w:tcPr>
          <w:p>
            <w:pPr>
              <w:pStyle w:val="49"/>
              <w:widowControl/>
              <w:spacing w:line="300" w:lineRule="auto"/>
            </w:pPr>
          </w:p>
        </w:tc>
        <w:tc>
          <w:tcPr>
            <w:tcW w:w="3421" w:type="pct"/>
            <w:vAlign w:val="center"/>
          </w:tcPr>
          <w:p>
            <w:pPr>
              <w:pStyle w:val="49"/>
              <w:widowControl/>
              <w:spacing w:line="300" w:lineRule="auto"/>
              <w:rPr>
                <w:rFonts w:hint="default" w:eastAsia="宋体"/>
                <w:szCs w:val="24"/>
                <w:lang w:val="en-US" w:eastAsia="zh-CN"/>
              </w:rPr>
            </w:pPr>
            <w:r>
              <w:rPr>
                <w:rFonts w:hint="eastAsia"/>
                <w:szCs w:val="24"/>
              </w:rPr>
              <w:t>对于该项目执行过程中，如何保证学校信息安全、师生隐私保护，有详细计划及信息泄露后的法律承诺</w:t>
            </w:r>
            <w:r>
              <w:rPr>
                <w:rFonts w:hint="eastAsia"/>
                <w:szCs w:val="24"/>
                <w:lang w:eastAsia="zh-CN"/>
              </w:rPr>
              <w:t>，</w:t>
            </w:r>
            <w:r>
              <w:rPr>
                <w:rFonts w:hint="eastAsia"/>
                <w:szCs w:val="24"/>
                <w:lang w:val="en-US" w:eastAsia="zh-CN"/>
              </w:rPr>
              <w:t>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94" w:type="pct"/>
            <w:vMerge w:val="continue"/>
            <w:vAlign w:val="center"/>
          </w:tcPr>
          <w:p>
            <w:pPr>
              <w:pStyle w:val="49"/>
              <w:widowControl/>
              <w:spacing w:line="300" w:lineRule="auto"/>
              <w:jc w:val="center"/>
              <w:rPr>
                <w:rFonts w:hint="eastAsia" w:cs="宋体"/>
                <w:szCs w:val="24"/>
              </w:rPr>
            </w:pPr>
          </w:p>
        </w:tc>
        <w:tc>
          <w:tcPr>
            <w:tcW w:w="593" w:type="pct"/>
            <w:vAlign w:val="center"/>
          </w:tcPr>
          <w:p>
            <w:pPr>
              <w:pStyle w:val="49"/>
              <w:widowControl/>
              <w:spacing w:line="300" w:lineRule="auto"/>
              <w:jc w:val="center"/>
              <w:rPr>
                <w:rFonts w:hint="eastAsia" w:cs="宋体"/>
                <w:szCs w:val="24"/>
              </w:rPr>
            </w:pPr>
            <w:r>
              <w:rPr>
                <w:rFonts w:hint="eastAsia" w:cs="宋体"/>
                <w:szCs w:val="24"/>
              </w:rPr>
              <w:t>应急方案</w:t>
            </w:r>
          </w:p>
        </w:tc>
        <w:tc>
          <w:tcPr>
            <w:tcW w:w="391" w:type="pct"/>
            <w:vAlign w:val="center"/>
          </w:tcPr>
          <w:p>
            <w:pPr>
              <w:pStyle w:val="49"/>
              <w:widowControl/>
              <w:spacing w:line="300" w:lineRule="auto"/>
              <w:jc w:val="center"/>
              <w:rPr>
                <w:rFonts w:hint="eastAsia" w:cs="宋体"/>
                <w:szCs w:val="24"/>
              </w:rPr>
            </w:pPr>
            <w:r>
              <w:rPr>
                <w:rFonts w:hint="eastAsia" w:cs="宋体"/>
                <w:szCs w:val="24"/>
              </w:rPr>
              <w:t>10分</w:t>
            </w:r>
          </w:p>
        </w:tc>
        <w:tc>
          <w:tcPr>
            <w:tcW w:w="3421" w:type="pct"/>
            <w:vAlign w:val="center"/>
          </w:tcPr>
          <w:p>
            <w:pPr>
              <w:pStyle w:val="49"/>
              <w:widowControl/>
              <w:spacing w:line="300" w:lineRule="auto"/>
              <w:rPr>
                <w:rFonts w:hint="eastAsia" w:cs="宋体"/>
                <w:szCs w:val="24"/>
              </w:rPr>
            </w:pPr>
            <w:r>
              <w:rPr>
                <w:rFonts w:hint="eastAsia"/>
                <w:szCs w:val="24"/>
              </w:rPr>
              <w:t>根据采购需求提供对</w:t>
            </w:r>
            <w:r>
              <w:rPr>
                <w:rFonts w:hint="eastAsia" w:cs="宋体"/>
                <w:szCs w:val="24"/>
              </w:rPr>
              <w:t>项目的应急方案，包括但不限于以下内容：</w:t>
            </w:r>
          </w:p>
          <w:p>
            <w:pPr>
              <w:pStyle w:val="49"/>
              <w:widowControl/>
              <w:spacing w:line="300" w:lineRule="auto"/>
              <w:rPr>
                <w:rFonts w:hint="eastAsia" w:cs="宋体"/>
                <w:szCs w:val="24"/>
              </w:rPr>
            </w:pPr>
            <w:r>
              <w:rPr>
                <w:szCs w:val="24"/>
              </w:rPr>
              <w:t>①突发事件应急处理小组及人员分工；②突发事件防范及处理；③突发事件应急措施</w:t>
            </w:r>
            <w:r>
              <w:rPr>
                <w:rFonts w:hint="eastAsia" w:cs="宋体"/>
                <w:szCs w:val="24"/>
              </w:rPr>
              <w:t>。</w:t>
            </w:r>
          </w:p>
          <w:p>
            <w:pPr>
              <w:pStyle w:val="49"/>
              <w:widowControl/>
              <w:spacing w:line="300" w:lineRule="auto"/>
              <w:rPr>
                <w:rFonts w:hint="eastAsia" w:cs="宋体"/>
                <w:szCs w:val="24"/>
              </w:rPr>
            </w:pPr>
            <w:r>
              <w:rPr>
                <w:rFonts w:hint="eastAsia" w:cs="宋体"/>
                <w:szCs w:val="24"/>
              </w:rPr>
              <w:t>应急方案内容完整规范、具体可行，各项服务内容好，得10分；</w:t>
            </w:r>
          </w:p>
          <w:p>
            <w:pPr>
              <w:pStyle w:val="49"/>
              <w:widowControl/>
              <w:spacing w:line="300" w:lineRule="auto"/>
              <w:rPr>
                <w:rFonts w:hint="eastAsia" w:cs="宋体"/>
                <w:szCs w:val="24"/>
              </w:rPr>
            </w:pPr>
            <w:r>
              <w:rPr>
                <w:rFonts w:hint="eastAsia" w:cs="宋体"/>
                <w:szCs w:val="24"/>
              </w:rPr>
              <w:t>应急方案内容基本可行，其他各项服务内容一般，得8分；</w:t>
            </w:r>
          </w:p>
          <w:p>
            <w:pPr>
              <w:pStyle w:val="49"/>
              <w:widowControl/>
              <w:spacing w:line="300" w:lineRule="auto"/>
              <w:rPr>
                <w:rFonts w:hint="eastAsia"/>
                <w:szCs w:val="24"/>
              </w:rPr>
            </w:pPr>
            <w:r>
              <w:rPr>
                <w:rFonts w:hint="eastAsia" w:cs="宋体"/>
                <w:szCs w:val="24"/>
              </w:rPr>
              <w:t>应急方案内容缺漏，可行性较差，得6分。</w:t>
            </w:r>
          </w:p>
          <w:p>
            <w:pPr>
              <w:pStyle w:val="49"/>
              <w:widowControl/>
              <w:spacing w:line="300" w:lineRule="auto"/>
              <w:rPr>
                <w:rFonts w:hint="eastAsia"/>
                <w:szCs w:val="24"/>
              </w:rPr>
            </w:pPr>
            <w:r>
              <w:rPr>
                <w:rFonts w:hint="eastAsia"/>
                <w:szCs w:val="24"/>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94" w:type="pct"/>
            <w:vMerge w:val="continue"/>
            <w:vAlign w:val="center"/>
          </w:tcPr>
          <w:p>
            <w:pPr>
              <w:pStyle w:val="49"/>
              <w:widowControl/>
              <w:spacing w:line="300" w:lineRule="auto"/>
              <w:jc w:val="center"/>
              <w:rPr>
                <w:rFonts w:hint="eastAsia" w:cs="宋体"/>
                <w:szCs w:val="24"/>
              </w:rPr>
            </w:pPr>
          </w:p>
        </w:tc>
        <w:tc>
          <w:tcPr>
            <w:tcW w:w="593" w:type="pct"/>
            <w:vAlign w:val="center"/>
          </w:tcPr>
          <w:p>
            <w:pPr>
              <w:pStyle w:val="49"/>
              <w:widowControl/>
              <w:spacing w:line="300" w:lineRule="auto"/>
              <w:jc w:val="center"/>
              <w:rPr>
                <w:rFonts w:hint="eastAsia" w:cs="宋体"/>
                <w:szCs w:val="24"/>
              </w:rPr>
            </w:pPr>
            <w:r>
              <w:rPr>
                <w:rFonts w:hint="eastAsia" w:cs="宋体"/>
                <w:szCs w:val="24"/>
              </w:rPr>
              <w:t>进度保障方案</w:t>
            </w:r>
          </w:p>
        </w:tc>
        <w:tc>
          <w:tcPr>
            <w:tcW w:w="391" w:type="pct"/>
            <w:vAlign w:val="center"/>
          </w:tcPr>
          <w:p>
            <w:pPr>
              <w:pStyle w:val="49"/>
              <w:widowControl/>
              <w:spacing w:line="300" w:lineRule="auto"/>
              <w:jc w:val="center"/>
              <w:rPr>
                <w:rFonts w:hint="eastAsia" w:cs="宋体"/>
                <w:szCs w:val="24"/>
              </w:rPr>
            </w:pPr>
            <w:r>
              <w:rPr>
                <w:rFonts w:hint="eastAsia" w:cs="宋体"/>
                <w:szCs w:val="24"/>
              </w:rPr>
              <w:t>10分</w:t>
            </w:r>
          </w:p>
        </w:tc>
        <w:tc>
          <w:tcPr>
            <w:tcW w:w="3421" w:type="pct"/>
            <w:vAlign w:val="center"/>
          </w:tcPr>
          <w:p>
            <w:pPr>
              <w:pStyle w:val="49"/>
              <w:widowControl/>
              <w:spacing w:line="300" w:lineRule="auto"/>
              <w:rPr>
                <w:rFonts w:hint="eastAsia" w:cs="宋体"/>
                <w:szCs w:val="24"/>
              </w:rPr>
            </w:pPr>
            <w:bookmarkStart w:id="663" w:name="_GoBack"/>
            <w:r>
              <w:rPr>
                <w:rFonts w:hint="eastAsia"/>
                <w:szCs w:val="24"/>
              </w:rPr>
              <w:t>根据采购需求提供对</w:t>
            </w:r>
            <w:r>
              <w:rPr>
                <w:rFonts w:hint="eastAsia" w:cs="宋体"/>
                <w:szCs w:val="24"/>
              </w:rPr>
              <w:t>项目的进度保障方案，包括但不限于以下内容：</w:t>
            </w:r>
          </w:p>
          <w:p>
            <w:pPr>
              <w:pStyle w:val="49"/>
              <w:widowControl/>
              <w:spacing w:line="300" w:lineRule="auto"/>
              <w:rPr>
                <w:rFonts w:hint="eastAsia" w:cs="宋体"/>
                <w:szCs w:val="24"/>
              </w:rPr>
            </w:pPr>
            <w:r>
              <w:rPr>
                <w:rFonts w:hint="eastAsia"/>
                <w:szCs w:val="24"/>
              </w:rPr>
              <w:t>①</w:t>
            </w:r>
            <w:r>
              <w:rPr>
                <w:szCs w:val="24"/>
              </w:rPr>
              <w:t>进度计划</w:t>
            </w:r>
            <w:r>
              <w:rPr>
                <w:rFonts w:hint="eastAsia"/>
                <w:szCs w:val="24"/>
              </w:rPr>
              <w:t>；②</w:t>
            </w:r>
            <w:r>
              <w:rPr>
                <w:szCs w:val="24"/>
              </w:rPr>
              <w:t>组织计划</w:t>
            </w:r>
            <w:r>
              <w:rPr>
                <w:rFonts w:hint="eastAsia"/>
                <w:szCs w:val="24"/>
              </w:rPr>
              <w:t>；</w:t>
            </w:r>
            <w:r>
              <w:rPr>
                <w:rFonts w:hint="eastAsia" w:cs="宋体"/>
                <w:szCs w:val="24"/>
              </w:rPr>
              <w:t>③</w:t>
            </w:r>
            <w:r>
              <w:rPr>
                <w:rFonts w:cs="宋体"/>
                <w:szCs w:val="24"/>
              </w:rPr>
              <w:t>实施计划</w:t>
            </w:r>
            <w:r>
              <w:rPr>
                <w:rFonts w:hint="eastAsia" w:cs="宋体"/>
                <w:szCs w:val="24"/>
              </w:rPr>
              <w:t>；④</w:t>
            </w:r>
            <w:r>
              <w:rPr>
                <w:rFonts w:cs="宋体"/>
                <w:szCs w:val="24"/>
              </w:rPr>
              <w:t>验收</w:t>
            </w:r>
            <w:r>
              <w:rPr>
                <w:rFonts w:hint="eastAsia" w:cs="宋体"/>
                <w:szCs w:val="24"/>
              </w:rPr>
              <w:t>计划。</w:t>
            </w:r>
          </w:p>
          <w:p>
            <w:pPr>
              <w:pStyle w:val="49"/>
              <w:widowControl/>
              <w:spacing w:line="300" w:lineRule="auto"/>
              <w:rPr>
                <w:rFonts w:hint="eastAsia" w:cs="宋体"/>
                <w:szCs w:val="24"/>
              </w:rPr>
            </w:pPr>
            <w:r>
              <w:rPr>
                <w:rFonts w:hint="eastAsia" w:cs="宋体"/>
                <w:szCs w:val="24"/>
              </w:rPr>
              <w:t>进度保障方案内容完整规范、具体可行，各项服务内容好，得10分；</w:t>
            </w:r>
          </w:p>
          <w:p>
            <w:pPr>
              <w:pStyle w:val="49"/>
              <w:widowControl/>
              <w:spacing w:line="300" w:lineRule="auto"/>
              <w:rPr>
                <w:rFonts w:hint="eastAsia" w:cs="宋体"/>
                <w:szCs w:val="24"/>
              </w:rPr>
            </w:pPr>
            <w:r>
              <w:rPr>
                <w:rFonts w:hint="eastAsia" w:cs="宋体"/>
                <w:szCs w:val="24"/>
              </w:rPr>
              <w:t>进度保障方案内容基本可行，其他各项服务内容一般，得8分；</w:t>
            </w:r>
          </w:p>
          <w:p>
            <w:r>
              <w:rPr>
                <w:rFonts w:hint="eastAsia" w:cs="宋体"/>
                <w:szCs w:val="24"/>
              </w:rPr>
              <w:t>进度保障方案内容缺漏，可行性较差，得6分。</w:t>
            </w:r>
          </w:p>
          <w:p>
            <w:pPr>
              <w:pStyle w:val="49"/>
              <w:widowControl/>
              <w:spacing w:line="300" w:lineRule="auto"/>
              <w:rPr>
                <w:del w:id="10" w:author="李琳" w:date="2026-05-25T17:41:56Z"/>
                <w:rFonts w:hint="eastAsia"/>
                <w:szCs w:val="24"/>
              </w:rPr>
            </w:pPr>
          </w:p>
          <w:p>
            <w:pPr>
              <w:pStyle w:val="49"/>
              <w:widowControl/>
              <w:spacing w:line="300" w:lineRule="auto"/>
              <w:rPr>
                <w:rFonts w:hint="eastAsia" w:cs="宋体"/>
                <w:szCs w:val="24"/>
              </w:rPr>
            </w:pPr>
            <w:r>
              <w:rPr>
                <w:rFonts w:hint="eastAsia"/>
                <w:szCs w:val="24"/>
              </w:rPr>
              <w:t>未提供不得分。</w:t>
            </w:r>
            <w:bookmarkEnd w:id="6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187" w:type="pct"/>
            <w:gridSpan w:val="2"/>
            <w:vAlign w:val="center"/>
          </w:tcPr>
          <w:p>
            <w:pPr>
              <w:pStyle w:val="49"/>
              <w:widowControl/>
              <w:jc w:val="center"/>
              <w:rPr>
                <w:rFonts w:hint="eastAsia" w:cs="宋体"/>
                <w:szCs w:val="24"/>
              </w:rPr>
            </w:pPr>
            <w:r>
              <w:rPr>
                <w:rFonts w:hint="eastAsia" w:cs="宋体"/>
                <w:szCs w:val="24"/>
              </w:rPr>
              <w:t>合计</w:t>
            </w:r>
          </w:p>
        </w:tc>
        <w:tc>
          <w:tcPr>
            <w:tcW w:w="3812" w:type="pct"/>
            <w:gridSpan w:val="2"/>
            <w:tcBorders>
              <w:bottom w:val="single" w:color="auto" w:sz="4" w:space="0"/>
            </w:tcBorders>
            <w:vAlign w:val="center"/>
          </w:tcPr>
          <w:p>
            <w:pPr>
              <w:pStyle w:val="49"/>
              <w:widowControl/>
              <w:rPr>
                <w:rFonts w:hint="eastAsia" w:cs="宋体"/>
                <w:sz w:val="21"/>
                <w:szCs w:val="21"/>
              </w:rPr>
            </w:pPr>
            <w:r>
              <w:rPr>
                <w:rFonts w:hint="eastAsia" w:cs="宋体"/>
                <w:szCs w:val="24"/>
              </w:rPr>
              <w:fldChar w:fldCharType="begin"/>
            </w:r>
            <w:r>
              <w:rPr>
                <w:rFonts w:hint="eastAsia" w:cs="宋体"/>
                <w:szCs w:val="24"/>
              </w:rPr>
              <w:instrText xml:space="preserve"> =SUM(ABOVE) </w:instrText>
            </w:r>
            <w:r>
              <w:rPr>
                <w:rFonts w:hint="eastAsia" w:cs="宋体"/>
                <w:szCs w:val="24"/>
              </w:rPr>
              <w:fldChar w:fldCharType="separate"/>
            </w:r>
            <w:r>
              <w:rPr>
                <w:rFonts w:hint="eastAsia" w:cs="宋体"/>
                <w:szCs w:val="24"/>
              </w:rPr>
              <w:t>100</w:t>
            </w:r>
            <w:r>
              <w:rPr>
                <w:rFonts w:hint="eastAsia" w:cs="宋体"/>
                <w:szCs w:val="24"/>
              </w:rPr>
              <w:fldChar w:fldCharType="end"/>
            </w:r>
            <w:r>
              <w:rPr>
                <w:rFonts w:hint="eastAsia" w:cs="宋体"/>
                <w:szCs w:val="24"/>
              </w:rPr>
              <w:t>分</w:t>
            </w:r>
          </w:p>
        </w:tc>
      </w:tr>
    </w:tbl>
    <w:p>
      <w:pPr>
        <w:rPr>
          <w:rFonts w:hint="eastAsia" w:ascii="宋体" w:hAnsi="宋体" w:eastAsia="宋体" w:cs="宋体"/>
          <w:b/>
          <w:bCs/>
          <w:color w:val="auto"/>
          <w:kern w:val="44"/>
          <w:sz w:val="32"/>
          <w:szCs w:val="32"/>
          <w:highlight w:val="none"/>
          <w:lang w:val="zh-CN" w:eastAsia="zh-CN" w:bidi="ar-SA"/>
        </w:rPr>
      </w:pPr>
      <w:bookmarkStart w:id="403" w:name="_Toc155185918"/>
      <w:bookmarkStart w:id="404" w:name="_Toc22127"/>
      <w:bookmarkStart w:id="405" w:name="_Toc1640"/>
      <w:r>
        <w:rPr>
          <w:rFonts w:hint="eastAsia" w:ascii="宋体" w:hAnsi="宋体" w:eastAsia="宋体" w:cs="宋体"/>
          <w:b/>
          <w:bCs/>
          <w:color w:val="auto"/>
          <w:kern w:val="44"/>
          <w:sz w:val="32"/>
          <w:szCs w:val="32"/>
          <w:highlight w:val="none"/>
          <w:lang w:val="zh-CN" w:eastAsia="zh-CN" w:bidi="ar-SA"/>
        </w:rPr>
        <w:br w:type="page"/>
      </w:r>
    </w:p>
    <w:p>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default" w:ascii="宋体" w:hAnsi="宋体" w:eastAsia="宋体" w:cs="宋体"/>
          <w:b/>
          <w:bCs/>
          <w:color w:val="auto"/>
          <w:kern w:val="44"/>
          <w:sz w:val="32"/>
          <w:szCs w:val="32"/>
          <w:highlight w:val="none"/>
          <w:lang w:val="en-US" w:eastAsia="zh-CN" w:bidi="ar-SA"/>
        </w:rPr>
      </w:pPr>
      <w:r>
        <w:rPr>
          <w:rFonts w:hint="eastAsia" w:ascii="宋体" w:hAnsi="宋体" w:eastAsia="宋体" w:cs="宋体"/>
          <w:b/>
          <w:bCs/>
          <w:color w:val="auto"/>
          <w:kern w:val="44"/>
          <w:sz w:val="32"/>
          <w:szCs w:val="32"/>
          <w:highlight w:val="none"/>
          <w:lang w:val="zh-CN" w:eastAsia="zh-CN" w:bidi="ar-SA"/>
        </w:rPr>
        <w:t>第六章 合同</w:t>
      </w:r>
      <w:bookmarkEnd w:id="403"/>
      <w:bookmarkEnd w:id="404"/>
      <w:bookmarkEnd w:id="405"/>
      <w:r>
        <w:rPr>
          <w:rFonts w:hint="eastAsia" w:eastAsia="宋体" w:cs="宋体"/>
          <w:b/>
          <w:bCs/>
          <w:color w:val="auto"/>
          <w:kern w:val="44"/>
          <w:sz w:val="32"/>
          <w:szCs w:val="32"/>
          <w:highlight w:val="none"/>
          <w:lang w:val="en-US" w:eastAsia="zh-CN" w:bidi="ar-SA"/>
        </w:rPr>
        <w:t>条款及格式</w:t>
      </w:r>
    </w:p>
    <w:p>
      <w:pPr>
        <w:wordWrap w:val="0"/>
        <w:jc w:val="center"/>
        <w:rPr>
          <w:rFonts w:hint="eastAsia" w:eastAsia="宋体"/>
          <w:bCs/>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rPr>
        <w:t>此合同书仅作为签订正式合同时的参考，正式合同书应包括本参考格式的内容</w:t>
      </w:r>
      <w:r>
        <w:rPr>
          <w:rFonts w:hint="eastAsia"/>
          <w:color w:val="auto"/>
          <w:sz w:val="24"/>
          <w:szCs w:val="24"/>
          <w:highlight w:val="none"/>
          <w:lang w:eastAsia="zh-CN"/>
        </w:rPr>
        <w:t>】</w:t>
      </w:r>
    </w:p>
    <w:p>
      <w:pPr>
        <w:wordWrap w:val="0"/>
        <w:rPr>
          <w:bCs/>
          <w:color w:val="auto"/>
          <w:sz w:val="28"/>
          <w:szCs w:val="28"/>
          <w:highlight w:val="none"/>
        </w:rPr>
      </w:pPr>
      <w:r>
        <w:rPr>
          <w:rFonts w:hint="eastAsia" w:cs="Helvetica"/>
          <w:bCs/>
          <w:color w:val="auto"/>
          <w:sz w:val="24"/>
          <w:szCs w:val="24"/>
          <w:highlight w:val="none"/>
          <w:lang w:val="zh-CN"/>
        </w:rPr>
        <w:t>合同编号：</w:t>
      </w:r>
      <w:r>
        <w:rPr>
          <w:rFonts w:hint="eastAsia" w:cs="Helvetica"/>
          <w:bCs/>
          <w:color w:val="auto"/>
          <w:sz w:val="24"/>
          <w:szCs w:val="24"/>
          <w:highlight w:val="none"/>
          <w:u w:val="single"/>
        </w:rPr>
        <w:t xml:space="preserve">              </w:t>
      </w:r>
    </w:p>
    <w:p>
      <w:pPr>
        <w:pStyle w:val="13"/>
        <w:spacing w:after="0"/>
        <w:jc w:val="center"/>
        <w:rPr>
          <w:rFonts w:ascii="宋体" w:hAnsi="宋体" w:cs="宋体"/>
          <w:b/>
          <w:bCs/>
          <w:color w:val="auto"/>
          <w:spacing w:val="-20"/>
          <w:kern w:val="44"/>
          <w:sz w:val="48"/>
          <w:szCs w:val="48"/>
          <w:highlight w:val="none"/>
        </w:rPr>
      </w:pPr>
      <w:bookmarkStart w:id="406" w:name="_Toc3995"/>
    </w:p>
    <w:p>
      <w:pPr>
        <w:pStyle w:val="13"/>
        <w:rPr>
          <w:color w:val="auto"/>
          <w:highlight w:val="none"/>
        </w:rPr>
      </w:pPr>
    </w:p>
    <w:p>
      <w:pPr>
        <w:spacing w:line="240" w:lineRule="auto"/>
        <w:jc w:val="center"/>
        <w:outlineLvl w:val="9"/>
        <w:rPr>
          <w:rFonts w:hint="eastAsia" w:ascii="宋体" w:hAnsi="宋体" w:eastAsia="宋体" w:cs="宋体"/>
          <w:b/>
          <w:bCs/>
          <w:color w:val="auto"/>
          <w:spacing w:val="-20"/>
          <w:kern w:val="44"/>
          <w:sz w:val="44"/>
          <w:szCs w:val="44"/>
          <w:highlight w:val="none"/>
          <w:lang w:val="en-US" w:eastAsia="zh-CN" w:bidi="ar-SA"/>
        </w:rPr>
      </w:pPr>
      <w:bookmarkStart w:id="407" w:name="_Toc27174"/>
      <w:bookmarkStart w:id="408" w:name="_Toc3714"/>
      <w:bookmarkStart w:id="409" w:name="_Toc8451"/>
      <w:bookmarkStart w:id="410" w:name="_Toc31195"/>
      <w:r>
        <w:rPr>
          <w:rFonts w:hint="eastAsia" w:ascii="宋体" w:hAnsi="宋体" w:eastAsia="宋体" w:cs="宋体"/>
          <w:b/>
          <w:bCs/>
          <w:color w:val="auto"/>
          <w:spacing w:val="-20"/>
          <w:kern w:val="44"/>
          <w:sz w:val="44"/>
          <w:szCs w:val="44"/>
          <w:highlight w:val="none"/>
          <w:lang w:val="en-US" w:eastAsia="zh-CN" w:bidi="ar-SA"/>
        </w:rPr>
        <w:t>政府采购合同参考范本</w:t>
      </w:r>
      <w:bookmarkEnd w:id="407"/>
      <w:bookmarkEnd w:id="408"/>
      <w:bookmarkEnd w:id="409"/>
      <w:bookmarkEnd w:id="410"/>
    </w:p>
    <w:p>
      <w:pPr>
        <w:spacing w:line="480" w:lineRule="auto"/>
        <w:jc w:val="center"/>
        <w:rPr>
          <w:rFonts w:cs="Times New Roman" w:asciiTheme="minorEastAsia" w:hAnsiTheme="minorEastAsia" w:eastAsiaTheme="minorEastAsia"/>
          <w:b/>
          <w:color w:val="auto"/>
          <w:sz w:val="24"/>
          <w:szCs w:val="24"/>
          <w:highlight w:val="none"/>
        </w:rPr>
      </w:pPr>
    </w:p>
    <w:p>
      <w:pPr>
        <w:spacing w:line="480" w:lineRule="auto"/>
        <w:jc w:val="center"/>
        <w:rPr>
          <w:rFonts w:cs="Times New Roman" w:asciiTheme="minorEastAsia" w:hAnsiTheme="minorEastAsia" w:eastAsiaTheme="minorEastAsia"/>
          <w:b/>
          <w:color w:val="auto"/>
          <w:sz w:val="24"/>
          <w:szCs w:val="24"/>
          <w:highlight w:val="none"/>
        </w:rPr>
      </w:pPr>
    </w:p>
    <w:p>
      <w:pPr>
        <w:spacing w:line="480" w:lineRule="auto"/>
        <w:jc w:val="center"/>
        <w:rPr>
          <w:rFonts w:cs="Times New Roman" w:asciiTheme="minorEastAsia" w:hAnsiTheme="minorEastAsia" w:eastAsiaTheme="minorEastAsia"/>
          <w:b/>
          <w:color w:val="auto"/>
          <w:sz w:val="24"/>
          <w:szCs w:val="24"/>
          <w:highlight w:val="none"/>
        </w:rPr>
      </w:pPr>
    </w:p>
    <w:p>
      <w:pPr>
        <w:pStyle w:val="13"/>
        <w:rPr>
          <w:color w:val="auto"/>
          <w:highlight w:val="none"/>
        </w:rPr>
      </w:pPr>
    </w:p>
    <w:p>
      <w:pPr>
        <w:pStyle w:val="13"/>
        <w:rPr>
          <w:color w:val="auto"/>
          <w:highlight w:val="none"/>
        </w:rPr>
      </w:pPr>
    </w:p>
    <w:p>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新疆交通职业技术大学高水平专业群建设跟踪评价及应届毕业生调研评价项目</w:t>
      </w:r>
      <w:r>
        <w:rPr>
          <w:rFonts w:hint="eastAsia" w:ascii="宋体" w:hAnsi="宋体" w:eastAsia="宋体" w:cs="宋体"/>
          <w:i w:val="0"/>
          <w:iCs w:val="0"/>
          <w:color w:val="auto"/>
          <w:sz w:val="24"/>
          <w:szCs w:val="24"/>
          <w:highlight w:val="none"/>
          <w:u w:val="single"/>
        </w:rPr>
        <w:t xml:space="preserve"> </w:t>
      </w:r>
    </w:p>
    <w:p>
      <w:pPr>
        <w:spacing w:before="120" w:line="480" w:lineRule="auto"/>
        <w:ind w:left="9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color w:val="auto"/>
          <w:sz w:val="24"/>
          <w:highlight w:val="none"/>
          <w:u w:val="single"/>
          <w:lang w:val="en-US" w:eastAsia="zh-CN"/>
        </w:rPr>
        <w:t>XJZD-2026-D008</w:t>
      </w:r>
      <w:r>
        <w:rPr>
          <w:rFonts w:hint="eastAsia" w:ascii="宋体" w:hAnsi="宋体" w:eastAsia="宋体" w:cs="宋体"/>
          <w:i w:val="0"/>
          <w:iCs w:val="0"/>
          <w:color w:val="auto"/>
          <w:sz w:val="24"/>
          <w:szCs w:val="24"/>
          <w:highlight w:val="none"/>
          <w:u w:val="single"/>
        </w:rPr>
        <w:t xml:space="preserve"> </w:t>
      </w:r>
    </w:p>
    <w:p>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甲方（采购人）：</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新疆交通职业技术大学</w:t>
      </w:r>
      <w:r>
        <w:rPr>
          <w:rFonts w:hint="eastAsia" w:ascii="宋体" w:hAnsi="宋体" w:eastAsia="宋体" w:cs="宋体"/>
          <w:i w:val="0"/>
          <w:iCs w:val="0"/>
          <w:color w:val="auto"/>
          <w:sz w:val="24"/>
          <w:szCs w:val="24"/>
          <w:highlight w:val="none"/>
          <w:u w:val="single"/>
        </w:rPr>
        <w:t xml:space="preserve"> </w:t>
      </w:r>
    </w:p>
    <w:p>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乙方（中标人）：</w:t>
      </w:r>
      <w:r>
        <w:rPr>
          <w:rFonts w:hint="eastAsia" w:ascii="宋体" w:hAnsi="宋体" w:eastAsia="宋体" w:cs="宋体"/>
          <w:i w:val="0"/>
          <w:iCs w:val="0"/>
          <w:color w:val="auto"/>
          <w:sz w:val="24"/>
          <w:szCs w:val="24"/>
          <w:highlight w:val="none"/>
          <w:u w:val="single"/>
        </w:rPr>
        <w:t xml:space="preserve">                              </w:t>
      </w:r>
    </w:p>
    <w:p>
      <w:pPr>
        <w:spacing w:before="120" w:line="480" w:lineRule="auto"/>
        <w:ind w:firstLine="960" w:firstLineChars="4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签订地：</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pPr>
        <w:spacing w:before="120" w:line="480" w:lineRule="auto"/>
        <w:ind w:firstLine="960" w:firstLine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签订日期：</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pPr>
        <w:widowControl/>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pPr>
        <w:spacing w:line="360" w:lineRule="auto"/>
        <w:jc w:val="center"/>
        <w:outlineLvl w:val="1"/>
        <w:rPr>
          <w:rFonts w:hint="eastAsia" w:ascii="宋体" w:hAnsi="宋体" w:eastAsia="宋体" w:cs="宋体"/>
          <w:b/>
          <w:color w:val="auto"/>
          <w:sz w:val="36"/>
          <w:szCs w:val="36"/>
          <w:highlight w:val="none"/>
        </w:rPr>
      </w:pPr>
      <w:bookmarkStart w:id="411" w:name="_Toc8654"/>
      <w:bookmarkStart w:id="412" w:name="_Toc27541"/>
      <w:bookmarkStart w:id="413" w:name="_Toc18509"/>
      <w:bookmarkStart w:id="414" w:name="_Toc2449"/>
      <w:r>
        <w:rPr>
          <w:rFonts w:hint="eastAsia" w:ascii="宋体" w:hAnsi="宋体" w:eastAsia="宋体" w:cs="宋体"/>
          <w:b/>
          <w:color w:val="auto"/>
          <w:sz w:val="36"/>
          <w:szCs w:val="36"/>
          <w:highlight w:val="none"/>
        </w:rPr>
        <w:t>第一部分 合同书</w:t>
      </w:r>
      <w:bookmarkEnd w:id="411"/>
      <w:bookmarkEnd w:id="412"/>
      <w:bookmarkEnd w:id="413"/>
      <w:bookmarkEnd w:id="414"/>
    </w:p>
    <w:p>
      <w:pPr>
        <w:spacing w:line="360" w:lineRule="auto"/>
        <w:ind w:firstLine="435"/>
        <w:rPr>
          <w:rFonts w:hint="eastAsia" w:ascii="宋体" w:hAnsi="宋体" w:eastAsia="宋体" w:cs="宋体"/>
          <w:color w:val="auto"/>
          <w:sz w:val="24"/>
          <w:szCs w:val="24"/>
          <w:highlight w:val="none"/>
          <w:u w:val="single"/>
          <w:lang w:val="en-US" w:eastAsia="zh-CN"/>
        </w:rPr>
      </w:pP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新疆交通职业技术大学</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以下简称：甲方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四川三招建设项目管理有限公司</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组织的</w:t>
      </w:r>
      <w:r>
        <w:rPr>
          <w:rFonts w:hint="eastAsia" w:ascii="宋体" w:hAnsi="宋体" w:eastAsia="宋体" w:cs="宋体"/>
          <w:color w:val="auto"/>
          <w:sz w:val="24"/>
          <w:szCs w:val="24"/>
          <w:highlight w:val="none"/>
          <w:u w:val="single"/>
        </w:rPr>
        <w:t>公开招标</w:t>
      </w:r>
      <w:r>
        <w:rPr>
          <w:rFonts w:hint="eastAsia" w:ascii="宋体" w:hAnsi="宋体" w:eastAsia="宋体" w:cs="宋体"/>
          <w:color w:val="auto"/>
          <w:sz w:val="24"/>
          <w:szCs w:val="24"/>
          <w:highlight w:val="none"/>
        </w:rPr>
        <w:t>方式采购活动，经</w:t>
      </w:r>
      <w:r>
        <w:rPr>
          <w:rFonts w:hint="eastAsia" w:ascii="宋体" w:hAnsi="宋体" w:eastAsia="宋体" w:cs="宋体"/>
          <w:color w:val="auto"/>
          <w:sz w:val="24"/>
          <w:szCs w:val="24"/>
          <w:highlight w:val="none"/>
          <w:u w:val="single"/>
        </w:rPr>
        <w:t>评标委员会</w:t>
      </w:r>
      <w:r>
        <w:rPr>
          <w:rFonts w:hint="eastAsia" w:ascii="宋体" w:hAnsi="宋体" w:eastAsia="宋体" w:cs="宋体"/>
          <w:color w:val="auto"/>
          <w:sz w:val="24"/>
          <w:szCs w:val="24"/>
          <w:highlight w:val="none"/>
        </w:rPr>
        <w:t>评定，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以下简称：乙方</w:t>
      </w:r>
      <w:r>
        <w:rPr>
          <w:rFonts w:hint="eastAsia" w:ascii="宋体" w:hAnsi="宋体" w:eastAsia="宋体" w:cs="宋体"/>
          <w:color w:val="auto"/>
          <w:sz w:val="24"/>
          <w:szCs w:val="24"/>
          <w:highlight w:val="none"/>
        </w:rPr>
        <w:t>）为本项目中标人，现按照采购文件确定的事项签订本合同。</w:t>
      </w:r>
    </w:p>
    <w:p>
      <w:pPr>
        <w:spacing w:line="360" w:lineRule="auto"/>
        <w:ind w:firstLine="435"/>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根据《中华人民共和国民法典</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中华人民共和国政府采购法》等相关法律法规之规定，按照平等、自愿、公平和诚实信用的原则，经甲方和乙方协商一致，约定以下合同条款，以兹共同遵守、全面履行。</w:t>
      </w:r>
    </w:p>
    <w:p>
      <w:pPr>
        <w:spacing w:line="360" w:lineRule="auto"/>
        <w:ind w:firstLine="437"/>
        <w:outlineLvl w:val="9"/>
        <w:rPr>
          <w:rFonts w:hint="eastAsia" w:ascii="宋体" w:hAnsi="宋体" w:eastAsia="宋体" w:cs="宋体"/>
          <w:b/>
          <w:bCs/>
          <w:color w:val="auto"/>
          <w:sz w:val="24"/>
          <w:szCs w:val="24"/>
          <w:highlight w:val="none"/>
          <w:lang w:val="zh-CN"/>
        </w:rPr>
      </w:pPr>
      <w:bookmarkStart w:id="415" w:name="_Toc4429"/>
      <w:bookmarkStart w:id="416" w:name="_Toc24059"/>
      <w:bookmarkStart w:id="417" w:name="_Toc3029"/>
      <w:bookmarkStart w:id="418" w:name="_Toc2232"/>
      <w:r>
        <w:rPr>
          <w:rFonts w:hint="eastAsia" w:ascii="宋体" w:hAnsi="宋体" w:eastAsia="宋体" w:cs="宋体"/>
          <w:b/>
          <w:bCs/>
          <w:color w:val="auto"/>
          <w:sz w:val="24"/>
          <w:szCs w:val="24"/>
          <w:highlight w:val="none"/>
          <w:lang w:val="zh-CN"/>
        </w:rPr>
        <w:t>1.1 合同组成部分</w:t>
      </w:r>
      <w:bookmarkEnd w:id="415"/>
      <w:bookmarkEnd w:id="416"/>
      <w:bookmarkEnd w:id="417"/>
      <w:bookmarkEnd w:id="418"/>
    </w:p>
    <w:p>
      <w:pPr>
        <w:spacing w:line="360" w:lineRule="auto"/>
        <w:ind w:firstLine="435"/>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pPr>
        <w:spacing w:line="360" w:lineRule="auto"/>
        <w:ind w:firstLine="435"/>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1.1.1本合同及其补充合同、变更协议；</w:t>
      </w:r>
    </w:p>
    <w:p>
      <w:pPr>
        <w:spacing w:line="360" w:lineRule="auto"/>
        <w:ind w:firstLine="435"/>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1.1.2中标通知书；</w:t>
      </w:r>
    </w:p>
    <w:p>
      <w:pPr>
        <w:spacing w:line="360" w:lineRule="auto"/>
        <w:ind w:firstLine="435"/>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1.1.3投标文件（含澄清或者说明文件）；</w:t>
      </w:r>
    </w:p>
    <w:p>
      <w:pPr>
        <w:spacing w:line="360" w:lineRule="auto"/>
        <w:ind w:firstLine="435"/>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1.1.4招标文件（含澄清或者修改文件）；</w:t>
      </w:r>
    </w:p>
    <w:p>
      <w:pPr>
        <w:spacing w:line="360" w:lineRule="auto"/>
        <w:ind w:firstLine="435"/>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1.1.5其他相关采购文件。</w:t>
      </w:r>
    </w:p>
    <w:p>
      <w:pPr>
        <w:spacing w:line="360" w:lineRule="auto"/>
        <w:ind w:firstLine="437"/>
        <w:outlineLvl w:val="9"/>
        <w:rPr>
          <w:rFonts w:hint="eastAsia" w:ascii="宋体" w:hAnsi="宋体" w:eastAsia="宋体" w:cs="宋体"/>
          <w:b/>
          <w:bCs/>
          <w:color w:val="auto"/>
          <w:sz w:val="24"/>
          <w:szCs w:val="24"/>
          <w:highlight w:val="none"/>
          <w:lang w:val="zh-CN"/>
        </w:rPr>
      </w:pPr>
      <w:bookmarkStart w:id="419" w:name="_Toc6773"/>
      <w:bookmarkStart w:id="420" w:name="_Toc6311"/>
      <w:bookmarkStart w:id="421" w:name="_Toc18585"/>
      <w:bookmarkStart w:id="422" w:name="_Toc22185"/>
      <w:bookmarkStart w:id="423" w:name="_Toc2918"/>
      <w:bookmarkStart w:id="424" w:name="_Toc7044"/>
      <w:r>
        <w:rPr>
          <w:rFonts w:hint="eastAsia" w:ascii="宋体" w:hAnsi="宋体" w:eastAsia="宋体" w:cs="宋体"/>
          <w:b/>
          <w:bCs/>
          <w:color w:val="auto"/>
          <w:sz w:val="24"/>
          <w:szCs w:val="24"/>
          <w:highlight w:val="none"/>
          <w:lang w:val="zh-CN"/>
        </w:rPr>
        <w:t xml:space="preserve">1.2 </w:t>
      </w:r>
      <w:bookmarkEnd w:id="419"/>
      <w:bookmarkEnd w:id="420"/>
      <w:bookmarkEnd w:id="421"/>
      <w:bookmarkEnd w:id="422"/>
      <w:bookmarkEnd w:id="423"/>
      <w:r>
        <w:rPr>
          <w:rFonts w:hint="eastAsia" w:ascii="宋体" w:hAnsi="宋体" w:eastAsia="宋体" w:cs="宋体"/>
          <w:b/>
          <w:bCs/>
          <w:color w:val="auto"/>
          <w:sz w:val="24"/>
          <w:szCs w:val="24"/>
          <w:highlight w:val="none"/>
          <w:lang w:val="zh-CN"/>
        </w:rPr>
        <w:t>服务</w:t>
      </w:r>
      <w:bookmarkEnd w:id="424"/>
    </w:p>
    <w:p>
      <w:pPr>
        <w:spacing w:line="360" w:lineRule="auto"/>
        <w:ind w:firstLine="435"/>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35"/>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3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1.2.3服务质量：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37"/>
        <w:outlineLvl w:val="9"/>
        <w:rPr>
          <w:rFonts w:hint="eastAsia" w:ascii="宋体" w:hAnsi="宋体" w:eastAsia="宋体" w:cs="宋体"/>
          <w:b/>
          <w:bCs/>
          <w:color w:val="auto"/>
          <w:sz w:val="24"/>
          <w:szCs w:val="24"/>
          <w:highlight w:val="none"/>
          <w:lang w:val="zh-CN"/>
        </w:rPr>
      </w:pPr>
      <w:bookmarkStart w:id="425" w:name="_Toc21551"/>
      <w:bookmarkStart w:id="426" w:name="_Toc23292"/>
      <w:bookmarkStart w:id="427" w:name="_Toc21631"/>
      <w:bookmarkStart w:id="428" w:name="_Toc31596"/>
      <w:r>
        <w:rPr>
          <w:rFonts w:hint="eastAsia" w:ascii="宋体" w:hAnsi="宋体" w:eastAsia="宋体" w:cs="宋体"/>
          <w:b/>
          <w:bCs/>
          <w:color w:val="auto"/>
          <w:sz w:val="24"/>
          <w:szCs w:val="24"/>
          <w:highlight w:val="none"/>
          <w:lang w:val="zh-CN"/>
        </w:rPr>
        <w:t>1.3 价款</w:t>
      </w:r>
      <w:bookmarkEnd w:id="425"/>
      <w:bookmarkEnd w:id="426"/>
      <w:bookmarkEnd w:id="427"/>
      <w:bookmarkEnd w:id="428"/>
    </w:p>
    <w:p>
      <w:pPr>
        <w:spacing w:line="360" w:lineRule="auto"/>
        <w:ind w:firstLine="43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pPr>
        <w:spacing w:line="360" w:lineRule="auto"/>
        <w:ind w:firstLine="435"/>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分项价格：</w:t>
      </w:r>
    </w:p>
    <w:tbl>
      <w:tblPr>
        <w:tblStyle w:val="2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pPr>
              <w:jc w:val="center"/>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序号</w:t>
            </w:r>
          </w:p>
        </w:tc>
        <w:tc>
          <w:tcPr>
            <w:tcW w:w="4316" w:type="dxa"/>
            <w:vAlign w:val="center"/>
          </w:tcPr>
          <w:p>
            <w:pPr>
              <w:ind w:firstLine="20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3237" w:type="dxa"/>
            <w:gridSpan w:val="2"/>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pPr>
              <w:jc w:val="center"/>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p>
        </w:tc>
        <w:tc>
          <w:tcPr>
            <w:tcW w:w="4316" w:type="dxa"/>
            <w:vAlign w:val="center"/>
          </w:tcPr>
          <w:p>
            <w:pPr>
              <w:ind w:firstLine="200"/>
              <w:jc w:val="center"/>
              <w:outlineLvl w:val="9"/>
              <w:rPr>
                <w:rFonts w:hint="eastAsia" w:ascii="宋体" w:hAnsi="宋体" w:eastAsia="宋体" w:cs="宋体"/>
                <w:color w:val="auto"/>
                <w:sz w:val="24"/>
                <w:szCs w:val="24"/>
                <w:highlight w:val="none"/>
              </w:rPr>
            </w:pPr>
          </w:p>
        </w:tc>
        <w:tc>
          <w:tcPr>
            <w:tcW w:w="3237" w:type="dxa"/>
            <w:gridSpan w:val="2"/>
            <w:vAlign w:val="center"/>
          </w:tcPr>
          <w:p>
            <w:pPr>
              <w:ind w:firstLine="200"/>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pPr>
              <w:jc w:val="center"/>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p>
        </w:tc>
        <w:tc>
          <w:tcPr>
            <w:tcW w:w="4316" w:type="dxa"/>
            <w:vAlign w:val="center"/>
          </w:tcPr>
          <w:p>
            <w:pPr>
              <w:ind w:firstLine="200"/>
              <w:jc w:val="center"/>
              <w:outlineLvl w:val="9"/>
              <w:rPr>
                <w:rFonts w:hint="eastAsia" w:ascii="宋体" w:hAnsi="宋体" w:eastAsia="宋体" w:cs="宋体"/>
                <w:color w:val="auto"/>
                <w:sz w:val="24"/>
                <w:szCs w:val="24"/>
                <w:highlight w:val="none"/>
              </w:rPr>
            </w:pPr>
          </w:p>
        </w:tc>
        <w:tc>
          <w:tcPr>
            <w:tcW w:w="3237" w:type="dxa"/>
            <w:gridSpan w:val="2"/>
            <w:vAlign w:val="center"/>
          </w:tcPr>
          <w:p>
            <w:pPr>
              <w:ind w:firstLine="200"/>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pPr>
              <w:jc w:val="center"/>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w:t>
            </w:r>
          </w:p>
        </w:tc>
        <w:tc>
          <w:tcPr>
            <w:tcW w:w="4316" w:type="dxa"/>
            <w:vAlign w:val="center"/>
          </w:tcPr>
          <w:p>
            <w:pPr>
              <w:ind w:firstLine="200"/>
              <w:jc w:val="center"/>
              <w:outlineLvl w:val="9"/>
              <w:rPr>
                <w:rFonts w:hint="eastAsia" w:ascii="宋体" w:hAnsi="宋体" w:eastAsia="宋体" w:cs="宋体"/>
                <w:color w:val="auto"/>
                <w:sz w:val="24"/>
                <w:szCs w:val="24"/>
                <w:highlight w:val="none"/>
              </w:rPr>
            </w:pPr>
          </w:p>
        </w:tc>
        <w:tc>
          <w:tcPr>
            <w:tcW w:w="3237" w:type="dxa"/>
            <w:gridSpan w:val="2"/>
            <w:vAlign w:val="center"/>
          </w:tcPr>
          <w:p>
            <w:pPr>
              <w:ind w:firstLine="200"/>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pPr>
              <w:jc w:val="center"/>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tc>
        <w:tc>
          <w:tcPr>
            <w:tcW w:w="4316" w:type="dxa"/>
            <w:vAlign w:val="center"/>
          </w:tcPr>
          <w:p>
            <w:pPr>
              <w:ind w:firstLine="200"/>
              <w:jc w:val="center"/>
              <w:outlineLvl w:val="9"/>
              <w:rPr>
                <w:rFonts w:hint="eastAsia" w:ascii="宋体" w:hAnsi="宋体" w:eastAsia="宋体" w:cs="宋体"/>
                <w:color w:val="auto"/>
                <w:sz w:val="24"/>
                <w:szCs w:val="24"/>
                <w:highlight w:val="none"/>
              </w:rPr>
            </w:pPr>
          </w:p>
        </w:tc>
        <w:tc>
          <w:tcPr>
            <w:tcW w:w="3237" w:type="dxa"/>
            <w:gridSpan w:val="2"/>
            <w:vAlign w:val="center"/>
          </w:tcPr>
          <w:p>
            <w:pPr>
              <w:ind w:firstLine="200"/>
              <w:jc w:val="center"/>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pPr>
              <w:ind w:firstLine="20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3237" w:type="dxa"/>
            <w:gridSpan w:val="2"/>
            <w:vAlign w:val="center"/>
          </w:tcPr>
          <w:p>
            <w:pPr>
              <w:ind w:firstLine="200"/>
              <w:jc w:val="center"/>
              <w:outlineLvl w:val="9"/>
              <w:rPr>
                <w:rFonts w:hint="eastAsia" w:ascii="宋体" w:hAnsi="宋体" w:eastAsia="宋体" w:cs="宋体"/>
                <w:color w:val="auto"/>
                <w:sz w:val="24"/>
                <w:szCs w:val="24"/>
                <w:highlight w:val="none"/>
              </w:rPr>
            </w:pPr>
          </w:p>
        </w:tc>
      </w:tr>
    </w:tbl>
    <w:p>
      <w:pPr>
        <w:spacing w:line="360" w:lineRule="auto"/>
        <w:ind w:firstLine="437"/>
        <w:outlineLvl w:val="9"/>
        <w:rPr>
          <w:rFonts w:hint="eastAsia" w:ascii="宋体" w:hAnsi="宋体" w:eastAsia="宋体" w:cs="宋体"/>
          <w:b/>
          <w:bCs/>
          <w:color w:val="auto"/>
          <w:sz w:val="24"/>
          <w:szCs w:val="24"/>
          <w:highlight w:val="none"/>
          <w:lang w:val="zh-CN"/>
        </w:rPr>
      </w:pPr>
      <w:bookmarkStart w:id="429" w:name="_Toc22618"/>
      <w:bookmarkStart w:id="430" w:name="_Toc10340"/>
      <w:bookmarkStart w:id="431" w:name="_Toc1814"/>
      <w:bookmarkStart w:id="432" w:name="_Toc5498"/>
      <w:r>
        <w:rPr>
          <w:rFonts w:hint="eastAsia" w:ascii="宋体" w:hAnsi="宋体" w:eastAsia="宋体" w:cs="宋体"/>
          <w:b/>
          <w:bCs/>
          <w:color w:val="auto"/>
          <w:sz w:val="24"/>
          <w:szCs w:val="24"/>
          <w:highlight w:val="none"/>
          <w:lang w:val="zh-CN"/>
        </w:rPr>
        <w:t>1.4 付款方式和发票开具方式</w:t>
      </w:r>
      <w:bookmarkEnd w:id="429"/>
      <w:bookmarkEnd w:id="430"/>
      <w:bookmarkEnd w:id="431"/>
      <w:bookmarkEnd w:id="432"/>
    </w:p>
    <w:p>
      <w:pPr>
        <w:spacing w:line="360" w:lineRule="auto"/>
        <w:ind w:firstLine="43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合同期满，乙方完成全部合同义务后提交甲方验收，甲方验收合格签字确认后付款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3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1.4.2发票开具方式：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甲方付款前，乙方应当开具发票，甲方未收到发票有权拒绝付款。</w:t>
      </w:r>
    </w:p>
    <w:p>
      <w:pPr>
        <w:spacing w:line="360" w:lineRule="auto"/>
        <w:ind w:firstLine="437"/>
        <w:outlineLvl w:val="9"/>
        <w:rPr>
          <w:rFonts w:hint="eastAsia" w:ascii="宋体" w:hAnsi="宋体" w:eastAsia="宋体" w:cs="宋体"/>
          <w:b/>
          <w:bCs/>
          <w:color w:val="auto"/>
          <w:sz w:val="24"/>
          <w:szCs w:val="24"/>
          <w:highlight w:val="none"/>
          <w:lang w:val="zh-CN"/>
        </w:rPr>
      </w:pPr>
      <w:bookmarkStart w:id="433" w:name="_Toc32071"/>
      <w:bookmarkStart w:id="434" w:name="_Toc2846"/>
      <w:bookmarkStart w:id="435" w:name="_Toc19304"/>
      <w:bookmarkStart w:id="436" w:name="_Toc14771"/>
      <w:r>
        <w:rPr>
          <w:rFonts w:hint="eastAsia" w:ascii="宋体" w:hAnsi="宋体" w:eastAsia="宋体" w:cs="宋体"/>
          <w:b/>
          <w:bCs/>
          <w:color w:val="auto"/>
          <w:sz w:val="24"/>
          <w:szCs w:val="24"/>
          <w:highlight w:val="none"/>
          <w:lang w:val="zh-CN"/>
        </w:rPr>
        <w:t>1.5 服务期限、地点和方式</w:t>
      </w:r>
      <w:bookmarkEnd w:id="433"/>
      <w:bookmarkEnd w:id="434"/>
      <w:bookmarkEnd w:id="435"/>
      <w:bookmarkEnd w:id="436"/>
    </w:p>
    <w:p>
      <w:pPr>
        <w:spacing w:line="360" w:lineRule="auto"/>
        <w:ind w:firstLine="435"/>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1.5.1服务期限：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3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1.5.2服务地点：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3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1.5.3服务方式：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auto"/>
        <w:ind w:firstLine="437"/>
        <w:outlineLvl w:val="9"/>
        <w:rPr>
          <w:rFonts w:hint="eastAsia" w:ascii="宋体" w:hAnsi="宋体" w:eastAsia="宋体" w:cs="宋体"/>
          <w:b/>
          <w:bCs/>
          <w:color w:val="auto"/>
          <w:sz w:val="24"/>
          <w:szCs w:val="24"/>
          <w:highlight w:val="none"/>
          <w:lang w:val="zh-CN"/>
        </w:rPr>
      </w:pPr>
      <w:bookmarkStart w:id="437" w:name="_Toc27250"/>
      <w:bookmarkStart w:id="438" w:name="_Toc22220"/>
      <w:bookmarkStart w:id="439" w:name="_Toc21423"/>
      <w:bookmarkStart w:id="440" w:name="_Toc19554"/>
      <w:r>
        <w:rPr>
          <w:rFonts w:hint="eastAsia" w:ascii="宋体" w:hAnsi="宋体" w:eastAsia="宋体" w:cs="宋体"/>
          <w:b/>
          <w:bCs/>
          <w:color w:val="auto"/>
          <w:sz w:val="24"/>
          <w:szCs w:val="24"/>
          <w:highlight w:val="none"/>
          <w:lang w:val="zh-CN"/>
        </w:rPr>
        <w:t>1.6 违约责任</w:t>
      </w:r>
      <w:bookmarkEnd w:id="437"/>
      <w:bookmarkEnd w:id="438"/>
      <w:bookmarkEnd w:id="439"/>
      <w:bookmarkEnd w:id="440"/>
    </w:p>
    <w:p>
      <w:pPr>
        <w:spacing w:line="360" w:lineRule="auto"/>
        <w:ind w:firstLine="43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pPr>
        <w:spacing w:line="360" w:lineRule="auto"/>
        <w:ind w:firstLine="43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p>
    <w:p>
      <w:pPr>
        <w:spacing w:line="360" w:lineRule="auto"/>
        <w:ind w:firstLine="43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1.6.7因甲方未按合同约定支付价款、未按合同约定受领标的物、擅自解除合同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9"/>
        <w:rPr>
          <w:rFonts w:hint="eastAsia" w:ascii="宋体" w:hAnsi="宋体" w:eastAsia="宋体" w:cs="宋体"/>
          <w:b/>
          <w:bCs/>
          <w:color w:val="auto"/>
          <w:sz w:val="24"/>
          <w:szCs w:val="24"/>
          <w:highlight w:val="none"/>
          <w:lang w:val="zh-CN"/>
        </w:rPr>
      </w:pPr>
      <w:bookmarkStart w:id="441" w:name="_Toc32610"/>
      <w:bookmarkStart w:id="442" w:name="_Toc28375"/>
      <w:bookmarkStart w:id="443" w:name="_Toc16021"/>
      <w:bookmarkStart w:id="444" w:name="_Toc15583"/>
      <w:r>
        <w:rPr>
          <w:rFonts w:hint="eastAsia" w:ascii="宋体" w:hAnsi="宋体" w:eastAsia="宋体" w:cs="宋体"/>
          <w:b/>
          <w:bCs/>
          <w:color w:val="auto"/>
          <w:sz w:val="24"/>
          <w:szCs w:val="24"/>
          <w:highlight w:val="none"/>
          <w:lang w:val="zh-CN"/>
        </w:rPr>
        <w:t>1.7 合同争议的解决</w:t>
      </w:r>
      <w:bookmarkEnd w:id="441"/>
      <w:bookmarkEnd w:id="442"/>
      <w:bookmarkEnd w:id="443"/>
      <w:bookmarkEnd w:id="444"/>
    </w:p>
    <w:p>
      <w:pPr>
        <w:spacing w:line="360" w:lineRule="auto"/>
        <w:ind w:firstLine="43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本合同履行过程中发生的任何争议，双方当事人均可通过和解或者调解解决；不愿和解、调解或者和解、调解不成的，选择下列第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种方式解决：</w:t>
      </w:r>
    </w:p>
    <w:p>
      <w:pPr>
        <w:spacing w:line="360" w:lineRule="auto"/>
        <w:ind w:firstLine="43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1.7.1将争议提交</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仲裁委员会依申请仲裁时其现行有效的仲裁规则裁决；</w:t>
      </w:r>
    </w:p>
    <w:p>
      <w:pPr>
        <w:spacing w:line="360" w:lineRule="auto"/>
        <w:ind w:firstLine="43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为甲方所在地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pPr>
        <w:spacing w:line="360" w:lineRule="auto"/>
        <w:ind w:firstLine="437"/>
        <w:outlineLvl w:val="9"/>
        <w:rPr>
          <w:rFonts w:hint="eastAsia" w:ascii="宋体" w:hAnsi="宋体" w:eastAsia="宋体" w:cs="宋体"/>
          <w:b/>
          <w:bCs/>
          <w:color w:val="auto"/>
          <w:sz w:val="24"/>
          <w:szCs w:val="24"/>
          <w:highlight w:val="none"/>
          <w:lang w:val="zh-CN"/>
        </w:rPr>
      </w:pPr>
      <w:bookmarkStart w:id="445" w:name="_Toc15322"/>
      <w:bookmarkStart w:id="446" w:name="_Toc11173"/>
      <w:bookmarkStart w:id="447" w:name="_Toc28273"/>
      <w:bookmarkStart w:id="448" w:name="_Toc7245"/>
      <w:r>
        <w:rPr>
          <w:rFonts w:hint="eastAsia" w:ascii="宋体" w:hAnsi="宋体" w:eastAsia="宋体" w:cs="宋体"/>
          <w:b/>
          <w:bCs/>
          <w:color w:val="auto"/>
          <w:sz w:val="24"/>
          <w:szCs w:val="24"/>
          <w:highlight w:val="none"/>
          <w:lang w:val="zh-CN"/>
        </w:rPr>
        <w:t>1.8 合同生效</w:t>
      </w:r>
      <w:bookmarkEnd w:id="445"/>
      <w:bookmarkEnd w:id="446"/>
      <w:bookmarkEnd w:id="447"/>
      <w:bookmarkEnd w:id="448"/>
    </w:p>
    <w:p>
      <w:pPr>
        <w:spacing w:line="360" w:lineRule="auto"/>
        <w:ind w:firstLine="43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本合同自双方当事人盖章时生效。</w:t>
      </w:r>
    </w:p>
    <w:p>
      <w:pPr>
        <w:outlineLvl w:val="9"/>
        <w:rPr>
          <w:rFonts w:hint="eastAsia"/>
        </w:rPr>
      </w:pPr>
    </w:p>
    <w:tbl>
      <w:tblPr>
        <w:tblStyle w:val="30"/>
        <w:tblW w:w="96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5"/>
        <w:gridCol w:w="567"/>
        <w:gridCol w:w="4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5" w:type="dxa"/>
          </w:tcPr>
          <w:p>
            <w:pPr>
              <w:autoSpaceDE w:val="0"/>
              <w:autoSpaceDN w:val="0"/>
              <w:adjustRightInd w:val="0"/>
              <w:spacing w:line="560" w:lineRule="exact"/>
              <w:outlineLvl w:val="9"/>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 xml:space="preserve">甲方： </w:t>
            </w:r>
            <w:r>
              <w:rPr>
                <w:rFonts w:hint="eastAsia" w:cs="宋体"/>
                <w:color w:val="auto"/>
                <w:sz w:val="24"/>
                <w:szCs w:val="24"/>
                <w:highlight w:val="none"/>
                <w:u w:val="single"/>
                <w:vertAlign w:val="baseline"/>
                <w:lang w:val="en-US" w:eastAsia="zh-CN"/>
              </w:rPr>
              <w:t xml:space="preserve">   （单位盖章）    </w:t>
            </w:r>
          </w:p>
        </w:tc>
        <w:tc>
          <w:tcPr>
            <w:tcW w:w="567" w:type="dxa"/>
          </w:tcPr>
          <w:p>
            <w:pPr>
              <w:autoSpaceDE w:val="0"/>
              <w:autoSpaceDN w:val="0"/>
              <w:adjustRightInd w:val="0"/>
              <w:spacing w:line="560" w:lineRule="exact"/>
              <w:outlineLvl w:val="9"/>
              <w:rPr>
                <w:rFonts w:hint="eastAsia" w:cs="宋体"/>
                <w:color w:val="auto"/>
                <w:sz w:val="24"/>
                <w:szCs w:val="24"/>
                <w:highlight w:val="none"/>
                <w:vertAlign w:val="baseline"/>
                <w:lang w:val="en-US" w:eastAsia="zh-CN"/>
              </w:rPr>
            </w:pPr>
          </w:p>
        </w:tc>
        <w:tc>
          <w:tcPr>
            <w:tcW w:w="4535" w:type="dxa"/>
          </w:tcPr>
          <w:p>
            <w:pPr>
              <w:autoSpaceDE w:val="0"/>
              <w:autoSpaceDN w:val="0"/>
              <w:adjustRightInd w:val="0"/>
              <w:spacing w:line="560" w:lineRule="exact"/>
              <w:outlineLvl w:val="9"/>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乙方：</w:t>
            </w:r>
            <w:r>
              <w:rPr>
                <w:rFonts w:hint="eastAsia" w:cs="宋体"/>
                <w:color w:val="auto"/>
                <w:sz w:val="24"/>
                <w:szCs w:val="24"/>
                <w:highlight w:val="none"/>
                <w:u w:val="single"/>
                <w:vertAlign w:val="baseline"/>
                <w:lang w:val="en-US" w:eastAsia="zh-CN"/>
              </w:rPr>
              <w:t xml:space="preserve">    （单位盖章）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5" w:type="dxa"/>
          </w:tcPr>
          <w:p>
            <w:pPr>
              <w:autoSpaceDE w:val="0"/>
              <w:autoSpaceDN w:val="0"/>
              <w:adjustRightInd w:val="0"/>
              <w:spacing w:line="560" w:lineRule="exact"/>
              <w:outlineLvl w:val="9"/>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法定代表人</w:t>
            </w:r>
          </w:p>
        </w:tc>
        <w:tc>
          <w:tcPr>
            <w:tcW w:w="567" w:type="dxa"/>
          </w:tcPr>
          <w:p>
            <w:pPr>
              <w:autoSpaceDE w:val="0"/>
              <w:autoSpaceDN w:val="0"/>
              <w:adjustRightInd w:val="0"/>
              <w:spacing w:line="560" w:lineRule="exact"/>
              <w:outlineLvl w:val="9"/>
              <w:rPr>
                <w:rFonts w:hint="eastAsia" w:cs="宋体"/>
                <w:color w:val="auto"/>
                <w:sz w:val="24"/>
                <w:szCs w:val="24"/>
                <w:highlight w:val="none"/>
                <w:vertAlign w:val="baseline"/>
                <w:lang w:val="en-US" w:eastAsia="zh-CN"/>
              </w:rPr>
            </w:pPr>
          </w:p>
        </w:tc>
        <w:tc>
          <w:tcPr>
            <w:tcW w:w="4535" w:type="dxa"/>
          </w:tcPr>
          <w:p>
            <w:pPr>
              <w:autoSpaceDE w:val="0"/>
              <w:autoSpaceDN w:val="0"/>
              <w:adjustRightInd w:val="0"/>
              <w:spacing w:line="560" w:lineRule="exact"/>
              <w:outlineLvl w:val="9"/>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5" w:type="dxa"/>
          </w:tcPr>
          <w:p>
            <w:pPr>
              <w:autoSpaceDE w:val="0"/>
              <w:autoSpaceDN w:val="0"/>
              <w:adjustRightInd w:val="0"/>
              <w:spacing w:line="560" w:lineRule="exact"/>
              <w:outlineLvl w:val="9"/>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或授权代表（签字）：</w:t>
            </w:r>
          </w:p>
        </w:tc>
        <w:tc>
          <w:tcPr>
            <w:tcW w:w="567" w:type="dxa"/>
            <w:vAlign w:val="top"/>
          </w:tcPr>
          <w:p>
            <w:pPr>
              <w:autoSpaceDE w:val="0"/>
              <w:autoSpaceDN w:val="0"/>
              <w:adjustRightInd w:val="0"/>
              <w:spacing w:line="560" w:lineRule="exact"/>
              <w:outlineLvl w:val="9"/>
              <w:rPr>
                <w:rFonts w:hint="eastAsia" w:cs="宋体"/>
                <w:color w:val="auto"/>
                <w:sz w:val="24"/>
                <w:szCs w:val="24"/>
                <w:highlight w:val="none"/>
                <w:vertAlign w:val="baseline"/>
                <w:lang w:val="en-US" w:eastAsia="zh-CN"/>
              </w:rPr>
            </w:pPr>
          </w:p>
        </w:tc>
        <w:tc>
          <w:tcPr>
            <w:tcW w:w="4535" w:type="dxa"/>
            <w:vAlign w:val="top"/>
          </w:tcPr>
          <w:p>
            <w:pPr>
              <w:autoSpaceDE w:val="0"/>
              <w:autoSpaceDN w:val="0"/>
              <w:adjustRightInd w:val="0"/>
              <w:spacing w:line="560" w:lineRule="exact"/>
              <w:outlineLvl w:val="9"/>
              <w:rPr>
                <w:rFonts w:hint="eastAsia" w:ascii="宋体" w:hAnsi="宋体" w:eastAsia="宋体" w:cs="宋体"/>
                <w:color w:val="auto"/>
                <w:sz w:val="24"/>
                <w:szCs w:val="24"/>
                <w:highlight w:val="none"/>
                <w:vertAlign w:val="baseline"/>
                <w:lang w:val="zh-CN"/>
              </w:rPr>
            </w:pPr>
            <w:r>
              <w:rPr>
                <w:rFonts w:hint="eastAsia" w:cs="宋体"/>
                <w:color w:val="auto"/>
                <w:sz w:val="24"/>
                <w:szCs w:val="24"/>
                <w:highlight w:val="none"/>
                <w:vertAlign w:val="baseline"/>
                <w:lang w:val="en-US" w:eastAsia="zh-CN"/>
              </w:rPr>
              <w:t>或授权代表（签字）：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5" w:type="dxa"/>
          </w:tcPr>
          <w:p>
            <w:pPr>
              <w:autoSpaceDE w:val="0"/>
              <w:autoSpaceDN w:val="0"/>
              <w:adjustRightInd w:val="0"/>
              <w:spacing w:line="560" w:lineRule="exact"/>
              <w:outlineLvl w:val="9"/>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时间：年 月 日</w:t>
            </w:r>
          </w:p>
        </w:tc>
        <w:tc>
          <w:tcPr>
            <w:tcW w:w="567" w:type="dxa"/>
            <w:vAlign w:val="top"/>
          </w:tcPr>
          <w:p>
            <w:pPr>
              <w:autoSpaceDE w:val="0"/>
              <w:autoSpaceDN w:val="0"/>
              <w:adjustRightInd w:val="0"/>
              <w:spacing w:line="560" w:lineRule="exact"/>
              <w:outlineLvl w:val="9"/>
              <w:rPr>
                <w:rFonts w:hint="eastAsia" w:cs="宋体"/>
                <w:color w:val="auto"/>
                <w:sz w:val="24"/>
                <w:szCs w:val="24"/>
                <w:highlight w:val="none"/>
                <w:vertAlign w:val="baseline"/>
                <w:lang w:val="en-US" w:eastAsia="zh-CN"/>
              </w:rPr>
            </w:pPr>
          </w:p>
        </w:tc>
        <w:tc>
          <w:tcPr>
            <w:tcW w:w="4535" w:type="dxa"/>
            <w:vAlign w:val="top"/>
          </w:tcPr>
          <w:p>
            <w:pPr>
              <w:autoSpaceDE w:val="0"/>
              <w:autoSpaceDN w:val="0"/>
              <w:adjustRightInd w:val="0"/>
              <w:spacing w:line="560" w:lineRule="exact"/>
              <w:outlineLvl w:val="9"/>
              <w:rPr>
                <w:rFonts w:hint="eastAsia" w:ascii="宋体" w:hAnsi="宋体" w:eastAsia="宋体" w:cs="宋体"/>
                <w:color w:val="auto"/>
                <w:sz w:val="24"/>
                <w:szCs w:val="24"/>
                <w:highlight w:val="none"/>
                <w:vertAlign w:val="baseline"/>
                <w:lang w:val="zh-CN"/>
              </w:rPr>
            </w:pPr>
            <w:r>
              <w:rPr>
                <w:rFonts w:hint="eastAsia" w:cs="宋体"/>
                <w:color w:val="auto"/>
                <w:sz w:val="24"/>
                <w:szCs w:val="24"/>
                <w:highlight w:val="none"/>
                <w:vertAlign w:val="baseline"/>
                <w:lang w:val="en-US" w:eastAsia="zh-CN"/>
              </w:rPr>
              <w:t>时间：年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5" w:type="dxa"/>
          </w:tcPr>
          <w:p>
            <w:pPr>
              <w:autoSpaceDE w:val="0"/>
              <w:autoSpaceDN w:val="0"/>
              <w:adjustRightInd w:val="0"/>
              <w:spacing w:line="560" w:lineRule="exact"/>
              <w:outlineLvl w:val="9"/>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联系电话</w:t>
            </w:r>
          </w:p>
        </w:tc>
        <w:tc>
          <w:tcPr>
            <w:tcW w:w="567" w:type="dxa"/>
            <w:vAlign w:val="top"/>
          </w:tcPr>
          <w:p>
            <w:pPr>
              <w:autoSpaceDE w:val="0"/>
              <w:autoSpaceDN w:val="0"/>
              <w:adjustRightInd w:val="0"/>
              <w:spacing w:line="560" w:lineRule="exact"/>
              <w:outlineLvl w:val="9"/>
              <w:rPr>
                <w:rFonts w:hint="eastAsia" w:cs="宋体"/>
                <w:color w:val="auto"/>
                <w:sz w:val="24"/>
                <w:szCs w:val="24"/>
                <w:highlight w:val="none"/>
                <w:vertAlign w:val="baseline"/>
                <w:lang w:val="en-US" w:eastAsia="zh-CN"/>
              </w:rPr>
            </w:pPr>
          </w:p>
        </w:tc>
        <w:tc>
          <w:tcPr>
            <w:tcW w:w="4535" w:type="dxa"/>
            <w:vAlign w:val="top"/>
          </w:tcPr>
          <w:p>
            <w:pPr>
              <w:autoSpaceDE w:val="0"/>
              <w:autoSpaceDN w:val="0"/>
              <w:adjustRightInd w:val="0"/>
              <w:spacing w:line="560" w:lineRule="exact"/>
              <w:outlineLvl w:val="9"/>
              <w:rPr>
                <w:rFonts w:hint="eastAsia" w:ascii="宋体" w:hAnsi="宋体" w:eastAsia="宋体" w:cs="宋体"/>
                <w:color w:val="auto"/>
                <w:sz w:val="24"/>
                <w:szCs w:val="24"/>
                <w:highlight w:val="none"/>
                <w:vertAlign w:val="baseline"/>
                <w:lang w:val="zh-CN"/>
              </w:rPr>
            </w:pPr>
            <w:r>
              <w:rPr>
                <w:rFonts w:hint="eastAsia" w:cs="宋体"/>
                <w:color w:val="auto"/>
                <w:sz w:val="24"/>
                <w:szCs w:val="24"/>
                <w:highlight w:val="none"/>
                <w:vertAlign w:val="baseline"/>
                <w:lang w:val="en-US" w:eastAsia="zh-CN"/>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5" w:type="dxa"/>
          </w:tcPr>
          <w:p>
            <w:pPr>
              <w:autoSpaceDE w:val="0"/>
              <w:autoSpaceDN w:val="0"/>
              <w:adjustRightInd w:val="0"/>
              <w:spacing w:line="560" w:lineRule="exact"/>
              <w:outlineLvl w:val="9"/>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地址</w:t>
            </w:r>
          </w:p>
        </w:tc>
        <w:tc>
          <w:tcPr>
            <w:tcW w:w="567" w:type="dxa"/>
            <w:vAlign w:val="top"/>
          </w:tcPr>
          <w:p>
            <w:pPr>
              <w:autoSpaceDE w:val="0"/>
              <w:autoSpaceDN w:val="0"/>
              <w:adjustRightInd w:val="0"/>
              <w:spacing w:line="560" w:lineRule="exact"/>
              <w:outlineLvl w:val="9"/>
              <w:rPr>
                <w:rFonts w:hint="eastAsia" w:cs="宋体"/>
                <w:color w:val="auto"/>
                <w:sz w:val="24"/>
                <w:szCs w:val="24"/>
                <w:highlight w:val="none"/>
                <w:vertAlign w:val="baseline"/>
                <w:lang w:val="en-US" w:eastAsia="zh-CN"/>
              </w:rPr>
            </w:pPr>
          </w:p>
        </w:tc>
        <w:tc>
          <w:tcPr>
            <w:tcW w:w="4535" w:type="dxa"/>
            <w:vAlign w:val="top"/>
          </w:tcPr>
          <w:p>
            <w:pPr>
              <w:autoSpaceDE w:val="0"/>
              <w:autoSpaceDN w:val="0"/>
              <w:adjustRightInd w:val="0"/>
              <w:spacing w:line="560" w:lineRule="exact"/>
              <w:outlineLvl w:val="9"/>
              <w:rPr>
                <w:rFonts w:hint="eastAsia" w:ascii="宋体" w:hAnsi="宋体" w:eastAsia="宋体" w:cs="宋体"/>
                <w:color w:val="auto"/>
                <w:sz w:val="24"/>
                <w:szCs w:val="24"/>
                <w:highlight w:val="none"/>
                <w:vertAlign w:val="baseline"/>
                <w:lang w:val="zh-CN"/>
              </w:rPr>
            </w:pPr>
            <w:r>
              <w:rPr>
                <w:rFonts w:hint="eastAsia" w:cs="宋体"/>
                <w:color w:val="auto"/>
                <w:sz w:val="24"/>
                <w:szCs w:val="24"/>
                <w:highlight w:val="none"/>
                <w:vertAlign w:val="baseline"/>
                <w:lang w:val="en-US" w:eastAsia="zh-CN"/>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5" w:type="dxa"/>
          </w:tcPr>
          <w:p>
            <w:pPr>
              <w:autoSpaceDE w:val="0"/>
              <w:autoSpaceDN w:val="0"/>
              <w:adjustRightInd w:val="0"/>
              <w:spacing w:line="560" w:lineRule="exact"/>
              <w:outlineLvl w:val="9"/>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甲方账户信息</w:t>
            </w:r>
          </w:p>
        </w:tc>
        <w:tc>
          <w:tcPr>
            <w:tcW w:w="567" w:type="dxa"/>
            <w:vAlign w:val="top"/>
          </w:tcPr>
          <w:p>
            <w:pPr>
              <w:autoSpaceDE w:val="0"/>
              <w:autoSpaceDN w:val="0"/>
              <w:adjustRightInd w:val="0"/>
              <w:spacing w:line="560" w:lineRule="exact"/>
              <w:outlineLvl w:val="9"/>
              <w:rPr>
                <w:rFonts w:hint="eastAsia" w:cs="宋体"/>
                <w:color w:val="auto"/>
                <w:sz w:val="24"/>
                <w:szCs w:val="24"/>
                <w:highlight w:val="none"/>
                <w:vertAlign w:val="baseline"/>
                <w:lang w:val="en-US" w:eastAsia="zh-CN"/>
              </w:rPr>
            </w:pPr>
          </w:p>
        </w:tc>
        <w:tc>
          <w:tcPr>
            <w:tcW w:w="4535" w:type="dxa"/>
            <w:vAlign w:val="top"/>
          </w:tcPr>
          <w:p>
            <w:pPr>
              <w:autoSpaceDE w:val="0"/>
              <w:autoSpaceDN w:val="0"/>
              <w:adjustRightInd w:val="0"/>
              <w:spacing w:line="560" w:lineRule="exact"/>
              <w:outlineLvl w:val="9"/>
              <w:rPr>
                <w:rFonts w:hint="eastAsia" w:ascii="宋体" w:hAnsi="宋体" w:eastAsia="宋体" w:cs="宋体"/>
                <w:color w:val="auto"/>
                <w:sz w:val="24"/>
                <w:szCs w:val="24"/>
                <w:highlight w:val="none"/>
                <w:vertAlign w:val="baseline"/>
                <w:lang w:val="zh-CN"/>
              </w:rPr>
            </w:pPr>
            <w:r>
              <w:rPr>
                <w:rFonts w:hint="eastAsia" w:cs="宋体"/>
                <w:color w:val="auto"/>
                <w:sz w:val="24"/>
                <w:szCs w:val="24"/>
                <w:highlight w:val="none"/>
                <w:vertAlign w:val="baseline"/>
                <w:lang w:val="en-US" w:eastAsia="zh-CN"/>
              </w:rPr>
              <w:t>乙方账户信息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5" w:type="dxa"/>
          </w:tcPr>
          <w:p>
            <w:pPr>
              <w:autoSpaceDE w:val="0"/>
              <w:autoSpaceDN w:val="0"/>
              <w:adjustRightInd w:val="0"/>
              <w:spacing w:line="560" w:lineRule="exact"/>
              <w:outlineLvl w:val="9"/>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户名：</w:t>
            </w:r>
          </w:p>
        </w:tc>
        <w:tc>
          <w:tcPr>
            <w:tcW w:w="567" w:type="dxa"/>
            <w:vAlign w:val="top"/>
          </w:tcPr>
          <w:p>
            <w:pPr>
              <w:autoSpaceDE w:val="0"/>
              <w:autoSpaceDN w:val="0"/>
              <w:adjustRightInd w:val="0"/>
              <w:spacing w:line="560" w:lineRule="exact"/>
              <w:outlineLvl w:val="9"/>
              <w:rPr>
                <w:rFonts w:hint="eastAsia" w:cs="宋体"/>
                <w:color w:val="auto"/>
                <w:sz w:val="24"/>
                <w:szCs w:val="24"/>
                <w:highlight w:val="none"/>
                <w:vertAlign w:val="baseline"/>
                <w:lang w:val="en-US" w:eastAsia="zh-CN"/>
              </w:rPr>
            </w:pPr>
          </w:p>
        </w:tc>
        <w:tc>
          <w:tcPr>
            <w:tcW w:w="4535" w:type="dxa"/>
            <w:vAlign w:val="top"/>
          </w:tcPr>
          <w:p>
            <w:pPr>
              <w:autoSpaceDE w:val="0"/>
              <w:autoSpaceDN w:val="0"/>
              <w:adjustRightInd w:val="0"/>
              <w:spacing w:line="560" w:lineRule="exact"/>
              <w:outlineLvl w:val="9"/>
              <w:rPr>
                <w:rFonts w:hint="eastAsia" w:ascii="宋体" w:hAnsi="宋体" w:eastAsia="宋体" w:cs="宋体"/>
                <w:color w:val="auto"/>
                <w:sz w:val="24"/>
                <w:szCs w:val="24"/>
                <w:highlight w:val="none"/>
                <w:vertAlign w:val="baseline"/>
                <w:lang w:val="zh-CN"/>
              </w:rPr>
            </w:pPr>
            <w:r>
              <w:rPr>
                <w:rFonts w:hint="eastAsia" w:cs="宋体"/>
                <w:color w:val="auto"/>
                <w:sz w:val="24"/>
                <w:szCs w:val="24"/>
                <w:highlight w:val="none"/>
                <w:vertAlign w:val="baseline"/>
                <w:lang w:val="en-US" w:eastAsia="zh-CN"/>
              </w:rPr>
              <w:t>户名：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5" w:type="dxa"/>
          </w:tcPr>
          <w:p>
            <w:pPr>
              <w:autoSpaceDE w:val="0"/>
              <w:autoSpaceDN w:val="0"/>
              <w:adjustRightInd w:val="0"/>
              <w:spacing w:line="560" w:lineRule="exact"/>
              <w:outlineLvl w:val="9"/>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账号：</w:t>
            </w:r>
          </w:p>
        </w:tc>
        <w:tc>
          <w:tcPr>
            <w:tcW w:w="567" w:type="dxa"/>
            <w:vAlign w:val="top"/>
          </w:tcPr>
          <w:p>
            <w:pPr>
              <w:autoSpaceDE w:val="0"/>
              <w:autoSpaceDN w:val="0"/>
              <w:adjustRightInd w:val="0"/>
              <w:spacing w:line="560" w:lineRule="exact"/>
              <w:outlineLvl w:val="9"/>
              <w:rPr>
                <w:rFonts w:hint="eastAsia" w:cs="宋体"/>
                <w:color w:val="auto"/>
                <w:sz w:val="24"/>
                <w:szCs w:val="24"/>
                <w:highlight w:val="none"/>
                <w:vertAlign w:val="baseline"/>
                <w:lang w:val="en-US" w:eastAsia="zh-CN"/>
              </w:rPr>
            </w:pPr>
          </w:p>
        </w:tc>
        <w:tc>
          <w:tcPr>
            <w:tcW w:w="4535" w:type="dxa"/>
            <w:vAlign w:val="top"/>
          </w:tcPr>
          <w:p>
            <w:pPr>
              <w:autoSpaceDE w:val="0"/>
              <w:autoSpaceDN w:val="0"/>
              <w:adjustRightInd w:val="0"/>
              <w:spacing w:line="560" w:lineRule="exact"/>
              <w:outlineLvl w:val="9"/>
              <w:rPr>
                <w:rFonts w:hint="eastAsia" w:ascii="宋体" w:hAnsi="宋体" w:eastAsia="宋体" w:cs="宋体"/>
                <w:color w:val="auto"/>
                <w:sz w:val="24"/>
                <w:szCs w:val="24"/>
                <w:highlight w:val="none"/>
                <w:vertAlign w:val="baseline"/>
                <w:lang w:val="zh-CN"/>
              </w:rPr>
            </w:pPr>
            <w:r>
              <w:rPr>
                <w:rFonts w:hint="eastAsia" w:cs="宋体"/>
                <w:color w:val="auto"/>
                <w:sz w:val="24"/>
                <w:szCs w:val="24"/>
                <w:highlight w:val="none"/>
                <w:vertAlign w:val="baseline"/>
                <w:lang w:val="en-US" w:eastAsia="zh-CN"/>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5" w:type="dxa"/>
          </w:tcPr>
          <w:p>
            <w:pPr>
              <w:autoSpaceDE w:val="0"/>
              <w:autoSpaceDN w:val="0"/>
              <w:adjustRightInd w:val="0"/>
              <w:spacing w:line="560" w:lineRule="exact"/>
              <w:outlineLvl w:val="9"/>
              <w:rPr>
                <w:rFonts w:hint="default"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开户行</w:t>
            </w:r>
          </w:p>
        </w:tc>
        <w:tc>
          <w:tcPr>
            <w:tcW w:w="567" w:type="dxa"/>
            <w:vAlign w:val="top"/>
          </w:tcPr>
          <w:p>
            <w:pPr>
              <w:autoSpaceDE w:val="0"/>
              <w:autoSpaceDN w:val="0"/>
              <w:adjustRightInd w:val="0"/>
              <w:spacing w:line="560" w:lineRule="exact"/>
              <w:outlineLvl w:val="9"/>
              <w:rPr>
                <w:rFonts w:hint="eastAsia" w:cs="宋体"/>
                <w:color w:val="auto"/>
                <w:sz w:val="24"/>
                <w:szCs w:val="24"/>
                <w:highlight w:val="none"/>
                <w:vertAlign w:val="baseline"/>
                <w:lang w:val="en-US" w:eastAsia="zh-CN"/>
              </w:rPr>
            </w:pPr>
          </w:p>
        </w:tc>
        <w:tc>
          <w:tcPr>
            <w:tcW w:w="4535" w:type="dxa"/>
            <w:vAlign w:val="top"/>
          </w:tcPr>
          <w:p>
            <w:pPr>
              <w:autoSpaceDE w:val="0"/>
              <w:autoSpaceDN w:val="0"/>
              <w:adjustRightInd w:val="0"/>
              <w:spacing w:line="560" w:lineRule="exact"/>
              <w:outlineLvl w:val="9"/>
              <w:rPr>
                <w:rFonts w:hint="eastAsia" w:ascii="宋体" w:hAnsi="宋体" w:eastAsia="宋体" w:cs="宋体"/>
                <w:color w:val="auto"/>
                <w:sz w:val="24"/>
                <w:szCs w:val="24"/>
                <w:highlight w:val="none"/>
                <w:vertAlign w:val="baseline"/>
                <w:lang w:val="zh-CN"/>
              </w:rPr>
            </w:pPr>
            <w:r>
              <w:rPr>
                <w:rFonts w:hint="eastAsia" w:cs="宋体"/>
                <w:color w:val="auto"/>
                <w:sz w:val="24"/>
                <w:szCs w:val="24"/>
                <w:highlight w:val="none"/>
                <w:vertAlign w:val="baseline"/>
                <w:lang w:val="en-US" w:eastAsia="zh-CN"/>
              </w:rPr>
              <w:t>开户行</w:t>
            </w:r>
          </w:p>
        </w:tc>
      </w:tr>
    </w:tbl>
    <w:p>
      <w:pPr>
        <w:autoSpaceDE w:val="0"/>
        <w:autoSpaceDN w:val="0"/>
        <w:adjustRightInd w:val="0"/>
        <w:spacing w:line="560" w:lineRule="exact"/>
        <w:outlineLvl w:val="9"/>
        <w:rPr>
          <w:rFonts w:hint="eastAsia" w:ascii="宋体" w:hAnsi="宋体" w:eastAsia="宋体" w:cs="宋体"/>
          <w:color w:val="auto"/>
          <w:sz w:val="24"/>
          <w:szCs w:val="24"/>
          <w:highlight w:val="none"/>
          <w:lang w:val="zh-CN"/>
        </w:rPr>
      </w:pPr>
    </w:p>
    <w:p>
      <w:pPr>
        <w:widowControl/>
        <w:jc w:val="left"/>
        <w:rPr>
          <w:rFonts w:cs="Times New Roman" w:asciiTheme="minorEastAsia" w:hAnsiTheme="minorEastAsia" w:eastAsiaTheme="minorEastAsia"/>
          <w:b/>
          <w:color w:val="auto"/>
          <w:sz w:val="24"/>
          <w:szCs w:val="24"/>
          <w:highlight w:val="none"/>
        </w:rPr>
      </w:pPr>
      <w:bookmarkStart w:id="449" w:name="_Toc331685783"/>
      <w:r>
        <w:rPr>
          <w:rFonts w:cs="Times New Roman" w:asciiTheme="minorEastAsia" w:hAnsiTheme="minorEastAsia" w:eastAsiaTheme="minorEastAsia"/>
          <w:b/>
          <w:color w:val="auto"/>
          <w:sz w:val="24"/>
          <w:szCs w:val="24"/>
          <w:highlight w:val="none"/>
        </w:rPr>
        <w:br w:type="page"/>
      </w:r>
    </w:p>
    <w:p>
      <w:pPr>
        <w:spacing w:line="360" w:lineRule="auto"/>
        <w:jc w:val="center"/>
        <w:outlineLvl w:val="1"/>
        <w:rPr>
          <w:rFonts w:hint="eastAsia" w:ascii="宋体" w:hAnsi="宋体" w:eastAsia="宋体" w:cs="宋体"/>
          <w:b/>
          <w:color w:val="auto"/>
          <w:sz w:val="36"/>
          <w:szCs w:val="36"/>
          <w:highlight w:val="none"/>
        </w:rPr>
      </w:pPr>
      <w:bookmarkStart w:id="450" w:name="_Toc28030"/>
      <w:bookmarkStart w:id="451" w:name="_Toc25481"/>
      <w:bookmarkStart w:id="452" w:name="_Toc415"/>
      <w:bookmarkStart w:id="453" w:name="_Toc12682"/>
      <w:r>
        <w:rPr>
          <w:rFonts w:hint="eastAsia" w:ascii="宋体" w:hAnsi="宋体" w:eastAsia="宋体" w:cs="宋体"/>
          <w:b/>
          <w:color w:val="auto"/>
          <w:sz w:val="36"/>
          <w:szCs w:val="36"/>
          <w:highlight w:val="none"/>
        </w:rPr>
        <w:t>第二部分 合同一般条款</w:t>
      </w:r>
      <w:bookmarkEnd w:id="449"/>
      <w:bookmarkEnd w:id="450"/>
      <w:bookmarkEnd w:id="451"/>
      <w:bookmarkEnd w:id="452"/>
      <w:bookmarkEnd w:id="453"/>
    </w:p>
    <w:p>
      <w:pPr>
        <w:spacing w:line="360" w:lineRule="auto"/>
        <w:ind w:firstLine="437"/>
        <w:outlineLvl w:val="9"/>
        <w:rPr>
          <w:rFonts w:hint="eastAsia" w:ascii="宋体" w:hAnsi="宋体" w:eastAsia="宋体" w:cs="宋体"/>
          <w:b/>
          <w:bCs/>
          <w:i w:val="0"/>
          <w:iCs w:val="0"/>
          <w:color w:val="auto"/>
          <w:sz w:val="24"/>
          <w:szCs w:val="24"/>
          <w:highlight w:val="none"/>
          <w:lang w:val="zh-CN"/>
        </w:rPr>
      </w:pPr>
      <w:bookmarkStart w:id="454" w:name="_Ref467378499"/>
      <w:bookmarkStart w:id="455" w:name="_Toc259093669"/>
      <w:bookmarkStart w:id="456" w:name="_Ref467379225"/>
      <w:bookmarkStart w:id="457" w:name="_Toc279701240"/>
      <w:bookmarkStart w:id="458" w:name="_Ref467378404"/>
      <w:bookmarkStart w:id="459" w:name="_Toc487900349"/>
      <w:bookmarkStart w:id="460" w:name="_Toc16917"/>
      <w:bookmarkStart w:id="461" w:name="_Ref467379109"/>
      <w:bookmarkStart w:id="462" w:name="_Toc28763"/>
      <w:bookmarkStart w:id="463" w:name="_Ref467379101"/>
      <w:bookmarkStart w:id="464" w:name="_Ref467379214"/>
      <w:bookmarkStart w:id="465" w:name="_Ref467379205"/>
      <w:bookmarkStart w:id="466" w:name="_Ref467379195"/>
      <w:bookmarkStart w:id="467" w:name="_Ref467379094"/>
      <w:bookmarkStart w:id="468" w:name="_Ref467378463"/>
      <w:bookmarkStart w:id="469" w:name="_Toc19614"/>
      <w:bookmarkStart w:id="470" w:name="_Toc14232"/>
      <w:r>
        <w:rPr>
          <w:rFonts w:hint="eastAsia" w:ascii="宋体" w:hAnsi="宋体" w:eastAsia="宋体" w:cs="宋体"/>
          <w:b/>
          <w:bCs/>
          <w:i w:val="0"/>
          <w:iCs w:val="0"/>
          <w:color w:val="auto"/>
          <w:sz w:val="24"/>
          <w:szCs w:val="24"/>
          <w:highlight w:val="none"/>
          <w:lang w:val="zh-CN"/>
        </w:rPr>
        <w:t>2.1 定义</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本合同中的下列词语应按以下内容进行解释：</w:t>
      </w:r>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2.1.1“合同”系指采购人和中标人签订的载明双方当事人所达成的协议，并包括所有的附件、附录和构成合同的其他文件。</w:t>
      </w:r>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2.1.2“合同价”系指根据合同约定，中标人在完全履行合同义务后，采购人应支付给中标人的价格。</w:t>
      </w:r>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pPr>
        <w:spacing w:line="360" w:lineRule="auto"/>
        <w:ind w:firstLine="435"/>
        <w:outlineLvl w:val="9"/>
        <w:rPr>
          <w:rFonts w:hint="eastAsia" w:ascii="宋体" w:hAnsi="宋体" w:eastAsia="宋体" w:cs="宋体"/>
          <w:i w:val="0"/>
          <w:iCs w:val="0"/>
          <w:color w:val="auto"/>
          <w:sz w:val="24"/>
          <w:szCs w:val="24"/>
          <w:highlight w:val="none"/>
        </w:rPr>
      </w:pPr>
      <w:bookmarkStart w:id="471" w:name="_Ref467378840"/>
      <w:r>
        <w:rPr>
          <w:rFonts w:hint="eastAsia" w:ascii="宋体" w:hAnsi="宋体" w:eastAsia="宋体" w:cs="宋体"/>
          <w:i w:val="0"/>
          <w:iCs w:val="0"/>
          <w:color w:val="auto"/>
          <w:sz w:val="24"/>
          <w:szCs w:val="24"/>
          <w:highlight w:val="none"/>
        </w:rPr>
        <w:t>2.1.4“甲方”系指与中标人签署合同的采购人</w:t>
      </w:r>
      <w:bookmarkEnd w:id="471"/>
      <w:r>
        <w:rPr>
          <w:rFonts w:hint="eastAsia" w:ascii="宋体" w:hAnsi="宋体" w:eastAsia="宋体" w:cs="宋体"/>
          <w:i w:val="0"/>
          <w:iCs w:val="0"/>
          <w:color w:val="auto"/>
          <w:sz w:val="24"/>
          <w:szCs w:val="24"/>
          <w:highlight w:val="none"/>
        </w:rPr>
        <w:t>；采购人委托采购代理机构代表其与乙方签订合同的，采购人的授权委托书作为合同附件。</w:t>
      </w:r>
    </w:p>
    <w:p>
      <w:pPr>
        <w:spacing w:line="360" w:lineRule="auto"/>
        <w:ind w:firstLine="435"/>
        <w:outlineLvl w:val="9"/>
        <w:rPr>
          <w:rFonts w:hint="eastAsia" w:ascii="宋体" w:hAnsi="宋体" w:eastAsia="宋体" w:cs="宋体"/>
          <w:i w:val="0"/>
          <w:iCs w:val="0"/>
          <w:color w:val="auto"/>
          <w:sz w:val="24"/>
          <w:szCs w:val="24"/>
          <w:highlight w:val="none"/>
        </w:rPr>
      </w:pPr>
      <w:bookmarkStart w:id="472" w:name="_Ref467379400"/>
      <w:r>
        <w:rPr>
          <w:rFonts w:hint="eastAsia" w:ascii="宋体" w:hAnsi="宋体" w:eastAsia="宋体" w:cs="宋体"/>
          <w:i w:val="0"/>
          <w:iCs w:val="0"/>
          <w:color w:val="auto"/>
          <w:sz w:val="24"/>
          <w:szCs w:val="24"/>
          <w:highlight w:val="none"/>
        </w:rPr>
        <w:t>2.1.5“乙方”系指根据合同约定提供服务的中标人</w:t>
      </w:r>
      <w:bookmarkEnd w:id="472"/>
      <w:r>
        <w:rPr>
          <w:rFonts w:hint="eastAsia" w:ascii="宋体" w:hAnsi="宋体" w:eastAsia="宋体" w:cs="宋体"/>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35"/>
        <w:outlineLvl w:val="9"/>
        <w:rPr>
          <w:rFonts w:hint="eastAsia" w:ascii="宋体" w:hAnsi="宋体" w:eastAsia="宋体" w:cs="宋体"/>
          <w:i w:val="0"/>
          <w:iCs w:val="0"/>
          <w:color w:val="auto"/>
          <w:sz w:val="24"/>
          <w:szCs w:val="24"/>
          <w:highlight w:val="none"/>
        </w:rPr>
      </w:pPr>
      <w:bookmarkStart w:id="473" w:name="_Ref467379436"/>
      <w:r>
        <w:rPr>
          <w:rFonts w:hint="eastAsia" w:ascii="宋体" w:hAnsi="宋体" w:eastAsia="宋体" w:cs="宋体"/>
          <w:i w:val="0"/>
          <w:iCs w:val="0"/>
          <w:color w:val="auto"/>
          <w:sz w:val="24"/>
          <w:szCs w:val="24"/>
          <w:highlight w:val="none"/>
        </w:rPr>
        <w:t>2.1.6“现场”系指合同约定提供服务的地点。</w:t>
      </w:r>
      <w:bookmarkEnd w:id="473"/>
    </w:p>
    <w:p>
      <w:pPr>
        <w:spacing w:line="360" w:lineRule="auto"/>
        <w:ind w:firstLine="437"/>
        <w:outlineLvl w:val="9"/>
        <w:rPr>
          <w:rFonts w:hint="eastAsia" w:ascii="宋体" w:hAnsi="宋体" w:eastAsia="宋体" w:cs="宋体"/>
          <w:b/>
          <w:bCs/>
          <w:i w:val="0"/>
          <w:iCs w:val="0"/>
          <w:color w:val="auto"/>
          <w:sz w:val="24"/>
          <w:szCs w:val="24"/>
          <w:highlight w:val="none"/>
          <w:lang w:val="zh-CN"/>
        </w:rPr>
      </w:pPr>
      <w:bookmarkStart w:id="474" w:name="_Toc16312"/>
      <w:bookmarkStart w:id="475" w:name="_Toc27635"/>
      <w:bookmarkStart w:id="476" w:name="_Toc259093670"/>
      <w:bookmarkStart w:id="477" w:name="_Toc32504"/>
      <w:bookmarkStart w:id="478" w:name="_Toc487900350"/>
      <w:bookmarkStart w:id="479" w:name="_Toc279701241"/>
      <w:bookmarkStart w:id="480" w:name="_Toc13336"/>
      <w:r>
        <w:rPr>
          <w:rFonts w:hint="eastAsia" w:ascii="宋体" w:hAnsi="宋体" w:eastAsia="宋体" w:cs="宋体"/>
          <w:b/>
          <w:bCs/>
          <w:i w:val="0"/>
          <w:iCs w:val="0"/>
          <w:color w:val="auto"/>
          <w:sz w:val="24"/>
          <w:szCs w:val="24"/>
          <w:highlight w:val="none"/>
          <w:lang w:val="zh-CN"/>
        </w:rPr>
        <w:t>2.2 技术规范</w:t>
      </w:r>
      <w:bookmarkEnd w:id="474"/>
      <w:bookmarkEnd w:id="475"/>
      <w:bookmarkEnd w:id="476"/>
      <w:bookmarkEnd w:id="477"/>
      <w:bookmarkEnd w:id="478"/>
      <w:bookmarkEnd w:id="479"/>
      <w:bookmarkEnd w:id="480"/>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货物所应遵守的技术规范应与采购文件规定的技术规范和技术规范附件</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如果有的话</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及其技术规范偏差表</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如果被甲方接受的话</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相一致；如果采购文件中没有技术规范的相应说明，那么应以国家有关部门最新颁布的相应标准和规范为准。</w:t>
      </w:r>
    </w:p>
    <w:p>
      <w:pPr>
        <w:spacing w:line="360" w:lineRule="auto"/>
        <w:ind w:firstLine="437"/>
        <w:outlineLvl w:val="9"/>
        <w:rPr>
          <w:rFonts w:hint="eastAsia" w:ascii="宋体" w:hAnsi="宋体" w:eastAsia="宋体" w:cs="宋体"/>
          <w:b/>
          <w:bCs/>
          <w:i w:val="0"/>
          <w:iCs w:val="0"/>
          <w:color w:val="auto"/>
          <w:sz w:val="24"/>
          <w:szCs w:val="24"/>
          <w:highlight w:val="none"/>
          <w:lang w:val="zh-CN"/>
        </w:rPr>
      </w:pPr>
      <w:bookmarkStart w:id="481" w:name="_Toc487900351"/>
      <w:bookmarkStart w:id="482" w:name="_Toc9829"/>
      <w:bookmarkStart w:id="483" w:name="_Toc279701242"/>
      <w:bookmarkStart w:id="484" w:name="_Toc32641"/>
      <w:bookmarkStart w:id="485" w:name="_Toc31634"/>
      <w:bookmarkStart w:id="486" w:name="_Toc27853"/>
      <w:bookmarkStart w:id="487" w:name="_Toc259093671"/>
      <w:r>
        <w:rPr>
          <w:rFonts w:hint="eastAsia" w:ascii="宋体" w:hAnsi="宋体" w:eastAsia="宋体" w:cs="宋体"/>
          <w:b/>
          <w:bCs/>
          <w:i w:val="0"/>
          <w:iCs w:val="0"/>
          <w:color w:val="auto"/>
          <w:sz w:val="24"/>
          <w:szCs w:val="24"/>
          <w:highlight w:val="none"/>
          <w:lang w:val="zh-CN"/>
        </w:rPr>
        <w:t>2.3 知识产权</w:t>
      </w:r>
      <w:bookmarkEnd w:id="481"/>
      <w:bookmarkEnd w:id="482"/>
      <w:bookmarkEnd w:id="483"/>
      <w:bookmarkEnd w:id="484"/>
      <w:bookmarkEnd w:id="485"/>
      <w:bookmarkEnd w:id="486"/>
      <w:bookmarkEnd w:id="487"/>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2.3.2具有知识产权的计算机软件等货物的知识产权归属，详见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pPr>
        <w:spacing w:line="360" w:lineRule="auto"/>
        <w:ind w:firstLine="437"/>
        <w:outlineLvl w:val="9"/>
        <w:rPr>
          <w:rFonts w:hint="eastAsia" w:ascii="宋体" w:hAnsi="宋体" w:eastAsia="宋体" w:cs="宋体"/>
          <w:b/>
          <w:bCs/>
          <w:i w:val="0"/>
          <w:iCs w:val="0"/>
          <w:color w:val="auto"/>
          <w:sz w:val="24"/>
          <w:szCs w:val="24"/>
          <w:highlight w:val="none"/>
          <w:lang w:val="zh-CN"/>
        </w:rPr>
      </w:pPr>
      <w:bookmarkStart w:id="488" w:name="_Ref467379542"/>
      <w:bookmarkStart w:id="489" w:name="_Toc279701245"/>
      <w:bookmarkStart w:id="490" w:name="_Toc487900354"/>
      <w:bookmarkStart w:id="491" w:name="_Ref467379527"/>
      <w:bookmarkStart w:id="492" w:name="_Ref467378591"/>
      <w:bookmarkStart w:id="493" w:name="_Toc259093674"/>
      <w:bookmarkStart w:id="494" w:name="_Ref467379536"/>
      <w:bookmarkStart w:id="495" w:name="_Ref467378541"/>
      <w:bookmarkStart w:id="496" w:name="_Toc19074"/>
      <w:bookmarkStart w:id="497" w:name="_Toc26182"/>
      <w:bookmarkStart w:id="498" w:name="_Toc30272"/>
      <w:bookmarkStart w:id="499" w:name="_Toc21843"/>
      <w:r>
        <w:rPr>
          <w:rFonts w:hint="eastAsia" w:ascii="宋体" w:hAnsi="宋体" w:eastAsia="宋体" w:cs="宋体"/>
          <w:b/>
          <w:bCs/>
          <w:i w:val="0"/>
          <w:iCs w:val="0"/>
          <w:color w:val="auto"/>
          <w:sz w:val="24"/>
          <w:szCs w:val="24"/>
          <w:highlight w:val="none"/>
          <w:lang w:val="zh-CN"/>
        </w:rPr>
        <w:t>2.</w:t>
      </w:r>
      <w:bookmarkEnd w:id="488"/>
      <w:bookmarkEnd w:id="489"/>
      <w:bookmarkEnd w:id="490"/>
      <w:bookmarkEnd w:id="491"/>
      <w:bookmarkEnd w:id="492"/>
      <w:bookmarkEnd w:id="493"/>
      <w:bookmarkEnd w:id="494"/>
      <w:bookmarkEnd w:id="495"/>
      <w:r>
        <w:rPr>
          <w:rFonts w:hint="eastAsia" w:ascii="宋体" w:hAnsi="宋体" w:eastAsia="宋体" w:cs="宋体"/>
          <w:b/>
          <w:bCs/>
          <w:i w:val="0"/>
          <w:iCs w:val="0"/>
          <w:color w:val="auto"/>
          <w:sz w:val="24"/>
          <w:szCs w:val="24"/>
          <w:highlight w:val="none"/>
          <w:lang w:val="zh-CN"/>
        </w:rPr>
        <w:t>4 履约检查和问题反馈</w:t>
      </w:r>
      <w:bookmarkEnd w:id="496"/>
      <w:bookmarkEnd w:id="497"/>
      <w:bookmarkEnd w:id="498"/>
      <w:bookmarkEnd w:id="499"/>
    </w:p>
    <w:p>
      <w:pPr>
        <w:spacing w:line="360" w:lineRule="auto"/>
        <w:ind w:firstLine="435"/>
        <w:outlineLvl w:val="9"/>
        <w:rPr>
          <w:rFonts w:hint="eastAsia" w:ascii="宋体" w:hAnsi="宋体" w:eastAsia="宋体" w:cs="宋体"/>
          <w:i w:val="0"/>
          <w:iCs w:val="0"/>
          <w:color w:val="auto"/>
          <w:sz w:val="24"/>
          <w:szCs w:val="24"/>
          <w:highlight w:val="none"/>
        </w:rPr>
      </w:pPr>
      <w:bookmarkStart w:id="500" w:name="_Toc186431854"/>
      <w:bookmarkStart w:id="501" w:name="_Ref467379807"/>
      <w:bookmarkStart w:id="502" w:name="_Ref467379793"/>
      <w:bookmarkStart w:id="503" w:name="_Toc279701247"/>
      <w:bookmarkStart w:id="504" w:name="_Toc487900357"/>
      <w:bookmarkStart w:id="505" w:name="_Toc259093676"/>
      <w:r>
        <w:rPr>
          <w:rFonts w:hint="eastAsia" w:ascii="宋体" w:hAnsi="宋体" w:eastAsia="宋体" w:cs="宋体"/>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2.4.2合同履行期间，甲方有权将履行过程中出现的问题反馈给乙方，双方当事人应以书面形式约定需要完善和改进的内容</w:t>
      </w:r>
      <w:bookmarkEnd w:id="500"/>
      <w:bookmarkStart w:id="506" w:name="_Toc186431855"/>
      <w:r>
        <w:rPr>
          <w:rFonts w:hint="eastAsia" w:ascii="宋体" w:hAnsi="宋体" w:eastAsia="宋体" w:cs="宋体"/>
          <w:i w:val="0"/>
          <w:iCs w:val="0"/>
          <w:color w:val="auto"/>
          <w:sz w:val="24"/>
          <w:szCs w:val="24"/>
          <w:highlight w:val="none"/>
        </w:rPr>
        <w:t>。</w:t>
      </w:r>
    </w:p>
    <w:bookmarkEnd w:id="506"/>
    <w:p>
      <w:pPr>
        <w:spacing w:line="360" w:lineRule="auto"/>
        <w:ind w:firstLine="437"/>
        <w:outlineLvl w:val="9"/>
        <w:rPr>
          <w:rFonts w:hint="eastAsia" w:ascii="宋体" w:hAnsi="宋体" w:eastAsia="宋体" w:cs="宋体"/>
          <w:b/>
          <w:bCs/>
          <w:i w:val="0"/>
          <w:iCs w:val="0"/>
          <w:color w:val="auto"/>
          <w:sz w:val="24"/>
          <w:szCs w:val="24"/>
          <w:highlight w:val="none"/>
          <w:lang w:val="zh-CN"/>
        </w:rPr>
      </w:pPr>
      <w:bookmarkStart w:id="507" w:name="_Toc28451"/>
      <w:bookmarkStart w:id="508" w:name="_Toc19219"/>
      <w:bookmarkStart w:id="509" w:name="_Toc7836"/>
      <w:bookmarkStart w:id="510" w:name="_Toc31559"/>
      <w:r>
        <w:rPr>
          <w:rFonts w:hint="eastAsia" w:ascii="宋体" w:hAnsi="宋体" w:eastAsia="宋体" w:cs="宋体"/>
          <w:b/>
          <w:bCs/>
          <w:i w:val="0"/>
          <w:iCs w:val="0"/>
          <w:color w:val="auto"/>
          <w:sz w:val="24"/>
          <w:szCs w:val="24"/>
          <w:highlight w:val="none"/>
          <w:lang w:val="zh-CN"/>
        </w:rPr>
        <w:t>2.5 结算方式和付款条件</w:t>
      </w:r>
      <w:bookmarkEnd w:id="501"/>
      <w:bookmarkEnd w:id="502"/>
      <w:bookmarkEnd w:id="503"/>
      <w:bookmarkEnd w:id="504"/>
      <w:bookmarkEnd w:id="505"/>
      <w:bookmarkEnd w:id="507"/>
      <w:bookmarkEnd w:id="508"/>
      <w:bookmarkEnd w:id="509"/>
      <w:bookmarkEnd w:id="510"/>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pPr>
        <w:spacing w:line="360" w:lineRule="auto"/>
        <w:ind w:firstLine="437"/>
        <w:outlineLvl w:val="9"/>
        <w:rPr>
          <w:rFonts w:hint="eastAsia" w:ascii="宋体" w:hAnsi="宋体" w:eastAsia="宋体" w:cs="宋体"/>
          <w:b/>
          <w:bCs/>
          <w:i w:val="0"/>
          <w:iCs w:val="0"/>
          <w:color w:val="auto"/>
          <w:sz w:val="24"/>
          <w:szCs w:val="24"/>
          <w:highlight w:val="none"/>
          <w:lang w:val="zh-CN"/>
        </w:rPr>
      </w:pPr>
      <w:bookmarkStart w:id="511" w:name="_Ref467379863"/>
      <w:bookmarkStart w:id="512" w:name="_Toc279701248"/>
      <w:bookmarkStart w:id="513" w:name="_Toc259093677"/>
      <w:bookmarkStart w:id="514" w:name="_Ref467379923"/>
      <w:bookmarkStart w:id="515" w:name="_Toc487900358"/>
      <w:bookmarkStart w:id="516" w:name="_Ref467379852"/>
      <w:bookmarkStart w:id="517" w:name="_Toc774"/>
      <w:bookmarkStart w:id="518" w:name="_Toc16110"/>
      <w:bookmarkStart w:id="519" w:name="_Toc7777"/>
      <w:bookmarkStart w:id="520" w:name="_Toc3225"/>
      <w:r>
        <w:rPr>
          <w:rFonts w:hint="eastAsia" w:ascii="宋体" w:hAnsi="宋体" w:eastAsia="宋体" w:cs="宋体"/>
          <w:b/>
          <w:bCs/>
          <w:i w:val="0"/>
          <w:iCs w:val="0"/>
          <w:color w:val="auto"/>
          <w:sz w:val="24"/>
          <w:szCs w:val="24"/>
          <w:highlight w:val="none"/>
          <w:lang w:val="zh-CN"/>
        </w:rPr>
        <w:t>2.6 技术资料</w:t>
      </w:r>
      <w:bookmarkEnd w:id="511"/>
      <w:bookmarkEnd w:id="512"/>
      <w:bookmarkEnd w:id="513"/>
      <w:bookmarkEnd w:id="514"/>
      <w:bookmarkEnd w:id="515"/>
      <w:bookmarkEnd w:id="516"/>
      <w:r>
        <w:rPr>
          <w:rFonts w:hint="eastAsia" w:ascii="宋体" w:hAnsi="宋体" w:eastAsia="宋体" w:cs="宋体"/>
          <w:b/>
          <w:bCs/>
          <w:i w:val="0"/>
          <w:iCs w:val="0"/>
          <w:color w:val="auto"/>
          <w:sz w:val="24"/>
          <w:szCs w:val="24"/>
          <w:highlight w:val="none"/>
          <w:lang w:val="zh-CN"/>
        </w:rPr>
        <w:t>和保密义务</w:t>
      </w:r>
      <w:bookmarkEnd w:id="517"/>
      <w:bookmarkEnd w:id="518"/>
      <w:bookmarkEnd w:id="519"/>
      <w:bookmarkEnd w:id="520"/>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2.6.1乙方有权依据合同约定和项目需要，向甲方了解有关情况，调阅有关资料等，甲方应予积极配合；</w:t>
      </w:r>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2.6.2乙方有义务妥善保管和保护由甲方提供的前款信息和资料等；</w:t>
      </w:r>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9"/>
        <w:rPr>
          <w:rFonts w:hint="eastAsia" w:ascii="宋体" w:hAnsi="宋体" w:eastAsia="宋体" w:cs="宋体"/>
          <w:b/>
          <w:bCs/>
          <w:i w:val="0"/>
          <w:iCs w:val="0"/>
          <w:color w:val="auto"/>
          <w:sz w:val="24"/>
          <w:szCs w:val="24"/>
          <w:highlight w:val="none"/>
          <w:lang w:val="zh-CN"/>
        </w:rPr>
      </w:pPr>
      <w:bookmarkStart w:id="521" w:name="_Toc5284"/>
      <w:bookmarkStart w:id="522" w:name="_Toc7860"/>
      <w:r>
        <w:rPr>
          <w:rFonts w:hint="eastAsia" w:ascii="宋体" w:hAnsi="宋体" w:eastAsia="宋体" w:cs="宋体"/>
          <w:b/>
          <w:bCs/>
          <w:i w:val="0"/>
          <w:iCs w:val="0"/>
          <w:color w:val="auto"/>
          <w:sz w:val="24"/>
          <w:szCs w:val="24"/>
          <w:highlight w:val="none"/>
          <w:lang w:val="zh-CN"/>
        </w:rPr>
        <w:t>2.7 质量保证</w:t>
      </w:r>
      <w:bookmarkEnd w:id="521"/>
      <w:bookmarkEnd w:id="522"/>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2.7.1乙方应建立和完善履行合同的内部质量保证体系，并提供相关内部规章制度给甲方，以便甲方进行监督检查；</w:t>
      </w:r>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2.7.2乙方应保证履行合同的人员数量和素质、软件和硬件设备的配置、场地、环境和设施等满足全面履行合同的要求，并应接受甲方的监督检查。</w:t>
      </w:r>
    </w:p>
    <w:p>
      <w:pPr>
        <w:spacing w:line="360" w:lineRule="auto"/>
        <w:ind w:firstLine="437"/>
        <w:outlineLvl w:val="9"/>
        <w:rPr>
          <w:rFonts w:hint="eastAsia" w:ascii="宋体" w:hAnsi="宋体" w:eastAsia="宋体" w:cs="宋体"/>
          <w:b/>
          <w:i w:val="0"/>
          <w:iCs w:val="0"/>
          <w:color w:val="auto"/>
          <w:sz w:val="24"/>
          <w:szCs w:val="24"/>
          <w:highlight w:val="none"/>
        </w:rPr>
      </w:pPr>
      <w:bookmarkStart w:id="523" w:name="_Toc30678"/>
      <w:bookmarkStart w:id="524" w:name="_Toc22267"/>
      <w:r>
        <w:rPr>
          <w:rFonts w:hint="eastAsia" w:ascii="宋体" w:hAnsi="宋体" w:eastAsia="宋体" w:cs="宋体"/>
          <w:b/>
          <w:i w:val="0"/>
          <w:iCs w:val="0"/>
          <w:color w:val="auto"/>
          <w:sz w:val="24"/>
          <w:szCs w:val="24"/>
          <w:highlight w:val="none"/>
        </w:rPr>
        <w:t>2.8 延迟履行</w:t>
      </w:r>
      <w:bookmarkEnd w:id="523"/>
      <w:bookmarkEnd w:id="524"/>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9"/>
        <w:rPr>
          <w:rFonts w:hint="eastAsia" w:ascii="宋体" w:hAnsi="宋体" w:eastAsia="宋体" w:cs="宋体"/>
          <w:b/>
          <w:bCs/>
          <w:i w:val="0"/>
          <w:iCs w:val="0"/>
          <w:color w:val="auto"/>
          <w:sz w:val="24"/>
          <w:szCs w:val="24"/>
          <w:highlight w:val="none"/>
          <w:lang w:val="zh-CN"/>
        </w:rPr>
      </w:pPr>
      <w:bookmarkStart w:id="525" w:name="_Toc7502"/>
      <w:bookmarkStart w:id="526" w:name="_Toc3646"/>
      <w:bookmarkStart w:id="527" w:name="_Ref467378121"/>
      <w:bookmarkStart w:id="528" w:name="_Toc279701254"/>
      <w:bookmarkStart w:id="529" w:name="_Toc259093683"/>
      <w:bookmarkStart w:id="530" w:name="_Toc487900364"/>
      <w:r>
        <w:rPr>
          <w:rFonts w:hint="eastAsia" w:ascii="宋体" w:hAnsi="宋体" w:eastAsia="宋体" w:cs="宋体"/>
          <w:b/>
          <w:bCs/>
          <w:i w:val="0"/>
          <w:iCs w:val="0"/>
          <w:color w:val="auto"/>
          <w:sz w:val="24"/>
          <w:szCs w:val="24"/>
          <w:highlight w:val="none"/>
          <w:lang w:val="zh-CN"/>
        </w:rPr>
        <w:t>2.9 合同变更</w:t>
      </w:r>
      <w:bookmarkEnd w:id="525"/>
      <w:bookmarkEnd w:id="526"/>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2.9.1双方当事人协商一致，可以签订书面补充合同的形式变更合同，但不得违背采购文件确定的事项；</w:t>
      </w:r>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531" w:name="_Toc487900369"/>
      <w:bookmarkStart w:id="532" w:name="_Toc259093688"/>
      <w:bookmarkStart w:id="533" w:name="_Toc279701259"/>
    </w:p>
    <w:p>
      <w:pPr>
        <w:spacing w:line="360" w:lineRule="auto"/>
        <w:ind w:firstLine="437"/>
        <w:outlineLvl w:val="9"/>
        <w:rPr>
          <w:rFonts w:hint="eastAsia" w:ascii="宋体" w:hAnsi="宋体" w:eastAsia="宋体" w:cs="宋体"/>
          <w:b/>
          <w:bCs/>
          <w:i w:val="0"/>
          <w:iCs w:val="0"/>
          <w:color w:val="auto"/>
          <w:sz w:val="24"/>
          <w:szCs w:val="24"/>
          <w:highlight w:val="none"/>
          <w:lang w:val="zh-CN"/>
        </w:rPr>
      </w:pPr>
      <w:bookmarkStart w:id="534" w:name="_Toc5438"/>
      <w:bookmarkStart w:id="535" w:name="_Toc15237"/>
      <w:bookmarkStart w:id="536" w:name="_Toc22955"/>
      <w:bookmarkStart w:id="537" w:name="_Toc10366"/>
      <w:r>
        <w:rPr>
          <w:rFonts w:hint="eastAsia" w:ascii="宋体" w:hAnsi="宋体" w:eastAsia="宋体" w:cs="宋体"/>
          <w:b/>
          <w:bCs/>
          <w:i w:val="0"/>
          <w:iCs w:val="0"/>
          <w:color w:val="auto"/>
          <w:sz w:val="24"/>
          <w:szCs w:val="24"/>
          <w:highlight w:val="none"/>
          <w:lang w:val="zh-CN"/>
        </w:rPr>
        <w:t>2.10 合同转让</w:t>
      </w:r>
      <w:bookmarkEnd w:id="531"/>
      <w:bookmarkEnd w:id="532"/>
      <w:bookmarkEnd w:id="533"/>
      <w:r>
        <w:rPr>
          <w:rFonts w:hint="eastAsia" w:ascii="宋体" w:hAnsi="宋体" w:eastAsia="宋体" w:cs="宋体"/>
          <w:b/>
          <w:bCs/>
          <w:i w:val="0"/>
          <w:iCs w:val="0"/>
          <w:color w:val="auto"/>
          <w:sz w:val="24"/>
          <w:szCs w:val="24"/>
          <w:highlight w:val="none"/>
          <w:lang w:val="zh-CN"/>
        </w:rPr>
        <w:t>和分包</w:t>
      </w:r>
      <w:bookmarkEnd w:id="534"/>
      <w:bookmarkEnd w:id="535"/>
      <w:bookmarkEnd w:id="536"/>
      <w:bookmarkEnd w:id="537"/>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9"/>
        <w:rPr>
          <w:rFonts w:hint="eastAsia" w:ascii="宋体" w:hAnsi="宋体" w:eastAsia="宋体" w:cs="宋体"/>
          <w:b/>
          <w:bCs/>
          <w:i w:val="0"/>
          <w:iCs w:val="0"/>
          <w:color w:val="auto"/>
          <w:sz w:val="24"/>
          <w:szCs w:val="24"/>
          <w:highlight w:val="none"/>
          <w:lang w:val="zh-CN"/>
        </w:rPr>
      </w:pPr>
      <w:bookmarkStart w:id="538" w:name="_Toc17154"/>
      <w:bookmarkStart w:id="539" w:name="_Toc16508"/>
      <w:bookmarkStart w:id="540" w:name="_Toc14066"/>
      <w:bookmarkStart w:id="541" w:name="_Toc13566"/>
      <w:r>
        <w:rPr>
          <w:rFonts w:hint="eastAsia" w:ascii="宋体" w:hAnsi="宋体" w:eastAsia="宋体" w:cs="宋体"/>
          <w:b/>
          <w:bCs/>
          <w:i w:val="0"/>
          <w:iCs w:val="0"/>
          <w:color w:val="auto"/>
          <w:sz w:val="24"/>
          <w:szCs w:val="24"/>
          <w:highlight w:val="none"/>
          <w:lang w:val="zh-CN"/>
        </w:rPr>
        <w:t>2.11 不可抗力</w:t>
      </w:r>
      <w:bookmarkEnd w:id="538"/>
      <w:bookmarkEnd w:id="539"/>
      <w:bookmarkEnd w:id="540"/>
      <w:bookmarkEnd w:id="541"/>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2.11.1如果任何一方遭遇法律规定的不可抗力，致使合同履行受阻时，履行合同的期限应予延长，延长的期限应相当于不可抗力所影响的时间；</w:t>
      </w:r>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2.11.2因不可抗力致使不能实现合同目的的，当事人可以解除合同；</w:t>
      </w:r>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2.11.3因不可抗力致使合同有变更必要的，双方当事人应在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约定时间内以书面形式变更合同；</w:t>
      </w:r>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2.11.4受不可抗力影响的一方在不可抗力发生后，应在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约定时间内以书面形式通知对方当事人，并在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约定时间内，将有关部门出具的证明文件送达对方当事人。</w:t>
      </w:r>
    </w:p>
    <w:p>
      <w:pPr>
        <w:spacing w:line="360" w:lineRule="auto"/>
        <w:ind w:firstLine="437"/>
        <w:outlineLvl w:val="9"/>
        <w:rPr>
          <w:rFonts w:hint="eastAsia" w:ascii="宋体" w:hAnsi="宋体" w:eastAsia="宋体" w:cs="宋体"/>
          <w:b/>
          <w:bCs/>
          <w:i w:val="0"/>
          <w:iCs w:val="0"/>
          <w:color w:val="auto"/>
          <w:sz w:val="24"/>
          <w:szCs w:val="24"/>
          <w:highlight w:val="none"/>
          <w:lang w:val="zh-CN"/>
        </w:rPr>
      </w:pPr>
      <w:bookmarkStart w:id="542" w:name="_Toc259093684"/>
      <w:bookmarkStart w:id="543" w:name="_Toc19740"/>
      <w:bookmarkStart w:id="544" w:name="_Toc6969"/>
      <w:bookmarkStart w:id="545" w:name="_Toc689"/>
      <w:bookmarkStart w:id="546" w:name="_Toc487900365"/>
      <w:bookmarkStart w:id="547" w:name="_Toc279701255"/>
      <w:bookmarkStart w:id="548" w:name="_Toc30676"/>
      <w:r>
        <w:rPr>
          <w:rFonts w:hint="eastAsia" w:ascii="宋体" w:hAnsi="宋体" w:eastAsia="宋体" w:cs="宋体"/>
          <w:b/>
          <w:bCs/>
          <w:i w:val="0"/>
          <w:iCs w:val="0"/>
          <w:color w:val="auto"/>
          <w:sz w:val="24"/>
          <w:szCs w:val="24"/>
          <w:highlight w:val="none"/>
          <w:lang w:val="zh-CN"/>
        </w:rPr>
        <w:t>2.12 税费</w:t>
      </w:r>
      <w:bookmarkEnd w:id="542"/>
      <w:bookmarkEnd w:id="543"/>
      <w:bookmarkEnd w:id="544"/>
      <w:bookmarkEnd w:id="545"/>
      <w:bookmarkEnd w:id="546"/>
      <w:bookmarkEnd w:id="547"/>
      <w:bookmarkEnd w:id="548"/>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与合同有关的一切税费，均按照中华人民共和国法律的相关规定缴纳。</w:t>
      </w:r>
    </w:p>
    <w:p>
      <w:pPr>
        <w:spacing w:line="360" w:lineRule="auto"/>
        <w:ind w:firstLine="437"/>
        <w:outlineLvl w:val="9"/>
        <w:rPr>
          <w:rFonts w:hint="eastAsia" w:ascii="宋体" w:hAnsi="宋体" w:eastAsia="宋体" w:cs="宋体"/>
          <w:b/>
          <w:bCs/>
          <w:i w:val="0"/>
          <w:iCs w:val="0"/>
          <w:color w:val="auto"/>
          <w:sz w:val="24"/>
          <w:szCs w:val="24"/>
          <w:highlight w:val="none"/>
          <w:lang w:val="zh-CN"/>
        </w:rPr>
      </w:pPr>
      <w:bookmarkStart w:id="549" w:name="_Toc16959"/>
      <w:bookmarkStart w:id="550" w:name="_Toc7102"/>
      <w:bookmarkStart w:id="551" w:name="_Toc259093687"/>
      <w:bookmarkStart w:id="552" w:name="_Toc8588"/>
      <w:bookmarkStart w:id="553" w:name="_Toc279701258"/>
      <w:bookmarkStart w:id="554" w:name="_Toc487900368"/>
      <w:bookmarkStart w:id="555" w:name="_Toc8298"/>
      <w:r>
        <w:rPr>
          <w:rFonts w:hint="eastAsia" w:ascii="宋体" w:hAnsi="宋体" w:eastAsia="宋体" w:cs="宋体"/>
          <w:b/>
          <w:bCs/>
          <w:i w:val="0"/>
          <w:iCs w:val="0"/>
          <w:color w:val="auto"/>
          <w:sz w:val="24"/>
          <w:szCs w:val="24"/>
          <w:highlight w:val="none"/>
          <w:lang w:val="zh-CN"/>
        </w:rPr>
        <w:t>2.13 乙方破产</w:t>
      </w:r>
      <w:bookmarkEnd w:id="549"/>
      <w:bookmarkEnd w:id="550"/>
      <w:bookmarkEnd w:id="551"/>
      <w:bookmarkEnd w:id="552"/>
      <w:bookmarkEnd w:id="553"/>
      <w:bookmarkEnd w:id="554"/>
      <w:bookmarkEnd w:id="555"/>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9"/>
        <w:rPr>
          <w:rFonts w:hint="eastAsia" w:ascii="宋体" w:hAnsi="宋体" w:eastAsia="宋体" w:cs="宋体"/>
          <w:b/>
          <w:i w:val="0"/>
          <w:iCs w:val="0"/>
          <w:color w:val="auto"/>
          <w:sz w:val="24"/>
          <w:szCs w:val="24"/>
          <w:highlight w:val="none"/>
        </w:rPr>
      </w:pPr>
      <w:bookmarkStart w:id="556" w:name="_Toc6134"/>
      <w:bookmarkStart w:id="557" w:name="_Toc15387"/>
      <w:bookmarkStart w:id="558" w:name="_Toc29333"/>
      <w:bookmarkStart w:id="559" w:name="_Toc1334"/>
      <w:r>
        <w:rPr>
          <w:rFonts w:hint="eastAsia" w:ascii="宋体" w:hAnsi="宋体" w:eastAsia="宋体" w:cs="宋体"/>
          <w:b/>
          <w:bCs/>
          <w:i w:val="0"/>
          <w:iCs w:val="0"/>
          <w:color w:val="auto"/>
          <w:sz w:val="24"/>
          <w:szCs w:val="24"/>
          <w:highlight w:val="none"/>
          <w:lang w:val="zh-CN"/>
        </w:rPr>
        <w:t>2.14 合同中止、终止</w:t>
      </w:r>
      <w:bookmarkEnd w:id="556"/>
      <w:bookmarkEnd w:id="557"/>
      <w:bookmarkEnd w:id="558"/>
      <w:bookmarkEnd w:id="559"/>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2.14.1双方当事人不得擅自中止或者终止合同；</w:t>
      </w:r>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9"/>
        <w:rPr>
          <w:rFonts w:hint="eastAsia" w:ascii="宋体" w:hAnsi="宋体" w:eastAsia="宋体" w:cs="宋体"/>
          <w:b/>
          <w:bCs/>
          <w:i w:val="0"/>
          <w:iCs w:val="0"/>
          <w:color w:val="auto"/>
          <w:sz w:val="24"/>
          <w:szCs w:val="24"/>
          <w:highlight w:val="none"/>
          <w:lang w:val="zh-CN"/>
        </w:rPr>
      </w:pPr>
      <w:bookmarkStart w:id="560" w:name="_Toc6596"/>
      <w:bookmarkStart w:id="561" w:name="_Toc1125"/>
      <w:bookmarkStart w:id="562" w:name="_Toc19383"/>
      <w:bookmarkStart w:id="563" w:name="_Toc14563"/>
      <w:r>
        <w:rPr>
          <w:rFonts w:hint="eastAsia" w:ascii="宋体" w:hAnsi="宋体" w:eastAsia="宋体" w:cs="宋体"/>
          <w:b/>
          <w:bCs/>
          <w:i w:val="0"/>
          <w:iCs w:val="0"/>
          <w:color w:val="auto"/>
          <w:sz w:val="24"/>
          <w:szCs w:val="24"/>
          <w:highlight w:val="none"/>
          <w:lang w:val="zh-CN"/>
        </w:rPr>
        <w:t>2.15 检验和验收</w:t>
      </w:r>
      <w:bookmarkEnd w:id="560"/>
      <w:bookmarkEnd w:id="561"/>
      <w:bookmarkEnd w:id="562"/>
      <w:bookmarkEnd w:id="563"/>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2.15.1乙方按照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的约定，定期提交服务报告，甲方按照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的约定进行定期验收；</w:t>
      </w:r>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2.15.3检验和验收标准、程序等具体内容以及前述验收书的效力详见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bookmarkEnd w:id="527"/>
    <w:bookmarkEnd w:id="528"/>
    <w:bookmarkEnd w:id="529"/>
    <w:bookmarkEnd w:id="530"/>
    <w:p>
      <w:pPr>
        <w:spacing w:line="360" w:lineRule="auto"/>
        <w:ind w:firstLine="437"/>
        <w:outlineLvl w:val="9"/>
        <w:rPr>
          <w:rFonts w:hint="eastAsia" w:ascii="宋体" w:hAnsi="宋体" w:eastAsia="宋体" w:cs="宋体"/>
          <w:b/>
          <w:bCs/>
          <w:i w:val="0"/>
          <w:iCs w:val="0"/>
          <w:color w:val="auto"/>
          <w:sz w:val="24"/>
          <w:szCs w:val="24"/>
          <w:highlight w:val="none"/>
        </w:rPr>
      </w:pPr>
      <w:bookmarkStart w:id="564" w:name="_Toc259093692"/>
      <w:bookmarkStart w:id="565" w:name="_Toc10330"/>
      <w:bookmarkStart w:id="566" w:name="_Toc279701263"/>
      <w:bookmarkStart w:id="567" w:name="_Toc9826"/>
      <w:bookmarkStart w:id="568" w:name="_Toc487900373"/>
      <w:bookmarkStart w:id="569" w:name="_Toc12773"/>
      <w:bookmarkStart w:id="570" w:name="_Toc18567"/>
      <w:r>
        <w:rPr>
          <w:rFonts w:hint="eastAsia" w:ascii="宋体" w:hAnsi="宋体" w:eastAsia="宋体" w:cs="宋体"/>
          <w:b/>
          <w:bCs/>
          <w:i w:val="0"/>
          <w:iCs w:val="0"/>
          <w:color w:val="auto"/>
          <w:sz w:val="24"/>
          <w:szCs w:val="24"/>
          <w:highlight w:val="none"/>
        </w:rPr>
        <w:t xml:space="preserve">2.16 </w:t>
      </w:r>
      <w:r>
        <w:rPr>
          <w:rFonts w:hint="eastAsia" w:ascii="宋体" w:hAnsi="宋体" w:eastAsia="宋体" w:cs="宋体"/>
          <w:b/>
          <w:bCs/>
          <w:i w:val="0"/>
          <w:iCs w:val="0"/>
          <w:color w:val="auto"/>
          <w:sz w:val="24"/>
          <w:szCs w:val="24"/>
          <w:highlight w:val="none"/>
          <w:lang w:val="zh-CN"/>
        </w:rPr>
        <w:t>合同使用的文字和适用的法律</w:t>
      </w:r>
      <w:bookmarkEnd w:id="564"/>
      <w:bookmarkEnd w:id="565"/>
      <w:bookmarkEnd w:id="566"/>
      <w:bookmarkEnd w:id="567"/>
      <w:bookmarkEnd w:id="568"/>
      <w:bookmarkEnd w:id="569"/>
      <w:bookmarkEnd w:id="570"/>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2.16.1合同使用汉语</w:t>
      </w:r>
      <w:r>
        <w:rPr>
          <w:rFonts w:hint="eastAsia" w:cs="宋体"/>
          <w:i w:val="0"/>
          <w:iCs w:val="0"/>
          <w:color w:val="auto"/>
          <w:sz w:val="24"/>
          <w:szCs w:val="24"/>
          <w:highlight w:val="none"/>
          <w:lang w:eastAsia="zh-CN"/>
        </w:rPr>
        <w:t>书写</w:t>
      </w:r>
      <w:r>
        <w:rPr>
          <w:rFonts w:hint="eastAsia" w:ascii="宋体" w:hAnsi="宋体" w:eastAsia="宋体" w:cs="宋体"/>
          <w:i w:val="0"/>
          <w:iCs w:val="0"/>
          <w:color w:val="auto"/>
          <w:sz w:val="24"/>
          <w:szCs w:val="24"/>
          <w:highlight w:val="none"/>
        </w:rPr>
        <w:t>、变更和解释；</w:t>
      </w:r>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2.16.2合同适用中华人民共和国法律。</w:t>
      </w:r>
    </w:p>
    <w:p>
      <w:pPr>
        <w:spacing w:line="360" w:lineRule="auto"/>
        <w:ind w:firstLine="437"/>
        <w:outlineLvl w:val="9"/>
        <w:rPr>
          <w:rFonts w:hint="eastAsia" w:ascii="宋体" w:hAnsi="宋体" w:eastAsia="宋体" w:cs="宋体"/>
          <w:b/>
          <w:i w:val="0"/>
          <w:iCs w:val="0"/>
          <w:color w:val="auto"/>
          <w:sz w:val="24"/>
          <w:szCs w:val="24"/>
          <w:highlight w:val="none"/>
        </w:rPr>
      </w:pPr>
      <w:bookmarkStart w:id="571" w:name="_Toc279701264"/>
      <w:bookmarkStart w:id="572" w:name="_Toc16673"/>
      <w:bookmarkStart w:id="573" w:name="_Toc17354"/>
      <w:bookmarkStart w:id="574" w:name="_Toc3148"/>
      <w:bookmarkStart w:id="575" w:name="_Toc12004"/>
      <w:bookmarkStart w:id="576" w:name="_Toc259093693"/>
      <w:bookmarkStart w:id="577" w:name="_Toc487900374"/>
      <w:r>
        <w:rPr>
          <w:rFonts w:hint="eastAsia" w:ascii="宋体" w:hAnsi="宋体" w:eastAsia="宋体" w:cs="宋体"/>
          <w:b/>
          <w:bCs/>
          <w:i w:val="0"/>
          <w:iCs w:val="0"/>
          <w:color w:val="auto"/>
          <w:sz w:val="24"/>
          <w:szCs w:val="24"/>
          <w:highlight w:val="none"/>
          <w:lang w:val="zh-CN"/>
        </w:rPr>
        <w:t>2.17 履约保证金</w:t>
      </w:r>
      <w:bookmarkEnd w:id="571"/>
      <w:bookmarkEnd w:id="572"/>
      <w:bookmarkEnd w:id="573"/>
      <w:bookmarkEnd w:id="574"/>
      <w:bookmarkEnd w:id="575"/>
      <w:bookmarkEnd w:id="576"/>
    </w:p>
    <w:p>
      <w:pPr>
        <w:spacing w:line="360" w:lineRule="auto"/>
        <w:ind w:firstLine="435"/>
        <w:outlineLvl w:val="9"/>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2.17.1采购文件要求乙方提交履约保证金的，</w:t>
      </w:r>
      <w:r>
        <w:rPr>
          <w:rFonts w:hint="eastAsia" w:ascii="宋体" w:hAnsi="宋体" w:cs="宋体"/>
          <w:color w:val="auto"/>
          <w:kern w:val="2"/>
          <w:sz w:val="24"/>
          <w:szCs w:val="24"/>
          <w:highlight w:val="none"/>
          <w:lang w:val="en-US" w:eastAsia="zh-CN" w:bidi="ar-SA"/>
        </w:rPr>
        <w:t>乙方应在合同签订前按约定方式，以银行出具的银行保函、保兑支票、银行汇票、支票等形式，提交签约合同价10%的履约保证金</w:t>
      </w:r>
    </w:p>
    <w:p>
      <w:pPr>
        <w:spacing w:line="360" w:lineRule="auto"/>
        <w:ind w:firstLine="435"/>
        <w:outlineLvl w:val="9"/>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2.17.2</w:t>
      </w:r>
      <w:r>
        <w:rPr>
          <w:rFonts w:hint="eastAsia" w:cs="宋体"/>
          <w:i w:val="0"/>
          <w:iCs w:val="0"/>
          <w:color w:val="auto"/>
          <w:sz w:val="24"/>
          <w:szCs w:val="24"/>
          <w:highlight w:val="none"/>
          <w:lang w:val="en-US" w:eastAsia="zh-CN"/>
        </w:rPr>
        <w:t>中标人</w:t>
      </w:r>
      <w:r>
        <w:rPr>
          <w:rFonts w:hint="eastAsia" w:ascii="宋体" w:hAnsi="宋体" w:eastAsia="宋体" w:cs="宋体"/>
          <w:i w:val="0"/>
          <w:iCs w:val="0"/>
          <w:color w:val="auto"/>
          <w:sz w:val="24"/>
          <w:szCs w:val="24"/>
          <w:highlight w:val="none"/>
          <w:lang w:val="en-US" w:eastAsia="zh-CN"/>
        </w:rPr>
        <w:t>提供履约担保的形式、金额及期限的:</w:t>
      </w:r>
      <w:r>
        <w:rPr>
          <w:rFonts w:hint="eastAsia" w:cs="宋体"/>
          <w:i w:val="0"/>
          <w:iCs w:val="0"/>
          <w:color w:val="auto"/>
          <w:sz w:val="24"/>
          <w:szCs w:val="24"/>
          <w:highlight w:val="none"/>
          <w:lang w:val="en-US" w:eastAsia="zh-CN"/>
        </w:rPr>
        <w:t>中标人</w:t>
      </w:r>
      <w:r>
        <w:rPr>
          <w:rFonts w:hint="eastAsia" w:ascii="宋体" w:hAnsi="宋体" w:eastAsia="宋体" w:cs="宋体"/>
          <w:i w:val="0"/>
          <w:iCs w:val="0"/>
          <w:color w:val="auto"/>
          <w:sz w:val="24"/>
          <w:szCs w:val="24"/>
          <w:highlight w:val="none"/>
          <w:lang w:val="en-US" w:eastAsia="zh-CN"/>
        </w:rPr>
        <w:t>按签约合同总价款金额的10%向</w:t>
      </w:r>
      <w:r>
        <w:rPr>
          <w:rFonts w:hint="eastAsia" w:cs="宋体"/>
          <w:i w:val="0"/>
          <w:iCs w:val="0"/>
          <w:color w:val="auto"/>
          <w:sz w:val="24"/>
          <w:szCs w:val="24"/>
          <w:highlight w:val="none"/>
          <w:lang w:val="en-US" w:eastAsia="zh-CN"/>
        </w:rPr>
        <w:t>采购人</w:t>
      </w:r>
      <w:r>
        <w:rPr>
          <w:rFonts w:hint="eastAsia" w:ascii="宋体" w:hAnsi="宋体" w:eastAsia="宋体" w:cs="宋体"/>
          <w:i w:val="0"/>
          <w:iCs w:val="0"/>
          <w:color w:val="auto"/>
          <w:sz w:val="24"/>
          <w:szCs w:val="24"/>
          <w:highlight w:val="none"/>
          <w:lang w:val="en-US" w:eastAsia="zh-CN"/>
        </w:rPr>
        <w:t>缴纳履约保证金。中标通知书发出后七个工作日内一次性缴纳完毕。如未缴纳，</w:t>
      </w:r>
      <w:r>
        <w:rPr>
          <w:rFonts w:hint="eastAsia" w:cs="宋体"/>
          <w:i w:val="0"/>
          <w:iCs w:val="0"/>
          <w:color w:val="auto"/>
          <w:sz w:val="24"/>
          <w:szCs w:val="24"/>
          <w:highlight w:val="none"/>
          <w:lang w:val="en-US" w:eastAsia="zh-CN"/>
        </w:rPr>
        <w:t>采购人</w:t>
      </w:r>
      <w:r>
        <w:rPr>
          <w:rFonts w:hint="eastAsia" w:ascii="宋体" w:hAnsi="宋体" w:eastAsia="宋体" w:cs="宋体"/>
          <w:i w:val="0"/>
          <w:iCs w:val="0"/>
          <w:color w:val="auto"/>
          <w:sz w:val="24"/>
          <w:szCs w:val="24"/>
          <w:highlight w:val="none"/>
          <w:lang w:val="en-US" w:eastAsia="zh-CN"/>
        </w:rPr>
        <w:t>有权视为</w:t>
      </w:r>
      <w:r>
        <w:rPr>
          <w:rFonts w:hint="eastAsia" w:cs="宋体"/>
          <w:i w:val="0"/>
          <w:iCs w:val="0"/>
          <w:color w:val="auto"/>
          <w:sz w:val="24"/>
          <w:szCs w:val="24"/>
          <w:highlight w:val="none"/>
          <w:lang w:val="en-US" w:eastAsia="zh-CN"/>
        </w:rPr>
        <w:t>中标人</w:t>
      </w:r>
      <w:r>
        <w:rPr>
          <w:rFonts w:hint="eastAsia" w:ascii="宋体" w:hAnsi="宋体" w:eastAsia="宋体" w:cs="宋体"/>
          <w:i w:val="0"/>
          <w:iCs w:val="0"/>
          <w:color w:val="auto"/>
          <w:sz w:val="24"/>
          <w:szCs w:val="24"/>
          <w:highlight w:val="none"/>
          <w:lang w:val="en-US" w:eastAsia="zh-CN"/>
        </w:rPr>
        <w:t>自动放弃中标候选人资格，确定排名第二的中标候选人为中标人。排名第二的中标候选人因同样原因未缴纳，确定排名第三的中标候选人为中标人。</w:t>
      </w:r>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履约担保的合同有效期，从履约生效之日起，</w:t>
      </w:r>
      <w:r>
        <w:rPr>
          <w:rFonts w:hint="eastAsia" w:cs="宋体"/>
          <w:i w:val="0"/>
          <w:iCs w:val="0"/>
          <w:color w:val="auto"/>
          <w:sz w:val="24"/>
          <w:szCs w:val="24"/>
          <w:highlight w:val="none"/>
          <w:lang w:val="en-US" w:eastAsia="zh-CN"/>
        </w:rPr>
        <w:t>中标人</w:t>
      </w:r>
      <w:r>
        <w:rPr>
          <w:rFonts w:hint="eastAsia" w:ascii="宋体" w:hAnsi="宋体" w:eastAsia="宋体" w:cs="宋体"/>
          <w:i w:val="0"/>
          <w:iCs w:val="0"/>
          <w:color w:val="auto"/>
          <w:sz w:val="24"/>
          <w:szCs w:val="24"/>
          <w:highlight w:val="none"/>
          <w:lang w:val="en-US" w:eastAsia="zh-CN"/>
        </w:rPr>
        <w:t>履行完毕本合同项下全部义务之日止，</w:t>
      </w:r>
      <w:r>
        <w:rPr>
          <w:rFonts w:hint="eastAsia" w:cs="宋体"/>
          <w:i w:val="0"/>
          <w:iCs w:val="0"/>
          <w:color w:val="auto"/>
          <w:sz w:val="24"/>
          <w:szCs w:val="24"/>
          <w:highlight w:val="none"/>
          <w:lang w:val="en-US" w:eastAsia="zh-CN"/>
        </w:rPr>
        <w:t>中标人</w:t>
      </w:r>
      <w:r>
        <w:rPr>
          <w:rFonts w:hint="eastAsia" w:ascii="宋体" w:hAnsi="宋体" w:eastAsia="宋体" w:cs="宋体"/>
          <w:i w:val="0"/>
          <w:iCs w:val="0"/>
          <w:color w:val="auto"/>
          <w:sz w:val="24"/>
          <w:szCs w:val="24"/>
          <w:highlight w:val="none"/>
          <w:lang w:val="en-US" w:eastAsia="zh-CN"/>
        </w:rPr>
        <w:t>履行完毕本合同项下全部义务后[30</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个工作日后，该履约担保自动解除。担保期间，</w:t>
      </w:r>
      <w:r>
        <w:rPr>
          <w:rFonts w:hint="eastAsia" w:cs="宋体"/>
          <w:i w:val="0"/>
          <w:iCs w:val="0"/>
          <w:color w:val="auto"/>
          <w:sz w:val="24"/>
          <w:szCs w:val="24"/>
          <w:highlight w:val="none"/>
          <w:lang w:val="en-US" w:eastAsia="zh-CN"/>
        </w:rPr>
        <w:t>采购人</w:t>
      </w:r>
      <w:r>
        <w:rPr>
          <w:rFonts w:hint="eastAsia" w:ascii="宋体" w:hAnsi="宋体" w:eastAsia="宋体" w:cs="宋体"/>
          <w:i w:val="0"/>
          <w:iCs w:val="0"/>
          <w:color w:val="auto"/>
          <w:sz w:val="24"/>
          <w:szCs w:val="24"/>
          <w:highlight w:val="none"/>
          <w:lang w:val="en-US" w:eastAsia="zh-CN"/>
        </w:rPr>
        <w:t>无须承担该基本户银行保函项下资金的任何利息或其他应得利息。</w:t>
      </w:r>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77"/>
    <w:p>
      <w:pPr>
        <w:spacing w:line="360" w:lineRule="auto"/>
        <w:ind w:firstLine="437"/>
        <w:outlineLvl w:val="9"/>
        <w:rPr>
          <w:rFonts w:hint="eastAsia" w:ascii="宋体" w:hAnsi="宋体" w:eastAsia="宋体" w:cs="宋体"/>
          <w:b/>
          <w:i w:val="0"/>
          <w:iCs w:val="0"/>
          <w:color w:val="auto"/>
          <w:sz w:val="24"/>
          <w:szCs w:val="24"/>
          <w:highlight w:val="none"/>
        </w:rPr>
      </w:pPr>
      <w:bookmarkStart w:id="578" w:name="_Toc31625"/>
      <w:bookmarkStart w:id="579" w:name="_Toc6885"/>
      <w:bookmarkStart w:id="580" w:name="_Toc14001"/>
      <w:bookmarkStart w:id="581" w:name="_Toc19890"/>
      <w:r>
        <w:rPr>
          <w:rFonts w:hint="eastAsia" w:ascii="宋体" w:hAnsi="宋体" w:eastAsia="宋体" w:cs="宋体"/>
          <w:b/>
          <w:bCs/>
          <w:i w:val="0"/>
          <w:iCs w:val="0"/>
          <w:color w:val="auto"/>
          <w:sz w:val="24"/>
          <w:szCs w:val="24"/>
          <w:highlight w:val="none"/>
          <w:lang w:val="zh-CN"/>
        </w:rPr>
        <w:t>2.18 合同份数</w:t>
      </w:r>
      <w:bookmarkEnd w:id="578"/>
      <w:bookmarkEnd w:id="579"/>
      <w:bookmarkEnd w:id="580"/>
      <w:bookmarkEnd w:id="581"/>
    </w:p>
    <w:p>
      <w:pPr>
        <w:spacing w:line="360" w:lineRule="auto"/>
        <w:ind w:firstLine="435"/>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合同份数按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规定，每份均具有同等法律效力。</w:t>
      </w:r>
    </w:p>
    <w:p>
      <w:pPr>
        <w:spacing w:line="360" w:lineRule="auto"/>
        <w:jc w:val="center"/>
        <w:outlineLvl w:val="1"/>
        <w:rPr>
          <w:rFonts w:hint="eastAsia" w:ascii="宋体" w:hAnsi="宋体" w:eastAsia="宋体" w:cs="宋体"/>
          <w:b/>
          <w:color w:val="auto"/>
          <w:sz w:val="36"/>
          <w:szCs w:val="36"/>
          <w:highlight w:val="none"/>
        </w:rPr>
      </w:pPr>
      <w:r>
        <w:rPr>
          <w:rFonts w:cs="Times New Roman" w:asciiTheme="minorEastAsia" w:hAnsiTheme="minorEastAsia" w:eastAsiaTheme="minorEastAsia"/>
          <w:color w:val="auto"/>
          <w:sz w:val="24"/>
          <w:szCs w:val="24"/>
          <w:highlight w:val="none"/>
        </w:rPr>
        <w:br w:type="page"/>
      </w:r>
      <w:bookmarkStart w:id="582" w:name="_Toc21802"/>
      <w:bookmarkStart w:id="583" w:name="_Toc3736"/>
      <w:bookmarkStart w:id="584" w:name="_Toc7510"/>
      <w:bookmarkStart w:id="585" w:name="_Toc7126"/>
      <w:r>
        <w:rPr>
          <w:rFonts w:hint="eastAsia" w:ascii="宋体" w:hAnsi="宋体" w:eastAsia="宋体" w:cs="宋体"/>
          <w:b/>
          <w:color w:val="auto"/>
          <w:sz w:val="36"/>
          <w:szCs w:val="36"/>
          <w:highlight w:val="none"/>
        </w:rPr>
        <w:t>第三部分 合同专用条款</w:t>
      </w:r>
      <w:bookmarkEnd w:id="582"/>
      <w:bookmarkEnd w:id="583"/>
      <w:bookmarkEnd w:id="584"/>
      <w:bookmarkEnd w:id="585"/>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75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pPr>
              <w:spacing w:line="560" w:lineRule="exact"/>
              <w:rPr>
                <w:rFonts w:hint="eastAsia" w:ascii="宋体" w:hAnsi="宋体" w:eastAsia="宋体" w:cs="宋体"/>
                <w:color w:val="auto"/>
                <w:sz w:val="24"/>
                <w:szCs w:val="24"/>
                <w:highlight w:val="none"/>
              </w:rPr>
            </w:pPr>
          </w:p>
        </w:tc>
        <w:tc>
          <w:tcPr>
            <w:tcW w:w="7568" w:type="dxa"/>
            <w:vAlign w:val="center"/>
          </w:tcPr>
          <w:p>
            <w:pPr>
              <w:spacing w:line="560" w:lineRule="exact"/>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hint="eastAsia" w:ascii="宋体" w:hAnsi="宋体" w:eastAsia="宋体" w:cs="宋体"/>
                <w:color w:val="auto"/>
                <w:sz w:val="24"/>
                <w:szCs w:val="24"/>
                <w:highlight w:val="none"/>
              </w:rPr>
            </w:pPr>
          </w:p>
        </w:tc>
        <w:tc>
          <w:tcPr>
            <w:tcW w:w="7568" w:type="dxa"/>
            <w:vAlign w:val="center"/>
          </w:tcPr>
          <w:p>
            <w:pPr>
              <w:spacing w:line="560" w:lineRule="exact"/>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hint="eastAsia" w:ascii="宋体" w:hAnsi="宋体" w:eastAsia="宋体" w:cs="宋体"/>
                <w:color w:val="auto"/>
                <w:sz w:val="24"/>
                <w:szCs w:val="24"/>
                <w:highlight w:val="none"/>
              </w:rPr>
            </w:pPr>
          </w:p>
        </w:tc>
        <w:tc>
          <w:tcPr>
            <w:tcW w:w="7568" w:type="dxa"/>
            <w:vAlign w:val="center"/>
          </w:tcPr>
          <w:p>
            <w:pPr>
              <w:spacing w:line="560" w:lineRule="exact"/>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hint="eastAsia" w:ascii="宋体" w:hAnsi="宋体" w:eastAsia="宋体" w:cs="宋体"/>
                <w:color w:val="auto"/>
                <w:sz w:val="24"/>
                <w:szCs w:val="24"/>
                <w:highlight w:val="none"/>
              </w:rPr>
            </w:pPr>
          </w:p>
        </w:tc>
        <w:tc>
          <w:tcPr>
            <w:tcW w:w="7568" w:type="dxa"/>
            <w:vAlign w:val="center"/>
          </w:tcPr>
          <w:p>
            <w:pPr>
              <w:spacing w:line="560" w:lineRule="exact"/>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hint="eastAsia" w:ascii="宋体" w:hAnsi="宋体" w:eastAsia="宋体" w:cs="宋体"/>
                <w:color w:val="auto"/>
                <w:sz w:val="24"/>
                <w:szCs w:val="24"/>
                <w:highlight w:val="none"/>
              </w:rPr>
            </w:pPr>
          </w:p>
        </w:tc>
        <w:tc>
          <w:tcPr>
            <w:tcW w:w="7568" w:type="dxa"/>
            <w:vAlign w:val="center"/>
          </w:tcPr>
          <w:p>
            <w:pPr>
              <w:spacing w:line="560" w:lineRule="exact"/>
              <w:rPr>
                <w:rFonts w:hint="eastAsia" w:ascii="宋体" w:hAnsi="宋体" w:eastAsia="宋体" w:cs="宋体"/>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hint="eastAsia" w:ascii="宋体" w:hAnsi="宋体" w:eastAsia="宋体" w:cs="宋体"/>
                <w:color w:val="auto"/>
                <w:sz w:val="24"/>
                <w:szCs w:val="24"/>
                <w:highlight w:val="none"/>
              </w:rPr>
            </w:pPr>
          </w:p>
        </w:tc>
        <w:tc>
          <w:tcPr>
            <w:tcW w:w="7568" w:type="dxa"/>
            <w:vAlign w:val="center"/>
          </w:tcPr>
          <w:p>
            <w:pPr>
              <w:spacing w:line="560" w:lineRule="exact"/>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hint="eastAsia" w:ascii="宋体" w:hAnsi="宋体" w:eastAsia="宋体" w:cs="宋体"/>
                <w:color w:val="auto"/>
                <w:sz w:val="24"/>
                <w:szCs w:val="24"/>
                <w:highlight w:val="none"/>
              </w:rPr>
            </w:pPr>
          </w:p>
        </w:tc>
        <w:tc>
          <w:tcPr>
            <w:tcW w:w="7568" w:type="dxa"/>
            <w:vAlign w:val="center"/>
          </w:tcPr>
          <w:p>
            <w:pPr>
              <w:spacing w:line="560" w:lineRule="exact"/>
              <w:rPr>
                <w:rFonts w:hint="eastAsia" w:ascii="宋体" w:hAnsi="宋体" w:eastAsia="宋体" w:cs="宋体"/>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hint="eastAsia" w:ascii="宋体" w:hAnsi="宋体" w:eastAsia="宋体" w:cs="宋体"/>
                <w:color w:val="auto"/>
                <w:sz w:val="24"/>
                <w:szCs w:val="24"/>
                <w:highlight w:val="none"/>
              </w:rPr>
            </w:pPr>
          </w:p>
        </w:tc>
        <w:tc>
          <w:tcPr>
            <w:tcW w:w="7568" w:type="dxa"/>
            <w:vAlign w:val="center"/>
          </w:tcPr>
          <w:p>
            <w:pPr>
              <w:spacing w:line="560" w:lineRule="exact"/>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hint="eastAsia" w:ascii="宋体" w:hAnsi="宋体" w:eastAsia="宋体" w:cs="宋体"/>
                <w:color w:val="auto"/>
                <w:sz w:val="24"/>
                <w:szCs w:val="24"/>
                <w:highlight w:val="none"/>
              </w:rPr>
            </w:pPr>
          </w:p>
        </w:tc>
        <w:tc>
          <w:tcPr>
            <w:tcW w:w="7568" w:type="dxa"/>
            <w:vAlign w:val="center"/>
          </w:tcPr>
          <w:p>
            <w:pPr>
              <w:spacing w:line="560" w:lineRule="exact"/>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hint="eastAsia" w:ascii="宋体" w:hAnsi="宋体" w:eastAsia="宋体" w:cs="宋体"/>
                <w:color w:val="auto"/>
                <w:sz w:val="24"/>
                <w:szCs w:val="24"/>
                <w:highlight w:val="none"/>
              </w:rPr>
            </w:pPr>
          </w:p>
        </w:tc>
        <w:tc>
          <w:tcPr>
            <w:tcW w:w="7568" w:type="dxa"/>
            <w:vAlign w:val="center"/>
          </w:tcPr>
          <w:p>
            <w:pPr>
              <w:spacing w:line="560" w:lineRule="exact"/>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pPr>
              <w:spacing w:line="56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pPr>
              <w:spacing w:line="560" w:lineRule="exact"/>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pPr>
              <w:spacing w:line="560" w:lineRule="exact"/>
              <w:rPr>
                <w:rFonts w:hint="eastAsia" w:ascii="宋体" w:hAnsi="宋体" w:eastAsia="宋体" w:cs="宋体"/>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pPr>
              <w:spacing w:line="560" w:lineRule="exact"/>
              <w:rPr>
                <w:rFonts w:hint="eastAsia" w:ascii="宋体" w:hAnsi="宋体" w:eastAsia="宋体" w:cs="宋体"/>
                <w:color w:val="auto"/>
                <w:sz w:val="24"/>
                <w:szCs w:val="24"/>
                <w:highlight w:val="none"/>
              </w:rPr>
            </w:pPr>
          </w:p>
        </w:tc>
      </w:tr>
    </w:tbl>
    <w:p>
      <w:pPr>
        <w:spacing w:line="360" w:lineRule="auto"/>
        <w:rPr>
          <w:rFonts w:asciiTheme="minorEastAsia" w:hAnsiTheme="minorEastAsia" w:eastAsiaTheme="minorEastAsia"/>
          <w:color w:val="auto"/>
          <w:sz w:val="24"/>
          <w:highlight w:val="none"/>
        </w:rPr>
      </w:pPr>
    </w:p>
    <w:p>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bookmarkEnd w:id="406"/>
    <w:p>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2"/>
          <w:szCs w:val="32"/>
          <w:highlight w:val="none"/>
          <w:lang w:val="en-US" w:eastAsia="zh-CN" w:bidi="ar-SA"/>
        </w:rPr>
      </w:pPr>
      <w:bookmarkStart w:id="586" w:name="_Toc155185919"/>
      <w:bookmarkStart w:id="587" w:name="_Toc20007"/>
      <w:bookmarkStart w:id="588" w:name="_Toc15871"/>
      <w:r>
        <w:rPr>
          <w:rFonts w:hint="eastAsia" w:ascii="宋体" w:hAnsi="宋体" w:eastAsia="宋体" w:cs="宋体"/>
          <w:b/>
          <w:bCs/>
          <w:color w:val="auto"/>
          <w:kern w:val="44"/>
          <w:sz w:val="32"/>
          <w:szCs w:val="32"/>
          <w:highlight w:val="none"/>
          <w:lang w:val="en-US" w:eastAsia="zh-CN" w:bidi="ar-SA"/>
        </w:rPr>
        <w:t>第七章 投标文件格式</w:t>
      </w:r>
      <w:bookmarkEnd w:id="586"/>
      <w:bookmarkEnd w:id="587"/>
      <w:bookmarkEnd w:id="588"/>
    </w:p>
    <w:p>
      <w:pPr>
        <w:autoSpaceDE w:val="0"/>
        <w:autoSpaceDN w:val="0"/>
        <w:adjustRightInd w:val="0"/>
        <w:rPr>
          <w:color w:val="auto"/>
          <w:sz w:val="21"/>
          <w:szCs w:val="24"/>
          <w:highlight w:val="none"/>
        </w:rPr>
      </w:pPr>
    </w:p>
    <w:p>
      <w:pPr>
        <w:autoSpaceDE w:val="0"/>
        <w:autoSpaceDN w:val="0"/>
        <w:adjustRightInd w:val="0"/>
        <w:rPr>
          <w:color w:val="auto"/>
          <w:sz w:val="21"/>
          <w:szCs w:val="24"/>
          <w:highlight w:val="none"/>
        </w:rPr>
      </w:pPr>
    </w:p>
    <w:p>
      <w:pPr>
        <w:autoSpaceDE w:val="0"/>
        <w:autoSpaceDN w:val="0"/>
        <w:adjustRightInd w:val="0"/>
        <w:jc w:val="center"/>
        <w:rPr>
          <w:color w:val="auto"/>
          <w:sz w:val="21"/>
          <w:szCs w:val="24"/>
          <w:highlight w:val="none"/>
        </w:rPr>
      </w:pPr>
    </w:p>
    <w:p>
      <w:pPr>
        <w:bidi w:val="0"/>
        <w:jc w:val="center"/>
        <w:outlineLvl w:val="9"/>
        <w:rPr>
          <w:rFonts w:hint="eastAsia" w:ascii="宋体" w:hAnsi="宋体" w:eastAsia="宋体"/>
          <w:b/>
          <w:bCs/>
          <w:color w:val="auto"/>
          <w:sz w:val="32"/>
          <w:szCs w:val="32"/>
          <w:highlight w:val="none"/>
        </w:rPr>
      </w:pPr>
      <w:bookmarkStart w:id="589" w:name="_Toc20344"/>
      <w:r>
        <w:rPr>
          <w:rFonts w:hint="eastAsia" w:ascii="方正小标宋_GBK" w:hAnsi="方正小标宋_GBK" w:eastAsia="方正小标宋_GBK" w:cs="方正小标宋_GBK"/>
          <w:b/>
          <w:bCs/>
          <w:color w:val="auto"/>
          <w:sz w:val="44"/>
          <w:szCs w:val="44"/>
          <w:highlight w:val="none"/>
        </w:rPr>
        <w:t>投 标 文 件</w:t>
      </w:r>
      <w:bookmarkEnd w:id="589"/>
    </w:p>
    <w:p>
      <w:pPr>
        <w:autoSpaceDE w:val="0"/>
        <w:autoSpaceDN w:val="0"/>
        <w:adjustRightInd w:val="0"/>
        <w:rPr>
          <w:b/>
          <w:bCs/>
          <w:color w:val="auto"/>
          <w:sz w:val="22"/>
          <w:highlight w:val="none"/>
        </w:rPr>
      </w:pPr>
    </w:p>
    <w:p>
      <w:pPr>
        <w:autoSpaceDE w:val="0"/>
        <w:autoSpaceDN w:val="0"/>
        <w:adjustRightInd w:val="0"/>
        <w:jc w:val="center"/>
        <w:rPr>
          <w:rFonts w:hint="eastAsia" w:eastAsia="宋体"/>
          <w:color w:val="auto"/>
          <w:sz w:val="36"/>
          <w:szCs w:val="36"/>
          <w:highlight w:val="none"/>
          <w:lang w:eastAsia="zh-CN"/>
        </w:rPr>
      </w:pPr>
    </w:p>
    <w:p>
      <w:pPr>
        <w:pStyle w:val="36"/>
        <w:rPr>
          <w:rFonts w:hint="eastAsia" w:eastAsia="宋体"/>
          <w:color w:val="auto"/>
          <w:sz w:val="36"/>
          <w:szCs w:val="36"/>
          <w:highlight w:val="none"/>
          <w:lang w:eastAsia="zh-CN"/>
        </w:rPr>
      </w:pPr>
    </w:p>
    <w:p>
      <w:pPr>
        <w:pStyle w:val="36"/>
        <w:rPr>
          <w:rFonts w:hint="eastAsia" w:eastAsia="宋体"/>
          <w:color w:val="auto"/>
          <w:sz w:val="36"/>
          <w:szCs w:val="36"/>
          <w:highlight w:val="none"/>
          <w:lang w:eastAsia="zh-CN"/>
        </w:rPr>
      </w:pPr>
    </w:p>
    <w:p>
      <w:pPr>
        <w:pStyle w:val="36"/>
        <w:rPr>
          <w:rFonts w:hint="eastAsia" w:eastAsia="宋体"/>
          <w:color w:val="auto"/>
          <w:sz w:val="36"/>
          <w:szCs w:val="36"/>
          <w:highlight w:val="none"/>
          <w:lang w:eastAsia="zh-CN"/>
        </w:rPr>
      </w:pPr>
    </w:p>
    <w:p>
      <w:pPr>
        <w:pStyle w:val="36"/>
        <w:rPr>
          <w:rFonts w:hint="eastAsia" w:eastAsia="宋体"/>
          <w:color w:val="auto"/>
          <w:sz w:val="36"/>
          <w:szCs w:val="36"/>
          <w:highlight w:val="none"/>
          <w:lang w:eastAsia="zh-CN"/>
        </w:rPr>
      </w:pPr>
    </w:p>
    <w:p>
      <w:pPr>
        <w:pStyle w:val="36"/>
        <w:rPr>
          <w:rFonts w:hint="eastAsia" w:eastAsia="宋体"/>
          <w:color w:val="auto"/>
          <w:sz w:val="36"/>
          <w:szCs w:val="36"/>
          <w:highlight w:val="none"/>
          <w:lang w:eastAsia="zh-CN"/>
        </w:rPr>
      </w:pPr>
    </w:p>
    <w:p>
      <w:pPr>
        <w:autoSpaceDE w:val="0"/>
        <w:autoSpaceDN w:val="0"/>
        <w:adjustRightInd w:val="0"/>
        <w:rPr>
          <w:color w:val="auto"/>
          <w:sz w:val="21"/>
          <w:szCs w:val="21"/>
          <w:highlight w:val="none"/>
        </w:rPr>
      </w:pPr>
    </w:p>
    <w:p>
      <w:pPr>
        <w:autoSpaceDE w:val="0"/>
        <w:autoSpaceDN w:val="0"/>
        <w:adjustRightInd w:val="0"/>
        <w:rPr>
          <w:color w:val="auto"/>
          <w:sz w:val="21"/>
          <w:szCs w:val="21"/>
          <w:highlight w:val="none"/>
        </w:rPr>
      </w:pPr>
    </w:p>
    <w:p>
      <w:pPr>
        <w:autoSpaceDE w:val="0"/>
        <w:autoSpaceDN w:val="0"/>
        <w:adjustRightInd w:val="0"/>
        <w:rPr>
          <w:color w:val="auto"/>
          <w:sz w:val="21"/>
          <w:szCs w:val="21"/>
          <w:highlight w:val="none"/>
        </w:rPr>
      </w:pPr>
    </w:p>
    <w:p>
      <w:pPr>
        <w:keepNext w:val="0"/>
        <w:keepLines w:val="0"/>
        <w:pageBreakBefore w:val="0"/>
        <w:widowControl w:val="0"/>
        <w:kinsoku/>
        <w:wordWrap/>
        <w:overflowPunct/>
        <w:topLinePunct w:val="0"/>
        <w:autoSpaceDE/>
        <w:autoSpaceDN/>
        <w:bidi w:val="0"/>
        <w:adjustRightInd/>
        <w:snapToGrid/>
        <w:ind w:left="420" w:leftChars="175"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项目编号：</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ind w:left="420" w:leftChars="175"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项目名称：</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ind w:left="420" w:leftChars="175" w:firstLine="640" w:firstLineChars="200"/>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2"/>
          <w:szCs w:val="32"/>
          <w:highlight w:val="none"/>
        </w:rPr>
        <w:t>投</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标</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人：</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u w:val="single"/>
        </w:rPr>
        <w:t xml:space="preserve">         </w:t>
      </w:r>
    </w:p>
    <w:p>
      <w:pPr>
        <w:ind w:left="840" w:firstLine="420"/>
        <w:rPr>
          <w:b/>
          <w:bCs/>
          <w:color w:val="auto"/>
          <w:sz w:val="28"/>
          <w:szCs w:val="28"/>
          <w:highlight w:val="none"/>
        </w:rPr>
      </w:pPr>
    </w:p>
    <w:p>
      <w:pPr>
        <w:ind w:left="840" w:firstLine="420"/>
        <w:rPr>
          <w:b/>
          <w:bCs/>
          <w:color w:val="auto"/>
          <w:sz w:val="28"/>
          <w:szCs w:val="28"/>
          <w:highlight w:val="none"/>
        </w:rPr>
      </w:pPr>
    </w:p>
    <w:p>
      <w:pPr>
        <w:jc w:val="center"/>
        <w:rPr>
          <w:rFonts w:hint="eastAsia" w:ascii="宋体" w:hAnsi="宋体" w:eastAsia="宋体" w:cs="宋体"/>
          <w:color w:val="auto"/>
          <w:sz w:val="32"/>
          <w:szCs w:val="32"/>
          <w:highlight w:val="none"/>
        </w:rPr>
        <w:sectPr>
          <w:footerReference r:id="rId9" w:type="default"/>
          <w:pgSz w:w="11905" w:h="16838"/>
          <w:pgMar w:top="1587" w:right="1361" w:bottom="1474" w:left="1474" w:header="851" w:footer="992" w:gutter="0"/>
          <w:pgBorders>
            <w:top w:val="none" w:sz="0" w:space="0"/>
            <w:left w:val="none" w:sz="0" w:space="0"/>
            <w:bottom w:val="none" w:sz="0" w:space="0"/>
            <w:right w:val="none" w:sz="0" w:space="0"/>
          </w:pgBorders>
          <w:pgNumType w:fmt="numberInDash"/>
          <w:cols w:space="0" w:num="1"/>
          <w:rtlGutter w:val="0"/>
          <w:docGrid w:type="lines" w:linePitch="328" w:charSpace="0"/>
        </w:sectPr>
      </w:pPr>
      <w:r>
        <w:rPr>
          <w:rFonts w:hint="eastAsia" w:ascii="宋体" w:hAnsi="宋体" w:eastAsia="宋体" w:cs="宋体"/>
          <w:color w:val="auto"/>
          <w:sz w:val="32"/>
          <w:szCs w:val="32"/>
          <w:highlight w:val="none"/>
        </w:rPr>
        <w:t>年   月    日</w:t>
      </w:r>
    </w:p>
    <w:p>
      <w:pPr>
        <w:keepNext w:val="0"/>
        <w:keepLines w:val="0"/>
        <w:pageBreakBefore w:val="0"/>
        <w:widowControl w:val="0"/>
        <w:kinsoku/>
        <w:wordWrap/>
        <w:overflowPunct/>
        <w:topLinePunct w:val="0"/>
        <w:autoSpaceDE/>
        <w:autoSpaceDN/>
        <w:bidi w:val="0"/>
        <w:adjustRightInd/>
        <w:snapToGrid/>
        <w:jc w:val="center"/>
        <w:textAlignment w:val="auto"/>
        <w:rPr>
          <w:rFonts w:hint="default" w:cs="宋体"/>
          <w:i w:val="0"/>
          <w:iCs w:val="0"/>
          <w:color w:val="auto"/>
          <w:sz w:val="28"/>
          <w:szCs w:val="28"/>
          <w:highlight w:val="none"/>
          <w:lang w:val="en-US" w:eastAsia="zh-CN"/>
        </w:rPr>
      </w:pPr>
      <w:r>
        <w:rPr>
          <w:rFonts w:hint="eastAsia" w:cs="宋体"/>
          <w:i w:val="0"/>
          <w:iCs w:val="0"/>
          <w:color w:val="auto"/>
          <w:sz w:val="28"/>
          <w:szCs w:val="28"/>
          <w:highlight w:val="none"/>
          <w:lang w:val="en-US" w:eastAsia="zh-CN"/>
        </w:rPr>
        <w:t>目录</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cs="宋体"/>
          <w:i w:val="0"/>
          <w:iCs w:val="0"/>
          <w:color w:val="auto"/>
          <w:sz w:val="28"/>
          <w:szCs w:val="28"/>
          <w:highlight w:val="none"/>
          <w:lang w:val="en-US" w:eastAsia="zh-CN"/>
        </w:rPr>
      </w:pPr>
      <w:r>
        <w:rPr>
          <w:rFonts w:hint="eastAsia" w:cs="宋体"/>
          <w:i w:val="0"/>
          <w:iCs w:val="0"/>
          <w:color w:val="auto"/>
          <w:sz w:val="28"/>
          <w:szCs w:val="28"/>
          <w:highlight w:val="none"/>
          <w:lang w:val="en-US" w:eastAsia="zh-CN"/>
        </w:rPr>
        <w:t>资格证明文件</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cs="宋体"/>
          <w:i w:val="0"/>
          <w:iCs w:val="0"/>
          <w:color w:val="auto"/>
          <w:sz w:val="28"/>
          <w:szCs w:val="28"/>
          <w:highlight w:val="none"/>
          <w:lang w:val="en-US" w:eastAsia="zh-CN"/>
        </w:rPr>
      </w:pPr>
      <w:r>
        <w:rPr>
          <w:rFonts w:hint="eastAsia" w:cs="宋体"/>
          <w:i w:val="0"/>
          <w:iCs w:val="0"/>
          <w:color w:val="auto"/>
          <w:sz w:val="28"/>
          <w:szCs w:val="28"/>
          <w:highlight w:val="none"/>
          <w:lang w:val="en-US" w:eastAsia="zh-CN"/>
        </w:rPr>
        <w:t>一、投标函</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cs="宋体"/>
          <w:i w:val="0"/>
          <w:iCs w:val="0"/>
          <w:color w:val="auto"/>
          <w:sz w:val="28"/>
          <w:szCs w:val="28"/>
          <w:highlight w:val="none"/>
          <w:lang w:val="en-US" w:eastAsia="zh-CN"/>
        </w:rPr>
      </w:pPr>
      <w:r>
        <w:rPr>
          <w:rFonts w:hint="eastAsia" w:cs="宋体"/>
          <w:i w:val="0"/>
          <w:iCs w:val="0"/>
          <w:color w:val="auto"/>
          <w:sz w:val="28"/>
          <w:szCs w:val="28"/>
          <w:highlight w:val="none"/>
          <w:lang w:val="en-US" w:eastAsia="zh-CN"/>
        </w:rPr>
        <w:t>二、法定代表人（单位负责人）身份证明</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cs="宋体"/>
          <w:i w:val="0"/>
          <w:iCs w:val="0"/>
          <w:color w:val="auto"/>
          <w:sz w:val="28"/>
          <w:szCs w:val="28"/>
          <w:highlight w:val="none"/>
          <w:lang w:val="en-US" w:eastAsia="zh-CN"/>
        </w:rPr>
      </w:pPr>
      <w:r>
        <w:rPr>
          <w:rFonts w:hint="eastAsia" w:cs="宋体"/>
          <w:i w:val="0"/>
          <w:iCs w:val="0"/>
          <w:color w:val="auto"/>
          <w:sz w:val="28"/>
          <w:szCs w:val="28"/>
          <w:highlight w:val="none"/>
          <w:lang w:val="en-US" w:eastAsia="zh-CN"/>
        </w:rPr>
        <w:t>三、授权委托书</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cs="宋体"/>
          <w:i w:val="0"/>
          <w:iCs w:val="0"/>
          <w:color w:val="auto"/>
          <w:sz w:val="28"/>
          <w:szCs w:val="28"/>
          <w:highlight w:val="none"/>
          <w:lang w:val="en-US" w:eastAsia="zh-CN"/>
        </w:rPr>
      </w:pPr>
      <w:r>
        <w:rPr>
          <w:rFonts w:hint="eastAsia" w:cs="宋体"/>
          <w:i w:val="0"/>
          <w:iCs w:val="0"/>
          <w:color w:val="auto"/>
          <w:sz w:val="28"/>
          <w:szCs w:val="28"/>
          <w:highlight w:val="none"/>
          <w:lang w:val="en-US" w:eastAsia="zh-CN"/>
        </w:rPr>
        <w:t>四、开标一览表</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cs="宋体"/>
          <w:i w:val="0"/>
          <w:iCs w:val="0"/>
          <w:color w:val="auto"/>
          <w:sz w:val="28"/>
          <w:szCs w:val="28"/>
          <w:highlight w:val="none"/>
          <w:lang w:val="en-US" w:eastAsia="zh-CN"/>
        </w:rPr>
      </w:pPr>
      <w:r>
        <w:rPr>
          <w:rFonts w:hint="eastAsia" w:cs="宋体"/>
          <w:i w:val="0"/>
          <w:iCs w:val="0"/>
          <w:color w:val="auto"/>
          <w:sz w:val="28"/>
          <w:szCs w:val="28"/>
          <w:highlight w:val="none"/>
          <w:lang w:val="en-US" w:eastAsia="zh-CN"/>
        </w:rPr>
        <w:t>五、分项报价表</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cs="宋体"/>
          <w:i w:val="0"/>
          <w:iCs w:val="0"/>
          <w:color w:val="auto"/>
          <w:sz w:val="28"/>
          <w:szCs w:val="28"/>
          <w:highlight w:val="none"/>
          <w:lang w:val="en-US" w:eastAsia="zh-CN"/>
        </w:rPr>
      </w:pPr>
      <w:r>
        <w:rPr>
          <w:rFonts w:hint="eastAsia" w:cs="宋体"/>
          <w:i w:val="0"/>
          <w:iCs w:val="0"/>
          <w:color w:val="auto"/>
          <w:sz w:val="28"/>
          <w:szCs w:val="28"/>
          <w:highlight w:val="none"/>
          <w:lang w:val="en-US" w:eastAsia="zh-CN"/>
        </w:rPr>
        <w:t>六、关于资格的说明函</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cs="宋体"/>
          <w:i w:val="0"/>
          <w:iCs w:val="0"/>
          <w:color w:val="auto"/>
          <w:sz w:val="28"/>
          <w:szCs w:val="28"/>
          <w:highlight w:val="none"/>
          <w:lang w:val="en-US" w:eastAsia="zh-CN"/>
        </w:rPr>
      </w:pPr>
      <w:r>
        <w:rPr>
          <w:rFonts w:hint="eastAsia" w:cs="宋体"/>
          <w:i w:val="0"/>
          <w:iCs w:val="0"/>
          <w:color w:val="auto"/>
          <w:sz w:val="28"/>
          <w:szCs w:val="28"/>
          <w:highlight w:val="none"/>
          <w:lang w:val="en-US" w:eastAsia="zh-CN"/>
        </w:rPr>
        <w:t>七、政府采购投标人廉洁自律承诺书</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cs="宋体"/>
          <w:i w:val="0"/>
          <w:iCs w:val="0"/>
          <w:color w:val="auto"/>
          <w:sz w:val="28"/>
          <w:szCs w:val="28"/>
          <w:highlight w:val="none"/>
          <w:lang w:val="en-US" w:eastAsia="zh-CN"/>
        </w:rPr>
      </w:pPr>
      <w:r>
        <w:rPr>
          <w:rFonts w:hint="eastAsia" w:cs="宋体"/>
          <w:i w:val="0"/>
          <w:iCs w:val="0"/>
          <w:color w:val="auto"/>
          <w:sz w:val="28"/>
          <w:szCs w:val="28"/>
          <w:highlight w:val="none"/>
          <w:lang w:val="en-US" w:eastAsia="zh-CN"/>
        </w:rPr>
        <w:t>八、商务偏离表</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cs="宋体"/>
          <w:i w:val="0"/>
          <w:iCs w:val="0"/>
          <w:color w:val="auto"/>
          <w:sz w:val="28"/>
          <w:szCs w:val="28"/>
          <w:highlight w:val="none"/>
          <w:lang w:val="en-US" w:eastAsia="zh-CN"/>
        </w:rPr>
      </w:pPr>
      <w:r>
        <w:rPr>
          <w:rFonts w:hint="eastAsia" w:cs="宋体"/>
          <w:i w:val="0"/>
          <w:iCs w:val="0"/>
          <w:color w:val="auto"/>
          <w:sz w:val="28"/>
          <w:szCs w:val="28"/>
          <w:highlight w:val="none"/>
          <w:lang w:val="en-US" w:eastAsia="zh-CN"/>
        </w:rPr>
        <w:t>九、业绩证明文件</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cs="宋体"/>
          <w:i w:val="0"/>
          <w:iCs w:val="0"/>
          <w:color w:val="auto"/>
          <w:sz w:val="28"/>
          <w:szCs w:val="28"/>
          <w:highlight w:val="none"/>
          <w:lang w:val="en-US" w:eastAsia="zh-CN"/>
        </w:rPr>
      </w:pPr>
      <w:r>
        <w:rPr>
          <w:rFonts w:hint="eastAsia" w:cs="宋体"/>
          <w:i w:val="0"/>
          <w:iCs w:val="0"/>
          <w:color w:val="auto"/>
          <w:sz w:val="28"/>
          <w:szCs w:val="28"/>
          <w:highlight w:val="none"/>
          <w:lang w:val="en-US" w:eastAsia="zh-CN"/>
        </w:rPr>
        <w:t>十、拟派项目团队</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cs="宋体"/>
          <w:i w:val="0"/>
          <w:iCs w:val="0"/>
          <w:color w:val="auto"/>
          <w:sz w:val="28"/>
          <w:szCs w:val="28"/>
          <w:highlight w:val="none"/>
          <w:lang w:val="en-US" w:eastAsia="zh-CN"/>
        </w:rPr>
      </w:pPr>
      <w:r>
        <w:rPr>
          <w:rFonts w:hint="eastAsia" w:cs="宋体"/>
          <w:i w:val="0"/>
          <w:iCs w:val="0"/>
          <w:color w:val="auto"/>
          <w:sz w:val="28"/>
          <w:szCs w:val="28"/>
          <w:highlight w:val="none"/>
          <w:lang w:val="en-US" w:eastAsia="zh-CN"/>
        </w:rPr>
        <w:t>十一、技术响应偏离表</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cs="宋体"/>
          <w:i w:val="0"/>
          <w:iCs w:val="0"/>
          <w:color w:val="auto"/>
          <w:sz w:val="28"/>
          <w:szCs w:val="28"/>
          <w:highlight w:val="none"/>
          <w:lang w:val="en-US" w:eastAsia="zh-CN"/>
        </w:rPr>
      </w:pPr>
      <w:r>
        <w:rPr>
          <w:rFonts w:hint="eastAsia" w:cs="宋体"/>
          <w:i w:val="0"/>
          <w:iCs w:val="0"/>
          <w:color w:val="auto"/>
          <w:sz w:val="28"/>
          <w:szCs w:val="28"/>
          <w:highlight w:val="none"/>
          <w:lang w:val="en-US" w:eastAsia="zh-CN"/>
        </w:rPr>
        <w:t>十二、技术方案</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cs="宋体"/>
          <w:i w:val="0"/>
          <w:iCs w:val="0"/>
          <w:color w:val="auto"/>
          <w:sz w:val="28"/>
          <w:szCs w:val="28"/>
          <w:highlight w:val="none"/>
          <w:lang w:val="en-US" w:eastAsia="zh-CN"/>
        </w:rPr>
      </w:pPr>
      <w:r>
        <w:rPr>
          <w:rFonts w:hint="eastAsia" w:cs="宋体"/>
          <w:i w:val="0"/>
          <w:iCs w:val="0"/>
          <w:color w:val="auto"/>
          <w:sz w:val="28"/>
          <w:szCs w:val="28"/>
          <w:highlight w:val="none"/>
          <w:lang w:val="en-US" w:eastAsia="zh-CN"/>
        </w:rPr>
        <w:t>十三、其他文件</w:t>
      </w:r>
    </w:p>
    <w:p>
      <w:pPr>
        <w:pStyle w:val="36"/>
        <w:rPr>
          <w:rFonts w:hint="eastAsia" w:ascii="宋体" w:hAnsi="宋体" w:eastAsia="宋体" w:cs="宋体"/>
          <w:lang w:val="en-US" w:eastAsia="zh-CN"/>
        </w:rPr>
      </w:pPr>
      <w:r>
        <w:rPr>
          <w:rFonts w:hint="eastAsia" w:ascii="宋体" w:hAnsi="宋体" w:eastAsia="宋体" w:cs="宋体"/>
          <w:b/>
          <w:bCs/>
          <w:i w:val="0"/>
          <w:iCs w:val="0"/>
          <w:color w:val="auto"/>
          <w:sz w:val="28"/>
          <w:szCs w:val="28"/>
          <w:highlight w:val="none"/>
          <w:lang w:val="en-US" w:eastAsia="zh-CN"/>
        </w:rPr>
        <w:t>注：包括但不限于以上内容，编制目录、逐页标注连续页码</w:t>
      </w:r>
    </w:p>
    <w:p>
      <w:pPr>
        <w:pStyle w:val="36"/>
        <w:rPr>
          <w:rFonts w:hint="eastAsia"/>
          <w:lang w:val="en-US" w:eastAsia="zh-CN"/>
        </w:rPr>
        <w:sectPr>
          <w:pgSz w:w="11905" w:h="16838"/>
          <w:pgMar w:top="1587" w:right="1361" w:bottom="1474" w:left="1474" w:header="851" w:footer="992" w:gutter="0"/>
          <w:pgBorders>
            <w:top w:val="none" w:sz="0" w:space="0"/>
            <w:left w:val="none" w:sz="0" w:space="0"/>
            <w:bottom w:val="none" w:sz="0" w:space="0"/>
            <w:right w:val="none" w:sz="0" w:space="0"/>
          </w:pgBorders>
          <w:pgNumType w:fmt="numberInDash"/>
          <w:cols w:space="0" w:num="1"/>
          <w:rtlGutter w:val="0"/>
          <w:docGrid w:type="lines" w:linePitch="328" w:charSpace="0"/>
        </w:sectPr>
      </w:pPr>
    </w:p>
    <w:p>
      <w:pPr>
        <w:outlineLvl w:val="1"/>
        <w:rPr>
          <w:color w:val="auto"/>
          <w:highlight w:val="none"/>
          <w:lang w:val="zh-CN"/>
        </w:rPr>
      </w:pPr>
      <w:bookmarkStart w:id="590" w:name="_Toc17637"/>
      <w:r>
        <w:rPr>
          <w:rFonts w:hint="eastAsia" w:ascii="宋体" w:hAnsi="宋体" w:eastAsia="宋体"/>
          <w:b/>
          <w:bCs/>
          <w:color w:val="auto"/>
          <w:sz w:val="32"/>
          <w:szCs w:val="32"/>
          <w:highlight w:val="none"/>
        </w:rPr>
        <w:t>资格证明文件</w:t>
      </w:r>
      <w:bookmarkEnd w:id="590"/>
    </w:p>
    <w:p>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outlineLvl w:val="2"/>
        <w:rPr>
          <w:rFonts w:hint="eastAsia" w:eastAsia="宋体" w:asciiTheme="majorHAnsi" w:hAnsiTheme="majorHAnsi" w:cstheme="majorBidi"/>
          <w:b/>
          <w:bCs/>
          <w:color w:val="auto"/>
          <w:kern w:val="2"/>
          <w:sz w:val="28"/>
          <w:szCs w:val="28"/>
          <w:highlight w:val="none"/>
          <w:lang w:val="en-US" w:eastAsia="zh-CN" w:bidi="ar-SA"/>
        </w:rPr>
      </w:pPr>
      <w:bookmarkStart w:id="591" w:name="_Toc6767"/>
      <w:bookmarkStart w:id="592" w:name="_Toc325"/>
      <w:bookmarkStart w:id="593" w:name="_Toc155185927"/>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591"/>
      <w:bookmarkEnd w:id="592"/>
    </w:p>
    <w:bookmarkEnd w:id="593"/>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3"/>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w:t>
      </w:r>
      <w:r>
        <w:rPr>
          <w:rStyle w:val="45"/>
          <w:rFonts w:hint="eastAsia"/>
          <w:color w:val="auto"/>
          <w:sz w:val="28"/>
          <w:szCs w:val="28"/>
          <w:highlight w:val="none"/>
          <w:lang w:val="en-US" w:eastAsia="zh-CN"/>
        </w:rPr>
        <w:t>一）法人、其他组织或者自然人的证明文件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w:t>
      </w:r>
      <w:r>
        <w:rPr>
          <w:rFonts w:hint="eastAsia"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登记证书”等证明文件；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lang w:val="en-US" w:eastAsia="zh-CN"/>
        </w:rPr>
        <w:t>投标人是自然人的，应提供有效的自然人身份证明。</w:t>
      </w:r>
    </w:p>
    <w:p>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3"/>
        <w:rPr>
          <w:rStyle w:val="45"/>
          <w:rFonts w:hint="eastAsia" w:ascii="Times New Roman" w:hAnsi="Times New Roman" w:cs="Times New Roman"/>
          <w:color w:val="auto"/>
          <w:sz w:val="28"/>
          <w:szCs w:val="28"/>
          <w:highlight w:val="none"/>
          <w:lang w:val="en-US" w:eastAsia="zh-CN"/>
        </w:rPr>
      </w:pPr>
      <w:bookmarkStart w:id="594" w:name="_Toc24929"/>
      <w:bookmarkStart w:id="595" w:name="_Toc30693"/>
      <w:r>
        <w:rPr>
          <w:rStyle w:val="45"/>
          <w:rFonts w:hint="eastAsia" w:ascii="Times New Roman" w:hAnsi="Times New Roman" w:cs="Times New Roman"/>
          <w:color w:val="auto"/>
          <w:sz w:val="28"/>
          <w:szCs w:val="28"/>
          <w:highlight w:val="none"/>
          <w:lang w:val="en-US" w:eastAsia="zh-CN"/>
        </w:rPr>
        <w:t>（二）政府采购供应商信用承诺函</w:t>
      </w:r>
      <w:bookmarkEnd w:id="594"/>
      <w:bookmarkEnd w:id="595"/>
    </w:p>
    <w:p>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pPr>
        <w:spacing w:line="560" w:lineRule="exact"/>
        <w:ind w:firstLine="480" w:firstLineChars="200"/>
        <w:rPr>
          <w:rFonts w:hint="eastAsia" w:ascii="宋体" w:hAnsi="宋体" w:eastAsia="宋体" w:cs="宋体"/>
          <w:color w:val="auto"/>
          <w:kern w:val="0"/>
          <w:sz w:val="24"/>
          <w:szCs w:val="24"/>
          <w:highlight w:val="none"/>
        </w:rPr>
      </w:pPr>
    </w:p>
    <w:p>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r>
        <w:rPr>
          <w:rFonts w:hint="eastAsia" w:cs="宋体"/>
          <w:color w:val="auto"/>
          <w:kern w:val="0"/>
          <w:sz w:val="24"/>
          <w:szCs w:val="24"/>
          <w:highlight w:val="none"/>
          <w:lang w:eastAsia="zh-CN"/>
        </w:rPr>
        <w:t>；</w:t>
      </w:r>
    </w:p>
    <w:p>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r>
        <w:rPr>
          <w:rFonts w:hint="eastAsia" w:cs="宋体"/>
          <w:color w:val="auto"/>
          <w:kern w:val="0"/>
          <w:sz w:val="24"/>
          <w:szCs w:val="24"/>
          <w:highlight w:val="none"/>
          <w:lang w:eastAsia="zh-CN"/>
        </w:rPr>
        <w:t>；</w:t>
      </w:r>
    </w:p>
    <w:p>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r>
        <w:rPr>
          <w:rFonts w:hint="eastAsia" w:cs="宋体"/>
          <w:color w:val="auto"/>
          <w:kern w:val="0"/>
          <w:sz w:val="24"/>
          <w:szCs w:val="24"/>
          <w:highlight w:val="none"/>
          <w:lang w:eastAsia="zh-CN"/>
        </w:rPr>
        <w:t>；</w:t>
      </w:r>
    </w:p>
    <w:p>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r>
        <w:rPr>
          <w:rFonts w:hint="eastAsia" w:cs="宋体"/>
          <w:color w:val="auto"/>
          <w:kern w:val="0"/>
          <w:sz w:val="24"/>
          <w:szCs w:val="24"/>
          <w:highlight w:val="none"/>
          <w:lang w:eastAsia="zh-CN"/>
        </w:rPr>
        <w:t>；</w:t>
      </w:r>
    </w:p>
    <w:p>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r>
        <w:rPr>
          <w:rFonts w:hint="eastAsia" w:cs="宋体"/>
          <w:color w:val="auto"/>
          <w:kern w:val="0"/>
          <w:sz w:val="24"/>
          <w:szCs w:val="24"/>
          <w:highlight w:val="none"/>
          <w:lang w:eastAsia="zh-CN"/>
        </w:rPr>
        <w:t>；</w:t>
      </w:r>
    </w:p>
    <w:p>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w:t>
      </w:r>
      <w:r>
        <w:rPr>
          <w:rFonts w:hint="eastAsia" w:cs="宋体"/>
          <w:color w:val="auto"/>
          <w:kern w:val="0"/>
          <w:sz w:val="24"/>
          <w:szCs w:val="24"/>
          <w:highlight w:val="none"/>
          <w:lang w:eastAsia="zh-CN"/>
        </w:rPr>
        <w:t>七条</w:t>
      </w:r>
      <w:r>
        <w:rPr>
          <w:rFonts w:hint="eastAsia" w:ascii="宋体" w:hAnsi="宋体" w:eastAsia="宋体" w:cs="宋体"/>
          <w:color w:val="auto"/>
          <w:kern w:val="0"/>
          <w:sz w:val="24"/>
          <w:szCs w:val="24"/>
          <w:highlight w:val="none"/>
        </w:rPr>
        <w:t>、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560" w:lineRule="exact"/>
        <w:rPr>
          <w:rFonts w:hint="eastAsia" w:ascii="宋体" w:hAnsi="宋体" w:eastAsia="宋体" w:cs="宋体"/>
          <w:color w:val="auto"/>
          <w:kern w:val="0"/>
          <w:sz w:val="24"/>
          <w:szCs w:val="24"/>
          <w:highlight w:val="none"/>
        </w:rPr>
      </w:pPr>
    </w:p>
    <w:p>
      <w:pPr>
        <w:spacing w:line="560" w:lineRule="exact"/>
        <w:rPr>
          <w:rFonts w:hint="eastAsia" w:ascii="宋体" w:hAnsi="宋体" w:eastAsia="宋体" w:cs="宋体"/>
          <w:color w:val="auto"/>
          <w:kern w:val="0"/>
          <w:sz w:val="24"/>
          <w:szCs w:val="24"/>
          <w:highlight w:val="none"/>
        </w:rPr>
      </w:pPr>
    </w:p>
    <w:p>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widowControl/>
        <w:spacing w:line="560" w:lineRule="exact"/>
        <w:ind w:firstLine="630"/>
        <w:jc w:val="left"/>
        <w:rPr>
          <w:rFonts w:hint="eastAsia" w:ascii="宋体" w:hAnsi="宋体" w:eastAsia="宋体" w:cs="宋体"/>
          <w:color w:val="auto"/>
          <w:kern w:val="0"/>
          <w:sz w:val="24"/>
          <w:szCs w:val="24"/>
          <w:highlight w:val="none"/>
        </w:rPr>
      </w:pPr>
    </w:p>
    <w:p>
      <w:pPr>
        <w:rPr>
          <w:rFonts w:ascii="Arial" w:hAnsi="Arial" w:cs="Arial"/>
          <w:color w:val="auto"/>
          <w:szCs w:val="21"/>
          <w:highlight w:val="none"/>
        </w:rPr>
      </w:pPr>
      <w:r>
        <w:rPr>
          <w:rFonts w:ascii="Arial" w:hAnsi="Arial" w:cs="Arial"/>
          <w:color w:val="auto"/>
          <w:szCs w:val="21"/>
          <w:highlight w:val="none"/>
        </w:rPr>
        <w:br w:type="page"/>
      </w:r>
    </w:p>
    <w:p>
      <w:pPr>
        <w:outlineLvl w:val="3"/>
        <w:rPr>
          <w:rFonts w:hint="eastAsia" w:ascii="Arial" w:hAnsi="Arial" w:cs="Arial"/>
          <w:i w:val="0"/>
          <w:iCs w:val="0"/>
          <w:color w:val="auto"/>
          <w:szCs w:val="21"/>
          <w:highlight w:val="none"/>
          <w:lang w:eastAsia="zh-CN"/>
        </w:rPr>
      </w:pPr>
      <w:bookmarkStart w:id="596" w:name="_Toc109900336"/>
      <w:bookmarkStart w:id="597" w:name="_Toc163492923"/>
      <w:bookmarkStart w:id="598" w:name="_Toc3502"/>
      <w:bookmarkStart w:id="599" w:name="_Toc140132840"/>
      <w:bookmarkStart w:id="600" w:name="_Toc109899917"/>
      <w:bookmarkStart w:id="601" w:name="_Toc109899498"/>
      <w:bookmarkStart w:id="602" w:name="_Toc21134"/>
      <w:bookmarkStart w:id="603" w:name="_Toc155185930"/>
      <w:r>
        <w:rPr>
          <w:rFonts w:hint="eastAsia" w:ascii="Arial" w:hAnsi="Arial" w:cs="Arial"/>
          <w:i w:val="0"/>
          <w:iCs w:val="0"/>
          <w:color w:val="auto"/>
          <w:szCs w:val="21"/>
          <w:highlight w:val="none"/>
          <w:lang w:eastAsia="zh-CN"/>
        </w:rPr>
        <w:t>（</w:t>
      </w:r>
      <w:r>
        <w:rPr>
          <w:rFonts w:hint="eastAsia" w:ascii="Arial" w:hAnsi="Arial" w:cs="Arial"/>
          <w:i w:val="0"/>
          <w:iCs w:val="0"/>
          <w:color w:val="auto"/>
          <w:szCs w:val="21"/>
          <w:highlight w:val="none"/>
          <w:lang w:val="en-US" w:eastAsia="zh-CN"/>
        </w:rPr>
        <w:t>三</w:t>
      </w:r>
      <w:r>
        <w:rPr>
          <w:rFonts w:hint="eastAsia" w:ascii="Arial" w:hAnsi="Arial" w:cs="Arial"/>
          <w:i w:val="0"/>
          <w:iCs w:val="0"/>
          <w:color w:val="auto"/>
          <w:szCs w:val="21"/>
          <w:highlight w:val="none"/>
          <w:lang w:eastAsia="zh-CN"/>
        </w:rPr>
        <w:t>）</w:t>
      </w:r>
      <w:r>
        <w:rPr>
          <w:rFonts w:hint="eastAsia" w:ascii="宋体" w:hAnsi="宋体" w:cstheme="minorBidi"/>
          <w:b/>
          <w:bCs/>
          <w:i w:val="0"/>
          <w:iCs w:val="0"/>
          <w:color w:val="auto"/>
          <w:sz w:val="28"/>
          <w:szCs w:val="28"/>
          <w:highlight w:val="none"/>
          <w:lang w:eastAsia="zh-CN"/>
        </w:rPr>
        <w:t>具有良好的商业信誉和健全的财务会计制度</w:t>
      </w:r>
    </w:p>
    <w:p>
      <w:pPr>
        <w:rPr>
          <w:rFonts w:hint="eastAsia" w:ascii="Arial" w:hAnsi="Arial" w:cs="Arial"/>
          <w:i w:val="0"/>
          <w:iCs w:val="0"/>
          <w:color w:val="auto"/>
          <w:szCs w:val="21"/>
          <w:highlight w:val="none"/>
          <w:lang w:eastAsia="zh-CN"/>
        </w:rPr>
      </w:pPr>
      <w:r>
        <w:rPr>
          <w:rFonts w:hint="eastAsia" w:ascii="Arial" w:hAnsi="Arial" w:cs="Arial"/>
          <w:i w:val="0"/>
          <w:iCs w:val="0"/>
          <w:color w:val="auto"/>
          <w:szCs w:val="21"/>
          <w:highlight w:val="none"/>
          <w:lang w:eastAsia="zh-CN"/>
        </w:rPr>
        <w:t>具有良好的商业信誉和健全的财务会计制度</w:t>
      </w:r>
      <w:r>
        <w:rPr>
          <w:rFonts w:hint="eastAsia" w:ascii="Arial" w:hAnsi="Arial" w:cs="Arial"/>
          <w:i w:val="0"/>
          <w:iCs w:val="0"/>
          <w:color w:val="auto"/>
          <w:szCs w:val="21"/>
          <w:highlight w:val="none"/>
          <w:lang w:eastAsia="zh-CN"/>
        </w:rPr>
        <w:tab/>
      </w:r>
      <w:r>
        <w:rPr>
          <w:rFonts w:hint="eastAsia" w:ascii="Arial" w:hAnsi="Arial" w:cs="Arial"/>
          <w:i w:val="0"/>
          <w:iCs w:val="0"/>
          <w:color w:val="auto"/>
          <w:szCs w:val="21"/>
          <w:highlight w:val="none"/>
          <w:lang w:eastAsia="zh-CN"/>
        </w:rPr>
        <w:t>：提供2025年或2026年经审计的财务审计报告复印件加盖公章（报告中须包括资产负债表、利润表、现金流量表等）或基本开户银行在投标截止日前三个月内开具的资信证明（银行存款证明无效）并附基本账户开户许可证（或基本账户存款信息）。</w:t>
      </w:r>
    </w:p>
    <w:p>
      <w:pPr>
        <w:rPr>
          <w:rFonts w:hint="eastAsia" w:ascii="Arial" w:hAnsi="Arial" w:cs="Arial"/>
          <w:i w:val="0"/>
          <w:iCs w:val="0"/>
          <w:color w:val="auto"/>
          <w:szCs w:val="21"/>
          <w:highlight w:val="none"/>
          <w:lang w:eastAsia="zh-CN"/>
        </w:rPr>
      </w:pPr>
      <w:r>
        <w:rPr>
          <w:rFonts w:hint="eastAsia" w:ascii="Arial" w:hAnsi="Arial" w:cs="Arial"/>
          <w:i w:val="0"/>
          <w:iCs w:val="0"/>
          <w:color w:val="auto"/>
          <w:szCs w:val="21"/>
          <w:highlight w:val="none"/>
          <w:lang w:eastAsia="zh-CN"/>
        </w:rPr>
        <w:br w:type="page"/>
      </w:r>
    </w:p>
    <w:p>
      <w:pPr>
        <w:outlineLvl w:val="3"/>
        <w:rPr>
          <w:rFonts w:hint="eastAsia" w:ascii="宋体" w:hAnsi="宋体" w:cstheme="minorBidi"/>
          <w:b/>
          <w:bCs/>
          <w:i w:val="0"/>
          <w:iCs w:val="0"/>
          <w:color w:val="auto"/>
          <w:sz w:val="28"/>
          <w:szCs w:val="28"/>
          <w:highlight w:val="none"/>
          <w:lang w:eastAsia="zh-CN"/>
        </w:rPr>
      </w:pPr>
      <w:r>
        <w:rPr>
          <w:rFonts w:hint="eastAsia" w:cstheme="minorBidi"/>
          <w:b/>
          <w:bCs/>
          <w:i w:val="0"/>
          <w:iCs w:val="0"/>
          <w:color w:val="auto"/>
          <w:sz w:val="28"/>
          <w:szCs w:val="28"/>
          <w:highlight w:val="none"/>
          <w:lang w:val="en-US" w:eastAsia="zh-CN"/>
        </w:rPr>
        <w:t>（四）</w:t>
      </w:r>
      <w:r>
        <w:rPr>
          <w:rFonts w:hint="eastAsia" w:ascii="宋体" w:hAnsi="宋体" w:cstheme="minorBidi"/>
          <w:b/>
          <w:bCs/>
          <w:i w:val="0"/>
          <w:iCs w:val="0"/>
          <w:color w:val="auto"/>
          <w:sz w:val="28"/>
          <w:szCs w:val="28"/>
          <w:highlight w:val="none"/>
          <w:lang w:eastAsia="zh-CN"/>
        </w:rPr>
        <w:t>有依法缴纳税收和社会保障资金的良好记录</w:t>
      </w:r>
    </w:p>
    <w:p>
      <w:pPr>
        <w:rPr>
          <w:rFonts w:hint="eastAsia" w:ascii="Arial" w:hAnsi="Arial" w:cs="Arial"/>
          <w:i w:val="0"/>
          <w:iCs w:val="0"/>
          <w:color w:val="auto"/>
          <w:szCs w:val="21"/>
          <w:highlight w:val="none"/>
          <w:lang w:eastAsia="zh-CN"/>
        </w:rPr>
      </w:pPr>
      <w:r>
        <w:rPr>
          <w:rFonts w:hint="eastAsia" w:ascii="Arial" w:hAnsi="Arial" w:cs="Arial"/>
          <w:i w:val="0"/>
          <w:iCs w:val="0"/>
          <w:color w:val="auto"/>
          <w:szCs w:val="21"/>
          <w:highlight w:val="none"/>
          <w:lang w:eastAsia="zh-CN"/>
        </w:rPr>
        <w:t>有依法缴纳税收和社会保障资金的良好记录：</w:t>
      </w:r>
      <w:r>
        <w:rPr>
          <w:rFonts w:hint="eastAsia" w:ascii="Arial" w:hAnsi="Arial" w:cs="Arial"/>
          <w:i w:val="0"/>
          <w:iCs w:val="0"/>
          <w:color w:val="auto"/>
          <w:szCs w:val="21"/>
          <w:highlight w:val="none"/>
          <w:lang w:eastAsia="zh-CN"/>
        </w:rPr>
        <w:tab/>
      </w:r>
      <w:r>
        <w:rPr>
          <w:rFonts w:hint="eastAsia" w:ascii="Arial" w:hAnsi="Arial" w:cs="Arial"/>
          <w:i w:val="0"/>
          <w:iCs w:val="0"/>
          <w:color w:val="auto"/>
          <w:szCs w:val="21"/>
          <w:highlight w:val="none"/>
          <w:lang w:eastAsia="zh-CN"/>
        </w:rPr>
        <w:t>提供近六个月内任意一个月的依法缴税凭据和缴纳社会保险的凭据复印件并加盖公章（依法免税或免缴社保的，提供依法免税或免缴社保的相关证明材料复印件并加盖公章）；</w:t>
      </w:r>
    </w:p>
    <w:p>
      <w:pPr>
        <w:rPr>
          <w:rFonts w:hint="eastAsia"/>
          <w:color w:val="auto"/>
          <w:sz w:val="28"/>
          <w:szCs w:val="28"/>
          <w:highlight w:val="none"/>
          <w:lang w:val="en-US" w:eastAsia="zh-CN"/>
        </w:rPr>
      </w:pPr>
      <w:r>
        <w:rPr>
          <w:rFonts w:hint="eastAsia"/>
          <w:color w:val="auto"/>
          <w:sz w:val="28"/>
          <w:szCs w:val="28"/>
          <w:highlight w:val="none"/>
          <w:lang w:val="en-US" w:eastAsia="zh-CN"/>
        </w:rPr>
        <w:br w:type="page"/>
      </w:r>
    </w:p>
    <w:bookmarkEnd w:id="596"/>
    <w:bookmarkEnd w:id="597"/>
    <w:bookmarkEnd w:id="598"/>
    <w:bookmarkEnd w:id="599"/>
    <w:bookmarkEnd w:id="600"/>
    <w:bookmarkEnd w:id="601"/>
    <w:bookmarkEnd w:id="602"/>
    <w:bookmarkEnd w:id="603"/>
    <w:p>
      <w:pPr>
        <w:pStyle w:val="4"/>
        <w:bidi w:val="0"/>
        <w:outlineLvl w:val="2"/>
        <w:rPr>
          <w:rFonts w:hint="eastAsia"/>
          <w:color w:val="auto"/>
          <w:sz w:val="28"/>
          <w:szCs w:val="28"/>
          <w:highlight w:val="none"/>
          <w:lang w:val="en-US" w:eastAsia="zh-CN"/>
        </w:rPr>
      </w:pPr>
      <w:bookmarkStart w:id="604" w:name="_Toc155185932"/>
      <w:bookmarkStart w:id="605" w:name="_Toc163492926"/>
      <w:bookmarkStart w:id="606" w:name="_Toc14524"/>
      <w:bookmarkStart w:id="607" w:name="_Toc30866"/>
      <w:r>
        <w:rPr>
          <w:rFonts w:hint="eastAsia"/>
          <w:color w:val="auto"/>
          <w:sz w:val="28"/>
          <w:szCs w:val="28"/>
          <w:highlight w:val="none"/>
          <w:lang w:val="en-US" w:eastAsia="zh-CN"/>
        </w:rPr>
        <w:t>二、</w:t>
      </w:r>
      <w:bookmarkEnd w:id="604"/>
      <w:bookmarkEnd w:id="605"/>
      <w:r>
        <w:rPr>
          <w:rFonts w:hint="eastAsia"/>
          <w:color w:val="auto"/>
          <w:sz w:val="28"/>
          <w:szCs w:val="28"/>
          <w:highlight w:val="none"/>
          <w:lang w:val="en-US" w:eastAsia="zh-CN"/>
        </w:rPr>
        <w:t>落实政府采购政策相关证明文件</w:t>
      </w:r>
      <w:bookmarkEnd w:id="606"/>
      <w:bookmarkEnd w:id="607"/>
    </w:p>
    <w:p>
      <w:pPr>
        <w:pStyle w:val="39"/>
        <w:numPr>
          <w:ilvl w:val="0"/>
          <w:numId w:val="0"/>
        </w:numPr>
        <w:ind w:left="420" w:leftChars="0" w:hanging="420" w:firstLineChars="0"/>
        <w:jc w:val="center"/>
        <w:outlineLvl w:val="3"/>
        <w:rPr>
          <w:b/>
          <w:bCs/>
          <w:color w:val="auto"/>
          <w:sz w:val="32"/>
          <w:szCs w:val="32"/>
          <w:highlight w:val="none"/>
        </w:rPr>
      </w:pPr>
      <w:r>
        <w:rPr>
          <w:rFonts w:hint="eastAsia"/>
          <w:b/>
          <w:bCs/>
          <w:color w:val="auto"/>
          <w:sz w:val="32"/>
          <w:szCs w:val="32"/>
          <w:highlight w:val="none"/>
        </w:rPr>
        <w:t>中小企业声明函</w:t>
      </w:r>
    </w:p>
    <w:p>
      <w:pPr>
        <w:ind w:firstLine="504" w:firstLineChars="200"/>
        <w:rPr>
          <w:rFonts w:hint="eastAsia"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采购活动，服务全部由符合政策要求的中小企业承接。相关企业（含联合体中的中小企业、签订分包意向协议的中小企业）的具体情况如下：</w:t>
      </w:r>
    </w:p>
    <w:p>
      <w:pPr>
        <w:ind w:firstLine="504" w:firstLineChars="200"/>
        <w:rPr>
          <w:rFonts w:hint="eastAsia" w:cs="宋体"/>
          <w:color w:val="auto"/>
          <w:spacing w:val="6"/>
          <w:szCs w:val="24"/>
          <w:highlight w:val="none"/>
        </w:rPr>
      </w:pPr>
      <w:r>
        <w:rPr>
          <w:rFonts w:hint="eastAsia" w:cs="宋体"/>
          <w:color w:val="auto"/>
          <w:spacing w:val="6"/>
          <w:szCs w:val="24"/>
          <w:highlight w:val="none"/>
        </w:rPr>
        <w:t xml:space="preserve">1. </w:t>
      </w:r>
      <w:r>
        <w:rPr>
          <w:rFonts w:hint="eastAsia" w:cs="宋体"/>
          <w:color w:val="auto"/>
          <w:spacing w:val="6"/>
          <w:szCs w:val="24"/>
          <w:highlight w:val="none"/>
          <w:u w:val="single"/>
        </w:rPr>
        <w:t xml:space="preserve">（标的名称）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pPr>
        <w:ind w:firstLine="504" w:firstLineChars="200"/>
        <w:rPr>
          <w:rFonts w:hint="eastAsia"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w:t>
      </w:r>
      <w:r>
        <w:rPr>
          <w:rFonts w:hint="eastAsia" w:cs="宋体"/>
          <w:color w:val="auto"/>
          <w:spacing w:val="6"/>
          <w:szCs w:val="24"/>
          <w:highlight w:val="none"/>
        </w:rPr>
        <w:t xml:space="preserve"> ，属于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pPr>
        <w:ind w:firstLine="504" w:firstLineChars="200"/>
        <w:rPr>
          <w:rFonts w:hint="eastAsia" w:cs="宋体"/>
          <w:color w:val="auto"/>
          <w:spacing w:val="6"/>
          <w:szCs w:val="24"/>
          <w:highlight w:val="none"/>
        </w:rPr>
      </w:pPr>
      <w:r>
        <w:rPr>
          <w:rFonts w:hint="eastAsia" w:cs="宋体"/>
          <w:color w:val="auto"/>
          <w:spacing w:val="6"/>
          <w:szCs w:val="24"/>
          <w:highlight w:val="none"/>
        </w:rPr>
        <w:t>……</w:t>
      </w:r>
    </w:p>
    <w:p>
      <w:pPr>
        <w:ind w:firstLine="504" w:firstLineChars="200"/>
        <w:rPr>
          <w:rFonts w:hint="eastAsia"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pPr>
        <w:ind w:firstLine="504" w:firstLineChars="200"/>
        <w:rPr>
          <w:rFonts w:hint="eastAsia"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pPr>
        <w:ind w:firstLine="504" w:firstLineChars="200"/>
        <w:rPr>
          <w:rFonts w:cs="宋体"/>
          <w:color w:val="auto"/>
          <w:spacing w:val="6"/>
          <w:szCs w:val="24"/>
          <w:highlight w:val="none"/>
        </w:rPr>
      </w:pPr>
    </w:p>
    <w:p>
      <w:pPr>
        <w:ind w:right="1008" w:firstLine="4788" w:firstLineChars="1900"/>
        <w:rPr>
          <w:rFonts w:cs="宋体"/>
          <w:color w:val="auto"/>
          <w:spacing w:val="6"/>
          <w:szCs w:val="24"/>
          <w:highlight w:val="none"/>
        </w:rPr>
      </w:pPr>
    </w:p>
    <w:p>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宋体"/>
          <w:color w:val="auto"/>
          <w:spacing w:val="6"/>
          <w:szCs w:val="24"/>
          <w:highlight w:val="none"/>
        </w:rPr>
        <w:t>：</w:t>
      </w:r>
    </w:p>
    <w:p>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pPr>
        <w:ind w:firstLine="504" w:firstLineChars="200"/>
        <w:rPr>
          <w:rFonts w:cs="宋体"/>
          <w:color w:val="auto"/>
          <w:spacing w:val="6"/>
          <w:szCs w:val="24"/>
          <w:highlight w:val="none"/>
        </w:rPr>
      </w:pPr>
    </w:p>
    <w:p>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pPr>
        <w:keepNext w:val="0"/>
        <w:keepLines w:val="0"/>
        <w:widowControl/>
        <w:suppressLineNumbers w:val="0"/>
        <w:ind w:firstLine="482" w:firstLineChars="200"/>
        <w:jc w:val="left"/>
        <w:rPr>
          <w:rStyle w:val="32"/>
          <w:rFonts w:hint="eastAsia" w:ascii="宋体" w:hAnsi="宋体" w:eastAsia="宋体" w:cs="宋体"/>
          <w:color w:val="auto"/>
          <w:kern w:val="0"/>
          <w:sz w:val="28"/>
          <w:szCs w:val="28"/>
          <w:highlight w:val="none"/>
          <w:lang w:val="en-US" w:eastAsia="zh-CN" w:bidi="ar"/>
        </w:rPr>
      </w:pPr>
      <w:r>
        <w:rPr>
          <w:rStyle w:val="32"/>
          <w:rFonts w:hint="eastAsia" w:ascii="宋体" w:hAnsi="宋体" w:eastAsia="宋体" w:cs="宋体"/>
          <w:color w:val="auto"/>
          <w:kern w:val="0"/>
          <w:sz w:val="24"/>
          <w:szCs w:val="24"/>
          <w:highlight w:val="none"/>
          <w:lang w:val="en-US" w:eastAsia="zh-CN" w:bidi="ar"/>
        </w:rPr>
        <w:t>（一）关于</w:t>
      </w:r>
      <w:r>
        <w:rPr>
          <w:rStyle w:val="32"/>
          <w:rFonts w:hint="eastAsia" w:cs="宋体"/>
          <w:color w:val="auto"/>
          <w:kern w:val="0"/>
          <w:sz w:val="24"/>
          <w:szCs w:val="24"/>
          <w:highlight w:val="none"/>
          <w:lang w:val="en-US" w:eastAsia="zh-CN" w:bidi="ar"/>
        </w:rPr>
        <w:t>“</w:t>
      </w:r>
      <w:r>
        <w:rPr>
          <w:rStyle w:val="32"/>
          <w:rFonts w:hint="eastAsia" w:ascii="宋体" w:hAnsi="宋体" w:eastAsia="宋体" w:cs="宋体"/>
          <w:color w:val="auto"/>
          <w:kern w:val="0"/>
          <w:sz w:val="24"/>
          <w:szCs w:val="24"/>
          <w:highlight w:val="none"/>
          <w:lang w:val="en-US" w:eastAsia="zh-CN" w:bidi="ar"/>
        </w:rPr>
        <w:t>中小企业声明函</w:t>
      </w:r>
      <w:r>
        <w:rPr>
          <w:rStyle w:val="32"/>
          <w:rFonts w:hint="eastAsia" w:cs="宋体"/>
          <w:color w:val="auto"/>
          <w:kern w:val="0"/>
          <w:sz w:val="24"/>
          <w:szCs w:val="24"/>
          <w:highlight w:val="none"/>
          <w:lang w:val="en-US" w:eastAsia="zh-CN" w:bidi="ar"/>
        </w:rPr>
        <w:t>”</w:t>
      </w:r>
      <w:r>
        <w:rPr>
          <w:rStyle w:val="32"/>
          <w:rFonts w:hint="eastAsia" w:ascii="宋体" w:hAnsi="宋体" w:eastAsia="宋体" w:cs="宋体"/>
          <w:color w:val="auto"/>
          <w:kern w:val="0"/>
          <w:sz w:val="24"/>
          <w:szCs w:val="24"/>
          <w:highlight w:val="none"/>
          <w:lang w:val="en-US" w:eastAsia="zh-CN" w:bidi="ar"/>
        </w:rPr>
        <w:t>的填写要求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具体填写要求如下：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1.“单位名称”应填写采购人名称。</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5.“企业名称”应填写投标（响应）的货物制造商/服务承接商/工程承建商（根据项目属性确定）。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keepNext w:val="0"/>
        <w:keepLines w:val="0"/>
        <w:widowControl/>
        <w:suppressLineNumbers w:val="0"/>
        <w:ind w:firstLine="482" w:firstLineChars="200"/>
        <w:jc w:val="left"/>
        <w:rPr>
          <w:rStyle w:val="32"/>
          <w:rFonts w:hint="eastAsia" w:ascii="宋体" w:hAnsi="宋体" w:eastAsia="宋体" w:cs="宋体"/>
          <w:color w:val="auto"/>
          <w:kern w:val="0"/>
          <w:sz w:val="24"/>
          <w:szCs w:val="24"/>
          <w:highlight w:val="none"/>
          <w:lang w:val="en-US" w:eastAsia="zh-CN" w:bidi="ar"/>
        </w:rPr>
      </w:pPr>
      <w:r>
        <w:rPr>
          <w:rStyle w:val="32"/>
          <w:rFonts w:hint="eastAsia" w:ascii="宋体" w:hAnsi="宋体" w:eastAsia="宋体" w:cs="宋体"/>
          <w:color w:val="auto"/>
          <w:kern w:val="0"/>
          <w:sz w:val="24"/>
          <w:szCs w:val="24"/>
          <w:highlight w:val="none"/>
          <w:lang w:val="en-US" w:eastAsia="zh-CN" w:bidi="ar"/>
        </w:rPr>
        <w:t>（二）关于“中小企业声明函”的提交要求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1.投标（响应）供应商对</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3.如供应商提供的</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rPr>
          <w:rFonts w:cs="宋体"/>
          <w:color w:val="auto"/>
          <w:spacing w:val="6"/>
          <w:sz w:val="21"/>
          <w:szCs w:val="21"/>
          <w:highlight w:val="none"/>
        </w:rPr>
      </w:pPr>
      <w:r>
        <w:rPr>
          <w:rFonts w:cs="宋体"/>
          <w:color w:val="auto"/>
          <w:spacing w:val="6"/>
          <w:sz w:val="21"/>
          <w:szCs w:val="21"/>
          <w:highlight w:val="none"/>
        </w:rPr>
        <w:br w:type="page"/>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2"/>
          <w:rFonts w:hint="eastAsia" w:ascii="宋体" w:hAnsi="宋体" w:eastAsia="宋体" w:cs="宋体"/>
          <w:b w:val="0"/>
          <w:color w:val="auto"/>
          <w:sz w:val="24"/>
          <w:szCs w:val="24"/>
          <w:highlight w:val="none"/>
        </w:rPr>
      </w:pPr>
      <w:r>
        <w:rPr>
          <w:rStyle w:val="32"/>
          <w:rFonts w:hint="eastAsia" w:ascii="宋体" w:hAnsi="宋体" w:eastAsia="宋体" w:cs="宋体"/>
          <w:b w:val="0"/>
          <w:color w:val="auto"/>
          <w:sz w:val="24"/>
          <w:szCs w:val="24"/>
          <w:highlight w:val="none"/>
        </w:rPr>
        <w:t>工信部联企业〔2011〕300号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2"/>
          <w:rFonts w:hint="eastAsia" w:ascii="宋体" w:hAnsi="宋体" w:eastAsia="宋体" w:cs="宋体"/>
          <w:b w:val="0"/>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color w:val="auto"/>
          <w:sz w:val="24"/>
          <w:szCs w:val="24"/>
          <w:highlight w:val="none"/>
        </w:rPr>
      </w:pPr>
      <w:r>
        <w:rPr>
          <w:rStyle w:val="32"/>
          <w:rFonts w:hint="eastAsia" w:ascii="宋体" w:hAnsi="宋体" w:eastAsia="宋体" w:cs="宋体"/>
          <w:b w:val="0"/>
          <w:color w:val="auto"/>
          <w:sz w:val="24"/>
          <w:szCs w:val="24"/>
          <w:highlight w:val="none"/>
        </w:rPr>
        <w:t>各省、自治区、直辖市人民政府，国务院各部委、各直属机构及有关单位：</w:t>
      </w:r>
    </w:p>
    <w:p>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工业和信息化部　国家统计局</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国家发展和改革委员会　财政部</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color w:val="auto"/>
          <w:sz w:val="24"/>
          <w:szCs w:val="24"/>
          <w:highlight w:val="none"/>
        </w:rPr>
      </w:pPr>
      <w:r>
        <w:rPr>
          <w:rStyle w:val="32"/>
          <w:rFonts w:hint="eastAsia" w:cs="宋体"/>
          <w:b w:val="0"/>
          <w:bCs w:val="0"/>
          <w:color w:val="auto"/>
          <w:sz w:val="24"/>
          <w:szCs w:val="24"/>
          <w:highlight w:val="none"/>
          <w:lang w:eastAsia="zh-CN"/>
        </w:rPr>
        <w:t>二〇一一</w:t>
      </w:r>
      <w:r>
        <w:rPr>
          <w:rStyle w:val="32"/>
          <w:rFonts w:hint="eastAsia" w:ascii="宋体" w:hAnsi="宋体" w:eastAsia="宋体" w:cs="宋体"/>
          <w:b w:val="0"/>
          <w:bCs w:val="0"/>
          <w:color w:val="auto"/>
          <w:sz w:val="24"/>
          <w:szCs w:val="24"/>
          <w:highlight w:val="none"/>
        </w:rPr>
        <w:t>年六月十八日</w:t>
      </w:r>
    </w:p>
    <w:p>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2"/>
          <w:rFonts w:hint="eastAsia" w:ascii="宋体" w:hAnsi="宋体" w:eastAsia="宋体" w:cs="宋体"/>
          <w:b/>
          <w:bCs w:val="0"/>
          <w:color w:val="auto"/>
          <w:sz w:val="28"/>
          <w:szCs w:val="28"/>
          <w:highlight w:val="none"/>
        </w:rPr>
      </w:pPr>
      <w:r>
        <w:rPr>
          <w:rStyle w:val="32"/>
          <w:rFonts w:hint="eastAsia" w:ascii="宋体" w:hAnsi="宋体" w:eastAsia="宋体" w:cs="宋体"/>
          <w:b/>
          <w:bCs w:val="0"/>
          <w:color w:val="auto"/>
          <w:sz w:val="28"/>
          <w:szCs w:val="28"/>
          <w:highlight w:val="none"/>
        </w:rPr>
        <w:t>中小企业划型标准规定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w:t>
      </w:r>
      <w:r>
        <w:rPr>
          <w:rStyle w:val="32"/>
          <w:rFonts w:hint="eastAsia" w:cs="宋体"/>
          <w:b w:val="0"/>
          <w:bCs w:val="0"/>
          <w:color w:val="auto"/>
          <w:sz w:val="24"/>
          <w:szCs w:val="24"/>
          <w:highlight w:val="none"/>
          <w:lang w:eastAsia="zh-CN"/>
        </w:rPr>
        <w:t>（</w:t>
      </w:r>
      <w:r>
        <w:rPr>
          <w:rStyle w:val="32"/>
          <w:rFonts w:hint="eastAsia" w:ascii="宋体" w:hAnsi="宋体" w:eastAsia="宋体" w:cs="宋体"/>
          <w:b w:val="0"/>
          <w:bCs w:val="0"/>
          <w:color w:val="auto"/>
          <w:sz w:val="24"/>
          <w:szCs w:val="24"/>
          <w:highlight w:val="none"/>
        </w:rPr>
        <w:t>国发〔2009〕36号</w:t>
      </w:r>
      <w:r>
        <w:rPr>
          <w:rStyle w:val="32"/>
          <w:rFonts w:hint="eastAsia" w:cs="宋体"/>
          <w:b w:val="0"/>
          <w:bCs w:val="0"/>
          <w:color w:val="auto"/>
          <w:sz w:val="24"/>
          <w:szCs w:val="24"/>
          <w:highlight w:val="none"/>
          <w:lang w:eastAsia="zh-CN"/>
        </w:rPr>
        <w:t>）</w:t>
      </w:r>
      <w:r>
        <w:rPr>
          <w:rStyle w:val="32"/>
          <w:rFonts w:hint="eastAsia" w:ascii="宋体" w:hAnsi="宋体" w:eastAsia="宋体" w:cs="宋体"/>
          <w:b w:val="0"/>
          <w:bCs w:val="0"/>
          <w:color w:val="auto"/>
          <w:sz w:val="24"/>
          <w:szCs w:val="24"/>
          <w:highlight w:val="none"/>
        </w:rPr>
        <w:t>，制定本规定。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四、各行业划型标准为：</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五、企业类型的划分以统计部门的统计数据为依据。</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　　九、本规定由工业和信息化部、国家统计局会同有关部门负责解释。</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color w:val="auto"/>
          <w:sz w:val="24"/>
          <w:szCs w:val="24"/>
          <w:highlight w:val="none"/>
        </w:rPr>
      </w:pPr>
      <w:r>
        <w:rPr>
          <w:rStyle w:val="32"/>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pPr>
        <w:rPr>
          <w:rFonts w:cs="宋体"/>
          <w:color w:val="auto"/>
          <w:spacing w:val="6"/>
          <w:sz w:val="21"/>
          <w:szCs w:val="21"/>
          <w:highlight w:val="none"/>
        </w:rPr>
      </w:pPr>
      <w:r>
        <w:rPr>
          <w:rFonts w:cs="宋体"/>
          <w:color w:val="auto"/>
          <w:spacing w:val="6"/>
          <w:sz w:val="21"/>
          <w:szCs w:val="21"/>
          <w:highlight w:val="none"/>
        </w:rPr>
        <w:br w:type="page"/>
      </w:r>
    </w:p>
    <w:p>
      <w:pPr>
        <w:pStyle w:val="6"/>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outlineLvl w:val="3"/>
        <w:rPr>
          <w:rFonts w:hint="eastAsia" w:ascii="宋体" w:hAnsi="宋体" w:eastAsia="宋体" w:cstheme="minorBidi"/>
          <w:b/>
          <w:bCs/>
          <w:color w:val="auto"/>
          <w:kern w:val="2"/>
          <w:sz w:val="24"/>
          <w:szCs w:val="24"/>
          <w:highlight w:val="none"/>
          <w:lang w:val="en-US" w:eastAsia="zh-CN" w:bidi="ar-SA"/>
        </w:rPr>
      </w:pPr>
      <w:bookmarkStart w:id="608" w:name="_Toc4673"/>
      <w:bookmarkStart w:id="609" w:name="_Toc163492940"/>
      <w:r>
        <w:rPr>
          <w:rFonts w:hint="eastAsia" w:ascii="宋体" w:hAnsi="宋体" w:eastAsia="宋体" w:cstheme="minorBidi"/>
          <w:b/>
          <w:bCs/>
          <w:color w:val="auto"/>
          <w:kern w:val="2"/>
          <w:sz w:val="24"/>
          <w:szCs w:val="24"/>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608"/>
      <w:bookmarkEnd w:id="609"/>
    </w:p>
    <w:p>
      <w:pPr>
        <w:rPr>
          <w:rFonts w:cs="仿宋_GB2312"/>
          <w:b/>
          <w:color w:val="auto"/>
          <w:sz w:val="24"/>
          <w:szCs w:val="24"/>
          <w:highlight w:val="none"/>
        </w:rPr>
      </w:pPr>
    </w:p>
    <w:p>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pPr>
        <w:pStyle w:val="17"/>
        <w:spacing w:line="360" w:lineRule="auto"/>
        <w:jc w:val="center"/>
        <w:rPr>
          <w:rFonts w:hint="eastAsia" w:ascii="宋体" w:hAnsi="宋体" w:eastAsia="宋体" w:cs="宋体"/>
          <w:b/>
          <w:bCs w:val="0"/>
          <w:color w:val="auto"/>
          <w:sz w:val="32"/>
          <w:szCs w:val="32"/>
          <w:highlight w:val="none"/>
        </w:rPr>
      </w:pPr>
    </w:p>
    <w:p>
      <w:pPr>
        <w:pStyle w:val="17"/>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pPr>
        <w:spacing w:line="360" w:lineRule="auto"/>
        <w:rPr>
          <w:rFonts w:hint="eastAsia" w:ascii="仿宋_GB2312" w:hAnsi="仿宋_GB2312" w:eastAsia="仿宋_GB2312" w:cs="仿宋_GB2312"/>
          <w:color w:val="auto"/>
          <w:sz w:val="32"/>
          <w:szCs w:val="32"/>
          <w:highlight w:val="none"/>
        </w:rPr>
      </w:pPr>
    </w:p>
    <w:p>
      <w:pPr>
        <w:ind w:firstLine="504" w:firstLineChars="200"/>
        <w:rPr>
          <w:rFonts w:hint="eastAsia" w:cs="宋体"/>
          <w:color w:val="auto"/>
          <w:spacing w:val="6"/>
          <w:szCs w:val="24"/>
          <w:highlight w:val="none"/>
        </w:rPr>
      </w:pPr>
      <w:r>
        <w:rPr>
          <w:rFonts w:hint="eastAsia" w:cs="宋体"/>
          <w:color w:val="auto"/>
          <w:spacing w:val="6"/>
          <w:szCs w:val="24"/>
          <w:highlight w:val="none"/>
        </w:rPr>
        <w:t>本公司郑重声明，根据财政部、司法部《关于政府采购支持监狱企业发展有关问题的通知》（财库</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2014</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68号）的规定，本公司为监狱企业。</w:t>
      </w:r>
    </w:p>
    <w:p>
      <w:pPr>
        <w:spacing w:line="360" w:lineRule="auto"/>
        <w:rPr>
          <w:rFonts w:hint="eastAsia" w:ascii="宋体" w:hAnsi="宋体" w:eastAsia="宋体" w:cs="宋体"/>
          <w:color w:val="auto"/>
          <w:sz w:val="24"/>
          <w:szCs w:val="24"/>
          <w:highlight w:val="none"/>
        </w:rPr>
      </w:pPr>
    </w:p>
    <w:p>
      <w:pPr>
        <w:ind w:firstLine="4440" w:firstLineChars="1850"/>
        <w:rPr>
          <w:rFonts w:hint="eastAsia" w:ascii="宋体" w:hAnsi="宋体" w:eastAsia="宋体" w:cs="宋体"/>
          <w:color w:val="auto"/>
          <w:sz w:val="24"/>
          <w:szCs w:val="24"/>
          <w:highlight w:val="none"/>
        </w:rPr>
      </w:pPr>
    </w:p>
    <w:p>
      <w:pPr>
        <w:ind w:firstLine="4440" w:firstLineChars="1850"/>
        <w:rPr>
          <w:rFonts w:hint="eastAsia" w:ascii="宋体" w:hAnsi="宋体" w:eastAsia="宋体" w:cs="宋体"/>
          <w:color w:val="auto"/>
          <w:sz w:val="24"/>
          <w:szCs w:val="24"/>
          <w:highlight w:val="none"/>
        </w:rPr>
      </w:pPr>
    </w:p>
    <w:p>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spacing w:val="6"/>
          <w:sz w:val="24"/>
          <w:szCs w:val="24"/>
          <w:highlight w:val="none"/>
        </w:rPr>
        <w:t>：</w:t>
      </w:r>
    </w:p>
    <w:p>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pPr>
        <w:spacing w:line="360" w:lineRule="auto"/>
        <w:ind w:firstLine="240" w:firstLineChars="100"/>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rPr>
      </w:pPr>
    </w:p>
    <w:p>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（含新疆生产建设兵团）（盖章）：  </w:t>
      </w:r>
    </w:p>
    <w:p>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pPr>
        <w:spacing w:line="360" w:lineRule="auto"/>
        <w:ind w:firstLine="240" w:firstLineChars="100"/>
        <w:rPr>
          <w:rFonts w:hint="eastAsia" w:ascii="宋体" w:hAnsi="宋体" w:eastAsia="宋体" w:cs="宋体"/>
          <w:color w:val="auto"/>
          <w:sz w:val="24"/>
          <w:szCs w:val="24"/>
          <w:highlight w:val="none"/>
        </w:rPr>
      </w:pPr>
    </w:p>
    <w:p>
      <w:pPr>
        <w:spacing w:line="360" w:lineRule="auto"/>
        <w:ind w:firstLine="4000" w:firstLineChars="1250"/>
        <w:rPr>
          <w:rFonts w:hint="eastAsia" w:ascii="仿宋_GB2312" w:hAnsi="仿宋_GB2312" w:eastAsia="仿宋_GB2312" w:cs="仿宋_GB2312"/>
          <w:color w:val="auto"/>
          <w:sz w:val="32"/>
          <w:szCs w:val="32"/>
          <w:highlight w:val="none"/>
        </w:rPr>
      </w:pPr>
    </w:p>
    <w:p>
      <w:pPr>
        <w:spacing w:line="360" w:lineRule="auto"/>
        <w:rPr>
          <w:rFonts w:hint="eastAsia" w:ascii="仿宋_GB2312" w:hAnsi="仿宋_GB2312" w:eastAsia="仿宋_GB2312" w:cs="仿宋_GB2312"/>
          <w:color w:val="auto"/>
          <w:sz w:val="32"/>
          <w:szCs w:val="32"/>
          <w:highlight w:val="none"/>
        </w:rPr>
      </w:pPr>
    </w:p>
    <w:p>
      <w:pPr>
        <w:widowControl/>
        <w:spacing w:before="100" w:beforeAutospacing="1" w:after="100" w:afterAutospacing="1"/>
        <w:rPr>
          <w:rFonts w:ascii="Arial" w:hAnsi="Arial" w:cs="Arial"/>
          <w:color w:val="auto"/>
          <w:sz w:val="21"/>
          <w:szCs w:val="21"/>
          <w:highlight w:val="none"/>
        </w:rPr>
      </w:pPr>
    </w:p>
    <w:p>
      <w:pPr>
        <w:widowControl/>
        <w:spacing w:before="100" w:beforeAutospacing="1" w:after="100" w:afterAutospacing="1"/>
        <w:rPr>
          <w:rFonts w:ascii="Arial" w:hAnsi="Arial" w:cs="Arial"/>
          <w:color w:val="auto"/>
          <w:sz w:val="21"/>
          <w:szCs w:val="21"/>
          <w:highlight w:val="none"/>
        </w:rPr>
      </w:pPr>
    </w:p>
    <w:p>
      <w:pPr>
        <w:pStyle w:val="6"/>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outlineLvl w:val="3"/>
        <w:rPr>
          <w:rFonts w:hint="eastAsia" w:ascii="宋体" w:hAnsi="宋体" w:eastAsia="宋体" w:cstheme="minorBidi"/>
          <w:b/>
          <w:bCs/>
          <w:color w:val="auto"/>
          <w:kern w:val="2"/>
          <w:sz w:val="24"/>
          <w:szCs w:val="24"/>
          <w:highlight w:val="none"/>
          <w:lang w:val="en-US" w:eastAsia="zh-CN" w:bidi="ar-SA"/>
        </w:rPr>
      </w:pPr>
      <w:bookmarkStart w:id="610" w:name="_Toc163492941"/>
      <w:bookmarkStart w:id="611" w:name="_Toc12492"/>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610"/>
      <w:bookmarkEnd w:id="611"/>
    </w:p>
    <w:p>
      <w:pPr>
        <w:pStyle w:val="39"/>
        <w:numPr>
          <w:ilvl w:val="0"/>
          <w:numId w:val="0"/>
        </w:numPr>
        <w:ind w:left="420" w:leftChars="0" w:hanging="420" w:firstLineChars="0"/>
        <w:jc w:val="center"/>
        <w:rPr>
          <w:rFonts w:hint="eastAsia"/>
          <w:b/>
          <w:bCs/>
          <w:color w:val="auto"/>
          <w:sz w:val="32"/>
          <w:szCs w:val="32"/>
          <w:highlight w:val="none"/>
        </w:rPr>
      </w:pPr>
    </w:p>
    <w:p>
      <w:pPr>
        <w:pStyle w:val="39"/>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pPr>
        <w:wordWrap w:val="0"/>
        <w:ind w:firstLine="480" w:firstLineChars="200"/>
        <w:rPr>
          <w:rFonts w:hint="eastAsia"/>
          <w:color w:val="auto"/>
          <w:szCs w:val="24"/>
          <w:highlight w:val="none"/>
        </w:rPr>
      </w:pPr>
    </w:p>
    <w:p>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服务及</w:t>
      </w:r>
      <w:r>
        <w:rPr>
          <w:rFonts w:hint="eastAsia"/>
          <w:i w:val="0"/>
          <w:iCs w:val="0"/>
          <w:color w:val="auto"/>
          <w:szCs w:val="24"/>
          <w:highlight w:val="none"/>
        </w:rPr>
        <w:t>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提供和</w:t>
      </w:r>
      <w:r>
        <w:rPr>
          <w:rFonts w:hint="eastAsia"/>
          <w:b/>
          <w:i w:val="0"/>
          <w:iCs w:val="0"/>
          <w:color w:val="auto"/>
          <w:szCs w:val="24"/>
          <w:highlight w:val="none"/>
        </w:rPr>
        <w:t>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pPr>
        <w:wordWrap w:val="0"/>
        <w:ind w:firstLine="480" w:firstLineChars="200"/>
        <w:rPr>
          <w:i w:val="0"/>
          <w:iCs w:val="0"/>
          <w:color w:val="auto"/>
          <w:szCs w:val="24"/>
          <w:highlight w:val="none"/>
        </w:rPr>
      </w:pPr>
      <w:r>
        <w:rPr>
          <w:rFonts w:hint="eastAsia"/>
          <w:i w:val="0"/>
          <w:iCs w:val="0"/>
          <w:color w:val="auto"/>
          <w:szCs w:val="24"/>
          <w:highlight w:val="none"/>
        </w:rPr>
        <w:t>……</w:t>
      </w:r>
    </w:p>
    <w:p>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pPr>
        <w:wordWrap w:val="0"/>
        <w:ind w:left="1087" w:leftChars="200" w:hanging="607" w:hangingChars="253"/>
        <w:rPr>
          <w:color w:val="auto"/>
          <w:szCs w:val="24"/>
          <w:highlight w:val="none"/>
        </w:rPr>
      </w:pPr>
      <w:r>
        <w:rPr>
          <w:rFonts w:hint="eastAsia"/>
          <w:color w:val="auto"/>
          <w:szCs w:val="24"/>
          <w:highlight w:val="none"/>
        </w:rPr>
        <w:t>本企业对上述声明内容的真实性负责。如有虚假，将依法承担相应责任。</w:t>
      </w:r>
    </w:p>
    <w:p>
      <w:pPr>
        <w:wordWrap w:val="0"/>
        <w:ind w:left="1091" w:hanging="1091" w:hangingChars="453"/>
        <w:rPr>
          <w:b/>
          <w:bCs/>
          <w:color w:val="auto"/>
          <w:szCs w:val="24"/>
          <w:highlight w:val="none"/>
        </w:rPr>
      </w:pPr>
    </w:p>
    <w:p>
      <w:pPr>
        <w:wordWrap w:val="0"/>
        <w:ind w:left="1091" w:hanging="1091" w:hangingChars="453"/>
        <w:rPr>
          <w:bCs/>
          <w:color w:val="auto"/>
          <w:szCs w:val="24"/>
          <w:highlight w:val="none"/>
        </w:rPr>
      </w:pPr>
      <w:r>
        <w:rPr>
          <w:rFonts w:hint="eastAsia"/>
          <w:b/>
          <w:bCs/>
          <w:color w:val="auto"/>
          <w:szCs w:val="24"/>
          <w:highlight w:val="none"/>
        </w:rPr>
        <w:t>说明：</w:t>
      </w:r>
      <w:r>
        <w:rPr>
          <w:rFonts w:hint="eastAsia"/>
          <w:bCs/>
          <w:color w:val="auto"/>
          <w:szCs w:val="24"/>
          <w:highlight w:val="none"/>
        </w:rPr>
        <w:t>1、</w:t>
      </w:r>
      <w:r>
        <w:rPr>
          <w:rFonts w:hint="eastAsia"/>
          <w:bCs/>
          <w:color w:val="auto"/>
          <w:szCs w:val="24"/>
          <w:highlight w:val="none"/>
          <w:lang w:val="en-US" w:eastAsia="zh-CN"/>
        </w:rPr>
        <w:t>服务及</w:t>
      </w:r>
      <w:r>
        <w:rPr>
          <w:rFonts w:hint="eastAsia"/>
          <w:bCs/>
          <w:color w:val="auto"/>
          <w:szCs w:val="21"/>
          <w:highlight w:val="none"/>
          <w:lang w:val="zh-CN"/>
        </w:rPr>
        <w:t>货物应当全部由符合政策要求的残疾人福利性单位</w:t>
      </w:r>
      <w:r>
        <w:rPr>
          <w:rFonts w:hint="eastAsia"/>
          <w:bCs/>
          <w:color w:val="auto"/>
          <w:szCs w:val="21"/>
          <w:highlight w:val="none"/>
          <w:lang w:val="en-US" w:eastAsia="zh-CN"/>
        </w:rPr>
        <w:t>提供及</w:t>
      </w:r>
      <w:r>
        <w:rPr>
          <w:rFonts w:hint="eastAsia"/>
          <w:bCs/>
          <w:color w:val="auto"/>
          <w:szCs w:val="21"/>
          <w:highlight w:val="none"/>
          <w:lang w:val="zh-CN"/>
        </w:rPr>
        <w:t>生产且使用该残疾人福利性单位商号或注册商标（与代理商或投标人无关）；应当严格按上述格式及内容进行填写（应当明确每个标的的生产企业类型及相关数据），否则导致的后果由投标人自行承担；</w:t>
      </w:r>
    </w:p>
    <w:p>
      <w:pPr>
        <w:wordWrap w:val="0"/>
        <w:ind w:left="1087" w:hanging="1087" w:hangingChars="453"/>
        <w:rPr>
          <w:rFonts w:cs="Courier New"/>
          <w:color w:val="auto"/>
          <w:szCs w:val="21"/>
          <w:highlight w:val="none"/>
        </w:rPr>
      </w:pPr>
      <w:r>
        <w:rPr>
          <w:rFonts w:hint="eastAsia"/>
          <w:bCs/>
          <w:color w:val="auto"/>
          <w:szCs w:val="21"/>
          <w:highlight w:val="none"/>
          <w:lang w:val="zh-CN"/>
        </w:rPr>
        <w:t xml:space="preserve">      2、</w:t>
      </w:r>
      <w:r>
        <w:rPr>
          <w:rFonts w:hint="eastAsia" w:cs="Courier New"/>
          <w:color w:val="auto"/>
          <w:szCs w:val="21"/>
          <w:highlight w:val="none"/>
        </w:rPr>
        <w:t>以联合体形式参加的，应</w:t>
      </w:r>
      <w:r>
        <w:rPr>
          <w:rFonts w:hint="eastAsia"/>
          <w:bCs/>
          <w:color w:val="auto"/>
          <w:szCs w:val="21"/>
          <w:highlight w:val="none"/>
          <w:lang w:val="zh-CN"/>
        </w:rPr>
        <w:t>当</w:t>
      </w:r>
      <w:r>
        <w:rPr>
          <w:rFonts w:hint="eastAsia" w:cs="Courier New"/>
          <w:color w:val="auto"/>
          <w:szCs w:val="21"/>
          <w:highlight w:val="none"/>
        </w:rPr>
        <w:t>由联合体各方盖章。</w:t>
      </w:r>
    </w:p>
    <w:p>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pPr>
        <w:rPr>
          <w:color w:val="auto"/>
          <w:highlight w:val="none"/>
        </w:rPr>
      </w:pPr>
      <w:r>
        <w:rPr>
          <w:color w:val="auto"/>
          <w:highlight w:val="none"/>
        </w:rPr>
        <w:br w:type="page"/>
      </w:r>
    </w:p>
    <w:p>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outlineLvl w:val="2"/>
        <w:rPr>
          <w:rFonts w:hint="eastAsia" w:cstheme="majorBidi"/>
          <w:b/>
          <w:bCs/>
          <w:color w:val="auto"/>
          <w:kern w:val="2"/>
          <w:sz w:val="28"/>
          <w:szCs w:val="28"/>
          <w:highlight w:val="none"/>
          <w:lang w:val="en-US" w:eastAsia="zh-CN" w:bidi="ar-SA"/>
        </w:rPr>
      </w:pPr>
      <w:bookmarkStart w:id="612" w:name="_Toc18110"/>
      <w:bookmarkStart w:id="613" w:name="_Toc29560"/>
      <w:r>
        <w:rPr>
          <w:rFonts w:hint="eastAsia" w:cstheme="majorBidi"/>
          <w:b/>
          <w:bCs/>
          <w:color w:val="auto"/>
          <w:kern w:val="2"/>
          <w:sz w:val="28"/>
          <w:szCs w:val="28"/>
          <w:highlight w:val="none"/>
          <w:lang w:val="en-US" w:eastAsia="zh-CN" w:bidi="ar-SA"/>
        </w:rPr>
        <w:t>三、不参与围标串标承诺书</w:t>
      </w:r>
      <w:bookmarkEnd w:id="612"/>
      <w:bookmarkEnd w:id="613"/>
    </w:p>
    <w:p>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pPr>
        <w:rPr>
          <w:rFonts w:hint="eastAsia"/>
          <w:color w:val="auto"/>
          <w:highlight w:val="none"/>
          <w:lang w:val="en-US" w:eastAsia="zh-CN"/>
        </w:rPr>
      </w:pPr>
      <w:r>
        <w:rPr>
          <w:rFonts w:hint="eastAsia"/>
          <w:color w:val="auto"/>
          <w:highlight w:val="none"/>
          <w:lang w:val="en-US" w:eastAsia="zh-CN"/>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三、我单位如被查实在本项目政府采购投标活动中存在围标串标的，递交投标文件行为作为实施串通投标违法行为的关键环节，由我单位及法定代表人承担相应的法律责任，并接受相应行政处罚和失信惩戒。</w:t>
      </w:r>
    </w:p>
    <w:p>
      <w:pPr>
        <w:pStyle w:val="13"/>
        <w:rPr>
          <w:rFonts w:hint="eastAsia"/>
          <w:color w:val="auto"/>
          <w:highlight w:val="none"/>
          <w:lang w:val="en-US" w:eastAsia="zh-CN"/>
        </w:rPr>
      </w:pPr>
    </w:p>
    <w:p>
      <w:pPr>
        <w:spacing w:line="560" w:lineRule="exact"/>
        <w:rPr>
          <w:rFonts w:hint="eastAsia" w:ascii="宋体" w:hAnsi="宋体" w:eastAsia="宋体" w:cs="宋体"/>
          <w:color w:val="auto"/>
          <w:kern w:val="0"/>
          <w:sz w:val="24"/>
          <w:szCs w:val="24"/>
          <w:highlight w:val="none"/>
        </w:rPr>
      </w:pPr>
    </w:p>
    <w:p>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pPr>
        <w:widowControl/>
        <w:spacing w:line="560" w:lineRule="exact"/>
        <w:ind w:firstLine="630"/>
        <w:jc w:val="left"/>
        <w:rPr>
          <w:rFonts w:hint="eastAsia" w:ascii="宋体" w:hAnsi="宋体" w:eastAsia="宋体" w:cs="宋体"/>
          <w:color w:val="auto"/>
          <w:kern w:val="0"/>
          <w:sz w:val="24"/>
          <w:szCs w:val="24"/>
          <w:highlight w:val="none"/>
        </w:rPr>
      </w:pPr>
    </w:p>
    <w:p>
      <w:pPr>
        <w:pStyle w:val="13"/>
        <w:rPr>
          <w:rFonts w:hint="eastAsia"/>
          <w:color w:val="auto"/>
          <w:highlight w:val="none"/>
          <w:lang w:val="en-US" w:eastAsia="zh-CN"/>
        </w:rPr>
      </w:pPr>
    </w:p>
    <w:p>
      <w:pPr>
        <w:pStyle w:val="13"/>
        <w:rPr>
          <w:rFonts w:hint="eastAsia"/>
          <w:color w:val="auto"/>
          <w:highlight w:val="none"/>
          <w:lang w:val="en-US" w:eastAsia="zh-CN"/>
        </w:rPr>
      </w:pPr>
    </w:p>
    <w:p>
      <w:pPr>
        <w:pStyle w:val="13"/>
        <w:rPr>
          <w:rFonts w:hint="eastAsia"/>
          <w:color w:val="auto"/>
          <w:highlight w:val="none"/>
          <w:lang w:val="en-US" w:eastAsia="zh-CN"/>
        </w:rPr>
      </w:pPr>
    </w:p>
    <w:p>
      <w:pPr>
        <w:pStyle w:val="13"/>
        <w:rPr>
          <w:rFonts w:hint="eastAsia"/>
          <w:color w:val="auto"/>
          <w:highlight w:val="none"/>
          <w:lang w:val="en-US" w:eastAsia="zh-CN"/>
        </w:rPr>
      </w:pPr>
    </w:p>
    <w:p>
      <w:pPr>
        <w:pStyle w:val="13"/>
        <w:rPr>
          <w:rFonts w:hint="eastAsia"/>
          <w:color w:val="auto"/>
          <w:highlight w:val="none"/>
          <w:lang w:val="en-US" w:eastAsia="zh-CN"/>
        </w:rPr>
      </w:pPr>
    </w:p>
    <w:p>
      <w:pPr>
        <w:pStyle w:val="13"/>
        <w:rPr>
          <w:rFonts w:hint="eastAsia"/>
          <w:color w:val="auto"/>
          <w:highlight w:val="none"/>
          <w:lang w:val="en-US" w:eastAsia="zh-CN"/>
        </w:rPr>
      </w:pPr>
    </w:p>
    <w:p>
      <w:pPr>
        <w:pStyle w:val="13"/>
        <w:rPr>
          <w:rFonts w:hint="eastAsia"/>
          <w:color w:val="auto"/>
          <w:highlight w:val="none"/>
          <w:lang w:val="en-US" w:eastAsia="zh-CN"/>
        </w:rPr>
      </w:pPr>
    </w:p>
    <w:p>
      <w:pPr>
        <w:pStyle w:val="13"/>
        <w:rPr>
          <w:rFonts w:hint="eastAsia"/>
          <w:color w:val="auto"/>
          <w:highlight w:val="none"/>
          <w:lang w:val="en-US" w:eastAsia="zh-CN"/>
        </w:rPr>
      </w:pPr>
    </w:p>
    <w:p>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outlineLvl w:val="2"/>
        <w:rPr>
          <w:rFonts w:hint="eastAsia" w:eastAsia="宋体" w:asciiTheme="majorHAnsi" w:hAnsiTheme="majorHAnsi" w:cstheme="majorBidi"/>
          <w:b/>
          <w:bCs/>
          <w:color w:val="auto"/>
          <w:kern w:val="2"/>
          <w:sz w:val="28"/>
          <w:szCs w:val="28"/>
          <w:highlight w:val="none"/>
          <w:lang w:val="zh-CN" w:eastAsia="zh-CN" w:bidi="ar-SA"/>
        </w:rPr>
      </w:pPr>
      <w:bookmarkStart w:id="614" w:name="_Toc17591"/>
      <w:bookmarkStart w:id="615" w:name="_Toc6223"/>
      <w:r>
        <w:rPr>
          <w:rFonts w:hint="eastAsia" w:cstheme="majorBidi"/>
          <w:b/>
          <w:bCs/>
          <w:color w:val="auto"/>
          <w:kern w:val="2"/>
          <w:sz w:val="28"/>
          <w:szCs w:val="28"/>
          <w:highlight w:val="none"/>
          <w:lang w:val="en-US" w:eastAsia="zh-CN" w:bidi="ar-SA"/>
        </w:rPr>
        <w:t>四</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614"/>
      <w:bookmarkEnd w:id="615"/>
    </w:p>
    <w:p>
      <w:pPr>
        <w:pStyle w:val="37"/>
        <w:rPr>
          <w:rFonts w:hint="eastAsia" w:cs="Courier New"/>
          <w:color w:val="auto"/>
          <w:szCs w:val="24"/>
          <w:highlight w:val="none"/>
        </w:rPr>
      </w:pPr>
      <w:r>
        <w:rPr>
          <w:rFonts w:hint="eastAsia" w:cs="Courier New"/>
          <w:color w:val="auto"/>
          <w:szCs w:val="24"/>
          <w:highlight w:val="none"/>
          <w:lang w:val="en-US" w:eastAsia="zh-CN"/>
        </w:rPr>
        <w:t>1.</w:t>
      </w:r>
      <w:r>
        <w:rPr>
          <w:rFonts w:hint="eastAsia" w:cs="Courier New"/>
          <w:color w:val="auto"/>
          <w:szCs w:val="24"/>
          <w:highlight w:val="none"/>
        </w:rPr>
        <w:t>法定代表人或单位负责人为同一人或者存在直接控股、管理关系的不同供应商，不得参加同一合同项下的政府采购活动。自行提供承诺函加盖公章。</w:t>
      </w:r>
    </w:p>
    <w:p>
      <w:pPr>
        <w:pStyle w:val="37"/>
        <w:rPr>
          <w:rFonts w:hint="eastAsia" w:cs="Courier New"/>
          <w:color w:val="auto"/>
          <w:szCs w:val="24"/>
          <w:highlight w:val="none"/>
        </w:rPr>
      </w:pPr>
      <w:r>
        <w:rPr>
          <w:rFonts w:hint="eastAsia" w:cs="Courier New"/>
          <w:color w:val="auto"/>
          <w:szCs w:val="24"/>
          <w:highlight w:val="none"/>
          <w:lang w:val="en-US" w:eastAsia="zh-CN"/>
        </w:rPr>
        <w:t>2.</w:t>
      </w:r>
      <w:r>
        <w:rPr>
          <w:rFonts w:hint="eastAsia" w:cs="Courier New"/>
          <w:color w:val="auto"/>
          <w:szCs w:val="24"/>
          <w:highlight w:val="none"/>
        </w:rPr>
        <w:t>除单一来源采购项目外，为采购项目提供整体设计、规范编制或者项目管理、监理、检测等服务的供应商，不得再参加该采购项目的其他采购活动。自行提供承诺函加盖公章。</w:t>
      </w:r>
    </w:p>
    <w:p>
      <w:pPr>
        <w:pStyle w:val="37"/>
        <w:rPr>
          <w:rFonts w:hint="default" w:eastAsia="宋体" w:cs="Courier New"/>
          <w:color w:val="auto"/>
          <w:szCs w:val="24"/>
          <w:highlight w:val="none"/>
          <w:lang w:val="en-US" w:eastAsia="zh-CN"/>
        </w:rPr>
      </w:pPr>
      <w:r>
        <w:rPr>
          <w:rFonts w:hint="eastAsia" w:cs="Courier New"/>
          <w:color w:val="auto"/>
          <w:szCs w:val="24"/>
          <w:highlight w:val="none"/>
          <w:lang w:val="en-US" w:eastAsia="zh-CN"/>
        </w:rPr>
        <w:t>3.</w:t>
      </w:r>
      <w:r>
        <w:rPr>
          <w:rFonts w:hint="eastAsia" w:cs="Courier New"/>
          <w:color w:val="auto"/>
          <w:szCs w:val="24"/>
          <w:highlight w:val="none"/>
        </w:rPr>
        <w:t>需按招标文件的规定缴纳投标保证金</w:t>
      </w:r>
      <w:r>
        <w:rPr>
          <w:rFonts w:hint="eastAsia" w:cs="Courier New"/>
          <w:color w:val="auto"/>
          <w:szCs w:val="24"/>
          <w:highlight w:val="none"/>
          <w:lang w:eastAsia="zh-CN"/>
        </w:rPr>
        <w:t>，</w:t>
      </w:r>
      <w:r>
        <w:rPr>
          <w:rFonts w:hint="eastAsia" w:cs="Courier New"/>
          <w:color w:val="auto"/>
          <w:szCs w:val="24"/>
          <w:highlight w:val="none"/>
          <w:lang w:val="en-US" w:eastAsia="zh-CN"/>
        </w:rPr>
        <w:t>提供缴纳凭证</w:t>
      </w:r>
    </w:p>
    <w:p>
      <w:pPr>
        <w:pStyle w:val="37"/>
        <w:rPr>
          <w:rFonts w:hint="eastAsia" w:cs="Courier New"/>
          <w:color w:val="auto"/>
          <w:szCs w:val="24"/>
          <w:highlight w:val="none"/>
          <w:lang w:val="en-US" w:eastAsia="zh-CN"/>
        </w:rPr>
      </w:pPr>
      <w:r>
        <w:rPr>
          <w:rFonts w:hint="eastAsia" w:cs="Courier New"/>
          <w:color w:val="auto"/>
          <w:szCs w:val="24"/>
          <w:highlight w:val="none"/>
          <w:lang w:val="en-US" w:eastAsia="zh-CN"/>
        </w:rPr>
        <w:t>4.提供法定代表人身份证明，法定代表人授权委托人参加投标的还应提供法定代表人授权委托书。加盖公章。</w:t>
      </w:r>
    </w:p>
    <w:p>
      <w:pPr>
        <w:pStyle w:val="37"/>
        <w:rPr>
          <w:rFonts w:hint="eastAsia" w:cs="Courier New"/>
          <w:color w:val="auto"/>
          <w:szCs w:val="24"/>
          <w:highlight w:val="none"/>
        </w:rPr>
      </w:pPr>
      <w:r>
        <w:rPr>
          <w:rFonts w:hint="eastAsia" w:cs="Courier New"/>
          <w:color w:val="auto"/>
          <w:szCs w:val="24"/>
          <w:highlight w:val="none"/>
          <w:lang w:val="en-US" w:eastAsia="zh-CN"/>
        </w:rPr>
        <w:t>5.</w:t>
      </w:r>
      <w:r>
        <w:rPr>
          <w:rFonts w:hint="eastAsia" w:cs="Courier New"/>
          <w:color w:val="auto"/>
          <w:szCs w:val="24"/>
          <w:highlight w:val="none"/>
        </w:rPr>
        <w:t>投标人认为需提供的</w:t>
      </w:r>
      <w:r>
        <w:rPr>
          <w:rFonts w:hint="eastAsia" w:cs="Courier New"/>
          <w:color w:val="auto"/>
          <w:szCs w:val="24"/>
          <w:highlight w:val="none"/>
          <w:lang w:eastAsia="zh-CN"/>
        </w:rPr>
        <w:t>其他</w:t>
      </w:r>
      <w:r>
        <w:rPr>
          <w:rFonts w:hint="eastAsia" w:cs="Courier New"/>
          <w:color w:val="auto"/>
          <w:szCs w:val="24"/>
          <w:highlight w:val="none"/>
        </w:rPr>
        <w:t>相关资格证明材料</w:t>
      </w:r>
    </w:p>
    <w:p>
      <w:pPr>
        <w:rPr>
          <w:rFonts w:hint="eastAsia" w:cs="Courier New"/>
          <w:color w:val="auto"/>
          <w:szCs w:val="24"/>
          <w:highlight w:val="none"/>
        </w:rPr>
      </w:pPr>
      <w:r>
        <w:rPr>
          <w:rFonts w:hint="eastAsia" w:cs="Courier New"/>
          <w:color w:val="auto"/>
          <w:szCs w:val="24"/>
          <w:highlight w:val="none"/>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16" w:name="_Toc3577"/>
      <w:bookmarkStart w:id="617" w:name="_Toc28532"/>
      <w:bookmarkStart w:id="618" w:name="_Toc109900327"/>
      <w:bookmarkStart w:id="619" w:name="_Toc109899908"/>
      <w:bookmarkStart w:id="620" w:name="_Toc25402"/>
      <w:bookmarkStart w:id="621" w:name="_Toc140132831"/>
      <w:bookmarkStart w:id="622" w:name="_Toc13736"/>
      <w:bookmarkStart w:id="623" w:name="_Toc155185921"/>
      <w:bookmarkStart w:id="624" w:name="_Toc109899489"/>
      <w:bookmarkStart w:id="625" w:name="_Toc2238"/>
      <w:bookmarkStart w:id="626" w:name="_Toc26789"/>
      <w:r>
        <w:rPr>
          <w:rFonts w:hint="eastAsia" w:eastAsia="宋体" w:asciiTheme="majorHAnsi" w:hAnsiTheme="majorHAnsi" w:cstheme="majorBidi"/>
          <w:b/>
          <w:bCs/>
          <w:color w:val="auto"/>
          <w:kern w:val="2"/>
          <w:sz w:val="32"/>
          <w:szCs w:val="32"/>
          <w:highlight w:val="none"/>
          <w:lang w:val="en-US" w:eastAsia="zh-CN" w:bidi="ar-SA"/>
        </w:rPr>
        <w:t>一、投标函</w:t>
      </w:r>
      <w:bookmarkEnd w:id="616"/>
      <w:bookmarkEnd w:id="617"/>
      <w:bookmarkEnd w:id="618"/>
      <w:bookmarkEnd w:id="619"/>
      <w:bookmarkEnd w:id="620"/>
      <w:bookmarkEnd w:id="621"/>
      <w:bookmarkEnd w:id="622"/>
      <w:bookmarkEnd w:id="623"/>
      <w:bookmarkEnd w:id="624"/>
    </w:p>
    <w:p>
      <w:pPr>
        <w:rPr>
          <w:color w:val="auto"/>
          <w:highlight w:val="none"/>
        </w:rPr>
      </w:pPr>
      <w:r>
        <w:rPr>
          <w:rFonts w:hint="eastAsia"/>
          <w:color w:val="auto"/>
          <w:highlight w:val="none"/>
        </w:rPr>
        <w:t>致：（采购人）</w:t>
      </w:r>
    </w:p>
    <w:p>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所附投标价格表中规定的应提交和交付的服务和</w:t>
      </w:r>
      <w:r>
        <w:rPr>
          <w:rFonts w:hint="eastAsia" w:cs="Arial"/>
          <w:color w:val="auto"/>
          <w:szCs w:val="24"/>
          <w:highlight w:val="none"/>
          <w:lang w:val="en-US" w:eastAsia="zh-CN"/>
        </w:rPr>
        <w:t>相关</w:t>
      </w:r>
      <w:r>
        <w:rPr>
          <w:rFonts w:hint="eastAsia" w:cs="Arial"/>
          <w:color w:val="auto"/>
          <w:szCs w:val="24"/>
          <w:highlight w:val="none"/>
        </w:rPr>
        <w:t>货物（如有）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w:t>
      </w:r>
      <w:r>
        <w:rPr>
          <w:rFonts w:cs="Arial"/>
          <w:i w:val="0"/>
          <w:iCs w:val="0"/>
          <w:color w:val="auto"/>
          <w:szCs w:val="24"/>
          <w:highlight w:val="none"/>
        </w:rPr>
        <w:t>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投标有效期为自提交投标文件的截止之日起</w:t>
      </w:r>
      <w:r>
        <w:rPr>
          <w:rFonts w:hint="eastAsia" w:cs="Arial"/>
          <w:i w:val="0"/>
          <w:iCs w:val="0"/>
          <w:color w:val="auto"/>
          <w:szCs w:val="24"/>
          <w:highlight w:val="none"/>
          <w:u w:val="single"/>
        </w:rPr>
        <w:t xml:space="preserve"> （由投标人填写）</w:t>
      </w:r>
      <w:r>
        <w:rPr>
          <w:rFonts w:cs="Arial"/>
          <w:i w:val="0"/>
          <w:iCs w:val="0"/>
          <w:color w:val="auto"/>
          <w:szCs w:val="24"/>
          <w:highlight w:val="none"/>
        </w:rPr>
        <w:t>个日历天。</w:t>
      </w:r>
    </w:p>
    <w:p>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招标</w:t>
      </w:r>
      <w:r>
        <w:rPr>
          <w:rFonts w:hint="eastAsia" w:cs="Arial"/>
          <w:i w:val="0"/>
          <w:iCs w:val="0"/>
          <w:color w:val="auto"/>
          <w:szCs w:val="24"/>
          <w:highlight w:val="none"/>
        </w:rPr>
        <w:t>文件</w:t>
      </w:r>
      <w:r>
        <w:rPr>
          <w:rFonts w:cs="Arial"/>
          <w:i w:val="0"/>
          <w:iCs w:val="0"/>
          <w:color w:val="auto"/>
          <w:szCs w:val="24"/>
          <w:highlight w:val="none"/>
        </w:rPr>
        <w:t>要求的与投标有关的一切数据或资料，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完全理解贵方不一定接受最低价的投标。</w:t>
      </w:r>
    </w:p>
    <w:p>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本项目如由中标人支付采购代理服务费，我方同意按投标人须知前附表中规定向采购代理机构支付采购代理服务费。</w:t>
      </w:r>
    </w:p>
    <w:p>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pPr>
        <w:snapToGrid w:val="0"/>
        <w:spacing w:line="324" w:lineRule="auto"/>
        <w:ind w:firstLine="480" w:firstLineChars="200"/>
        <w:rPr>
          <w:color w:val="auto"/>
          <w:szCs w:val="24"/>
          <w:highlight w:val="none"/>
        </w:rPr>
      </w:pPr>
      <w:r>
        <w:rPr>
          <w:rFonts w:hint="eastAsia"/>
          <w:color w:val="auto"/>
          <w:szCs w:val="24"/>
          <w:highlight w:val="none"/>
        </w:rPr>
        <w:t>5）</w:t>
      </w:r>
      <w:bookmarkStart w:id="627" w:name="_Hlk161604053"/>
      <w:r>
        <w:rPr>
          <w:rFonts w:hint="eastAsia"/>
          <w:color w:val="auto"/>
          <w:szCs w:val="24"/>
          <w:highlight w:val="none"/>
        </w:rPr>
        <w:t>我方承诺本《投标函》的签章对本投标文件全部内容具有约束力并承担法律责任。</w:t>
      </w:r>
      <w:bookmarkEnd w:id="627"/>
    </w:p>
    <w:p>
      <w:pPr>
        <w:spacing w:line="300" w:lineRule="auto"/>
        <w:rPr>
          <w:rFonts w:cs="Arial"/>
          <w:color w:val="auto"/>
          <w:szCs w:val="24"/>
          <w:highlight w:val="none"/>
        </w:rPr>
      </w:pPr>
    </w:p>
    <w:p>
      <w:pPr>
        <w:spacing w:line="300" w:lineRule="auto"/>
        <w:rPr>
          <w:rFonts w:cs="Arial"/>
          <w:color w:val="auto"/>
          <w:szCs w:val="24"/>
          <w:highlight w:val="none"/>
        </w:rPr>
      </w:pPr>
    </w:p>
    <w:p>
      <w:pPr>
        <w:spacing w:line="300" w:lineRule="auto"/>
        <w:rPr>
          <w:rFonts w:cs="Arial"/>
          <w:color w:val="auto"/>
          <w:szCs w:val="24"/>
          <w:highlight w:val="none"/>
        </w:rPr>
      </w:pPr>
    </w:p>
    <w:p>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投 </w:t>
      </w:r>
      <w:r>
        <w:rPr>
          <w:rFonts w:cs="宋体"/>
          <w:color w:val="auto"/>
          <w:highlight w:val="none"/>
        </w:rPr>
        <w:t xml:space="preserve">   </w:t>
      </w:r>
      <w:r>
        <w:rPr>
          <w:rFonts w:hint="eastAsia" w:cs="宋体"/>
          <w:color w:val="auto"/>
          <w:highlight w:val="none"/>
        </w:rPr>
        <w:t xml:space="preserve">标 </w:t>
      </w:r>
      <w:r>
        <w:rPr>
          <w:rFonts w:cs="宋体"/>
          <w:color w:val="auto"/>
          <w:highlight w:val="none"/>
        </w:rPr>
        <w:t xml:space="preserve">   </w:t>
      </w:r>
      <w:r>
        <w:rPr>
          <w:rFonts w:hint="eastAsia" w:cs="宋体"/>
          <w:color w:val="auto"/>
          <w:highlight w:val="none"/>
        </w:rPr>
        <w:t>人</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法定代表人或授权代表</w:t>
      </w:r>
      <w:r>
        <w:rPr>
          <w:rFonts w:hint="eastAsia" w:cs="宋体"/>
          <w:color w:val="auto"/>
          <w:highlight w:val="none"/>
          <w:lang w:eastAsia="zh-CN"/>
        </w:rPr>
        <w:t>（</w:t>
      </w:r>
      <w:r>
        <w:rPr>
          <w:rFonts w:hint="eastAsia" w:cs="宋体"/>
          <w:color w:val="auto"/>
          <w:highlight w:val="none"/>
        </w:rPr>
        <w:t>签字或印章</w:t>
      </w:r>
      <w:r>
        <w:rPr>
          <w:rFonts w:hint="eastAsia" w:cs="宋体"/>
          <w:color w:val="auto"/>
          <w:highlight w:val="none"/>
          <w:lang w:eastAsia="zh-CN"/>
        </w:rPr>
        <w:t>）</w:t>
      </w:r>
      <w:r>
        <w:rPr>
          <w:rFonts w:hint="eastAsia" w:cs="宋体"/>
          <w:color w:val="auto"/>
          <w:highlight w:val="none"/>
        </w:rPr>
        <w:t>：</w:t>
      </w:r>
    </w:p>
    <w:p>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pPr>
        <w:rPr>
          <w:rFonts w:cs="Arial"/>
          <w:color w:val="auto"/>
          <w:szCs w:val="24"/>
          <w:highlight w:val="none"/>
          <w:u w:val="single"/>
        </w:rPr>
      </w:pPr>
    </w:p>
    <w:p>
      <w:pPr>
        <w:rPr>
          <w:rFonts w:cs="Arial"/>
          <w:color w:val="auto"/>
          <w:szCs w:val="24"/>
          <w:highlight w:val="none"/>
          <w:u w:val="single"/>
        </w:rPr>
      </w:pPr>
      <w:r>
        <w:rPr>
          <w:rFonts w:cs="Arial"/>
          <w:color w:val="auto"/>
          <w:szCs w:val="24"/>
          <w:highlight w:val="none"/>
          <w:u w:val="single"/>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28" w:name="_Toc518"/>
      <w:bookmarkStart w:id="629" w:name="_Toc155185924"/>
      <w:bookmarkStart w:id="630" w:name="_Toc3285"/>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628"/>
      <w:bookmarkEnd w:id="629"/>
      <w:bookmarkEnd w:id="630"/>
    </w:p>
    <w:p>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附：法定代表人（单位负责人）身份证正反双面： </w:t>
      </w:r>
    </w:p>
    <w:p>
      <w:pPr>
        <w:spacing w:line="480" w:lineRule="auto"/>
        <w:ind w:firstLine="480" w:firstLineChars="200"/>
        <w:rPr>
          <w:rFonts w:cs="仿宋_GB2312"/>
          <w:color w:val="auto"/>
          <w:szCs w:val="24"/>
          <w:highlight w:val="none"/>
        </w:rPr>
      </w:pPr>
    </w:p>
    <w:p>
      <w:pPr>
        <w:rPr>
          <w:rFonts w:cs="Arial"/>
          <w:color w:val="auto"/>
          <w:sz w:val="21"/>
          <w:szCs w:val="21"/>
          <w:highlight w:val="none"/>
        </w:rPr>
      </w:pPr>
    </w:p>
    <w:tbl>
      <w:tblPr>
        <w:tblStyle w:val="29"/>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1" w:hRule="atLeast"/>
          <w:jc w:val="center"/>
        </w:trPr>
        <w:tc>
          <w:tcPr>
            <w:tcW w:w="8527" w:type="dxa"/>
          </w:tcPr>
          <w:p>
            <w:pPr>
              <w:rPr>
                <w:rFonts w:cs="Arial"/>
                <w:color w:val="auto"/>
                <w:highlight w:val="none"/>
              </w:rPr>
            </w:pPr>
          </w:p>
        </w:tc>
      </w:tr>
    </w:tbl>
    <w:p>
      <w:pPr>
        <w:ind w:firstLine="840" w:firstLineChars="350"/>
        <w:jc w:val="center"/>
        <w:rPr>
          <w:rFonts w:cs="Arial"/>
          <w:color w:val="auto"/>
          <w:highlight w:val="none"/>
        </w:rPr>
      </w:pPr>
    </w:p>
    <w:p>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pPr>
        <w:rPr>
          <w:b/>
          <w:color w:val="auto"/>
          <w:sz w:val="28"/>
          <w:szCs w:val="28"/>
          <w:highlight w:val="none"/>
        </w:rPr>
      </w:pPr>
    </w:p>
    <w:p>
      <w:pPr>
        <w:rPr>
          <w:b/>
          <w:color w:val="auto"/>
          <w:sz w:val="28"/>
          <w:szCs w:val="28"/>
          <w:highlight w:val="none"/>
        </w:rPr>
      </w:pPr>
      <w:r>
        <w:rPr>
          <w:b/>
          <w:color w:val="auto"/>
          <w:sz w:val="28"/>
          <w:szCs w:val="28"/>
          <w:highlight w:val="none"/>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31" w:name="_Toc22585"/>
      <w:bookmarkStart w:id="632" w:name="_Toc155185925"/>
      <w:bookmarkStart w:id="633" w:name="_Toc29531"/>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631"/>
      <w:bookmarkEnd w:id="632"/>
      <w:bookmarkEnd w:id="633"/>
    </w:p>
    <w:p>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pPr>
        <w:ind w:firstLine="480" w:firstLineChars="200"/>
        <w:rPr>
          <w:rFonts w:cs="仿宋_GB2312"/>
          <w:color w:val="auto"/>
          <w:szCs w:val="24"/>
          <w:highlight w:val="none"/>
        </w:rPr>
      </w:pPr>
      <w:r>
        <w:rPr>
          <w:rFonts w:hint="eastAsia" w:cs="仿宋_GB2312"/>
          <w:color w:val="auto"/>
          <w:szCs w:val="24"/>
          <w:highlight w:val="none"/>
        </w:rPr>
        <w:t>代理人无转委托权。</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eastAsia" w:ascii="DejaVuSans" w:hAnsi="DejaVuSans" w:eastAsia="DejaVuSans" w:cs="DejaVuSans"/>
          <w:color w:val="auto"/>
          <w:kern w:val="0"/>
          <w:sz w:val="24"/>
          <w:szCs w:val="24"/>
          <w:highlight w:val="none"/>
          <w:u w:val="single"/>
          <w:lang w:val="en-US" w:eastAsia="zh-CN" w:bidi="ar"/>
        </w:rPr>
        <w:t xml:space="preserve">               </w:t>
      </w:r>
      <w:r>
        <w:rPr>
          <w:rFonts w:hint="default" w:ascii="DejaVuSans" w:hAnsi="DejaVuSans" w:eastAsia="DejaVuSans" w:cs="DejaVuSans"/>
          <w:color w:val="auto"/>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附：法定代表人及委托代理人</w:t>
      </w:r>
      <w:r>
        <w:rPr>
          <w:rFonts w:hint="eastAsia" w:cs="仿宋_GB2312"/>
          <w:color w:val="auto"/>
          <w:szCs w:val="24"/>
          <w:highlight w:val="none"/>
          <w:lang w:val="en-US" w:eastAsia="zh-CN"/>
        </w:rPr>
        <w:t>身份证正反双面</w:t>
      </w:r>
      <w:r>
        <w:rPr>
          <w:rFonts w:hint="eastAsia" w:ascii="宋体" w:hAnsi="宋体" w:eastAsia="宋体" w:cs="宋体"/>
          <w:color w:val="auto"/>
          <w:kern w:val="0"/>
          <w:sz w:val="24"/>
          <w:szCs w:val="24"/>
          <w:highlight w:val="none"/>
          <w:lang w:val="en-US" w:eastAsia="zh-CN" w:bidi="ar"/>
        </w:rPr>
        <w:t xml:space="preserve">： </w:t>
      </w:r>
    </w:p>
    <w:tbl>
      <w:tblPr>
        <w:tblStyle w:val="29"/>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8527" w:type="dxa"/>
          </w:tcPr>
          <w:p>
            <w:pPr>
              <w:rPr>
                <w:rFonts w:cs="Arial"/>
                <w:color w:val="auto"/>
                <w:highlight w:val="none"/>
              </w:rPr>
            </w:pPr>
          </w:p>
        </w:tc>
      </w:tr>
    </w:tbl>
    <w:p>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pPr>
        <w:ind w:firstLine="480" w:firstLineChars="200"/>
        <w:rPr>
          <w:rFonts w:hint="default" w:cs="仿宋_GB2312"/>
          <w:color w:val="auto"/>
          <w:szCs w:val="24"/>
          <w:highlight w:val="none"/>
          <w:lang w:val="en-US"/>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投标人应随本《授权委托书》同时提供法定代表人（单位负责人）及委托代理人的有效身份证正反双面电子件</w:t>
      </w:r>
    </w:p>
    <w:p>
      <w:pPr>
        <w:rPr>
          <w:color w:val="auto"/>
          <w:highlight w:val="none"/>
        </w:rPr>
      </w:pPr>
      <w:r>
        <w:rPr>
          <w:color w:val="auto"/>
          <w:highlight w:val="none"/>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四、开标一览表</w:t>
      </w:r>
      <w:bookmarkEnd w:id="625"/>
      <w:bookmarkEnd w:id="626"/>
    </w:p>
    <w:p>
      <w:pPr>
        <w:spacing w:line="300" w:lineRule="auto"/>
        <w:rPr>
          <w:rFonts w:cs="仿宋_GB2312"/>
          <w:color w:val="auto"/>
          <w:szCs w:val="24"/>
          <w:highlight w:val="none"/>
        </w:rPr>
      </w:pPr>
    </w:p>
    <w:p>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u w:val="single"/>
          <w:lang w:val="zh-CN"/>
        </w:rPr>
        <w:t xml:space="preserve">                </w:t>
      </w:r>
    </w:p>
    <w:tbl>
      <w:tblPr>
        <w:tblStyle w:val="29"/>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403" w:type="dxa"/>
            <w:vAlign w:val="center"/>
          </w:tcPr>
          <w:p>
            <w:pPr>
              <w:widowControl/>
              <w:autoSpaceDE w:val="0"/>
              <w:autoSpaceDN w:val="0"/>
              <w:jc w:val="center"/>
              <w:textAlignment w:val="bottom"/>
              <w:rPr>
                <w:color w:val="auto"/>
                <w:sz w:val="24"/>
                <w:szCs w:val="24"/>
                <w:highlight w:val="none"/>
              </w:rPr>
            </w:pPr>
            <w:r>
              <w:rPr>
                <w:rFonts w:hint="eastAsia"/>
                <w:color w:val="auto"/>
                <w:sz w:val="24"/>
                <w:szCs w:val="24"/>
                <w:highlight w:val="none"/>
              </w:rPr>
              <w:t>序号</w:t>
            </w:r>
          </w:p>
        </w:tc>
        <w:tc>
          <w:tcPr>
            <w:tcW w:w="2352" w:type="dxa"/>
            <w:vAlign w:val="center"/>
          </w:tcPr>
          <w:p>
            <w:pPr>
              <w:widowControl/>
              <w:autoSpaceDE w:val="0"/>
              <w:autoSpaceDN w:val="0"/>
              <w:ind w:left="851" w:hanging="851"/>
              <w:jc w:val="center"/>
              <w:textAlignment w:val="bottom"/>
              <w:rPr>
                <w:color w:val="auto"/>
                <w:sz w:val="24"/>
                <w:szCs w:val="24"/>
                <w:highlight w:val="none"/>
              </w:rPr>
            </w:pPr>
            <w:r>
              <w:rPr>
                <w:rFonts w:hint="eastAsia"/>
                <w:color w:val="auto"/>
                <w:sz w:val="24"/>
                <w:szCs w:val="24"/>
                <w:highlight w:val="none"/>
              </w:rPr>
              <w:t>投标报价</w:t>
            </w:r>
          </w:p>
        </w:tc>
        <w:tc>
          <w:tcPr>
            <w:tcW w:w="2161" w:type="dxa"/>
            <w:vAlign w:val="center"/>
          </w:tcPr>
          <w:p>
            <w:pPr>
              <w:widowControl/>
              <w:autoSpaceDE w:val="0"/>
              <w:autoSpaceDN w:val="0"/>
              <w:ind w:left="851" w:hanging="851"/>
              <w:jc w:val="center"/>
              <w:textAlignment w:val="bottom"/>
              <w:rPr>
                <w:color w:val="auto"/>
                <w:sz w:val="24"/>
                <w:szCs w:val="24"/>
                <w:highlight w:val="none"/>
              </w:rPr>
            </w:pPr>
            <w:r>
              <w:rPr>
                <w:rFonts w:hint="eastAsia"/>
                <w:color w:val="auto"/>
                <w:sz w:val="24"/>
                <w:szCs w:val="24"/>
                <w:highlight w:val="none"/>
                <w:lang w:val="en-US" w:eastAsia="zh-CN"/>
              </w:rPr>
              <w:t>服务</w:t>
            </w:r>
            <w:r>
              <w:rPr>
                <w:rFonts w:hint="eastAsia"/>
                <w:color w:val="auto"/>
                <w:sz w:val="24"/>
                <w:szCs w:val="24"/>
                <w:highlight w:val="none"/>
              </w:rPr>
              <w:t>期限</w:t>
            </w:r>
          </w:p>
        </w:tc>
        <w:tc>
          <w:tcPr>
            <w:tcW w:w="2611" w:type="dxa"/>
            <w:vAlign w:val="center"/>
          </w:tcPr>
          <w:p>
            <w:pPr>
              <w:widowControl/>
              <w:autoSpaceDE w:val="0"/>
              <w:autoSpaceDN w:val="0"/>
              <w:jc w:val="center"/>
              <w:textAlignment w:val="bottom"/>
              <w:rPr>
                <w:color w:val="auto"/>
                <w:sz w:val="24"/>
                <w:szCs w:val="24"/>
                <w:highlight w:val="none"/>
              </w:rPr>
            </w:pPr>
            <w:r>
              <w:rPr>
                <w:rFonts w:hint="eastAsia"/>
                <w:color w:val="auto"/>
                <w:sz w:val="24"/>
                <w:szCs w:val="24"/>
                <w:highlight w:val="none"/>
              </w:rPr>
              <w:t>备注（如有）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403" w:type="dxa"/>
            <w:vAlign w:val="center"/>
          </w:tcPr>
          <w:p>
            <w:pPr>
              <w:jc w:val="center"/>
              <w:rPr>
                <w:color w:val="auto"/>
                <w:sz w:val="24"/>
                <w:szCs w:val="24"/>
                <w:highlight w:val="none"/>
              </w:rPr>
            </w:pPr>
          </w:p>
        </w:tc>
        <w:tc>
          <w:tcPr>
            <w:tcW w:w="2352" w:type="dxa"/>
            <w:vAlign w:val="center"/>
          </w:tcPr>
          <w:p>
            <w:pPr>
              <w:widowControl/>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pPr>
              <w:jc w:val="both"/>
              <w:rPr>
                <w:color w:val="auto"/>
                <w:sz w:val="24"/>
                <w:szCs w:val="24"/>
                <w:highlight w:val="none"/>
              </w:rPr>
            </w:pPr>
            <w:r>
              <w:rPr>
                <w:rFonts w:hint="eastAsia"/>
                <w:color w:val="auto"/>
                <w:sz w:val="24"/>
                <w:szCs w:val="24"/>
                <w:highlight w:val="none"/>
                <w:lang w:val="en-US" w:eastAsia="zh-CN"/>
              </w:rPr>
              <w:t>大写：</w:t>
            </w:r>
          </w:p>
        </w:tc>
        <w:tc>
          <w:tcPr>
            <w:tcW w:w="2161" w:type="dxa"/>
            <w:vAlign w:val="center"/>
          </w:tcPr>
          <w:p>
            <w:pPr>
              <w:jc w:val="center"/>
              <w:rPr>
                <w:color w:val="auto"/>
                <w:sz w:val="24"/>
                <w:szCs w:val="24"/>
                <w:highlight w:val="none"/>
              </w:rPr>
            </w:pPr>
          </w:p>
        </w:tc>
        <w:tc>
          <w:tcPr>
            <w:tcW w:w="2611" w:type="dxa"/>
            <w:vAlign w:val="center"/>
          </w:tcPr>
          <w:p>
            <w:pPr>
              <w:jc w:val="center"/>
              <w:rPr>
                <w:color w:val="auto"/>
                <w:sz w:val="24"/>
                <w:szCs w:val="24"/>
                <w:highlight w:val="none"/>
              </w:rPr>
            </w:pPr>
          </w:p>
        </w:tc>
      </w:tr>
    </w:tbl>
    <w:p>
      <w:pPr>
        <w:spacing w:line="300" w:lineRule="auto"/>
        <w:rPr>
          <w:rFonts w:ascii="Arial" w:hAnsi="Arial" w:cs="Arial"/>
          <w:color w:val="auto"/>
          <w:szCs w:val="21"/>
          <w:highlight w:val="none"/>
          <w:u w:val="single"/>
        </w:rPr>
      </w:pPr>
    </w:p>
    <w:p>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ascii="Arial" w:hAnsi="Arial" w:cs="Arial"/>
          <w:color w:val="auto"/>
          <w:szCs w:val="21"/>
          <w:highlight w:val="none"/>
        </w:rPr>
        <w:t>：</w:t>
      </w:r>
    </w:p>
    <w:p>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pPr>
        <w:rPr>
          <w:rFonts w:cs="Arial"/>
          <w:color w:val="auto"/>
          <w:szCs w:val="24"/>
          <w:highlight w:val="none"/>
        </w:rPr>
      </w:pPr>
    </w:p>
    <w:p>
      <w:pPr>
        <w:pStyle w:val="13"/>
        <w:rPr>
          <w:rFonts w:cs="Arial"/>
          <w:color w:val="auto"/>
          <w:szCs w:val="24"/>
          <w:highlight w:val="none"/>
        </w:rPr>
      </w:pPr>
    </w:p>
    <w:p>
      <w:pPr>
        <w:pStyle w:val="13"/>
        <w:rPr>
          <w:rFonts w:cs="Arial"/>
          <w:color w:val="auto"/>
          <w:szCs w:val="24"/>
          <w:highlight w:val="none"/>
        </w:rPr>
      </w:pPr>
    </w:p>
    <w:p>
      <w:pPr>
        <w:pStyle w:val="13"/>
        <w:rPr>
          <w:rFonts w:cs="Arial"/>
          <w:color w:val="auto"/>
          <w:szCs w:val="24"/>
          <w:highlight w:val="none"/>
        </w:rPr>
      </w:pPr>
    </w:p>
    <w:p>
      <w:pPr>
        <w:pStyle w:val="13"/>
        <w:rPr>
          <w:rFonts w:cs="Arial"/>
          <w:color w:val="auto"/>
          <w:szCs w:val="24"/>
          <w:highlight w:val="none"/>
        </w:rPr>
      </w:pPr>
    </w:p>
    <w:p>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2.任何有选择或有条件的投标报价，或者表中某一包填写多个报价，均为无效报价。</w:t>
      </w:r>
    </w:p>
    <w:p>
      <w:pPr>
        <w:pStyle w:val="13"/>
        <w:ind w:firstLine="420" w:firstLineChars="200"/>
        <w:rPr>
          <w:rFonts w:hint="eastAsia" w:ascii="宋体" w:hAnsi="宋体" w:eastAsia="宋体" w:cs="宋体"/>
          <w:color w:val="auto"/>
          <w:sz w:val="24"/>
          <w:szCs w:val="24"/>
          <w:highlight w:val="none"/>
        </w:rPr>
        <w:sectPr>
          <w:pgSz w:w="11905" w:h="16838"/>
          <w:pgMar w:top="1587" w:right="1361" w:bottom="1474" w:left="1474" w:header="851" w:footer="992" w:gutter="0"/>
          <w:pgBorders>
            <w:top w:val="none" w:sz="0" w:space="0"/>
            <w:left w:val="none" w:sz="0" w:space="0"/>
            <w:bottom w:val="none" w:sz="0" w:space="0"/>
            <w:right w:val="none" w:sz="0" w:space="0"/>
          </w:pgBorders>
          <w:pgNumType w:fmt="numberInDash"/>
          <w:cols w:space="0" w:num="1"/>
          <w:rtlGutter w:val="0"/>
          <w:docGrid w:type="lines" w:linePitch="328" w:charSpace="0"/>
        </w:sect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34" w:name="_Toc12971"/>
      <w:bookmarkStart w:id="635" w:name="_Toc19342"/>
      <w:r>
        <w:rPr>
          <w:rFonts w:hint="eastAsia" w:cstheme="majorBidi"/>
          <w:b/>
          <w:bCs/>
          <w:color w:val="auto"/>
          <w:kern w:val="2"/>
          <w:sz w:val="32"/>
          <w:szCs w:val="32"/>
          <w:highlight w:val="none"/>
          <w:lang w:val="en-US" w:eastAsia="zh-CN" w:bidi="ar-SA"/>
        </w:rPr>
        <w:t>五、分项报价表</w:t>
      </w:r>
      <w:bookmarkEnd w:id="634"/>
      <w:bookmarkEnd w:id="635"/>
    </w:p>
    <w:p>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u w:val="single"/>
          <w:lang w:val="zh-CN"/>
        </w:rPr>
        <w:t xml:space="preserve">                     </w:t>
      </w:r>
    </w:p>
    <w:tbl>
      <w:tblPr>
        <w:tblStyle w:val="2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720"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1066"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w:t>
            </w:r>
            <w:r>
              <w:rPr>
                <w:rFonts w:hint="eastAsia" w:ascii="宋体" w:hAnsi="宋体" w:eastAsia="宋体" w:cs="宋体"/>
                <w:color w:val="auto"/>
                <w:sz w:val="21"/>
                <w:szCs w:val="21"/>
                <w:highlight w:val="none"/>
              </w:rPr>
              <w:t>价</w:t>
            </w:r>
          </w:p>
        </w:tc>
        <w:tc>
          <w:tcPr>
            <w:tcW w:w="947"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20"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20"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720"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720"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720"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720"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720"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720"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5" w:type="dxa"/>
            <w:shd w:val="clear" w:color="auto" w:fill="auto"/>
            <w:vAlign w:val="center"/>
          </w:tcPr>
          <w:p>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3720" w:type="dxa"/>
            <w:shd w:val="clear" w:color="auto" w:fill="auto"/>
            <w:vAlign w:val="center"/>
          </w:tcPr>
          <w:p>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3720"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720"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pPr>
              <w:adjustRightInd w:val="0"/>
              <w:snapToGrid w:val="0"/>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15" w:type="dxa"/>
            <w:gridSpan w:val="4"/>
            <w:vAlign w:val="center"/>
          </w:tcPr>
          <w:p>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投标报价合计（元）</w:t>
            </w:r>
          </w:p>
        </w:tc>
        <w:tc>
          <w:tcPr>
            <w:tcW w:w="2013" w:type="dxa"/>
            <w:gridSpan w:val="2"/>
            <w:vAlign w:val="center"/>
          </w:tcPr>
          <w:p>
            <w:pPr>
              <w:adjustRightInd w:val="0"/>
              <w:snapToGrid w:val="0"/>
              <w:spacing w:line="240" w:lineRule="auto"/>
              <w:jc w:val="center"/>
              <w:rPr>
                <w:rFonts w:hint="eastAsia" w:ascii="宋体" w:hAnsi="宋体" w:eastAsia="宋体" w:cs="宋体"/>
                <w:color w:val="auto"/>
                <w:sz w:val="21"/>
                <w:szCs w:val="21"/>
                <w:highlight w:val="none"/>
              </w:rPr>
            </w:pPr>
          </w:p>
        </w:tc>
      </w:tr>
    </w:tbl>
    <w:p>
      <w:pPr>
        <w:spacing w:line="300" w:lineRule="auto"/>
        <w:rPr>
          <w:rFonts w:ascii="Arial" w:hAnsi="Arial" w:cs="Arial"/>
          <w:color w:val="auto"/>
          <w:szCs w:val="21"/>
          <w:highlight w:val="none"/>
        </w:rPr>
      </w:pPr>
    </w:p>
    <w:p>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ascii="Arial" w:hAnsi="Arial" w:cs="Arial"/>
          <w:color w:val="auto"/>
          <w:szCs w:val="21"/>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ascii="Arial" w:hAnsi="Arial" w:cs="Arial"/>
          <w:color w:val="auto"/>
          <w:szCs w:val="21"/>
          <w:highlight w:val="none"/>
        </w:rPr>
        <w:t>：</w:t>
      </w:r>
    </w:p>
    <w:p>
      <w:pPr>
        <w:spacing w:line="300" w:lineRule="auto"/>
        <w:rPr>
          <w:rFonts w:ascii="Arial" w:hAnsi="Arial" w:cs="Arial"/>
          <w:color w:val="auto"/>
          <w:szCs w:val="21"/>
          <w:highlight w:val="none"/>
        </w:rPr>
      </w:pPr>
      <w:r>
        <w:rPr>
          <w:rFonts w:ascii="Arial" w:hAnsi="Arial" w:cs="Arial"/>
          <w:color w:val="auto"/>
          <w:szCs w:val="21"/>
          <w:highlight w:val="none"/>
        </w:rPr>
        <w:t>日期：</w:t>
      </w:r>
    </w:p>
    <w:p>
      <w:pPr>
        <w:spacing w:line="300" w:lineRule="auto"/>
        <w:rPr>
          <w:rFonts w:ascii="Arial" w:hAnsi="Arial" w:cs="Arial"/>
          <w:color w:val="auto"/>
          <w:szCs w:val="21"/>
          <w:highlight w:val="none"/>
        </w:rPr>
      </w:pPr>
    </w:p>
    <w:p>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pPr>
        <w:spacing w:line="360" w:lineRule="auto"/>
        <w:ind w:firstLine="43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按照本表填写的各项目的投标报价合计填写到</w:t>
      </w:r>
      <w:r>
        <w:rPr>
          <w:rFonts w:hint="eastAsia" w:ascii="宋体" w:hAnsi="宋体" w:eastAsia="宋体" w:cs="宋体"/>
          <w:color w:val="auto"/>
          <w:sz w:val="21"/>
          <w:szCs w:val="21"/>
          <w:highlight w:val="none"/>
          <w:lang w:val="en-US" w:eastAsia="zh-CN"/>
        </w:rPr>
        <w:t>“开标一览表”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投标报价</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栏中。</w:t>
      </w:r>
    </w:p>
    <w:p>
      <w:pPr>
        <w:spacing w:line="360" w:lineRule="auto"/>
        <w:ind w:firstLine="435"/>
        <w:rPr>
          <w:rFonts w:hint="eastAsia" w:ascii="宋体" w:hAnsi="宋体" w:eastAsia="宋体" w:cs="宋体"/>
          <w:color w:val="auto"/>
          <w:sz w:val="24"/>
          <w:szCs w:val="24"/>
          <w:highlight w:val="none"/>
        </w:rPr>
        <w:sectPr>
          <w:footerReference r:id="rId10" w:type="default"/>
          <w:pgSz w:w="11905" w:h="16838"/>
          <w:pgMar w:top="1587" w:right="1361" w:bottom="1474" w:left="1474" w:header="851" w:footer="992" w:gutter="0"/>
          <w:pgBorders>
            <w:top w:val="none" w:sz="0" w:space="0"/>
            <w:left w:val="none" w:sz="0" w:space="0"/>
            <w:bottom w:val="none" w:sz="0" w:space="0"/>
            <w:right w:val="none" w:sz="0" w:space="0"/>
          </w:pgBorders>
          <w:pgNumType w:fmt="numberInDash"/>
          <w:cols w:space="0" w:num="1"/>
          <w:rtlGutter w:val="0"/>
          <w:docGrid w:type="lines" w:linePitch="328" w:charSpace="0"/>
        </w:sect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.所列服务为对应本项目需求的全部服务内容。如有漏项或缺项，投标人承担全部责任。</w:t>
      </w:r>
      <w:r>
        <w:rPr>
          <w:rFonts w:hint="eastAsia" w:ascii="宋体" w:hAnsi="宋体" w:eastAsia="宋体" w:cs="宋体"/>
          <w:color w:val="auto"/>
          <w:sz w:val="24"/>
          <w:szCs w:val="24"/>
          <w:highlight w:val="none"/>
        </w:rPr>
        <w:br w:type="page"/>
      </w:r>
    </w:p>
    <w:p>
      <w:pPr>
        <w:spacing w:line="400" w:lineRule="atLeast"/>
        <w:jc w:val="center"/>
        <w:outlineLvl w:val="1"/>
        <w:rPr>
          <w:rFonts w:hint="eastAsia" w:eastAsia="宋体" w:asciiTheme="majorHAnsi" w:hAnsiTheme="majorHAnsi" w:cstheme="majorBidi"/>
          <w:b/>
          <w:bCs/>
          <w:i w:val="0"/>
          <w:iCs w:val="0"/>
          <w:color w:val="auto"/>
          <w:kern w:val="2"/>
          <w:sz w:val="32"/>
          <w:szCs w:val="32"/>
          <w:highlight w:val="none"/>
          <w:lang w:val="en-US" w:eastAsia="zh-CN" w:bidi="ar-SA"/>
        </w:rPr>
      </w:pPr>
      <w:bookmarkStart w:id="636" w:name="_Toc155185934"/>
      <w:bookmarkStart w:id="637" w:name="_Toc163492928"/>
      <w:bookmarkStart w:id="638" w:name="_Toc12455"/>
      <w:bookmarkStart w:id="639" w:name="_Toc30910"/>
      <w:r>
        <w:rPr>
          <w:rFonts w:hint="eastAsia" w:eastAsia="宋体" w:asciiTheme="majorHAnsi" w:hAnsiTheme="majorHAnsi" w:cstheme="majorBidi"/>
          <w:b/>
          <w:bCs/>
          <w:i w:val="0"/>
          <w:iCs w:val="0"/>
          <w:color w:val="auto"/>
          <w:kern w:val="2"/>
          <w:sz w:val="32"/>
          <w:szCs w:val="32"/>
          <w:highlight w:val="none"/>
          <w:lang w:val="en-US" w:eastAsia="zh-CN" w:bidi="ar-SA"/>
        </w:rPr>
        <w:t>六、关于资格的声明函</w:t>
      </w:r>
    </w:p>
    <w:p>
      <w:pPr>
        <w:rPr>
          <w:rFonts w:hint="eastAsia" w:ascii="宋体" w:hAnsi="宋体" w:eastAsia="宋体" w:cs="仿宋_GB2312"/>
          <w:i w:val="0"/>
          <w:iCs w:val="0"/>
          <w:color w:val="auto"/>
          <w:szCs w:val="24"/>
          <w:highlight w:val="none"/>
        </w:rPr>
      </w:pPr>
    </w:p>
    <w:p>
      <w:pPr>
        <w:rPr>
          <w:rFonts w:hint="eastAsia" w:ascii="宋体" w:hAnsi="宋体" w:eastAsia="宋体" w:cs="仿宋_GB2312"/>
          <w:i w:val="0"/>
          <w:iCs w:val="0"/>
          <w:color w:val="auto"/>
          <w:szCs w:val="24"/>
          <w:highlight w:val="none"/>
          <w:lang w:val="en-US" w:eastAsia="zh-CN"/>
        </w:rPr>
      </w:pPr>
      <w:r>
        <w:rPr>
          <w:rFonts w:hint="eastAsia" w:ascii="宋体" w:hAnsi="宋体" w:eastAsia="宋体" w:cs="仿宋_GB2312"/>
          <w:i w:val="0"/>
          <w:iCs w:val="0"/>
          <w:color w:val="auto"/>
          <w:szCs w:val="24"/>
          <w:highlight w:val="none"/>
        </w:rPr>
        <w:t>致</w:t>
      </w:r>
      <w:r>
        <w:rPr>
          <w:rFonts w:hint="eastAsia" w:ascii="宋体" w:hAnsi="宋体" w:eastAsia="宋体" w:cs="仿宋_GB2312"/>
          <w:i w:val="0"/>
          <w:iCs w:val="0"/>
          <w:color w:val="auto"/>
          <w:szCs w:val="24"/>
          <w:highlight w:val="none"/>
          <w:lang w:eastAsia="zh-CN"/>
        </w:rPr>
        <w:t>：</w:t>
      </w:r>
      <w:r>
        <w:rPr>
          <w:rFonts w:hint="eastAsia" w:ascii="宋体" w:hAnsi="宋体" w:eastAsia="宋体" w:cs="仿宋_GB2312"/>
          <w:i w:val="0"/>
          <w:iCs w:val="0"/>
          <w:color w:val="auto"/>
          <w:szCs w:val="24"/>
          <w:highlight w:val="none"/>
          <w:lang w:val="en-US" w:eastAsia="zh-CN"/>
        </w:rPr>
        <w:t>采购人</w:t>
      </w:r>
    </w:p>
    <w:p>
      <w:pPr>
        <w:ind w:firstLine="480" w:firstLineChars="200"/>
        <w:rPr>
          <w:rFonts w:hint="default" w:ascii="宋体" w:hAnsi="宋体" w:eastAsia="宋体" w:cs="仿宋_GB2312"/>
          <w:i w:val="0"/>
          <w:iCs w:val="0"/>
          <w:color w:val="auto"/>
          <w:szCs w:val="24"/>
          <w:highlight w:val="none"/>
          <w:lang w:val="en-US" w:eastAsia="zh-CN"/>
        </w:rPr>
      </w:pPr>
      <w:r>
        <w:rPr>
          <w:rFonts w:hint="eastAsia" w:ascii="宋体" w:hAnsi="宋体" w:eastAsia="宋体" w:cs="仿宋_GB2312"/>
          <w:i w:val="0"/>
          <w:iCs w:val="0"/>
          <w:color w:val="auto"/>
          <w:szCs w:val="24"/>
          <w:highlight w:val="none"/>
          <w:lang w:val="en-US" w:eastAsia="zh-CN"/>
        </w:rPr>
        <w:t>采购代理机构</w:t>
      </w:r>
    </w:p>
    <w:p>
      <w:pPr>
        <w:ind w:firstLine="480" w:firstLineChars="200"/>
        <w:rPr>
          <w:rFonts w:hint="eastAsia" w:ascii="宋体" w:hAnsi="宋体" w:eastAsia="宋体" w:cs="仿宋_GB2312"/>
          <w:i w:val="0"/>
          <w:iCs w:val="0"/>
          <w:color w:val="auto"/>
          <w:szCs w:val="24"/>
          <w:highlight w:val="none"/>
        </w:rPr>
      </w:pPr>
    </w:p>
    <w:p>
      <w:pPr>
        <w:ind w:firstLine="480" w:firstLineChars="200"/>
        <w:rPr>
          <w:rFonts w:hint="eastAsia" w:ascii="宋体" w:hAnsi="宋体" w:eastAsia="宋体" w:cs="仿宋_GB2312"/>
          <w:i w:val="0"/>
          <w:iCs w:val="0"/>
          <w:color w:val="auto"/>
          <w:szCs w:val="24"/>
          <w:highlight w:val="none"/>
        </w:rPr>
      </w:pPr>
      <w:r>
        <w:rPr>
          <w:rFonts w:hint="eastAsia" w:ascii="宋体" w:hAnsi="宋体" w:eastAsia="宋体" w:cs="仿宋_GB2312"/>
          <w:i w:val="0"/>
          <w:iCs w:val="0"/>
          <w:color w:val="auto"/>
          <w:szCs w:val="24"/>
          <w:highlight w:val="none"/>
        </w:rPr>
        <w:t>关于贵方</w:t>
      </w:r>
      <w:r>
        <w:rPr>
          <w:rFonts w:hint="eastAsia" w:ascii="宋体" w:hAnsi="宋体" w:eastAsia="宋体" w:cs="仿宋_GB2312"/>
          <w:i w:val="0"/>
          <w:iCs w:val="0"/>
          <w:color w:val="auto"/>
          <w:szCs w:val="24"/>
          <w:highlight w:val="none"/>
          <w:u w:val="single"/>
          <w:lang w:val="en-US" w:eastAsia="zh-CN"/>
        </w:rPr>
        <w:t xml:space="preserve">    </w:t>
      </w:r>
      <w:r>
        <w:rPr>
          <w:rFonts w:hint="eastAsia" w:ascii="宋体" w:hAnsi="宋体" w:eastAsia="宋体" w:cs="仿宋_GB2312"/>
          <w:i w:val="0"/>
          <w:iCs w:val="0"/>
          <w:color w:val="auto"/>
          <w:szCs w:val="24"/>
          <w:highlight w:val="none"/>
        </w:rPr>
        <w:t>年</w:t>
      </w:r>
      <w:r>
        <w:rPr>
          <w:rFonts w:hint="eastAsia" w:ascii="宋体" w:hAnsi="宋体" w:eastAsia="宋体" w:cs="仿宋_GB2312"/>
          <w:i w:val="0"/>
          <w:iCs w:val="0"/>
          <w:color w:val="auto"/>
          <w:szCs w:val="24"/>
          <w:highlight w:val="none"/>
          <w:u w:val="single"/>
          <w:lang w:val="en-US" w:eastAsia="zh-CN"/>
        </w:rPr>
        <w:t xml:space="preserve">    </w:t>
      </w:r>
      <w:r>
        <w:rPr>
          <w:rFonts w:hint="eastAsia" w:ascii="宋体" w:hAnsi="宋体" w:eastAsia="宋体" w:cs="仿宋_GB2312"/>
          <w:i w:val="0"/>
          <w:iCs w:val="0"/>
          <w:color w:val="auto"/>
          <w:szCs w:val="24"/>
          <w:highlight w:val="none"/>
        </w:rPr>
        <w:t>月</w:t>
      </w:r>
      <w:r>
        <w:rPr>
          <w:rFonts w:hint="eastAsia" w:ascii="宋体" w:hAnsi="宋体" w:eastAsia="宋体" w:cs="仿宋_GB2312"/>
          <w:i w:val="0"/>
          <w:iCs w:val="0"/>
          <w:color w:val="auto"/>
          <w:szCs w:val="24"/>
          <w:highlight w:val="none"/>
          <w:u w:val="single"/>
          <w:lang w:val="en-US" w:eastAsia="zh-CN"/>
        </w:rPr>
        <w:t xml:space="preserve">    </w:t>
      </w:r>
      <w:r>
        <w:rPr>
          <w:rFonts w:hint="eastAsia" w:ascii="宋体" w:hAnsi="宋体" w:eastAsia="宋体" w:cs="仿宋_GB2312"/>
          <w:i w:val="0"/>
          <w:iCs w:val="0"/>
          <w:color w:val="auto"/>
          <w:szCs w:val="24"/>
          <w:highlight w:val="none"/>
        </w:rPr>
        <w:t>日</w:t>
      </w:r>
      <w:r>
        <w:rPr>
          <w:rFonts w:hint="eastAsia" w:ascii="宋体" w:hAnsi="宋体" w:eastAsia="宋体" w:cs="仿宋_GB2312"/>
          <w:i w:val="0"/>
          <w:iCs w:val="0"/>
          <w:color w:val="auto"/>
          <w:szCs w:val="24"/>
          <w:highlight w:val="none"/>
          <w:u w:val="single"/>
        </w:rPr>
        <w:t>（项目编号）</w:t>
      </w:r>
      <w:r>
        <w:rPr>
          <w:rFonts w:hint="eastAsia" w:cs="仿宋_GB2312"/>
          <w:i w:val="0"/>
          <w:iCs w:val="0"/>
          <w:color w:val="auto"/>
          <w:szCs w:val="24"/>
          <w:highlight w:val="none"/>
          <w:u w:val="single"/>
          <w:lang w:val="en-US" w:eastAsia="zh-CN"/>
        </w:rPr>
        <w:t>招标</w:t>
      </w:r>
      <w:r>
        <w:rPr>
          <w:rFonts w:hint="eastAsia" w:ascii="宋体" w:hAnsi="宋体" w:eastAsia="宋体" w:cs="仿宋_GB2312"/>
          <w:i w:val="0"/>
          <w:iCs w:val="0"/>
          <w:color w:val="auto"/>
          <w:szCs w:val="24"/>
          <w:highlight w:val="none"/>
        </w:rPr>
        <w:t>公告，本签字人愿意参加</w:t>
      </w:r>
      <w:r>
        <w:rPr>
          <w:rFonts w:hint="eastAsia" w:cs="仿宋_GB2312"/>
          <w:i w:val="0"/>
          <w:iCs w:val="0"/>
          <w:color w:val="auto"/>
          <w:szCs w:val="24"/>
          <w:highlight w:val="none"/>
          <w:lang w:val="en-US" w:eastAsia="zh-CN"/>
        </w:rPr>
        <w:t>招标</w:t>
      </w:r>
      <w:r>
        <w:rPr>
          <w:rFonts w:hint="eastAsia" w:ascii="宋体" w:hAnsi="宋体" w:eastAsia="宋体" w:cs="仿宋_GB2312"/>
          <w:i w:val="0"/>
          <w:iCs w:val="0"/>
          <w:color w:val="auto"/>
          <w:szCs w:val="24"/>
          <w:highlight w:val="none"/>
        </w:rPr>
        <w:t>，并有能力提供</w:t>
      </w:r>
      <w:r>
        <w:rPr>
          <w:rFonts w:hint="eastAsia" w:ascii="宋体" w:hAnsi="宋体" w:eastAsia="宋体" w:cs="仿宋_GB2312"/>
          <w:i w:val="0"/>
          <w:iCs w:val="0"/>
          <w:color w:val="auto"/>
          <w:szCs w:val="24"/>
          <w:highlight w:val="none"/>
          <w:u w:val="single"/>
        </w:rPr>
        <w:t>（项目名称）</w:t>
      </w:r>
      <w:r>
        <w:rPr>
          <w:rFonts w:hint="eastAsia" w:ascii="宋体" w:hAnsi="宋体" w:eastAsia="宋体" w:cs="仿宋_GB2312"/>
          <w:i w:val="0"/>
          <w:iCs w:val="0"/>
          <w:color w:val="auto"/>
          <w:szCs w:val="24"/>
          <w:highlight w:val="none"/>
        </w:rPr>
        <w:t>项目中的</w:t>
      </w:r>
      <w:r>
        <w:rPr>
          <w:rFonts w:hint="eastAsia" w:cs="仿宋_GB2312"/>
          <w:i w:val="0"/>
          <w:iCs w:val="0"/>
          <w:color w:val="auto"/>
          <w:szCs w:val="24"/>
          <w:highlight w:val="none"/>
          <w:lang w:val="en-US" w:eastAsia="zh-CN"/>
        </w:rPr>
        <w:t>招标</w:t>
      </w:r>
      <w:r>
        <w:rPr>
          <w:rFonts w:hint="eastAsia" w:ascii="宋体" w:hAnsi="宋体" w:eastAsia="宋体" w:cs="仿宋_GB2312"/>
          <w:i w:val="0"/>
          <w:iCs w:val="0"/>
          <w:color w:val="auto"/>
          <w:szCs w:val="24"/>
          <w:highlight w:val="none"/>
        </w:rPr>
        <w:t>内容及相关服务，并证明所提交的所有文件和说明是准确和真实的。</w:t>
      </w:r>
    </w:p>
    <w:p>
      <w:pPr>
        <w:ind w:firstLine="480" w:firstLineChars="200"/>
        <w:rPr>
          <w:rFonts w:hint="eastAsia" w:ascii="宋体" w:hAnsi="宋体" w:eastAsia="宋体" w:cs="仿宋_GB2312"/>
          <w:i w:val="0"/>
          <w:iCs w:val="0"/>
          <w:color w:val="auto"/>
          <w:szCs w:val="24"/>
          <w:highlight w:val="none"/>
        </w:rPr>
      </w:pPr>
    </w:p>
    <w:p>
      <w:pPr>
        <w:ind w:firstLine="480" w:firstLineChars="200"/>
        <w:rPr>
          <w:rFonts w:hint="eastAsia" w:ascii="宋体" w:hAnsi="宋体" w:eastAsia="宋体" w:cs="仿宋_GB2312"/>
          <w:i w:val="0"/>
          <w:iCs w:val="0"/>
          <w:color w:val="auto"/>
          <w:szCs w:val="24"/>
          <w:highlight w:val="none"/>
        </w:rPr>
      </w:pPr>
    </w:p>
    <w:p>
      <w:pPr>
        <w:ind w:firstLine="480" w:firstLineChars="200"/>
        <w:rPr>
          <w:rFonts w:hint="eastAsia" w:ascii="宋体" w:hAnsi="宋体" w:eastAsia="宋体" w:cs="仿宋_GB2312"/>
          <w:i w:val="0"/>
          <w:iCs w:val="0"/>
          <w:color w:val="auto"/>
          <w:szCs w:val="24"/>
          <w:highlight w:val="none"/>
        </w:rPr>
      </w:pPr>
      <w:r>
        <w:rPr>
          <w:rFonts w:hint="eastAsia" w:ascii="宋体" w:hAnsi="宋体" w:eastAsia="宋体" w:cs="仿宋_GB2312"/>
          <w:i w:val="0"/>
          <w:iCs w:val="0"/>
          <w:color w:val="auto"/>
          <w:szCs w:val="24"/>
          <w:highlight w:val="none"/>
        </w:rPr>
        <w:t>供应商</w:t>
      </w:r>
      <w:r>
        <w:rPr>
          <w:rFonts w:hint="eastAsia" w:ascii="宋体" w:hAnsi="宋体" w:eastAsia="宋体" w:cs="仿宋_GB2312"/>
          <w:i w:val="0"/>
          <w:iCs w:val="0"/>
          <w:color w:val="auto"/>
          <w:szCs w:val="24"/>
          <w:highlight w:val="none"/>
          <w:lang w:val="en-US" w:eastAsia="zh-CN"/>
        </w:rPr>
        <w:t>名称</w:t>
      </w:r>
      <w:r>
        <w:rPr>
          <w:rFonts w:hint="eastAsia" w:ascii="宋体" w:hAnsi="宋体" w:eastAsia="宋体" w:cs="仿宋_GB2312"/>
          <w:i w:val="0"/>
          <w:iCs w:val="0"/>
          <w:color w:val="auto"/>
          <w:szCs w:val="24"/>
          <w:highlight w:val="none"/>
          <w:lang w:eastAsia="zh-CN"/>
        </w:rPr>
        <w:t>（公章）</w:t>
      </w:r>
      <w:r>
        <w:rPr>
          <w:rFonts w:hint="eastAsia" w:ascii="宋体" w:hAnsi="宋体" w:eastAsia="宋体" w:cs="仿宋_GB2312"/>
          <w:i w:val="0"/>
          <w:iCs w:val="0"/>
          <w:color w:val="auto"/>
          <w:szCs w:val="24"/>
          <w:highlight w:val="none"/>
        </w:rPr>
        <w:t>：</w:t>
      </w:r>
    </w:p>
    <w:p>
      <w:pPr>
        <w:ind w:firstLine="480" w:firstLineChars="200"/>
        <w:rPr>
          <w:rFonts w:hint="eastAsia" w:ascii="宋体" w:hAnsi="宋体" w:eastAsia="宋体" w:cs="仿宋_GB2312"/>
          <w:i w:val="0"/>
          <w:iCs w:val="0"/>
          <w:color w:val="auto"/>
          <w:szCs w:val="24"/>
          <w:highlight w:val="none"/>
        </w:rPr>
      </w:pPr>
      <w:r>
        <w:rPr>
          <w:rFonts w:hint="eastAsia" w:ascii="宋体" w:hAnsi="宋体" w:eastAsia="宋体" w:cs="仿宋_GB2312"/>
          <w:i w:val="0"/>
          <w:iCs w:val="0"/>
          <w:color w:val="auto"/>
          <w:szCs w:val="24"/>
          <w:highlight w:val="none"/>
        </w:rPr>
        <w:t>法定代表人</w:t>
      </w:r>
      <w:r>
        <w:rPr>
          <w:rFonts w:hint="eastAsia" w:ascii="宋体" w:hAnsi="宋体" w:eastAsia="宋体" w:cs="仿宋_GB2312"/>
          <w:i w:val="0"/>
          <w:iCs w:val="0"/>
          <w:color w:val="auto"/>
          <w:szCs w:val="24"/>
          <w:highlight w:val="none"/>
          <w:lang w:eastAsia="zh-CN"/>
        </w:rPr>
        <w:t>（</w:t>
      </w:r>
      <w:r>
        <w:rPr>
          <w:rFonts w:hint="eastAsia" w:ascii="宋体" w:hAnsi="宋体" w:eastAsia="宋体" w:cs="仿宋_GB2312"/>
          <w:i w:val="0"/>
          <w:iCs w:val="0"/>
          <w:color w:val="auto"/>
          <w:szCs w:val="24"/>
          <w:highlight w:val="none"/>
        </w:rPr>
        <w:t>负责人</w:t>
      </w:r>
      <w:r>
        <w:rPr>
          <w:rFonts w:hint="eastAsia" w:ascii="宋体" w:hAnsi="宋体" w:eastAsia="宋体" w:cs="仿宋_GB2312"/>
          <w:i w:val="0"/>
          <w:iCs w:val="0"/>
          <w:color w:val="auto"/>
          <w:szCs w:val="24"/>
          <w:highlight w:val="none"/>
          <w:lang w:val="en-US" w:eastAsia="zh-CN"/>
        </w:rPr>
        <w:t>或</w:t>
      </w:r>
      <w:r>
        <w:rPr>
          <w:rFonts w:hint="eastAsia" w:ascii="宋体" w:hAnsi="宋体" w:eastAsia="宋体" w:cs="仿宋_GB2312"/>
          <w:i w:val="0"/>
          <w:iCs w:val="0"/>
          <w:color w:val="auto"/>
          <w:szCs w:val="24"/>
          <w:highlight w:val="none"/>
        </w:rPr>
        <w:t>本人</w:t>
      </w:r>
      <w:r>
        <w:rPr>
          <w:rFonts w:hint="eastAsia" w:ascii="宋体" w:hAnsi="宋体" w:eastAsia="宋体" w:cs="仿宋_GB2312"/>
          <w:i w:val="0"/>
          <w:iCs w:val="0"/>
          <w:color w:val="auto"/>
          <w:szCs w:val="24"/>
          <w:highlight w:val="none"/>
          <w:lang w:eastAsia="zh-CN"/>
        </w:rPr>
        <w:t>）</w:t>
      </w:r>
      <w:r>
        <w:rPr>
          <w:rFonts w:hint="eastAsia" w:ascii="宋体" w:hAnsi="宋体" w:eastAsia="宋体" w:cs="仿宋_GB2312"/>
          <w:i w:val="0"/>
          <w:iCs w:val="0"/>
          <w:color w:val="auto"/>
          <w:szCs w:val="24"/>
          <w:highlight w:val="none"/>
        </w:rPr>
        <w:t>或授权代表</w:t>
      </w:r>
      <w:r>
        <w:rPr>
          <w:rFonts w:hint="eastAsia" w:ascii="宋体" w:hAnsi="宋体" w:eastAsia="宋体" w:cs="仿宋_GB2312"/>
          <w:i w:val="0"/>
          <w:iCs w:val="0"/>
          <w:color w:val="auto"/>
          <w:szCs w:val="24"/>
          <w:highlight w:val="none"/>
          <w:lang w:eastAsia="zh-CN"/>
        </w:rPr>
        <w:t>（</w:t>
      </w:r>
      <w:r>
        <w:rPr>
          <w:rFonts w:hint="eastAsia" w:ascii="宋体" w:hAnsi="宋体" w:eastAsia="宋体" w:cs="仿宋_GB2312"/>
          <w:i w:val="0"/>
          <w:iCs w:val="0"/>
          <w:color w:val="auto"/>
          <w:szCs w:val="24"/>
          <w:highlight w:val="none"/>
        </w:rPr>
        <w:t>签字或印章</w:t>
      </w:r>
      <w:r>
        <w:rPr>
          <w:rFonts w:hint="eastAsia" w:ascii="宋体" w:hAnsi="宋体" w:eastAsia="宋体" w:cs="仿宋_GB2312"/>
          <w:i w:val="0"/>
          <w:iCs w:val="0"/>
          <w:color w:val="auto"/>
          <w:szCs w:val="24"/>
          <w:highlight w:val="none"/>
          <w:lang w:eastAsia="zh-CN"/>
        </w:rPr>
        <w:t>）</w:t>
      </w:r>
      <w:r>
        <w:rPr>
          <w:rFonts w:hint="eastAsia" w:ascii="宋体" w:hAnsi="宋体" w:eastAsia="宋体" w:cs="仿宋_GB2312"/>
          <w:i w:val="0"/>
          <w:iCs w:val="0"/>
          <w:color w:val="auto"/>
          <w:szCs w:val="24"/>
          <w:highlight w:val="none"/>
        </w:rPr>
        <w:t>：</w:t>
      </w:r>
    </w:p>
    <w:p>
      <w:pPr>
        <w:ind w:firstLine="480" w:firstLineChars="200"/>
        <w:rPr>
          <w:rFonts w:hint="eastAsia" w:ascii="宋体" w:hAnsi="宋体" w:eastAsia="宋体" w:cs="仿宋_GB2312"/>
          <w:i w:val="0"/>
          <w:iCs w:val="0"/>
          <w:color w:val="auto"/>
          <w:szCs w:val="24"/>
          <w:highlight w:val="none"/>
        </w:rPr>
      </w:pPr>
      <w:r>
        <w:rPr>
          <w:rFonts w:hint="eastAsia" w:ascii="宋体" w:hAnsi="宋体" w:eastAsia="宋体" w:cs="仿宋_GB2312"/>
          <w:i w:val="0"/>
          <w:iCs w:val="0"/>
          <w:color w:val="auto"/>
          <w:szCs w:val="24"/>
          <w:highlight w:val="none"/>
        </w:rPr>
        <w:t>日期： 年 月 日</w:t>
      </w: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Theme="majorHAnsi" w:hAnsiTheme="majorHAnsi" w:cstheme="majorBidi"/>
          <w:b/>
          <w:bCs/>
          <w:color w:val="auto"/>
          <w:kern w:val="2"/>
          <w:sz w:val="32"/>
          <w:szCs w:val="32"/>
          <w:highlight w:val="none"/>
          <w:lang w:val="en-US" w:eastAsia="zh-CN" w:bidi="ar-SA"/>
        </w:rPr>
        <w:sectPr>
          <w:pgSz w:w="11905" w:h="16838"/>
          <w:pgMar w:top="1587" w:right="1361" w:bottom="1474" w:left="1474" w:header="851" w:footer="992" w:gutter="0"/>
          <w:pgBorders>
            <w:top w:val="none" w:sz="0" w:space="0"/>
            <w:left w:val="none" w:sz="0" w:space="0"/>
            <w:bottom w:val="none" w:sz="0" w:space="0"/>
            <w:right w:val="none" w:sz="0" w:space="0"/>
          </w:pgBorders>
          <w:pgNumType w:fmt="numberInDash"/>
          <w:cols w:space="0" w:num="1"/>
          <w:rtlGutter w:val="0"/>
          <w:docGrid w:type="lines" w:linePitch="328" w:charSpace="0"/>
        </w:sectPr>
      </w:pP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w:t>
      </w:r>
      <w:bookmarkEnd w:id="636"/>
      <w:bookmarkEnd w:id="637"/>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638"/>
      <w:bookmarkEnd w:id="639"/>
    </w:p>
    <w:p>
      <w:pPr>
        <w:pStyle w:val="13"/>
        <w:rPr>
          <w:color w:val="auto"/>
          <w:highlight w:val="none"/>
        </w:rPr>
      </w:pPr>
    </w:p>
    <w:p>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w:t>
      </w:r>
      <w:r>
        <w:rPr>
          <w:rFonts w:hint="eastAsia"/>
          <w:color w:val="auto"/>
          <w:highlight w:val="none"/>
        </w:rPr>
        <w:t>《中华人民共和国政府采购法</w:t>
      </w:r>
      <w:r>
        <w:rPr>
          <w:rFonts w:hint="eastAsia"/>
          <w:color w:val="auto"/>
          <w:highlight w:val="none"/>
          <w:lang w:val="en-US" w:eastAsia="zh-CN"/>
        </w:rPr>
        <w:t>实施条例</w:t>
      </w:r>
      <w:r>
        <w:rPr>
          <w:rFonts w:hint="eastAsia"/>
          <w:color w:val="auto"/>
          <w:highlight w:val="none"/>
        </w:rPr>
        <w:t>》</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s="宋体"/>
          <w:color w:val="auto"/>
          <w:kern w:val="0"/>
          <w:sz w:val="24"/>
          <w:szCs w:val="24"/>
          <w:highlight w:val="none"/>
          <w:lang w:val="en-US" w:eastAsia="zh-CN"/>
        </w:rPr>
        <w:t>主管单位</w:t>
      </w:r>
      <w:r>
        <w:rPr>
          <w:rFonts w:hint="eastAsia" w:ascii="宋体" w:hAnsi="宋体" w:cs="宋体"/>
          <w:color w:val="auto"/>
          <w:kern w:val="0"/>
          <w:sz w:val="24"/>
          <w:szCs w:val="24"/>
          <w:highlight w:val="none"/>
          <w:lang w:val="zh-CN"/>
        </w:rPr>
        <w:t>。由此引起的相应损失均由我单位承担。</w:t>
      </w:r>
    </w:p>
    <w:p>
      <w:pPr>
        <w:autoSpaceDE w:val="0"/>
        <w:autoSpaceDN w:val="0"/>
        <w:spacing w:line="360" w:lineRule="auto"/>
        <w:ind w:left="2"/>
        <w:jc w:val="left"/>
        <w:rPr>
          <w:rFonts w:ascii="宋体" w:hAnsi="宋体" w:cs="宋体"/>
          <w:color w:val="auto"/>
          <w:kern w:val="0"/>
          <w:sz w:val="24"/>
          <w:szCs w:val="24"/>
          <w:highlight w:val="none"/>
          <w:lang w:val="zh-CN"/>
        </w:rPr>
      </w:pPr>
    </w:p>
    <w:p>
      <w:pPr>
        <w:autoSpaceDE w:val="0"/>
        <w:autoSpaceDN w:val="0"/>
        <w:spacing w:line="360" w:lineRule="auto"/>
        <w:ind w:left="2"/>
        <w:jc w:val="left"/>
        <w:rPr>
          <w:rFonts w:ascii="宋体" w:hAnsi="宋体" w:cs="宋体"/>
          <w:color w:val="auto"/>
          <w:kern w:val="0"/>
          <w:sz w:val="24"/>
          <w:szCs w:val="24"/>
          <w:highlight w:val="none"/>
          <w:lang w:val="zh-CN"/>
        </w:rPr>
      </w:pPr>
    </w:p>
    <w:p>
      <w:pPr>
        <w:autoSpaceDE w:val="0"/>
        <w:autoSpaceDN w:val="0"/>
        <w:spacing w:line="360" w:lineRule="auto"/>
        <w:ind w:left="2"/>
        <w:jc w:val="left"/>
        <w:rPr>
          <w:rFonts w:ascii="宋体" w:hAnsi="宋体" w:cs="宋体"/>
          <w:color w:val="auto"/>
          <w:kern w:val="0"/>
          <w:sz w:val="24"/>
          <w:szCs w:val="24"/>
          <w:highlight w:val="none"/>
          <w:lang w:val="zh-CN"/>
        </w:rPr>
      </w:pPr>
    </w:p>
    <w:p>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szCs w:val="24"/>
          <w:highlight w:val="none"/>
          <w:lang w:val="zh-CN"/>
        </w:rPr>
        <w:t xml:space="preserve">：                                                                                                                                                                                                               </w:t>
      </w:r>
    </w:p>
    <w:p>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pPr>
        <w:rPr>
          <w:rFonts w:hint="eastAsia" w:eastAsia="宋体" w:asciiTheme="majorHAnsi" w:hAnsiTheme="majorHAnsi" w:cstheme="majorBidi"/>
          <w:b/>
          <w:bCs/>
          <w:color w:val="auto"/>
          <w:kern w:val="2"/>
          <w:sz w:val="24"/>
          <w:szCs w:val="24"/>
          <w:highlight w:val="none"/>
          <w:lang w:val="en-US" w:eastAsia="zh-CN" w:bidi="ar-SA"/>
        </w:rPr>
      </w:pPr>
    </w:p>
    <w:p>
      <w:pPr>
        <w:pStyle w:val="13"/>
        <w:rPr>
          <w:rFonts w:hint="eastAsia" w:eastAsia="宋体" w:asciiTheme="majorHAnsi" w:hAnsiTheme="majorHAnsi" w:cstheme="majorBidi"/>
          <w:b/>
          <w:bCs/>
          <w:color w:val="auto"/>
          <w:kern w:val="2"/>
          <w:sz w:val="24"/>
          <w:szCs w:val="24"/>
          <w:highlight w:val="none"/>
          <w:lang w:val="en-US" w:eastAsia="zh-CN" w:bidi="ar-SA"/>
        </w:rPr>
      </w:pPr>
    </w:p>
    <w:p>
      <w:pPr>
        <w:pStyle w:val="13"/>
        <w:rPr>
          <w:rFonts w:hint="eastAsia" w:eastAsia="宋体" w:asciiTheme="majorHAnsi" w:hAnsiTheme="majorHAnsi" w:cstheme="majorBidi"/>
          <w:b/>
          <w:bCs/>
          <w:color w:val="auto"/>
          <w:kern w:val="2"/>
          <w:sz w:val="24"/>
          <w:szCs w:val="24"/>
          <w:highlight w:val="none"/>
          <w:lang w:val="en-US" w:eastAsia="zh-CN" w:bidi="ar-SA"/>
        </w:rPr>
      </w:pPr>
    </w:p>
    <w:p>
      <w:pPr>
        <w:pStyle w:val="13"/>
        <w:rPr>
          <w:rFonts w:hint="eastAsia" w:eastAsia="宋体" w:asciiTheme="majorHAnsi" w:hAnsiTheme="majorHAnsi" w:cstheme="majorBidi"/>
          <w:b/>
          <w:bCs/>
          <w:color w:val="auto"/>
          <w:kern w:val="2"/>
          <w:sz w:val="24"/>
          <w:szCs w:val="24"/>
          <w:highlight w:val="none"/>
          <w:lang w:val="en-US" w:eastAsia="zh-CN" w:bidi="ar-SA"/>
        </w:rPr>
      </w:pP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40" w:name="_Toc28344"/>
      <w:bookmarkStart w:id="641" w:name="_Toc17991"/>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640"/>
      <w:bookmarkEnd w:id="641"/>
    </w:p>
    <w:p>
      <w:pPr>
        <w:rPr>
          <w:rFonts w:cs="仿宋_GB2312"/>
          <w:color w:val="auto"/>
          <w:szCs w:val="24"/>
          <w:highlight w:val="none"/>
        </w:rPr>
      </w:pPr>
      <w:r>
        <w:rPr>
          <w:rFonts w:hint="eastAsia" w:cs="仿宋_GB2312"/>
          <w:color w:val="auto"/>
          <w:szCs w:val="24"/>
          <w:highlight w:val="none"/>
        </w:rPr>
        <w:t xml:space="preserve">项目名称：                                         </w:t>
      </w:r>
    </w:p>
    <w:p>
      <w:pPr>
        <w:rPr>
          <w:rFonts w:cs="仿宋_GB2312"/>
          <w:color w:val="auto"/>
          <w:szCs w:val="24"/>
          <w:highlight w:val="none"/>
        </w:rPr>
      </w:pPr>
      <w:r>
        <w:rPr>
          <w:rFonts w:hint="eastAsia" w:cs="仿宋_GB2312"/>
          <w:color w:val="auto"/>
          <w:szCs w:val="24"/>
          <w:highlight w:val="none"/>
        </w:rPr>
        <w:t xml:space="preserve">项目编号：        </w:t>
      </w:r>
    </w:p>
    <w:tbl>
      <w:tblPr>
        <w:tblStyle w:val="29"/>
        <w:tblW w:w="50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2609"/>
        <w:gridCol w:w="1874"/>
        <w:gridCol w:w="2039"/>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20"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20"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pPr>
              <w:pStyle w:val="49"/>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20"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pPr>
              <w:pStyle w:val="49"/>
              <w:jc w:val="center"/>
              <w:rPr>
                <w:rFonts w:hint="eastAsia" w:ascii="宋体" w:hAnsi="宋体" w:eastAsia="宋体" w:cs="宋体"/>
                <w:color w:val="auto"/>
                <w:sz w:val="21"/>
                <w:szCs w:val="21"/>
                <w:highlight w:val="none"/>
              </w:rPr>
            </w:pPr>
          </w:p>
        </w:tc>
        <w:tc>
          <w:tcPr>
            <w:tcW w:w="1090" w:type="pct"/>
            <w:vAlign w:val="center"/>
          </w:tcPr>
          <w:p>
            <w:pPr>
              <w:pStyle w:val="49"/>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20"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pPr>
              <w:pStyle w:val="49"/>
              <w:jc w:val="center"/>
              <w:rPr>
                <w:rFonts w:hint="eastAsia" w:ascii="宋体" w:hAnsi="宋体" w:eastAsia="宋体" w:cs="宋体"/>
                <w:color w:val="auto"/>
                <w:sz w:val="21"/>
                <w:szCs w:val="21"/>
                <w:highlight w:val="none"/>
              </w:rPr>
            </w:pPr>
          </w:p>
        </w:tc>
        <w:tc>
          <w:tcPr>
            <w:tcW w:w="1090" w:type="pct"/>
            <w:vAlign w:val="center"/>
          </w:tcPr>
          <w:p>
            <w:pPr>
              <w:pStyle w:val="49"/>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20" w:type="pct"/>
            <w:vAlign w:val="center"/>
          </w:tcPr>
          <w:p>
            <w:pPr>
              <w:pStyle w:val="49"/>
              <w:jc w:val="center"/>
              <w:rPr>
                <w:rFonts w:hint="eastAsia" w:ascii="宋体" w:hAnsi="宋体" w:eastAsia="宋体" w:cs="宋体"/>
                <w:color w:val="auto"/>
                <w:sz w:val="21"/>
                <w:szCs w:val="21"/>
                <w:highlight w:val="none"/>
              </w:rPr>
            </w:pPr>
          </w:p>
        </w:tc>
        <w:tc>
          <w:tcPr>
            <w:tcW w:w="1395" w:type="pct"/>
            <w:vAlign w:val="center"/>
          </w:tcPr>
          <w:p>
            <w:pPr>
              <w:pStyle w:val="49"/>
              <w:jc w:val="center"/>
              <w:rPr>
                <w:rFonts w:hint="eastAsia" w:ascii="宋体" w:hAnsi="宋体" w:eastAsia="宋体" w:cs="宋体"/>
                <w:color w:val="auto"/>
                <w:sz w:val="21"/>
                <w:szCs w:val="21"/>
                <w:highlight w:val="none"/>
              </w:rPr>
            </w:pPr>
          </w:p>
        </w:tc>
        <w:tc>
          <w:tcPr>
            <w:tcW w:w="1002" w:type="pct"/>
            <w:vAlign w:val="center"/>
          </w:tcPr>
          <w:p>
            <w:pPr>
              <w:pStyle w:val="49"/>
              <w:jc w:val="center"/>
              <w:rPr>
                <w:rFonts w:hint="eastAsia" w:ascii="宋体" w:hAnsi="宋体" w:eastAsia="宋体" w:cs="宋体"/>
                <w:color w:val="auto"/>
                <w:sz w:val="21"/>
                <w:szCs w:val="21"/>
                <w:highlight w:val="none"/>
              </w:rPr>
            </w:pPr>
          </w:p>
        </w:tc>
        <w:tc>
          <w:tcPr>
            <w:tcW w:w="1090" w:type="pct"/>
            <w:vAlign w:val="center"/>
          </w:tcPr>
          <w:p>
            <w:pPr>
              <w:pStyle w:val="49"/>
              <w:jc w:val="center"/>
              <w:rPr>
                <w:rFonts w:hint="eastAsia" w:ascii="宋体" w:hAnsi="宋体" w:eastAsia="宋体" w:cs="宋体"/>
                <w:color w:val="auto"/>
                <w:sz w:val="21"/>
                <w:szCs w:val="21"/>
                <w:highlight w:val="none"/>
              </w:rPr>
            </w:pPr>
          </w:p>
        </w:tc>
        <w:tc>
          <w:tcPr>
            <w:tcW w:w="1090" w:type="pct"/>
            <w:vAlign w:val="center"/>
          </w:tcPr>
          <w:p>
            <w:pPr>
              <w:pStyle w:val="49"/>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20" w:type="pct"/>
            <w:vAlign w:val="center"/>
          </w:tcPr>
          <w:p>
            <w:pPr>
              <w:pStyle w:val="49"/>
              <w:jc w:val="center"/>
              <w:rPr>
                <w:rFonts w:hint="eastAsia" w:ascii="宋体" w:hAnsi="宋体" w:eastAsia="宋体" w:cs="宋体"/>
                <w:color w:val="auto"/>
                <w:sz w:val="21"/>
                <w:szCs w:val="21"/>
                <w:highlight w:val="none"/>
              </w:rPr>
            </w:pPr>
          </w:p>
        </w:tc>
        <w:tc>
          <w:tcPr>
            <w:tcW w:w="1395" w:type="pct"/>
            <w:vAlign w:val="center"/>
          </w:tcPr>
          <w:p>
            <w:pPr>
              <w:pStyle w:val="49"/>
              <w:jc w:val="center"/>
              <w:rPr>
                <w:rFonts w:hint="eastAsia" w:ascii="宋体" w:hAnsi="宋体" w:eastAsia="宋体" w:cs="宋体"/>
                <w:color w:val="auto"/>
                <w:sz w:val="21"/>
                <w:szCs w:val="21"/>
                <w:highlight w:val="none"/>
              </w:rPr>
            </w:pPr>
          </w:p>
        </w:tc>
        <w:tc>
          <w:tcPr>
            <w:tcW w:w="1002" w:type="pct"/>
            <w:vAlign w:val="center"/>
          </w:tcPr>
          <w:p>
            <w:pPr>
              <w:pStyle w:val="49"/>
              <w:jc w:val="center"/>
              <w:rPr>
                <w:rFonts w:hint="eastAsia" w:ascii="宋体" w:hAnsi="宋体" w:eastAsia="宋体" w:cs="宋体"/>
                <w:color w:val="auto"/>
                <w:sz w:val="21"/>
                <w:szCs w:val="21"/>
                <w:highlight w:val="none"/>
              </w:rPr>
            </w:pPr>
          </w:p>
        </w:tc>
        <w:tc>
          <w:tcPr>
            <w:tcW w:w="1090" w:type="pct"/>
            <w:vAlign w:val="center"/>
          </w:tcPr>
          <w:p>
            <w:pPr>
              <w:pStyle w:val="49"/>
              <w:jc w:val="center"/>
              <w:rPr>
                <w:rFonts w:hint="eastAsia" w:ascii="宋体" w:hAnsi="宋体" w:eastAsia="宋体" w:cs="宋体"/>
                <w:color w:val="auto"/>
                <w:sz w:val="21"/>
                <w:szCs w:val="21"/>
                <w:highlight w:val="none"/>
              </w:rPr>
            </w:pPr>
          </w:p>
        </w:tc>
        <w:tc>
          <w:tcPr>
            <w:tcW w:w="1090" w:type="pct"/>
            <w:vAlign w:val="center"/>
          </w:tcPr>
          <w:p>
            <w:pPr>
              <w:pStyle w:val="49"/>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20" w:type="pct"/>
            <w:vAlign w:val="center"/>
          </w:tcPr>
          <w:p>
            <w:pPr>
              <w:pStyle w:val="49"/>
              <w:jc w:val="center"/>
              <w:rPr>
                <w:rFonts w:hint="eastAsia" w:ascii="宋体" w:hAnsi="宋体" w:eastAsia="宋体" w:cs="宋体"/>
                <w:color w:val="auto"/>
                <w:sz w:val="21"/>
                <w:szCs w:val="21"/>
                <w:highlight w:val="none"/>
              </w:rPr>
            </w:pPr>
          </w:p>
        </w:tc>
        <w:tc>
          <w:tcPr>
            <w:tcW w:w="1395" w:type="pct"/>
            <w:vAlign w:val="center"/>
          </w:tcPr>
          <w:p>
            <w:pPr>
              <w:pStyle w:val="49"/>
              <w:jc w:val="center"/>
              <w:rPr>
                <w:rFonts w:hint="eastAsia" w:ascii="宋体" w:hAnsi="宋体" w:eastAsia="宋体" w:cs="宋体"/>
                <w:color w:val="auto"/>
                <w:sz w:val="21"/>
                <w:szCs w:val="21"/>
                <w:highlight w:val="none"/>
              </w:rPr>
            </w:pPr>
          </w:p>
        </w:tc>
        <w:tc>
          <w:tcPr>
            <w:tcW w:w="1002" w:type="pct"/>
            <w:vAlign w:val="center"/>
          </w:tcPr>
          <w:p>
            <w:pPr>
              <w:pStyle w:val="49"/>
              <w:jc w:val="center"/>
              <w:rPr>
                <w:rFonts w:hint="eastAsia" w:ascii="宋体" w:hAnsi="宋体" w:eastAsia="宋体" w:cs="宋体"/>
                <w:color w:val="auto"/>
                <w:sz w:val="21"/>
                <w:szCs w:val="21"/>
                <w:highlight w:val="none"/>
              </w:rPr>
            </w:pPr>
          </w:p>
        </w:tc>
        <w:tc>
          <w:tcPr>
            <w:tcW w:w="1090" w:type="pct"/>
            <w:vAlign w:val="center"/>
          </w:tcPr>
          <w:p>
            <w:pPr>
              <w:pStyle w:val="49"/>
              <w:jc w:val="center"/>
              <w:rPr>
                <w:rFonts w:hint="eastAsia" w:ascii="宋体" w:hAnsi="宋体" w:eastAsia="宋体" w:cs="宋体"/>
                <w:color w:val="auto"/>
                <w:sz w:val="21"/>
                <w:szCs w:val="21"/>
                <w:highlight w:val="none"/>
              </w:rPr>
            </w:pPr>
          </w:p>
        </w:tc>
        <w:tc>
          <w:tcPr>
            <w:tcW w:w="1090" w:type="pct"/>
            <w:vAlign w:val="center"/>
          </w:tcPr>
          <w:p>
            <w:pPr>
              <w:pStyle w:val="49"/>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20" w:type="pct"/>
            <w:vAlign w:val="center"/>
          </w:tcPr>
          <w:p>
            <w:pPr>
              <w:pStyle w:val="49"/>
              <w:jc w:val="center"/>
              <w:rPr>
                <w:rFonts w:hint="eastAsia" w:ascii="宋体" w:hAnsi="宋体" w:eastAsia="宋体" w:cs="宋体"/>
                <w:color w:val="auto"/>
                <w:sz w:val="21"/>
                <w:szCs w:val="21"/>
                <w:highlight w:val="none"/>
              </w:rPr>
            </w:pPr>
          </w:p>
        </w:tc>
        <w:tc>
          <w:tcPr>
            <w:tcW w:w="1395" w:type="pct"/>
            <w:vAlign w:val="center"/>
          </w:tcPr>
          <w:p>
            <w:pPr>
              <w:pStyle w:val="49"/>
              <w:jc w:val="center"/>
              <w:rPr>
                <w:rFonts w:hint="eastAsia" w:ascii="宋体" w:hAnsi="宋体" w:eastAsia="宋体" w:cs="宋体"/>
                <w:color w:val="auto"/>
                <w:sz w:val="21"/>
                <w:szCs w:val="21"/>
                <w:highlight w:val="none"/>
              </w:rPr>
            </w:pPr>
          </w:p>
        </w:tc>
        <w:tc>
          <w:tcPr>
            <w:tcW w:w="1002" w:type="pct"/>
            <w:vAlign w:val="center"/>
          </w:tcPr>
          <w:p>
            <w:pPr>
              <w:pStyle w:val="49"/>
              <w:jc w:val="center"/>
              <w:rPr>
                <w:rFonts w:hint="eastAsia" w:ascii="宋体" w:hAnsi="宋体" w:eastAsia="宋体" w:cs="宋体"/>
                <w:color w:val="auto"/>
                <w:sz w:val="21"/>
                <w:szCs w:val="21"/>
                <w:highlight w:val="none"/>
              </w:rPr>
            </w:pPr>
          </w:p>
        </w:tc>
        <w:tc>
          <w:tcPr>
            <w:tcW w:w="1090" w:type="pct"/>
            <w:vAlign w:val="center"/>
          </w:tcPr>
          <w:p>
            <w:pPr>
              <w:pStyle w:val="49"/>
              <w:jc w:val="center"/>
              <w:rPr>
                <w:rFonts w:hint="eastAsia" w:ascii="宋体" w:hAnsi="宋体" w:eastAsia="宋体" w:cs="宋体"/>
                <w:color w:val="auto"/>
                <w:sz w:val="21"/>
                <w:szCs w:val="21"/>
                <w:highlight w:val="none"/>
              </w:rPr>
            </w:pPr>
          </w:p>
        </w:tc>
        <w:tc>
          <w:tcPr>
            <w:tcW w:w="1090" w:type="pct"/>
            <w:vAlign w:val="center"/>
          </w:tcPr>
          <w:p>
            <w:pPr>
              <w:pStyle w:val="49"/>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20" w:type="pct"/>
            <w:vAlign w:val="center"/>
          </w:tcPr>
          <w:p>
            <w:pPr>
              <w:pStyle w:val="49"/>
              <w:jc w:val="center"/>
              <w:rPr>
                <w:rFonts w:hint="eastAsia" w:ascii="宋体" w:hAnsi="宋体" w:eastAsia="宋体" w:cs="宋体"/>
                <w:color w:val="auto"/>
                <w:sz w:val="21"/>
                <w:szCs w:val="21"/>
                <w:highlight w:val="none"/>
              </w:rPr>
            </w:pPr>
          </w:p>
        </w:tc>
        <w:tc>
          <w:tcPr>
            <w:tcW w:w="1395" w:type="pct"/>
            <w:vAlign w:val="center"/>
          </w:tcPr>
          <w:p>
            <w:pPr>
              <w:pStyle w:val="49"/>
              <w:jc w:val="center"/>
              <w:rPr>
                <w:rFonts w:hint="eastAsia" w:ascii="宋体" w:hAnsi="宋体" w:eastAsia="宋体" w:cs="宋体"/>
                <w:color w:val="auto"/>
                <w:sz w:val="21"/>
                <w:szCs w:val="21"/>
                <w:highlight w:val="none"/>
              </w:rPr>
            </w:pPr>
          </w:p>
        </w:tc>
        <w:tc>
          <w:tcPr>
            <w:tcW w:w="1002" w:type="pct"/>
            <w:vAlign w:val="center"/>
          </w:tcPr>
          <w:p>
            <w:pPr>
              <w:pStyle w:val="49"/>
              <w:jc w:val="center"/>
              <w:rPr>
                <w:rFonts w:hint="eastAsia" w:ascii="宋体" w:hAnsi="宋体" w:eastAsia="宋体" w:cs="宋体"/>
                <w:color w:val="auto"/>
                <w:sz w:val="21"/>
                <w:szCs w:val="21"/>
                <w:highlight w:val="none"/>
              </w:rPr>
            </w:pPr>
          </w:p>
        </w:tc>
        <w:tc>
          <w:tcPr>
            <w:tcW w:w="1090" w:type="pct"/>
            <w:vAlign w:val="center"/>
          </w:tcPr>
          <w:p>
            <w:pPr>
              <w:pStyle w:val="49"/>
              <w:jc w:val="center"/>
              <w:rPr>
                <w:rFonts w:hint="eastAsia" w:ascii="宋体" w:hAnsi="宋体" w:eastAsia="宋体" w:cs="宋体"/>
                <w:color w:val="auto"/>
                <w:sz w:val="21"/>
                <w:szCs w:val="21"/>
                <w:highlight w:val="none"/>
              </w:rPr>
            </w:pPr>
          </w:p>
        </w:tc>
        <w:tc>
          <w:tcPr>
            <w:tcW w:w="1090" w:type="pct"/>
            <w:vAlign w:val="center"/>
          </w:tcPr>
          <w:p>
            <w:pPr>
              <w:pStyle w:val="49"/>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20" w:type="pct"/>
            <w:vAlign w:val="center"/>
          </w:tcPr>
          <w:p>
            <w:pPr>
              <w:pStyle w:val="49"/>
              <w:jc w:val="center"/>
              <w:rPr>
                <w:rFonts w:hint="eastAsia" w:ascii="宋体" w:hAnsi="宋体" w:eastAsia="宋体" w:cs="宋体"/>
                <w:color w:val="auto"/>
                <w:sz w:val="21"/>
                <w:szCs w:val="21"/>
                <w:highlight w:val="none"/>
              </w:rPr>
            </w:pPr>
          </w:p>
        </w:tc>
        <w:tc>
          <w:tcPr>
            <w:tcW w:w="1395" w:type="pct"/>
            <w:vAlign w:val="center"/>
          </w:tcPr>
          <w:p>
            <w:pPr>
              <w:pStyle w:val="49"/>
              <w:jc w:val="center"/>
              <w:rPr>
                <w:rFonts w:hint="eastAsia" w:ascii="宋体" w:hAnsi="宋体" w:eastAsia="宋体" w:cs="宋体"/>
                <w:color w:val="auto"/>
                <w:sz w:val="21"/>
                <w:szCs w:val="21"/>
                <w:highlight w:val="none"/>
              </w:rPr>
            </w:pPr>
          </w:p>
        </w:tc>
        <w:tc>
          <w:tcPr>
            <w:tcW w:w="1002" w:type="pct"/>
            <w:vAlign w:val="center"/>
          </w:tcPr>
          <w:p>
            <w:pPr>
              <w:pStyle w:val="49"/>
              <w:jc w:val="center"/>
              <w:rPr>
                <w:rFonts w:hint="eastAsia" w:ascii="宋体" w:hAnsi="宋体" w:eastAsia="宋体" w:cs="宋体"/>
                <w:color w:val="auto"/>
                <w:sz w:val="21"/>
                <w:szCs w:val="21"/>
                <w:highlight w:val="none"/>
              </w:rPr>
            </w:pPr>
          </w:p>
        </w:tc>
        <w:tc>
          <w:tcPr>
            <w:tcW w:w="1090" w:type="pct"/>
            <w:vAlign w:val="center"/>
          </w:tcPr>
          <w:p>
            <w:pPr>
              <w:pStyle w:val="49"/>
              <w:jc w:val="center"/>
              <w:rPr>
                <w:rFonts w:hint="eastAsia" w:ascii="宋体" w:hAnsi="宋体" w:eastAsia="宋体" w:cs="宋体"/>
                <w:color w:val="auto"/>
                <w:sz w:val="21"/>
                <w:szCs w:val="21"/>
                <w:highlight w:val="none"/>
              </w:rPr>
            </w:pPr>
          </w:p>
        </w:tc>
        <w:tc>
          <w:tcPr>
            <w:tcW w:w="1090" w:type="pct"/>
            <w:vAlign w:val="center"/>
          </w:tcPr>
          <w:p>
            <w:pPr>
              <w:pStyle w:val="49"/>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pPr>
              <w:pStyle w:val="49"/>
              <w:jc w:val="center"/>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p>
        </w:tc>
        <w:tc>
          <w:tcPr>
            <w:tcW w:w="1002" w:type="pct"/>
            <w:vAlign w:val="center"/>
          </w:tcPr>
          <w:p>
            <w:pPr>
              <w:pStyle w:val="49"/>
              <w:jc w:val="center"/>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p>
        </w:tc>
        <w:tc>
          <w:tcPr>
            <w:tcW w:w="1090"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pPr>
              <w:pStyle w:val="49"/>
              <w:jc w:val="center"/>
              <w:rPr>
                <w:rFonts w:hint="eastAsia" w:ascii="宋体" w:hAnsi="宋体" w:eastAsia="宋体" w:cs="宋体"/>
                <w:color w:val="auto"/>
                <w:sz w:val="21"/>
                <w:szCs w:val="21"/>
                <w:highlight w:val="none"/>
              </w:rPr>
            </w:pPr>
          </w:p>
        </w:tc>
      </w:tr>
    </w:tbl>
    <w:p>
      <w:pPr>
        <w:ind w:firstLine="420" w:firstLineChars="200"/>
        <w:rPr>
          <w:rFonts w:hint="eastAsia" w:cs="仿宋_GB2312"/>
          <w:color w:val="auto"/>
          <w:sz w:val="21"/>
          <w:szCs w:val="21"/>
          <w:highlight w:val="none"/>
        </w:rPr>
      </w:pPr>
    </w:p>
    <w:p>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pPr>
        <w:ind w:firstLine="420"/>
        <w:rPr>
          <w:rFonts w:cs="仿宋_GB2312"/>
          <w:color w:val="auto"/>
          <w:szCs w:val="24"/>
          <w:highlight w:val="none"/>
        </w:rPr>
      </w:pPr>
      <w:r>
        <w:rPr>
          <w:rFonts w:hint="eastAsia" w:cs="仿宋_GB2312"/>
          <w:color w:val="auto"/>
          <w:szCs w:val="24"/>
          <w:highlight w:val="none"/>
        </w:rPr>
        <w:t>日      期：</w:t>
      </w:r>
    </w:p>
    <w:p>
      <w:pPr>
        <w:ind w:firstLine="420"/>
        <w:rPr>
          <w:rFonts w:cs="仿宋_GB2312"/>
          <w:color w:val="auto"/>
          <w:szCs w:val="24"/>
          <w:highlight w:val="none"/>
        </w:rPr>
      </w:pPr>
    </w:p>
    <w:p>
      <w:pPr>
        <w:ind w:firstLine="420" w:firstLineChars="200"/>
        <w:rPr>
          <w:rFonts w:hint="eastAsia" w:cs="仿宋_GB2312"/>
          <w:color w:val="auto"/>
          <w:sz w:val="21"/>
          <w:szCs w:val="21"/>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 xml:space="preserve">1.“招标文件的商务条款”栏应详细列明招标文件中的商务要求。 </w:t>
      </w:r>
    </w:p>
    <w:p>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pPr>
        <w:ind w:firstLine="420"/>
        <w:rPr>
          <w:rFonts w:cs="仿宋_GB2312"/>
          <w:color w:val="auto"/>
          <w:szCs w:val="24"/>
          <w:highlight w:val="none"/>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r>
        <w:rPr>
          <w:rFonts w:cs="仿宋_GB2312"/>
          <w:color w:val="auto"/>
          <w:szCs w:val="24"/>
          <w:highlight w:val="none"/>
        </w:rPr>
        <w:br w:type="page"/>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42" w:name="_Toc17815"/>
      <w:bookmarkStart w:id="643" w:name="_Toc2100"/>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642"/>
      <w:bookmarkEnd w:id="643"/>
    </w:p>
    <w:p>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pPr>
        <w:rPr>
          <w:rFonts w:cs="Arial"/>
          <w:bCs/>
          <w:color w:val="auto"/>
          <w:szCs w:val="21"/>
          <w:highlight w:val="none"/>
        </w:rPr>
      </w:pPr>
      <w:r>
        <w:rPr>
          <w:rFonts w:hint="eastAsia" w:cs="仿宋_GB2312"/>
          <w:color w:val="auto"/>
          <w:szCs w:val="24"/>
          <w:highlight w:val="none"/>
        </w:rPr>
        <w:t xml:space="preserve">项目编号：      </w:t>
      </w:r>
      <w:r>
        <w:rPr>
          <w:rFonts w:cs="Arial"/>
          <w:bCs/>
          <w:color w:val="auto"/>
          <w:szCs w:val="21"/>
          <w:highlight w:val="none"/>
        </w:rPr>
        <w:fldChar w:fldCharType="end"/>
      </w:r>
    </w:p>
    <w:tbl>
      <w:tblPr>
        <w:tblStyle w:val="29"/>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0"/>
        <w:gridCol w:w="1364"/>
        <w:gridCol w:w="1419"/>
        <w:gridCol w:w="1402"/>
        <w:gridCol w:w="1495"/>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13" w:type="dxa"/>
            <w:vAlign w:val="center"/>
          </w:tcPr>
          <w:p>
            <w:pPr>
              <w:jc w:val="center"/>
              <w:rPr>
                <w:rFonts w:hint="eastAsia" w:ascii="宋体" w:hAnsi="宋体" w:eastAsia="宋体" w:cs="宋体"/>
                <w:color w:val="auto"/>
                <w:sz w:val="21"/>
                <w:szCs w:val="21"/>
                <w:highlight w:val="none"/>
              </w:rPr>
            </w:pPr>
            <w:bookmarkStart w:id="644" w:name="_Hlk46779239"/>
            <w:r>
              <w:rPr>
                <w:rFonts w:hint="eastAsia" w:ascii="宋体" w:hAnsi="宋体" w:eastAsia="宋体" w:cs="宋体"/>
                <w:color w:val="auto"/>
                <w:sz w:val="21"/>
                <w:szCs w:val="21"/>
                <w:highlight w:val="none"/>
              </w:rPr>
              <w:t>序号</w:t>
            </w:r>
          </w:p>
        </w:tc>
        <w:tc>
          <w:tcPr>
            <w:tcW w:w="1180" w:type="dxa"/>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64" w:type="dxa"/>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419" w:type="dxa"/>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402" w:type="dxa"/>
            <w:shd w:val="clear" w:color="auto" w:fill="auto"/>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495" w:type="dxa"/>
            <w:shd w:val="clear" w:color="auto" w:fill="auto"/>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49" w:type="dxa"/>
            <w:shd w:val="clear" w:color="auto" w:fill="auto"/>
            <w:vAlign w:val="center"/>
          </w:tcPr>
          <w:p>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1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80" w:type="dxa"/>
            <w:vAlign w:val="center"/>
          </w:tcPr>
          <w:p>
            <w:pPr>
              <w:rPr>
                <w:rFonts w:hint="eastAsia" w:ascii="宋体" w:hAnsi="宋体" w:eastAsia="宋体" w:cs="宋体"/>
                <w:color w:val="auto"/>
                <w:sz w:val="21"/>
                <w:szCs w:val="21"/>
                <w:highlight w:val="none"/>
              </w:rPr>
            </w:pPr>
          </w:p>
        </w:tc>
        <w:tc>
          <w:tcPr>
            <w:tcW w:w="1364" w:type="dxa"/>
            <w:vAlign w:val="center"/>
          </w:tcPr>
          <w:p>
            <w:pPr>
              <w:rPr>
                <w:rFonts w:hint="eastAsia" w:ascii="宋体" w:hAnsi="宋体" w:eastAsia="宋体" w:cs="宋体"/>
                <w:color w:val="auto"/>
                <w:sz w:val="21"/>
                <w:szCs w:val="21"/>
                <w:highlight w:val="none"/>
              </w:rPr>
            </w:pPr>
          </w:p>
        </w:tc>
        <w:tc>
          <w:tcPr>
            <w:tcW w:w="1419" w:type="dxa"/>
            <w:vAlign w:val="center"/>
          </w:tcPr>
          <w:p>
            <w:pPr>
              <w:rPr>
                <w:rFonts w:hint="eastAsia" w:ascii="宋体" w:hAnsi="宋体" w:eastAsia="宋体" w:cs="宋体"/>
                <w:color w:val="auto"/>
                <w:sz w:val="21"/>
                <w:szCs w:val="21"/>
                <w:highlight w:val="none"/>
              </w:rPr>
            </w:pPr>
          </w:p>
        </w:tc>
        <w:tc>
          <w:tcPr>
            <w:tcW w:w="1402" w:type="dxa"/>
            <w:vAlign w:val="center"/>
          </w:tcPr>
          <w:p>
            <w:pPr>
              <w:rPr>
                <w:rFonts w:hint="eastAsia" w:ascii="宋体" w:hAnsi="宋体" w:eastAsia="宋体" w:cs="宋体"/>
                <w:color w:val="auto"/>
                <w:sz w:val="21"/>
                <w:szCs w:val="21"/>
                <w:highlight w:val="none"/>
              </w:rPr>
            </w:pPr>
          </w:p>
        </w:tc>
        <w:tc>
          <w:tcPr>
            <w:tcW w:w="1495" w:type="dxa"/>
            <w:vAlign w:val="center"/>
          </w:tcPr>
          <w:p>
            <w:pPr>
              <w:rPr>
                <w:rFonts w:hint="eastAsia" w:ascii="宋体" w:hAnsi="宋体" w:eastAsia="宋体" w:cs="宋体"/>
                <w:color w:val="auto"/>
                <w:sz w:val="21"/>
                <w:szCs w:val="21"/>
                <w:highlight w:val="none"/>
              </w:rPr>
            </w:pPr>
          </w:p>
        </w:tc>
        <w:tc>
          <w:tcPr>
            <w:tcW w:w="1049" w:type="dxa"/>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1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80" w:type="dxa"/>
            <w:vAlign w:val="center"/>
          </w:tcPr>
          <w:p>
            <w:pPr>
              <w:rPr>
                <w:rFonts w:hint="eastAsia" w:ascii="宋体" w:hAnsi="宋体" w:eastAsia="宋体" w:cs="宋体"/>
                <w:color w:val="auto"/>
                <w:sz w:val="21"/>
                <w:szCs w:val="21"/>
                <w:highlight w:val="none"/>
              </w:rPr>
            </w:pPr>
          </w:p>
        </w:tc>
        <w:tc>
          <w:tcPr>
            <w:tcW w:w="1364" w:type="dxa"/>
            <w:vAlign w:val="center"/>
          </w:tcPr>
          <w:p>
            <w:pPr>
              <w:rPr>
                <w:rFonts w:hint="eastAsia" w:ascii="宋体" w:hAnsi="宋体" w:eastAsia="宋体" w:cs="宋体"/>
                <w:color w:val="auto"/>
                <w:sz w:val="21"/>
                <w:szCs w:val="21"/>
                <w:highlight w:val="none"/>
              </w:rPr>
            </w:pPr>
          </w:p>
        </w:tc>
        <w:tc>
          <w:tcPr>
            <w:tcW w:w="1419" w:type="dxa"/>
            <w:vAlign w:val="center"/>
          </w:tcPr>
          <w:p>
            <w:pPr>
              <w:rPr>
                <w:rFonts w:hint="eastAsia" w:ascii="宋体" w:hAnsi="宋体" w:eastAsia="宋体" w:cs="宋体"/>
                <w:color w:val="auto"/>
                <w:sz w:val="21"/>
                <w:szCs w:val="21"/>
                <w:highlight w:val="none"/>
              </w:rPr>
            </w:pPr>
          </w:p>
        </w:tc>
        <w:tc>
          <w:tcPr>
            <w:tcW w:w="1402" w:type="dxa"/>
            <w:vAlign w:val="center"/>
          </w:tcPr>
          <w:p>
            <w:pPr>
              <w:rPr>
                <w:rFonts w:hint="eastAsia" w:ascii="宋体" w:hAnsi="宋体" w:eastAsia="宋体" w:cs="宋体"/>
                <w:color w:val="auto"/>
                <w:sz w:val="21"/>
                <w:szCs w:val="21"/>
                <w:highlight w:val="none"/>
              </w:rPr>
            </w:pPr>
          </w:p>
        </w:tc>
        <w:tc>
          <w:tcPr>
            <w:tcW w:w="1495" w:type="dxa"/>
            <w:vAlign w:val="center"/>
          </w:tcPr>
          <w:p>
            <w:pPr>
              <w:rPr>
                <w:rFonts w:hint="eastAsia" w:ascii="宋体" w:hAnsi="宋体" w:eastAsia="宋体" w:cs="宋体"/>
                <w:color w:val="auto"/>
                <w:sz w:val="21"/>
                <w:szCs w:val="21"/>
                <w:highlight w:val="none"/>
              </w:rPr>
            </w:pPr>
          </w:p>
        </w:tc>
        <w:tc>
          <w:tcPr>
            <w:tcW w:w="1049" w:type="dxa"/>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1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80" w:type="dxa"/>
            <w:vAlign w:val="center"/>
          </w:tcPr>
          <w:p>
            <w:pPr>
              <w:rPr>
                <w:rFonts w:hint="eastAsia" w:ascii="宋体" w:hAnsi="宋体" w:eastAsia="宋体" w:cs="宋体"/>
                <w:color w:val="auto"/>
                <w:sz w:val="21"/>
                <w:szCs w:val="21"/>
                <w:highlight w:val="none"/>
              </w:rPr>
            </w:pPr>
          </w:p>
        </w:tc>
        <w:tc>
          <w:tcPr>
            <w:tcW w:w="1364" w:type="dxa"/>
            <w:vAlign w:val="center"/>
          </w:tcPr>
          <w:p>
            <w:pPr>
              <w:rPr>
                <w:rFonts w:hint="eastAsia" w:ascii="宋体" w:hAnsi="宋体" w:eastAsia="宋体" w:cs="宋体"/>
                <w:color w:val="auto"/>
                <w:sz w:val="21"/>
                <w:szCs w:val="21"/>
                <w:highlight w:val="none"/>
              </w:rPr>
            </w:pPr>
          </w:p>
        </w:tc>
        <w:tc>
          <w:tcPr>
            <w:tcW w:w="1419" w:type="dxa"/>
            <w:vAlign w:val="center"/>
          </w:tcPr>
          <w:p>
            <w:pPr>
              <w:rPr>
                <w:rFonts w:hint="eastAsia" w:ascii="宋体" w:hAnsi="宋体" w:eastAsia="宋体" w:cs="宋体"/>
                <w:color w:val="auto"/>
                <w:sz w:val="21"/>
                <w:szCs w:val="21"/>
                <w:highlight w:val="none"/>
              </w:rPr>
            </w:pPr>
          </w:p>
        </w:tc>
        <w:tc>
          <w:tcPr>
            <w:tcW w:w="1402" w:type="dxa"/>
            <w:vAlign w:val="center"/>
          </w:tcPr>
          <w:p>
            <w:pPr>
              <w:rPr>
                <w:rFonts w:hint="eastAsia" w:ascii="宋体" w:hAnsi="宋体" w:eastAsia="宋体" w:cs="宋体"/>
                <w:color w:val="auto"/>
                <w:sz w:val="21"/>
                <w:szCs w:val="21"/>
                <w:highlight w:val="none"/>
              </w:rPr>
            </w:pPr>
          </w:p>
        </w:tc>
        <w:tc>
          <w:tcPr>
            <w:tcW w:w="1495" w:type="dxa"/>
            <w:vAlign w:val="center"/>
          </w:tcPr>
          <w:p>
            <w:pPr>
              <w:rPr>
                <w:rFonts w:hint="eastAsia" w:ascii="宋体" w:hAnsi="宋体" w:eastAsia="宋体" w:cs="宋体"/>
                <w:color w:val="auto"/>
                <w:sz w:val="21"/>
                <w:szCs w:val="21"/>
                <w:highlight w:val="none"/>
              </w:rPr>
            </w:pPr>
          </w:p>
        </w:tc>
        <w:tc>
          <w:tcPr>
            <w:tcW w:w="1049" w:type="dxa"/>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3"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80" w:type="dxa"/>
            <w:vAlign w:val="center"/>
          </w:tcPr>
          <w:p>
            <w:pPr>
              <w:rPr>
                <w:rFonts w:hint="eastAsia" w:ascii="宋体" w:hAnsi="宋体" w:eastAsia="宋体" w:cs="宋体"/>
                <w:color w:val="auto"/>
                <w:sz w:val="21"/>
                <w:szCs w:val="21"/>
                <w:highlight w:val="none"/>
              </w:rPr>
            </w:pPr>
          </w:p>
        </w:tc>
        <w:tc>
          <w:tcPr>
            <w:tcW w:w="1364" w:type="dxa"/>
            <w:vAlign w:val="center"/>
          </w:tcPr>
          <w:p>
            <w:pPr>
              <w:rPr>
                <w:rFonts w:hint="eastAsia" w:ascii="宋体" w:hAnsi="宋体" w:eastAsia="宋体" w:cs="宋体"/>
                <w:color w:val="auto"/>
                <w:sz w:val="21"/>
                <w:szCs w:val="21"/>
                <w:highlight w:val="none"/>
              </w:rPr>
            </w:pPr>
          </w:p>
        </w:tc>
        <w:tc>
          <w:tcPr>
            <w:tcW w:w="1419" w:type="dxa"/>
            <w:vAlign w:val="center"/>
          </w:tcPr>
          <w:p>
            <w:pPr>
              <w:rPr>
                <w:rFonts w:hint="eastAsia" w:ascii="宋体" w:hAnsi="宋体" w:eastAsia="宋体" w:cs="宋体"/>
                <w:color w:val="auto"/>
                <w:sz w:val="21"/>
                <w:szCs w:val="21"/>
                <w:highlight w:val="none"/>
              </w:rPr>
            </w:pPr>
          </w:p>
        </w:tc>
        <w:tc>
          <w:tcPr>
            <w:tcW w:w="1402" w:type="dxa"/>
            <w:vAlign w:val="center"/>
          </w:tcPr>
          <w:p>
            <w:pPr>
              <w:rPr>
                <w:rFonts w:hint="eastAsia" w:ascii="宋体" w:hAnsi="宋体" w:eastAsia="宋体" w:cs="宋体"/>
                <w:color w:val="auto"/>
                <w:sz w:val="21"/>
                <w:szCs w:val="21"/>
                <w:highlight w:val="none"/>
              </w:rPr>
            </w:pPr>
          </w:p>
        </w:tc>
        <w:tc>
          <w:tcPr>
            <w:tcW w:w="1495" w:type="dxa"/>
            <w:vAlign w:val="center"/>
          </w:tcPr>
          <w:p>
            <w:pPr>
              <w:rPr>
                <w:rFonts w:hint="eastAsia" w:ascii="宋体" w:hAnsi="宋体" w:eastAsia="宋体" w:cs="宋体"/>
                <w:color w:val="auto"/>
                <w:sz w:val="21"/>
                <w:szCs w:val="21"/>
                <w:highlight w:val="none"/>
              </w:rPr>
            </w:pPr>
          </w:p>
        </w:tc>
        <w:tc>
          <w:tcPr>
            <w:tcW w:w="1049" w:type="dxa"/>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13"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80" w:type="dxa"/>
            <w:vAlign w:val="center"/>
          </w:tcPr>
          <w:p>
            <w:pPr>
              <w:rPr>
                <w:rFonts w:hint="eastAsia" w:ascii="宋体" w:hAnsi="宋体" w:eastAsia="宋体" w:cs="宋体"/>
                <w:color w:val="auto"/>
                <w:sz w:val="21"/>
                <w:szCs w:val="21"/>
                <w:highlight w:val="none"/>
              </w:rPr>
            </w:pPr>
          </w:p>
        </w:tc>
        <w:tc>
          <w:tcPr>
            <w:tcW w:w="1364" w:type="dxa"/>
            <w:vAlign w:val="center"/>
          </w:tcPr>
          <w:p>
            <w:pPr>
              <w:rPr>
                <w:rFonts w:hint="eastAsia" w:ascii="宋体" w:hAnsi="宋体" w:eastAsia="宋体" w:cs="宋体"/>
                <w:color w:val="auto"/>
                <w:sz w:val="21"/>
                <w:szCs w:val="21"/>
                <w:highlight w:val="none"/>
              </w:rPr>
            </w:pPr>
          </w:p>
        </w:tc>
        <w:tc>
          <w:tcPr>
            <w:tcW w:w="1419" w:type="dxa"/>
            <w:vAlign w:val="center"/>
          </w:tcPr>
          <w:p>
            <w:pPr>
              <w:rPr>
                <w:rFonts w:hint="eastAsia" w:ascii="宋体" w:hAnsi="宋体" w:eastAsia="宋体" w:cs="宋体"/>
                <w:color w:val="auto"/>
                <w:sz w:val="21"/>
                <w:szCs w:val="21"/>
                <w:highlight w:val="none"/>
              </w:rPr>
            </w:pPr>
          </w:p>
        </w:tc>
        <w:tc>
          <w:tcPr>
            <w:tcW w:w="1402" w:type="dxa"/>
            <w:vAlign w:val="center"/>
          </w:tcPr>
          <w:p>
            <w:pPr>
              <w:rPr>
                <w:rFonts w:hint="eastAsia" w:ascii="宋体" w:hAnsi="宋体" w:eastAsia="宋体" w:cs="宋体"/>
                <w:color w:val="auto"/>
                <w:sz w:val="21"/>
                <w:szCs w:val="21"/>
                <w:highlight w:val="none"/>
              </w:rPr>
            </w:pPr>
          </w:p>
        </w:tc>
        <w:tc>
          <w:tcPr>
            <w:tcW w:w="1495" w:type="dxa"/>
            <w:vAlign w:val="center"/>
          </w:tcPr>
          <w:p>
            <w:pPr>
              <w:rPr>
                <w:rFonts w:hint="eastAsia" w:ascii="宋体" w:hAnsi="宋体" w:eastAsia="宋体" w:cs="宋体"/>
                <w:color w:val="auto"/>
                <w:sz w:val="21"/>
                <w:szCs w:val="21"/>
                <w:highlight w:val="none"/>
              </w:rPr>
            </w:pPr>
          </w:p>
        </w:tc>
        <w:tc>
          <w:tcPr>
            <w:tcW w:w="1049" w:type="dxa"/>
            <w:vAlign w:val="center"/>
          </w:tcPr>
          <w:p>
            <w:pP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3"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80" w:type="dxa"/>
            <w:vAlign w:val="center"/>
          </w:tcPr>
          <w:p>
            <w:pPr>
              <w:rPr>
                <w:rFonts w:hint="eastAsia" w:ascii="宋体" w:hAnsi="宋体" w:eastAsia="宋体" w:cs="宋体"/>
                <w:color w:val="auto"/>
                <w:sz w:val="21"/>
                <w:szCs w:val="21"/>
                <w:highlight w:val="none"/>
              </w:rPr>
            </w:pPr>
          </w:p>
        </w:tc>
        <w:tc>
          <w:tcPr>
            <w:tcW w:w="1364" w:type="dxa"/>
            <w:vAlign w:val="center"/>
          </w:tcPr>
          <w:p>
            <w:pPr>
              <w:rPr>
                <w:rFonts w:hint="eastAsia" w:ascii="宋体" w:hAnsi="宋体" w:eastAsia="宋体" w:cs="宋体"/>
                <w:color w:val="auto"/>
                <w:sz w:val="21"/>
                <w:szCs w:val="21"/>
                <w:highlight w:val="none"/>
              </w:rPr>
            </w:pPr>
          </w:p>
        </w:tc>
        <w:tc>
          <w:tcPr>
            <w:tcW w:w="1419" w:type="dxa"/>
            <w:vAlign w:val="center"/>
          </w:tcPr>
          <w:p>
            <w:pPr>
              <w:rPr>
                <w:rFonts w:hint="eastAsia" w:ascii="宋体" w:hAnsi="宋体" w:eastAsia="宋体" w:cs="宋体"/>
                <w:color w:val="auto"/>
                <w:sz w:val="21"/>
                <w:szCs w:val="21"/>
                <w:highlight w:val="none"/>
              </w:rPr>
            </w:pPr>
          </w:p>
        </w:tc>
        <w:tc>
          <w:tcPr>
            <w:tcW w:w="1402" w:type="dxa"/>
            <w:vAlign w:val="center"/>
          </w:tcPr>
          <w:p>
            <w:pPr>
              <w:rPr>
                <w:rFonts w:hint="eastAsia" w:ascii="宋体" w:hAnsi="宋体" w:eastAsia="宋体" w:cs="宋体"/>
                <w:color w:val="auto"/>
                <w:sz w:val="21"/>
                <w:szCs w:val="21"/>
                <w:highlight w:val="none"/>
              </w:rPr>
            </w:pPr>
          </w:p>
        </w:tc>
        <w:tc>
          <w:tcPr>
            <w:tcW w:w="1495" w:type="dxa"/>
            <w:vAlign w:val="center"/>
          </w:tcPr>
          <w:p>
            <w:pPr>
              <w:rPr>
                <w:rFonts w:hint="eastAsia" w:ascii="宋体" w:hAnsi="宋体" w:eastAsia="宋体" w:cs="宋体"/>
                <w:color w:val="auto"/>
                <w:sz w:val="21"/>
                <w:szCs w:val="21"/>
                <w:highlight w:val="none"/>
              </w:rPr>
            </w:pPr>
          </w:p>
        </w:tc>
        <w:tc>
          <w:tcPr>
            <w:tcW w:w="1049" w:type="dxa"/>
            <w:vAlign w:val="center"/>
          </w:tcPr>
          <w:p>
            <w:pPr>
              <w:rPr>
                <w:rFonts w:hint="eastAsia" w:ascii="宋体" w:hAnsi="宋体" w:eastAsia="宋体" w:cs="宋体"/>
                <w:color w:val="auto"/>
                <w:sz w:val="21"/>
                <w:szCs w:val="21"/>
                <w:highlight w:val="none"/>
              </w:rPr>
            </w:pPr>
          </w:p>
        </w:tc>
      </w:tr>
      <w:bookmarkEnd w:id="644"/>
    </w:tbl>
    <w:p>
      <w:pPr>
        <w:rPr>
          <w:rFonts w:hint="eastAsia" w:cs="仿宋_GB2312"/>
          <w:color w:val="auto"/>
          <w:szCs w:val="24"/>
          <w:highlight w:val="none"/>
        </w:rPr>
      </w:pPr>
    </w:p>
    <w:p>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中标（成交）通知书或采购合同等</w:t>
      </w:r>
      <w:r>
        <w:rPr>
          <w:rFonts w:hint="eastAsia" w:cs="仿宋_GB2312"/>
          <w:color w:val="auto"/>
          <w:sz w:val="21"/>
          <w:szCs w:val="21"/>
          <w:highlight w:val="none"/>
        </w:rPr>
        <w:t>业绩证明资料。</w:t>
      </w:r>
    </w:p>
    <w:p>
      <w:pPr>
        <w:rPr>
          <w:rFonts w:cs="仿宋_GB2312"/>
          <w:color w:val="auto"/>
          <w:szCs w:val="24"/>
          <w:highlight w:val="none"/>
        </w:rPr>
      </w:pPr>
    </w:p>
    <w:p>
      <w:pPr>
        <w:widowControl/>
        <w:spacing w:before="100" w:beforeAutospacing="1" w:after="100" w:afterAutospacing="1"/>
        <w:rPr>
          <w:rFonts w:cs="Arial"/>
          <w:color w:val="auto"/>
          <w:szCs w:val="21"/>
          <w:highlight w:val="none"/>
        </w:rPr>
      </w:pPr>
    </w:p>
    <w:p>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pPr>
        <w:ind w:firstLine="420"/>
        <w:rPr>
          <w:rFonts w:cs="仿宋_GB2312"/>
          <w:color w:val="auto"/>
          <w:szCs w:val="24"/>
          <w:highlight w:val="none"/>
        </w:rPr>
      </w:pPr>
      <w:r>
        <w:rPr>
          <w:rFonts w:hint="eastAsia" w:cs="仿宋_GB2312"/>
          <w:color w:val="auto"/>
          <w:szCs w:val="24"/>
          <w:highlight w:val="none"/>
        </w:rPr>
        <w:t>日      期：</w:t>
      </w:r>
    </w:p>
    <w:p>
      <w:pPr>
        <w:ind w:firstLine="420"/>
        <w:rPr>
          <w:rFonts w:cs="仿宋_GB2312"/>
          <w:color w:val="auto"/>
          <w:szCs w:val="24"/>
          <w:highlight w:val="none"/>
        </w:rPr>
      </w:pPr>
      <w:r>
        <w:rPr>
          <w:rFonts w:cs="仿宋_GB2312"/>
          <w:color w:val="auto"/>
          <w:szCs w:val="24"/>
          <w:highlight w:val="none"/>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45" w:name="_Toc22277"/>
      <w:bookmarkStart w:id="646" w:name="_Toc24146"/>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645"/>
      <w:bookmarkEnd w:id="646"/>
    </w:p>
    <w:tbl>
      <w:tblPr>
        <w:tblStyle w:val="29"/>
        <w:tblW w:w="94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3"/>
        <w:gridCol w:w="1618"/>
        <w:gridCol w:w="1938"/>
        <w:gridCol w:w="1111"/>
        <w:gridCol w:w="2264"/>
        <w:gridCol w:w="17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1" w:hRule="atLeast"/>
          <w:jc w:val="center"/>
        </w:trPr>
        <w:tc>
          <w:tcPr>
            <w:tcW w:w="713" w:type="dxa"/>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18" w:type="dxa"/>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938" w:type="dxa"/>
            <w:tcBorders>
              <w:left w:val="single" w:color="auto" w:sz="4" w:space="0"/>
            </w:tcBorders>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1111" w:type="dxa"/>
            <w:tcBorders>
              <w:left w:val="single" w:color="auto" w:sz="4" w:space="0"/>
            </w:tcBorders>
            <w:vAlign w:val="center"/>
          </w:tcPr>
          <w:p>
            <w:pPr>
              <w:pStyle w:val="49"/>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职称</w:t>
            </w:r>
            <w:r>
              <w:rPr>
                <w:rFonts w:hint="eastAsia" w:ascii="宋体" w:hAnsi="宋体" w:eastAsia="宋体" w:cs="宋体"/>
                <w:color w:val="auto"/>
                <w:sz w:val="21"/>
                <w:szCs w:val="21"/>
                <w:highlight w:val="none"/>
              </w:rPr>
              <w:br w:type="textWrapping"/>
            </w:r>
            <w:r>
              <w:rPr>
                <w:rFonts w:hint="eastAsia" w:cs="宋体"/>
                <w:color w:val="auto"/>
                <w:sz w:val="21"/>
                <w:szCs w:val="21"/>
                <w:highlight w:val="none"/>
                <w:lang w:eastAsia="zh-CN"/>
              </w:rPr>
              <w:t>（</w:t>
            </w:r>
            <w:r>
              <w:rPr>
                <w:rFonts w:hint="eastAsia" w:cs="宋体"/>
                <w:color w:val="auto"/>
                <w:sz w:val="21"/>
                <w:szCs w:val="21"/>
                <w:highlight w:val="none"/>
                <w:lang w:val="en-US" w:eastAsia="zh-CN"/>
              </w:rPr>
              <w:t>如有</w:t>
            </w:r>
            <w:r>
              <w:rPr>
                <w:rFonts w:hint="eastAsia" w:cs="宋体"/>
                <w:color w:val="auto"/>
                <w:sz w:val="21"/>
                <w:szCs w:val="21"/>
                <w:highlight w:val="none"/>
                <w:lang w:eastAsia="zh-CN"/>
              </w:rPr>
              <w:t>）</w:t>
            </w:r>
          </w:p>
        </w:tc>
        <w:tc>
          <w:tcPr>
            <w:tcW w:w="2264" w:type="dxa"/>
            <w:vAlign w:val="center"/>
          </w:tcPr>
          <w:p>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r>
              <w:rPr>
                <w:rFonts w:hint="eastAsia" w:cs="宋体"/>
                <w:color w:val="auto"/>
                <w:sz w:val="21"/>
                <w:szCs w:val="21"/>
                <w:highlight w:val="none"/>
                <w:lang w:val="en-US" w:eastAsia="zh-CN"/>
              </w:rPr>
              <w:t>（如有）</w:t>
            </w:r>
          </w:p>
        </w:tc>
        <w:tc>
          <w:tcPr>
            <w:tcW w:w="1792" w:type="dxa"/>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713" w:type="dxa"/>
            <w:vAlign w:val="center"/>
          </w:tcPr>
          <w:p>
            <w:pPr>
              <w:pStyle w:val="49"/>
              <w:jc w:val="center"/>
              <w:rPr>
                <w:rFonts w:hint="eastAsia" w:ascii="宋体" w:hAnsi="宋体" w:eastAsia="宋体" w:cs="宋体"/>
                <w:color w:val="auto"/>
                <w:sz w:val="21"/>
                <w:szCs w:val="21"/>
                <w:highlight w:val="none"/>
              </w:rPr>
            </w:pPr>
            <w:bookmarkStart w:id="647" w:name="_Toc99533292"/>
            <w:bookmarkStart w:id="648" w:name="_Toc100090784"/>
            <w:r>
              <w:rPr>
                <w:rFonts w:hint="eastAsia" w:ascii="宋体" w:hAnsi="宋体" w:eastAsia="宋体" w:cs="宋体"/>
                <w:color w:val="auto"/>
                <w:sz w:val="21"/>
                <w:szCs w:val="21"/>
                <w:highlight w:val="none"/>
              </w:rPr>
              <w:t>1</w:t>
            </w:r>
            <w:bookmarkEnd w:id="647"/>
            <w:bookmarkEnd w:id="648"/>
          </w:p>
        </w:tc>
        <w:tc>
          <w:tcPr>
            <w:tcW w:w="1618" w:type="dxa"/>
            <w:vAlign w:val="center"/>
          </w:tcPr>
          <w:p>
            <w:pPr>
              <w:pStyle w:val="49"/>
              <w:jc w:val="center"/>
              <w:rPr>
                <w:rFonts w:hint="eastAsia" w:ascii="宋体" w:hAnsi="宋体" w:eastAsia="宋体" w:cs="宋体"/>
                <w:color w:val="auto"/>
                <w:sz w:val="21"/>
                <w:szCs w:val="21"/>
                <w:highlight w:val="none"/>
              </w:rPr>
            </w:pPr>
          </w:p>
        </w:tc>
        <w:tc>
          <w:tcPr>
            <w:tcW w:w="1938" w:type="dxa"/>
            <w:tcBorders>
              <w:left w:val="single" w:color="auto" w:sz="4" w:space="0"/>
            </w:tcBorders>
            <w:vAlign w:val="center"/>
          </w:tcPr>
          <w:p>
            <w:pPr>
              <w:pStyle w:val="49"/>
              <w:jc w:val="center"/>
              <w:rPr>
                <w:rFonts w:hint="eastAsia" w:ascii="宋体" w:hAnsi="宋体" w:eastAsia="宋体" w:cs="宋体"/>
                <w:color w:val="auto"/>
                <w:sz w:val="21"/>
                <w:szCs w:val="21"/>
                <w:highlight w:val="none"/>
              </w:rPr>
            </w:pPr>
          </w:p>
        </w:tc>
        <w:tc>
          <w:tcPr>
            <w:tcW w:w="1111" w:type="dxa"/>
            <w:tcBorders>
              <w:left w:val="single" w:color="auto" w:sz="4" w:space="0"/>
            </w:tcBorders>
            <w:vAlign w:val="center"/>
          </w:tcPr>
          <w:p>
            <w:pPr>
              <w:pStyle w:val="49"/>
              <w:jc w:val="center"/>
              <w:rPr>
                <w:rFonts w:hint="eastAsia" w:ascii="宋体" w:hAnsi="宋体" w:eastAsia="宋体" w:cs="宋体"/>
                <w:color w:val="auto"/>
                <w:sz w:val="21"/>
                <w:szCs w:val="21"/>
                <w:highlight w:val="none"/>
              </w:rPr>
            </w:pPr>
          </w:p>
        </w:tc>
        <w:tc>
          <w:tcPr>
            <w:tcW w:w="2264" w:type="dxa"/>
            <w:vAlign w:val="center"/>
          </w:tcPr>
          <w:p>
            <w:pPr>
              <w:pStyle w:val="49"/>
              <w:jc w:val="center"/>
              <w:rPr>
                <w:rFonts w:hint="eastAsia" w:ascii="宋体" w:hAnsi="宋体" w:eastAsia="宋体" w:cs="宋体"/>
                <w:color w:val="auto"/>
                <w:sz w:val="21"/>
                <w:szCs w:val="21"/>
                <w:highlight w:val="none"/>
              </w:rPr>
            </w:pPr>
          </w:p>
        </w:tc>
        <w:tc>
          <w:tcPr>
            <w:tcW w:w="1792" w:type="dxa"/>
            <w:vAlign w:val="center"/>
          </w:tcPr>
          <w:p>
            <w:pPr>
              <w:pStyle w:val="49"/>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713" w:type="dxa"/>
            <w:vAlign w:val="center"/>
          </w:tcPr>
          <w:p>
            <w:pPr>
              <w:pStyle w:val="49"/>
              <w:jc w:val="center"/>
              <w:rPr>
                <w:rFonts w:hint="eastAsia" w:ascii="宋体" w:hAnsi="宋体" w:eastAsia="宋体" w:cs="宋体"/>
                <w:color w:val="auto"/>
                <w:sz w:val="21"/>
                <w:szCs w:val="21"/>
                <w:highlight w:val="none"/>
              </w:rPr>
            </w:pPr>
            <w:bookmarkStart w:id="649" w:name="_Toc100090785"/>
            <w:bookmarkStart w:id="650" w:name="_Toc99533293"/>
            <w:r>
              <w:rPr>
                <w:rFonts w:hint="eastAsia" w:ascii="宋体" w:hAnsi="宋体" w:eastAsia="宋体" w:cs="宋体"/>
                <w:color w:val="auto"/>
                <w:sz w:val="21"/>
                <w:szCs w:val="21"/>
                <w:highlight w:val="none"/>
              </w:rPr>
              <w:t>2</w:t>
            </w:r>
            <w:bookmarkEnd w:id="649"/>
            <w:bookmarkEnd w:id="650"/>
          </w:p>
        </w:tc>
        <w:tc>
          <w:tcPr>
            <w:tcW w:w="1618" w:type="dxa"/>
            <w:vAlign w:val="center"/>
          </w:tcPr>
          <w:p>
            <w:pPr>
              <w:pStyle w:val="49"/>
              <w:jc w:val="center"/>
              <w:rPr>
                <w:rFonts w:hint="eastAsia" w:ascii="宋体" w:hAnsi="宋体" w:eastAsia="宋体" w:cs="宋体"/>
                <w:color w:val="auto"/>
                <w:sz w:val="21"/>
                <w:szCs w:val="21"/>
                <w:highlight w:val="none"/>
              </w:rPr>
            </w:pPr>
          </w:p>
        </w:tc>
        <w:tc>
          <w:tcPr>
            <w:tcW w:w="1938" w:type="dxa"/>
            <w:tcBorders>
              <w:left w:val="single" w:color="auto" w:sz="4" w:space="0"/>
            </w:tcBorders>
            <w:vAlign w:val="center"/>
          </w:tcPr>
          <w:p>
            <w:pPr>
              <w:pStyle w:val="49"/>
              <w:jc w:val="center"/>
              <w:rPr>
                <w:rFonts w:hint="eastAsia" w:ascii="宋体" w:hAnsi="宋体" w:eastAsia="宋体" w:cs="宋体"/>
                <w:color w:val="auto"/>
                <w:sz w:val="21"/>
                <w:szCs w:val="21"/>
                <w:highlight w:val="none"/>
              </w:rPr>
            </w:pPr>
          </w:p>
        </w:tc>
        <w:tc>
          <w:tcPr>
            <w:tcW w:w="1111" w:type="dxa"/>
            <w:tcBorders>
              <w:left w:val="single" w:color="auto" w:sz="4" w:space="0"/>
            </w:tcBorders>
            <w:vAlign w:val="center"/>
          </w:tcPr>
          <w:p>
            <w:pPr>
              <w:pStyle w:val="49"/>
              <w:jc w:val="center"/>
              <w:rPr>
                <w:rFonts w:hint="eastAsia" w:ascii="宋体" w:hAnsi="宋体" w:eastAsia="宋体" w:cs="宋体"/>
                <w:color w:val="auto"/>
                <w:sz w:val="21"/>
                <w:szCs w:val="21"/>
                <w:highlight w:val="none"/>
              </w:rPr>
            </w:pPr>
          </w:p>
        </w:tc>
        <w:tc>
          <w:tcPr>
            <w:tcW w:w="2264" w:type="dxa"/>
            <w:vAlign w:val="center"/>
          </w:tcPr>
          <w:p>
            <w:pPr>
              <w:pStyle w:val="49"/>
              <w:jc w:val="center"/>
              <w:rPr>
                <w:rFonts w:hint="eastAsia" w:ascii="宋体" w:hAnsi="宋体" w:eastAsia="宋体" w:cs="宋体"/>
                <w:color w:val="auto"/>
                <w:sz w:val="21"/>
                <w:szCs w:val="21"/>
                <w:highlight w:val="none"/>
              </w:rPr>
            </w:pPr>
          </w:p>
        </w:tc>
        <w:tc>
          <w:tcPr>
            <w:tcW w:w="1792" w:type="dxa"/>
            <w:vAlign w:val="center"/>
          </w:tcPr>
          <w:p>
            <w:pPr>
              <w:pStyle w:val="49"/>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713" w:type="dxa"/>
            <w:vAlign w:val="center"/>
          </w:tcPr>
          <w:p>
            <w:pPr>
              <w:pStyle w:val="49"/>
              <w:jc w:val="center"/>
              <w:rPr>
                <w:rFonts w:hint="eastAsia" w:ascii="宋体" w:hAnsi="宋体" w:eastAsia="宋体" w:cs="宋体"/>
                <w:color w:val="auto"/>
                <w:sz w:val="21"/>
                <w:szCs w:val="21"/>
                <w:highlight w:val="none"/>
              </w:rPr>
            </w:pPr>
            <w:bookmarkStart w:id="651" w:name="_Toc100090786"/>
            <w:bookmarkStart w:id="652" w:name="_Toc99533294"/>
            <w:r>
              <w:rPr>
                <w:rFonts w:hint="eastAsia" w:ascii="宋体" w:hAnsi="宋体" w:eastAsia="宋体" w:cs="宋体"/>
                <w:color w:val="auto"/>
                <w:sz w:val="21"/>
                <w:szCs w:val="21"/>
                <w:highlight w:val="none"/>
              </w:rPr>
              <w:t>3</w:t>
            </w:r>
            <w:bookmarkEnd w:id="651"/>
            <w:bookmarkEnd w:id="652"/>
          </w:p>
        </w:tc>
        <w:tc>
          <w:tcPr>
            <w:tcW w:w="1618" w:type="dxa"/>
            <w:vAlign w:val="center"/>
          </w:tcPr>
          <w:p>
            <w:pPr>
              <w:pStyle w:val="49"/>
              <w:jc w:val="center"/>
              <w:rPr>
                <w:rFonts w:hint="eastAsia" w:ascii="宋体" w:hAnsi="宋体" w:eastAsia="宋体" w:cs="宋体"/>
                <w:color w:val="auto"/>
                <w:sz w:val="21"/>
                <w:szCs w:val="21"/>
                <w:highlight w:val="none"/>
              </w:rPr>
            </w:pPr>
          </w:p>
        </w:tc>
        <w:tc>
          <w:tcPr>
            <w:tcW w:w="1938" w:type="dxa"/>
            <w:tcBorders>
              <w:left w:val="single" w:color="auto" w:sz="4" w:space="0"/>
            </w:tcBorders>
            <w:vAlign w:val="center"/>
          </w:tcPr>
          <w:p>
            <w:pPr>
              <w:pStyle w:val="49"/>
              <w:jc w:val="center"/>
              <w:rPr>
                <w:rFonts w:hint="eastAsia" w:ascii="宋体" w:hAnsi="宋体" w:eastAsia="宋体" w:cs="宋体"/>
                <w:color w:val="auto"/>
                <w:sz w:val="21"/>
                <w:szCs w:val="21"/>
                <w:highlight w:val="none"/>
              </w:rPr>
            </w:pPr>
          </w:p>
        </w:tc>
        <w:tc>
          <w:tcPr>
            <w:tcW w:w="1111" w:type="dxa"/>
            <w:tcBorders>
              <w:left w:val="single" w:color="auto" w:sz="4" w:space="0"/>
            </w:tcBorders>
            <w:vAlign w:val="center"/>
          </w:tcPr>
          <w:p>
            <w:pPr>
              <w:pStyle w:val="49"/>
              <w:jc w:val="center"/>
              <w:rPr>
                <w:rFonts w:hint="eastAsia" w:ascii="宋体" w:hAnsi="宋体" w:eastAsia="宋体" w:cs="宋体"/>
                <w:color w:val="auto"/>
                <w:sz w:val="21"/>
                <w:szCs w:val="21"/>
                <w:highlight w:val="none"/>
              </w:rPr>
            </w:pPr>
          </w:p>
        </w:tc>
        <w:tc>
          <w:tcPr>
            <w:tcW w:w="2264" w:type="dxa"/>
            <w:vAlign w:val="center"/>
          </w:tcPr>
          <w:p>
            <w:pPr>
              <w:pStyle w:val="49"/>
              <w:jc w:val="center"/>
              <w:rPr>
                <w:rFonts w:hint="eastAsia" w:ascii="宋体" w:hAnsi="宋体" w:eastAsia="宋体" w:cs="宋体"/>
                <w:color w:val="auto"/>
                <w:sz w:val="21"/>
                <w:szCs w:val="21"/>
                <w:highlight w:val="none"/>
              </w:rPr>
            </w:pPr>
          </w:p>
        </w:tc>
        <w:tc>
          <w:tcPr>
            <w:tcW w:w="1792" w:type="dxa"/>
            <w:vAlign w:val="center"/>
          </w:tcPr>
          <w:p>
            <w:pPr>
              <w:pStyle w:val="49"/>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713" w:type="dxa"/>
            <w:vAlign w:val="center"/>
          </w:tcPr>
          <w:p>
            <w:pPr>
              <w:pStyle w:val="49"/>
              <w:jc w:val="center"/>
              <w:rPr>
                <w:rFonts w:hint="eastAsia" w:ascii="宋体" w:hAnsi="宋体" w:eastAsia="宋体" w:cs="宋体"/>
                <w:color w:val="auto"/>
                <w:sz w:val="21"/>
                <w:szCs w:val="21"/>
                <w:highlight w:val="none"/>
              </w:rPr>
            </w:pPr>
            <w:bookmarkStart w:id="653" w:name="_Toc99533295"/>
            <w:bookmarkStart w:id="654" w:name="_Toc100090787"/>
            <w:r>
              <w:rPr>
                <w:rFonts w:hint="eastAsia" w:ascii="宋体" w:hAnsi="宋体" w:eastAsia="宋体" w:cs="宋体"/>
                <w:color w:val="auto"/>
                <w:sz w:val="21"/>
                <w:szCs w:val="21"/>
                <w:highlight w:val="none"/>
              </w:rPr>
              <w:t>4</w:t>
            </w:r>
            <w:bookmarkEnd w:id="653"/>
            <w:bookmarkEnd w:id="654"/>
          </w:p>
        </w:tc>
        <w:tc>
          <w:tcPr>
            <w:tcW w:w="1618" w:type="dxa"/>
            <w:vAlign w:val="center"/>
          </w:tcPr>
          <w:p>
            <w:pPr>
              <w:pStyle w:val="49"/>
              <w:jc w:val="center"/>
              <w:rPr>
                <w:rFonts w:hint="eastAsia" w:ascii="宋体" w:hAnsi="宋体" w:eastAsia="宋体" w:cs="宋体"/>
                <w:color w:val="auto"/>
                <w:sz w:val="21"/>
                <w:szCs w:val="21"/>
                <w:highlight w:val="none"/>
              </w:rPr>
            </w:pPr>
          </w:p>
        </w:tc>
        <w:tc>
          <w:tcPr>
            <w:tcW w:w="1938" w:type="dxa"/>
            <w:tcBorders>
              <w:left w:val="single" w:color="auto" w:sz="4" w:space="0"/>
            </w:tcBorders>
            <w:vAlign w:val="center"/>
          </w:tcPr>
          <w:p>
            <w:pPr>
              <w:pStyle w:val="49"/>
              <w:jc w:val="center"/>
              <w:rPr>
                <w:rFonts w:hint="eastAsia" w:ascii="宋体" w:hAnsi="宋体" w:eastAsia="宋体" w:cs="宋体"/>
                <w:color w:val="auto"/>
                <w:sz w:val="21"/>
                <w:szCs w:val="21"/>
                <w:highlight w:val="none"/>
              </w:rPr>
            </w:pPr>
          </w:p>
        </w:tc>
        <w:tc>
          <w:tcPr>
            <w:tcW w:w="1111" w:type="dxa"/>
            <w:tcBorders>
              <w:left w:val="single" w:color="auto" w:sz="4" w:space="0"/>
            </w:tcBorders>
            <w:vAlign w:val="center"/>
          </w:tcPr>
          <w:p>
            <w:pPr>
              <w:pStyle w:val="49"/>
              <w:jc w:val="center"/>
              <w:rPr>
                <w:rFonts w:hint="eastAsia" w:ascii="宋体" w:hAnsi="宋体" w:eastAsia="宋体" w:cs="宋体"/>
                <w:color w:val="auto"/>
                <w:sz w:val="21"/>
                <w:szCs w:val="21"/>
                <w:highlight w:val="none"/>
              </w:rPr>
            </w:pPr>
          </w:p>
        </w:tc>
        <w:tc>
          <w:tcPr>
            <w:tcW w:w="2264" w:type="dxa"/>
            <w:vAlign w:val="center"/>
          </w:tcPr>
          <w:p>
            <w:pPr>
              <w:pStyle w:val="49"/>
              <w:jc w:val="center"/>
              <w:rPr>
                <w:rFonts w:hint="eastAsia" w:ascii="宋体" w:hAnsi="宋体" w:eastAsia="宋体" w:cs="宋体"/>
                <w:color w:val="auto"/>
                <w:sz w:val="21"/>
                <w:szCs w:val="21"/>
                <w:highlight w:val="none"/>
              </w:rPr>
            </w:pPr>
          </w:p>
        </w:tc>
        <w:tc>
          <w:tcPr>
            <w:tcW w:w="1792" w:type="dxa"/>
            <w:vAlign w:val="center"/>
          </w:tcPr>
          <w:p>
            <w:pPr>
              <w:pStyle w:val="49"/>
              <w:jc w:val="center"/>
              <w:rPr>
                <w:rFonts w:hint="eastAsia"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jc w:val="center"/>
        </w:trPr>
        <w:tc>
          <w:tcPr>
            <w:tcW w:w="713" w:type="dxa"/>
            <w:vAlign w:val="center"/>
          </w:tcPr>
          <w:p>
            <w:pPr>
              <w:pStyle w:val="49"/>
              <w:jc w:val="center"/>
              <w:rPr>
                <w:rFonts w:hint="eastAsia" w:ascii="宋体" w:hAnsi="宋体" w:eastAsia="宋体" w:cs="宋体"/>
                <w:color w:val="auto"/>
                <w:sz w:val="21"/>
                <w:szCs w:val="21"/>
                <w:highlight w:val="none"/>
              </w:rPr>
            </w:pPr>
            <w:bookmarkStart w:id="655" w:name="_Toc100090788"/>
            <w:bookmarkStart w:id="656" w:name="_Toc99533296"/>
            <w:r>
              <w:rPr>
                <w:rFonts w:hint="eastAsia" w:ascii="宋体" w:hAnsi="宋体" w:eastAsia="宋体" w:cs="宋体"/>
                <w:color w:val="auto"/>
                <w:sz w:val="21"/>
                <w:szCs w:val="21"/>
                <w:highlight w:val="none"/>
              </w:rPr>
              <w:t>5</w:t>
            </w:r>
            <w:bookmarkEnd w:id="655"/>
            <w:bookmarkEnd w:id="656"/>
          </w:p>
        </w:tc>
        <w:tc>
          <w:tcPr>
            <w:tcW w:w="1618" w:type="dxa"/>
            <w:vAlign w:val="center"/>
          </w:tcPr>
          <w:p>
            <w:pPr>
              <w:pStyle w:val="49"/>
              <w:jc w:val="center"/>
              <w:rPr>
                <w:rFonts w:hint="eastAsia" w:ascii="宋体" w:hAnsi="宋体" w:eastAsia="宋体" w:cs="宋体"/>
                <w:color w:val="auto"/>
                <w:sz w:val="21"/>
                <w:szCs w:val="21"/>
                <w:highlight w:val="none"/>
              </w:rPr>
            </w:pPr>
          </w:p>
        </w:tc>
        <w:tc>
          <w:tcPr>
            <w:tcW w:w="1938" w:type="dxa"/>
            <w:tcBorders>
              <w:left w:val="single" w:color="auto" w:sz="4" w:space="0"/>
            </w:tcBorders>
            <w:vAlign w:val="center"/>
          </w:tcPr>
          <w:p>
            <w:pPr>
              <w:pStyle w:val="49"/>
              <w:jc w:val="center"/>
              <w:rPr>
                <w:rFonts w:hint="eastAsia" w:ascii="宋体" w:hAnsi="宋体" w:eastAsia="宋体" w:cs="宋体"/>
                <w:color w:val="auto"/>
                <w:sz w:val="21"/>
                <w:szCs w:val="21"/>
                <w:highlight w:val="none"/>
              </w:rPr>
            </w:pPr>
          </w:p>
        </w:tc>
        <w:tc>
          <w:tcPr>
            <w:tcW w:w="1111" w:type="dxa"/>
            <w:tcBorders>
              <w:left w:val="single" w:color="auto" w:sz="4" w:space="0"/>
            </w:tcBorders>
            <w:vAlign w:val="center"/>
          </w:tcPr>
          <w:p>
            <w:pPr>
              <w:pStyle w:val="49"/>
              <w:jc w:val="center"/>
              <w:rPr>
                <w:rFonts w:hint="eastAsia" w:ascii="宋体" w:hAnsi="宋体" w:eastAsia="宋体" w:cs="宋体"/>
                <w:color w:val="auto"/>
                <w:sz w:val="21"/>
                <w:szCs w:val="21"/>
                <w:highlight w:val="none"/>
              </w:rPr>
            </w:pPr>
          </w:p>
        </w:tc>
        <w:tc>
          <w:tcPr>
            <w:tcW w:w="2264" w:type="dxa"/>
            <w:vAlign w:val="center"/>
          </w:tcPr>
          <w:p>
            <w:pPr>
              <w:pStyle w:val="49"/>
              <w:jc w:val="center"/>
              <w:rPr>
                <w:rFonts w:hint="eastAsia" w:ascii="宋体" w:hAnsi="宋体" w:eastAsia="宋体" w:cs="宋体"/>
                <w:color w:val="auto"/>
                <w:sz w:val="21"/>
                <w:szCs w:val="21"/>
                <w:highlight w:val="none"/>
              </w:rPr>
            </w:pPr>
          </w:p>
        </w:tc>
        <w:tc>
          <w:tcPr>
            <w:tcW w:w="1792" w:type="dxa"/>
            <w:vAlign w:val="center"/>
          </w:tcPr>
          <w:p>
            <w:pPr>
              <w:pStyle w:val="49"/>
              <w:jc w:val="center"/>
              <w:rPr>
                <w:rFonts w:hint="eastAsia" w:ascii="宋体" w:hAnsi="宋体" w:eastAsia="宋体" w:cs="宋体"/>
                <w:color w:val="auto"/>
                <w:sz w:val="21"/>
                <w:szCs w:val="21"/>
                <w:highlight w:val="none"/>
              </w:rPr>
            </w:pPr>
          </w:p>
        </w:tc>
      </w:tr>
    </w:tbl>
    <w:p>
      <w:pPr>
        <w:rPr>
          <w:color w:val="auto"/>
          <w:highlight w:val="none"/>
        </w:rPr>
      </w:pPr>
    </w:p>
    <w:p>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注：按招标文件要求在本表后附相关人员证书。包括但不限于身份证、近六个月中任意一个月社保缴纳证明原件扫描件、劳动合同等证件并加盖公章（退休人员须提供退休证明及聘用合同）。</w:t>
      </w:r>
    </w:p>
    <w:p>
      <w:pPr>
        <w:ind w:firstLine="420" w:firstLineChars="200"/>
        <w:rPr>
          <w:rFonts w:hint="eastAsia" w:cs="仿宋_GB2312"/>
          <w:color w:val="auto"/>
          <w:sz w:val="21"/>
          <w:szCs w:val="21"/>
          <w:highlight w:val="none"/>
          <w:lang w:val="en-US" w:eastAsia="zh-CN"/>
        </w:rPr>
      </w:pPr>
    </w:p>
    <w:p>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pPr>
        <w:ind w:firstLine="420" w:firstLineChars="200"/>
        <w:rPr>
          <w:color w:val="auto"/>
          <w:highlight w:val="none"/>
        </w:rPr>
      </w:pPr>
      <w:r>
        <w:rPr>
          <w:rFonts w:hint="eastAsia" w:cs="仿宋_GB2312"/>
          <w:color w:val="auto"/>
          <w:sz w:val="21"/>
          <w:szCs w:val="21"/>
          <w:highlight w:val="none"/>
          <w:lang w:val="en-US" w:eastAsia="zh-CN"/>
        </w:rPr>
        <w:t>2.如投标人中标，须按本表项目组成人员操作，如需更换，经与甲方协商一致后方可更换。</w:t>
      </w:r>
      <w:r>
        <w:rPr>
          <w:color w:val="auto"/>
          <w:highlight w:val="none"/>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57" w:name="_Toc5387"/>
      <w:bookmarkStart w:id="658" w:name="_Toc3121"/>
      <w:r>
        <w:rPr>
          <w:rFonts w:hint="eastAsia" w:cstheme="majorBidi"/>
          <w:b/>
          <w:bCs/>
          <w:color w:val="auto"/>
          <w:kern w:val="2"/>
          <w:sz w:val="32"/>
          <w:szCs w:val="32"/>
          <w:highlight w:val="none"/>
          <w:lang w:val="en-US" w:eastAsia="zh-CN" w:bidi="ar-SA"/>
        </w:rPr>
        <w:t>十一</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657"/>
      <w:bookmarkEnd w:id="658"/>
    </w:p>
    <w:p>
      <w:pPr>
        <w:rPr>
          <w:rFonts w:cs="仿宋_GB2312"/>
          <w:color w:val="auto"/>
          <w:szCs w:val="24"/>
          <w:highlight w:val="none"/>
        </w:rPr>
      </w:pPr>
      <w:r>
        <w:rPr>
          <w:rFonts w:hint="eastAsia" w:cs="仿宋_GB2312"/>
          <w:color w:val="auto"/>
          <w:szCs w:val="24"/>
          <w:highlight w:val="none"/>
        </w:rPr>
        <w:t xml:space="preserve">项目名称：                                         </w:t>
      </w:r>
    </w:p>
    <w:p>
      <w:pPr>
        <w:rPr>
          <w:rFonts w:cs="仿宋_GB2312"/>
          <w:color w:val="auto"/>
          <w:szCs w:val="24"/>
          <w:highlight w:val="none"/>
        </w:rPr>
      </w:pPr>
      <w:r>
        <w:rPr>
          <w:rFonts w:hint="eastAsia" w:cs="仿宋_GB2312"/>
          <w:color w:val="auto"/>
          <w:szCs w:val="24"/>
          <w:highlight w:val="none"/>
        </w:rPr>
        <w:t xml:space="preserve">项目编号：         </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2153"/>
        <w:gridCol w:w="1915"/>
        <w:gridCol w:w="2350"/>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06"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06"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pPr>
              <w:pStyle w:val="49"/>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06"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pPr>
              <w:pStyle w:val="49"/>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06" w:type="pct"/>
            <w:shd w:val="clear" w:color="auto" w:fill="auto"/>
            <w:vAlign w:val="center"/>
          </w:tcPr>
          <w:p>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pPr>
              <w:pStyle w:val="49"/>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pPr>
              <w:pStyle w:val="49"/>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06" w:type="pct"/>
            <w:vAlign w:val="center"/>
          </w:tcPr>
          <w:p>
            <w:pPr>
              <w:pStyle w:val="49"/>
              <w:jc w:val="center"/>
              <w:rPr>
                <w:rFonts w:hint="eastAsia" w:ascii="宋体" w:hAnsi="宋体" w:eastAsia="宋体" w:cs="宋体"/>
                <w:color w:val="auto"/>
                <w:sz w:val="21"/>
                <w:szCs w:val="21"/>
                <w:highlight w:val="none"/>
              </w:rPr>
            </w:pPr>
          </w:p>
        </w:tc>
        <w:tc>
          <w:tcPr>
            <w:tcW w:w="1159" w:type="pct"/>
            <w:vAlign w:val="center"/>
          </w:tcPr>
          <w:p>
            <w:pPr>
              <w:pStyle w:val="49"/>
              <w:jc w:val="center"/>
              <w:rPr>
                <w:rFonts w:hint="eastAsia" w:ascii="宋体" w:hAnsi="宋体" w:eastAsia="宋体" w:cs="宋体"/>
                <w:color w:val="auto"/>
                <w:sz w:val="21"/>
                <w:szCs w:val="21"/>
                <w:highlight w:val="none"/>
              </w:rPr>
            </w:pPr>
          </w:p>
        </w:tc>
        <w:tc>
          <w:tcPr>
            <w:tcW w:w="1031" w:type="pct"/>
            <w:vAlign w:val="center"/>
          </w:tcPr>
          <w:p>
            <w:pPr>
              <w:pStyle w:val="49"/>
              <w:jc w:val="center"/>
              <w:rPr>
                <w:rFonts w:hint="eastAsia" w:ascii="宋体" w:hAnsi="宋体" w:eastAsia="宋体" w:cs="宋体"/>
                <w:color w:val="auto"/>
                <w:sz w:val="21"/>
                <w:szCs w:val="21"/>
                <w:highlight w:val="none"/>
              </w:rPr>
            </w:pPr>
          </w:p>
        </w:tc>
        <w:tc>
          <w:tcPr>
            <w:tcW w:w="1265" w:type="pct"/>
            <w:vAlign w:val="center"/>
          </w:tcPr>
          <w:p>
            <w:pPr>
              <w:pStyle w:val="49"/>
              <w:jc w:val="center"/>
              <w:rPr>
                <w:rFonts w:hint="eastAsia" w:ascii="宋体" w:hAnsi="宋体" w:eastAsia="宋体" w:cs="宋体"/>
                <w:color w:val="auto"/>
                <w:sz w:val="21"/>
                <w:szCs w:val="21"/>
                <w:highlight w:val="none"/>
              </w:rPr>
            </w:pPr>
          </w:p>
        </w:tc>
        <w:tc>
          <w:tcPr>
            <w:tcW w:w="1136" w:type="pct"/>
            <w:vAlign w:val="center"/>
          </w:tcPr>
          <w:p>
            <w:pPr>
              <w:pStyle w:val="49"/>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06" w:type="pct"/>
            <w:vAlign w:val="center"/>
          </w:tcPr>
          <w:p>
            <w:pPr>
              <w:pStyle w:val="49"/>
              <w:jc w:val="center"/>
              <w:rPr>
                <w:rFonts w:hint="eastAsia" w:ascii="宋体" w:hAnsi="宋体" w:eastAsia="宋体" w:cs="宋体"/>
                <w:color w:val="auto"/>
                <w:sz w:val="21"/>
                <w:szCs w:val="21"/>
                <w:highlight w:val="none"/>
              </w:rPr>
            </w:pPr>
          </w:p>
        </w:tc>
        <w:tc>
          <w:tcPr>
            <w:tcW w:w="1159" w:type="pct"/>
            <w:vAlign w:val="center"/>
          </w:tcPr>
          <w:p>
            <w:pPr>
              <w:pStyle w:val="49"/>
              <w:jc w:val="center"/>
              <w:rPr>
                <w:rFonts w:hint="eastAsia" w:ascii="宋体" w:hAnsi="宋体" w:eastAsia="宋体" w:cs="宋体"/>
                <w:color w:val="auto"/>
                <w:sz w:val="21"/>
                <w:szCs w:val="21"/>
                <w:highlight w:val="none"/>
              </w:rPr>
            </w:pPr>
          </w:p>
        </w:tc>
        <w:tc>
          <w:tcPr>
            <w:tcW w:w="1031" w:type="pct"/>
            <w:vAlign w:val="center"/>
          </w:tcPr>
          <w:p>
            <w:pPr>
              <w:pStyle w:val="49"/>
              <w:jc w:val="center"/>
              <w:rPr>
                <w:rFonts w:hint="eastAsia" w:ascii="宋体" w:hAnsi="宋体" w:eastAsia="宋体" w:cs="宋体"/>
                <w:color w:val="auto"/>
                <w:sz w:val="21"/>
                <w:szCs w:val="21"/>
                <w:highlight w:val="none"/>
              </w:rPr>
            </w:pPr>
          </w:p>
        </w:tc>
        <w:tc>
          <w:tcPr>
            <w:tcW w:w="1265" w:type="pct"/>
            <w:vAlign w:val="center"/>
          </w:tcPr>
          <w:p>
            <w:pPr>
              <w:pStyle w:val="49"/>
              <w:jc w:val="center"/>
              <w:rPr>
                <w:rFonts w:hint="eastAsia" w:ascii="宋体" w:hAnsi="宋体" w:eastAsia="宋体" w:cs="宋体"/>
                <w:color w:val="auto"/>
                <w:sz w:val="21"/>
                <w:szCs w:val="21"/>
                <w:highlight w:val="none"/>
              </w:rPr>
            </w:pPr>
          </w:p>
        </w:tc>
        <w:tc>
          <w:tcPr>
            <w:tcW w:w="1136" w:type="pct"/>
            <w:vAlign w:val="center"/>
          </w:tcPr>
          <w:p>
            <w:pPr>
              <w:pStyle w:val="49"/>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06" w:type="pct"/>
            <w:vAlign w:val="center"/>
          </w:tcPr>
          <w:p>
            <w:pPr>
              <w:pStyle w:val="49"/>
              <w:jc w:val="center"/>
              <w:rPr>
                <w:rFonts w:hint="eastAsia" w:ascii="宋体" w:hAnsi="宋体" w:eastAsia="宋体" w:cs="宋体"/>
                <w:color w:val="auto"/>
                <w:sz w:val="21"/>
                <w:szCs w:val="21"/>
                <w:highlight w:val="none"/>
              </w:rPr>
            </w:pPr>
          </w:p>
        </w:tc>
        <w:tc>
          <w:tcPr>
            <w:tcW w:w="1159" w:type="pct"/>
            <w:vAlign w:val="center"/>
          </w:tcPr>
          <w:p>
            <w:pPr>
              <w:pStyle w:val="49"/>
              <w:jc w:val="center"/>
              <w:rPr>
                <w:rFonts w:hint="eastAsia" w:ascii="宋体" w:hAnsi="宋体" w:eastAsia="宋体" w:cs="宋体"/>
                <w:color w:val="auto"/>
                <w:sz w:val="21"/>
                <w:szCs w:val="21"/>
                <w:highlight w:val="none"/>
              </w:rPr>
            </w:pPr>
          </w:p>
        </w:tc>
        <w:tc>
          <w:tcPr>
            <w:tcW w:w="1031" w:type="pct"/>
            <w:vAlign w:val="center"/>
          </w:tcPr>
          <w:p>
            <w:pPr>
              <w:pStyle w:val="49"/>
              <w:jc w:val="center"/>
              <w:rPr>
                <w:rFonts w:hint="eastAsia" w:ascii="宋体" w:hAnsi="宋体" w:eastAsia="宋体" w:cs="宋体"/>
                <w:color w:val="auto"/>
                <w:sz w:val="21"/>
                <w:szCs w:val="21"/>
                <w:highlight w:val="none"/>
              </w:rPr>
            </w:pPr>
          </w:p>
        </w:tc>
        <w:tc>
          <w:tcPr>
            <w:tcW w:w="1265" w:type="pct"/>
            <w:vAlign w:val="center"/>
          </w:tcPr>
          <w:p>
            <w:pPr>
              <w:pStyle w:val="49"/>
              <w:jc w:val="center"/>
              <w:rPr>
                <w:rFonts w:hint="eastAsia" w:ascii="宋体" w:hAnsi="宋体" w:eastAsia="宋体" w:cs="宋体"/>
                <w:color w:val="auto"/>
                <w:sz w:val="21"/>
                <w:szCs w:val="21"/>
                <w:highlight w:val="none"/>
              </w:rPr>
            </w:pPr>
          </w:p>
        </w:tc>
        <w:tc>
          <w:tcPr>
            <w:tcW w:w="1136" w:type="pct"/>
            <w:vAlign w:val="center"/>
          </w:tcPr>
          <w:p>
            <w:pPr>
              <w:pStyle w:val="49"/>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06" w:type="pct"/>
            <w:vAlign w:val="center"/>
          </w:tcPr>
          <w:p>
            <w:pPr>
              <w:pStyle w:val="49"/>
              <w:jc w:val="center"/>
              <w:rPr>
                <w:rFonts w:hint="eastAsia" w:ascii="宋体" w:hAnsi="宋体" w:eastAsia="宋体" w:cs="宋体"/>
                <w:color w:val="auto"/>
                <w:sz w:val="21"/>
                <w:szCs w:val="21"/>
                <w:highlight w:val="none"/>
              </w:rPr>
            </w:pPr>
          </w:p>
        </w:tc>
        <w:tc>
          <w:tcPr>
            <w:tcW w:w="1159" w:type="pct"/>
            <w:vAlign w:val="center"/>
          </w:tcPr>
          <w:p>
            <w:pPr>
              <w:pStyle w:val="49"/>
              <w:jc w:val="center"/>
              <w:rPr>
                <w:rFonts w:hint="eastAsia" w:ascii="宋体" w:hAnsi="宋体" w:eastAsia="宋体" w:cs="宋体"/>
                <w:color w:val="auto"/>
                <w:sz w:val="21"/>
                <w:szCs w:val="21"/>
                <w:highlight w:val="none"/>
              </w:rPr>
            </w:pPr>
          </w:p>
        </w:tc>
        <w:tc>
          <w:tcPr>
            <w:tcW w:w="1031" w:type="pct"/>
            <w:vAlign w:val="center"/>
          </w:tcPr>
          <w:p>
            <w:pPr>
              <w:pStyle w:val="49"/>
              <w:jc w:val="center"/>
              <w:rPr>
                <w:rFonts w:hint="eastAsia" w:ascii="宋体" w:hAnsi="宋体" w:eastAsia="宋体" w:cs="宋体"/>
                <w:color w:val="auto"/>
                <w:sz w:val="21"/>
                <w:szCs w:val="21"/>
                <w:highlight w:val="none"/>
              </w:rPr>
            </w:pPr>
          </w:p>
        </w:tc>
        <w:tc>
          <w:tcPr>
            <w:tcW w:w="1265" w:type="pct"/>
            <w:vAlign w:val="center"/>
          </w:tcPr>
          <w:p>
            <w:pPr>
              <w:pStyle w:val="49"/>
              <w:jc w:val="center"/>
              <w:rPr>
                <w:rFonts w:hint="eastAsia" w:ascii="宋体" w:hAnsi="宋体" w:eastAsia="宋体" w:cs="宋体"/>
                <w:color w:val="auto"/>
                <w:sz w:val="21"/>
                <w:szCs w:val="21"/>
                <w:highlight w:val="none"/>
              </w:rPr>
            </w:pPr>
          </w:p>
        </w:tc>
        <w:tc>
          <w:tcPr>
            <w:tcW w:w="1136" w:type="pct"/>
            <w:vAlign w:val="center"/>
          </w:tcPr>
          <w:p>
            <w:pPr>
              <w:pStyle w:val="49"/>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06"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pPr>
              <w:pStyle w:val="49"/>
              <w:jc w:val="center"/>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p>
        </w:tc>
        <w:tc>
          <w:tcPr>
            <w:tcW w:w="1031" w:type="pct"/>
            <w:vAlign w:val="center"/>
          </w:tcPr>
          <w:p>
            <w:pPr>
              <w:pStyle w:val="4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pPr>
              <w:pStyle w:val="49"/>
              <w:jc w:val="center"/>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p>
        </w:tc>
        <w:tc>
          <w:tcPr>
            <w:tcW w:w="1136" w:type="pct"/>
            <w:vAlign w:val="center"/>
          </w:tcPr>
          <w:p>
            <w:pPr>
              <w:pStyle w:val="49"/>
              <w:jc w:val="center"/>
              <w:rPr>
                <w:rFonts w:hint="eastAsia" w:ascii="宋体" w:hAnsi="宋体" w:eastAsia="宋体" w:cs="宋体"/>
                <w:color w:val="auto"/>
                <w:sz w:val="21"/>
                <w:szCs w:val="21"/>
                <w:highlight w:val="none"/>
              </w:rPr>
            </w:pPr>
          </w:p>
        </w:tc>
      </w:tr>
    </w:tbl>
    <w:p>
      <w:pPr>
        <w:ind w:firstLine="480" w:firstLineChars="200"/>
        <w:rPr>
          <w:rFonts w:cs="仿宋_GB2312"/>
          <w:color w:val="auto"/>
          <w:szCs w:val="24"/>
          <w:highlight w:val="none"/>
        </w:rPr>
      </w:pPr>
    </w:p>
    <w:p>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p>
    <w:p>
      <w:pPr>
        <w:ind w:firstLine="420"/>
        <w:rPr>
          <w:rFonts w:cs="仿宋_GB2312"/>
          <w:color w:val="auto"/>
          <w:szCs w:val="24"/>
          <w:highlight w:val="none"/>
        </w:rPr>
      </w:pPr>
      <w:r>
        <w:rPr>
          <w:rFonts w:hint="eastAsia" w:cs="仿宋_GB2312"/>
          <w:color w:val="auto"/>
          <w:szCs w:val="24"/>
          <w:highlight w:val="none"/>
        </w:rPr>
        <w:t>日      期：</w:t>
      </w:r>
    </w:p>
    <w:p>
      <w:pPr>
        <w:ind w:firstLine="420"/>
        <w:rPr>
          <w:rFonts w:cs="仿宋_GB2312"/>
          <w:color w:val="auto"/>
          <w:szCs w:val="24"/>
          <w:highlight w:val="none"/>
        </w:rPr>
      </w:pPr>
    </w:p>
    <w:p>
      <w:pPr>
        <w:ind w:firstLine="420" w:firstLineChars="200"/>
        <w:rPr>
          <w:rFonts w:hint="eastAsia" w:cs="仿宋_GB2312"/>
          <w:color w:val="auto"/>
          <w:sz w:val="21"/>
          <w:szCs w:val="21"/>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 xml:space="preserve">1.“招标文件技术要求条款”栏应详细列明招标文件中的要求。 </w:t>
      </w:r>
    </w:p>
    <w:p>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pPr>
        <w:ind w:firstLine="420"/>
        <w:rPr>
          <w:rFonts w:hint="eastAsia" w:cs="仿宋_GB2312"/>
          <w:color w:val="auto"/>
          <w:szCs w:val="24"/>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pPr>
        <w:ind w:firstLine="420"/>
        <w:rPr>
          <w:rFonts w:cs="仿宋_GB2312"/>
          <w:color w:val="auto"/>
          <w:szCs w:val="24"/>
          <w:highlight w:val="none"/>
        </w:rPr>
      </w:pPr>
      <w:r>
        <w:rPr>
          <w:rFonts w:cs="仿宋_GB2312"/>
          <w:color w:val="auto"/>
          <w:szCs w:val="24"/>
          <w:highlight w:val="none"/>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59" w:name="_Toc28036"/>
      <w:bookmarkStart w:id="660" w:name="_Toc24401"/>
      <w:r>
        <w:rPr>
          <w:rFonts w:hint="eastAsia" w:cstheme="majorBidi"/>
          <w:b/>
          <w:bCs/>
          <w:color w:val="auto"/>
          <w:kern w:val="2"/>
          <w:sz w:val="32"/>
          <w:szCs w:val="32"/>
          <w:highlight w:val="none"/>
          <w:lang w:val="en-US" w:eastAsia="zh-CN" w:bidi="ar-SA"/>
        </w:rPr>
        <w:t>十二</w:t>
      </w:r>
      <w:r>
        <w:rPr>
          <w:rFonts w:hint="eastAsia" w:eastAsia="宋体" w:asciiTheme="majorHAnsi" w:hAnsiTheme="majorHAnsi" w:cstheme="majorBidi"/>
          <w:b/>
          <w:bCs/>
          <w:color w:val="auto"/>
          <w:kern w:val="2"/>
          <w:sz w:val="32"/>
          <w:szCs w:val="32"/>
          <w:highlight w:val="none"/>
          <w:lang w:val="en-US" w:eastAsia="zh-CN" w:bidi="ar-SA"/>
        </w:rPr>
        <w:t>、技术方案</w:t>
      </w:r>
      <w:bookmarkEnd w:id="659"/>
      <w:bookmarkEnd w:id="660"/>
    </w:p>
    <w:p>
      <w:pPr>
        <w:pStyle w:val="37"/>
        <w:rPr>
          <w:rFonts w:hint="eastAsia"/>
          <w:color w:val="auto"/>
          <w:highlight w:val="none"/>
        </w:rPr>
      </w:pPr>
      <w:r>
        <w:rPr>
          <w:rFonts w:hint="eastAsia"/>
          <w:color w:val="auto"/>
          <w:highlight w:val="none"/>
        </w:rPr>
        <w:t>投标人应按照招标文件的要求，提供详细的</w:t>
      </w:r>
      <w:r>
        <w:rPr>
          <w:rFonts w:hint="eastAsia"/>
          <w:color w:val="auto"/>
          <w:highlight w:val="none"/>
          <w:lang w:val="en-US" w:eastAsia="zh-CN"/>
        </w:rPr>
        <w:t>技术</w:t>
      </w:r>
      <w:r>
        <w:rPr>
          <w:rFonts w:hint="eastAsia"/>
          <w:color w:val="auto"/>
          <w:highlight w:val="none"/>
        </w:rPr>
        <w:t>方案，包括</w:t>
      </w:r>
      <w:r>
        <w:rPr>
          <w:rFonts w:hint="eastAsia"/>
          <w:color w:val="auto"/>
          <w:highlight w:val="none"/>
          <w:lang w:val="en-US" w:eastAsia="zh-CN"/>
        </w:rPr>
        <w:t>但不限于以下内容：</w:t>
      </w:r>
    </w:p>
    <w:p>
      <w:pPr>
        <w:pStyle w:val="37"/>
        <w:rPr>
          <w:rFonts w:hint="eastAsia"/>
          <w:color w:val="auto"/>
          <w:highlight w:val="none"/>
        </w:rPr>
      </w:pPr>
      <w:r>
        <w:rPr>
          <w:rFonts w:hint="eastAsia"/>
          <w:color w:val="auto"/>
          <w:highlight w:val="none"/>
        </w:rPr>
        <w:t>项目分析方案</w:t>
      </w:r>
    </w:p>
    <w:p>
      <w:pPr>
        <w:pStyle w:val="37"/>
        <w:rPr>
          <w:rFonts w:hint="eastAsia"/>
          <w:color w:val="auto"/>
          <w:highlight w:val="none"/>
        </w:rPr>
      </w:pPr>
      <w:r>
        <w:rPr>
          <w:rFonts w:hint="eastAsia"/>
          <w:color w:val="auto"/>
          <w:highlight w:val="none"/>
        </w:rPr>
        <w:t>数字化服务</w:t>
      </w:r>
    </w:p>
    <w:p>
      <w:pPr>
        <w:pStyle w:val="37"/>
        <w:rPr>
          <w:rFonts w:hint="eastAsia"/>
          <w:color w:val="auto"/>
          <w:highlight w:val="none"/>
        </w:rPr>
      </w:pPr>
      <w:r>
        <w:rPr>
          <w:rFonts w:hint="eastAsia"/>
          <w:color w:val="auto"/>
          <w:highlight w:val="none"/>
        </w:rPr>
        <w:t>技术方案</w:t>
      </w:r>
    </w:p>
    <w:p>
      <w:pPr>
        <w:pStyle w:val="37"/>
        <w:rPr>
          <w:rFonts w:hint="eastAsia"/>
          <w:color w:val="auto"/>
          <w:highlight w:val="none"/>
        </w:rPr>
      </w:pPr>
      <w:r>
        <w:rPr>
          <w:rFonts w:hint="eastAsia"/>
          <w:color w:val="auto"/>
          <w:highlight w:val="none"/>
        </w:rPr>
        <w:t>质量保障方案</w:t>
      </w:r>
    </w:p>
    <w:p>
      <w:pPr>
        <w:pStyle w:val="37"/>
        <w:rPr>
          <w:rFonts w:hint="eastAsia"/>
          <w:color w:val="auto"/>
          <w:highlight w:val="none"/>
        </w:rPr>
      </w:pPr>
      <w:r>
        <w:rPr>
          <w:rFonts w:hint="eastAsia"/>
          <w:color w:val="auto"/>
          <w:highlight w:val="none"/>
        </w:rPr>
        <w:t>信息安全保障方案及相关承诺</w:t>
      </w:r>
    </w:p>
    <w:p>
      <w:pPr>
        <w:pStyle w:val="37"/>
        <w:rPr>
          <w:rFonts w:hint="eastAsia"/>
          <w:color w:val="auto"/>
          <w:highlight w:val="none"/>
        </w:rPr>
      </w:pPr>
      <w:r>
        <w:rPr>
          <w:rFonts w:hint="eastAsia"/>
          <w:color w:val="auto"/>
          <w:highlight w:val="none"/>
        </w:rPr>
        <w:t>应急方案</w:t>
      </w:r>
    </w:p>
    <w:p>
      <w:pPr>
        <w:pStyle w:val="37"/>
        <w:rPr>
          <w:rFonts w:hint="eastAsia"/>
          <w:color w:val="auto"/>
          <w:highlight w:val="none"/>
        </w:rPr>
      </w:pPr>
      <w:r>
        <w:rPr>
          <w:rFonts w:hint="eastAsia"/>
          <w:color w:val="auto"/>
          <w:highlight w:val="none"/>
        </w:rPr>
        <w:t>进度保障方案</w:t>
      </w:r>
    </w:p>
    <w:p>
      <w:pPr>
        <w:pStyle w:val="37"/>
        <w:rPr>
          <w:rFonts w:hint="eastAsia"/>
          <w:color w:val="auto"/>
          <w:highlight w:val="none"/>
        </w:rPr>
      </w:pPr>
      <w:r>
        <w:rPr>
          <w:rFonts w:hint="eastAsia"/>
          <w:color w:val="auto"/>
          <w:highlight w:val="none"/>
        </w:rPr>
        <w:t>说明：投标文件项目方案的编制原则：一是按文件要求，提供相应说明、资料、表格以证明所投服务是否响应招标文件要求；二是对应项目评审标准，充分体现所投服务对于评分标准的响应程度和优势。</w:t>
      </w:r>
    </w:p>
    <w:p>
      <w:pPr>
        <w:pStyle w:val="37"/>
        <w:rPr>
          <w:rFonts w:hint="eastAsia"/>
          <w:color w:val="auto"/>
          <w:highlight w:val="none"/>
        </w:rPr>
      </w:pPr>
    </w:p>
    <w:p>
      <w:pPr>
        <w:pStyle w:val="37"/>
        <w:rPr>
          <w:color w:val="auto"/>
          <w:highlight w:val="none"/>
        </w:rPr>
      </w:pPr>
      <w:r>
        <w:rPr>
          <w:color w:val="auto"/>
          <w:highlight w:val="none"/>
        </w:rPr>
        <w:br w:type="page"/>
      </w:r>
    </w:p>
    <w:p>
      <w:pPr>
        <w:ind w:firstLine="420"/>
        <w:rPr>
          <w:rFonts w:hint="eastAsia" w:cs="仿宋_GB2312"/>
          <w:color w:val="auto"/>
          <w:sz w:val="21"/>
          <w:szCs w:val="21"/>
          <w:highlight w:val="none"/>
          <w:lang w:val="en-US" w:eastAsia="zh-CN"/>
        </w:rPr>
      </w:pP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61" w:name="_Toc8606"/>
      <w:bookmarkStart w:id="662" w:name="_Toc22006"/>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、其他文件</w:t>
      </w:r>
      <w:bookmarkEnd w:id="661"/>
      <w:bookmarkEnd w:id="662"/>
    </w:p>
    <w:p>
      <w:pPr>
        <w:pStyle w:val="37"/>
        <w:ind w:left="0" w:leftChars="0" w:firstLine="0" w:firstLineChars="0"/>
        <w:rPr>
          <w:rFonts w:hint="eastAsia"/>
          <w:b/>
          <w:bCs/>
          <w:color w:val="auto"/>
          <w:sz w:val="24"/>
          <w:szCs w:val="24"/>
          <w:highlight w:val="none"/>
        </w:rPr>
      </w:pP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sectPr>
      <w:pgSz w:w="11905" w:h="16838"/>
      <w:pgMar w:top="1587" w:right="1361" w:bottom="1474" w:left="1474" w:header="851" w:footer="992" w:gutter="0"/>
      <w:pgBorders>
        <w:top w:val="none" w:sz="0" w:space="0"/>
        <w:left w:val="none" w:sz="0" w:space="0"/>
        <w:bottom w:val="none" w:sz="0" w:space="0"/>
        <w:right w:val="none" w:sz="0" w:space="0"/>
      </w:pgBorders>
      <w:pgNumType w:fmt="numberInDash"/>
      <w:cols w:space="0" w:num="1"/>
      <w:rtlGutter w:val="0"/>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C0E9A5F-E248-47E7-BE80-924235752383}"/>
  </w:font>
  <w:font w:name="Arial">
    <w:panose1 w:val="020B0604020202020204"/>
    <w:charset w:val="01"/>
    <w:family w:val="swiss"/>
    <w:pitch w:val="default"/>
    <w:sig w:usb0="E0002EFF" w:usb1="C000785B" w:usb2="00000009" w:usb3="00000000" w:csb0="400001FF" w:csb1="FFFF0000"/>
    <w:embedRegular r:id="rId2" w:fontKey="{00ACCB37-3693-48E7-BF11-C8078A073BC8}"/>
  </w:font>
  <w:font w:name="黑体">
    <w:panose1 w:val="02010609060101010101"/>
    <w:charset w:val="86"/>
    <w:family w:val="auto"/>
    <w:pitch w:val="default"/>
    <w:sig w:usb0="800002BF" w:usb1="38CF7CFA" w:usb2="00000016" w:usb3="00000000" w:csb0="00040001" w:csb1="00000000"/>
    <w:embedRegular r:id="rId3" w:fontKey="{331977D4-591C-46BD-A8A4-97DD01143D89}"/>
  </w:font>
  <w:font w:name="Courier New">
    <w:panose1 w:val="02070309020205020404"/>
    <w:charset w:val="01"/>
    <w:family w:val="modern"/>
    <w:pitch w:val="default"/>
    <w:sig w:usb0="E0002EFF" w:usb1="C0007843" w:usb2="00000009" w:usb3="00000000" w:csb0="400001FF" w:csb1="FFFF0000"/>
    <w:embedRegular r:id="rId4" w:fontKey="{9BCC0FD3-4DBC-4A76-B2BE-E57522F7ECB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78CFB1EE-0CCA-4E54-B9D0-C8ED193540C4}"/>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6" w:fontKey="{72239736-7E07-4A0F-9C98-26D465015298}"/>
  </w:font>
  <w:font w:name="仿宋_GB2312">
    <w:altName w:val="仿宋"/>
    <w:panose1 w:val="02010609030101010101"/>
    <w:charset w:val="86"/>
    <w:family w:val="modern"/>
    <w:pitch w:val="default"/>
    <w:sig w:usb0="00000000" w:usb1="00000000" w:usb2="00000000" w:usb3="00000000" w:csb0="00040000" w:csb1="00000000"/>
    <w:embedRegular r:id="rId7" w:fontKey="{797FC81F-E502-48A8-90AF-FCC86999C59A}"/>
  </w:font>
  <w:font w:name="华文楷体">
    <w:panose1 w:val="02010600040101010101"/>
    <w:charset w:val="86"/>
    <w:family w:val="auto"/>
    <w:pitch w:val="default"/>
    <w:sig w:usb0="00000287" w:usb1="080F0000" w:usb2="00000000" w:usb3="00000000" w:csb0="0004009F" w:csb1="DFD70000"/>
  </w:font>
  <w:font w:name="Helvetica">
    <w:altName w:val="Arial"/>
    <w:panose1 w:val="020B0504020202020204"/>
    <w:charset w:val="00"/>
    <w:family w:val="swiss"/>
    <w:pitch w:val="default"/>
    <w:sig w:usb0="00000000" w:usb1="00000000" w:usb2="00000000" w:usb3="00000000" w:csb0="00000001" w:csb1="00000000"/>
    <w:embedRegular r:id="rId8" w:fontKey="{CF61FE44-16B3-465F-9E05-7A1FDB6F5C62}"/>
  </w:font>
  <w:font w:name="方正小标宋_GBK">
    <w:panose1 w:val="02000000000000000000"/>
    <w:charset w:val="86"/>
    <w:family w:val="auto"/>
    <w:pitch w:val="default"/>
    <w:sig w:usb0="A00002BF" w:usb1="38CF7CFA" w:usb2="00082016" w:usb3="00000000" w:csb0="00040001" w:csb1="00000000"/>
    <w:embedRegular r:id="rId9" w:fontKey="{55C0F5DB-AF62-4482-8B4C-15ACDC8547BF}"/>
  </w:font>
  <w:font w:name="微软雅黑">
    <w:panose1 w:val="020B0503020204020204"/>
    <w:charset w:val="86"/>
    <w:family w:val="auto"/>
    <w:pitch w:val="default"/>
    <w:sig w:usb0="80000287" w:usb1="2ACF3C50" w:usb2="00000016" w:usb3="00000000" w:csb0="0004001F" w:csb1="00000000"/>
    <w:embedRegular r:id="rId10" w:fontKey="{83B570C4-CCAF-4E8C-A65A-AAC3FB161BF2}"/>
  </w:font>
  <w:font w:name="DejaVuSans">
    <w:altName w:val="Segoe Print"/>
    <w:panose1 w:val="00000000000000000000"/>
    <w:charset w:val="00"/>
    <w:family w:val="auto"/>
    <w:pitch w:val="default"/>
    <w:sig w:usb0="00000000" w:usb1="00000000" w:usb2="00000000" w:usb3="00000000" w:csb0="00000000" w:csb1="00000000"/>
    <w:embedRegular r:id="rId11" w:fontKey="{77C61038-CB4D-4BB8-84F0-34C11F18B76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bidi w:val="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2379"/>
                            <w:showingPlcHdr/>
                          </w:sdtPr>
                          <w:sdtContent>
                            <w:p>
                              <w:pPr>
                                <w:pStyle w:val="19"/>
                                <w:jc w:val="center"/>
                              </w:pPr>
                              <w:r>
                                <w:rPr>
                                  <w:rFonts w:hint="eastAsia"/>
                                  <w:lang w:eastAsia="zh-CN"/>
                                </w:rPr>
                                <w:t xml:space="preserve">     </w:t>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47472379"/>
                      <w:showingPlcHdr/>
                    </w:sdtPr>
                    <w:sdtContent>
                      <w:p>
                        <w:pPr>
                          <w:pStyle w:val="19"/>
                          <w:jc w:val="center"/>
                        </w:pPr>
                        <w:r>
                          <w:rPr>
                            <w:rFonts w:hint="eastAsia"/>
                            <w:lang w:eastAsia="zh-CN"/>
                          </w:rPr>
                          <w:t xml:space="preserve">     </w:t>
                        </w:r>
                      </w:p>
                    </w:sdtContent>
                  </w:sd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keepNext w:val="0"/>
      <w:keepLines w:val="0"/>
      <w:pageBreakBefore w:val="0"/>
      <w:widowControl w:val="0"/>
      <w:kinsoku/>
      <w:wordWrap/>
      <w:overflowPunct/>
      <w:topLinePunct w:val="0"/>
      <w:bidi w:val="0"/>
      <w:adjustRightInd/>
      <w:snapToGrid w:val="0"/>
      <w:textAlignment w:val="auto"/>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- 103 -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- 103 -</w:t>
                    </w:r>
                    <w:r>
                      <w:fldChar w:fldCharType="end"/>
                    </w:r>
                  </w:p>
                </w:txbxContent>
              </v:textbox>
            </v:shape>
          </w:pict>
        </mc:Fallback>
      </mc:AlternateContent>
    </w:r>
  </w:p>
  <w:p>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447B6378"/>
    <w:multiLevelType w:val="multilevel"/>
    <w:tmpl w:val="447B6378"/>
    <w:lvl w:ilvl="0" w:tentative="0">
      <w:start w:val="1"/>
      <w:numFmt w:val="decimal"/>
      <w:pStyle w:val="39"/>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琳">
    <w15:presenceInfo w15:providerId="WPS Office" w15:userId="19531739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revisionView w:markup="0"/>
  <w:trackRevisions w:val="1"/>
  <w:documentProtection w:enforcement="0"/>
  <w:defaultTabStop w:val="420"/>
  <w:drawingGridHorizontalSpacing w:val="240"/>
  <w:drawingGridVerticalSpacing w:val="16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3OGQzZDJmOWY1MWRhNWQzMjE1MjM5OTA0MTRmZGM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05735"/>
    <w:rsid w:val="00115EF7"/>
    <w:rsid w:val="0013642D"/>
    <w:rsid w:val="00146410"/>
    <w:rsid w:val="00150D67"/>
    <w:rsid w:val="00156600"/>
    <w:rsid w:val="00160E9C"/>
    <w:rsid w:val="00172190"/>
    <w:rsid w:val="00173480"/>
    <w:rsid w:val="00181988"/>
    <w:rsid w:val="00182557"/>
    <w:rsid w:val="0018304A"/>
    <w:rsid w:val="001904E9"/>
    <w:rsid w:val="001A77DE"/>
    <w:rsid w:val="001B36EC"/>
    <w:rsid w:val="001D7B23"/>
    <w:rsid w:val="001E2F56"/>
    <w:rsid w:val="002062E6"/>
    <w:rsid w:val="00207131"/>
    <w:rsid w:val="0022214D"/>
    <w:rsid w:val="00223585"/>
    <w:rsid w:val="002235CA"/>
    <w:rsid w:val="002317DB"/>
    <w:rsid w:val="00232245"/>
    <w:rsid w:val="0023265E"/>
    <w:rsid w:val="00235B5A"/>
    <w:rsid w:val="00251060"/>
    <w:rsid w:val="002514A3"/>
    <w:rsid w:val="00256B32"/>
    <w:rsid w:val="00256D01"/>
    <w:rsid w:val="002706F2"/>
    <w:rsid w:val="00271135"/>
    <w:rsid w:val="00285E30"/>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29A"/>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C3A"/>
    <w:rsid w:val="004851CA"/>
    <w:rsid w:val="0048656E"/>
    <w:rsid w:val="00493221"/>
    <w:rsid w:val="004A302C"/>
    <w:rsid w:val="004B539D"/>
    <w:rsid w:val="004C1FA1"/>
    <w:rsid w:val="004C3DCC"/>
    <w:rsid w:val="004E0BF9"/>
    <w:rsid w:val="004E0CF9"/>
    <w:rsid w:val="004F3FDD"/>
    <w:rsid w:val="004F46AB"/>
    <w:rsid w:val="00501A4A"/>
    <w:rsid w:val="00501E05"/>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67FFD"/>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207C"/>
    <w:rsid w:val="00906396"/>
    <w:rsid w:val="0090770A"/>
    <w:rsid w:val="00916E4D"/>
    <w:rsid w:val="00917A63"/>
    <w:rsid w:val="00923C36"/>
    <w:rsid w:val="00924B8E"/>
    <w:rsid w:val="00930024"/>
    <w:rsid w:val="009344DE"/>
    <w:rsid w:val="009357E5"/>
    <w:rsid w:val="00936087"/>
    <w:rsid w:val="00945D17"/>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4C56"/>
    <w:rsid w:val="00A2554C"/>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C7C64"/>
    <w:rsid w:val="00ED00D6"/>
    <w:rsid w:val="00EE26DC"/>
    <w:rsid w:val="00EE3FF1"/>
    <w:rsid w:val="00EE5816"/>
    <w:rsid w:val="00EF3D7E"/>
    <w:rsid w:val="00F03292"/>
    <w:rsid w:val="00F0565C"/>
    <w:rsid w:val="00F121AE"/>
    <w:rsid w:val="00F15852"/>
    <w:rsid w:val="00F23F4B"/>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0F0D07"/>
    <w:rsid w:val="011F1764"/>
    <w:rsid w:val="013E61E2"/>
    <w:rsid w:val="014F4893"/>
    <w:rsid w:val="01541EA9"/>
    <w:rsid w:val="01580C56"/>
    <w:rsid w:val="01781929"/>
    <w:rsid w:val="01877B89"/>
    <w:rsid w:val="019E3125"/>
    <w:rsid w:val="01AA6DBD"/>
    <w:rsid w:val="01AC2E1E"/>
    <w:rsid w:val="01D0068D"/>
    <w:rsid w:val="01D775B9"/>
    <w:rsid w:val="01F21426"/>
    <w:rsid w:val="02026E30"/>
    <w:rsid w:val="020B6A0C"/>
    <w:rsid w:val="02132174"/>
    <w:rsid w:val="02186A33"/>
    <w:rsid w:val="0224187C"/>
    <w:rsid w:val="023130F5"/>
    <w:rsid w:val="024737BC"/>
    <w:rsid w:val="024C2B81"/>
    <w:rsid w:val="028604AE"/>
    <w:rsid w:val="029D33DC"/>
    <w:rsid w:val="02AD3196"/>
    <w:rsid w:val="02AE1145"/>
    <w:rsid w:val="02C44E0D"/>
    <w:rsid w:val="02DA63DE"/>
    <w:rsid w:val="02ED7EC0"/>
    <w:rsid w:val="03200295"/>
    <w:rsid w:val="035E2B6B"/>
    <w:rsid w:val="0361440A"/>
    <w:rsid w:val="036D7252"/>
    <w:rsid w:val="03773C2D"/>
    <w:rsid w:val="03922815"/>
    <w:rsid w:val="03C350C4"/>
    <w:rsid w:val="03C90F89"/>
    <w:rsid w:val="03E2554B"/>
    <w:rsid w:val="03E80FED"/>
    <w:rsid w:val="03EA08A3"/>
    <w:rsid w:val="03F51722"/>
    <w:rsid w:val="03F62DA4"/>
    <w:rsid w:val="04066E90"/>
    <w:rsid w:val="045126D0"/>
    <w:rsid w:val="045D72C7"/>
    <w:rsid w:val="047A5783"/>
    <w:rsid w:val="048146F4"/>
    <w:rsid w:val="04820ADC"/>
    <w:rsid w:val="0487418D"/>
    <w:rsid w:val="04893C18"/>
    <w:rsid w:val="04A70542"/>
    <w:rsid w:val="04B14F1D"/>
    <w:rsid w:val="04C17856"/>
    <w:rsid w:val="04F01EE9"/>
    <w:rsid w:val="04F574FF"/>
    <w:rsid w:val="04F72882"/>
    <w:rsid w:val="04FF212C"/>
    <w:rsid w:val="05235E1B"/>
    <w:rsid w:val="052D0A47"/>
    <w:rsid w:val="052E656D"/>
    <w:rsid w:val="053E0EA6"/>
    <w:rsid w:val="053E47A5"/>
    <w:rsid w:val="053F247C"/>
    <w:rsid w:val="05595CE0"/>
    <w:rsid w:val="05741575"/>
    <w:rsid w:val="057C377D"/>
    <w:rsid w:val="05812B41"/>
    <w:rsid w:val="059B27FA"/>
    <w:rsid w:val="05A827C4"/>
    <w:rsid w:val="05AA653C"/>
    <w:rsid w:val="05C72C4A"/>
    <w:rsid w:val="05CB2336"/>
    <w:rsid w:val="05D15877"/>
    <w:rsid w:val="05D215EF"/>
    <w:rsid w:val="05D2339D"/>
    <w:rsid w:val="05D37841"/>
    <w:rsid w:val="05DB04A3"/>
    <w:rsid w:val="05E530D0"/>
    <w:rsid w:val="0603674A"/>
    <w:rsid w:val="06127C3D"/>
    <w:rsid w:val="061A4B24"/>
    <w:rsid w:val="061B4495"/>
    <w:rsid w:val="06231E4A"/>
    <w:rsid w:val="06253E14"/>
    <w:rsid w:val="0633208D"/>
    <w:rsid w:val="06587D46"/>
    <w:rsid w:val="067032E2"/>
    <w:rsid w:val="067A412C"/>
    <w:rsid w:val="067E3A29"/>
    <w:rsid w:val="06856661"/>
    <w:rsid w:val="069114AA"/>
    <w:rsid w:val="06AC5F82"/>
    <w:rsid w:val="06AE7966"/>
    <w:rsid w:val="06B07B82"/>
    <w:rsid w:val="06DD649D"/>
    <w:rsid w:val="06EC66E0"/>
    <w:rsid w:val="06F04422"/>
    <w:rsid w:val="07002189"/>
    <w:rsid w:val="07020C1A"/>
    <w:rsid w:val="0709089A"/>
    <w:rsid w:val="071C5217"/>
    <w:rsid w:val="071D4AEC"/>
    <w:rsid w:val="07210A39"/>
    <w:rsid w:val="072242D3"/>
    <w:rsid w:val="072440CC"/>
    <w:rsid w:val="072C25C9"/>
    <w:rsid w:val="0737795B"/>
    <w:rsid w:val="073F4A62"/>
    <w:rsid w:val="07442078"/>
    <w:rsid w:val="07494217"/>
    <w:rsid w:val="074E5043"/>
    <w:rsid w:val="075229E7"/>
    <w:rsid w:val="076B45C9"/>
    <w:rsid w:val="076C53FA"/>
    <w:rsid w:val="076D22AC"/>
    <w:rsid w:val="0784404A"/>
    <w:rsid w:val="078608E3"/>
    <w:rsid w:val="07941252"/>
    <w:rsid w:val="07A25DD3"/>
    <w:rsid w:val="07A64AE1"/>
    <w:rsid w:val="07A67F3C"/>
    <w:rsid w:val="07B55348"/>
    <w:rsid w:val="07EA70C4"/>
    <w:rsid w:val="07F0083A"/>
    <w:rsid w:val="082215E5"/>
    <w:rsid w:val="08687FE8"/>
    <w:rsid w:val="08935065"/>
    <w:rsid w:val="08997D8A"/>
    <w:rsid w:val="08A76D63"/>
    <w:rsid w:val="08AD2074"/>
    <w:rsid w:val="08BB45BC"/>
    <w:rsid w:val="08C6368D"/>
    <w:rsid w:val="08CB596A"/>
    <w:rsid w:val="08D306C7"/>
    <w:rsid w:val="08D538D0"/>
    <w:rsid w:val="08D77648"/>
    <w:rsid w:val="08E04023"/>
    <w:rsid w:val="08EE4992"/>
    <w:rsid w:val="09077801"/>
    <w:rsid w:val="091C32AD"/>
    <w:rsid w:val="09212671"/>
    <w:rsid w:val="0926010A"/>
    <w:rsid w:val="09336C26"/>
    <w:rsid w:val="09664528"/>
    <w:rsid w:val="09970B85"/>
    <w:rsid w:val="09975029"/>
    <w:rsid w:val="09AC1C5B"/>
    <w:rsid w:val="09AC258F"/>
    <w:rsid w:val="09AD03A9"/>
    <w:rsid w:val="09CE174C"/>
    <w:rsid w:val="09E613EC"/>
    <w:rsid w:val="09EA6F07"/>
    <w:rsid w:val="09F23B8C"/>
    <w:rsid w:val="09FE29B2"/>
    <w:rsid w:val="0A1C108A"/>
    <w:rsid w:val="0A2148F3"/>
    <w:rsid w:val="0A391C3C"/>
    <w:rsid w:val="0A3D172D"/>
    <w:rsid w:val="0A3E680D"/>
    <w:rsid w:val="0A7075DC"/>
    <w:rsid w:val="0A831432"/>
    <w:rsid w:val="0A9B6453"/>
    <w:rsid w:val="0AAB338B"/>
    <w:rsid w:val="0AAF1EFF"/>
    <w:rsid w:val="0ABF0394"/>
    <w:rsid w:val="0AD84599"/>
    <w:rsid w:val="0B05734A"/>
    <w:rsid w:val="0B0E131B"/>
    <w:rsid w:val="0B0E19AF"/>
    <w:rsid w:val="0B115FB9"/>
    <w:rsid w:val="0B1A381C"/>
    <w:rsid w:val="0B352404"/>
    <w:rsid w:val="0B386398"/>
    <w:rsid w:val="0B536D2E"/>
    <w:rsid w:val="0B540055"/>
    <w:rsid w:val="0B5C2086"/>
    <w:rsid w:val="0B6727D9"/>
    <w:rsid w:val="0B674587"/>
    <w:rsid w:val="0B6B4077"/>
    <w:rsid w:val="0B6E5916"/>
    <w:rsid w:val="0B745622"/>
    <w:rsid w:val="0B76679F"/>
    <w:rsid w:val="0B7F5D75"/>
    <w:rsid w:val="0BB24C22"/>
    <w:rsid w:val="0BD43FB3"/>
    <w:rsid w:val="0BE45BD8"/>
    <w:rsid w:val="0BF202F5"/>
    <w:rsid w:val="0BFC3C42"/>
    <w:rsid w:val="0BFE313E"/>
    <w:rsid w:val="0C02649C"/>
    <w:rsid w:val="0C0A3890"/>
    <w:rsid w:val="0C1969E9"/>
    <w:rsid w:val="0C1B4F42"/>
    <w:rsid w:val="0C1E6205"/>
    <w:rsid w:val="0C28640C"/>
    <w:rsid w:val="0C323846"/>
    <w:rsid w:val="0C3C5A14"/>
    <w:rsid w:val="0C41302A"/>
    <w:rsid w:val="0C5A4DAC"/>
    <w:rsid w:val="0C874EE1"/>
    <w:rsid w:val="0C8A677F"/>
    <w:rsid w:val="0CAA0BCF"/>
    <w:rsid w:val="0CC04897"/>
    <w:rsid w:val="0CC14878"/>
    <w:rsid w:val="0CD36378"/>
    <w:rsid w:val="0CD520F0"/>
    <w:rsid w:val="0CD67C16"/>
    <w:rsid w:val="0CD81BE1"/>
    <w:rsid w:val="0D0C53E6"/>
    <w:rsid w:val="0D1C7D1F"/>
    <w:rsid w:val="0D2210AE"/>
    <w:rsid w:val="0D2766C4"/>
    <w:rsid w:val="0D436DC8"/>
    <w:rsid w:val="0D6B6E82"/>
    <w:rsid w:val="0D9D0734"/>
    <w:rsid w:val="0DA90E87"/>
    <w:rsid w:val="0DAF0B93"/>
    <w:rsid w:val="0DB241E0"/>
    <w:rsid w:val="0DB74AC1"/>
    <w:rsid w:val="0DC12F25"/>
    <w:rsid w:val="0DC14423"/>
    <w:rsid w:val="0DC83A03"/>
    <w:rsid w:val="0DCD1019"/>
    <w:rsid w:val="0DE10B00"/>
    <w:rsid w:val="0DEF71E2"/>
    <w:rsid w:val="0DF82289"/>
    <w:rsid w:val="0E0D58BA"/>
    <w:rsid w:val="0E0F1632"/>
    <w:rsid w:val="0E342E47"/>
    <w:rsid w:val="0E386C82"/>
    <w:rsid w:val="0E460DCC"/>
    <w:rsid w:val="0E464928"/>
    <w:rsid w:val="0E651252"/>
    <w:rsid w:val="0E653000"/>
    <w:rsid w:val="0E6D45AA"/>
    <w:rsid w:val="0E72396F"/>
    <w:rsid w:val="0E796AAB"/>
    <w:rsid w:val="0E7C0027"/>
    <w:rsid w:val="0E7F6315"/>
    <w:rsid w:val="0E92317E"/>
    <w:rsid w:val="0E9543D1"/>
    <w:rsid w:val="0EA33B28"/>
    <w:rsid w:val="0EB36461"/>
    <w:rsid w:val="0EB45D35"/>
    <w:rsid w:val="0EBD75FE"/>
    <w:rsid w:val="0EC817E1"/>
    <w:rsid w:val="0ECA5559"/>
    <w:rsid w:val="0ED53B2A"/>
    <w:rsid w:val="0EF600FC"/>
    <w:rsid w:val="0F096081"/>
    <w:rsid w:val="0F1B5913"/>
    <w:rsid w:val="0F236631"/>
    <w:rsid w:val="0F2442A2"/>
    <w:rsid w:val="0F3D21CF"/>
    <w:rsid w:val="0F4C0664"/>
    <w:rsid w:val="0F5A5835"/>
    <w:rsid w:val="0F9D4A1B"/>
    <w:rsid w:val="0FA638D0"/>
    <w:rsid w:val="0FAB538A"/>
    <w:rsid w:val="0FAC4C5F"/>
    <w:rsid w:val="0FD33C3D"/>
    <w:rsid w:val="0FE8213B"/>
    <w:rsid w:val="0FF52AA9"/>
    <w:rsid w:val="10047D52"/>
    <w:rsid w:val="100F7527"/>
    <w:rsid w:val="10150A56"/>
    <w:rsid w:val="10240C99"/>
    <w:rsid w:val="102723E9"/>
    <w:rsid w:val="102B64CB"/>
    <w:rsid w:val="107439CE"/>
    <w:rsid w:val="1090632E"/>
    <w:rsid w:val="109220A6"/>
    <w:rsid w:val="109B71AD"/>
    <w:rsid w:val="10A529C1"/>
    <w:rsid w:val="10A92DD3"/>
    <w:rsid w:val="10AF4A06"/>
    <w:rsid w:val="10B272CC"/>
    <w:rsid w:val="10BD54A5"/>
    <w:rsid w:val="10C55FD8"/>
    <w:rsid w:val="10C85AC8"/>
    <w:rsid w:val="10FB6ED7"/>
    <w:rsid w:val="11036B00"/>
    <w:rsid w:val="11082369"/>
    <w:rsid w:val="11357D2A"/>
    <w:rsid w:val="113849FC"/>
    <w:rsid w:val="113A4C18"/>
    <w:rsid w:val="113D2012"/>
    <w:rsid w:val="11457119"/>
    <w:rsid w:val="1147614B"/>
    <w:rsid w:val="1149563F"/>
    <w:rsid w:val="11660C32"/>
    <w:rsid w:val="116E48C1"/>
    <w:rsid w:val="11785740"/>
    <w:rsid w:val="11845E93"/>
    <w:rsid w:val="11867E5D"/>
    <w:rsid w:val="119463E5"/>
    <w:rsid w:val="11A2456B"/>
    <w:rsid w:val="11AE5258"/>
    <w:rsid w:val="11B12A00"/>
    <w:rsid w:val="11B30526"/>
    <w:rsid w:val="11DA1F57"/>
    <w:rsid w:val="11DF30C9"/>
    <w:rsid w:val="11FA6155"/>
    <w:rsid w:val="12130FC5"/>
    <w:rsid w:val="12371157"/>
    <w:rsid w:val="12483364"/>
    <w:rsid w:val="12542FA0"/>
    <w:rsid w:val="127001C5"/>
    <w:rsid w:val="12771554"/>
    <w:rsid w:val="127759F8"/>
    <w:rsid w:val="127A0C92"/>
    <w:rsid w:val="127F48AC"/>
    <w:rsid w:val="129E4D32"/>
    <w:rsid w:val="12AD766B"/>
    <w:rsid w:val="12B91B6C"/>
    <w:rsid w:val="12BA7692"/>
    <w:rsid w:val="12BC165D"/>
    <w:rsid w:val="12CC5D44"/>
    <w:rsid w:val="12DE7825"/>
    <w:rsid w:val="12E3308D"/>
    <w:rsid w:val="12EF558E"/>
    <w:rsid w:val="13021765"/>
    <w:rsid w:val="13037AFF"/>
    <w:rsid w:val="13453400"/>
    <w:rsid w:val="13456351"/>
    <w:rsid w:val="134A6DA5"/>
    <w:rsid w:val="134C0C32"/>
    <w:rsid w:val="137B79E1"/>
    <w:rsid w:val="137D0DEC"/>
    <w:rsid w:val="13833F28"/>
    <w:rsid w:val="13A03104"/>
    <w:rsid w:val="13E11299"/>
    <w:rsid w:val="13E470BD"/>
    <w:rsid w:val="13E62E35"/>
    <w:rsid w:val="14065285"/>
    <w:rsid w:val="14223741"/>
    <w:rsid w:val="143F42F3"/>
    <w:rsid w:val="144731A8"/>
    <w:rsid w:val="1457788F"/>
    <w:rsid w:val="14717C9A"/>
    <w:rsid w:val="147F2942"/>
    <w:rsid w:val="14AF7789"/>
    <w:rsid w:val="14BF5434"/>
    <w:rsid w:val="14BF71E2"/>
    <w:rsid w:val="14D50D33"/>
    <w:rsid w:val="14EF1875"/>
    <w:rsid w:val="14F50E56"/>
    <w:rsid w:val="150B1D24"/>
    <w:rsid w:val="15117213"/>
    <w:rsid w:val="151E65FF"/>
    <w:rsid w:val="152030DE"/>
    <w:rsid w:val="1537321C"/>
    <w:rsid w:val="154020D1"/>
    <w:rsid w:val="154645F8"/>
    <w:rsid w:val="15681628"/>
    <w:rsid w:val="159D7523"/>
    <w:rsid w:val="15A840F3"/>
    <w:rsid w:val="15C9656A"/>
    <w:rsid w:val="15FB249C"/>
    <w:rsid w:val="15FF3D3A"/>
    <w:rsid w:val="1602382A"/>
    <w:rsid w:val="16565924"/>
    <w:rsid w:val="16640041"/>
    <w:rsid w:val="16646293"/>
    <w:rsid w:val="16685D83"/>
    <w:rsid w:val="167C182F"/>
    <w:rsid w:val="167D1103"/>
    <w:rsid w:val="167D2FDD"/>
    <w:rsid w:val="168B406D"/>
    <w:rsid w:val="169052DA"/>
    <w:rsid w:val="16AE5760"/>
    <w:rsid w:val="16AE750E"/>
    <w:rsid w:val="16B40FC8"/>
    <w:rsid w:val="16BE3BF5"/>
    <w:rsid w:val="16C46D32"/>
    <w:rsid w:val="16D84122"/>
    <w:rsid w:val="16E1737A"/>
    <w:rsid w:val="16E3540A"/>
    <w:rsid w:val="16E442B3"/>
    <w:rsid w:val="1711641B"/>
    <w:rsid w:val="1719707D"/>
    <w:rsid w:val="17215F32"/>
    <w:rsid w:val="172872C1"/>
    <w:rsid w:val="17457E73"/>
    <w:rsid w:val="174C1201"/>
    <w:rsid w:val="174F6F43"/>
    <w:rsid w:val="176821F4"/>
    <w:rsid w:val="17702E89"/>
    <w:rsid w:val="17710C68"/>
    <w:rsid w:val="177C760C"/>
    <w:rsid w:val="177E1C86"/>
    <w:rsid w:val="179B7A92"/>
    <w:rsid w:val="17AD77C6"/>
    <w:rsid w:val="17CB7119"/>
    <w:rsid w:val="17D2722C"/>
    <w:rsid w:val="17F15535"/>
    <w:rsid w:val="17FB49D5"/>
    <w:rsid w:val="18041ADC"/>
    <w:rsid w:val="18253800"/>
    <w:rsid w:val="182E6B59"/>
    <w:rsid w:val="186F177A"/>
    <w:rsid w:val="187C5B16"/>
    <w:rsid w:val="189246B5"/>
    <w:rsid w:val="18A706B9"/>
    <w:rsid w:val="18C272A1"/>
    <w:rsid w:val="18CB43A7"/>
    <w:rsid w:val="18DA283C"/>
    <w:rsid w:val="18F733EE"/>
    <w:rsid w:val="18F90F15"/>
    <w:rsid w:val="19197809"/>
    <w:rsid w:val="192D6E10"/>
    <w:rsid w:val="1934019F"/>
    <w:rsid w:val="19373862"/>
    <w:rsid w:val="193E2491"/>
    <w:rsid w:val="19520625"/>
    <w:rsid w:val="19526877"/>
    <w:rsid w:val="195E2798"/>
    <w:rsid w:val="19D2300F"/>
    <w:rsid w:val="19E2543C"/>
    <w:rsid w:val="1A0214BE"/>
    <w:rsid w:val="1A0E5C74"/>
    <w:rsid w:val="1A197394"/>
    <w:rsid w:val="1A352420"/>
    <w:rsid w:val="1A512FD2"/>
    <w:rsid w:val="1A5D54D3"/>
    <w:rsid w:val="1A5F124B"/>
    <w:rsid w:val="1A6124EF"/>
    <w:rsid w:val="1A710493"/>
    <w:rsid w:val="1A92257F"/>
    <w:rsid w:val="1AB33908"/>
    <w:rsid w:val="1AD5775F"/>
    <w:rsid w:val="1ADA2FC8"/>
    <w:rsid w:val="1AE259D8"/>
    <w:rsid w:val="1AE35507"/>
    <w:rsid w:val="1AEB2ADF"/>
    <w:rsid w:val="1B3E3557"/>
    <w:rsid w:val="1B636B19"/>
    <w:rsid w:val="1B6805D3"/>
    <w:rsid w:val="1B7E1468"/>
    <w:rsid w:val="1B825739"/>
    <w:rsid w:val="1B83540D"/>
    <w:rsid w:val="1B9D13D0"/>
    <w:rsid w:val="1BA85854"/>
    <w:rsid w:val="1BC17CE4"/>
    <w:rsid w:val="1BCC0B62"/>
    <w:rsid w:val="1BDD4B1E"/>
    <w:rsid w:val="1BE718C7"/>
    <w:rsid w:val="1C0E6CA0"/>
    <w:rsid w:val="1C104F9B"/>
    <w:rsid w:val="1C146065"/>
    <w:rsid w:val="1C2A76F3"/>
    <w:rsid w:val="1C4032FE"/>
    <w:rsid w:val="1C406E5A"/>
    <w:rsid w:val="1C495921"/>
    <w:rsid w:val="1C4A6420"/>
    <w:rsid w:val="1C744D56"/>
    <w:rsid w:val="1C7A6810"/>
    <w:rsid w:val="1C7B7E93"/>
    <w:rsid w:val="1C9C6787"/>
    <w:rsid w:val="1CA05B4B"/>
    <w:rsid w:val="1CA90EA4"/>
    <w:rsid w:val="1CAA6093"/>
    <w:rsid w:val="1CBF0268"/>
    <w:rsid w:val="1CD770EC"/>
    <w:rsid w:val="1CE43C8A"/>
    <w:rsid w:val="1D07422E"/>
    <w:rsid w:val="1D183933"/>
    <w:rsid w:val="1D1B3B0E"/>
    <w:rsid w:val="1D210A3A"/>
    <w:rsid w:val="1D214EDE"/>
    <w:rsid w:val="1D4A4435"/>
    <w:rsid w:val="1D524C10"/>
    <w:rsid w:val="1D61177E"/>
    <w:rsid w:val="1D7E7C3A"/>
    <w:rsid w:val="1D86436A"/>
    <w:rsid w:val="1D8D4321"/>
    <w:rsid w:val="1D9C27B6"/>
    <w:rsid w:val="1DAA4ED3"/>
    <w:rsid w:val="1DC53ABB"/>
    <w:rsid w:val="1DC835AB"/>
    <w:rsid w:val="1DE2466D"/>
    <w:rsid w:val="1E206F43"/>
    <w:rsid w:val="1E2F7187"/>
    <w:rsid w:val="1E340C41"/>
    <w:rsid w:val="1E401394"/>
    <w:rsid w:val="1E4E3AB1"/>
    <w:rsid w:val="1E51534F"/>
    <w:rsid w:val="1E5310C7"/>
    <w:rsid w:val="1E6908EA"/>
    <w:rsid w:val="1E766B63"/>
    <w:rsid w:val="1E9B2A6E"/>
    <w:rsid w:val="1EAC07D7"/>
    <w:rsid w:val="1EBA1146"/>
    <w:rsid w:val="1EC45B21"/>
    <w:rsid w:val="1EC73863"/>
    <w:rsid w:val="1ED63AA6"/>
    <w:rsid w:val="1EDF295B"/>
    <w:rsid w:val="1F046865"/>
    <w:rsid w:val="1F0A70F1"/>
    <w:rsid w:val="1F130856"/>
    <w:rsid w:val="1F1D16D5"/>
    <w:rsid w:val="1F4536E0"/>
    <w:rsid w:val="1F525822"/>
    <w:rsid w:val="1F58270D"/>
    <w:rsid w:val="1F5D7D23"/>
    <w:rsid w:val="1F5F1CED"/>
    <w:rsid w:val="1F7237CF"/>
    <w:rsid w:val="1F770DE5"/>
    <w:rsid w:val="1F8D0609"/>
    <w:rsid w:val="1FA96FA3"/>
    <w:rsid w:val="1FB82BC8"/>
    <w:rsid w:val="1FE31481"/>
    <w:rsid w:val="1FF468DA"/>
    <w:rsid w:val="200B6E05"/>
    <w:rsid w:val="200F101E"/>
    <w:rsid w:val="200F54C2"/>
    <w:rsid w:val="201B5C14"/>
    <w:rsid w:val="202D1DEC"/>
    <w:rsid w:val="2039253E"/>
    <w:rsid w:val="204607B7"/>
    <w:rsid w:val="204A02A8"/>
    <w:rsid w:val="204D7D98"/>
    <w:rsid w:val="205331F0"/>
    <w:rsid w:val="20690166"/>
    <w:rsid w:val="207B2DC6"/>
    <w:rsid w:val="20803CC9"/>
    <w:rsid w:val="20916CFE"/>
    <w:rsid w:val="209239FD"/>
    <w:rsid w:val="20B47E17"/>
    <w:rsid w:val="20DA3F99"/>
    <w:rsid w:val="20E71F9A"/>
    <w:rsid w:val="20E97AC1"/>
    <w:rsid w:val="20EA2A65"/>
    <w:rsid w:val="20EF2BFD"/>
    <w:rsid w:val="210112AE"/>
    <w:rsid w:val="212F12B7"/>
    <w:rsid w:val="214E2A84"/>
    <w:rsid w:val="21817CF9"/>
    <w:rsid w:val="21884BA0"/>
    <w:rsid w:val="219168A1"/>
    <w:rsid w:val="219519F6"/>
    <w:rsid w:val="2197576F"/>
    <w:rsid w:val="219E6AFD"/>
    <w:rsid w:val="21A659B2"/>
    <w:rsid w:val="21B55BF5"/>
    <w:rsid w:val="21DE15EF"/>
    <w:rsid w:val="21ED1706"/>
    <w:rsid w:val="22105521"/>
    <w:rsid w:val="2217240B"/>
    <w:rsid w:val="222039B6"/>
    <w:rsid w:val="2228094B"/>
    <w:rsid w:val="222B5EB7"/>
    <w:rsid w:val="22326B0B"/>
    <w:rsid w:val="224A27E1"/>
    <w:rsid w:val="227635D6"/>
    <w:rsid w:val="22794E74"/>
    <w:rsid w:val="22AF6B26"/>
    <w:rsid w:val="22BB723B"/>
    <w:rsid w:val="22C121DF"/>
    <w:rsid w:val="22C87E24"/>
    <w:rsid w:val="22C95DFC"/>
    <w:rsid w:val="22EE06E2"/>
    <w:rsid w:val="22EF1D4E"/>
    <w:rsid w:val="22F84FC6"/>
    <w:rsid w:val="22FD3CF7"/>
    <w:rsid w:val="23250B58"/>
    <w:rsid w:val="23411E36"/>
    <w:rsid w:val="234D0B5D"/>
    <w:rsid w:val="235C6C70"/>
    <w:rsid w:val="23614286"/>
    <w:rsid w:val="23CC5B62"/>
    <w:rsid w:val="23CD510E"/>
    <w:rsid w:val="24170DE9"/>
    <w:rsid w:val="242A477B"/>
    <w:rsid w:val="242C2A29"/>
    <w:rsid w:val="243472A5"/>
    <w:rsid w:val="2440076D"/>
    <w:rsid w:val="24A563F4"/>
    <w:rsid w:val="24B228BF"/>
    <w:rsid w:val="24C15199"/>
    <w:rsid w:val="24CE288D"/>
    <w:rsid w:val="24EF7670"/>
    <w:rsid w:val="24F46A34"/>
    <w:rsid w:val="25034EC9"/>
    <w:rsid w:val="251946ED"/>
    <w:rsid w:val="25301350"/>
    <w:rsid w:val="25777D91"/>
    <w:rsid w:val="25781413"/>
    <w:rsid w:val="257858B7"/>
    <w:rsid w:val="258506D6"/>
    <w:rsid w:val="258B383C"/>
    <w:rsid w:val="259455FA"/>
    <w:rsid w:val="259719F3"/>
    <w:rsid w:val="25AB17E9"/>
    <w:rsid w:val="25AD5EB4"/>
    <w:rsid w:val="25BF5294"/>
    <w:rsid w:val="25C2759F"/>
    <w:rsid w:val="25C63DCF"/>
    <w:rsid w:val="25C74149"/>
    <w:rsid w:val="25DC7BF4"/>
    <w:rsid w:val="25DE267C"/>
    <w:rsid w:val="25DF2A30"/>
    <w:rsid w:val="25E46AA9"/>
    <w:rsid w:val="25E66CC5"/>
    <w:rsid w:val="25FA62CC"/>
    <w:rsid w:val="26143832"/>
    <w:rsid w:val="262275D1"/>
    <w:rsid w:val="26247ECE"/>
    <w:rsid w:val="263712CE"/>
    <w:rsid w:val="264B4D7A"/>
    <w:rsid w:val="264D6D44"/>
    <w:rsid w:val="26644EA7"/>
    <w:rsid w:val="266A3452"/>
    <w:rsid w:val="26977FBF"/>
    <w:rsid w:val="26AF355A"/>
    <w:rsid w:val="26B50445"/>
    <w:rsid w:val="26C215EA"/>
    <w:rsid w:val="26CD1C32"/>
    <w:rsid w:val="26DA55FB"/>
    <w:rsid w:val="26DC11F6"/>
    <w:rsid w:val="26EC191F"/>
    <w:rsid w:val="26F251F5"/>
    <w:rsid w:val="270C62B7"/>
    <w:rsid w:val="271E5FEA"/>
    <w:rsid w:val="272F7095"/>
    <w:rsid w:val="276B56D3"/>
    <w:rsid w:val="276E687B"/>
    <w:rsid w:val="277125BE"/>
    <w:rsid w:val="27802801"/>
    <w:rsid w:val="278A123C"/>
    <w:rsid w:val="27962F49"/>
    <w:rsid w:val="279F537D"/>
    <w:rsid w:val="27AE4D70"/>
    <w:rsid w:val="27CB7F20"/>
    <w:rsid w:val="27D52B4D"/>
    <w:rsid w:val="27D843EB"/>
    <w:rsid w:val="27E40FE2"/>
    <w:rsid w:val="27E823ED"/>
    <w:rsid w:val="27EE00B2"/>
    <w:rsid w:val="27FC457D"/>
    <w:rsid w:val="2802590C"/>
    <w:rsid w:val="280451E0"/>
    <w:rsid w:val="280E7BD2"/>
    <w:rsid w:val="2814419F"/>
    <w:rsid w:val="28153891"/>
    <w:rsid w:val="28177609"/>
    <w:rsid w:val="281C077C"/>
    <w:rsid w:val="28245427"/>
    <w:rsid w:val="28247630"/>
    <w:rsid w:val="282615FA"/>
    <w:rsid w:val="283E4B96"/>
    <w:rsid w:val="28414686"/>
    <w:rsid w:val="2849353B"/>
    <w:rsid w:val="284D6B87"/>
    <w:rsid w:val="28550131"/>
    <w:rsid w:val="28612632"/>
    <w:rsid w:val="28757E8C"/>
    <w:rsid w:val="287E4F92"/>
    <w:rsid w:val="28887BBF"/>
    <w:rsid w:val="288A4F14"/>
    <w:rsid w:val="28AB1AFF"/>
    <w:rsid w:val="28BB36CB"/>
    <w:rsid w:val="28CB21A2"/>
    <w:rsid w:val="28E62B38"/>
    <w:rsid w:val="28F355C4"/>
    <w:rsid w:val="28F96D0F"/>
    <w:rsid w:val="290B7A2E"/>
    <w:rsid w:val="292A6EC8"/>
    <w:rsid w:val="293B10D5"/>
    <w:rsid w:val="2944442E"/>
    <w:rsid w:val="294550C5"/>
    <w:rsid w:val="29493E9D"/>
    <w:rsid w:val="294D2BB7"/>
    <w:rsid w:val="294F2293"/>
    <w:rsid w:val="29606D8E"/>
    <w:rsid w:val="2964062C"/>
    <w:rsid w:val="29787C34"/>
    <w:rsid w:val="2991562A"/>
    <w:rsid w:val="29927747"/>
    <w:rsid w:val="299B43C7"/>
    <w:rsid w:val="29A749BD"/>
    <w:rsid w:val="29C9048F"/>
    <w:rsid w:val="29CB06AB"/>
    <w:rsid w:val="2A0108B7"/>
    <w:rsid w:val="2A04596B"/>
    <w:rsid w:val="2A0E67EA"/>
    <w:rsid w:val="2A133E00"/>
    <w:rsid w:val="2A1536D4"/>
    <w:rsid w:val="2A1A0CEB"/>
    <w:rsid w:val="2A202079"/>
    <w:rsid w:val="2A2F0444"/>
    <w:rsid w:val="2A30050E"/>
    <w:rsid w:val="2A3B6D1B"/>
    <w:rsid w:val="2A411154"/>
    <w:rsid w:val="2A495A74"/>
    <w:rsid w:val="2A506E02"/>
    <w:rsid w:val="2A526D38"/>
    <w:rsid w:val="2A7D74CC"/>
    <w:rsid w:val="2A88659C"/>
    <w:rsid w:val="2A954815"/>
    <w:rsid w:val="2AD0584D"/>
    <w:rsid w:val="2AEE4B12"/>
    <w:rsid w:val="2AFE685E"/>
    <w:rsid w:val="2B027774"/>
    <w:rsid w:val="2B0D0850"/>
    <w:rsid w:val="2B116592"/>
    <w:rsid w:val="2B122D8D"/>
    <w:rsid w:val="2B193698"/>
    <w:rsid w:val="2B1C4F36"/>
    <w:rsid w:val="2B2160A9"/>
    <w:rsid w:val="2B3202B6"/>
    <w:rsid w:val="2B361B54"/>
    <w:rsid w:val="2B367DA6"/>
    <w:rsid w:val="2B400C25"/>
    <w:rsid w:val="2B4714A0"/>
    <w:rsid w:val="2B606BD1"/>
    <w:rsid w:val="2B6C5576"/>
    <w:rsid w:val="2B717030"/>
    <w:rsid w:val="2B74267D"/>
    <w:rsid w:val="2B93739B"/>
    <w:rsid w:val="2B994370"/>
    <w:rsid w:val="2BA50A88"/>
    <w:rsid w:val="2BB60EE7"/>
    <w:rsid w:val="2BC034DB"/>
    <w:rsid w:val="2BD819BD"/>
    <w:rsid w:val="2BDD6615"/>
    <w:rsid w:val="2BEF4305"/>
    <w:rsid w:val="2C077995"/>
    <w:rsid w:val="2C235EB7"/>
    <w:rsid w:val="2C2B5431"/>
    <w:rsid w:val="2C3C763E"/>
    <w:rsid w:val="2C610E53"/>
    <w:rsid w:val="2C646B95"/>
    <w:rsid w:val="2C6646BB"/>
    <w:rsid w:val="2C83526D"/>
    <w:rsid w:val="2C933131"/>
    <w:rsid w:val="2C9875B8"/>
    <w:rsid w:val="2C9A0B92"/>
    <w:rsid w:val="2C9F3729"/>
    <w:rsid w:val="2CB73169"/>
    <w:rsid w:val="2CE47D2A"/>
    <w:rsid w:val="2CED0939"/>
    <w:rsid w:val="2CED6B8B"/>
    <w:rsid w:val="2CF27CFD"/>
    <w:rsid w:val="2CFA3055"/>
    <w:rsid w:val="2D012636"/>
    <w:rsid w:val="2D016C6B"/>
    <w:rsid w:val="2D0B5263"/>
    <w:rsid w:val="2D0D2D89"/>
    <w:rsid w:val="2D2B1461"/>
    <w:rsid w:val="2D2D1B91"/>
    <w:rsid w:val="2D404F0C"/>
    <w:rsid w:val="2D577962"/>
    <w:rsid w:val="2D5B3AF4"/>
    <w:rsid w:val="2D8D7A26"/>
    <w:rsid w:val="2DA2135E"/>
    <w:rsid w:val="2DB9081B"/>
    <w:rsid w:val="2DCB70CE"/>
    <w:rsid w:val="2DCE2518"/>
    <w:rsid w:val="2DD218DC"/>
    <w:rsid w:val="2DDB69E3"/>
    <w:rsid w:val="2DEF7457"/>
    <w:rsid w:val="2E045F3A"/>
    <w:rsid w:val="2E093AD9"/>
    <w:rsid w:val="2E1B451A"/>
    <w:rsid w:val="2E2A34C6"/>
    <w:rsid w:val="2E426A62"/>
    <w:rsid w:val="2E5158AC"/>
    <w:rsid w:val="2E6C48D9"/>
    <w:rsid w:val="2E786928"/>
    <w:rsid w:val="2E8F4F19"/>
    <w:rsid w:val="2EA63495"/>
    <w:rsid w:val="2EB57234"/>
    <w:rsid w:val="2ED7364E"/>
    <w:rsid w:val="2EF35FAE"/>
    <w:rsid w:val="2EFA6A37"/>
    <w:rsid w:val="2F167CA6"/>
    <w:rsid w:val="2F196260"/>
    <w:rsid w:val="2F1A353B"/>
    <w:rsid w:val="2F3F2FA2"/>
    <w:rsid w:val="2F452CAE"/>
    <w:rsid w:val="2F542EF1"/>
    <w:rsid w:val="2F5D70AC"/>
    <w:rsid w:val="2F7E601F"/>
    <w:rsid w:val="2F8B61E7"/>
    <w:rsid w:val="2FA36C75"/>
    <w:rsid w:val="2FA84FEB"/>
    <w:rsid w:val="2FBE036A"/>
    <w:rsid w:val="302428C3"/>
    <w:rsid w:val="30257789"/>
    <w:rsid w:val="30297EDA"/>
    <w:rsid w:val="302C5C1C"/>
    <w:rsid w:val="303074BA"/>
    <w:rsid w:val="30405223"/>
    <w:rsid w:val="306929CC"/>
    <w:rsid w:val="306B405E"/>
    <w:rsid w:val="306C7DC6"/>
    <w:rsid w:val="307F1BC0"/>
    <w:rsid w:val="30832D34"/>
    <w:rsid w:val="30872E52"/>
    <w:rsid w:val="308C4B30"/>
    <w:rsid w:val="30A75681"/>
    <w:rsid w:val="30AF76EE"/>
    <w:rsid w:val="30C714A1"/>
    <w:rsid w:val="30F41419"/>
    <w:rsid w:val="30FC114A"/>
    <w:rsid w:val="310D77FB"/>
    <w:rsid w:val="310E0E7D"/>
    <w:rsid w:val="31162509"/>
    <w:rsid w:val="314A68DF"/>
    <w:rsid w:val="31523460"/>
    <w:rsid w:val="315620B8"/>
    <w:rsid w:val="316311C9"/>
    <w:rsid w:val="317F1D7B"/>
    <w:rsid w:val="31841AC8"/>
    <w:rsid w:val="31A737AC"/>
    <w:rsid w:val="31A87524"/>
    <w:rsid w:val="31B00187"/>
    <w:rsid w:val="31CB6D6E"/>
    <w:rsid w:val="31D200FD"/>
    <w:rsid w:val="31D365B5"/>
    <w:rsid w:val="31E64732"/>
    <w:rsid w:val="31EA5447"/>
    <w:rsid w:val="31F61B87"/>
    <w:rsid w:val="31FD7E39"/>
    <w:rsid w:val="32140715"/>
    <w:rsid w:val="32230959"/>
    <w:rsid w:val="323E6274"/>
    <w:rsid w:val="324059AE"/>
    <w:rsid w:val="326351F9"/>
    <w:rsid w:val="327D078A"/>
    <w:rsid w:val="3284589B"/>
    <w:rsid w:val="32933D30"/>
    <w:rsid w:val="32B31CDC"/>
    <w:rsid w:val="32C75788"/>
    <w:rsid w:val="32CC7242"/>
    <w:rsid w:val="32D1080A"/>
    <w:rsid w:val="32E165BD"/>
    <w:rsid w:val="32FA3DAF"/>
    <w:rsid w:val="334F40FB"/>
    <w:rsid w:val="33641229"/>
    <w:rsid w:val="337B243F"/>
    <w:rsid w:val="338673F1"/>
    <w:rsid w:val="339D48A3"/>
    <w:rsid w:val="33BF2903"/>
    <w:rsid w:val="33CF6FEA"/>
    <w:rsid w:val="33EA3E24"/>
    <w:rsid w:val="33F64577"/>
    <w:rsid w:val="33FB1B8D"/>
    <w:rsid w:val="34056568"/>
    <w:rsid w:val="34525525"/>
    <w:rsid w:val="346040E6"/>
    <w:rsid w:val="34945B3E"/>
    <w:rsid w:val="34A0589E"/>
    <w:rsid w:val="34A67F96"/>
    <w:rsid w:val="34B0508B"/>
    <w:rsid w:val="34B1049E"/>
    <w:rsid w:val="34C20C64"/>
    <w:rsid w:val="34DF440A"/>
    <w:rsid w:val="34E502E4"/>
    <w:rsid w:val="34F605A6"/>
    <w:rsid w:val="350031D3"/>
    <w:rsid w:val="350A581B"/>
    <w:rsid w:val="352275ED"/>
    <w:rsid w:val="352E7D40"/>
    <w:rsid w:val="35352592"/>
    <w:rsid w:val="35426A60"/>
    <w:rsid w:val="35571045"/>
    <w:rsid w:val="35586B6B"/>
    <w:rsid w:val="355A1520"/>
    <w:rsid w:val="355E7319"/>
    <w:rsid w:val="35690D78"/>
    <w:rsid w:val="35BD0D23"/>
    <w:rsid w:val="35C36951"/>
    <w:rsid w:val="35CE6E2D"/>
    <w:rsid w:val="35DB7EC8"/>
    <w:rsid w:val="35EE2046"/>
    <w:rsid w:val="35F41640"/>
    <w:rsid w:val="362A0508"/>
    <w:rsid w:val="36394BEF"/>
    <w:rsid w:val="364652E8"/>
    <w:rsid w:val="36603F29"/>
    <w:rsid w:val="36653C36"/>
    <w:rsid w:val="366A4DA8"/>
    <w:rsid w:val="36897924"/>
    <w:rsid w:val="369116D0"/>
    <w:rsid w:val="36941E25"/>
    <w:rsid w:val="3699568D"/>
    <w:rsid w:val="369F7E9A"/>
    <w:rsid w:val="36B67FED"/>
    <w:rsid w:val="36C46BAE"/>
    <w:rsid w:val="36CC15BF"/>
    <w:rsid w:val="36D3294D"/>
    <w:rsid w:val="370D205E"/>
    <w:rsid w:val="370E607B"/>
    <w:rsid w:val="37112969"/>
    <w:rsid w:val="37180CA8"/>
    <w:rsid w:val="372907BF"/>
    <w:rsid w:val="37294C63"/>
    <w:rsid w:val="373830F8"/>
    <w:rsid w:val="374D6BA3"/>
    <w:rsid w:val="375647D6"/>
    <w:rsid w:val="377A726D"/>
    <w:rsid w:val="377E4FAF"/>
    <w:rsid w:val="37893954"/>
    <w:rsid w:val="37971BCD"/>
    <w:rsid w:val="37A75B88"/>
    <w:rsid w:val="37AC3D63"/>
    <w:rsid w:val="37D921E5"/>
    <w:rsid w:val="37F92887"/>
    <w:rsid w:val="37FC2378"/>
    <w:rsid w:val="380C2A2C"/>
    <w:rsid w:val="384B3FA8"/>
    <w:rsid w:val="3854528C"/>
    <w:rsid w:val="38565141"/>
    <w:rsid w:val="38602906"/>
    <w:rsid w:val="389F176C"/>
    <w:rsid w:val="38A00F55"/>
    <w:rsid w:val="38B95B73"/>
    <w:rsid w:val="38C509BB"/>
    <w:rsid w:val="38CF183A"/>
    <w:rsid w:val="38E30E42"/>
    <w:rsid w:val="38EF5A38"/>
    <w:rsid w:val="38F33028"/>
    <w:rsid w:val="39036257"/>
    <w:rsid w:val="390F1199"/>
    <w:rsid w:val="391F5000"/>
    <w:rsid w:val="392A1782"/>
    <w:rsid w:val="39367F12"/>
    <w:rsid w:val="394538AA"/>
    <w:rsid w:val="39495149"/>
    <w:rsid w:val="394D348F"/>
    <w:rsid w:val="394D5E49"/>
    <w:rsid w:val="39553AED"/>
    <w:rsid w:val="3986014B"/>
    <w:rsid w:val="39977E46"/>
    <w:rsid w:val="39993E51"/>
    <w:rsid w:val="39A20CFD"/>
    <w:rsid w:val="39AD02F7"/>
    <w:rsid w:val="39B5458C"/>
    <w:rsid w:val="39B60304"/>
    <w:rsid w:val="39DA2245"/>
    <w:rsid w:val="39DA3FF3"/>
    <w:rsid w:val="39DF3CFF"/>
    <w:rsid w:val="39E81075"/>
    <w:rsid w:val="39F71049"/>
    <w:rsid w:val="3A013C75"/>
    <w:rsid w:val="3A0B29EE"/>
    <w:rsid w:val="3A12378C"/>
    <w:rsid w:val="3A2B6F44"/>
    <w:rsid w:val="3A322081"/>
    <w:rsid w:val="3A331955"/>
    <w:rsid w:val="3A361B71"/>
    <w:rsid w:val="3A396181"/>
    <w:rsid w:val="3A456E52"/>
    <w:rsid w:val="3A463AB7"/>
    <w:rsid w:val="3A4B6C9E"/>
    <w:rsid w:val="3A631110"/>
    <w:rsid w:val="3A7C32FC"/>
    <w:rsid w:val="3A854074"/>
    <w:rsid w:val="3AC70A1B"/>
    <w:rsid w:val="3AD66EB0"/>
    <w:rsid w:val="3AEA64B7"/>
    <w:rsid w:val="3AF92B9E"/>
    <w:rsid w:val="3AFA0DF0"/>
    <w:rsid w:val="3B212110"/>
    <w:rsid w:val="3B236ECD"/>
    <w:rsid w:val="3B337E5E"/>
    <w:rsid w:val="3B343BD6"/>
    <w:rsid w:val="3B3C653D"/>
    <w:rsid w:val="3B497682"/>
    <w:rsid w:val="3B49769C"/>
    <w:rsid w:val="3B53405D"/>
    <w:rsid w:val="3B691AD2"/>
    <w:rsid w:val="3B6E533A"/>
    <w:rsid w:val="3B7F0C6A"/>
    <w:rsid w:val="3B7F30A4"/>
    <w:rsid w:val="3B830B79"/>
    <w:rsid w:val="3B8561E0"/>
    <w:rsid w:val="3B8B1A48"/>
    <w:rsid w:val="3B9A415A"/>
    <w:rsid w:val="3BA2244B"/>
    <w:rsid w:val="3BB07701"/>
    <w:rsid w:val="3BB2349B"/>
    <w:rsid w:val="3BB865B6"/>
    <w:rsid w:val="3BBF7944"/>
    <w:rsid w:val="3BC82C9D"/>
    <w:rsid w:val="3BEE1F9C"/>
    <w:rsid w:val="3C0D4B53"/>
    <w:rsid w:val="3C2105FF"/>
    <w:rsid w:val="3C372D23"/>
    <w:rsid w:val="3C447E49"/>
    <w:rsid w:val="3C4B380F"/>
    <w:rsid w:val="3C4F6F1A"/>
    <w:rsid w:val="3C511E12"/>
    <w:rsid w:val="3C5F2ED5"/>
    <w:rsid w:val="3C6E4EC6"/>
    <w:rsid w:val="3C8E2667"/>
    <w:rsid w:val="3C97441D"/>
    <w:rsid w:val="3CA158E4"/>
    <w:rsid w:val="3CA408E8"/>
    <w:rsid w:val="3CA64660"/>
    <w:rsid w:val="3CBD0327"/>
    <w:rsid w:val="3CC14C1F"/>
    <w:rsid w:val="3CD0758C"/>
    <w:rsid w:val="3CDE6FFD"/>
    <w:rsid w:val="3CE55188"/>
    <w:rsid w:val="3CF56BC9"/>
    <w:rsid w:val="3D0A4BEF"/>
    <w:rsid w:val="3D1C38A7"/>
    <w:rsid w:val="3D1F37E4"/>
    <w:rsid w:val="3D211F38"/>
    <w:rsid w:val="3D235CB1"/>
    <w:rsid w:val="3D31113A"/>
    <w:rsid w:val="3D37175C"/>
    <w:rsid w:val="3D695DB9"/>
    <w:rsid w:val="3D762284"/>
    <w:rsid w:val="3D7D3613"/>
    <w:rsid w:val="3D864BBD"/>
    <w:rsid w:val="3DDD67A7"/>
    <w:rsid w:val="3DE23DBE"/>
    <w:rsid w:val="3E09294E"/>
    <w:rsid w:val="3E1A70B4"/>
    <w:rsid w:val="3E30329A"/>
    <w:rsid w:val="3E330175"/>
    <w:rsid w:val="3E655E3A"/>
    <w:rsid w:val="3E667746"/>
    <w:rsid w:val="3E885B96"/>
    <w:rsid w:val="3E8E35FE"/>
    <w:rsid w:val="3EB43064"/>
    <w:rsid w:val="3EB92D70"/>
    <w:rsid w:val="3EBA7B5C"/>
    <w:rsid w:val="3ECD4126"/>
    <w:rsid w:val="3EF1250A"/>
    <w:rsid w:val="3F0C66A8"/>
    <w:rsid w:val="3F163D1F"/>
    <w:rsid w:val="3F281CA4"/>
    <w:rsid w:val="3F2B709E"/>
    <w:rsid w:val="3F4500E9"/>
    <w:rsid w:val="3F450160"/>
    <w:rsid w:val="3F4C14EF"/>
    <w:rsid w:val="3F692622"/>
    <w:rsid w:val="3F7153F9"/>
    <w:rsid w:val="3F720A50"/>
    <w:rsid w:val="3F917849"/>
    <w:rsid w:val="3F9B0612"/>
    <w:rsid w:val="3F9D1D4A"/>
    <w:rsid w:val="3FA241A2"/>
    <w:rsid w:val="3FAA4467"/>
    <w:rsid w:val="3FAC01DF"/>
    <w:rsid w:val="3FB4343D"/>
    <w:rsid w:val="3FD85478"/>
    <w:rsid w:val="40155D85"/>
    <w:rsid w:val="403A57EB"/>
    <w:rsid w:val="404B3E9C"/>
    <w:rsid w:val="4061546E"/>
    <w:rsid w:val="40754A62"/>
    <w:rsid w:val="4079067E"/>
    <w:rsid w:val="4093139F"/>
    <w:rsid w:val="409343AF"/>
    <w:rsid w:val="409A0980"/>
    <w:rsid w:val="40AC655D"/>
    <w:rsid w:val="40BE01CA"/>
    <w:rsid w:val="40D75730"/>
    <w:rsid w:val="40E63BC5"/>
    <w:rsid w:val="40FA4F7A"/>
    <w:rsid w:val="411573B0"/>
    <w:rsid w:val="41362456"/>
    <w:rsid w:val="413C37E5"/>
    <w:rsid w:val="41487F61"/>
    <w:rsid w:val="414A5F02"/>
    <w:rsid w:val="415648A7"/>
    <w:rsid w:val="415A71E1"/>
    <w:rsid w:val="41630D72"/>
    <w:rsid w:val="416D399E"/>
    <w:rsid w:val="419B675D"/>
    <w:rsid w:val="419F484B"/>
    <w:rsid w:val="41AA69A0"/>
    <w:rsid w:val="41B15F81"/>
    <w:rsid w:val="41C061C4"/>
    <w:rsid w:val="41C31810"/>
    <w:rsid w:val="41E225DE"/>
    <w:rsid w:val="41F8595E"/>
    <w:rsid w:val="420C600C"/>
    <w:rsid w:val="42100EF9"/>
    <w:rsid w:val="4214206C"/>
    <w:rsid w:val="421B164C"/>
    <w:rsid w:val="422246E7"/>
    <w:rsid w:val="422B5D33"/>
    <w:rsid w:val="42312D26"/>
    <w:rsid w:val="42454372"/>
    <w:rsid w:val="42573796"/>
    <w:rsid w:val="426E5C20"/>
    <w:rsid w:val="42786A9F"/>
    <w:rsid w:val="428561C6"/>
    <w:rsid w:val="428B67D2"/>
    <w:rsid w:val="428E0070"/>
    <w:rsid w:val="42943344"/>
    <w:rsid w:val="42975177"/>
    <w:rsid w:val="42C615B8"/>
    <w:rsid w:val="42D77C69"/>
    <w:rsid w:val="42D95503"/>
    <w:rsid w:val="42FC322C"/>
    <w:rsid w:val="43046BE3"/>
    <w:rsid w:val="43171E14"/>
    <w:rsid w:val="4329542D"/>
    <w:rsid w:val="43484F88"/>
    <w:rsid w:val="435C1F1C"/>
    <w:rsid w:val="437216C9"/>
    <w:rsid w:val="4385588B"/>
    <w:rsid w:val="4387343D"/>
    <w:rsid w:val="43882D11"/>
    <w:rsid w:val="43884ABF"/>
    <w:rsid w:val="43911BC6"/>
    <w:rsid w:val="43972F54"/>
    <w:rsid w:val="439E42E3"/>
    <w:rsid w:val="43A124B3"/>
    <w:rsid w:val="43A538C3"/>
    <w:rsid w:val="43B81849"/>
    <w:rsid w:val="43BB4E95"/>
    <w:rsid w:val="43C55D14"/>
    <w:rsid w:val="43D57920"/>
    <w:rsid w:val="43D85A47"/>
    <w:rsid w:val="43DE0B83"/>
    <w:rsid w:val="43E97C54"/>
    <w:rsid w:val="43F839F3"/>
    <w:rsid w:val="44022AC4"/>
    <w:rsid w:val="44044A8E"/>
    <w:rsid w:val="44236B1E"/>
    <w:rsid w:val="44244662"/>
    <w:rsid w:val="444158E6"/>
    <w:rsid w:val="44564BBE"/>
    <w:rsid w:val="44641089"/>
    <w:rsid w:val="446948F1"/>
    <w:rsid w:val="44C11AA6"/>
    <w:rsid w:val="44CA2F27"/>
    <w:rsid w:val="44D04970"/>
    <w:rsid w:val="44D426B2"/>
    <w:rsid w:val="44E346A3"/>
    <w:rsid w:val="44E4632B"/>
    <w:rsid w:val="44E67CEF"/>
    <w:rsid w:val="44EE4DF6"/>
    <w:rsid w:val="44F3240C"/>
    <w:rsid w:val="45007B43"/>
    <w:rsid w:val="45110AAC"/>
    <w:rsid w:val="45123CB8"/>
    <w:rsid w:val="451A208F"/>
    <w:rsid w:val="45350C77"/>
    <w:rsid w:val="45415D40"/>
    <w:rsid w:val="45435142"/>
    <w:rsid w:val="45451DF1"/>
    <w:rsid w:val="45490111"/>
    <w:rsid w:val="455530C7"/>
    <w:rsid w:val="45570447"/>
    <w:rsid w:val="4565330A"/>
    <w:rsid w:val="45682DFA"/>
    <w:rsid w:val="45723C79"/>
    <w:rsid w:val="457378F7"/>
    <w:rsid w:val="45DB537A"/>
    <w:rsid w:val="45DE130F"/>
    <w:rsid w:val="45E00BE3"/>
    <w:rsid w:val="45E22E89"/>
    <w:rsid w:val="45EF3280"/>
    <w:rsid w:val="45F43872"/>
    <w:rsid w:val="460D5750"/>
    <w:rsid w:val="46113492"/>
    <w:rsid w:val="461B3AA5"/>
    <w:rsid w:val="462C5BD6"/>
    <w:rsid w:val="462E5DF2"/>
    <w:rsid w:val="46362EF9"/>
    <w:rsid w:val="464C0026"/>
    <w:rsid w:val="46590D6C"/>
    <w:rsid w:val="465E4A23"/>
    <w:rsid w:val="4672304E"/>
    <w:rsid w:val="46843C64"/>
    <w:rsid w:val="469F45FA"/>
    <w:rsid w:val="46A460B4"/>
    <w:rsid w:val="46AF05B5"/>
    <w:rsid w:val="46D30747"/>
    <w:rsid w:val="46E14C12"/>
    <w:rsid w:val="46E25ADA"/>
    <w:rsid w:val="46E57892"/>
    <w:rsid w:val="470D3C59"/>
    <w:rsid w:val="47292FFB"/>
    <w:rsid w:val="472B1462"/>
    <w:rsid w:val="473B0E1B"/>
    <w:rsid w:val="473F27FF"/>
    <w:rsid w:val="476017C6"/>
    <w:rsid w:val="476B0980"/>
    <w:rsid w:val="47745A86"/>
    <w:rsid w:val="477A0BC3"/>
    <w:rsid w:val="47811F51"/>
    <w:rsid w:val="47833F1C"/>
    <w:rsid w:val="478552E3"/>
    <w:rsid w:val="478E2D76"/>
    <w:rsid w:val="47A65E5C"/>
    <w:rsid w:val="47AB6FCE"/>
    <w:rsid w:val="47B71E17"/>
    <w:rsid w:val="47E67FE2"/>
    <w:rsid w:val="47F0014A"/>
    <w:rsid w:val="481903DC"/>
    <w:rsid w:val="486268EA"/>
    <w:rsid w:val="486C0E54"/>
    <w:rsid w:val="48740AF8"/>
    <w:rsid w:val="487B247F"/>
    <w:rsid w:val="488364F8"/>
    <w:rsid w:val="48907EB9"/>
    <w:rsid w:val="48B56357"/>
    <w:rsid w:val="48B955C2"/>
    <w:rsid w:val="48B9571B"/>
    <w:rsid w:val="48BA396D"/>
    <w:rsid w:val="48C26D11"/>
    <w:rsid w:val="48F30C2D"/>
    <w:rsid w:val="48F86243"/>
    <w:rsid w:val="490177EE"/>
    <w:rsid w:val="49025314"/>
    <w:rsid w:val="490270C2"/>
    <w:rsid w:val="490D6193"/>
    <w:rsid w:val="490E1F0B"/>
    <w:rsid w:val="492B090F"/>
    <w:rsid w:val="492B7126"/>
    <w:rsid w:val="4932003B"/>
    <w:rsid w:val="49382AE4"/>
    <w:rsid w:val="49417BEA"/>
    <w:rsid w:val="4968786D"/>
    <w:rsid w:val="496F0BFB"/>
    <w:rsid w:val="49734B65"/>
    <w:rsid w:val="49843F7B"/>
    <w:rsid w:val="498E0956"/>
    <w:rsid w:val="49911DC2"/>
    <w:rsid w:val="499A718B"/>
    <w:rsid w:val="49B52386"/>
    <w:rsid w:val="49DF11B1"/>
    <w:rsid w:val="49EC3FFA"/>
    <w:rsid w:val="49F72751"/>
    <w:rsid w:val="4A1B668D"/>
    <w:rsid w:val="4A1E3C56"/>
    <w:rsid w:val="4A1E617D"/>
    <w:rsid w:val="4A280647"/>
    <w:rsid w:val="4A2D18F3"/>
    <w:rsid w:val="4A3B69AF"/>
    <w:rsid w:val="4A421E6C"/>
    <w:rsid w:val="4A730023"/>
    <w:rsid w:val="4A8833F8"/>
    <w:rsid w:val="4A8A619F"/>
    <w:rsid w:val="4A8A62E2"/>
    <w:rsid w:val="4AA2290B"/>
    <w:rsid w:val="4AD46AF0"/>
    <w:rsid w:val="4ADF76BB"/>
    <w:rsid w:val="4AE1272C"/>
    <w:rsid w:val="4AF64A04"/>
    <w:rsid w:val="4B125FF6"/>
    <w:rsid w:val="4B2B2900"/>
    <w:rsid w:val="4B3F45FD"/>
    <w:rsid w:val="4B437748"/>
    <w:rsid w:val="4B4614E8"/>
    <w:rsid w:val="4B6C4CC7"/>
    <w:rsid w:val="4B7D0C82"/>
    <w:rsid w:val="4B8057E5"/>
    <w:rsid w:val="4B893ACB"/>
    <w:rsid w:val="4B8B339F"/>
    <w:rsid w:val="4B92472D"/>
    <w:rsid w:val="4BA97CC9"/>
    <w:rsid w:val="4BB70DD3"/>
    <w:rsid w:val="4BD016F9"/>
    <w:rsid w:val="4BF47196"/>
    <w:rsid w:val="4BFB117A"/>
    <w:rsid w:val="4C0575F5"/>
    <w:rsid w:val="4C0D46FC"/>
    <w:rsid w:val="4C231829"/>
    <w:rsid w:val="4C264391"/>
    <w:rsid w:val="4C2B503E"/>
    <w:rsid w:val="4C312198"/>
    <w:rsid w:val="4C3253A4"/>
    <w:rsid w:val="4C481290"/>
    <w:rsid w:val="4C5C4D3B"/>
    <w:rsid w:val="4C63273B"/>
    <w:rsid w:val="4C787DC7"/>
    <w:rsid w:val="4C8449BE"/>
    <w:rsid w:val="4C987D10"/>
    <w:rsid w:val="4CA94424"/>
    <w:rsid w:val="4CAA3CF8"/>
    <w:rsid w:val="4CBE77A4"/>
    <w:rsid w:val="4CC56D84"/>
    <w:rsid w:val="4CD62D3F"/>
    <w:rsid w:val="4CE0771A"/>
    <w:rsid w:val="4CF051AC"/>
    <w:rsid w:val="4D057181"/>
    <w:rsid w:val="4D0C050F"/>
    <w:rsid w:val="4D275349"/>
    <w:rsid w:val="4D331F40"/>
    <w:rsid w:val="4D3B0DF4"/>
    <w:rsid w:val="4D7F6F33"/>
    <w:rsid w:val="4D8409ED"/>
    <w:rsid w:val="4D9549A9"/>
    <w:rsid w:val="4D9D16E6"/>
    <w:rsid w:val="4DB017E2"/>
    <w:rsid w:val="4DB82445"/>
    <w:rsid w:val="4DC25072"/>
    <w:rsid w:val="4DC96400"/>
    <w:rsid w:val="4DE106CB"/>
    <w:rsid w:val="4DEB281B"/>
    <w:rsid w:val="4E10402F"/>
    <w:rsid w:val="4E121B55"/>
    <w:rsid w:val="4E2B2C17"/>
    <w:rsid w:val="4E505C68"/>
    <w:rsid w:val="4E573A0C"/>
    <w:rsid w:val="4E5B12D3"/>
    <w:rsid w:val="4E5C1022"/>
    <w:rsid w:val="4E760336"/>
    <w:rsid w:val="4E790595"/>
    <w:rsid w:val="4E7C16C5"/>
    <w:rsid w:val="4EAC6FD6"/>
    <w:rsid w:val="4EB250E6"/>
    <w:rsid w:val="4EBE1CDD"/>
    <w:rsid w:val="4EC05A55"/>
    <w:rsid w:val="4ECA0682"/>
    <w:rsid w:val="4ECD0674"/>
    <w:rsid w:val="4EE47996"/>
    <w:rsid w:val="4EE74D90"/>
    <w:rsid w:val="4EEF633A"/>
    <w:rsid w:val="4EFB083B"/>
    <w:rsid w:val="4F0948DA"/>
    <w:rsid w:val="4F1762B4"/>
    <w:rsid w:val="4F18474C"/>
    <w:rsid w:val="4F1D6A04"/>
    <w:rsid w:val="4F2935FA"/>
    <w:rsid w:val="4F495A4B"/>
    <w:rsid w:val="4F587A3C"/>
    <w:rsid w:val="4F6C6BDA"/>
    <w:rsid w:val="4F7E394E"/>
    <w:rsid w:val="4F7F2029"/>
    <w:rsid w:val="4F870321"/>
    <w:rsid w:val="4F9071D6"/>
    <w:rsid w:val="4F9547EC"/>
    <w:rsid w:val="4FB32FF4"/>
    <w:rsid w:val="4FD051AF"/>
    <w:rsid w:val="4FE64AA3"/>
    <w:rsid w:val="4FE6773D"/>
    <w:rsid w:val="4FF43AC5"/>
    <w:rsid w:val="4FF77255"/>
    <w:rsid w:val="4FFE4A87"/>
    <w:rsid w:val="50000824"/>
    <w:rsid w:val="50106568"/>
    <w:rsid w:val="501222E0"/>
    <w:rsid w:val="501F0559"/>
    <w:rsid w:val="5023629C"/>
    <w:rsid w:val="503A5393"/>
    <w:rsid w:val="503F29AA"/>
    <w:rsid w:val="5043249A"/>
    <w:rsid w:val="505521CD"/>
    <w:rsid w:val="50827466"/>
    <w:rsid w:val="50A078EC"/>
    <w:rsid w:val="50B679A2"/>
    <w:rsid w:val="50D21A70"/>
    <w:rsid w:val="50D457E8"/>
    <w:rsid w:val="50D75B0C"/>
    <w:rsid w:val="50FB4B23"/>
    <w:rsid w:val="51163F32"/>
    <w:rsid w:val="51183927"/>
    <w:rsid w:val="51226553"/>
    <w:rsid w:val="514C786D"/>
    <w:rsid w:val="514E7348"/>
    <w:rsid w:val="51516E38"/>
    <w:rsid w:val="5180327A"/>
    <w:rsid w:val="51927730"/>
    <w:rsid w:val="51937451"/>
    <w:rsid w:val="519A433C"/>
    <w:rsid w:val="51AE366B"/>
    <w:rsid w:val="51D823BF"/>
    <w:rsid w:val="51DF0427"/>
    <w:rsid w:val="51E67581"/>
    <w:rsid w:val="51F83758"/>
    <w:rsid w:val="520B3E30"/>
    <w:rsid w:val="521A547C"/>
    <w:rsid w:val="521F6F37"/>
    <w:rsid w:val="5246001F"/>
    <w:rsid w:val="524A22EE"/>
    <w:rsid w:val="52712D2D"/>
    <w:rsid w:val="52972F71"/>
    <w:rsid w:val="529F5E1B"/>
    <w:rsid w:val="52AD7835"/>
    <w:rsid w:val="52B0193D"/>
    <w:rsid w:val="52B633F7"/>
    <w:rsid w:val="52BB3073"/>
    <w:rsid w:val="52BC29D7"/>
    <w:rsid w:val="52C8312A"/>
    <w:rsid w:val="52DB5A27"/>
    <w:rsid w:val="52DD4E28"/>
    <w:rsid w:val="52DE4AD3"/>
    <w:rsid w:val="52E70521"/>
    <w:rsid w:val="52FB52AE"/>
    <w:rsid w:val="52FE08FA"/>
    <w:rsid w:val="531F04EC"/>
    <w:rsid w:val="532145E9"/>
    <w:rsid w:val="53220A8C"/>
    <w:rsid w:val="53293B36"/>
    <w:rsid w:val="532E2213"/>
    <w:rsid w:val="533026AA"/>
    <w:rsid w:val="53487DC7"/>
    <w:rsid w:val="534C78B7"/>
    <w:rsid w:val="534D3630"/>
    <w:rsid w:val="53807561"/>
    <w:rsid w:val="5382152B"/>
    <w:rsid w:val="538708F0"/>
    <w:rsid w:val="538E7D0E"/>
    <w:rsid w:val="53A56FC8"/>
    <w:rsid w:val="53B4545D"/>
    <w:rsid w:val="53B8319F"/>
    <w:rsid w:val="53DF24DA"/>
    <w:rsid w:val="53E50427"/>
    <w:rsid w:val="53F65A75"/>
    <w:rsid w:val="53FB308C"/>
    <w:rsid w:val="5416466D"/>
    <w:rsid w:val="541A1764"/>
    <w:rsid w:val="542F214A"/>
    <w:rsid w:val="54302D35"/>
    <w:rsid w:val="54316AAD"/>
    <w:rsid w:val="543640C4"/>
    <w:rsid w:val="543A3BB4"/>
    <w:rsid w:val="54640C31"/>
    <w:rsid w:val="54661645"/>
    <w:rsid w:val="546B31A6"/>
    <w:rsid w:val="547F3CBD"/>
    <w:rsid w:val="54A72E72"/>
    <w:rsid w:val="54AA0D3A"/>
    <w:rsid w:val="54AB6860"/>
    <w:rsid w:val="54AF05F6"/>
    <w:rsid w:val="54BB2F47"/>
    <w:rsid w:val="54BE216E"/>
    <w:rsid w:val="54BF40B9"/>
    <w:rsid w:val="54D73AF9"/>
    <w:rsid w:val="54D933CD"/>
    <w:rsid w:val="54DF0236"/>
    <w:rsid w:val="54DF37FA"/>
    <w:rsid w:val="550D2661"/>
    <w:rsid w:val="550F3292"/>
    <w:rsid w:val="552A3C28"/>
    <w:rsid w:val="55563AD1"/>
    <w:rsid w:val="555D2250"/>
    <w:rsid w:val="558722C8"/>
    <w:rsid w:val="55AC6D33"/>
    <w:rsid w:val="55AD03B6"/>
    <w:rsid w:val="55BD221A"/>
    <w:rsid w:val="55C027DF"/>
    <w:rsid w:val="55CE2806"/>
    <w:rsid w:val="55D63DB0"/>
    <w:rsid w:val="55DB3175"/>
    <w:rsid w:val="55DB4F23"/>
    <w:rsid w:val="55EE4C56"/>
    <w:rsid w:val="55F01DD8"/>
    <w:rsid w:val="55F61D5C"/>
    <w:rsid w:val="56051FA0"/>
    <w:rsid w:val="56222B52"/>
    <w:rsid w:val="562A1B91"/>
    <w:rsid w:val="562B40FC"/>
    <w:rsid w:val="562B5B9A"/>
    <w:rsid w:val="56331D5B"/>
    <w:rsid w:val="5637484F"/>
    <w:rsid w:val="5640122A"/>
    <w:rsid w:val="56564FED"/>
    <w:rsid w:val="56570A4D"/>
    <w:rsid w:val="565E627F"/>
    <w:rsid w:val="567233E3"/>
    <w:rsid w:val="56867F50"/>
    <w:rsid w:val="568A7075"/>
    <w:rsid w:val="56AB7BA5"/>
    <w:rsid w:val="56AF3861"/>
    <w:rsid w:val="56B85264"/>
    <w:rsid w:val="56CA56C3"/>
    <w:rsid w:val="56CF0F2B"/>
    <w:rsid w:val="56D15DD1"/>
    <w:rsid w:val="56DC53F6"/>
    <w:rsid w:val="56F55B47"/>
    <w:rsid w:val="571406EC"/>
    <w:rsid w:val="5714693E"/>
    <w:rsid w:val="573A37A0"/>
    <w:rsid w:val="573F67D1"/>
    <w:rsid w:val="575C2093"/>
    <w:rsid w:val="576D604E"/>
    <w:rsid w:val="57706229"/>
    <w:rsid w:val="578C2978"/>
    <w:rsid w:val="57B823F5"/>
    <w:rsid w:val="57BE4AFC"/>
    <w:rsid w:val="57C17BF5"/>
    <w:rsid w:val="57C2639A"/>
    <w:rsid w:val="57CE11E3"/>
    <w:rsid w:val="57CF2865"/>
    <w:rsid w:val="57E07028"/>
    <w:rsid w:val="57E207EA"/>
    <w:rsid w:val="57EC78BB"/>
    <w:rsid w:val="57F549C2"/>
    <w:rsid w:val="580764A3"/>
    <w:rsid w:val="580A09D4"/>
    <w:rsid w:val="58256929"/>
    <w:rsid w:val="58260F8E"/>
    <w:rsid w:val="582C5F09"/>
    <w:rsid w:val="583F79EB"/>
    <w:rsid w:val="58486CFA"/>
    <w:rsid w:val="586C6306"/>
    <w:rsid w:val="58737694"/>
    <w:rsid w:val="587F072F"/>
    <w:rsid w:val="58BA1767"/>
    <w:rsid w:val="58E20BFB"/>
    <w:rsid w:val="5916469A"/>
    <w:rsid w:val="59215342"/>
    <w:rsid w:val="59220479"/>
    <w:rsid w:val="5928001D"/>
    <w:rsid w:val="592941F7"/>
    <w:rsid w:val="592A3C50"/>
    <w:rsid w:val="594026BD"/>
    <w:rsid w:val="59460076"/>
    <w:rsid w:val="59515D8A"/>
    <w:rsid w:val="595C637A"/>
    <w:rsid w:val="5960477C"/>
    <w:rsid w:val="59670321"/>
    <w:rsid w:val="596B66F6"/>
    <w:rsid w:val="596C2A61"/>
    <w:rsid w:val="596F6178"/>
    <w:rsid w:val="597E2795"/>
    <w:rsid w:val="598C7885"/>
    <w:rsid w:val="59A5674B"/>
    <w:rsid w:val="59A81D89"/>
    <w:rsid w:val="59AD4E28"/>
    <w:rsid w:val="59BD150F"/>
    <w:rsid w:val="59BE0DE3"/>
    <w:rsid w:val="59C53F20"/>
    <w:rsid w:val="59D535F0"/>
    <w:rsid w:val="5A0228E9"/>
    <w:rsid w:val="5A146C55"/>
    <w:rsid w:val="5A151F73"/>
    <w:rsid w:val="5A582FE6"/>
    <w:rsid w:val="5A807902"/>
    <w:rsid w:val="5AA77AC9"/>
    <w:rsid w:val="5AA91A93"/>
    <w:rsid w:val="5ABE4B07"/>
    <w:rsid w:val="5AC266B1"/>
    <w:rsid w:val="5AEE74A6"/>
    <w:rsid w:val="5AF4204A"/>
    <w:rsid w:val="5AFA409D"/>
    <w:rsid w:val="5AFA5E4B"/>
    <w:rsid w:val="5B307ABF"/>
    <w:rsid w:val="5B321A89"/>
    <w:rsid w:val="5B32273E"/>
    <w:rsid w:val="5B353327"/>
    <w:rsid w:val="5B386973"/>
    <w:rsid w:val="5B4602DF"/>
    <w:rsid w:val="5B4A6DD2"/>
    <w:rsid w:val="5B55545B"/>
    <w:rsid w:val="5B57329D"/>
    <w:rsid w:val="5B6F6839"/>
    <w:rsid w:val="5B751975"/>
    <w:rsid w:val="5B765E19"/>
    <w:rsid w:val="5B8147BE"/>
    <w:rsid w:val="5B920779"/>
    <w:rsid w:val="5B977B3E"/>
    <w:rsid w:val="5B9B138A"/>
    <w:rsid w:val="5BAB5397"/>
    <w:rsid w:val="5BB74B2C"/>
    <w:rsid w:val="5BBB382C"/>
    <w:rsid w:val="5BCC1E57"/>
    <w:rsid w:val="5BD41E6E"/>
    <w:rsid w:val="5BEA2363"/>
    <w:rsid w:val="5BEA5EBF"/>
    <w:rsid w:val="5BF4056C"/>
    <w:rsid w:val="5BF64864"/>
    <w:rsid w:val="5BFE3079"/>
    <w:rsid w:val="5C2C64D8"/>
    <w:rsid w:val="5C3A6E47"/>
    <w:rsid w:val="5C3B1922"/>
    <w:rsid w:val="5C3E5DFE"/>
    <w:rsid w:val="5C537F09"/>
    <w:rsid w:val="5C5477DD"/>
    <w:rsid w:val="5C5E2B95"/>
    <w:rsid w:val="5C9A5B38"/>
    <w:rsid w:val="5C9C18B0"/>
    <w:rsid w:val="5C9D5E71"/>
    <w:rsid w:val="5CA17B70"/>
    <w:rsid w:val="5CA40764"/>
    <w:rsid w:val="5CAB5170"/>
    <w:rsid w:val="5CBD5382"/>
    <w:rsid w:val="5CD32DF8"/>
    <w:rsid w:val="5CDB7E67"/>
    <w:rsid w:val="5CE62B2B"/>
    <w:rsid w:val="5D0C07A2"/>
    <w:rsid w:val="5D28587B"/>
    <w:rsid w:val="5D290C69"/>
    <w:rsid w:val="5D9910A9"/>
    <w:rsid w:val="5DA0717E"/>
    <w:rsid w:val="5DA45DDB"/>
    <w:rsid w:val="5DA822F9"/>
    <w:rsid w:val="5DB42C29"/>
    <w:rsid w:val="5DBD1FCA"/>
    <w:rsid w:val="5DD15589"/>
    <w:rsid w:val="5DEF65CC"/>
    <w:rsid w:val="5E192A8C"/>
    <w:rsid w:val="5E1C432A"/>
    <w:rsid w:val="5E257683"/>
    <w:rsid w:val="5E282CCF"/>
    <w:rsid w:val="5E4D0988"/>
    <w:rsid w:val="5E510478"/>
    <w:rsid w:val="5E714676"/>
    <w:rsid w:val="5E8425FB"/>
    <w:rsid w:val="5E8C6F99"/>
    <w:rsid w:val="5E8E347A"/>
    <w:rsid w:val="5ECF75EF"/>
    <w:rsid w:val="5ED54C05"/>
    <w:rsid w:val="5EF2352E"/>
    <w:rsid w:val="5EF57055"/>
    <w:rsid w:val="5EF763C6"/>
    <w:rsid w:val="5F08322C"/>
    <w:rsid w:val="5F261904"/>
    <w:rsid w:val="5F4E6765"/>
    <w:rsid w:val="5F5D7160"/>
    <w:rsid w:val="5F7206A6"/>
    <w:rsid w:val="5F7408C2"/>
    <w:rsid w:val="5F887EC9"/>
    <w:rsid w:val="5F893C41"/>
    <w:rsid w:val="5F8B79B9"/>
    <w:rsid w:val="5FB23198"/>
    <w:rsid w:val="5FD70E51"/>
    <w:rsid w:val="5FEF7F48"/>
    <w:rsid w:val="5FF217E7"/>
    <w:rsid w:val="5FF27A39"/>
    <w:rsid w:val="5FF76DFD"/>
    <w:rsid w:val="5FFE1F39"/>
    <w:rsid w:val="60060FEE"/>
    <w:rsid w:val="602A0F80"/>
    <w:rsid w:val="60462E90"/>
    <w:rsid w:val="60536729"/>
    <w:rsid w:val="608368E3"/>
    <w:rsid w:val="608F7035"/>
    <w:rsid w:val="60A30D33"/>
    <w:rsid w:val="60A96349"/>
    <w:rsid w:val="60C2740B"/>
    <w:rsid w:val="60D64064"/>
    <w:rsid w:val="60D64C64"/>
    <w:rsid w:val="60D94755"/>
    <w:rsid w:val="60F021CA"/>
    <w:rsid w:val="611834CF"/>
    <w:rsid w:val="61530A39"/>
    <w:rsid w:val="61637D56"/>
    <w:rsid w:val="616E0F53"/>
    <w:rsid w:val="6183303E"/>
    <w:rsid w:val="61923281"/>
    <w:rsid w:val="619B0F14"/>
    <w:rsid w:val="619D7C6E"/>
    <w:rsid w:val="61AC3CD1"/>
    <w:rsid w:val="61B054B5"/>
    <w:rsid w:val="61FA4982"/>
    <w:rsid w:val="61FE695C"/>
    <w:rsid w:val="62144D6A"/>
    <w:rsid w:val="621912AD"/>
    <w:rsid w:val="621C6FEF"/>
    <w:rsid w:val="621E4B15"/>
    <w:rsid w:val="623076A4"/>
    <w:rsid w:val="62326812"/>
    <w:rsid w:val="62392C11"/>
    <w:rsid w:val="62571DD5"/>
    <w:rsid w:val="625B7377"/>
    <w:rsid w:val="6278019C"/>
    <w:rsid w:val="6285420B"/>
    <w:rsid w:val="628C1A7E"/>
    <w:rsid w:val="629B7F14"/>
    <w:rsid w:val="62A96AD4"/>
    <w:rsid w:val="62AF08F4"/>
    <w:rsid w:val="62B2525D"/>
    <w:rsid w:val="62B66AFB"/>
    <w:rsid w:val="62C0797A"/>
    <w:rsid w:val="62FB09B2"/>
    <w:rsid w:val="62FB4E56"/>
    <w:rsid w:val="62FE04A2"/>
    <w:rsid w:val="631D29EB"/>
    <w:rsid w:val="633C6169"/>
    <w:rsid w:val="63500CFE"/>
    <w:rsid w:val="637A3FCD"/>
    <w:rsid w:val="63822EAD"/>
    <w:rsid w:val="63AA7892"/>
    <w:rsid w:val="63B70D7D"/>
    <w:rsid w:val="63B74D80"/>
    <w:rsid w:val="63D23E09"/>
    <w:rsid w:val="63E234B7"/>
    <w:rsid w:val="63F773CC"/>
    <w:rsid w:val="63FC1710"/>
    <w:rsid w:val="64047D3A"/>
    <w:rsid w:val="64134CEC"/>
    <w:rsid w:val="64300F47"/>
    <w:rsid w:val="64483336"/>
    <w:rsid w:val="644F0FB6"/>
    <w:rsid w:val="645E38EF"/>
    <w:rsid w:val="646C600B"/>
    <w:rsid w:val="64942E6C"/>
    <w:rsid w:val="64A5315D"/>
    <w:rsid w:val="64AC6408"/>
    <w:rsid w:val="64AE53F9"/>
    <w:rsid w:val="64D63485"/>
    <w:rsid w:val="6500647B"/>
    <w:rsid w:val="65085608"/>
    <w:rsid w:val="65091AAC"/>
    <w:rsid w:val="65110961"/>
    <w:rsid w:val="6518767F"/>
    <w:rsid w:val="65237AC1"/>
    <w:rsid w:val="653603C7"/>
    <w:rsid w:val="65362175"/>
    <w:rsid w:val="656767D3"/>
    <w:rsid w:val="65801643"/>
    <w:rsid w:val="6598698C"/>
    <w:rsid w:val="65A13CC9"/>
    <w:rsid w:val="65E120E1"/>
    <w:rsid w:val="660D737A"/>
    <w:rsid w:val="66171B8A"/>
    <w:rsid w:val="66194A39"/>
    <w:rsid w:val="661A38C3"/>
    <w:rsid w:val="661E2CB4"/>
    <w:rsid w:val="6632293D"/>
    <w:rsid w:val="664E603D"/>
    <w:rsid w:val="665135D2"/>
    <w:rsid w:val="666F1DE3"/>
    <w:rsid w:val="66A870A3"/>
    <w:rsid w:val="66AC748B"/>
    <w:rsid w:val="66AD46B9"/>
    <w:rsid w:val="66C1550E"/>
    <w:rsid w:val="66C739CD"/>
    <w:rsid w:val="66CD4D5B"/>
    <w:rsid w:val="66DA5ED5"/>
    <w:rsid w:val="66DD6797"/>
    <w:rsid w:val="66F10A4A"/>
    <w:rsid w:val="66F66060"/>
    <w:rsid w:val="66F67E0E"/>
    <w:rsid w:val="66F864D1"/>
    <w:rsid w:val="670818F0"/>
    <w:rsid w:val="671D183F"/>
    <w:rsid w:val="67293782"/>
    <w:rsid w:val="673646AF"/>
    <w:rsid w:val="675114E9"/>
    <w:rsid w:val="675863D3"/>
    <w:rsid w:val="675D24EB"/>
    <w:rsid w:val="679703E1"/>
    <w:rsid w:val="67A17496"/>
    <w:rsid w:val="67A965FC"/>
    <w:rsid w:val="67D839B8"/>
    <w:rsid w:val="67F27F14"/>
    <w:rsid w:val="68097272"/>
    <w:rsid w:val="68182006"/>
    <w:rsid w:val="681C1AF7"/>
    <w:rsid w:val="683926A8"/>
    <w:rsid w:val="685272C6"/>
    <w:rsid w:val="68537CAF"/>
    <w:rsid w:val="685F3791"/>
    <w:rsid w:val="68693658"/>
    <w:rsid w:val="68725BBA"/>
    <w:rsid w:val="68757459"/>
    <w:rsid w:val="687A4A6F"/>
    <w:rsid w:val="688C5099"/>
    <w:rsid w:val="68953657"/>
    <w:rsid w:val="68B735CD"/>
    <w:rsid w:val="68C1444C"/>
    <w:rsid w:val="68C91AB0"/>
    <w:rsid w:val="68E51EE8"/>
    <w:rsid w:val="68EA5751"/>
    <w:rsid w:val="68F570FB"/>
    <w:rsid w:val="69076303"/>
    <w:rsid w:val="691C2678"/>
    <w:rsid w:val="69227DA0"/>
    <w:rsid w:val="69456E2B"/>
    <w:rsid w:val="69531548"/>
    <w:rsid w:val="696F3EA8"/>
    <w:rsid w:val="69731BEA"/>
    <w:rsid w:val="69765236"/>
    <w:rsid w:val="69790883"/>
    <w:rsid w:val="697A2F79"/>
    <w:rsid w:val="69935DE8"/>
    <w:rsid w:val="69A47FF6"/>
    <w:rsid w:val="69A87C65"/>
    <w:rsid w:val="69E467A3"/>
    <w:rsid w:val="69EE301F"/>
    <w:rsid w:val="69FA19C4"/>
    <w:rsid w:val="69FB1963"/>
    <w:rsid w:val="6A5D1F52"/>
    <w:rsid w:val="6A7172B1"/>
    <w:rsid w:val="6A7C062B"/>
    <w:rsid w:val="6AA25BA0"/>
    <w:rsid w:val="6AA3205B"/>
    <w:rsid w:val="6AAB0F10"/>
    <w:rsid w:val="6AAD2EDA"/>
    <w:rsid w:val="6AB8548E"/>
    <w:rsid w:val="6ABC577D"/>
    <w:rsid w:val="6ABE3B2D"/>
    <w:rsid w:val="6ACD70D8"/>
    <w:rsid w:val="6AE12B83"/>
    <w:rsid w:val="6AE42367"/>
    <w:rsid w:val="6AFE7291"/>
    <w:rsid w:val="6B054AC4"/>
    <w:rsid w:val="6B0E6AEA"/>
    <w:rsid w:val="6B106FC5"/>
    <w:rsid w:val="6B1F0AF9"/>
    <w:rsid w:val="6B225676"/>
    <w:rsid w:val="6B3A462E"/>
    <w:rsid w:val="6B422808"/>
    <w:rsid w:val="6B474C31"/>
    <w:rsid w:val="6B476E8A"/>
    <w:rsid w:val="6B4B5217"/>
    <w:rsid w:val="6B680BAF"/>
    <w:rsid w:val="6B8A1717"/>
    <w:rsid w:val="6B8C6F93"/>
    <w:rsid w:val="6BC56001"/>
    <w:rsid w:val="6BCC7390"/>
    <w:rsid w:val="6BD36970"/>
    <w:rsid w:val="6BD526E8"/>
    <w:rsid w:val="6BF230C1"/>
    <w:rsid w:val="6C092392"/>
    <w:rsid w:val="6C17069E"/>
    <w:rsid w:val="6C2225DD"/>
    <w:rsid w:val="6C2830FF"/>
    <w:rsid w:val="6C5850C7"/>
    <w:rsid w:val="6C6B0957"/>
    <w:rsid w:val="6C832144"/>
    <w:rsid w:val="6C89702F"/>
    <w:rsid w:val="6C9C18EB"/>
    <w:rsid w:val="6CA85897"/>
    <w:rsid w:val="6CC61D04"/>
    <w:rsid w:val="6CCD7863"/>
    <w:rsid w:val="6CD504C6"/>
    <w:rsid w:val="6CD52274"/>
    <w:rsid w:val="6CDD364E"/>
    <w:rsid w:val="6CF46B9E"/>
    <w:rsid w:val="6CF92406"/>
    <w:rsid w:val="6CFC3CA5"/>
    <w:rsid w:val="6D147240"/>
    <w:rsid w:val="6D196605"/>
    <w:rsid w:val="6D21370B"/>
    <w:rsid w:val="6D3B18E0"/>
    <w:rsid w:val="6D3B18E9"/>
    <w:rsid w:val="6D57537F"/>
    <w:rsid w:val="6D6C42DF"/>
    <w:rsid w:val="6D77332B"/>
    <w:rsid w:val="6D800432"/>
    <w:rsid w:val="6D940381"/>
    <w:rsid w:val="6D9C3AFC"/>
    <w:rsid w:val="6DAC1227"/>
    <w:rsid w:val="6DB60F15"/>
    <w:rsid w:val="6DBB76BC"/>
    <w:rsid w:val="6DBF7DD5"/>
    <w:rsid w:val="6DCE1692"/>
    <w:rsid w:val="6DD469CF"/>
    <w:rsid w:val="6E22773B"/>
    <w:rsid w:val="6E25722B"/>
    <w:rsid w:val="6E2A4841"/>
    <w:rsid w:val="6E443B55"/>
    <w:rsid w:val="6E4E0530"/>
    <w:rsid w:val="6E565912"/>
    <w:rsid w:val="6E5B2C4D"/>
    <w:rsid w:val="6E5F44EB"/>
    <w:rsid w:val="6E6164B5"/>
    <w:rsid w:val="6E6236E7"/>
    <w:rsid w:val="6E6935BC"/>
    <w:rsid w:val="6E91041D"/>
    <w:rsid w:val="6E9F4B86"/>
    <w:rsid w:val="6EB02F99"/>
    <w:rsid w:val="6EB8556A"/>
    <w:rsid w:val="6EBC36EB"/>
    <w:rsid w:val="6ED8429D"/>
    <w:rsid w:val="6EDC5B3C"/>
    <w:rsid w:val="6EDE1649"/>
    <w:rsid w:val="6EEE586F"/>
    <w:rsid w:val="6EF959BC"/>
    <w:rsid w:val="6F064E06"/>
    <w:rsid w:val="6F094457"/>
    <w:rsid w:val="6F155FCF"/>
    <w:rsid w:val="6F176B74"/>
    <w:rsid w:val="6F360C58"/>
    <w:rsid w:val="6F5E0C47"/>
    <w:rsid w:val="6F636421"/>
    <w:rsid w:val="6F6B5112"/>
    <w:rsid w:val="6F6E6EC3"/>
    <w:rsid w:val="6F7264A0"/>
    <w:rsid w:val="6F765F90"/>
    <w:rsid w:val="6F847DBE"/>
    <w:rsid w:val="6F9401C4"/>
    <w:rsid w:val="6FB915A7"/>
    <w:rsid w:val="6FBD3BBF"/>
    <w:rsid w:val="6FC14D32"/>
    <w:rsid w:val="6FCD1928"/>
    <w:rsid w:val="6FD902CD"/>
    <w:rsid w:val="6FD93890"/>
    <w:rsid w:val="6FDE58E3"/>
    <w:rsid w:val="6FE61F3E"/>
    <w:rsid w:val="6FF9428D"/>
    <w:rsid w:val="700346D4"/>
    <w:rsid w:val="70161521"/>
    <w:rsid w:val="702F613F"/>
    <w:rsid w:val="703244E4"/>
    <w:rsid w:val="705636CC"/>
    <w:rsid w:val="70D31B19"/>
    <w:rsid w:val="70FD0CB3"/>
    <w:rsid w:val="711E0B5E"/>
    <w:rsid w:val="71241069"/>
    <w:rsid w:val="712A5284"/>
    <w:rsid w:val="7130216F"/>
    <w:rsid w:val="713C4FB8"/>
    <w:rsid w:val="71687AE4"/>
    <w:rsid w:val="718F158B"/>
    <w:rsid w:val="71990DB7"/>
    <w:rsid w:val="71A004FF"/>
    <w:rsid w:val="71C50B09"/>
    <w:rsid w:val="71C8684B"/>
    <w:rsid w:val="71D85554"/>
    <w:rsid w:val="71DC40A5"/>
    <w:rsid w:val="71E03B95"/>
    <w:rsid w:val="71E116BB"/>
    <w:rsid w:val="71F615DC"/>
    <w:rsid w:val="71FE04BF"/>
    <w:rsid w:val="720F7FD6"/>
    <w:rsid w:val="72121874"/>
    <w:rsid w:val="7229553C"/>
    <w:rsid w:val="72323CC5"/>
    <w:rsid w:val="724B2077"/>
    <w:rsid w:val="72565C05"/>
    <w:rsid w:val="72691DDC"/>
    <w:rsid w:val="726F4F19"/>
    <w:rsid w:val="726F7FB0"/>
    <w:rsid w:val="72A46970"/>
    <w:rsid w:val="72B50B7E"/>
    <w:rsid w:val="72BB015E"/>
    <w:rsid w:val="72C139C6"/>
    <w:rsid w:val="72C62D8B"/>
    <w:rsid w:val="72D57833"/>
    <w:rsid w:val="72DC25AE"/>
    <w:rsid w:val="72FC49FE"/>
    <w:rsid w:val="732E0930"/>
    <w:rsid w:val="73335F46"/>
    <w:rsid w:val="73373C88"/>
    <w:rsid w:val="733E4E7F"/>
    <w:rsid w:val="7358775B"/>
    <w:rsid w:val="735C7C30"/>
    <w:rsid w:val="73634FBB"/>
    <w:rsid w:val="73661E78"/>
    <w:rsid w:val="73697BBA"/>
    <w:rsid w:val="73775E2C"/>
    <w:rsid w:val="738A025C"/>
    <w:rsid w:val="73B61051"/>
    <w:rsid w:val="73BB6668"/>
    <w:rsid w:val="73C365CB"/>
    <w:rsid w:val="73E95EE8"/>
    <w:rsid w:val="73EA4857"/>
    <w:rsid w:val="73F6144E"/>
    <w:rsid w:val="73F97190"/>
    <w:rsid w:val="74085625"/>
    <w:rsid w:val="74185868"/>
    <w:rsid w:val="742023C5"/>
    <w:rsid w:val="744C3764"/>
    <w:rsid w:val="744E13C7"/>
    <w:rsid w:val="74534AF2"/>
    <w:rsid w:val="74766D79"/>
    <w:rsid w:val="747E57F8"/>
    <w:rsid w:val="748D1686"/>
    <w:rsid w:val="749B55D7"/>
    <w:rsid w:val="74F040EF"/>
    <w:rsid w:val="751122B7"/>
    <w:rsid w:val="75157FF9"/>
    <w:rsid w:val="75360DBC"/>
    <w:rsid w:val="75387844"/>
    <w:rsid w:val="756920F3"/>
    <w:rsid w:val="756B5E6B"/>
    <w:rsid w:val="756D0E75"/>
    <w:rsid w:val="756D573F"/>
    <w:rsid w:val="75736673"/>
    <w:rsid w:val="75750A98"/>
    <w:rsid w:val="757E1A95"/>
    <w:rsid w:val="75866801"/>
    <w:rsid w:val="758807CB"/>
    <w:rsid w:val="759F78C3"/>
    <w:rsid w:val="75BA64AB"/>
    <w:rsid w:val="75E35A02"/>
    <w:rsid w:val="75EA3234"/>
    <w:rsid w:val="76016C28"/>
    <w:rsid w:val="761F414B"/>
    <w:rsid w:val="762027B2"/>
    <w:rsid w:val="7630676D"/>
    <w:rsid w:val="76312C11"/>
    <w:rsid w:val="763224E5"/>
    <w:rsid w:val="76361FD5"/>
    <w:rsid w:val="76505878"/>
    <w:rsid w:val="767945B8"/>
    <w:rsid w:val="76794AF8"/>
    <w:rsid w:val="76850C08"/>
    <w:rsid w:val="768B79D3"/>
    <w:rsid w:val="76AE1106"/>
    <w:rsid w:val="76BB072D"/>
    <w:rsid w:val="76BB24DB"/>
    <w:rsid w:val="76C84BF7"/>
    <w:rsid w:val="76D11CFE"/>
    <w:rsid w:val="76D67314"/>
    <w:rsid w:val="76F701CD"/>
    <w:rsid w:val="76FC6DDC"/>
    <w:rsid w:val="77131F0C"/>
    <w:rsid w:val="772E2227"/>
    <w:rsid w:val="77302EC9"/>
    <w:rsid w:val="7731279D"/>
    <w:rsid w:val="77533CC6"/>
    <w:rsid w:val="775748F9"/>
    <w:rsid w:val="7760252B"/>
    <w:rsid w:val="776058DA"/>
    <w:rsid w:val="77626DFA"/>
    <w:rsid w:val="777032C5"/>
    <w:rsid w:val="777803CC"/>
    <w:rsid w:val="777D1E86"/>
    <w:rsid w:val="779276DF"/>
    <w:rsid w:val="77B70517"/>
    <w:rsid w:val="77E043E3"/>
    <w:rsid w:val="77F40160"/>
    <w:rsid w:val="78342545"/>
    <w:rsid w:val="78412EB3"/>
    <w:rsid w:val="785030F6"/>
    <w:rsid w:val="78550E5C"/>
    <w:rsid w:val="78632E2A"/>
    <w:rsid w:val="78654DF4"/>
    <w:rsid w:val="787B0173"/>
    <w:rsid w:val="787D0429"/>
    <w:rsid w:val="78842115"/>
    <w:rsid w:val="78B24F5D"/>
    <w:rsid w:val="78E82ADF"/>
    <w:rsid w:val="78EF46BD"/>
    <w:rsid w:val="78F56400"/>
    <w:rsid w:val="790740FD"/>
    <w:rsid w:val="791660EE"/>
    <w:rsid w:val="791D122B"/>
    <w:rsid w:val="791F31F5"/>
    <w:rsid w:val="79265756"/>
    <w:rsid w:val="793F5645"/>
    <w:rsid w:val="794511BD"/>
    <w:rsid w:val="79491DE4"/>
    <w:rsid w:val="794A5D98"/>
    <w:rsid w:val="794C38BE"/>
    <w:rsid w:val="794E7636"/>
    <w:rsid w:val="79892D64"/>
    <w:rsid w:val="798E037A"/>
    <w:rsid w:val="79960FDD"/>
    <w:rsid w:val="79997202"/>
    <w:rsid w:val="799E680F"/>
    <w:rsid w:val="79AE52BD"/>
    <w:rsid w:val="79DC10E6"/>
    <w:rsid w:val="79FF5F21"/>
    <w:rsid w:val="7A1B3962"/>
    <w:rsid w:val="7A2111EE"/>
    <w:rsid w:val="7A2F56B9"/>
    <w:rsid w:val="7A3951D4"/>
    <w:rsid w:val="7A6D48C0"/>
    <w:rsid w:val="7A7268AA"/>
    <w:rsid w:val="7A765096"/>
    <w:rsid w:val="7A924929"/>
    <w:rsid w:val="7A974046"/>
    <w:rsid w:val="7AAD65DE"/>
    <w:rsid w:val="7AC53928"/>
    <w:rsid w:val="7AC878BC"/>
    <w:rsid w:val="7ACA7190"/>
    <w:rsid w:val="7ADA3941"/>
    <w:rsid w:val="7AEF309B"/>
    <w:rsid w:val="7AFD2AA0"/>
    <w:rsid w:val="7AFD57B8"/>
    <w:rsid w:val="7AFF1FD8"/>
    <w:rsid w:val="7B007056"/>
    <w:rsid w:val="7B02692A"/>
    <w:rsid w:val="7B204C45"/>
    <w:rsid w:val="7B2368A0"/>
    <w:rsid w:val="7B4A08BF"/>
    <w:rsid w:val="7B5255F9"/>
    <w:rsid w:val="7B5C345E"/>
    <w:rsid w:val="7B705F89"/>
    <w:rsid w:val="7B735A7A"/>
    <w:rsid w:val="7B887EC5"/>
    <w:rsid w:val="7B914152"/>
    <w:rsid w:val="7BAE0860"/>
    <w:rsid w:val="7BB17EFC"/>
    <w:rsid w:val="7BC60184"/>
    <w:rsid w:val="7BD5403F"/>
    <w:rsid w:val="7BE349AD"/>
    <w:rsid w:val="7BE73A8B"/>
    <w:rsid w:val="7BEC3136"/>
    <w:rsid w:val="7BF471EA"/>
    <w:rsid w:val="7C011556"/>
    <w:rsid w:val="7C06244A"/>
    <w:rsid w:val="7C18217D"/>
    <w:rsid w:val="7C3C40BE"/>
    <w:rsid w:val="7C507B69"/>
    <w:rsid w:val="7C596A1E"/>
    <w:rsid w:val="7C5E2286"/>
    <w:rsid w:val="7C701FB9"/>
    <w:rsid w:val="7C817D22"/>
    <w:rsid w:val="7CD24A22"/>
    <w:rsid w:val="7CEA1D6C"/>
    <w:rsid w:val="7CF95D03"/>
    <w:rsid w:val="7D0C3A90"/>
    <w:rsid w:val="7D0E5A5A"/>
    <w:rsid w:val="7D320FEB"/>
    <w:rsid w:val="7D360B0D"/>
    <w:rsid w:val="7D406A1E"/>
    <w:rsid w:val="7D494CE4"/>
    <w:rsid w:val="7D637428"/>
    <w:rsid w:val="7D717D97"/>
    <w:rsid w:val="7D7653AD"/>
    <w:rsid w:val="7D823D52"/>
    <w:rsid w:val="7D851A94"/>
    <w:rsid w:val="7D8E1E41"/>
    <w:rsid w:val="7D90716E"/>
    <w:rsid w:val="7D9121E7"/>
    <w:rsid w:val="7D965A4F"/>
    <w:rsid w:val="7DC73E5B"/>
    <w:rsid w:val="7DCB56F9"/>
    <w:rsid w:val="7DF34C50"/>
    <w:rsid w:val="7E0D00F2"/>
    <w:rsid w:val="7E105802"/>
    <w:rsid w:val="7E1A21DD"/>
    <w:rsid w:val="7E4234E1"/>
    <w:rsid w:val="7E486D4A"/>
    <w:rsid w:val="7E5F22E5"/>
    <w:rsid w:val="7E7C7B82"/>
    <w:rsid w:val="7E960CC1"/>
    <w:rsid w:val="7E9D210A"/>
    <w:rsid w:val="7EA36676"/>
    <w:rsid w:val="7EAD12A3"/>
    <w:rsid w:val="7EB702F4"/>
    <w:rsid w:val="7ED625A7"/>
    <w:rsid w:val="7EDA196C"/>
    <w:rsid w:val="7EE56707"/>
    <w:rsid w:val="7EED715E"/>
    <w:rsid w:val="7EF42A2E"/>
    <w:rsid w:val="7EF46ED2"/>
    <w:rsid w:val="7EFD7F37"/>
    <w:rsid w:val="7F2271E4"/>
    <w:rsid w:val="7F2A2187"/>
    <w:rsid w:val="7F2D7CEE"/>
    <w:rsid w:val="7F313C82"/>
    <w:rsid w:val="7F370CAE"/>
    <w:rsid w:val="7F4A61E1"/>
    <w:rsid w:val="7F596D35"/>
    <w:rsid w:val="7F7207A3"/>
    <w:rsid w:val="7F78158E"/>
    <w:rsid w:val="7F855246"/>
    <w:rsid w:val="7F967F89"/>
    <w:rsid w:val="7F9935D5"/>
    <w:rsid w:val="7FA03DCE"/>
    <w:rsid w:val="7FA51F7A"/>
    <w:rsid w:val="7FB073FA"/>
    <w:rsid w:val="7FB328E9"/>
    <w:rsid w:val="7FD30895"/>
    <w:rsid w:val="7FDD1714"/>
    <w:rsid w:val="7FE231CE"/>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8"/>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2"/>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5"/>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6"/>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List Number 2"/>
    <w:basedOn w:val="1"/>
    <w:semiHidden/>
    <w:unhideWhenUsed/>
    <w:qFormat/>
    <w:uiPriority w:val="99"/>
    <w:pPr>
      <w:numPr>
        <w:ilvl w:val="0"/>
        <w:numId w:val="1"/>
      </w:numPr>
    </w:pPr>
  </w:style>
  <w:style w:type="paragraph" w:styleId="8">
    <w:name w:val="Normal (Web)"/>
    <w:basedOn w:val="1"/>
    <w:qFormat/>
    <w:uiPriority w:val="99"/>
    <w:pPr>
      <w:widowControl/>
      <w:spacing w:before="100" w:beforeAutospacing="1" w:after="100" w:afterAutospacing="1"/>
    </w:pPr>
    <w:rPr>
      <w:rFonts w:cs="宋体"/>
      <w:color w:val="000000"/>
      <w:kern w:val="0"/>
      <w:szCs w:val="24"/>
    </w:rPr>
  </w:style>
  <w:style w:type="paragraph" w:styleId="9">
    <w:name w:val="toc 7"/>
    <w:basedOn w:val="1"/>
    <w:next w:val="1"/>
    <w:unhideWhenUsed/>
    <w:qFormat/>
    <w:uiPriority w:val="39"/>
    <w:pPr>
      <w:ind w:left="1440"/>
    </w:pPr>
    <w:rPr>
      <w:rFonts w:asciiTheme="minorHAnsi" w:eastAsiaTheme="minorHAnsi"/>
      <w:sz w:val="18"/>
      <w:szCs w:val="18"/>
    </w:rPr>
  </w:style>
  <w:style w:type="paragraph" w:styleId="10">
    <w:name w:val="Normal Indent"/>
    <w:basedOn w:val="1"/>
    <w:next w:val="1"/>
    <w:unhideWhenUsed/>
    <w:qFormat/>
    <w:uiPriority w:val="0"/>
    <w:pPr>
      <w:ind w:firstLine="420" w:firstLineChars="200"/>
    </w:pPr>
    <w:rPr>
      <w:rFonts w:ascii="Calibri" w:hAnsi="Calibri"/>
      <w:szCs w:val="22"/>
    </w:rPr>
  </w:style>
  <w:style w:type="paragraph" w:styleId="11">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3"/>
    <w:qFormat/>
    <w:uiPriority w:val="0"/>
    <w:pPr>
      <w:spacing w:line="240" w:lineRule="auto"/>
    </w:pPr>
    <w:rPr>
      <w:rFonts w:eastAsiaTheme="minorEastAsia"/>
      <w:sz w:val="21"/>
      <w:szCs w:val="24"/>
    </w:rPr>
  </w:style>
  <w:style w:type="paragraph" w:styleId="13">
    <w:name w:val="Body Text"/>
    <w:basedOn w:val="1"/>
    <w:link w:val="47"/>
    <w:qFormat/>
    <w:uiPriority w:val="99"/>
    <w:pPr>
      <w:spacing w:after="120" w:line="240" w:lineRule="auto"/>
      <w:jc w:val="both"/>
    </w:pPr>
    <w:rPr>
      <w:rFonts w:eastAsiaTheme="minorEastAsia"/>
      <w:sz w:val="21"/>
      <w:szCs w:val="24"/>
    </w:rPr>
  </w:style>
  <w:style w:type="paragraph" w:styleId="14">
    <w:name w:val="Body Text Indent"/>
    <w:basedOn w:val="1"/>
    <w:unhideWhenUsed/>
    <w:qFormat/>
    <w:uiPriority w:val="0"/>
    <w:pPr>
      <w:ind w:firstLine="630"/>
    </w:pPr>
    <w:rPr>
      <w:rFonts w:eastAsia="仿宋_GB2312"/>
      <w:kern w:val="0"/>
      <w:sz w:val="32"/>
      <w:szCs w:val="20"/>
    </w:rPr>
  </w:style>
  <w:style w:type="paragraph" w:styleId="15">
    <w:name w:val="toc 5"/>
    <w:basedOn w:val="1"/>
    <w:next w:val="1"/>
    <w:unhideWhenUsed/>
    <w:qFormat/>
    <w:uiPriority w:val="39"/>
    <w:pPr>
      <w:ind w:left="960"/>
    </w:pPr>
    <w:rPr>
      <w:rFonts w:asciiTheme="minorHAnsi" w:eastAsiaTheme="minorHAnsi"/>
      <w:sz w:val="18"/>
      <w:szCs w:val="18"/>
    </w:rPr>
  </w:style>
  <w:style w:type="paragraph" w:styleId="16">
    <w:name w:val="toc 3"/>
    <w:basedOn w:val="1"/>
    <w:next w:val="1"/>
    <w:unhideWhenUsed/>
    <w:qFormat/>
    <w:uiPriority w:val="39"/>
    <w:pPr>
      <w:ind w:left="480"/>
    </w:pPr>
    <w:rPr>
      <w:rFonts w:asciiTheme="minorHAnsi" w:eastAsiaTheme="minorHAnsi"/>
      <w:i/>
      <w:iCs/>
      <w:sz w:val="20"/>
      <w:szCs w:val="20"/>
    </w:rPr>
  </w:style>
  <w:style w:type="paragraph" w:styleId="17">
    <w:name w:val="Plain Text"/>
    <w:basedOn w:val="1"/>
    <w:unhideWhenUsed/>
    <w:qFormat/>
    <w:uiPriority w:val="0"/>
    <w:rPr>
      <w:rFonts w:ascii="宋体" w:hAnsi="Courier New"/>
      <w:kern w:val="0"/>
      <w:sz w:val="20"/>
      <w:szCs w:val="20"/>
    </w:rPr>
  </w:style>
  <w:style w:type="paragraph" w:styleId="18">
    <w:name w:val="toc 8"/>
    <w:basedOn w:val="1"/>
    <w:next w:val="1"/>
    <w:unhideWhenUsed/>
    <w:qFormat/>
    <w:uiPriority w:val="39"/>
    <w:pPr>
      <w:ind w:left="1680"/>
    </w:pPr>
    <w:rPr>
      <w:rFonts w:asciiTheme="minorHAnsi" w:eastAsiaTheme="minorHAnsi"/>
      <w:sz w:val="18"/>
      <w:szCs w:val="18"/>
    </w:rPr>
  </w:style>
  <w:style w:type="paragraph" w:styleId="19">
    <w:name w:val="footer"/>
    <w:basedOn w:val="1"/>
    <w:link w:val="41"/>
    <w:unhideWhenUsed/>
    <w:qFormat/>
    <w:uiPriority w:val="99"/>
    <w:pPr>
      <w:tabs>
        <w:tab w:val="center" w:pos="4153"/>
        <w:tab w:val="right" w:pos="8306"/>
      </w:tabs>
      <w:snapToGrid w:val="0"/>
      <w:spacing w:line="240" w:lineRule="auto"/>
    </w:pPr>
    <w:rPr>
      <w:sz w:val="18"/>
      <w:szCs w:val="18"/>
    </w:rPr>
  </w:style>
  <w:style w:type="paragraph" w:styleId="20">
    <w:name w:val="header"/>
    <w:basedOn w:val="1"/>
    <w:link w:val="4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basedOn w:val="1"/>
    <w:next w:val="1"/>
    <w:unhideWhenUsed/>
    <w:qFormat/>
    <w:uiPriority w:val="39"/>
    <w:pPr>
      <w:spacing w:before="120" w:after="120"/>
    </w:pPr>
    <w:rPr>
      <w:rFonts w:asciiTheme="minorHAnsi" w:eastAsiaTheme="minorHAnsi"/>
      <w:b/>
      <w:bCs/>
      <w:caps/>
      <w:sz w:val="20"/>
      <w:szCs w:val="20"/>
    </w:rPr>
  </w:style>
  <w:style w:type="paragraph" w:styleId="22">
    <w:name w:val="toc 4"/>
    <w:basedOn w:val="1"/>
    <w:next w:val="1"/>
    <w:unhideWhenUsed/>
    <w:qFormat/>
    <w:uiPriority w:val="39"/>
    <w:pPr>
      <w:ind w:left="720"/>
    </w:pPr>
    <w:rPr>
      <w:rFonts w:asciiTheme="minorHAnsi" w:eastAsiaTheme="minorHAnsi"/>
      <w:sz w:val="18"/>
      <w:szCs w:val="18"/>
    </w:rPr>
  </w:style>
  <w:style w:type="paragraph" w:styleId="23">
    <w:name w:val="footnote text"/>
    <w:basedOn w:val="1"/>
    <w:qFormat/>
    <w:uiPriority w:val="0"/>
    <w:pPr>
      <w:widowControl/>
      <w:jc w:val="left"/>
    </w:pPr>
    <w:rPr>
      <w:kern w:val="0"/>
      <w:sz w:val="20"/>
      <w:szCs w:val="20"/>
      <w:lang w:val="de-DE"/>
    </w:rPr>
  </w:style>
  <w:style w:type="paragraph" w:styleId="24">
    <w:name w:val="toc 6"/>
    <w:basedOn w:val="1"/>
    <w:next w:val="1"/>
    <w:unhideWhenUsed/>
    <w:qFormat/>
    <w:uiPriority w:val="39"/>
    <w:pPr>
      <w:ind w:left="1200"/>
    </w:pPr>
    <w:rPr>
      <w:rFonts w:asciiTheme="minorHAnsi" w:eastAsiaTheme="minorHAnsi"/>
      <w:sz w:val="18"/>
      <w:szCs w:val="18"/>
    </w:rPr>
  </w:style>
  <w:style w:type="paragraph" w:styleId="25">
    <w:name w:val="toc 2"/>
    <w:basedOn w:val="1"/>
    <w:next w:val="1"/>
    <w:unhideWhenUsed/>
    <w:qFormat/>
    <w:uiPriority w:val="39"/>
    <w:pPr>
      <w:ind w:left="240"/>
    </w:pPr>
    <w:rPr>
      <w:rFonts w:asciiTheme="minorHAnsi" w:eastAsiaTheme="minorHAnsi"/>
      <w:smallCaps/>
      <w:sz w:val="20"/>
      <w:szCs w:val="20"/>
    </w:rPr>
  </w:style>
  <w:style w:type="paragraph" w:styleId="26">
    <w:name w:val="toc 9"/>
    <w:basedOn w:val="1"/>
    <w:next w:val="1"/>
    <w:unhideWhenUsed/>
    <w:qFormat/>
    <w:uiPriority w:val="39"/>
    <w:pPr>
      <w:ind w:left="1920"/>
    </w:pPr>
    <w:rPr>
      <w:rFonts w:asciiTheme="minorHAnsi" w:eastAsiaTheme="minorHAnsi"/>
      <w:sz w:val="18"/>
      <w:szCs w:val="18"/>
    </w:rPr>
  </w:style>
  <w:style w:type="paragraph" w:styleId="27">
    <w:name w:val="annotation subject"/>
    <w:basedOn w:val="12"/>
    <w:next w:val="12"/>
    <w:link w:val="51"/>
    <w:semiHidden/>
    <w:unhideWhenUsed/>
    <w:qFormat/>
    <w:uiPriority w:val="99"/>
    <w:pPr>
      <w:spacing w:line="360" w:lineRule="auto"/>
    </w:pPr>
    <w:rPr>
      <w:rFonts w:eastAsia="宋体"/>
      <w:b/>
      <w:bCs/>
      <w:sz w:val="24"/>
      <w:szCs w:val="22"/>
    </w:rPr>
  </w:style>
  <w:style w:type="paragraph" w:styleId="28">
    <w:name w:val="Body Text First Indent 2"/>
    <w:basedOn w:val="14"/>
    <w:next w:val="1"/>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bCs/>
    </w:rPr>
  </w:style>
  <w:style w:type="character" w:styleId="33">
    <w:name w:val="Hyperlink"/>
    <w:basedOn w:val="31"/>
    <w:unhideWhenUsed/>
    <w:qFormat/>
    <w:uiPriority w:val="99"/>
    <w:rPr>
      <w:color w:val="0563C1" w:themeColor="hyperlink"/>
      <w:u w:val="single"/>
      <w14:textFill>
        <w14:solidFill>
          <w14:schemeClr w14:val="hlink"/>
        </w14:solidFill>
      </w14:textFill>
    </w:rPr>
  </w:style>
  <w:style w:type="character" w:styleId="34">
    <w:name w:val="annotation reference"/>
    <w:basedOn w:val="31"/>
    <w:qFormat/>
    <w:uiPriority w:val="0"/>
    <w:rPr>
      <w:sz w:val="21"/>
      <w:szCs w:val="21"/>
    </w:rPr>
  </w:style>
  <w:style w:type="character" w:styleId="35">
    <w:name w:val="footnote reference"/>
    <w:basedOn w:val="31"/>
    <w:unhideWhenUsed/>
    <w:qFormat/>
    <w:uiPriority w:val="99"/>
    <w:rPr>
      <w:vertAlign w:val="superscript"/>
    </w:rPr>
  </w:style>
  <w:style w:type="paragraph" w:customStyle="1" w:styleId="3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7">
    <w:name w:val="正文缩进2"/>
    <w:basedOn w:val="1"/>
    <w:qFormat/>
    <w:uiPriority w:val="0"/>
    <w:pPr>
      <w:wordWrap w:val="0"/>
      <w:ind w:firstLine="480"/>
    </w:pPr>
    <w:rPr>
      <w:iCs/>
      <w:shd w:val="clear" w:color="auto" w:fill="FFFFFF" w:themeFill="background1"/>
      <w:lang w:val="zh-CN"/>
    </w:rPr>
  </w:style>
  <w:style w:type="character" w:customStyle="1" w:styleId="38">
    <w:name w:val="标题 1 字符"/>
    <w:basedOn w:val="31"/>
    <w:link w:val="2"/>
    <w:qFormat/>
    <w:uiPriority w:val="9"/>
    <w:rPr>
      <w:rFonts w:eastAsia="黑体"/>
      <w:b/>
      <w:bCs/>
      <w:kern w:val="44"/>
      <w:sz w:val="44"/>
      <w:szCs w:val="44"/>
    </w:rPr>
  </w:style>
  <w:style w:type="paragraph" w:styleId="39">
    <w:name w:val="List Paragraph"/>
    <w:basedOn w:val="1"/>
    <w:qFormat/>
    <w:uiPriority w:val="34"/>
    <w:pPr>
      <w:numPr>
        <w:ilvl w:val="0"/>
        <w:numId w:val="2"/>
      </w:numPr>
    </w:pPr>
  </w:style>
  <w:style w:type="character" w:customStyle="1" w:styleId="40">
    <w:name w:val="页眉 字符"/>
    <w:basedOn w:val="31"/>
    <w:link w:val="20"/>
    <w:qFormat/>
    <w:uiPriority w:val="99"/>
    <w:rPr>
      <w:rFonts w:eastAsia="宋体"/>
      <w:sz w:val="18"/>
      <w:szCs w:val="18"/>
    </w:rPr>
  </w:style>
  <w:style w:type="character" w:customStyle="1" w:styleId="41">
    <w:name w:val="页脚 字符"/>
    <w:basedOn w:val="31"/>
    <w:link w:val="19"/>
    <w:qFormat/>
    <w:uiPriority w:val="99"/>
    <w:rPr>
      <w:rFonts w:eastAsia="宋体"/>
      <w:sz w:val="18"/>
      <w:szCs w:val="18"/>
    </w:rPr>
  </w:style>
  <w:style w:type="character" w:customStyle="1" w:styleId="42">
    <w:name w:val="标题 2 字符"/>
    <w:basedOn w:val="31"/>
    <w:link w:val="3"/>
    <w:qFormat/>
    <w:uiPriority w:val="0"/>
    <w:rPr>
      <w:rFonts w:eastAsia="宋体" w:asciiTheme="majorHAnsi" w:hAnsiTheme="majorHAnsi" w:cstheme="majorBidi"/>
      <w:b/>
      <w:bCs/>
      <w:sz w:val="32"/>
      <w:szCs w:val="32"/>
    </w:rPr>
  </w:style>
  <w:style w:type="character" w:customStyle="1" w:styleId="43">
    <w:name w:val="批注文字 字符"/>
    <w:basedOn w:val="31"/>
    <w:link w:val="12"/>
    <w:qFormat/>
    <w:uiPriority w:val="0"/>
    <w:rPr>
      <w:szCs w:val="24"/>
    </w:rPr>
  </w:style>
  <w:style w:type="paragraph" w:customStyle="1" w:styleId="44">
    <w:name w:val="Char1 Char Char Char"/>
    <w:basedOn w:val="1"/>
    <w:qFormat/>
    <w:uiPriority w:val="0"/>
    <w:pPr>
      <w:adjustRightInd w:val="0"/>
      <w:jc w:val="both"/>
    </w:pPr>
    <w:rPr>
      <w:rFonts w:ascii="Times New Roman" w:hAnsi="Times New Roman" w:cs="Times New Roman"/>
      <w:kern w:val="0"/>
      <w:szCs w:val="20"/>
    </w:rPr>
  </w:style>
  <w:style w:type="character" w:customStyle="1" w:styleId="45">
    <w:name w:val="标题 3 字符"/>
    <w:basedOn w:val="31"/>
    <w:link w:val="4"/>
    <w:qFormat/>
    <w:uiPriority w:val="9"/>
    <w:rPr>
      <w:rFonts w:eastAsia="宋体"/>
      <w:b/>
      <w:bCs/>
      <w:sz w:val="30"/>
      <w:szCs w:val="32"/>
    </w:rPr>
  </w:style>
  <w:style w:type="character" w:customStyle="1" w:styleId="46">
    <w:name w:val="标题 4 字符"/>
    <w:basedOn w:val="31"/>
    <w:link w:val="5"/>
    <w:qFormat/>
    <w:uiPriority w:val="9"/>
    <w:rPr>
      <w:rFonts w:eastAsia="宋体" w:asciiTheme="majorHAnsi" w:hAnsiTheme="majorHAnsi" w:cstheme="majorBidi"/>
      <w:b/>
      <w:bCs/>
      <w:sz w:val="28"/>
      <w:szCs w:val="28"/>
    </w:rPr>
  </w:style>
  <w:style w:type="character" w:customStyle="1" w:styleId="47">
    <w:name w:val="正文文本 字符"/>
    <w:basedOn w:val="31"/>
    <w:link w:val="13"/>
    <w:qFormat/>
    <w:uiPriority w:val="99"/>
    <w:rPr>
      <w:szCs w:val="24"/>
    </w:rPr>
  </w:style>
  <w:style w:type="paragraph" w:customStyle="1" w:styleId="48">
    <w:name w:val="样式"/>
    <w:basedOn w:val="1"/>
    <w:qFormat/>
    <w:uiPriority w:val="0"/>
    <w:pPr>
      <w:autoSpaceDE w:val="0"/>
      <w:autoSpaceDN w:val="0"/>
      <w:snapToGrid w:val="0"/>
      <w:spacing w:before="120" w:after="120"/>
      <w:jc w:val="both"/>
    </w:pPr>
    <w:rPr>
      <w:rFonts w:hAnsi="Times New Roman" w:cs="Times New Roman"/>
      <w:kern w:val="0"/>
      <w:szCs w:val="20"/>
    </w:rPr>
  </w:style>
  <w:style w:type="paragraph" w:styleId="49">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0">
    <w:name w:val="未处理的提及1"/>
    <w:basedOn w:val="31"/>
    <w:semiHidden/>
    <w:unhideWhenUsed/>
    <w:qFormat/>
    <w:uiPriority w:val="99"/>
    <w:rPr>
      <w:color w:val="605E5C"/>
      <w:shd w:val="clear" w:color="auto" w:fill="E1DFDD"/>
    </w:rPr>
  </w:style>
  <w:style w:type="character" w:customStyle="1" w:styleId="51">
    <w:name w:val="批注主题 字符"/>
    <w:basedOn w:val="43"/>
    <w:link w:val="27"/>
    <w:semiHidden/>
    <w:qFormat/>
    <w:uiPriority w:val="99"/>
    <w:rPr>
      <w:rFonts w:ascii="宋体" w:hAnsi="宋体" w:cstheme="minorBidi"/>
      <w:b/>
      <w:bCs/>
      <w:kern w:val="2"/>
      <w:sz w:val="24"/>
      <w:szCs w:val="22"/>
    </w:rPr>
  </w:style>
  <w:style w:type="character" w:customStyle="1" w:styleId="52">
    <w:name w:val="未处理的提及2"/>
    <w:basedOn w:val="31"/>
    <w:semiHidden/>
    <w:unhideWhenUsed/>
    <w:qFormat/>
    <w:uiPriority w:val="99"/>
    <w:rPr>
      <w:color w:val="605E5C"/>
      <w:shd w:val="clear" w:color="auto" w:fill="E1DFDD"/>
    </w:rPr>
  </w:style>
  <w:style w:type="paragraph" w:customStyle="1" w:styleId="53">
    <w:name w:val="正文_2"/>
    <w:qFormat/>
    <w:uiPriority w:val="0"/>
    <w:pPr>
      <w:widowControl w:val="0"/>
      <w:jc w:val="both"/>
    </w:pPr>
    <w:rPr>
      <w:rFonts w:ascii="Calibri" w:hAnsi="Calibri" w:eastAsia="宋体" w:cs="Times New Roman"/>
      <w:lang w:val="en-US" w:eastAsia="zh-CN" w:bidi="ar-SA"/>
    </w:rPr>
  </w:style>
  <w:style w:type="paragraph" w:customStyle="1" w:styleId="54">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5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正文_2_0_0"/>
    <w:qFormat/>
    <w:uiPriority w:val="99"/>
    <w:pPr>
      <w:widowControl w:val="0"/>
      <w:jc w:val="both"/>
    </w:pPr>
    <w:rPr>
      <w:rFonts w:ascii="Calibri" w:hAnsi="Calibri" w:eastAsia="宋体" w:cs="Times New Roman"/>
      <w:lang w:val="en-US" w:eastAsia="zh-CN" w:bidi="ar-SA"/>
    </w:rPr>
  </w:style>
  <w:style w:type="paragraph" w:customStyle="1" w:styleId="57">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8">
    <w:name w:val="Normal Indent1"/>
    <w:basedOn w:val="1"/>
    <w:qFormat/>
    <w:uiPriority w:val="0"/>
    <w:pPr>
      <w:ind w:firstLine="420" w:firstLineChars="200"/>
    </w:pPr>
  </w:style>
  <w:style w:type="paragraph" w:customStyle="1" w:styleId="59">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0">
    <w:name w:val="Normal_22"/>
    <w:qFormat/>
    <w:uiPriority w:val="0"/>
    <w:rPr>
      <w:rFonts w:ascii="Times New Roman" w:hAnsi="Times New Roman" w:eastAsia="Times New Roman" w:cs="Times New Roman"/>
      <w:sz w:val="24"/>
      <w:szCs w:val="24"/>
      <w:lang w:bidi="ar-SA"/>
    </w:rPr>
  </w:style>
  <w:style w:type="paragraph" w:customStyle="1" w:styleId="61">
    <w:name w:val="正文_6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2">
    <w:name w:val="正文_0_0_0 Char"/>
    <w:link w:val="63"/>
    <w:qFormat/>
    <w:locked/>
    <w:uiPriority w:val="0"/>
    <w:rPr>
      <w:rFonts w:ascii="Calibri" w:hAnsi="Calibri" w:cs="Calibri"/>
      <w:kern w:val="2"/>
      <w:sz w:val="28"/>
      <w:szCs w:val="22"/>
      <w:lang w:val="en-US" w:eastAsia="zh-CN" w:bidi="ar-SA"/>
    </w:rPr>
  </w:style>
  <w:style w:type="paragraph" w:customStyle="1" w:styleId="63">
    <w:name w:val="正文_0_0_0_0_0"/>
    <w:link w:val="62"/>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4">
    <w:name w:val="正文文本_0_1"/>
    <w:basedOn w:val="65"/>
    <w:qFormat/>
    <w:uiPriority w:val="99"/>
    <w:pPr>
      <w:spacing w:after="120"/>
    </w:pPr>
    <w:rPr>
      <w:rFonts w:ascii="Calibri" w:hAnsi="Calibri" w:eastAsia="宋体"/>
      <w:kern w:val="0"/>
      <w:sz w:val="24"/>
      <w:szCs w:val="20"/>
    </w:rPr>
  </w:style>
  <w:style w:type="paragraph" w:customStyle="1" w:styleId="65">
    <w:name w:val="正文_6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Table Paragraph_1"/>
    <w:basedOn w:val="65"/>
    <w:qFormat/>
    <w:uiPriority w:val="0"/>
    <w:pPr>
      <w:jc w:val="left"/>
    </w:pPr>
    <w:rPr>
      <w:rFonts w:ascii="Calibri" w:hAnsi="Calibri" w:eastAsia="宋体"/>
      <w:kern w:val="0"/>
      <w:sz w:val="22"/>
      <w:lang w:eastAsia="en-US"/>
    </w:rPr>
  </w:style>
  <w:style w:type="paragraph" w:customStyle="1" w:styleId="67">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正文1"/>
    <w:qFormat/>
    <w:uiPriority w:val="0"/>
    <w:pPr>
      <w:widowControl w:val="0"/>
      <w:jc w:val="both"/>
    </w:pPr>
    <w:rPr>
      <w:rFonts w:ascii="Calibri" w:hAnsi="Calibri" w:eastAsia="宋体" w:cs="Times New Roman"/>
      <w:lang w:val="en-US" w:eastAsia="zh-CN" w:bidi="ar-SA"/>
    </w:rPr>
  </w:style>
  <w:style w:type="paragraph" w:customStyle="1" w:styleId="69">
    <w:name w:val="列出段落1"/>
    <w:basedOn w:val="1"/>
    <w:qFormat/>
    <w:uiPriority w:val="0"/>
    <w:pPr>
      <w:ind w:firstLine="420" w:firstLineChars="200"/>
    </w:pPr>
    <w:rPr>
      <w:szCs w:val="21"/>
    </w:rPr>
  </w:style>
  <w:style w:type="paragraph" w:customStyle="1" w:styleId="70">
    <w:name w:val="xl31"/>
    <w:basedOn w:val="1"/>
    <w:qFormat/>
    <w:uiPriority w:val="0"/>
    <w:pPr>
      <w:widowControl/>
      <w:spacing w:before="100" w:beforeAutospacing="1" w:after="100" w:afterAutospacing="1"/>
      <w:jc w:val="center"/>
    </w:pPr>
    <w:rPr>
      <w:b/>
      <w:bCs/>
      <w:kern w:val="0"/>
      <w:sz w:val="28"/>
      <w:szCs w:val="28"/>
    </w:rPr>
  </w:style>
  <w:style w:type="paragraph" w:customStyle="1" w:styleId="71">
    <w:name w:val="正文2"/>
    <w:basedOn w:val="1"/>
    <w:qFormat/>
    <w:uiPriority w:val="0"/>
    <w:pPr>
      <w:spacing w:before="156" w:line="360" w:lineRule="auto"/>
      <w:ind w:firstLine="510" w:firstLineChars="200"/>
    </w:pPr>
    <w:rPr>
      <w:sz w:val="24"/>
      <w:szCs w:val="20"/>
    </w:rPr>
  </w:style>
  <w:style w:type="paragraph" w:customStyle="1" w:styleId="72">
    <w:name w:val="Char Char Char Char Char Char Char1 Char"/>
    <w:basedOn w:val="1"/>
    <w:qFormat/>
    <w:uiPriority w:val="0"/>
    <w:rPr>
      <w:rFonts w:ascii="Arial" w:hAnsi="Arial" w:eastAsia="宋体" w:cs="Arial"/>
      <w:sz w:val="24"/>
    </w:rPr>
  </w:style>
  <w:style w:type="paragraph" w:customStyle="1" w:styleId="73">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4">
    <w:name w:val="Table Text"/>
    <w:basedOn w:val="1"/>
    <w:semiHidden/>
    <w:qFormat/>
    <w:uiPriority w:val="0"/>
    <w:rPr>
      <w:rFonts w:ascii="宋体" w:hAnsi="宋体" w:eastAsia="宋体" w:cs="宋体"/>
      <w:sz w:val="24"/>
      <w:szCs w:val="24"/>
    </w:rPr>
  </w:style>
  <w:style w:type="paragraph" w:customStyle="1" w:styleId="75">
    <w:name w:val="表格"/>
    <w:basedOn w:val="1"/>
    <w:qFormat/>
    <w:uiPriority w:val="0"/>
    <w:pPr>
      <w:spacing w:line="240" w:lineRule="auto"/>
      <w:ind w:firstLine="0" w:firstLineChars="0"/>
    </w:pPr>
    <w:rPr>
      <w:rFonts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26190</Words>
  <Characters>27972</Characters>
  <Lines>328</Lines>
  <Paragraphs>92</Paragraphs>
  <TotalTime>42</TotalTime>
  <ScaleCrop>false</ScaleCrop>
  <LinksUpToDate>false</LinksUpToDate>
  <CharactersWithSpaces>28371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李琳</cp:lastModifiedBy>
  <cp:lastPrinted>2024-12-28T09:34:00Z</cp:lastPrinted>
  <dcterms:modified xsi:type="dcterms:W3CDTF">2026-05-25T09:43:39Z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DD691E204B024EBE8C17E5499CA95F27_13</vt:lpwstr>
  </property>
  <property fmtid="{D5CDD505-2E9C-101B-9397-08002B2CF9AE}" pid="4" name="KSOTemplateDocerSaveRecord">
    <vt:lpwstr>eyJoZGlkIjoiOTllYzc3MDk3N2Q1YjEyNDIzODcwNGNlMDVmOGQyN2MiLCJ1c2VySWQiOiIyNDkzMTc4NzkifQ==</vt:lpwstr>
  </property>
</Properties>
</file>