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FBC8D">
      <w:pPr>
        <w:adjustRightInd w:val="0"/>
        <w:snapToGrid w:val="0"/>
        <w:spacing w:line="360" w:lineRule="auto"/>
        <w:jc w:val="center"/>
        <w:rPr>
          <w:rFonts w:hint="eastAsia" w:ascii="宋体" w:hAnsi="宋体" w:eastAsia="宋体" w:cs="宋体"/>
          <w:b w:val="0"/>
          <w:bCs/>
          <w:color w:val="auto"/>
          <w:sz w:val="24"/>
        </w:rPr>
      </w:pPr>
      <w:r>
        <w:rPr>
          <w:rFonts w:hint="eastAsia" w:ascii="宋体" w:hAnsi="宋体" w:eastAsia="宋体" w:cs="宋体"/>
          <w:b/>
          <w:bCs w:val="0"/>
          <w:color w:val="auto"/>
          <w:sz w:val="48"/>
          <w:szCs w:val="48"/>
          <w:lang w:val="en-US" w:eastAsia="zh-CN"/>
        </w:rPr>
        <w:t>实验室设备维护保养服务项目</w:t>
      </w:r>
    </w:p>
    <w:p w14:paraId="38EA616B">
      <w:pPr>
        <w:adjustRightInd w:val="0"/>
        <w:snapToGrid w:val="0"/>
        <w:spacing w:line="360" w:lineRule="auto"/>
        <w:jc w:val="center"/>
        <w:rPr>
          <w:rFonts w:hint="eastAsia" w:ascii="宋体" w:hAnsi="宋体" w:eastAsia="宋体" w:cs="宋体"/>
          <w:b w:val="0"/>
          <w:bCs/>
          <w:color w:val="auto"/>
          <w:sz w:val="24"/>
        </w:rPr>
      </w:pPr>
    </w:p>
    <w:p w14:paraId="6682E851">
      <w:pPr>
        <w:adjustRightInd w:val="0"/>
        <w:snapToGrid w:val="0"/>
        <w:spacing w:line="360" w:lineRule="auto"/>
        <w:jc w:val="center"/>
        <w:rPr>
          <w:rFonts w:hint="eastAsia" w:ascii="宋体" w:hAnsi="宋体" w:eastAsia="宋体" w:cs="宋体"/>
          <w:b w:val="0"/>
          <w:bCs/>
          <w:color w:val="auto"/>
          <w:sz w:val="24"/>
        </w:rPr>
      </w:pPr>
    </w:p>
    <w:p w14:paraId="57E65565">
      <w:pPr>
        <w:adjustRightInd w:val="0"/>
        <w:snapToGrid w:val="0"/>
        <w:spacing w:line="360" w:lineRule="auto"/>
        <w:jc w:val="center"/>
        <w:rPr>
          <w:rFonts w:hint="eastAsia" w:ascii="宋体" w:hAnsi="宋体" w:eastAsia="宋体" w:cs="宋体"/>
          <w:b w:val="0"/>
          <w:bCs/>
          <w:color w:val="auto"/>
          <w:sz w:val="24"/>
        </w:rPr>
      </w:pPr>
    </w:p>
    <w:p w14:paraId="240B82B5">
      <w:pPr>
        <w:adjustRightInd w:val="0"/>
        <w:snapToGrid w:val="0"/>
        <w:spacing w:line="360" w:lineRule="auto"/>
        <w:jc w:val="center"/>
        <w:rPr>
          <w:rFonts w:hint="eastAsia" w:ascii="宋体" w:hAnsi="宋体" w:eastAsia="宋体" w:cs="宋体"/>
          <w:b w:val="0"/>
          <w:bCs/>
          <w:color w:val="auto"/>
          <w:sz w:val="24"/>
        </w:rPr>
      </w:pPr>
    </w:p>
    <w:p w14:paraId="03B314D7">
      <w:pPr>
        <w:adjustRightInd w:val="0"/>
        <w:snapToGrid w:val="0"/>
        <w:spacing w:line="360" w:lineRule="auto"/>
        <w:jc w:val="center"/>
        <w:rPr>
          <w:rFonts w:hint="eastAsia" w:ascii="宋体" w:hAnsi="宋体" w:eastAsia="宋体" w:cs="宋体"/>
          <w:b w:val="0"/>
          <w:bCs/>
          <w:color w:val="auto"/>
          <w:sz w:val="24"/>
        </w:rPr>
      </w:pPr>
    </w:p>
    <w:p w14:paraId="17B9D0AA">
      <w:pPr>
        <w:adjustRightInd w:val="0"/>
        <w:snapToGrid w:val="0"/>
        <w:spacing w:line="360" w:lineRule="auto"/>
        <w:rPr>
          <w:rFonts w:hint="eastAsia" w:ascii="宋体" w:hAnsi="宋体" w:eastAsia="宋体" w:cs="宋体"/>
          <w:b w:val="0"/>
          <w:bCs/>
          <w:color w:val="auto"/>
          <w:sz w:val="24"/>
        </w:rPr>
      </w:pPr>
    </w:p>
    <w:p w14:paraId="3317ADA9">
      <w:pPr>
        <w:adjustRightInd w:val="0"/>
        <w:snapToGrid w:val="0"/>
        <w:spacing w:line="360" w:lineRule="auto"/>
        <w:jc w:val="center"/>
        <w:rPr>
          <w:rFonts w:hint="eastAsia" w:ascii="宋体" w:hAnsi="宋体" w:eastAsia="宋体" w:cs="宋体"/>
          <w:b/>
          <w:i w:val="0"/>
          <w:iCs w:val="0"/>
          <w:color w:val="auto"/>
          <w:sz w:val="60"/>
          <w:szCs w:val="60"/>
          <w:highlight w:val="none"/>
          <w:lang w:val="en-US" w:eastAsia="zh-CN"/>
        </w:rPr>
      </w:pPr>
      <w:r>
        <w:rPr>
          <w:rFonts w:hint="eastAsia" w:ascii="宋体" w:hAnsi="宋体" w:eastAsia="宋体" w:cs="宋体"/>
          <w:b/>
          <w:bCs w:val="0"/>
          <w:color w:val="auto"/>
          <w:sz w:val="48"/>
          <w:szCs w:val="48"/>
          <w:lang w:val="en-US" w:eastAsia="zh-CN"/>
        </w:rPr>
        <w:t>竞争性磋商文件</w:t>
      </w:r>
    </w:p>
    <w:p w14:paraId="5E747451">
      <w:pPr>
        <w:adjustRightInd w:val="0"/>
        <w:snapToGrid w:val="0"/>
        <w:spacing w:line="360" w:lineRule="auto"/>
        <w:jc w:val="center"/>
        <w:rPr>
          <w:rFonts w:hint="eastAsia" w:ascii="宋体" w:hAnsi="宋体" w:eastAsia="宋体" w:cs="宋体"/>
          <w:b w:val="0"/>
          <w:bCs/>
          <w:color w:val="auto"/>
          <w:sz w:val="24"/>
        </w:rPr>
      </w:pPr>
    </w:p>
    <w:p w14:paraId="7214A3EB">
      <w:pPr>
        <w:adjustRightInd w:val="0"/>
        <w:snapToGrid w:val="0"/>
        <w:spacing w:line="360" w:lineRule="auto"/>
        <w:jc w:val="center"/>
        <w:rPr>
          <w:rFonts w:hint="eastAsia" w:ascii="宋体" w:hAnsi="宋体" w:eastAsia="宋体" w:cs="宋体"/>
          <w:b w:val="0"/>
          <w:bCs/>
          <w:color w:val="auto"/>
          <w:sz w:val="24"/>
        </w:rPr>
      </w:pPr>
    </w:p>
    <w:p w14:paraId="0D0305A1">
      <w:pPr>
        <w:adjustRightInd w:val="0"/>
        <w:snapToGrid w:val="0"/>
        <w:spacing w:line="360" w:lineRule="auto"/>
        <w:jc w:val="center"/>
        <w:rPr>
          <w:rFonts w:hint="eastAsia" w:ascii="宋体" w:hAnsi="宋体" w:eastAsia="宋体" w:cs="宋体"/>
          <w:b w:val="0"/>
          <w:bCs/>
          <w:color w:val="auto"/>
          <w:sz w:val="24"/>
        </w:rPr>
      </w:pPr>
    </w:p>
    <w:p w14:paraId="5F12AB4C">
      <w:pPr>
        <w:adjustRightInd w:val="0"/>
        <w:snapToGrid w:val="0"/>
        <w:spacing w:line="360" w:lineRule="auto"/>
        <w:jc w:val="center"/>
        <w:rPr>
          <w:rFonts w:hint="eastAsia" w:ascii="宋体" w:hAnsi="宋体" w:eastAsia="宋体" w:cs="宋体"/>
          <w:b w:val="0"/>
          <w:bCs/>
          <w:color w:val="auto"/>
          <w:sz w:val="24"/>
        </w:rPr>
      </w:pPr>
    </w:p>
    <w:p w14:paraId="52EB2713">
      <w:pPr>
        <w:adjustRightInd w:val="0"/>
        <w:snapToGrid w:val="0"/>
        <w:spacing w:line="360" w:lineRule="auto"/>
        <w:jc w:val="center"/>
        <w:rPr>
          <w:rFonts w:hint="eastAsia" w:ascii="宋体" w:hAnsi="宋体" w:eastAsia="宋体" w:cs="宋体"/>
          <w:b w:val="0"/>
          <w:bCs/>
          <w:color w:val="auto"/>
          <w:sz w:val="24"/>
        </w:rPr>
      </w:pPr>
    </w:p>
    <w:p w14:paraId="665AC024">
      <w:pPr>
        <w:adjustRightInd w:val="0"/>
        <w:snapToGrid w:val="0"/>
        <w:spacing w:line="360" w:lineRule="auto"/>
        <w:jc w:val="center"/>
        <w:rPr>
          <w:rFonts w:hint="eastAsia" w:ascii="宋体" w:hAnsi="宋体" w:eastAsia="宋体" w:cs="宋体"/>
          <w:b w:val="0"/>
          <w:bCs/>
          <w:color w:val="auto"/>
          <w:sz w:val="24"/>
        </w:rPr>
      </w:pPr>
    </w:p>
    <w:p w14:paraId="290EA460">
      <w:pPr>
        <w:adjustRightInd w:val="0"/>
        <w:snapToGrid w:val="0"/>
        <w:spacing w:line="360" w:lineRule="auto"/>
        <w:jc w:val="center"/>
        <w:rPr>
          <w:rFonts w:hint="eastAsia" w:ascii="宋体" w:hAnsi="宋体" w:eastAsia="宋体" w:cs="宋体"/>
          <w:b w:val="0"/>
          <w:bCs/>
          <w:color w:val="auto"/>
          <w:sz w:val="24"/>
        </w:rPr>
      </w:pPr>
    </w:p>
    <w:p w14:paraId="67A39460">
      <w:pPr>
        <w:adjustRightInd w:val="0"/>
        <w:snapToGrid w:val="0"/>
        <w:spacing w:line="360" w:lineRule="auto"/>
        <w:jc w:val="center"/>
        <w:rPr>
          <w:rFonts w:hint="eastAsia" w:ascii="宋体" w:hAnsi="宋体" w:eastAsia="宋体" w:cs="宋体"/>
          <w:b w:val="0"/>
          <w:bCs/>
          <w:color w:val="auto"/>
          <w:sz w:val="24"/>
        </w:rPr>
      </w:pPr>
    </w:p>
    <w:p w14:paraId="10BCE19A">
      <w:pPr>
        <w:adjustRightInd w:val="0"/>
        <w:snapToGrid w:val="0"/>
        <w:spacing w:line="360" w:lineRule="auto"/>
        <w:jc w:val="center"/>
        <w:rPr>
          <w:rFonts w:hint="eastAsia" w:ascii="宋体" w:hAnsi="宋体" w:eastAsia="宋体" w:cs="宋体"/>
          <w:b w:val="0"/>
          <w:bCs/>
          <w:color w:val="auto"/>
          <w:sz w:val="24"/>
        </w:rPr>
      </w:pPr>
    </w:p>
    <w:p w14:paraId="1953253D">
      <w:pPr>
        <w:adjustRightInd w:val="0"/>
        <w:snapToGrid w:val="0"/>
        <w:spacing w:line="360" w:lineRule="auto"/>
        <w:jc w:val="center"/>
        <w:rPr>
          <w:rFonts w:hint="eastAsia" w:ascii="宋体" w:hAnsi="宋体" w:eastAsia="宋体" w:cs="宋体"/>
          <w:b w:val="0"/>
          <w:bCs/>
          <w:color w:val="auto"/>
          <w:sz w:val="24"/>
        </w:rPr>
      </w:pPr>
    </w:p>
    <w:p w14:paraId="3629DDA8">
      <w:pPr>
        <w:adjustRightInd w:val="0"/>
        <w:snapToGrid w:val="0"/>
        <w:spacing w:line="360" w:lineRule="auto"/>
        <w:jc w:val="center"/>
        <w:rPr>
          <w:rFonts w:hint="eastAsia" w:ascii="宋体" w:hAnsi="宋体" w:eastAsia="宋体" w:cs="宋体"/>
          <w:b w:val="0"/>
          <w:bCs/>
          <w:color w:val="auto"/>
          <w:sz w:val="24"/>
        </w:rPr>
      </w:pPr>
    </w:p>
    <w:p w14:paraId="2BD50DC7">
      <w:pPr>
        <w:adjustRightInd w:val="0"/>
        <w:snapToGrid w:val="0"/>
        <w:spacing w:line="360" w:lineRule="auto"/>
        <w:ind w:firstLine="480" w:firstLineChars="150"/>
        <w:rPr>
          <w:rFonts w:hint="default"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rPr>
        <w:t>采 购 人：</w:t>
      </w:r>
      <w:r>
        <w:rPr>
          <w:rFonts w:hint="eastAsia" w:ascii="宋体" w:hAnsi="宋体" w:eastAsia="宋体" w:cs="宋体"/>
          <w:b w:val="0"/>
          <w:bCs/>
          <w:color w:val="auto"/>
          <w:sz w:val="32"/>
          <w:szCs w:val="32"/>
          <w:lang w:val="en-US" w:eastAsia="zh-CN"/>
        </w:rPr>
        <w:t>阿克苏地区公安局</w:t>
      </w:r>
    </w:p>
    <w:p w14:paraId="5DF9C9F0">
      <w:pPr>
        <w:adjustRightInd w:val="0"/>
        <w:snapToGrid w:val="0"/>
        <w:spacing w:line="360" w:lineRule="auto"/>
        <w:ind w:firstLine="480" w:firstLineChars="150"/>
        <w:rPr>
          <w:rFonts w:hint="default"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rPr>
        <w:t>招标编号：</w:t>
      </w:r>
      <w:r>
        <w:rPr>
          <w:rFonts w:hint="eastAsia" w:ascii="宋体" w:hAnsi="宋体" w:eastAsia="宋体" w:cs="宋体"/>
          <w:b w:val="0"/>
          <w:bCs/>
          <w:color w:val="auto"/>
          <w:sz w:val="32"/>
          <w:szCs w:val="32"/>
        </w:rPr>
        <w:fldChar w:fldCharType="begin"/>
      </w:r>
      <w:r>
        <w:rPr>
          <w:rFonts w:hint="eastAsia" w:ascii="宋体" w:hAnsi="宋体" w:eastAsia="宋体" w:cs="宋体"/>
          <w:b w:val="0"/>
          <w:bCs/>
          <w:color w:val="auto"/>
          <w:sz w:val="32"/>
          <w:szCs w:val="32"/>
        </w:rPr>
        <w:instrText xml:space="preserve"> HYPERLINK "https://www.zcygov.cn/delegation-order/_procurement_/order/orderInfo/detail/6821773913924111231" \t "https://www.zcygov.cn/delegation-order/_procurement_/order/_blank" </w:instrText>
      </w:r>
      <w:r>
        <w:rPr>
          <w:rFonts w:hint="eastAsia" w:ascii="宋体" w:hAnsi="宋体" w:eastAsia="宋体" w:cs="宋体"/>
          <w:b w:val="0"/>
          <w:bCs/>
          <w:color w:val="auto"/>
          <w:sz w:val="32"/>
          <w:szCs w:val="32"/>
        </w:rPr>
        <w:fldChar w:fldCharType="separate"/>
      </w:r>
      <w:r>
        <w:rPr>
          <w:rFonts w:hint="eastAsia" w:ascii="宋体" w:hAnsi="宋体" w:eastAsia="宋体" w:cs="宋体"/>
          <w:b w:val="0"/>
          <w:bCs/>
          <w:color w:val="auto"/>
          <w:sz w:val="32"/>
          <w:szCs w:val="32"/>
        </w:rPr>
        <w:t>2026-0508-173238</w:t>
      </w:r>
      <w:r>
        <w:rPr>
          <w:rFonts w:hint="eastAsia" w:ascii="宋体" w:hAnsi="宋体" w:eastAsia="宋体" w:cs="宋体"/>
          <w:b w:val="0"/>
          <w:bCs/>
          <w:color w:val="auto"/>
          <w:sz w:val="32"/>
          <w:szCs w:val="32"/>
        </w:rPr>
        <w:fldChar w:fldCharType="end"/>
      </w:r>
    </w:p>
    <w:p w14:paraId="080CB346">
      <w:pPr>
        <w:adjustRightInd w:val="0"/>
        <w:snapToGrid w:val="0"/>
        <w:spacing w:line="360" w:lineRule="auto"/>
        <w:ind w:firstLine="480" w:firstLineChars="150"/>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t>采购代理机构：</w:t>
      </w:r>
      <w:r>
        <w:rPr>
          <w:rFonts w:hint="eastAsia" w:ascii="宋体" w:hAnsi="宋体" w:eastAsia="宋体" w:cs="宋体"/>
          <w:b w:val="0"/>
          <w:bCs/>
          <w:color w:val="auto"/>
          <w:sz w:val="32"/>
          <w:szCs w:val="32"/>
          <w:lang w:eastAsia="zh-CN"/>
        </w:rPr>
        <w:t>新疆天巨辰工程项目管理有限公司</w:t>
      </w:r>
    </w:p>
    <w:p w14:paraId="0A3D690C">
      <w:pPr>
        <w:adjustRightInd w:val="0"/>
        <w:snapToGrid w:val="0"/>
        <w:spacing w:line="360" w:lineRule="auto"/>
        <w:jc w:val="both"/>
        <w:rPr>
          <w:rFonts w:hint="eastAsia" w:ascii="宋体" w:hAnsi="宋体" w:eastAsia="宋体" w:cs="宋体"/>
          <w:b w:val="0"/>
          <w:bCs/>
          <w:color w:val="auto"/>
          <w:sz w:val="32"/>
          <w:szCs w:val="32"/>
        </w:rPr>
      </w:pPr>
    </w:p>
    <w:p w14:paraId="25F2D343">
      <w:pPr>
        <w:adjustRightInd w:val="0"/>
        <w:snapToGrid w:val="0"/>
        <w:spacing w:line="360" w:lineRule="auto"/>
        <w:jc w:val="center"/>
        <w:rPr>
          <w:rFonts w:hint="eastAsia" w:ascii="宋体" w:hAnsi="宋体" w:eastAsia="宋体" w:cs="宋体"/>
          <w:b w:val="0"/>
          <w:bCs/>
          <w:color w:val="auto"/>
          <w:sz w:val="32"/>
          <w:szCs w:val="32"/>
        </w:rPr>
      </w:pPr>
    </w:p>
    <w:p w14:paraId="7C9F33BC">
      <w:pPr>
        <w:adjustRightInd w:val="0"/>
        <w:snapToGrid w:val="0"/>
        <w:spacing w:line="360" w:lineRule="auto"/>
        <w:jc w:val="center"/>
        <w:rPr>
          <w:rFonts w:hint="eastAsia" w:ascii="宋体" w:hAnsi="宋体" w:eastAsia="宋体" w:cs="宋体"/>
          <w:b w:val="0"/>
          <w:bCs/>
          <w:color w:val="auto"/>
          <w:sz w:val="32"/>
          <w:szCs w:val="32"/>
        </w:rPr>
      </w:pPr>
      <w:r>
        <w:rPr>
          <w:rFonts w:hint="eastAsia" w:ascii="宋体" w:hAnsi="宋体" w:eastAsia="宋体" w:cs="宋体"/>
          <w:b w:val="0"/>
          <w:bCs/>
          <w:color w:val="auto"/>
          <w:sz w:val="32"/>
          <w:szCs w:val="32"/>
        </w:rPr>
        <w:t>二〇</w:t>
      </w:r>
      <w:r>
        <w:rPr>
          <w:rFonts w:hint="eastAsia" w:ascii="宋体" w:hAnsi="宋体" w:eastAsia="宋体" w:cs="宋体"/>
          <w:b w:val="0"/>
          <w:bCs/>
          <w:color w:val="auto"/>
          <w:sz w:val="32"/>
          <w:szCs w:val="32"/>
          <w:lang w:eastAsia="zh-CN"/>
        </w:rPr>
        <w:t>二</w:t>
      </w:r>
      <w:r>
        <w:rPr>
          <w:rFonts w:hint="eastAsia" w:ascii="宋体" w:hAnsi="宋体" w:eastAsia="宋体" w:cs="宋体"/>
          <w:b w:val="0"/>
          <w:bCs/>
          <w:color w:val="auto"/>
          <w:sz w:val="32"/>
          <w:szCs w:val="32"/>
          <w:lang w:val="en-US" w:eastAsia="zh-CN"/>
        </w:rPr>
        <w:t>六</w:t>
      </w:r>
      <w:r>
        <w:rPr>
          <w:rFonts w:hint="eastAsia" w:ascii="宋体" w:hAnsi="宋体" w:eastAsia="宋体" w:cs="宋体"/>
          <w:b w:val="0"/>
          <w:bCs/>
          <w:color w:val="auto"/>
          <w:sz w:val="32"/>
          <w:szCs w:val="32"/>
        </w:rPr>
        <w:t>年</w:t>
      </w:r>
      <w:r>
        <w:rPr>
          <w:rFonts w:hint="eastAsia" w:ascii="宋体" w:hAnsi="宋体" w:eastAsia="宋体" w:cs="宋体"/>
          <w:b w:val="0"/>
          <w:bCs/>
          <w:color w:val="auto"/>
          <w:sz w:val="32"/>
          <w:szCs w:val="32"/>
          <w:lang w:val="en-US" w:eastAsia="zh-CN"/>
        </w:rPr>
        <w:t>六</w:t>
      </w:r>
      <w:r>
        <w:rPr>
          <w:rFonts w:hint="eastAsia" w:ascii="宋体" w:hAnsi="宋体" w:eastAsia="宋体" w:cs="宋体"/>
          <w:b w:val="0"/>
          <w:bCs/>
          <w:color w:val="auto"/>
          <w:sz w:val="32"/>
          <w:szCs w:val="32"/>
        </w:rPr>
        <w:t>月</w:t>
      </w:r>
    </w:p>
    <w:p w14:paraId="600D3A96">
      <w:pPr>
        <w:rPr>
          <w:rFonts w:hint="eastAsia" w:ascii="宋体" w:hAnsi="宋体" w:eastAsia="宋体" w:cs="宋体"/>
          <w:b w:val="0"/>
          <w:bCs/>
          <w:color w:val="auto"/>
          <w:sz w:val="32"/>
          <w:szCs w:val="32"/>
        </w:rPr>
      </w:pPr>
    </w:p>
    <w:p w14:paraId="5A83CA92">
      <w:pPr>
        <w:rPr>
          <w:rFonts w:hint="eastAsia" w:ascii="宋体" w:hAnsi="宋体" w:eastAsia="宋体" w:cs="宋体"/>
          <w:b w:val="0"/>
          <w:bCs/>
          <w:color w:val="auto"/>
          <w:sz w:val="32"/>
          <w:szCs w:val="32"/>
        </w:rPr>
      </w:pPr>
    </w:p>
    <w:p w14:paraId="5AAD7282">
      <w:pPr>
        <w:widowControl w:val="0"/>
        <w:jc w:val="both"/>
        <w:rPr>
          <w:rFonts w:hint="eastAsia" w:ascii="宋体" w:hAnsi="宋体" w:eastAsia="黑体" w:cs="宋体"/>
          <w:b w:val="0"/>
          <w:bCs/>
          <w:color w:val="auto"/>
          <w:kern w:val="2"/>
          <w:sz w:val="32"/>
          <w:szCs w:val="32"/>
          <w:lang w:val="en-US" w:eastAsia="zh-CN" w:bidi="ar-SA"/>
        </w:rPr>
      </w:pPr>
    </w:p>
    <w:p w14:paraId="70A4AF33">
      <w:pPr>
        <w:rPr>
          <w:rFonts w:hint="eastAsia" w:ascii="Times New Roman" w:hAnsi="Times New Roman" w:eastAsia="宋体" w:cs="Times New Roman"/>
          <w:color w:val="auto"/>
          <w:sz w:val="21"/>
        </w:rPr>
      </w:pPr>
    </w:p>
    <w:p w14:paraId="31775196">
      <w:pPr>
        <w:spacing w:line="480" w:lineRule="exact"/>
        <w:jc w:val="center"/>
        <w:rPr>
          <w:rFonts w:hint="eastAsia" w:ascii="宋体" w:hAnsi="宋体" w:eastAsia="宋体" w:cs="宋体"/>
          <w:b/>
          <w:i w:val="0"/>
          <w:iCs w:val="0"/>
          <w:color w:val="auto"/>
          <w:sz w:val="36"/>
          <w:szCs w:val="36"/>
          <w:highlight w:val="none"/>
          <w:lang w:eastAsia="zh-CN"/>
        </w:rPr>
      </w:pPr>
    </w:p>
    <w:p w14:paraId="7CDE188E">
      <w:pPr>
        <w:spacing w:line="480" w:lineRule="exact"/>
        <w:jc w:val="center"/>
        <w:rPr>
          <w:rFonts w:hint="eastAsia" w:ascii="宋体" w:hAnsi="宋体" w:eastAsia="宋体" w:cs="宋体"/>
          <w:b/>
          <w:i w:val="0"/>
          <w:iCs w:val="0"/>
          <w:color w:val="auto"/>
          <w:sz w:val="36"/>
          <w:szCs w:val="36"/>
          <w:highlight w:val="none"/>
          <w:lang w:eastAsia="zh-CN"/>
        </w:rPr>
      </w:pPr>
    </w:p>
    <w:p w14:paraId="3F415805">
      <w:pPr>
        <w:spacing w:line="480" w:lineRule="exact"/>
        <w:jc w:val="center"/>
        <w:rPr>
          <w:rFonts w:hint="eastAsia" w:ascii="宋体" w:hAnsi="宋体" w:eastAsia="宋体" w:cs="宋体"/>
          <w:b/>
          <w:i w:val="0"/>
          <w:iCs w:val="0"/>
          <w:color w:val="auto"/>
          <w:sz w:val="36"/>
          <w:szCs w:val="36"/>
          <w:highlight w:val="none"/>
          <w:lang w:eastAsia="zh-CN"/>
        </w:rPr>
      </w:pPr>
    </w:p>
    <w:p w14:paraId="3E65C2BD">
      <w:pPr>
        <w:spacing w:line="480" w:lineRule="exact"/>
        <w:jc w:val="center"/>
        <w:rPr>
          <w:rFonts w:hint="eastAsia" w:ascii="宋体" w:hAnsi="宋体" w:eastAsia="宋体" w:cs="宋体"/>
          <w:b/>
          <w:i w:val="0"/>
          <w:iCs w:val="0"/>
          <w:color w:val="auto"/>
          <w:sz w:val="36"/>
          <w:szCs w:val="36"/>
          <w:highlight w:val="none"/>
          <w:lang w:eastAsia="zh-CN"/>
        </w:rPr>
      </w:pPr>
    </w:p>
    <w:p w14:paraId="45FB2BF4">
      <w:pPr>
        <w:spacing w:line="480" w:lineRule="exact"/>
        <w:jc w:val="center"/>
        <w:rPr>
          <w:rFonts w:hint="eastAsia" w:ascii="宋体" w:hAnsi="宋体" w:eastAsia="宋体" w:cs="宋体"/>
          <w:b/>
          <w:i w:val="0"/>
          <w:iCs w:val="0"/>
          <w:color w:val="auto"/>
          <w:sz w:val="36"/>
          <w:szCs w:val="36"/>
          <w:highlight w:val="none"/>
          <w:lang w:eastAsia="zh-CN"/>
        </w:rPr>
      </w:pPr>
    </w:p>
    <w:p w14:paraId="024B400C">
      <w:pPr>
        <w:spacing w:line="480" w:lineRule="exact"/>
        <w:jc w:val="center"/>
        <w:rPr>
          <w:rFonts w:hint="eastAsia" w:ascii="宋体" w:hAnsi="宋体" w:eastAsia="宋体" w:cs="宋体"/>
          <w:b/>
          <w:i w:val="0"/>
          <w:iCs w:val="0"/>
          <w:color w:val="auto"/>
          <w:sz w:val="36"/>
          <w:szCs w:val="36"/>
          <w:highlight w:val="none"/>
          <w:lang w:eastAsia="zh-CN"/>
        </w:rPr>
      </w:pPr>
    </w:p>
    <w:p w14:paraId="7C93ACE9">
      <w:pPr>
        <w:spacing w:line="480" w:lineRule="exact"/>
        <w:jc w:val="center"/>
        <w:rPr>
          <w:rFonts w:hint="eastAsia" w:ascii="宋体" w:hAnsi="宋体" w:eastAsia="宋体" w:cs="宋体"/>
          <w:b/>
          <w:i w:val="0"/>
          <w:iCs w:val="0"/>
          <w:color w:val="auto"/>
          <w:sz w:val="36"/>
          <w:szCs w:val="36"/>
          <w:highlight w:val="none"/>
          <w:lang w:eastAsia="zh-CN"/>
        </w:rPr>
      </w:pPr>
    </w:p>
    <w:p w14:paraId="0F8C04F8">
      <w:pPr>
        <w:spacing w:line="480" w:lineRule="exact"/>
        <w:jc w:val="center"/>
        <w:rPr>
          <w:rFonts w:hint="eastAsia" w:ascii="宋体" w:hAnsi="宋体" w:eastAsia="宋体" w:cs="宋体"/>
          <w:b/>
          <w:i w:val="0"/>
          <w:iCs w:val="0"/>
          <w:color w:val="auto"/>
          <w:sz w:val="36"/>
          <w:szCs w:val="36"/>
          <w:highlight w:val="none"/>
          <w:lang w:eastAsia="zh-CN"/>
        </w:rPr>
      </w:pPr>
    </w:p>
    <w:p w14:paraId="719B5F99">
      <w:pPr>
        <w:spacing w:line="480" w:lineRule="exact"/>
        <w:jc w:val="center"/>
        <w:rPr>
          <w:rFonts w:hint="eastAsia" w:ascii="宋体" w:hAnsi="宋体" w:eastAsia="宋体" w:cs="宋体"/>
          <w:b/>
          <w:i w:val="0"/>
          <w:iCs w:val="0"/>
          <w:color w:val="auto"/>
          <w:sz w:val="36"/>
          <w:szCs w:val="36"/>
          <w:highlight w:val="none"/>
          <w:lang w:eastAsia="zh-CN"/>
        </w:rPr>
      </w:pPr>
    </w:p>
    <w:p w14:paraId="28198DE3">
      <w:pPr>
        <w:spacing w:line="480" w:lineRule="exact"/>
        <w:jc w:val="center"/>
        <w:rPr>
          <w:rFonts w:hint="eastAsia" w:ascii="宋体" w:hAnsi="宋体" w:eastAsia="宋体" w:cs="宋体"/>
          <w:b/>
          <w:i w:val="0"/>
          <w:iCs w:val="0"/>
          <w:color w:val="auto"/>
          <w:sz w:val="36"/>
          <w:szCs w:val="36"/>
          <w:highlight w:val="none"/>
          <w:lang w:eastAsia="zh-CN"/>
        </w:rPr>
      </w:pPr>
    </w:p>
    <w:p w14:paraId="207FFD21">
      <w:pPr>
        <w:spacing w:line="480" w:lineRule="exact"/>
        <w:jc w:val="center"/>
        <w:rPr>
          <w:rFonts w:hint="eastAsia" w:ascii="宋体" w:hAnsi="宋体" w:eastAsia="宋体" w:cs="宋体"/>
          <w:b/>
          <w:i w:val="0"/>
          <w:iCs w:val="0"/>
          <w:color w:val="auto"/>
          <w:sz w:val="36"/>
          <w:szCs w:val="36"/>
          <w:highlight w:val="none"/>
          <w:lang w:eastAsia="zh-CN"/>
        </w:rPr>
      </w:pPr>
    </w:p>
    <w:p w14:paraId="295EF2DE">
      <w:pPr>
        <w:spacing w:line="480" w:lineRule="exact"/>
        <w:jc w:val="center"/>
        <w:rPr>
          <w:rFonts w:hint="eastAsia" w:ascii="宋体" w:hAnsi="宋体" w:eastAsia="宋体" w:cs="宋体"/>
          <w:b/>
          <w:i w:val="0"/>
          <w:iCs w:val="0"/>
          <w:color w:val="auto"/>
          <w:sz w:val="36"/>
          <w:szCs w:val="36"/>
          <w:highlight w:val="none"/>
          <w:lang w:eastAsia="zh-CN"/>
        </w:rPr>
      </w:pPr>
    </w:p>
    <w:p w14:paraId="45BA3960">
      <w:pPr>
        <w:spacing w:line="480" w:lineRule="exact"/>
        <w:jc w:val="center"/>
        <w:rPr>
          <w:rFonts w:hint="eastAsia" w:ascii="宋体" w:hAnsi="宋体" w:eastAsia="宋体" w:cs="宋体"/>
          <w:b/>
          <w:i w:val="0"/>
          <w:iCs w:val="0"/>
          <w:color w:val="auto"/>
          <w:sz w:val="36"/>
          <w:szCs w:val="36"/>
          <w:highlight w:val="none"/>
          <w:lang w:eastAsia="zh-CN"/>
        </w:rPr>
      </w:pPr>
    </w:p>
    <w:p w14:paraId="002597B0">
      <w:pPr>
        <w:spacing w:line="480" w:lineRule="exact"/>
        <w:jc w:val="center"/>
        <w:rPr>
          <w:rFonts w:hint="eastAsia" w:ascii="宋体" w:hAnsi="宋体" w:eastAsia="宋体" w:cs="宋体"/>
          <w:b/>
          <w:i w:val="0"/>
          <w:iCs w:val="0"/>
          <w:color w:val="auto"/>
          <w:sz w:val="36"/>
          <w:szCs w:val="36"/>
          <w:highlight w:val="none"/>
          <w:lang w:eastAsia="zh-CN"/>
        </w:rPr>
      </w:pPr>
    </w:p>
    <w:p w14:paraId="589D046E">
      <w:pPr>
        <w:spacing w:line="480" w:lineRule="exact"/>
        <w:jc w:val="center"/>
        <w:rPr>
          <w:rFonts w:hint="eastAsia" w:ascii="宋体" w:hAnsi="宋体" w:eastAsia="宋体" w:cs="宋体"/>
          <w:b/>
          <w:i w:val="0"/>
          <w:iCs w:val="0"/>
          <w:color w:val="auto"/>
          <w:sz w:val="36"/>
          <w:szCs w:val="36"/>
          <w:highlight w:val="none"/>
          <w:lang w:eastAsia="zh-CN"/>
        </w:rPr>
      </w:pPr>
    </w:p>
    <w:p w14:paraId="2434779D">
      <w:pPr>
        <w:spacing w:line="480" w:lineRule="exact"/>
        <w:jc w:val="center"/>
        <w:rPr>
          <w:rFonts w:hint="eastAsia" w:ascii="宋体" w:hAnsi="宋体" w:eastAsia="宋体" w:cs="宋体"/>
          <w:b/>
          <w:i w:val="0"/>
          <w:iCs w:val="0"/>
          <w:color w:val="auto"/>
          <w:sz w:val="36"/>
          <w:szCs w:val="36"/>
          <w:highlight w:val="none"/>
          <w:lang w:eastAsia="zh-CN"/>
        </w:rPr>
      </w:pPr>
    </w:p>
    <w:p w14:paraId="6C1B8713">
      <w:pPr>
        <w:spacing w:line="480" w:lineRule="exact"/>
        <w:jc w:val="center"/>
        <w:rPr>
          <w:rFonts w:hint="eastAsia" w:ascii="宋体" w:hAnsi="宋体" w:eastAsia="宋体" w:cs="宋体"/>
          <w:b/>
          <w:i w:val="0"/>
          <w:iCs w:val="0"/>
          <w:color w:val="auto"/>
          <w:sz w:val="36"/>
          <w:szCs w:val="36"/>
          <w:highlight w:val="none"/>
          <w:lang w:eastAsia="zh-CN"/>
        </w:rPr>
      </w:pPr>
    </w:p>
    <w:p w14:paraId="7BE1B0F0">
      <w:pPr>
        <w:spacing w:line="480" w:lineRule="exact"/>
        <w:jc w:val="center"/>
        <w:rPr>
          <w:rFonts w:hint="eastAsia" w:ascii="宋体" w:hAnsi="宋体" w:eastAsia="宋体" w:cs="宋体"/>
          <w:b/>
          <w:i w:val="0"/>
          <w:iCs w:val="0"/>
          <w:color w:val="auto"/>
          <w:sz w:val="36"/>
          <w:szCs w:val="36"/>
          <w:highlight w:val="none"/>
          <w:lang w:eastAsia="zh-CN"/>
        </w:rPr>
      </w:pPr>
    </w:p>
    <w:p w14:paraId="7EFAA341">
      <w:pPr>
        <w:spacing w:line="480" w:lineRule="exact"/>
        <w:jc w:val="center"/>
        <w:rPr>
          <w:rFonts w:hint="eastAsia" w:ascii="宋体" w:hAnsi="宋体" w:eastAsia="宋体" w:cs="宋体"/>
          <w:b/>
          <w:i w:val="0"/>
          <w:iCs w:val="0"/>
          <w:color w:val="auto"/>
          <w:sz w:val="36"/>
          <w:szCs w:val="36"/>
          <w:highlight w:val="none"/>
          <w:lang w:eastAsia="zh-CN"/>
        </w:rPr>
      </w:pPr>
    </w:p>
    <w:p w14:paraId="5D4FAF04">
      <w:pPr>
        <w:spacing w:line="480" w:lineRule="exact"/>
        <w:jc w:val="center"/>
        <w:rPr>
          <w:rFonts w:hint="eastAsia" w:ascii="宋体" w:hAnsi="宋体" w:eastAsia="宋体" w:cs="宋体"/>
          <w:b/>
          <w:i w:val="0"/>
          <w:iCs w:val="0"/>
          <w:color w:val="auto"/>
          <w:sz w:val="36"/>
          <w:szCs w:val="36"/>
          <w:highlight w:val="none"/>
          <w:lang w:eastAsia="zh-CN"/>
        </w:rPr>
      </w:pPr>
    </w:p>
    <w:p w14:paraId="781F7F7A">
      <w:pPr>
        <w:spacing w:line="480" w:lineRule="exact"/>
        <w:jc w:val="center"/>
        <w:rPr>
          <w:rFonts w:hint="eastAsia" w:ascii="宋体" w:hAnsi="宋体" w:eastAsia="宋体" w:cs="宋体"/>
          <w:b/>
          <w:i w:val="0"/>
          <w:iCs w:val="0"/>
          <w:color w:val="auto"/>
          <w:sz w:val="36"/>
          <w:szCs w:val="36"/>
          <w:highlight w:val="none"/>
          <w:lang w:eastAsia="zh-CN"/>
        </w:rPr>
      </w:pPr>
    </w:p>
    <w:p w14:paraId="7D61F7B3">
      <w:pPr>
        <w:spacing w:line="480" w:lineRule="exact"/>
        <w:jc w:val="center"/>
        <w:rPr>
          <w:rFonts w:hint="eastAsia" w:ascii="宋体" w:hAnsi="宋体" w:eastAsia="宋体" w:cs="宋体"/>
          <w:b/>
          <w:i w:val="0"/>
          <w:iCs w:val="0"/>
          <w:color w:val="auto"/>
          <w:sz w:val="36"/>
          <w:szCs w:val="36"/>
          <w:highlight w:val="none"/>
          <w:lang w:eastAsia="zh-CN"/>
        </w:rPr>
      </w:pPr>
    </w:p>
    <w:p w14:paraId="5631BDDF">
      <w:pPr>
        <w:spacing w:line="480" w:lineRule="exact"/>
        <w:jc w:val="center"/>
        <w:rPr>
          <w:rFonts w:hint="eastAsia" w:ascii="宋体" w:hAnsi="宋体" w:eastAsia="宋体" w:cs="宋体"/>
          <w:b/>
          <w:i w:val="0"/>
          <w:iCs w:val="0"/>
          <w:color w:val="auto"/>
          <w:sz w:val="36"/>
          <w:szCs w:val="36"/>
          <w:highlight w:val="none"/>
          <w:lang w:eastAsia="zh-CN"/>
        </w:rPr>
      </w:pPr>
    </w:p>
    <w:p w14:paraId="05B91808">
      <w:pPr>
        <w:spacing w:line="480" w:lineRule="exact"/>
        <w:jc w:val="center"/>
        <w:rPr>
          <w:rFonts w:hint="eastAsia" w:ascii="宋体" w:hAnsi="宋体" w:eastAsia="宋体" w:cs="宋体"/>
          <w:b/>
          <w:i w:val="0"/>
          <w:iCs w:val="0"/>
          <w:color w:val="auto"/>
          <w:sz w:val="36"/>
          <w:szCs w:val="36"/>
          <w:highlight w:val="none"/>
          <w:lang w:eastAsia="zh-CN"/>
        </w:rPr>
      </w:pPr>
      <w:r>
        <w:rPr>
          <w:rFonts w:hint="eastAsia" w:ascii="宋体" w:hAnsi="宋体" w:eastAsia="宋体" w:cs="宋体"/>
          <w:b/>
          <w:i w:val="0"/>
          <w:iCs w:val="0"/>
          <w:color w:val="auto"/>
          <w:sz w:val="36"/>
          <w:szCs w:val="36"/>
          <w:highlight w:val="none"/>
          <w:lang w:eastAsia="zh-CN"/>
        </w:rPr>
        <w:br w:type="page"/>
      </w:r>
      <w:r>
        <w:rPr>
          <w:rFonts w:hint="eastAsia" w:ascii="宋体" w:hAnsi="宋体" w:eastAsia="宋体" w:cs="宋体"/>
          <w:b/>
          <w:i w:val="0"/>
          <w:iCs w:val="0"/>
          <w:color w:val="auto"/>
          <w:sz w:val="36"/>
          <w:szCs w:val="36"/>
          <w:highlight w:val="none"/>
          <w:lang w:eastAsia="zh-CN"/>
        </w:rPr>
        <w:t>竞争性磋商文件</w:t>
      </w:r>
    </w:p>
    <w:p w14:paraId="7EBA3AE7">
      <w:pPr>
        <w:spacing w:line="360" w:lineRule="auto"/>
        <w:rPr>
          <w:rFonts w:hint="eastAsia" w:ascii="宋体" w:hAnsi="宋体" w:eastAsia="宋体" w:cs="宋体"/>
          <w:b w:val="0"/>
          <w:bCs/>
          <w:color w:val="auto"/>
          <w:sz w:val="24"/>
        </w:rPr>
      </w:pPr>
      <w:r>
        <w:rPr>
          <w:rFonts w:hint="eastAsia" w:ascii="宋体" w:hAnsi="宋体" w:eastAsia="宋体" w:cs="宋体"/>
          <w:b w:val="0"/>
          <w:bCs/>
          <w:color w:val="auto"/>
          <w:sz w:val="24"/>
        </w:rPr>
        <w:t xml:space="preserve">  </w:t>
      </w:r>
    </w:p>
    <w:p w14:paraId="03D54994">
      <w:pPr>
        <w:spacing w:line="360" w:lineRule="auto"/>
        <w:rPr>
          <w:rFonts w:hint="eastAsia" w:ascii="宋体" w:hAnsi="宋体" w:eastAsia="宋体" w:cs="宋体"/>
          <w:b w:val="0"/>
          <w:bCs/>
          <w:color w:val="auto"/>
          <w:sz w:val="24"/>
        </w:rPr>
      </w:pPr>
    </w:p>
    <w:p w14:paraId="30458320">
      <w:pPr>
        <w:spacing w:line="360" w:lineRule="auto"/>
        <w:ind w:firstLine="560" w:firstLineChars="200"/>
        <w:rPr>
          <w:rFonts w:hint="eastAsia" w:ascii="宋体" w:hAnsi="宋体" w:eastAsia="宋体" w:cs="宋体"/>
          <w:b w:val="0"/>
          <w:bCs/>
          <w:color w:val="0000FF"/>
          <w:sz w:val="28"/>
          <w:szCs w:val="28"/>
          <w:lang w:eastAsia="zh-CN"/>
        </w:rPr>
      </w:pPr>
      <w:r>
        <w:rPr>
          <w:rFonts w:hint="eastAsia" w:ascii="宋体" w:hAnsi="宋体" w:eastAsia="宋体" w:cs="宋体"/>
          <w:b w:val="0"/>
          <w:bCs/>
          <w:color w:val="auto"/>
          <w:sz w:val="28"/>
          <w:szCs w:val="28"/>
        </w:rPr>
        <w:t>项目名称:</w:t>
      </w:r>
      <w:r>
        <w:rPr>
          <w:rFonts w:hint="eastAsia" w:ascii="宋体" w:hAnsi="宋体" w:eastAsia="宋体" w:cs="宋体"/>
          <w:b w:val="0"/>
          <w:bCs/>
          <w:color w:val="auto"/>
          <w:sz w:val="28"/>
          <w:szCs w:val="28"/>
          <w:lang w:eastAsia="zh-CN"/>
        </w:rPr>
        <w:t>实验室设备维护保养服务项目</w:t>
      </w:r>
    </w:p>
    <w:p w14:paraId="259D415F">
      <w:pPr>
        <w:spacing w:line="360" w:lineRule="auto"/>
        <w:ind w:firstLine="560" w:firstLineChars="200"/>
        <w:rPr>
          <w:rFonts w:hint="default"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rPr>
        <w:t>采 购 人（公章）：</w:t>
      </w:r>
      <w:r>
        <w:rPr>
          <w:rFonts w:hint="eastAsia" w:ascii="宋体" w:hAnsi="宋体" w:eastAsia="宋体" w:cs="宋体"/>
          <w:b w:val="0"/>
          <w:bCs/>
          <w:color w:val="auto"/>
          <w:sz w:val="28"/>
          <w:szCs w:val="28"/>
          <w:lang w:val="en-US" w:eastAsia="zh-CN"/>
        </w:rPr>
        <w:t>阿克苏地区公安局</w:t>
      </w:r>
    </w:p>
    <w:p w14:paraId="43C243BF">
      <w:pPr>
        <w:spacing w:line="360" w:lineRule="auto"/>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法定代表人（签章）：</w:t>
      </w:r>
    </w:p>
    <w:p w14:paraId="2B51CA3E">
      <w:pPr>
        <w:spacing w:line="360" w:lineRule="auto"/>
        <w:ind w:firstLine="560" w:firstLineChars="200"/>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rPr>
        <w:t>联系人：</w:t>
      </w:r>
      <w:r>
        <w:rPr>
          <w:rFonts w:hint="eastAsia" w:ascii="宋体" w:hAnsi="宋体" w:eastAsia="宋体" w:cs="宋体"/>
          <w:b w:val="0"/>
          <w:bCs/>
          <w:color w:val="auto"/>
          <w:sz w:val="28"/>
          <w:szCs w:val="28"/>
          <w:lang w:eastAsia="zh-CN"/>
        </w:rPr>
        <w:t>强斌</w:t>
      </w:r>
    </w:p>
    <w:p w14:paraId="366DE581">
      <w:pPr>
        <w:spacing w:line="360" w:lineRule="auto"/>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联系电话：</w:t>
      </w:r>
      <w:r>
        <w:rPr>
          <w:rFonts w:hint="eastAsia" w:ascii="宋体" w:hAnsi="宋体" w:eastAsia="宋体" w:cs="宋体"/>
          <w:b w:val="0"/>
          <w:bCs/>
          <w:color w:val="auto"/>
          <w:sz w:val="28"/>
          <w:szCs w:val="28"/>
          <w:lang w:val="en-US" w:eastAsia="zh-CN"/>
        </w:rPr>
        <w:t>15699362323</w:t>
      </w:r>
    </w:p>
    <w:p w14:paraId="6FDE6B74">
      <w:pPr>
        <w:spacing w:line="360" w:lineRule="auto"/>
        <w:rPr>
          <w:rFonts w:hint="eastAsia" w:ascii="宋体" w:hAnsi="宋体" w:eastAsia="宋体" w:cs="宋体"/>
          <w:b w:val="0"/>
          <w:bCs/>
          <w:color w:val="auto"/>
          <w:sz w:val="28"/>
          <w:szCs w:val="28"/>
        </w:rPr>
      </w:pPr>
    </w:p>
    <w:p w14:paraId="55AF4B89">
      <w:pPr>
        <w:spacing w:line="360" w:lineRule="auto"/>
        <w:rPr>
          <w:rFonts w:hint="eastAsia" w:ascii="宋体" w:hAnsi="宋体" w:eastAsia="宋体" w:cs="宋体"/>
          <w:b w:val="0"/>
          <w:bCs/>
          <w:color w:val="auto"/>
          <w:sz w:val="28"/>
          <w:szCs w:val="28"/>
        </w:rPr>
      </w:pPr>
    </w:p>
    <w:p w14:paraId="0A84299A">
      <w:pPr>
        <w:spacing w:line="360" w:lineRule="auto"/>
        <w:ind w:firstLine="560" w:firstLineChars="200"/>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rPr>
        <w:t>采购代理机构（公章）：</w:t>
      </w:r>
      <w:r>
        <w:rPr>
          <w:rFonts w:hint="eastAsia" w:ascii="宋体" w:hAnsi="宋体" w:eastAsia="宋体" w:cs="宋体"/>
          <w:b w:val="0"/>
          <w:bCs/>
          <w:color w:val="auto"/>
          <w:sz w:val="28"/>
          <w:szCs w:val="28"/>
          <w:lang w:eastAsia="zh-CN"/>
        </w:rPr>
        <w:t>新疆天巨辰工程项目管理有限公司</w:t>
      </w:r>
    </w:p>
    <w:p w14:paraId="7C4EA4EC">
      <w:pPr>
        <w:spacing w:line="360" w:lineRule="auto"/>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法定代表人(或授权委托人）（签章）：</w:t>
      </w:r>
    </w:p>
    <w:p w14:paraId="437C2DFB">
      <w:pPr>
        <w:spacing w:line="360" w:lineRule="auto"/>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联系人：</w:t>
      </w:r>
      <w:r>
        <w:rPr>
          <w:rFonts w:hint="eastAsia" w:ascii="宋体" w:hAnsi="宋体" w:eastAsia="宋体" w:cs="宋体"/>
          <w:b w:val="0"/>
          <w:bCs/>
          <w:color w:val="auto"/>
          <w:sz w:val="28"/>
          <w:szCs w:val="28"/>
          <w:lang w:val="en-US" w:eastAsia="zh-CN"/>
        </w:rPr>
        <w:t>常丽</w:t>
      </w:r>
    </w:p>
    <w:p w14:paraId="7F03743A">
      <w:pPr>
        <w:spacing w:line="360" w:lineRule="auto"/>
        <w:ind w:firstLine="560" w:firstLineChars="200"/>
        <w:rPr>
          <w:rFonts w:hint="default" w:ascii="宋体" w:hAnsi="宋体" w:eastAsia="宋体" w:cs="宋体"/>
          <w:b w:val="0"/>
          <w:bCs/>
          <w:color w:val="auto"/>
          <w:sz w:val="28"/>
          <w:szCs w:val="28"/>
          <w:lang w:val="en-US"/>
        </w:rPr>
      </w:pPr>
      <w:r>
        <w:rPr>
          <w:rFonts w:hint="eastAsia" w:ascii="宋体" w:hAnsi="宋体" w:eastAsia="宋体" w:cs="宋体"/>
          <w:b w:val="0"/>
          <w:bCs/>
          <w:color w:val="auto"/>
          <w:sz w:val="28"/>
          <w:szCs w:val="28"/>
        </w:rPr>
        <w:t>联系电话：</w:t>
      </w:r>
      <w:r>
        <w:rPr>
          <w:rFonts w:hint="eastAsia" w:ascii="宋体" w:hAnsi="宋体" w:eastAsia="宋体" w:cs="宋体"/>
          <w:b w:val="0"/>
          <w:bCs/>
          <w:color w:val="auto"/>
          <w:sz w:val="28"/>
          <w:szCs w:val="28"/>
          <w:lang w:val="en-US" w:eastAsia="zh-CN"/>
        </w:rPr>
        <w:t>13657595999</w:t>
      </w:r>
    </w:p>
    <w:p w14:paraId="725891F1">
      <w:pPr>
        <w:spacing w:line="360" w:lineRule="auto"/>
        <w:ind w:left="559" w:leftChars="266" w:firstLine="0" w:firstLineChars="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联系地址：</w:t>
      </w:r>
      <w:r>
        <w:rPr>
          <w:rFonts w:hint="eastAsia" w:ascii="宋体" w:hAnsi="宋体" w:eastAsia="宋体" w:cs="宋体"/>
          <w:b w:val="0"/>
          <w:bCs/>
          <w:color w:val="auto"/>
          <w:sz w:val="28"/>
          <w:szCs w:val="28"/>
          <w:lang w:val="en-US" w:eastAsia="zh-CN"/>
        </w:rPr>
        <w:t>新疆阿克苏地区阿克苏市兰干街道迎宾社区解放北路3号国泰·城市公馆A座1单元1601室</w:t>
      </w:r>
    </w:p>
    <w:p w14:paraId="375BDA3F">
      <w:pPr>
        <w:spacing w:line="360" w:lineRule="auto"/>
        <w:ind w:firstLine="3920" w:firstLineChars="1400"/>
        <w:jc w:val="both"/>
        <w:rPr>
          <w:rFonts w:hint="eastAsia" w:ascii="宋体" w:hAnsi="宋体" w:eastAsia="宋体" w:cs="宋体"/>
          <w:b w:val="0"/>
          <w:bCs/>
          <w:color w:val="auto"/>
          <w:sz w:val="28"/>
          <w:szCs w:val="28"/>
        </w:rPr>
      </w:pPr>
    </w:p>
    <w:p w14:paraId="1B28340C">
      <w:pPr>
        <w:spacing w:line="360" w:lineRule="auto"/>
        <w:ind w:firstLine="3920" w:firstLineChars="1400"/>
        <w:jc w:val="both"/>
        <w:rPr>
          <w:rFonts w:hint="eastAsia" w:ascii="宋体" w:hAnsi="宋体" w:eastAsia="宋体" w:cs="宋体"/>
          <w:b w:val="0"/>
          <w:bCs/>
          <w:color w:val="auto"/>
          <w:sz w:val="28"/>
          <w:szCs w:val="28"/>
        </w:rPr>
      </w:pPr>
    </w:p>
    <w:p w14:paraId="41EF2B8B">
      <w:pPr>
        <w:spacing w:line="360" w:lineRule="auto"/>
        <w:ind w:firstLine="3920" w:firstLineChars="1400"/>
        <w:jc w:val="both"/>
        <w:rPr>
          <w:rFonts w:hint="eastAsia" w:ascii="宋体" w:hAnsi="宋体" w:eastAsia="宋体" w:cs="宋体"/>
          <w:b w:val="0"/>
          <w:bCs/>
          <w:color w:val="auto"/>
          <w:sz w:val="28"/>
          <w:szCs w:val="28"/>
        </w:rPr>
      </w:pPr>
    </w:p>
    <w:p w14:paraId="39720AD2">
      <w:pPr>
        <w:spacing w:line="360" w:lineRule="auto"/>
        <w:ind w:firstLine="3920" w:firstLineChars="1400"/>
        <w:jc w:val="both"/>
        <w:rPr>
          <w:rFonts w:hint="eastAsia" w:ascii="宋体" w:hAnsi="宋体" w:eastAsia="宋体" w:cs="宋体"/>
          <w:b w:val="0"/>
          <w:bCs/>
          <w:color w:val="auto"/>
          <w:sz w:val="28"/>
          <w:szCs w:val="28"/>
        </w:rPr>
      </w:pPr>
    </w:p>
    <w:p w14:paraId="4FE362AD">
      <w:pPr>
        <w:spacing w:line="360" w:lineRule="auto"/>
        <w:ind w:firstLine="3920" w:firstLineChars="1400"/>
        <w:jc w:val="both"/>
        <w:rPr>
          <w:rFonts w:hint="eastAsia" w:ascii="宋体" w:hAnsi="宋体" w:eastAsia="宋体" w:cs="宋体"/>
          <w:b w:val="0"/>
          <w:bCs/>
          <w:color w:val="auto"/>
          <w:sz w:val="28"/>
          <w:szCs w:val="28"/>
        </w:rPr>
      </w:pPr>
    </w:p>
    <w:p w14:paraId="72797542">
      <w:pPr>
        <w:spacing w:line="360" w:lineRule="auto"/>
        <w:ind w:firstLine="3920" w:firstLineChars="1400"/>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20</w:t>
      </w:r>
      <w:r>
        <w:rPr>
          <w:rFonts w:hint="eastAsia" w:ascii="宋体" w:hAnsi="宋体" w:eastAsia="宋体" w:cs="宋体"/>
          <w:b w:val="0"/>
          <w:bCs/>
          <w:color w:val="auto"/>
          <w:sz w:val="28"/>
          <w:szCs w:val="28"/>
          <w:lang w:val="en-US" w:eastAsia="zh-CN"/>
        </w:rPr>
        <w:t>26</w:t>
      </w:r>
      <w:r>
        <w:rPr>
          <w:rFonts w:hint="eastAsia" w:ascii="宋体" w:hAnsi="宋体" w:eastAsia="宋体" w:cs="宋体"/>
          <w:b w:val="0"/>
          <w:bCs/>
          <w:color w:val="auto"/>
          <w:sz w:val="28"/>
          <w:szCs w:val="28"/>
        </w:rPr>
        <w:t>年</w:t>
      </w:r>
      <w:r>
        <w:rPr>
          <w:rFonts w:hint="eastAsia" w:ascii="宋体" w:hAnsi="宋体" w:eastAsia="宋体" w:cs="宋体"/>
          <w:b w:val="0"/>
          <w:bCs/>
          <w:color w:val="auto"/>
          <w:sz w:val="28"/>
          <w:szCs w:val="28"/>
          <w:lang w:val="en-US" w:eastAsia="zh-CN"/>
        </w:rPr>
        <w:t>06</w:t>
      </w:r>
      <w:r>
        <w:rPr>
          <w:rFonts w:hint="eastAsia" w:ascii="宋体" w:hAnsi="宋体" w:eastAsia="宋体" w:cs="宋体"/>
          <w:b w:val="0"/>
          <w:bCs/>
          <w:color w:val="auto"/>
          <w:sz w:val="28"/>
          <w:szCs w:val="28"/>
        </w:rPr>
        <w:t>月</w:t>
      </w:r>
    </w:p>
    <w:p w14:paraId="5E7B8040">
      <w:pPr>
        <w:keepNext/>
        <w:pageBreakBefore/>
        <w:widowControl w:val="0"/>
        <w:tabs>
          <w:tab w:val="right" w:leader="dot" w:pos="9354"/>
        </w:tabs>
        <w:spacing w:line="360" w:lineRule="auto"/>
        <w:jc w:val="center"/>
        <w:rPr>
          <w:rFonts w:hint="eastAsia" w:ascii="宋体" w:hAnsi="宋体" w:eastAsia="宋体" w:cs="宋体"/>
          <w:b w:val="0"/>
          <w:bCs/>
          <w:color w:val="auto"/>
          <w:kern w:val="2"/>
          <w:sz w:val="32"/>
          <w:szCs w:val="32"/>
          <w:lang w:val="en-US" w:eastAsia="zh-CN" w:bidi="ar-SA"/>
        </w:rPr>
      </w:pPr>
    </w:p>
    <w:p w14:paraId="497B8086">
      <w:pPr>
        <w:keepNext/>
        <w:pageBreakBefore/>
        <w:widowControl w:val="0"/>
        <w:tabs>
          <w:tab w:val="right" w:leader="dot" w:pos="9354"/>
        </w:tabs>
        <w:spacing w:line="360" w:lineRule="auto"/>
        <w:jc w:val="center"/>
        <w:rPr>
          <w:rFonts w:hint="eastAsia" w:ascii="宋体" w:hAnsi="宋体" w:eastAsia="宋体" w:cs="宋体"/>
          <w:b w:val="0"/>
          <w:bCs/>
          <w:color w:val="auto"/>
          <w:kern w:val="2"/>
          <w:sz w:val="32"/>
          <w:szCs w:val="32"/>
          <w:lang w:val="en-US" w:eastAsia="zh-CN" w:bidi="ar-SA"/>
        </w:rPr>
        <w:sectPr>
          <w:headerReference r:id="rId3" w:type="default"/>
          <w:footerReference r:id="rId4" w:type="default"/>
          <w:footerReference r:id="rId5" w:type="even"/>
          <w:pgSz w:w="11906" w:h="16838"/>
          <w:pgMar w:top="1440" w:right="1080" w:bottom="1440" w:left="1080" w:header="851" w:footer="992" w:gutter="0"/>
          <w:pgNumType w:start="0"/>
          <w:cols w:space="720" w:num="1"/>
          <w:titlePg/>
          <w:docGrid w:type="lines" w:linePitch="312" w:charSpace="0"/>
        </w:sectPr>
      </w:pPr>
    </w:p>
    <w:p w14:paraId="2889F735">
      <w:pPr>
        <w:keepNext/>
        <w:pageBreakBefore/>
        <w:widowControl w:val="0"/>
        <w:tabs>
          <w:tab w:val="right" w:leader="dot" w:pos="9354"/>
        </w:tabs>
        <w:spacing w:line="360" w:lineRule="auto"/>
        <w:jc w:val="center"/>
        <w:rPr>
          <w:rFonts w:hint="eastAsia" w:ascii="宋体" w:hAnsi="宋体" w:eastAsia="宋体" w:cs="宋体"/>
          <w:b w:val="0"/>
          <w:bCs/>
          <w:color w:val="auto"/>
          <w:kern w:val="2"/>
          <w:sz w:val="32"/>
          <w:szCs w:val="32"/>
          <w:lang w:val="en-US" w:eastAsia="zh-CN" w:bidi="ar-SA"/>
        </w:rPr>
      </w:pPr>
      <w:r>
        <w:rPr>
          <w:rFonts w:hint="eastAsia" w:ascii="宋体" w:hAnsi="宋体" w:eastAsia="宋体" w:cs="宋体"/>
          <w:b w:val="0"/>
          <w:bCs/>
          <w:color w:val="auto"/>
          <w:kern w:val="2"/>
          <w:sz w:val="32"/>
          <w:szCs w:val="32"/>
          <w:lang w:val="en-US" w:eastAsia="zh-CN" w:bidi="ar-SA"/>
        </w:rPr>
        <w:t>目录</w:t>
      </w:r>
    </w:p>
    <w:p w14:paraId="6CAD5059">
      <w:pPr>
        <w:widowControl w:val="0"/>
        <w:spacing w:line="360" w:lineRule="auto"/>
        <w:ind w:left="420" w:leftChars="200"/>
        <w:jc w:val="both"/>
        <w:rPr>
          <w:rFonts w:hint="eastAsia" w:ascii="Times New Roman" w:hAnsi="Times New Roman" w:eastAsia="宋体" w:cs="Times New Roman"/>
          <w:b w:val="0"/>
          <w:bCs/>
          <w:color w:val="auto"/>
          <w:kern w:val="2"/>
          <w:sz w:val="28"/>
          <w:szCs w:val="20"/>
          <w:lang w:val="en-US" w:eastAsia="zh-CN" w:bidi="ar-SA"/>
        </w:rPr>
      </w:pPr>
    </w:p>
    <w:p w14:paraId="0D3B174C">
      <w:pPr>
        <w:pStyle w:val="11"/>
        <w:tabs>
          <w:tab w:val="right" w:leader="dot" w:pos="9746"/>
        </w:tabs>
        <w:rPr>
          <w:rFonts w:hint="eastAsia" w:ascii="黑体" w:hAnsi="黑体" w:eastAsia="黑体" w:cs="黑体"/>
          <w:bCs/>
          <w:color w:val="auto"/>
          <w:kern w:val="2"/>
          <w:sz w:val="32"/>
          <w:szCs w:val="32"/>
          <w:lang w:val="en-US" w:eastAsia="zh-CN" w:bidi="ar-SA"/>
        </w:rPr>
      </w:pPr>
      <w:r>
        <w:rPr>
          <w:rFonts w:hint="eastAsia" w:ascii="宋体" w:hAnsi="宋体" w:eastAsia="宋体" w:cs="宋体"/>
          <w:b w:val="0"/>
          <w:bCs/>
          <w:color w:val="auto"/>
          <w:kern w:val="2"/>
          <w:sz w:val="28"/>
          <w:szCs w:val="28"/>
          <w:lang w:val="en-US" w:eastAsia="zh-CN" w:bidi="ar-SA"/>
        </w:rPr>
        <w:fldChar w:fldCharType="begin"/>
      </w:r>
      <w:r>
        <w:rPr>
          <w:rFonts w:hint="eastAsia" w:ascii="宋体" w:hAnsi="宋体" w:eastAsia="宋体" w:cs="宋体"/>
          <w:b w:val="0"/>
          <w:bCs/>
          <w:color w:val="auto"/>
          <w:kern w:val="2"/>
          <w:sz w:val="28"/>
          <w:szCs w:val="28"/>
          <w:lang w:val="en-US" w:eastAsia="zh-CN" w:bidi="ar-SA"/>
        </w:rPr>
        <w:instrText xml:space="preserve">TOC \o "1-1" \h \u </w:instrText>
      </w:r>
      <w:r>
        <w:rPr>
          <w:rFonts w:hint="eastAsia" w:ascii="宋体" w:hAnsi="宋体" w:eastAsia="宋体" w:cs="宋体"/>
          <w:b w:val="0"/>
          <w:bCs/>
          <w:color w:val="auto"/>
          <w:kern w:val="2"/>
          <w:sz w:val="28"/>
          <w:szCs w:val="28"/>
          <w:lang w:val="en-US" w:eastAsia="zh-CN" w:bidi="ar-SA"/>
        </w:rPr>
        <w:fldChar w:fldCharType="separate"/>
      </w:r>
      <w:r>
        <w:rPr>
          <w:rFonts w:hint="eastAsia" w:ascii="黑体" w:hAnsi="黑体" w:eastAsia="黑体" w:cs="黑体"/>
          <w:bCs/>
          <w:color w:val="auto"/>
          <w:kern w:val="2"/>
          <w:sz w:val="32"/>
          <w:szCs w:val="32"/>
          <w:lang w:val="en-US" w:eastAsia="zh-CN" w:bidi="ar-SA"/>
        </w:rPr>
        <w:fldChar w:fldCharType="begin"/>
      </w:r>
      <w:r>
        <w:rPr>
          <w:rFonts w:hint="eastAsia" w:ascii="黑体" w:hAnsi="黑体" w:eastAsia="黑体" w:cs="黑体"/>
          <w:bCs/>
          <w:kern w:val="2"/>
          <w:sz w:val="32"/>
          <w:szCs w:val="32"/>
          <w:lang w:val="en-US" w:eastAsia="zh-CN" w:bidi="ar-SA"/>
        </w:rPr>
        <w:instrText xml:space="preserve"> HYPERLINK \l _Toc27937 </w:instrText>
      </w:r>
      <w:r>
        <w:rPr>
          <w:rFonts w:hint="eastAsia" w:ascii="黑体" w:hAnsi="黑体" w:eastAsia="黑体" w:cs="黑体"/>
          <w:bCs/>
          <w:kern w:val="2"/>
          <w:sz w:val="32"/>
          <w:szCs w:val="32"/>
          <w:lang w:val="en-US" w:eastAsia="zh-CN" w:bidi="ar-SA"/>
        </w:rPr>
        <w:fldChar w:fldCharType="separate"/>
      </w:r>
      <w:r>
        <w:rPr>
          <w:rFonts w:hint="eastAsia" w:ascii="黑体" w:hAnsi="黑体" w:eastAsia="黑体" w:cs="黑体"/>
          <w:bCs/>
          <w:kern w:val="44"/>
          <w:sz w:val="32"/>
          <w:szCs w:val="32"/>
          <w:lang w:val="en-US" w:eastAsia="zh-CN" w:bidi="ar-SA"/>
        </w:rPr>
        <w:t>第一章 磋商公告</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_Toc27937 \h </w:instrText>
      </w:r>
      <w:r>
        <w:rPr>
          <w:rFonts w:hint="eastAsia" w:ascii="黑体" w:hAnsi="黑体" w:eastAsia="黑体" w:cs="黑体"/>
          <w:sz w:val="32"/>
          <w:szCs w:val="32"/>
        </w:rPr>
        <w:fldChar w:fldCharType="separate"/>
      </w:r>
      <w:r>
        <w:rPr>
          <w:rFonts w:hint="eastAsia" w:ascii="黑体" w:hAnsi="黑体" w:eastAsia="黑体" w:cs="黑体"/>
          <w:sz w:val="32"/>
          <w:szCs w:val="32"/>
        </w:rPr>
        <w:t>2</w:t>
      </w:r>
      <w:r>
        <w:rPr>
          <w:rFonts w:hint="eastAsia" w:ascii="黑体" w:hAnsi="黑体" w:eastAsia="黑体" w:cs="黑体"/>
          <w:sz w:val="32"/>
          <w:szCs w:val="32"/>
        </w:rPr>
        <w:fldChar w:fldCharType="end"/>
      </w:r>
      <w:r>
        <w:rPr>
          <w:rFonts w:hint="eastAsia" w:ascii="黑体" w:hAnsi="黑体" w:eastAsia="黑体" w:cs="黑体"/>
          <w:bCs/>
          <w:color w:val="auto"/>
          <w:kern w:val="2"/>
          <w:sz w:val="32"/>
          <w:szCs w:val="32"/>
          <w:lang w:val="en-US" w:eastAsia="zh-CN" w:bidi="ar-SA"/>
        </w:rPr>
        <w:fldChar w:fldCharType="end"/>
      </w:r>
    </w:p>
    <w:p w14:paraId="2BAF7839">
      <w:pPr>
        <w:outlineLvl w:val="1"/>
        <w:rPr>
          <w:rFonts w:hint="default" w:ascii="黑体" w:hAnsi="黑体" w:eastAsia="黑体" w:cs="黑体"/>
          <w:bCs/>
          <w:color w:val="auto"/>
          <w:kern w:val="2"/>
          <w:sz w:val="32"/>
          <w:szCs w:val="32"/>
          <w:lang w:val="en-US" w:eastAsia="zh-CN" w:bidi="ar-SA"/>
        </w:rPr>
      </w:pPr>
      <w:r>
        <w:rPr>
          <w:rFonts w:hint="eastAsia" w:ascii="黑体" w:hAnsi="黑体" w:eastAsia="黑体" w:cs="黑体"/>
          <w:bCs/>
          <w:color w:val="auto"/>
          <w:kern w:val="2"/>
          <w:sz w:val="32"/>
          <w:szCs w:val="32"/>
          <w:lang w:val="en-US" w:eastAsia="zh-CN" w:bidi="ar-SA"/>
        </w:rPr>
        <w:t>第二章 供应商须知</w:t>
      </w:r>
      <w:r>
        <w:rPr>
          <w:rFonts w:hint="eastAsia" w:ascii="黑体" w:hAnsi="黑体" w:eastAsia="黑体" w:cs="黑体"/>
          <w:bCs/>
          <w:color w:val="auto"/>
          <w:kern w:val="2"/>
          <w:sz w:val="32"/>
          <w:szCs w:val="32"/>
          <w:lang w:val="en-US" w:eastAsia="zh-CN" w:bidi="ar-SA"/>
        </w:rPr>
        <w:tab/>
      </w:r>
      <w:r>
        <w:rPr>
          <w:rFonts w:hint="eastAsia" w:ascii="黑体" w:hAnsi="黑体" w:eastAsia="黑体" w:cs="黑体"/>
          <w:bCs/>
          <w:color w:val="auto"/>
          <w:kern w:val="2"/>
          <w:sz w:val="32"/>
          <w:szCs w:val="32"/>
          <w:lang w:val="en-US" w:eastAsia="zh-CN" w:bidi="ar-SA"/>
        </w:rPr>
        <w:t xml:space="preserve">                                         6</w:t>
      </w:r>
    </w:p>
    <w:p w14:paraId="03651290">
      <w:pPr>
        <w:pStyle w:val="11"/>
        <w:tabs>
          <w:tab w:val="right" w:leader="dot" w:pos="9746"/>
        </w:tabs>
        <w:rPr>
          <w:rFonts w:hint="eastAsia" w:ascii="黑体" w:hAnsi="黑体" w:eastAsia="黑体" w:cs="黑体"/>
          <w:sz w:val="32"/>
          <w:szCs w:val="32"/>
        </w:rPr>
      </w:pPr>
      <w:r>
        <w:rPr>
          <w:rFonts w:hint="eastAsia" w:ascii="黑体" w:hAnsi="黑体" w:eastAsia="黑体" w:cs="黑体"/>
          <w:bCs/>
          <w:color w:val="auto"/>
          <w:sz w:val="32"/>
          <w:szCs w:val="32"/>
        </w:rPr>
        <w:fldChar w:fldCharType="begin"/>
      </w:r>
      <w:r>
        <w:rPr>
          <w:rFonts w:hint="eastAsia" w:ascii="黑体" w:hAnsi="黑体" w:eastAsia="黑体" w:cs="黑体"/>
          <w:bCs/>
          <w:sz w:val="32"/>
          <w:szCs w:val="32"/>
        </w:rPr>
        <w:instrText xml:space="preserve"> HYPERLINK \l _Toc5958 </w:instrText>
      </w:r>
      <w:r>
        <w:rPr>
          <w:rFonts w:hint="eastAsia" w:ascii="黑体" w:hAnsi="黑体" w:eastAsia="黑体" w:cs="黑体"/>
          <w:bCs/>
          <w:sz w:val="32"/>
          <w:szCs w:val="32"/>
        </w:rPr>
        <w:fldChar w:fldCharType="separate"/>
      </w:r>
      <w:r>
        <w:rPr>
          <w:rFonts w:hint="eastAsia" w:ascii="黑体" w:hAnsi="黑体" w:eastAsia="黑体" w:cs="黑体"/>
          <w:bCs/>
          <w:color w:val="auto"/>
          <w:kern w:val="2"/>
          <w:sz w:val="32"/>
          <w:szCs w:val="32"/>
          <w:lang w:val="en-US" w:eastAsia="zh-CN" w:bidi="ar-SA"/>
        </w:rPr>
        <w:t>第三章 政府采购合同(最终以双方签订的合同为主)</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_Toc5958 \h </w:instrText>
      </w:r>
      <w:r>
        <w:rPr>
          <w:rFonts w:hint="eastAsia" w:ascii="黑体" w:hAnsi="黑体" w:eastAsia="黑体" w:cs="黑体"/>
          <w:sz w:val="32"/>
          <w:szCs w:val="32"/>
        </w:rPr>
        <w:fldChar w:fldCharType="separate"/>
      </w:r>
      <w:r>
        <w:rPr>
          <w:rFonts w:hint="eastAsia" w:ascii="黑体" w:hAnsi="黑体" w:eastAsia="黑体" w:cs="黑体"/>
          <w:sz w:val="32"/>
          <w:szCs w:val="32"/>
        </w:rPr>
        <w:t>34</w:t>
      </w:r>
      <w:r>
        <w:rPr>
          <w:rFonts w:hint="eastAsia" w:ascii="黑体" w:hAnsi="黑体" w:eastAsia="黑体" w:cs="黑体"/>
          <w:sz w:val="32"/>
          <w:szCs w:val="32"/>
        </w:rPr>
        <w:fldChar w:fldCharType="end"/>
      </w:r>
      <w:r>
        <w:rPr>
          <w:rFonts w:hint="eastAsia" w:ascii="黑体" w:hAnsi="黑体" w:eastAsia="黑体" w:cs="黑体"/>
          <w:bCs/>
          <w:color w:val="auto"/>
          <w:sz w:val="32"/>
          <w:szCs w:val="32"/>
        </w:rPr>
        <w:fldChar w:fldCharType="end"/>
      </w:r>
    </w:p>
    <w:p w14:paraId="58408047">
      <w:pPr>
        <w:pStyle w:val="11"/>
        <w:tabs>
          <w:tab w:val="right" w:leader="dot" w:pos="9746"/>
        </w:tabs>
        <w:rPr>
          <w:rFonts w:hint="eastAsia" w:ascii="黑体" w:hAnsi="黑体" w:eastAsia="黑体" w:cs="黑体"/>
          <w:sz w:val="32"/>
          <w:szCs w:val="32"/>
        </w:rPr>
      </w:pPr>
      <w:r>
        <w:rPr>
          <w:rFonts w:hint="eastAsia" w:ascii="黑体" w:hAnsi="黑体" w:eastAsia="黑体" w:cs="黑体"/>
          <w:bCs/>
          <w:color w:val="auto"/>
          <w:sz w:val="32"/>
          <w:szCs w:val="32"/>
        </w:rPr>
        <w:fldChar w:fldCharType="begin"/>
      </w:r>
      <w:r>
        <w:rPr>
          <w:rFonts w:hint="eastAsia" w:ascii="黑体" w:hAnsi="黑体" w:eastAsia="黑体" w:cs="黑体"/>
          <w:bCs/>
          <w:sz w:val="32"/>
          <w:szCs w:val="32"/>
        </w:rPr>
        <w:instrText xml:space="preserve"> HYPERLINK \l _Toc9068 </w:instrText>
      </w:r>
      <w:r>
        <w:rPr>
          <w:rFonts w:hint="eastAsia" w:ascii="黑体" w:hAnsi="黑体" w:eastAsia="黑体" w:cs="黑体"/>
          <w:bCs/>
          <w:sz w:val="32"/>
          <w:szCs w:val="32"/>
        </w:rPr>
        <w:fldChar w:fldCharType="separate"/>
      </w:r>
      <w:r>
        <w:rPr>
          <w:rFonts w:hint="eastAsia" w:ascii="黑体" w:hAnsi="黑体" w:eastAsia="黑体" w:cs="黑体"/>
          <w:kern w:val="44"/>
          <w:sz w:val="32"/>
          <w:szCs w:val="32"/>
          <w:lang w:val="en-US" w:eastAsia="zh-CN" w:bidi="ar-SA"/>
        </w:rPr>
        <w:t xml:space="preserve">第四章 </w:t>
      </w:r>
      <w:r>
        <w:rPr>
          <w:rFonts w:hint="eastAsia" w:ascii="黑体" w:hAnsi="黑体" w:eastAsia="黑体" w:cs="黑体"/>
          <w:kern w:val="44"/>
          <w:sz w:val="32"/>
          <w:szCs w:val="32"/>
          <w:highlight w:val="none"/>
          <w:lang w:val="en-US" w:eastAsia="zh-CN" w:bidi="ar-SA"/>
        </w:rPr>
        <w:t>采购需求</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_Toc9068 \h </w:instrText>
      </w:r>
      <w:r>
        <w:rPr>
          <w:rFonts w:hint="eastAsia" w:ascii="黑体" w:hAnsi="黑体" w:eastAsia="黑体" w:cs="黑体"/>
          <w:sz w:val="32"/>
          <w:szCs w:val="32"/>
        </w:rPr>
        <w:fldChar w:fldCharType="separate"/>
      </w:r>
      <w:r>
        <w:rPr>
          <w:rFonts w:hint="eastAsia" w:ascii="黑体" w:hAnsi="黑体" w:eastAsia="黑体" w:cs="黑体"/>
          <w:sz w:val="32"/>
          <w:szCs w:val="32"/>
        </w:rPr>
        <w:t>38</w:t>
      </w:r>
      <w:r>
        <w:rPr>
          <w:rFonts w:hint="eastAsia" w:ascii="黑体" w:hAnsi="黑体" w:eastAsia="黑体" w:cs="黑体"/>
          <w:sz w:val="32"/>
          <w:szCs w:val="32"/>
        </w:rPr>
        <w:fldChar w:fldCharType="end"/>
      </w:r>
      <w:r>
        <w:rPr>
          <w:rFonts w:hint="eastAsia" w:ascii="黑体" w:hAnsi="黑体" w:eastAsia="黑体" w:cs="黑体"/>
          <w:bCs/>
          <w:color w:val="auto"/>
          <w:sz w:val="32"/>
          <w:szCs w:val="32"/>
        </w:rPr>
        <w:fldChar w:fldCharType="end"/>
      </w:r>
    </w:p>
    <w:p w14:paraId="4A7459FE">
      <w:pPr>
        <w:pStyle w:val="11"/>
        <w:tabs>
          <w:tab w:val="right" w:leader="dot" w:pos="9746"/>
        </w:tabs>
        <w:rPr>
          <w:rFonts w:hint="eastAsia" w:ascii="黑体" w:hAnsi="黑体" w:eastAsia="黑体" w:cs="黑体"/>
          <w:sz w:val="32"/>
          <w:szCs w:val="32"/>
        </w:rPr>
      </w:pPr>
      <w:r>
        <w:rPr>
          <w:rFonts w:hint="eastAsia" w:ascii="黑体" w:hAnsi="黑体" w:eastAsia="黑体" w:cs="黑体"/>
          <w:bCs/>
          <w:color w:val="auto"/>
          <w:sz w:val="32"/>
          <w:szCs w:val="32"/>
        </w:rPr>
        <w:fldChar w:fldCharType="begin"/>
      </w:r>
      <w:r>
        <w:rPr>
          <w:rFonts w:hint="eastAsia" w:ascii="黑体" w:hAnsi="黑体" w:eastAsia="黑体" w:cs="黑体"/>
          <w:bCs/>
          <w:sz w:val="32"/>
          <w:szCs w:val="32"/>
        </w:rPr>
        <w:instrText xml:space="preserve"> HYPERLINK \l _Toc28840 </w:instrText>
      </w:r>
      <w:r>
        <w:rPr>
          <w:rFonts w:hint="eastAsia" w:ascii="黑体" w:hAnsi="黑体" w:eastAsia="黑体" w:cs="黑体"/>
          <w:bCs/>
          <w:sz w:val="32"/>
          <w:szCs w:val="32"/>
        </w:rPr>
        <w:fldChar w:fldCharType="separate"/>
      </w:r>
      <w:r>
        <w:rPr>
          <w:rFonts w:hint="eastAsia" w:ascii="黑体" w:hAnsi="黑体" w:eastAsia="黑体" w:cs="黑体"/>
          <w:kern w:val="0"/>
          <w:sz w:val="32"/>
          <w:szCs w:val="32"/>
          <w:highlight w:val="none"/>
          <w:lang w:val="en-US" w:eastAsia="zh-CN"/>
        </w:rPr>
        <w:t xml:space="preserve">第五章 </w:t>
      </w:r>
      <w:r>
        <w:rPr>
          <w:rFonts w:hint="eastAsia" w:ascii="黑体" w:hAnsi="黑体" w:eastAsia="黑体" w:cs="黑体"/>
          <w:kern w:val="0"/>
          <w:sz w:val="32"/>
          <w:szCs w:val="32"/>
          <w:highlight w:val="none"/>
        </w:rPr>
        <w:t>评审办法</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_Toc28840 \h </w:instrText>
      </w:r>
      <w:r>
        <w:rPr>
          <w:rFonts w:hint="eastAsia" w:ascii="黑体" w:hAnsi="黑体" w:eastAsia="黑体" w:cs="黑体"/>
          <w:sz w:val="32"/>
          <w:szCs w:val="32"/>
        </w:rPr>
        <w:fldChar w:fldCharType="separate"/>
      </w:r>
      <w:r>
        <w:rPr>
          <w:rFonts w:hint="eastAsia" w:ascii="黑体" w:hAnsi="黑体" w:eastAsia="黑体" w:cs="黑体"/>
          <w:sz w:val="32"/>
          <w:szCs w:val="32"/>
        </w:rPr>
        <w:t>44</w:t>
      </w:r>
      <w:r>
        <w:rPr>
          <w:rFonts w:hint="eastAsia" w:ascii="黑体" w:hAnsi="黑体" w:eastAsia="黑体" w:cs="黑体"/>
          <w:sz w:val="32"/>
          <w:szCs w:val="32"/>
        </w:rPr>
        <w:fldChar w:fldCharType="end"/>
      </w:r>
      <w:r>
        <w:rPr>
          <w:rFonts w:hint="eastAsia" w:ascii="黑体" w:hAnsi="黑体" w:eastAsia="黑体" w:cs="黑体"/>
          <w:bCs/>
          <w:color w:val="auto"/>
          <w:sz w:val="32"/>
          <w:szCs w:val="32"/>
        </w:rPr>
        <w:fldChar w:fldCharType="end"/>
      </w:r>
    </w:p>
    <w:p w14:paraId="5C14AC81">
      <w:pPr>
        <w:pStyle w:val="11"/>
        <w:tabs>
          <w:tab w:val="right" w:leader="dot" w:pos="9746"/>
        </w:tabs>
      </w:pPr>
      <w:r>
        <w:rPr>
          <w:rFonts w:hint="eastAsia" w:ascii="黑体" w:hAnsi="黑体" w:eastAsia="黑体" w:cs="黑体"/>
          <w:bCs/>
          <w:color w:val="auto"/>
          <w:sz w:val="32"/>
          <w:szCs w:val="32"/>
        </w:rPr>
        <w:fldChar w:fldCharType="begin"/>
      </w:r>
      <w:r>
        <w:rPr>
          <w:rFonts w:hint="eastAsia" w:ascii="黑体" w:hAnsi="黑体" w:eastAsia="黑体" w:cs="黑体"/>
          <w:bCs/>
          <w:sz w:val="32"/>
          <w:szCs w:val="32"/>
        </w:rPr>
        <w:instrText xml:space="preserve"> HYPERLINK \l _Toc16279 </w:instrText>
      </w:r>
      <w:r>
        <w:rPr>
          <w:rFonts w:hint="eastAsia" w:ascii="黑体" w:hAnsi="黑体" w:eastAsia="黑体" w:cs="黑体"/>
          <w:bCs/>
          <w:sz w:val="32"/>
          <w:szCs w:val="32"/>
        </w:rPr>
        <w:fldChar w:fldCharType="separate"/>
      </w:r>
      <w:r>
        <w:rPr>
          <w:rFonts w:hint="eastAsia" w:ascii="黑体" w:hAnsi="黑体" w:eastAsia="黑体" w:cs="黑体"/>
          <w:bCs/>
          <w:sz w:val="32"/>
          <w:szCs w:val="32"/>
          <w:highlight w:val="none"/>
          <w:lang w:val="en-US" w:eastAsia="zh-CN" w:bidi="zh-CN"/>
        </w:rPr>
        <w:t>第六章 响应文件格式</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_Toc16279 \h </w:instrText>
      </w:r>
      <w:r>
        <w:rPr>
          <w:rFonts w:hint="eastAsia" w:ascii="黑体" w:hAnsi="黑体" w:eastAsia="黑体" w:cs="黑体"/>
          <w:sz w:val="32"/>
          <w:szCs w:val="32"/>
        </w:rPr>
        <w:fldChar w:fldCharType="separate"/>
      </w:r>
      <w:r>
        <w:rPr>
          <w:rFonts w:hint="eastAsia" w:ascii="黑体" w:hAnsi="黑体" w:eastAsia="黑体" w:cs="黑体"/>
          <w:sz w:val="32"/>
          <w:szCs w:val="32"/>
        </w:rPr>
        <w:t>51</w:t>
      </w:r>
      <w:r>
        <w:rPr>
          <w:rFonts w:hint="eastAsia" w:ascii="黑体" w:hAnsi="黑体" w:eastAsia="黑体" w:cs="黑体"/>
          <w:sz w:val="32"/>
          <w:szCs w:val="32"/>
        </w:rPr>
        <w:fldChar w:fldCharType="end"/>
      </w:r>
      <w:r>
        <w:rPr>
          <w:rFonts w:hint="eastAsia" w:ascii="黑体" w:hAnsi="黑体" w:eastAsia="黑体" w:cs="黑体"/>
          <w:bCs/>
          <w:color w:val="auto"/>
          <w:sz w:val="32"/>
          <w:szCs w:val="32"/>
        </w:rPr>
        <w:fldChar w:fldCharType="end"/>
      </w:r>
    </w:p>
    <w:p w14:paraId="58F0AEAE">
      <w:pPr>
        <w:spacing w:line="360" w:lineRule="auto"/>
        <w:rPr>
          <w:rFonts w:hint="eastAsia" w:ascii="宋体" w:hAnsi="宋体" w:eastAsia="宋体" w:cs="宋体"/>
          <w:b w:val="0"/>
          <w:bCs/>
          <w:color w:val="auto"/>
          <w:sz w:val="24"/>
        </w:rPr>
      </w:pPr>
      <w:r>
        <w:rPr>
          <w:rFonts w:hint="eastAsia" w:ascii="宋体" w:hAnsi="宋体" w:eastAsia="宋体" w:cs="宋体"/>
          <w:bCs/>
          <w:color w:val="auto"/>
          <w:szCs w:val="28"/>
        </w:rPr>
        <w:fldChar w:fldCharType="end"/>
      </w:r>
    </w:p>
    <w:p w14:paraId="5439125E">
      <w:pPr>
        <w:adjustRightInd w:val="0"/>
        <w:snapToGrid w:val="0"/>
        <w:spacing w:line="360" w:lineRule="auto"/>
        <w:rPr>
          <w:rFonts w:hint="eastAsia" w:ascii="宋体" w:hAnsi="宋体" w:cs="宋体"/>
          <w:b w:val="0"/>
          <w:bCs/>
          <w:color w:val="auto"/>
          <w:sz w:val="24"/>
        </w:rPr>
        <w:sectPr>
          <w:footerReference r:id="rId7" w:type="first"/>
          <w:footerReference r:id="rId6" w:type="default"/>
          <w:pgSz w:w="11906" w:h="16838"/>
          <w:pgMar w:top="1440" w:right="1080" w:bottom="1440" w:left="1080" w:header="851" w:footer="992" w:gutter="0"/>
          <w:pgNumType w:fmt="decimal" w:start="1"/>
          <w:cols w:space="720" w:num="1"/>
          <w:titlePg/>
          <w:docGrid w:type="lines" w:linePitch="312" w:charSpace="0"/>
        </w:sectPr>
      </w:pPr>
    </w:p>
    <w:p w14:paraId="70BE4044">
      <w:pPr>
        <w:keepNext/>
        <w:keepLines/>
        <w:pageBreakBefore w:val="0"/>
        <w:widowControl w:val="0"/>
        <w:numPr>
          <w:ilvl w:val="0"/>
          <w:numId w:val="0"/>
        </w:numPr>
        <w:kinsoku/>
        <w:wordWrap/>
        <w:overflowPunct/>
        <w:topLinePunct w:val="0"/>
        <w:autoSpaceDE/>
        <w:autoSpaceDN/>
        <w:bidi w:val="0"/>
        <w:adjustRightInd/>
        <w:snapToGrid/>
        <w:spacing w:before="340" w:after="330" w:line="400" w:lineRule="exact"/>
        <w:jc w:val="center"/>
        <w:textAlignment w:val="auto"/>
        <w:outlineLvl w:val="0"/>
        <w:rPr>
          <w:rFonts w:hint="eastAsia" w:ascii="Times New Roman" w:hAnsi="Times New Roman" w:eastAsia="黑体" w:cs="Times New Roman"/>
          <w:b w:val="0"/>
          <w:bCs/>
          <w:color w:val="auto"/>
          <w:kern w:val="44"/>
          <w:sz w:val="36"/>
          <w:szCs w:val="44"/>
          <w:highlight w:val="none"/>
          <w:lang w:val="en-US" w:eastAsia="zh-CN" w:bidi="ar-SA"/>
        </w:rPr>
      </w:pPr>
      <w:bookmarkStart w:id="0" w:name="_Toc30688"/>
      <w:bookmarkStart w:id="1" w:name="_Toc10182"/>
      <w:bookmarkStart w:id="2" w:name="_Toc462489954"/>
      <w:bookmarkStart w:id="3" w:name="_Toc29260"/>
      <w:bookmarkStart w:id="4" w:name="_Toc19821"/>
      <w:bookmarkStart w:id="5" w:name="_Toc19278"/>
      <w:bookmarkStart w:id="6" w:name="_Toc1555"/>
      <w:bookmarkStart w:id="7" w:name="_Toc14361"/>
      <w:bookmarkStart w:id="8" w:name="_Toc10564"/>
      <w:bookmarkStart w:id="9" w:name="_Toc14276"/>
      <w:bookmarkStart w:id="10" w:name="_Toc22548"/>
      <w:bookmarkStart w:id="11" w:name="_Toc26602"/>
      <w:bookmarkStart w:id="12" w:name="_Toc8001"/>
      <w:bookmarkStart w:id="13" w:name="_Toc12044"/>
      <w:bookmarkStart w:id="14" w:name="_Toc25410"/>
      <w:bookmarkStart w:id="15" w:name="_Toc32202"/>
      <w:r>
        <w:rPr>
          <w:rFonts w:hint="eastAsia" w:ascii="Times New Roman" w:hAnsi="Times New Roman" w:eastAsia="黑体" w:cs="Times New Roman"/>
          <w:b w:val="0"/>
          <w:bCs/>
          <w:color w:val="auto"/>
          <w:kern w:val="44"/>
          <w:sz w:val="36"/>
          <w:szCs w:val="44"/>
          <w:lang w:val="en-US" w:eastAsia="zh-CN" w:bidi="ar-SA"/>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Toc25174"/>
      <w:bookmarkStart w:id="17" w:name="_Toc27937"/>
      <w:r>
        <w:rPr>
          <w:rFonts w:hint="eastAsia" w:ascii="Times New Roman" w:hAnsi="Times New Roman" w:eastAsia="黑体" w:cs="Times New Roman"/>
          <w:b w:val="0"/>
          <w:bCs/>
          <w:color w:val="auto"/>
          <w:kern w:val="44"/>
          <w:sz w:val="36"/>
          <w:szCs w:val="44"/>
          <w:lang w:val="en-US" w:eastAsia="zh-CN" w:bidi="ar-SA"/>
        </w:rPr>
        <w:t xml:space="preserve">第一章 </w:t>
      </w:r>
      <w:bookmarkEnd w:id="16"/>
      <w:r>
        <w:rPr>
          <w:rFonts w:hint="eastAsia" w:ascii="Times New Roman" w:hAnsi="Times New Roman" w:eastAsia="黑体" w:cs="Times New Roman"/>
          <w:b w:val="0"/>
          <w:bCs/>
          <w:color w:val="auto"/>
          <w:kern w:val="44"/>
          <w:sz w:val="36"/>
          <w:szCs w:val="44"/>
          <w:lang w:val="en-US" w:eastAsia="zh-CN" w:bidi="ar-SA"/>
        </w:rPr>
        <w:t>磋商公告</w:t>
      </w:r>
      <w:bookmarkEnd w:id="17"/>
    </w:p>
    <w:p w14:paraId="3C494B4A">
      <w:pPr>
        <w:keepNext/>
        <w:keepLines/>
        <w:pageBreakBefore w:val="0"/>
        <w:widowControl w:val="0"/>
        <w:numPr>
          <w:ilvl w:val="0"/>
          <w:numId w:val="0"/>
        </w:numPr>
        <w:kinsoku/>
        <w:wordWrap/>
        <w:overflowPunct/>
        <w:topLinePunct w:val="0"/>
        <w:autoSpaceDE/>
        <w:autoSpaceDN/>
        <w:bidi w:val="0"/>
        <w:adjustRightInd/>
        <w:snapToGrid/>
        <w:spacing w:before="100" w:beforeAutospacing="1" w:after="100" w:afterAutospacing="1" w:line="560" w:lineRule="exact"/>
        <w:ind w:leftChars="0"/>
        <w:jc w:val="center"/>
        <w:textAlignment w:val="auto"/>
        <w:rPr>
          <w:rFonts w:hint="eastAsia" w:ascii="宋体" w:hAnsi="宋体" w:eastAsia="宋体" w:cs="宋体"/>
          <w:b/>
          <w:bCs/>
          <w:color w:val="auto"/>
          <w:kern w:val="44"/>
          <w:sz w:val="36"/>
          <w:szCs w:val="13"/>
          <w:highlight w:val="none"/>
          <w:lang w:val="en-US" w:eastAsia="zh-CN" w:bidi="ar"/>
        </w:rPr>
      </w:pPr>
      <w:r>
        <w:rPr>
          <w:rFonts w:hint="eastAsia" w:ascii="宋体" w:hAnsi="宋体" w:eastAsia="宋体" w:cs="宋体"/>
          <w:b/>
          <w:bCs/>
          <w:color w:val="auto"/>
          <w:kern w:val="44"/>
          <w:sz w:val="36"/>
          <w:szCs w:val="13"/>
          <w:highlight w:val="none"/>
          <w:lang w:val="en-US" w:eastAsia="zh-CN" w:bidi="ar"/>
        </w:rPr>
        <w:t>实验室设备维护保养服务项目竞争性磋商公告</w:t>
      </w:r>
    </w:p>
    <w:p w14:paraId="5E9FB1DD">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240" w:lineRule="atLeast"/>
        <w:ind w:firstLine="560" w:firstLineChars="200"/>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项目概况</w:t>
      </w:r>
    </w:p>
    <w:p w14:paraId="6A7A8409">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240" w:lineRule="atLeast"/>
        <w:ind w:firstLine="560" w:firstLineChars="200"/>
        <w:textAlignment w:val="auto"/>
        <w:rPr>
          <w:rFonts w:ascii="仿宋" w:hAnsi="仿宋" w:eastAsia="仿宋" w:cs="仿宋"/>
          <w:b w:val="0"/>
          <w:bCs w:val="0"/>
          <w:color w:val="FF0000"/>
          <w:kern w:val="0"/>
          <w:sz w:val="28"/>
          <w:szCs w:val="28"/>
          <w:highlight w:val="none"/>
        </w:rPr>
      </w:pPr>
      <w:r>
        <w:rPr>
          <w:rFonts w:hint="eastAsia" w:ascii="仿宋" w:hAnsi="仿宋" w:eastAsia="仿宋" w:cs="仿宋"/>
          <w:color w:val="auto"/>
          <w:kern w:val="0"/>
          <w:sz w:val="28"/>
          <w:szCs w:val="28"/>
          <w:highlight w:val="none"/>
          <w:lang w:eastAsia="zh-CN"/>
        </w:rPr>
        <w:t>实验室设备维护保养服务项目</w:t>
      </w:r>
      <w:r>
        <w:rPr>
          <w:rFonts w:hint="eastAsia" w:ascii="仿宋" w:hAnsi="仿宋" w:eastAsia="仿宋" w:cs="仿宋"/>
          <w:color w:val="auto"/>
          <w:kern w:val="0"/>
          <w:sz w:val="28"/>
          <w:szCs w:val="28"/>
          <w:highlight w:val="none"/>
        </w:rPr>
        <w:t>招标项目的潜在供应商应在新疆政府采购网（政采云平台）获取采购文件，并于</w:t>
      </w:r>
      <w:r>
        <w:rPr>
          <w:rFonts w:hint="eastAsia" w:ascii="仿宋" w:hAnsi="仿宋" w:eastAsia="仿宋" w:cs="仿宋"/>
          <w:color w:val="auto"/>
          <w:kern w:val="0"/>
          <w:sz w:val="28"/>
          <w:szCs w:val="28"/>
          <w:highlight w:val="none"/>
          <w:lang w:eastAsia="zh-CN"/>
        </w:rPr>
        <w:t>202</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lang w:eastAsia="zh-CN"/>
        </w:rPr>
        <w:t>年</w:t>
      </w:r>
      <w:r>
        <w:rPr>
          <w:rFonts w:hint="eastAsia" w:ascii="仿宋" w:hAnsi="仿宋" w:eastAsia="仿宋" w:cs="仿宋"/>
          <w:color w:val="auto"/>
          <w:kern w:val="0"/>
          <w:sz w:val="28"/>
          <w:szCs w:val="28"/>
          <w:highlight w:val="none"/>
          <w:lang w:val="en-US" w:eastAsia="zh-CN"/>
        </w:rPr>
        <w:t>06</w:t>
      </w:r>
      <w:r>
        <w:rPr>
          <w:rFonts w:hint="eastAsia" w:ascii="仿宋" w:hAnsi="仿宋" w:eastAsia="仿宋" w:cs="仿宋"/>
          <w:color w:val="auto"/>
          <w:kern w:val="0"/>
          <w:sz w:val="28"/>
          <w:szCs w:val="28"/>
          <w:highlight w:val="none"/>
          <w:lang w:eastAsia="zh-CN"/>
        </w:rPr>
        <w:t>月</w:t>
      </w:r>
      <w:r>
        <w:rPr>
          <w:rFonts w:hint="eastAsia" w:ascii="仿宋" w:hAnsi="仿宋" w:eastAsia="仿宋" w:cs="仿宋"/>
          <w:color w:val="auto"/>
          <w:kern w:val="0"/>
          <w:sz w:val="28"/>
          <w:szCs w:val="28"/>
          <w:highlight w:val="none"/>
          <w:lang w:val="en-US" w:eastAsia="zh-CN"/>
        </w:rPr>
        <w:t>17</w:t>
      </w:r>
      <w:r>
        <w:rPr>
          <w:rFonts w:hint="eastAsia" w:ascii="仿宋" w:hAnsi="仿宋" w:eastAsia="仿宋" w:cs="仿宋"/>
          <w:color w:val="auto"/>
          <w:kern w:val="0"/>
          <w:sz w:val="28"/>
          <w:szCs w:val="28"/>
          <w:highlight w:val="none"/>
          <w:lang w:eastAsia="zh-CN"/>
        </w:rPr>
        <w:t xml:space="preserve">日 </w:t>
      </w:r>
      <w:r>
        <w:rPr>
          <w:rFonts w:hint="eastAsia" w:ascii="仿宋" w:hAnsi="仿宋" w:eastAsia="仿宋" w:cs="仿宋"/>
          <w:color w:val="auto"/>
          <w:kern w:val="0"/>
          <w:sz w:val="28"/>
          <w:szCs w:val="28"/>
          <w:highlight w:val="none"/>
          <w:lang w:val="en-US" w:eastAsia="zh-CN"/>
        </w:rPr>
        <w:t>10</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lang w:eastAsia="zh-CN"/>
        </w:rPr>
        <w:t>0</w:t>
      </w:r>
      <w:r>
        <w:rPr>
          <w:rFonts w:hint="eastAsia" w:ascii="仿宋" w:hAnsi="仿宋" w:eastAsia="仿宋" w:cs="仿宋"/>
          <w:color w:val="auto"/>
          <w:kern w:val="0"/>
          <w:sz w:val="28"/>
          <w:szCs w:val="28"/>
          <w:highlight w:val="none"/>
        </w:rPr>
        <w:t>（北京时间）前递交响应文件。</w:t>
      </w:r>
    </w:p>
    <w:p w14:paraId="25B6445A">
      <w:pPr>
        <w:keepNext w:val="0"/>
        <w:keepLines w:val="0"/>
        <w:pageBreakBefore w:val="0"/>
        <w:widowControl w:val="0"/>
        <w:numPr>
          <w:ilvl w:val="0"/>
          <w:numId w:val="2"/>
        </w:numPr>
        <w:kinsoku/>
        <w:wordWrap/>
        <w:overflowPunct/>
        <w:topLinePunct w:val="0"/>
        <w:autoSpaceDE/>
        <w:autoSpaceDN/>
        <w:bidi w:val="0"/>
        <w:adjustRightInd/>
        <w:snapToGrid/>
        <w:spacing w:line="420" w:lineRule="exact"/>
        <w:jc w:val="both"/>
        <w:textAlignment w:val="auto"/>
        <w:outlineLvl w:val="1"/>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项目基本情况</w:t>
      </w:r>
    </w:p>
    <w:p w14:paraId="7C66E25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rPr>
        <w:t>项目编号：</w:t>
      </w:r>
      <w:r>
        <w:rPr>
          <w:rFonts w:hint="eastAsia" w:ascii="仿宋" w:hAnsi="仿宋" w:eastAsia="仿宋" w:cs="仿宋"/>
          <w:color w:val="auto"/>
          <w:sz w:val="24"/>
          <w:szCs w:val="24"/>
          <w:highlight w:val="none"/>
          <w:lang w:val="en-US" w:eastAsia="zh-CN"/>
        </w:rPr>
        <w:t>2026-0508-173238</w:t>
      </w:r>
    </w:p>
    <w:p w14:paraId="6578117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实验室设备维护保养服务项目</w:t>
      </w:r>
    </w:p>
    <w:p w14:paraId="4FDF799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采购方式：</w:t>
      </w:r>
      <w:r>
        <w:rPr>
          <w:rFonts w:hint="eastAsia" w:ascii="仿宋" w:hAnsi="仿宋" w:eastAsia="仿宋" w:cs="仿宋"/>
          <w:color w:val="auto"/>
          <w:sz w:val="24"/>
          <w:szCs w:val="24"/>
          <w:highlight w:val="none"/>
          <w:lang w:val="en-US" w:eastAsia="zh-CN"/>
        </w:rPr>
        <w:t>竞争性磋商</w:t>
      </w:r>
    </w:p>
    <w:p w14:paraId="4F88D21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710000.00</w:t>
      </w:r>
    </w:p>
    <w:p w14:paraId="3A0A799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710000.00</w:t>
      </w:r>
    </w:p>
    <w:p w14:paraId="4F10B16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eastAsia="zh-CN"/>
        </w:rPr>
        <w:t>对</w:t>
      </w:r>
      <w:r>
        <w:rPr>
          <w:rFonts w:hint="eastAsia" w:ascii="仿宋" w:hAnsi="仿宋" w:eastAsia="仿宋" w:cs="仿宋"/>
          <w:color w:val="auto"/>
          <w:sz w:val="24"/>
          <w:szCs w:val="24"/>
          <w:highlight w:val="none"/>
          <w:lang w:val="en-US" w:eastAsia="zh-CN"/>
        </w:rPr>
        <w:t>实验室设备维护保养详见采购需求</w:t>
      </w:r>
    </w:p>
    <w:p w14:paraId="5B64ECA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val="en-US" w:eastAsia="zh-CN"/>
        </w:rPr>
        <w:t>实验室设备维护保养服务项目</w:t>
      </w:r>
    </w:p>
    <w:p w14:paraId="4DA529A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1批</w:t>
      </w:r>
    </w:p>
    <w:p w14:paraId="63BC599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eastAsia="zh-CN"/>
        </w:rPr>
        <w:t>对</w:t>
      </w:r>
      <w:r>
        <w:rPr>
          <w:rFonts w:hint="eastAsia" w:ascii="仿宋" w:hAnsi="仿宋" w:eastAsia="仿宋" w:cs="仿宋"/>
          <w:color w:val="auto"/>
          <w:sz w:val="24"/>
          <w:szCs w:val="24"/>
          <w:highlight w:val="none"/>
          <w:lang w:val="en-US" w:eastAsia="zh-CN"/>
        </w:rPr>
        <w:t>实验室设备维护保养（详见采购需求）</w:t>
      </w:r>
    </w:p>
    <w:p w14:paraId="41F83E5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b/>
          <w:bCs/>
          <w:color w:val="auto"/>
          <w:sz w:val="24"/>
          <w:szCs w:val="24"/>
          <w:highlight w:val="none"/>
          <w:lang w:val="en-US" w:eastAsia="zh-CN"/>
        </w:rPr>
        <w:t>该项目以实际工作量作为实际支付依据</w:t>
      </w:r>
    </w:p>
    <w:p w14:paraId="0815433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一年（自合同签订之日起计算）。</w:t>
      </w:r>
    </w:p>
    <w:p w14:paraId="2786E8B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36D0205B">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申请人的资格要求：</w:t>
      </w:r>
    </w:p>
    <w:p w14:paraId="6DC156C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1.满足《中华人民共和国政府采购法》第二十二条规定；</w:t>
      </w:r>
    </w:p>
    <w:p w14:paraId="711A394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2.落实政府采购政策需满足的资格要求：本项目专门面向中小企业采购。</w:t>
      </w:r>
    </w:p>
    <w:p w14:paraId="1CC20A6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3.本项目的特定资格要求：无</w:t>
      </w:r>
    </w:p>
    <w:p w14:paraId="7DC97852">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获取采购文件</w:t>
      </w:r>
    </w:p>
    <w:p w14:paraId="190588F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时间：2026年06月05日至2026年06月12日，每天上午10:00至14:00，下午16:00至20:00（北京时间，法定节假日除外）</w:t>
      </w:r>
    </w:p>
    <w:p w14:paraId="419A3B6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地点：政采云平台（https://www.zcygov.cn/）</w:t>
      </w:r>
    </w:p>
    <w:p w14:paraId="34A673D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方式：供应商登录政采云平台https://www.zcygov.cn/在线申请获取采购文件（进入“项目采购”应用，在获取采购文件菜单中选择项目，申请获取采购文件）/</w:t>
      </w:r>
    </w:p>
    <w:p w14:paraId="2195A25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bCs/>
          <w:sz w:val="24"/>
          <w:szCs w:val="24"/>
          <w:highlight w:val="none"/>
        </w:rPr>
      </w:pPr>
      <w:r>
        <w:rPr>
          <w:rFonts w:hint="eastAsia" w:ascii="仿宋" w:hAnsi="仿宋" w:eastAsia="仿宋" w:cs="仿宋"/>
          <w:b w:val="0"/>
          <w:bCs w:val="0"/>
          <w:sz w:val="24"/>
          <w:szCs w:val="24"/>
          <w:highlight w:val="none"/>
          <w:lang w:val="en-US" w:eastAsia="zh-CN"/>
        </w:rPr>
        <w:t xml:space="preserve">售价（元）：0元 </w:t>
      </w:r>
    </w:p>
    <w:p w14:paraId="4310E9DF">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 xml:space="preserve">响应文件提交 </w:t>
      </w:r>
    </w:p>
    <w:p w14:paraId="21EEF5E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截止时间：2026年06月17日10:30（北京时间）</w:t>
      </w:r>
    </w:p>
    <w:p w14:paraId="11F6F37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地    点：政采云平台（https://www.zcygov.cn/），本项目采用不见面开标，加密的电子响应文件在投标截止时间前在政采云平台上传。</w:t>
      </w:r>
    </w:p>
    <w:p w14:paraId="6B7A8525">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响应文件开启</w:t>
      </w:r>
    </w:p>
    <w:p w14:paraId="5D8E043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开标时间：2026年06月17日10:30</w:t>
      </w:r>
      <w:r>
        <w:rPr>
          <w:rFonts w:hint="eastAsia" w:ascii="仿宋" w:hAnsi="仿宋" w:eastAsia="仿宋" w:cs="仿宋"/>
          <w:b w:val="0"/>
          <w:bCs w:val="0"/>
          <w:sz w:val="24"/>
          <w:szCs w:val="24"/>
          <w:highlight w:val="none"/>
          <w:lang w:val="en-US" w:eastAsia="zh-CN"/>
        </w:rPr>
        <w:t>（北京时间）</w:t>
      </w:r>
    </w:p>
    <w:p w14:paraId="466266D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开标地点：政采云平台（https://www.zcygov.cn/）不见面开标系统</w:t>
      </w:r>
    </w:p>
    <w:p w14:paraId="6F74B2E0">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 xml:space="preserve">公告期限 </w:t>
      </w:r>
    </w:p>
    <w:p w14:paraId="0A74CBD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自本公告发布之日起</w:t>
      </w:r>
      <w:r>
        <w:rPr>
          <w:rFonts w:hint="eastAsia" w:ascii="仿宋" w:hAnsi="仿宋" w:eastAsia="仿宋" w:cs="仿宋"/>
          <w:b w:val="0"/>
          <w:bCs w:val="0"/>
          <w:sz w:val="24"/>
          <w:szCs w:val="24"/>
          <w:highlight w:val="none"/>
          <w:lang w:val="en-US" w:eastAsia="zh-CN"/>
        </w:rPr>
        <w:t>5</w:t>
      </w:r>
      <w:r>
        <w:rPr>
          <w:rFonts w:hint="eastAsia" w:ascii="仿宋" w:hAnsi="仿宋" w:eastAsia="仿宋" w:cs="仿宋"/>
          <w:b w:val="0"/>
          <w:bCs w:val="0"/>
          <w:sz w:val="24"/>
          <w:szCs w:val="24"/>
          <w:highlight w:val="none"/>
        </w:rPr>
        <w:t>个工作日。</w:t>
      </w:r>
    </w:p>
    <w:p w14:paraId="6E41B82D">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 xml:space="preserve">其他补充事宜 </w:t>
      </w:r>
    </w:p>
    <w:p w14:paraId="64EE893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1、本项目实行网上投标，采用电子响应文件。</w:t>
      </w:r>
    </w:p>
    <w:p w14:paraId="5A77C5E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8EECA8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3、供应商将政采云电子交易客户端下载、安装完成后，可通过账号密码或CA登录客户端进行响应文件的制作。在使用政采云投标客户端时，建议使用WIN7及以上操作系统。</w:t>
      </w:r>
    </w:p>
    <w:p w14:paraId="35D2B0A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其他事项：（1）本次公告在新疆政府采购网及阿克苏地区行政公署网同时发布；（2）请投标单位随时关注本项目的变更、答疑、澄清文件。（3）本项目实行电子招投标，供应商须登录政采云平台申请获取磋商文件，并通过政采云电子投标客户端制作响应文件，同时自行承担与投标有关的一切费用。（4）各供应商应在开标前确保成为新疆维吾尔自治区政府采购网正式注册入库供应商，并完成CA数字证书申领。因未注册入库、未办理CA数字证书等原因造成无法投标或投标失败等后果由供应商自行承担。（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仿宋" w:hAnsi="仿宋" w:eastAsia="仿宋" w:cs="仿宋"/>
          <w:b w:val="0"/>
          <w:bCs w:val="0"/>
          <w:sz w:val="24"/>
          <w:szCs w:val="24"/>
          <w:highlight w:val="none"/>
          <w:lang w:val="en-US" w:eastAsia="zh-CN"/>
        </w:rPr>
        <w:br w:type="textWrapping"/>
      </w:r>
      <w:r>
        <w:rPr>
          <w:rFonts w:hint="eastAsia" w:ascii="仿宋" w:hAnsi="仿宋" w:eastAsia="仿宋" w:cs="仿宋"/>
          <w:b w:val="0"/>
          <w:bCs w:val="0"/>
          <w:sz w:val="24"/>
          <w:szCs w:val="24"/>
          <w:highlight w:val="none"/>
          <w:lang w:val="en-US" w:eastAsia="zh-CN"/>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  </w:t>
      </w:r>
    </w:p>
    <w:p w14:paraId="211C954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特别提示：</w:t>
      </w:r>
    </w:p>
    <w:p w14:paraId="5E99761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1、采购限额标准以上，200万元以下的货物和服务采购项目、400万元以下的工程采购项目，适宜由中小企业提供的，采购人应当专门面向中小企业采购。</w:t>
      </w:r>
    </w:p>
    <w:p w14:paraId="369E184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2、超过200万元的货物和服务采购项目，预留该部分采购项目预算总额的30%以上专门面向中小企业采购，其中预留给小微企业的比例不低于60%。</w:t>
      </w:r>
    </w:p>
    <w:p w14:paraId="6808C46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3、超过400万元的工程采购项目中适宜由中小企业提供的，预留该部分采购项目预算总额的40%以上专门面向中小企业采购，其中预留给小微企业的比例不低于60%。</w:t>
      </w:r>
    </w:p>
    <w:p w14:paraId="49521E4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40B4B6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b w:val="0"/>
          <w:bCs w:val="0"/>
          <w:sz w:val="24"/>
          <w:szCs w:val="24"/>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B66F0EE">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对本次采购提出询问，请按以下方式联系</w:t>
      </w:r>
    </w:p>
    <w:p w14:paraId="41EB082A">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1.采购人信息</w:t>
      </w:r>
    </w:p>
    <w:p w14:paraId="50052B6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val="en-US" w:eastAsia="zh-CN"/>
        </w:rPr>
        <w:t>阿克苏地区公安局</w:t>
      </w:r>
    </w:p>
    <w:p w14:paraId="32C0C81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val="en-US" w:eastAsia="zh-CN"/>
        </w:rPr>
        <w:t>阿克苏地区公安局</w:t>
      </w:r>
    </w:p>
    <w:p w14:paraId="7974544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eastAsia="zh-CN"/>
        </w:rPr>
        <w:t>15699362323</w:t>
      </w:r>
    </w:p>
    <w:p w14:paraId="48C0509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2.采购代理机构信息</w:t>
      </w:r>
    </w:p>
    <w:p w14:paraId="3296D2A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val="en-US" w:eastAsia="zh-CN"/>
        </w:rPr>
        <w:t>新疆天巨辰工程项目管理有限公司</w:t>
      </w:r>
    </w:p>
    <w:p w14:paraId="51A5349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val="en-US" w:eastAsia="zh-CN"/>
        </w:rPr>
        <w:t>新疆阿克苏地区阿克苏市兰干街道迎宾社区解放北路3号国泰·城市公馆A座1单元1601室</w:t>
      </w:r>
    </w:p>
    <w:p w14:paraId="49A36CF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eastAsia="zh-CN"/>
        </w:rPr>
        <w:t>13657595999</w:t>
      </w:r>
    </w:p>
    <w:p w14:paraId="411AE98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3.项目联系方式</w:t>
      </w:r>
    </w:p>
    <w:p w14:paraId="719D83B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项目联系人：</w:t>
      </w:r>
      <w:r>
        <w:rPr>
          <w:rFonts w:hint="eastAsia" w:ascii="仿宋" w:hAnsi="仿宋" w:eastAsia="仿宋" w:cs="仿宋"/>
          <w:sz w:val="24"/>
          <w:szCs w:val="24"/>
          <w:highlight w:val="none"/>
          <w:lang w:val="en-US" w:eastAsia="zh-CN"/>
        </w:rPr>
        <w:t>常丽</w:t>
      </w:r>
    </w:p>
    <w:p w14:paraId="568BFA9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32"/>
          <w:szCs w:val="32"/>
          <w:highlight w:val="none"/>
          <w:lang w:val="en-US"/>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87" w:charSpace="0"/>
        </w:sect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lang w:val="en-US" w:eastAsia="zh-CN"/>
        </w:rPr>
        <w:t>13657595999</w:t>
      </w:r>
    </w:p>
    <w:p w14:paraId="38F68B93">
      <w:pPr>
        <w:pStyle w:val="7"/>
        <w:keepNext w:val="0"/>
        <w:keepLines w:val="0"/>
        <w:pageBreakBefore w:val="0"/>
        <w:widowControl/>
        <w:suppressLineNumbers w:val="0"/>
        <w:kinsoku/>
        <w:wordWrap/>
        <w:overflowPunct/>
        <w:topLinePunct w:val="0"/>
        <w:autoSpaceDE/>
        <w:autoSpaceDN/>
        <w:bidi w:val="0"/>
        <w:adjustRightInd/>
        <w:snapToGrid w:val="0"/>
        <w:spacing w:before="75" w:beforeAutospacing="0" w:after="75" w:afterAutospacing="0" w:line="240" w:lineRule="atLeast"/>
        <w:ind w:left="0" w:right="0" w:firstLine="420"/>
        <w:jc w:val="center"/>
        <w:textAlignment w:val="auto"/>
        <w:outlineLvl w:val="1"/>
        <w:rPr>
          <w:rFonts w:hint="eastAsia" w:ascii="黑体" w:hAnsi="黑体" w:eastAsia="黑体"/>
          <w:color w:val="auto"/>
          <w:sz w:val="32"/>
          <w:szCs w:val="32"/>
          <w:highlight w:val="none"/>
        </w:rPr>
      </w:pPr>
      <w:r>
        <w:rPr>
          <w:rFonts w:hint="eastAsia" w:ascii="黑体" w:hAnsi="黑体" w:eastAsia="黑体"/>
          <w:color w:val="auto"/>
          <w:sz w:val="32"/>
          <w:szCs w:val="32"/>
          <w:highlight w:val="none"/>
        </w:rPr>
        <w:t xml:space="preserve">第二章  </w:t>
      </w:r>
      <w:r>
        <w:rPr>
          <w:rFonts w:hint="eastAsia" w:ascii="黑体" w:hAnsi="黑体" w:eastAsia="黑体"/>
          <w:color w:val="auto"/>
          <w:sz w:val="32"/>
          <w:szCs w:val="32"/>
          <w:highlight w:val="none"/>
          <w:lang w:eastAsia="zh-CN"/>
        </w:rPr>
        <w:t>供应商</w:t>
      </w:r>
      <w:r>
        <w:rPr>
          <w:rFonts w:hint="eastAsia" w:ascii="黑体" w:hAnsi="黑体" w:eastAsia="黑体"/>
          <w:color w:val="auto"/>
          <w:sz w:val="32"/>
          <w:szCs w:val="32"/>
          <w:highlight w:val="none"/>
        </w:rPr>
        <w:t>须知</w:t>
      </w:r>
    </w:p>
    <w:p w14:paraId="2C1EA005">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黑体" w:hAnsi="黑体" w:eastAsia="黑体" w:cs="Times New Roman"/>
          <w:color w:val="auto"/>
          <w:kern w:val="0"/>
          <w:sz w:val="28"/>
          <w:szCs w:val="28"/>
          <w:highlight w:val="none"/>
        </w:rPr>
      </w:pPr>
      <w:bookmarkStart w:id="18" w:name="_Toc7293"/>
      <w:r>
        <w:rPr>
          <w:rFonts w:hint="eastAsia" w:ascii="黑体" w:hAnsi="黑体" w:eastAsia="黑体" w:cs="Times New Roman"/>
          <w:color w:val="auto"/>
          <w:kern w:val="0"/>
          <w:sz w:val="28"/>
          <w:szCs w:val="28"/>
          <w:highlight w:val="none"/>
          <w:lang w:eastAsia="zh-CN"/>
        </w:rPr>
        <w:t>供应商</w:t>
      </w:r>
      <w:r>
        <w:rPr>
          <w:rFonts w:hint="eastAsia" w:ascii="黑体" w:hAnsi="黑体" w:eastAsia="黑体" w:cs="Times New Roman"/>
          <w:color w:val="auto"/>
          <w:kern w:val="0"/>
          <w:sz w:val="28"/>
          <w:szCs w:val="28"/>
          <w:highlight w:val="none"/>
        </w:rPr>
        <w:t>须知前附表</w:t>
      </w:r>
      <w:bookmarkEnd w:id="18"/>
    </w:p>
    <w:tbl>
      <w:tblPr>
        <w:tblStyle w:val="15"/>
        <w:tblW w:w="14912" w:type="dxa"/>
        <w:tblInd w:w="0" w:type="dxa"/>
        <w:tblLayout w:type="fixed"/>
        <w:tblCellMar>
          <w:top w:w="0" w:type="dxa"/>
          <w:left w:w="108" w:type="dxa"/>
          <w:bottom w:w="0" w:type="dxa"/>
          <w:right w:w="108" w:type="dxa"/>
        </w:tblCellMar>
      </w:tblPr>
      <w:tblGrid>
        <w:gridCol w:w="764"/>
        <w:gridCol w:w="2703"/>
        <w:gridCol w:w="5692"/>
        <w:gridCol w:w="5753"/>
      </w:tblGrid>
      <w:tr w14:paraId="6C471F6F">
        <w:tblPrEx>
          <w:tblCellMar>
            <w:top w:w="0" w:type="dxa"/>
            <w:left w:w="108" w:type="dxa"/>
            <w:bottom w:w="0" w:type="dxa"/>
            <w:right w:w="108" w:type="dxa"/>
          </w:tblCellMar>
        </w:tblPrEx>
        <w:trPr>
          <w:trHeight w:val="0" w:hRule="atLeast"/>
        </w:trPr>
        <w:tc>
          <w:tcPr>
            <w:tcW w:w="764" w:type="dxa"/>
            <w:tcBorders>
              <w:top w:val="single" w:color="FEFEFE" w:sz="8" w:space="0"/>
              <w:left w:val="single" w:color="FEFEFE" w:sz="8" w:space="0"/>
              <w:bottom w:val="single" w:color="82181A" w:sz="24" w:space="0"/>
              <w:right w:val="single" w:color="FEFEFE" w:sz="8" w:space="0"/>
            </w:tcBorders>
            <w:shd w:val="clear" w:color="auto" w:fill="FEFEFE"/>
            <w:noWrap w:val="0"/>
            <w:vAlign w:val="center"/>
          </w:tcPr>
          <w:p w14:paraId="40951F40">
            <w:pPr>
              <w:keepNext w:val="0"/>
              <w:keepLines w:val="0"/>
              <w:pageBreakBefore w:val="0"/>
              <w:widowControl w:val="0"/>
              <w:tabs>
                <w:tab w:val="left" w:pos="7665"/>
              </w:tabs>
              <w:kinsoku/>
              <w:overflowPunct/>
              <w:topLinePunct w:val="0"/>
              <w:bidi w:val="0"/>
              <w:snapToGrid/>
              <w:spacing w:before="63" w:beforeLines="20" w:line="288" w:lineRule="auto"/>
              <w:jc w:val="center"/>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序号</w:t>
            </w:r>
          </w:p>
        </w:tc>
        <w:tc>
          <w:tcPr>
            <w:tcW w:w="2703" w:type="dxa"/>
            <w:tcBorders>
              <w:top w:val="single" w:color="FEFEFE" w:sz="8" w:space="0"/>
              <w:left w:val="single" w:color="FEFEFE" w:sz="8" w:space="0"/>
              <w:bottom w:val="single" w:color="82181A" w:sz="24" w:space="0"/>
              <w:right w:val="single" w:color="FEFEFE" w:sz="8" w:space="0"/>
            </w:tcBorders>
            <w:shd w:val="clear" w:color="auto" w:fill="FEFEFE"/>
            <w:noWrap w:val="0"/>
            <w:vAlign w:val="center"/>
          </w:tcPr>
          <w:p w14:paraId="16C57443">
            <w:pPr>
              <w:keepNext w:val="0"/>
              <w:keepLines w:val="0"/>
              <w:pageBreakBefore w:val="0"/>
              <w:widowControl w:val="0"/>
              <w:tabs>
                <w:tab w:val="left" w:pos="7665"/>
              </w:tabs>
              <w:kinsoku/>
              <w:overflowPunct/>
              <w:topLinePunct w:val="0"/>
              <w:bidi w:val="0"/>
              <w:snapToGrid/>
              <w:spacing w:before="63" w:beforeLines="20" w:line="288" w:lineRule="auto"/>
              <w:jc w:val="center"/>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条款名称</w:t>
            </w:r>
          </w:p>
        </w:tc>
        <w:tc>
          <w:tcPr>
            <w:tcW w:w="5692" w:type="dxa"/>
            <w:tcBorders>
              <w:top w:val="single" w:color="FEFEFE" w:sz="8" w:space="0"/>
              <w:left w:val="single" w:color="FEFEFE" w:sz="8" w:space="0"/>
              <w:bottom w:val="single" w:color="82181A" w:sz="24" w:space="0"/>
              <w:right w:val="single" w:color="FEFEFE" w:sz="8" w:space="0"/>
            </w:tcBorders>
            <w:shd w:val="clear" w:color="auto" w:fill="FEFEFE"/>
            <w:noWrap w:val="0"/>
            <w:vAlign w:val="center"/>
          </w:tcPr>
          <w:p w14:paraId="048C31D9">
            <w:pPr>
              <w:keepNext w:val="0"/>
              <w:keepLines w:val="0"/>
              <w:pageBreakBefore w:val="0"/>
              <w:widowControl w:val="0"/>
              <w:tabs>
                <w:tab w:val="left" w:pos="7665"/>
              </w:tabs>
              <w:kinsoku/>
              <w:overflowPunct/>
              <w:topLinePunct w:val="0"/>
              <w:bidi w:val="0"/>
              <w:snapToGrid/>
              <w:spacing w:before="63" w:beforeLines="20" w:line="288" w:lineRule="auto"/>
              <w:jc w:val="center"/>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编列内容</w:t>
            </w:r>
          </w:p>
        </w:tc>
        <w:tc>
          <w:tcPr>
            <w:tcW w:w="5753" w:type="dxa"/>
            <w:tcBorders>
              <w:top w:val="single" w:color="FEFEFE" w:sz="8" w:space="0"/>
              <w:left w:val="single" w:color="FEFEFE" w:sz="8" w:space="0"/>
              <w:bottom w:val="single" w:color="82181A" w:sz="24" w:space="0"/>
              <w:right w:val="single" w:color="FEFEFE" w:sz="8" w:space="0"/>
            </w:tcBorders>
            <w:shd w:val="clear" w:color="auto" w:fill="FEFEFE"/>
            <w:noWrap w:val="0"/>
            <w:vAlign w:val="center"/>
          </w:tcPr>
          <w:p w14:paraId="219F3010">
            <w:pPr>
              <w:keepNext w:val="0"/>
              <w:keepLines w:val="0"/>
              <w:pageBreakBefore w:val="0"/>
              <w:widowControl w:val="0"/>
              <w:tabs>
                <w:tab w:val="left" w:pos="7665"/>
              </w:tabs>
              <w:kinsoku/>
              <w:overflowPunct/>
              <w:topLinePunct w:val="0"/>
              <w:bidi w:val="0"/>
              <w:snapToGrid/>
              <w:spacing w:before="63" w:beforeLines="20" w:line="288" w:lineRule="auto"/>
              <w:jc w:val="center"/>
              <w:textAlignment w:val="auto"/>
              <w:rPr>
                <w:rFonts w:hint="eastAsia" w:ascii="仿宋" w:hAnsi="仿宋" w:eastAsia="仿宋" w:cs="仿宋"/>
                <w:color w:val="auto"/>
                <w:kern w:val="0"/>
                <w:sz w:val="24"/>
                <w:szCs w:val="24"/>
                <w:highlight w:val="none"/>
                <w:lang w:val="zh-CN"/>
              </w:rPr>
            </w:pPr>
          </w:p>
        </w:tc>
      </w:tr>
      <w:tr w14:paraId="507A31E0">
        <w:tblPrEx>
          <w:tblCellMar>
            <w:top w:w="0" w:type="dxa"/>
            <w:left w:w="108" w:type="dxa"/>
            <w:bottom w:w="0" w:type="dxa"/>
            <w:right w:w="108" w:type="dxa"/>
          </w:tblCellMar>
        </w:tblPrEx>
        <w:trPr>
          <w:trHeight w:val="0" w:hRule="atLeast"/>
        </w:trPr>
        <w:tc>
          <w:tcPr>
            <w:tcW w:w="764" w:type="dxa"/>
            <w:tcBorders>
              <w:top w:val="single" w:color="82181A" w:sz="24" w:space="0"/>
              <w:left w:val="single" w:color="FEFEFE" w:sz="8" w:space="0"/>
              <w:bottom w:val="single" w:color="82181A" w:sz="8" w:space="0"/>
              <w:right w:val="single" w:color="FEFEFE" w:sz="8" w:space="0"/>
            </w:tcBorders>
            <w:shd w:val="clear" w:color="auto" w:fill="FEFEFE"/>
            <w:noWrap w:val="0"/>
            <w:vAlign w:val="center"/>
          </w:tcPr>
          <w:p w14:paraId="43DD5C21">
            <w:pPr>
              <w:keepNext w:val="0"/>
              <w:keepLines w:val="0"/>
              <w:pageBreakBefore w:val="0"/>
              <w:widowControl w:val="0"/>
              <w:kinsoku/>
              <w:overflowPunct/>
              <w:topLinePunct w:val="0"/>
              <w:bidi w:val="0"/>
              <w:snapToGrid/>
              <w:spacing w:before="63" w:beforeLines="20" w:line="288" w:lineRule="auto"/>
              <w:jc w:val="center"/>
              <w:textAlignment w:val="auto"/>
              <w:rPr>
                <w:rFonts w:ascii="仿宋" w:hAnsi="仿宋" w:eastAsia="仿宋" w:cs="仿宋"/>
                <w:color w:val="auto"/>
                <w:kern w:val="0"/>
                <w:sz w:val="24"/>
                <w:szCs w:val="24"/>
                <w:highlight w:val="none"/>
                <w:lang w:val="zh-CN"/>
              </w:rPr>
            </w:pPr>
            <w:r>
              <w:rPr>
                <w:rFonts w:ascii="仿宋" w:hAnsi="仿宋" w:eastAsia="仿宋" w:cs="仿宋"/>
                <w:color w:val="auto"/>
                <w:kern w:val="0"/>
                <w:sz w:val="24"/>
                <w:szCs w:val="24"/>
                <w:highlight w:val="none"/>
                <w:lang w:val="zh-CN"/>
              </w:rPr>
              <w:t>1</w:t>
            </w:r>
          </w:p>
        </w:tc>
        <w:tc>
          <w:tcPr>
            <w:tcW w:w="2703" w:type="dxa"/>
            <w:tcBorders>
              <w:top w:val="single" w:color="82181A" w:sz="24" w:space="0"/>
              <w:left w:val="single" w:color="FEFEFE" w:sz="8" w:space="0"/>
              <w:bottom w:val="single" w:color="82181A" w:sz="8" w:space="0"/>
              <w:right w:val="single" w:color="FEFEFE" w:sz="8" w:space="0"/>
            </w:tcBorders>
            <w:shd w:val="clear" w:color="auto" w:fill="FEFEFE"/>
            <w:noWrap w:val="0"/>
            <w:vAlign w:val="center"/>
          </w:tcPr>
          <w:p w14:paraId="27219F87">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rPr>
            </w:pPr>
            <w:r>
              <w:rPr>
                <w:rFonts w:hint="eastAsia" w:ascii="仿宋" w:hAnsi="仿宋" w:eastAsia="仿宋" w:cs="Times New Roman"/>
                <w:color w:val="auto"/>
                <w:kern w:val="0"/>
                <w:sz w:val="24"/>
                <w:szCs w:val="24"/>
                <w:highlight w:val="none"/>
                <w:lang w:val="zh-CN"/>
              </w:rPr>
              <w:t>采购人</w:t>
            </w:r>
          </w:p>
        </w:tc>
        <w:tc>
          <w:tcPr>
            <w:tcW w:w="5692" w:type="dxa"/>
            <w:tcBorders>
              <w:top w:val="single" w:color="82181A" w:sz="24" w:space="0"/>
              <w:left w:val="single" w:color="FEFEFE" w:sz="8" w:space="0"/>
              <w:bottom w:val="single" w:color="82181A" w:sz="8" w:space="0"/>
              <w:right w:val="single" w:color="FEFEFE" w:sz="8" w:space="0"/>
            </w:tcBorders>
            <w:shd w:val="clear" w:color="auto" w:fill="FEFEFE"/>
            <w:noWrap w:val="0"/>
            <w:vAlign w:val="center"/>
          </w:tcPr>
          <w:p w14:paraId="087312EE">
            <w:pPr>
              <w:keepNext w:val="0"/>
              <w:keepLines w:val="0"/>
              <w:pageBreakBefore w:val="0"/>
              <w:widowControl w:val="0"/>
              <w:kinsoku/>
              <w:overflowPunct/>
              <w:topLinePunct w:val="0"/>
              <w:bidi w:val="0"/>
              <w:snapToGrid/>
              <w:spacing w:before="63" w:beforeLines="20" w:line="288" w:lineRule="auto"/>
              <w:ind w:left="720" w:hanging="720" w:hangingChars="300"/>
              <w:textAlignment w:val="auto"/>
              <w:rPr>
                <w:rFonts w:hint="eastAsia" w:ascii="仿宋" w:hAnsi="仿宋" w:eastAsia="仿宋" w:cs="Times New Roman"/>
                <w:color w:val="auto"/>
                <w:kern w:val="0"/>
                <w:sz w:val="24"/>
                <w:szCs w:val="24"/>
                <w:highlight w:val="none"/>
                <w:lang w:val="zh-CN" w:eastAsia="zh-CN"/>
              </w:rPr>
            </w:pPr>
            <w:r>
              <w:rPr>
                <w:rFonts w:hint="eastAsia" w:ascii="仿宋" w:hAnsi="仿宋" w:eastAsia="仿宋" w:cs="Times New Roman"/>
                <w:color w:val="auto"/>
                <w:kern w:val="0"/>
                <w:sz w:val="24"/>
                <w:szCs w:val="24"/>
                <w:highlight w:val="none"/>
                <w:lang w:val="zh-CN" w:eastAsia="zh-CN"/>
              </w:rPr>
              <w:t>名</w:t>
            </w:r>
            <w:r>
              <w:rPr>
                <w:rFonts w:hint="eastAsia" w:ascii="仿宋" w:hAnsi="仿宋" w:eastAsia="仿宋" w:cs="Times New Roman"/>
                <w:color w:val="auto"/>
                <w:kern w:val="0"/>
                <w:sz w:val="24"/>
                <w:szCs w:val="24"/>
                <w:highlight w:val="none"/>
                <w:lang w:val="en-US" w:eastAsia="zh-CN"/>
              </w:rPr>
              <w:t xml:space="preserve">    </w:t>
            </w:r>
            <w:r>
              <w:rPr>
                <w:rFonts w:hint="eastAsia" w:ascii="仿宋" w:hAnsi="仿宋" w:eastAsia="仿宋" w:cs="Times New Roman"/>
                <w:color w:val="auto"/>
                <w:kern w:val="0"/>
                <w:sz w:val="24"/>
                <w:szCs w:val="24"/>
                <w:highlight w:val="none"/>
                <w:lang w:val="zh-CN" w:eastAsia="zh-CN"/>
              </w:rPr>
              <w:t>称：</w:t>
            </w:r>
            <w:r>
              <w:rPr>
                <w:rFonts w:hint="eastAsia" w:ascii="仿宋" w:hAnsi="仿宋" w:eastAsia="仿宋" w:cs="Times New Roman"/>
                <w:color w:val="auto"/>
                <w:kern w:val="0"/>
                <w:sz w:val="24"/>
                <w:szCs w:val="24"/>
                <w:highlight w:val="none"/>
                <w:lang w:val="en-US" w:eastAsia="zh-CN"/>
              </w:rPr>
              <w:t>阿克苏地区公安局</w:t>
            </w:r>
            <w:r>
              <w:rPr>
                <w:rFonts w:hint="eastAsia" w:ascii="仿宋" w:hAnsi="仿宋" w:eastAsia="仿宋" w:cs="Times New Roman"/>
                <w:color w:val="auto"/>
                <w:kern w:val="0"/>
                <w:sz w:val="24"/>
                <w:szCs w:val="24"/>
                <w:highlight w:val="none"/>
                <w:lang w:val="zh-CN" w:eastAsia="zh-CN"/>
              </w:rPr>
              <w:t xml:space="preserve">               </w:t>
            </w:r>
          </w:p>
          <w:p w14:paraId="4DB4E202">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eastAsia="zh-CN"/>
              </w:rPr>
            </w:pPr>
            <w:r>
              <w:rPr>
                <w:rFonts w:hint="eastAsia" w:ascii="仿宋" w:hAnsi="仿宋" w:eastAsia="仿宋" w:cs="Times New Roman"/>
                <w:color w:val="auto"/>
                <w:kern w:val="0"/>
                <w:sz w:val="24"/>
                <w:szCs w:val="24"/>
                <w:highlight w:val="none"/>
                <w:lang w:val="zh-CN" w:eastAsia="zh-CN"/>
              </w:rPr>
              <w:t>地</w:t>
            </w:r>
            <w:r>
              <w:rPr>
                <w:rFonts w:hint="eastAsia" w:ascii="仿宋" w:hAnsi="仿宋" w:eastAsia="仿宋" w:cs="Times New Roman"/>
                <w:color w:val="auto"/>
                <w:kern w:val="0"/>
                <w:sz w:val="24"/>
                <w:szCs w:val="24"/>
                <w:highlight w:val="none"/>
                <w:lang w:val="en-US" w:eastAsia="zh-CN"/>
              </w:rPr>
              <w:t xml:space="preserve">    </w:t>
            </w:r>
            <w:r>
              <w:rPr>
                <w:rFonts w:hint="eastAsia" w:ascii="仿宋" w:hAnsi="仿宋" w:eastAsia="仿宋" w:cs="Times New Roman"/>
                <w:color w:val="auto"/>
                <w:kern w:val="0"/>
                <w:sz w:val="24"/>
                <w:szCs w:val="24"/>
                <w:highlight w:val="none"/>
                <w:lang w:val="zh-CN" w:eastAsia="zh-CN"/>
              </w:rPr>
              <w:t xml:space="preserve">址：阿克苏地区公安局                 </w:t>
            </w:r>
          </w:p>
          <w:p w14:paraId="01DAF123">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Times New Roman"/>
                <w:color w:val="auto"/>
                <w:kern w:val="0"/>
                <w:sz w:val="24"/>
                <w:szCs w:val="24"/>
                <w:highlight w:val="none"/>
                <w:lang w:val="en-US"/>
              </w:rPr>
            </w:pPr>
            <w:r>
              <w:rPr>
                <w:rFonts w:hint="eastAsia" w:ascii="仿宋" w:hAnsi="仿宋" w:eastAsia="仿宋" w:cs="Times New Roman"/>
                <w:color w:val="auto"/>
                <w:kern w:val="0"/>
                <w:sz w:val="24"/>
                <w:szCs w:val="24"/>
                <w:highlight w:val="none"/>
                <w:lang w:val="zh-CN" w:eastAsia="zh-CN"/>
              </w:rPr>
              <w:t>电</w:t>
            </w:r>
            <w:r>
              <w:rPr>
                <w:rFonts w:hint="eastAsia" w:ascii="仿宋" w:hAnsi="仿宋" w:eastAsia="仿宋" w:cs="Times New Roman"/>
                <w:color w:val="auto"/>
                <w:kern w:val="0"/>
                <w:sz w:val="24"/>
                <w:szCs w:val="24"/>
                <w:highlight w:val="none"/>
                <w:lang w:val="en-US" w:eastAsia="zh-CN"/>
              </w:rPr>
              <w:t xml:space="preserve">    </w:t>
            </w:r>
            <w:r>
              <w:rPr>
                <w:rFonts w:hint="eastAsia" w:ascii="仿宋" w:hAnsi="仿宋" w:eastAsia="仿宋" w:cs="Times New Roman"/>
                <w:color w:val="auto"/>
                <w:kern w:val="0"/>
                <w:sz w:val="24"/>
                <w:szCs w:val="24"/>
                <w:highlight w:val="none"/>
                <w:lang w:val="zh-CN" w:eastAsia="zh-CN"/>
              </w:rPr>
              <w:t>话：15699362323</w:t>
            </w:r>
          </w:p>
        </w:tc>
        <w:tc>
          <w:tcPr>
            <w:tcW w:w="5753" w:type="dxa"/>
            <w:tcBorders>
              <w:top w:val="single" w:color="82181A" w:sz="24" w:space="0"/>
              <w:left w:val="single" w:color="FEFEFE" w:sz="8" w:space="0"/>
              <w:bottom w:val="single" w:color="82181A" w:sz="8" w:space="0"/>
              <w:right w:val="single" w:color="FEFEFE" w:sz="8" w:space="0"/>
            </w:tcBorders>
            <w:shd w:val="clear" w:color="auto" w:fill="FEFEFE"/>
            <w:noWrap w:val="0"/>
            <w:vAlign w:val="center"/>
          </w:tcPr>
          <w:p w14:paraId="03AFA643">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eastAsia="zh-CN"/>
              </w:rPr>
            </w:pPr>
          </w:p>
        </w:tc>
      </w:tr>
      <w:tr w14:paraId="019FF188">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5DBFAEB">
            <w:pPr>
              <w:keepNext w:val="0"/>
              <w:keepLines w:val="0"/>
              <w:pageBreakBefore w:val="0"/>
              <w:widowControl w:val="0"/>
              <w:kinsoku/>
              <w:overflowPunct/>
              <w:topLinePunct w:val="0"/>
              <w:bidi w:val="0"/>
              <w:snapToGrid/>
              <w:spacing w:before="63" w:beforeLines="20" w:line="288" w:lineRule="auto"/>
              <w:jc w:val="center"/>
              <w:textAlignment w:val="auto"/>
              <w:rPr>
                <w:rFonts w:ascii="仿宋" w:hAnsi="仿宋" w:eastAsia="仿宋" w:cs="仿宋"/>
                <w:color w:val="auto"/>
                <w:kern w:val="0"/>
                <w:sz w:val="24"/>
                <w:szCs w:val="24"/>
                <w:highlight w:val="none"/>
                <w:lang w:val="zh-CN"/>
              </w:rPr>
            </w:pPr>
            <w:r>
              <w:rPr>
                <w:rFonts w:ascii="仿宋" w:hAnsi="仿宋" w:eastAsia="仿宋" w:cs="仿宋"/>
                <w:color w:val="auto"/>
                <w:kern w:val="0"/>
                <w:sz w:val="24"/>
                <w:szCs w:val="24"/>
                <w:highlight w:val="none"/>
                <w:lang w:val="zh-CN"/>
              </w:rPr>
              <w:t>2</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7BB9674">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采购代理机构</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466592B">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eastAsia="zh-CN"/>
              </w:rPr>
            </w:pPr>
            <w:r>
              <w:rPr>
                <w:rFonts w:hint="eastAsia" w:ascii="仿宋" w:hAnsi="仿宋" w:eastAsia="仿宋" w:cs="Times New Roman"/>
                <w:color w:val="auto"/>
                <w:kern w:val="0"/>
                <w:sz w:val="24"/>
                <w:szCs w:val="24"/>
                <w:highlight w:val="none"/>
                <w:lang w:val="zh-CN" w:eastAsia="zh-CN"/>
              </w:rPr>
              <w:t>名</w:t>
            </w:r>
            <w:r>
              <w:rPr>
                <w:rFonts w:hint="eastAsia" w:ascii="仿宋" w:hAnsi="仿宋" w:eastAsia="仿宋" w:cs="Times New Roman"/>
                <w:color w:val="auto"/>
                <w:kern w:val="0"/>
                <w:sz w:val="24"/>
                <w:szCs w:val="24"/>
                <w:highlight w:val="none"/>
                <w:lang w:val="en-US" w:eastAsia="zh-CN"/>
              </w:rPr>
              <w:t xml:space="preserve">    </w:t>
            </w:r>
            <w:r>
              <w:rPr>
                <w:rFonts w:hint="eastAsia" w:ascii="仿宋" w:hAnsi="仿宋" w:eastAsia="仿宋" w:cs="Times New Roman"/>
                <w:color w:val="auto"/>
                <w:kern w:val="0"/>
                <w:sz w:val="24"/>
                <w:szCs w:val="24"/>
                <w:highlight w:val="none"/>
                <w:lang w:val="zh-CN" w:eastAsia="zh-CN"/>
              </w:rPr>
              <w:t>称：新疆天巨辰工程项目管理有限公司</w:t>
            </w:r>
          </w:p>
          <w:p w14:paraId="6176AB65">
            <w:pPr>
              <w:keepNext w:val="0"/>
              <w:keepLines w:val="0"/>
              <w:pageBreakBefore w:val="0"/>
              <w:widowControl w:val="0"/>
              <w:kinsoku/>
              <w:overflowPunct/>
              <w:topLinePunct w:val="0"/>
              <w:bidi w:val="0"/>
              <w:snapToGrid/>
              <w:spacing w:before="63" w:beforeLines="20" w:line="288" w:lineRule="auto"/>
              <w:ind w:left="1200" w:hanging="1200" w:hangingChars="500"/>
              <w:jc w:val="left"/>
              <w:textAlignment w:val="auto"/>
              <w:rPr>
                <w:rFonts w:hint="eastAsia" w:ascii="仿宋" w:hAnsi="仿宋" w:eastAsia="仿宋" w:cs="Times New Roman"/>
                <w:color w:val="auto"/>
                <w:kern w:val="0"/>
                <w:sz w:val="24"/>
                <w:szCs w:val="24"/>
                <w:highlight w:val="none"/>
                <w:lang w:val="zh-CN" w:eastAsia="zh-CN"/>
              </w:rPr>
            </w:pPr>
            <w:r>
              <w:rPr>
                <w:rFonts w:hint="eastAsia" w:ascii="仿宋" w:hAnsi="仿宋" w:eastAsia="仿宋" w:cs="Times New Roman"/>
                <w:color w:val="auto"/>
                <w:kern w:val="0"/>
                <w:sz w:val="24"/>
                <w:szCs w:val="24"/>
                <w:highlight w:val="none"/>
                <w:lang w:val="zh-CN" w:eastAsia="zh-CN"/>
              </w:rPr>
              <w:t>地</w:t>
            </w:r>
            <w:r>
              <w:rPr>
                <w:rFonts w:hint="eastAsia" w:ascii="仿宋" w:hAnsi="仿宋" w:eastAsia="仿宋" w:cs="Times New Roman"/>
                <w:color w:val="auto"/>
                <w:kern w:val="0"/>
                <w:sz w:val="24"/>
                <w:szCs w:val="24"/>
                <w:highlight w:val="none"/>
                <w:lang w:val="en-US" w:eastAsia="zh-CN"/>
              </w:rPr>
              <w:t xml:space="preserve">    </w:t>
            </w:r>
            <w:r>
              <w:rPr>
                <w:rFonts w:hint="eastAsia" w:ascii="仿宋" w:hAnsi="仿宋" w:eastAsia="仿宋" w:cs="Times New Roman"/>
                <w:color w:val="auto"/>
                <w:kern w:val="0"/>
                <w:sz w:val="24"/>
                <w:szCs w:val="24"/>
                <w:highlight w:val="none"/>
                <w:lang w:val="zh-CN" w:eastAsia="zh-CN"/>
              </w:rPr>
              <w:t>址：新疆阿克苏地区阿克苏市兰干街道迎宾社区解放北路3号国泰·城市公馆A座1单元1601室</w:t>
            </w:r>
          </w:p>
          <w:p w14:paraId="0456E15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zh-CN" w:eastAsia="zh-CN"/>
              </w:rPr>
              <w:t>联</w:t>
            </w:r>
            <w:r>
              <w:rPr>
                <w:rFonts w:hint="eastAsia" w:ascii="仿宋" w:hAnsi="仿宋" w:eastAsia="仿宋" w:cs="Times New Roman"/>
                <w:color w:val="auto"/>
                <w:kern w:val="0"/>
                <w:sz w:val="24"/>
                <w:szCs w:val="24"/>
                <w:highlight w:val="none"/>
                <w:lang w:val="en-US" w:eastAsia="zh-CN"/>
              </w:rPr>
              <w:t xml:space="preserve"> </w:t>
            </w:r>
            <w:r>
              <w:rPr>
                <w:rFonts w:hint="eastAsia" w:ascii="仿宋" w:hAnsi="仿宋" w:eastAsia="仿宋" w:cs="Times New Roman"/>
                <w:color w:val="auto"/>
                <w:kern w:val="0"/>
                <w:sz w:val="24"/>
                <w:szCs w:val="24"/>
                <w:highlight w:val="none"/>
                <w:lang w:val="zh-CN" w:eastAsia="zh-CN"/>
              </w:rPr>
              <w:t>系</w:t>
            </w:r>
            <w:r>
              <w:rPr>
                <w:rFonts w:hint="eastAsia" w:ascii="仿宋" w:hAnsi="仿宋" w:eastAsia="仿宋" w:cs="Times New Roman"/>
                <w:color w:val="auto"/>
                <w:kern w:val="0"/>
                <w:sz w:val="24"/>
                <w:szCs w:val="24"/>
                <w:highlight w:val="none"/>
                <w:lang w:val="en-US" w:eastAsia="zh-CN"/>
              </w:rPr>
              <w:t xml:space="preserve"> </w:t>
            </w:r>
            <w:r>
              <w:rPr>
                <w:rFonts w:hint="eastAsia" w:ascii="仿宋" w:hAnsi="仿宋" w:eastAsia="仿宋" w:cs="Times New Roman"/>
                <w:color w:val="auto"/>
                <w:kern w:val="0"/>
                <w:sz w:val="24"/>
                <w:szCs w:val="24"/>
                <w:highlight w:val="none"/>
                <w:lang w:val="zh-CN" w:eastAsia="zh-CN"/>
              </w:rPr>
              <w:t>人：</w:t>
            </w:r>
            <w:r>
              <w:rPr>
                <w:rFonts w:hint="eastAsia" w:ascii="仿宋" w:hAnsi="仿宋" w:eastAsia="仿宋" w:cs="Times New Roman"/>
                <w:color w:val="auto"/>
                <w:kern w:val="0"/>
                <w:sz w:val="24"/>
                <w:szCs w:val="24"/>
                <w:highlight w:val="none"/>
                <w:lang w:val="en-US" w:eastAsia="zh-CN"/>
              </w:rPr>
              <w:t>常丽</w:t>
            </w:r>
          </w:p>
          <w:p w14:paraId="643664AC">
            <w:pPr>
              <w:keepNext w:val="0"/>
              <w:keepLines w:val="0"/>
              <w:pageBreakBefore w:val="0"/>
              <w:widowControl w:val="0"/>
              <w:kinsoku/>
              <w:overflowPunct/>
              <w:topLinePunct w:val="0"/>
              <w:bidi w:val="0"/>
              <w:snapToGrid/>
              <w:spacing w:before="63" w:beforeLines="20" w:line="288" w:lineRule="auto"/>
              <w:ind w:left="960" w:hanging="960" w:hangingChars="400"/>
              <w:textAlignment w:val="auto"/>
              <w:rPr>
                <w:rFonts w:hint="default" w:ascii="仿宋" w:hAnsi="仿宋" w:eastAsia="仿宋" w:cs="Times New Roman"/>
                <w:color w:val="auto"/>
                <w:kern w:val="0"/>
                <w:sz w:val="24"/>
                <w:szCs w:val="24"/>
                <w:highlight w:val="none"/>
                <w:lang w:val="en-US"/>
              </w:rPr>
            </w:pPr>
            <w:r>
              <w:rPr>
                <w:rFonts w:hint="eastAsia" w:ascii="仿宋" w:hAnsi="仿宋" w:eastAsia="仿宋" w:cs="Times New Roman"/>
                <w:color w:val="auto"/>
                <w:kern w:val="0"/>
                <w:sz w:val="24"/>
                <w:szCs w:val="24"/>
                <w:highlight w:val="none"/>
                <w:lang w:val="en-US" w:eastAsia="zh-CN"/>
              </w:rPr>
              <w:t>电    话：13657595999</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2332A4D">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eastAsia="zh-CN"/>
              </w:rPr>
            </w:pPr>
          </w:p>
        </w:tc>
      </w:tr>
      <w:tr w14:paraId="37ADD1F0">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83E6F72">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7C99733">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eastAsia="zh-CN"/>
              </w:rPr>
            </w:pPr>
            <w:r>
              <w:rPr>
                <w:rFonts w:hint="eastAsia" w:ascii="仿宋" w:hAnsi="仿宋" w:eastAsia="仿宋" w:cs="Times New Roman"/>
                <w:color w:val="auto"/>
                <w:kern w:val="0"/>
                <w:sz w:val="24"/>
                <w:szCs w:val="24"/>
                <w:highlight w:val="none"/>
                <w:lang w:val="zh-CN" w:eastAsia="zh-CN"/>
              </w:rPr>
              <w:t>监管部门</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281E313">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lang w:val="zh-CN" w:eastAsia="zh-CN"/>
              </w:rPr>
              <w:t xml:space="preserve">名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lang w:val="zh-CN" w:eastAsia="zh-CN"/>
              </w:rPr>
              <w:t>称：</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zh-CN" w:eastAsia="zh-CN"/>
              </w:rPr>
              <w:t xml:space="preserve">                        </w:t>
            </w:r>
          </w:p>
          <w:p w14:paraId="6D340C9D">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zh-CN" w:eastAsia="zh-CN"/>
              </w:rPr>
              <w:t>电</w:t>
            </w:r>
            <w:r>
              <w:rPr>
                <w:rFonts w:hint="eastAsia" w:ascii="仿宋" w:hAnsi="仿宋" w:eastAsia="仿宋" w:cs="Times New Roman"/>
                <w:color w:val="auto"/>
                <w:kern w:val="0"/>
                <w:sz w:val="24"/>
                <w:szCs w:val="24"/>
                <w:highlight w:val="none"/>
                <w:lang w:val="en-US" w:eastAsia="zh-CN"/>
              </w:rPr>
              <w:t xml:space="preserve">    </w:t>
            </w:r>
            <w:r>
              <w:rPr>
                <w:rFonts w:hint="eastAsia" w:ascii="仿宋" w:hAnsi="仿宋" w:eastAsia="仿宋" w:cs="Times New Roman"/>
                <w:color w:val="auto"/>
                <w:kern w:val="0"/>
                <w:sz w:val="24"/>
                <w:szCs w:val="24"/>
                <w:highlight w:val="none"/>
                <w:lang w:val="zh-CN" w:eastAsia="zh-CN"/>
              </w:rPr>
              <w:t>话：</w:t>
            </w:r>
            <w:r>
              <w:rPr>
                <w:rFonts w:hint="eastAsia" w:ascii="仿宋" w:hAnsi="仿宋" w:eastAsia="仿宋" w:cs="Times New Roman"/>
                <w:color w:val="auto"/>
                <w:kern w:val="0"/>
                <w:sz w:val="24"/>
                <w:szCs w:val="24"/>
                <w:highlight w:val="none"/>
                <w:lang w:val="en-US" w:eastAsia="zh-CN"/>
              </w:rPr>
              <w:t>/</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A6B6309">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zh-CN" w:eastAsia="zh-CN"/>
              </w:rPr>
            </w:pPr>
          </w:p>
        </w:tc>
      </w:tr>
      <w:tr w14:paraId="1E49E263">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8A9720A">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E4F9EBE">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eastAsia="zh-CN"/>
              </w:rPr>
            </w:pPr>
            <w:r>
              <w:rPr>
                <w:rFonts w:hint="eastAsia" w:ascii="仿宋" w:hAnsi="仿宋" w:eastAsia="仿宋" w:cs="Times New Roman"/>
                <w:color w:val="auto"/>
                <w:kern w:val="0"/>
                <w:sz w:val="24"/>
                <w:szCs w:val="24"/>
                <w:highlight w:val="none"/>
                <w:lang w:val="zh-CN" w:eastAsia="zh-CN"/>
              </w:rPr>
              <w:t>项目名称</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FE8610C">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实验室设备维护保养服务项目</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8329A0E">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en-US" w:eastAsia="zh-CN"/>
              </w:rPr>
            </w:pPr>
          </w:p>
        </w:tc>
      </w:tr>
      <w:tr w14:paraId="4F824498">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5F5FF3B">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0E0315B">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eastAsia="zh-CN"/>
              </w:rPr>
            </w:pPr>
            <w:r>
              <w:rPr>
                <w:rFonts w:hint="eastAsia" w:ascii="仿宋" w:hAnsi="仿宋" w:eastAsia="仿宋" w:cs="Times New Roman"/>
                <w:color w:val="auto"/>
                <w:kern w:val="0"/>
                <w:sz w:val="24"/>
                <w:szCs w:val="24"/>
                <w:highlight w:val="none"/>
                <w:lang w:val="zh-CN" w:eastAsia="zh-CN"/>
              </w:rPr>
              <w:t>项目编号</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6B56711">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2026-0508-173238</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95E6DFB">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Times New Roman"/>
                <w:color w:val="auto"/>
                <w:kern w:val="0"/>
                <w:sz w:val="24"/>
                <w:szCs w:val="24"/>
                <w:highlight w:val="none"/>
                <w:lang w:val="en-US" w:eastAsia="zh-CN"/>
              </w:rPr>
            </w:pPr>
          </w:p>
        </w:tc>
      </w:tr>
      <w:tr w14:paraId="4F0C5959">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F100154">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FCE8ABB">
            <w:pPr>
              <w:spacing w:line="360" w:lineRule="auto"/>
              <w:jc w:val="both"/>
              <w:rPr>
                <w:rFonts w:hint="default"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采购方式</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441296B">
            <w:pPr>
              <w:spacing w:line="360" w:lineRule="auto"/>
              <w:jc w:val="both"/>
              <w:rPr>
                <w:rFonts w:hint="default"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竞争性磋商</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EE3AE8F">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en-US" w:eastAsia="zh-CN"/>
              </w:rPr>
            </w:pPr>
          </w:p>
        </w:tc>
      </w:tr>
      <w:tr w14:paraId="1F991B6B">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D78A72A">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72D5E3F">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eastAsia="zh-CN"/>
              </w:rPr>
            </w:pPr>
            <w:r>
              <w:rPr>
                <w:rFonts w:hint="eastAsia" w:ascii="仿宋" w:hAnsi="仿宋" w:eastAsia="仿宋" w:cs="Times New Roman"/>
                <w:color w:val="auto"/>
                <w:kern w:val="0"/>
                <w:sz w:val="24"/>
                <w:szCs w:val="24"/>
                <w:highlight w:val="none"/>
                <w:lang w:val="en-US" w:eastAsia="zh-CN"/>
              </w:rPr>
              <w:t>采购内容</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10E076A">
            <w:pPr>
              <w:spacing w:line="360" w:lineRule="auto"/>
              <w:jc w:val="both"/>
              <w:rPr>
                <w:rFonts w:hint="default" w:ascii="仿宋" w:hAnsi="仿宋" w:eastAsia="仿宋" w:cs="Times New Roman"/>
                <w:color w:val="auto"/>
                <w:kern w:val="0"/>
                <w:sz w:val="24"/>
                <w:szCs w:val="24"/>
                <w:highlight w:val="none"/>
                <w:lang w:val="en-US" w:eastAsia="zh-CN"/>
              </w:rPr>
            </w:pPr>
            <w:r>
              <w:rPr>
                <w:rFonts w:hint="eastAsia" w:ascii="仿宋" w:hAnsi="仿宋" w:eastAsia="仿宋" w:cs="仿宋"/>
                <w:color w:val="auto"/>
                <w:sz w:val="24"/>
                <w:szCs w:val="24"/>
                <w:highlight w:val="none"/>
                <w:lang w:eastAsia="zh-CN"/>
              </w:rPr>
              <w:t>对</w:t>
            </w:r>
            <w:r>
              <w:rPr>
                <w:rFonts w:hint="eastAsia" w:ascii="仿宋" w:hAnsi="仿宋" w:eastAsia="仿宋" w:cs="仿宋"/>
                <w:color w:val="auto"/>
                <w:sz w:val="24"/>
                <w:szCs w:val="24"/>
                <w:highlight w:val="none"/>
                <w:lang w:val="en-US" w:eastAsia="zh-CN"/>
              </w:rPr>
              <w:t>实验室设备维护保养（详见采购需求）。</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F0EB89C">
            <w:pPr>
              <w:spacing w:line="360" w:lineRule="auto"/>
              <w:jc w:val="both"/>
              <w:rPr>
                <w:rFonts w:hint="eastAsia" w:ascii="仿宋" w:hAnsi="仿宋" w:eastAsia="仿宋" w:cs="Times New Roman"/>
                <w:color w:val="auto"/>
                <w:kern w:val="0"/>
                <w:sz w:val="24"/>
                <w:szCs w:val="24"/>
                <w:highlight w:val="none"/>
                <w:lang w:val="en-US" w:eastAsia="zh-CN"/>
              </w:rPr>
            </w:pPr>
          </w:p>
        </w:tc>
      </w:tr>
      <w:tr w14:paraId="4231A924">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FFF5D74">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37C5BD2">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8"/>
                <w:szCs w:val="28"/>
                <w:highlight w:val="none"/>
                <w:lang w:val="en-US" w:eastAsia="zh-CN"/>
              </w:rPr>
            </w:pPr>
            <w:r>
              <w:rPr>
                <w:rFonts w:hint="eastAsia" w:ascii="仿宋" w:hAnsi="仿宋" w:eastAsia="仿宋" w:cs="Times New Roman"/>
                <w:color w:val="auto"/>
                <w:kern w:val="0"/>
                <w:sz w:val="24"/>
                <w:szCs w:val="24"/>
                <w:highlight w:val="none"/>
                <w:lang w:val="en-US" w:eastAsia="zh-CN"/>
              </w:rPr>
              <w:t>最高限价</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5D24442">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710000元（大写：柒拾壹万元整）</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6B83376">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en-US" w:eastAsia="zh-CN"/>
              </w:rPr>
            </w:pPr>
          </w:p>
        </w:tc>
      </w:tr>
      <w:tr w14:paraId="25A94755">
        <w:tblPrEx>
          <w:tblCellMar>
            <w:top w:w="0" w:type="dxa"/>
            <w:left w:w="108" w:type="dxa"/>
            <w:bottom w:w="0" w:type="dxa"/>
            <w:right w:w="108" w:type="dxa"/>
          </w:tblCellMar>
        </w:tblPrEx>
        <w:trPr>
          <w:trHeight w:val="775"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6A3EA43">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C52D5E4">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en-US" w:eastAsia="zh-CN"/>
              </w:rPr>
            </w:pPr>
            <w:r>
              <w:rPr>
                <w:rFonts w:hint="eastAsia" w:ascii="仿宋" w:hAnsi="仿宋" w:eastAsia="仿宋" w:cs="仿宋"/>
                <w:color w:val="auto"/>
                <w:kern w:val="0"/>
                <w:sz w:val="24"/>
                <w:szCs w:val="24"/>
                <w:highlight w:val="none"/>
              </w:rPr>
              <w:t>质量</w:t>
            </w:r>
            <w:r>
              <w:rPr>
                <w:rFonts w:hint="eastAsia" w:ascii="仿宋" w:hAnsi="仿宋" w:eastAsia="仿宋" w:cs="仿宋"/>
                <w:color w:val="auto"/>
                <w:kern w:val="0"/>
                <w:sz w:val="24"/>
                <w:szCs w:val="24"/>
                <w:highlight w:val="none"/>
                <w:lang w:eastAsia="zh-CN"/>
              </w:rPr>
              <w:t>目标</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A9B566B">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kern w:val="0"/>
                <w:sz w:val="24"/>
                <w:highlight w:val="none"/>
                <w:lang w:val="en-US" w:eastAsia="zh-CN"/>
              </w:rPr>
            </w:pPr>
            <w:r>
              <w:rPr>
                <w:rFonts w:hint="eastAsia" w:ascii="仿宋" w:hAnsi="仿宋" w:eastAsia="仿宋" w:cs="Times New Roman"/>
                <w:color w:val="auto"/>
                <w:kern w:val="0"/>
                <w:sz w:val="24"/>
                <w:szCs w:val="24"/>
                <w:highlight w:val="none"/>
                <w:lang w:val="en-US" w:eastAsia="zh-CN"/>
              </w:rPr>
              <w:t>满足采购需求所要求的内容，满足国家及地方规范要求，并能通过当地主管部门及委托方审查验收。</w:t>
            </w:r>
            <w:r>
              <w:rPr>
                <w:rFonts w:hint="eastAsia" w:ascii="仿宋" w:hAnsi="仿宋" w:eastAsia="仿宋" w:cs="仿宋"/>
                <w:color w:val="auto"/>
                <w:kern w:val="0"/>
                <w:sz w:val="24"/>
                <w:highlight w:val="none"/>
                <w:lang w:val="en-US" w:eastAsia="zh-CN"/>
              </w:rPr>
              <w:t xml:space="preserve"> </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061B9AC">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highlight w:val="none"/>
                <w:lang w:val="en-US" w:eastAsia="zh-CN"/>
              </w:rPr>
            </w:pPr>
          </w:p>
        </w:tc>
      </w:tr>
      <w:tr w14:paraId="082AE531">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6F43564">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DB1E994">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Times New Roman"/>
                <w:color w:val="auto"/>
                <w:kern w:val="0"/>
                <w:sz w:val="24"/>
                <w:szCs w:val="24"/>
                <w:highlight w:val="none"/>
                <w:lang w:val="en-US" w:eastAsia="zh-CN"/>
              </w:rPr>
            </w:pPr>
            <w:r>
              <w:rPr>
                <w:rFonts w:hint="eastAsia" w:ascii="仿宋" w:hAnsi="仿宋" w:eastAsia="仿宋" w:cs="仿宋"/>
                <w:sz w:val="24"/>
                <w:szCs w:val="24"/>
                <w:highlight w:val="none"/>
              </w:rPr>
              <w:t>合同履约期限</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23E6010">
            <w:pPr>
              <w:pStyle w:val="21"/>
              <w:rPr>
                <w:rFonts w:hint="default" w:ascii="仿宋" w:hAnsi="仿宋" w:eastAsia="仿宋" w:cs="Times New Roman"/>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一年（自合同签订之日起计算）</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51F4E70">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highlight w:val="none"/>
                <w:lang w:val="en-US" w:eastAsia="zh-CN"/>
              </w:rPr>
            </w:pPr>
          </w:p>
        </w:tc>
      </w:tr>
      <w:tr w14:paraId="78DF900D">
        <w:tblPrEx>
          <w:tblCellMar>
            <w:top w:w="0" w:type="dxa"/>
            <w:left w:w="108" w:type="dxa"/>
            <w:bottom w:w="0" w:type="dxa"/>
            <w:right w:w="108" w:type="dxa"/>
          </w:tblCellMar>
        </w:tblPrEx>
        <w:trPr>
          <w:trHeight w:val="9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ECAE5CA">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DA6F959">
            <w:pPr>
              <w:spacing w:line="360" w:lineRule="auto"/>
              <w:jc w:val="both"/>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地点</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4B4A2DD">
            <w:pPr>
              <w:spacing w:line="360" w:lineRule="auto"/>
              <w:jc w:val="both"/>
              <w:rPr>
                <w:rFonts w:hint="default"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业主指定地点。</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F3D12AE">
            <w:pPr>
              <w:spacing w:line="360" w:lineRule="auto"/>
              <w:jc w:val="both"/>
              <w:rPr>
                <w:rFonts w:hint="eastAsia" w:ascii="仿宋" w:hAnsi="仿宋" w:eastAsia="仿宋" w:cs="仿宋"/>
                <w:color w:val="auto"/>
                <w:kern w:val="0"/>
                <w:sz w:val="24"/>
                <w:highlight w:val="none"/>
                <w:lang w:val="en-US" w:eastAsia="zh-CN"/>
              </w:rPr>
            </w:pPr>
          </w:p>
        </w:tc>
      </w:tr>
      <w:tr w14:paraId="4DBFEAEC">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391D8C1">
            <w:pPr>
              <w:numPr>
                <w:ilvl w:val="0"/>
                <w:numId w:val="0"/>
              </w:numPr>
              <w:spacing w:line="400" w:lineRule="exact"/>
              <w:ind w:left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71412B9">
            <w:pPr>
              <w:spacing w:line="400" w:lineRule="exact"/>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是否专门面向中小企业</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482C39F">
            <w:pPr>
              <w:spacing w:line="400" w:lineRule="exact"/>
              <w:rPr>
                <w:rFonts w:hint="eastAsia" w:ascii="仿宋" w:hAnsi="仿宋" w:eastAsia="仿宋" w:cs="Times New Roman"/>
                <w:color w:val="auto"/>
                <w:kern w:val="0"/>
                <w:sz w:val="24"/>
                <w:szCs w:val="24"/>
                <w:highlight w:val="none"/>
                <w:lang w:val="zh-CN" w:eastAsia="zh-CN"/>
              </w:rPr>
            </w:pPr>
            <w:r>
              <w:rPr>
                <w:rFonts w:hint="eastAsia" w:ascii="仿宋" w:hAnsi="仿宋" w:eastAsia="仿宋" w:cs="仿宋"/>
                <w:color w:val="auto"/>
                <w:kern w:val="0"/>
                <w:sz w:val="24"/>
                <w:szCs w:val="24"/>
                <w:highlight w:val="none"/>
                <w:lang w:val="zh-CN"/>
              </w:rPr>
              <w:t xml:space="preserve">☑ </w:t>
            </w:r>
            <w:r>
              <w:rPr>
                <w:rFonts w:hint="eastAsia" w:ascii="仿宋" w:hAnsi="仿宋" w:eastAsia="仿宋" w:cs="仿宋"/>
                <w:color w:val="auto"/>
                <w:kern w:val="0"/>
                <w:sz w:val="24"/>
                <w:szCs w:val="24"/>
                <w:highlight w:val="none"/>
                <w:lang w:val="en-US" w:eastAsia="zh-CN"/>
              </w:rPr>
              <w:t>是</w:t>
            </w:r>
          </w:p>
          <w:p w14:paraId="564878AC">
            <w:pPr>
              <w:spacing w:line="400" w:lineRule="exact"/>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lang w:val="zh-CN"/>
              </w:rPr>
              <w:t xml:space="preserve">□ </w:t>
            </w:r>
            <w:r>
              <w:rPr>
                <w:rFonts w:hint="eastAsia" w:ascii="仿宋" w:hAnsi="仿宋" w:eastAsia="仿宋" w:cs="仿宋"/>
                <w:color w:val="auto"/>
                <w:kern w:val="0"/>
                <w:sz w:val="24"/>
                <w:szCs w:val="24"/>
                <w:highlight w:val="none"/>
                <w:lang w:val="en-US" w:eastAsia="zh-CN"/>
              </w:rPr>
              <w:t>否</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94CD0A0">
            <w:pPr>
              <w:spacing w:line="400" w:lineRule="exact"/>
              <w:rPr>
                <w:rFonts w:hint="eastAsia" w:ascii="仿宋" w:hAnsi="仿宋" w:eastAsia="仿宋" w:cs="仿宋"/>
                <w:color w:val="auto"/>
                <w:kern w:val="0"/>
                <w:sz w:val="24"/>
                <w:szCs w:val="24"/>
                <w:highlight w:val="none"/>
                <w:lang w:val="zh-CN"/>
              </w:rPr>
            </w:pPr>
          </w:p>
        </w:tc>
      </w:tr>
      <w:tr w14:paraId="70C52B5C">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8E94DAA">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13</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74985A9">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是否接受联合体报价</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E1418C4">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w:t>
            </w:r>
            <w:r>
              <w:rPr>
                <w:rFonts w:hint="eastAsia" w:ascii="仿宋" w:hAnsi="仿宋" w:eastAsia="仿宋" w:cs="Times New Roman"/>
                <w:color w:val="auto"/>
                <w:kern w:val="0"/>
                <w:sz w:val="24"/>
                <w:szCs w:val="24"/>
                <w:highlight w:val="none"/>
              </w:rPr>
              <w:t xml:space="preserve"> 不接受</w:t>
            </w:r>
          </w:p>
          <w:p w14:paraId="070F4E2E">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 接受，应满足下列要求：</w:t>
            </w:r>
            <w:r>
              <w:rPr>
                <w:rFonts w:hint="eastAsia" w:ascii="仿宋" w:hAnsi="仿宋" w:eastAsia="仿宋" w:cs="Times New Roman"/>
                <w:color w:val="auto"/>
                <w:kern w:val="0"/>
                <w:sz w:val="24"/>
                <w:szCs w:val="24"/>
                <w:highlight w:val="none"/>
                <w:u w:val="single"/>
              </w:rPr>
              <w:t xml:space="preserve">           </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020D2EC">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rPr>
            </w:pPr>
          </w:p>
        </w:tc>
      </w:tr>
      <w:tr w14:paraId="07E830B5">
        <w:tblPrEx>
          <w:tblCellMar>
            <w:top w:w="0" w:type="dxa"/>
            <w:left w:w="108" w:type="dxa"/>
            <w:bottom w:w="0" w:type="dxa"/>
            <w:right w:w="108" w:type="dxa"/>
          </w:tblCellMar>
        </w:tblPrEx>
        <w:trPr>
          <w:trHeight w:val="9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A3786BB">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521CC8B">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rPr>
            </w:pPr>
            <w:r>
              <w:rPr>
                <w:rFonts w:hint="eastAsia" w:ascii="仿宋" w:hAnsi="仿宋" w:eastAsia="仿宋" w:cs="Times New Roman"/>
                <w:color w:val="auto"/>
                <w:kern w:val="0"/>
                <w:sz w:val="24"/>
                <w:szCs w:val="24"/>
                <w:highlight w:val="none"/>
                <w:lang w:val="zh-CN"/>
              </w:rPr>
              <w:t>投标有效期</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D704AF2">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Times New Roman"/>
                <w:color w:val="auto"/>
                <w:kern w:val="0"/>
                <w:sz w:val="24"/>
                <w:szCs w:val="24"/>
                <w:highlight w:val="none"/>
              </w:rPr>
              <w:t>自</w:t>
            </w:r>
            <w:r>
              <w:rPr>
                <w:rFonts w:hint="eastAsia" w:ascii="仿宋" w:hAnsi="仿宋" w:eastAsia="仿宋" w:cs="Times New Roman"/>
                <w:color w:val="auto"/>
                <w:kern w:val="0"/>
                <w:sz w:val="24"/>
                <w:szCs w:val="24"/>
                <w:highlight w:val="none"/>
                <w:lang w:eastAsia="zh-CN"/>
              </w:rPr>
              <w:t>投标</w:t>
            </w:r>
            <w:r>
              <w:rPr>
                <w:rFonts w:hint="eastAsia" w:ascii="仿宋" w:hAnsi="仿宋" w:eastAsia="仿宋" w:cs="Times New Roman"/>
                <w:color w:val="auto"/>
                <w:kern w:val="0"/>
                <w:sz w:val="24"/>
                <w:szCs w:val="24"/>
                <w:highlight w:val="none"/>
              </w:rPr>
              <w:t>截止之日起</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u w:val="single"/>
                <w:lang w:val="en-US" w:eastAsia="zh-CN"/>
              </w:rPr>
              <w:t>90</w:t>
            </w:r>
            <w:r>
              <w:rPr>
                <w:rFonts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个日历天。</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FA51B2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rPr>
            </w:pPr>
          </w:p>
        </w:tc>
      </w:tr>
      <w:tr w14:paraId="31E6B225">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4ED43F9">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D7772FA">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踏勘现场</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AE72451">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 不组织，自行踏勘</w:t>
            </w:r>
          </w:p>
          <w:p w14:paraId="53283FCD">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 组织，踏勘时间：</w:t>
            </w:r>
            <w:r>
              <w:rPr>
                <w:rFonts w:hint="eastAsia" w:ascii="仿宋" w:hAnsi="仿宋" w:eastAsia="仿宋" w:cs="仿宋"/>
                <w:color w:val="auto"/>
                <w:kern w:val="0"/>
                <w:sz w:val="24"/>
                <w:szCs w:val="24"/>
                <w:highlight w:val="none"/>
                <w:u w:val="single"/>
                <w:lang w:val="zh-CN"/>
              </w:rPr>
              <w:t xml:space="preserve">               </w:t>
            </w:r>
          </w:p>
          <w:p w14:paraId="27FAF4ED">
            <w:pPr>
              <w:keepNext w:val="0"/>
              <w:keepLines w:val="0"/>
              <w:pageBreakBefore w:val="0"/>
              <w:widowControl w:val="0"/>
              <w:tabs>
                <w:tab w:val="left" w:pos="7665"/>
              </w:tabs>
              <w:kinsoku/>
              <w:overflowPunct/>
              <w:topLinePunct w:val="0"/>
              <w:bidi w:val="0"/>
              <w:snapToGrid/>
              <w:spacing w:before="63" w:beforeLines="20" w:line="288" w:lineRule="auto"/>
              <w:ind w:firstLine="1080" w:firstLineChars="45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踏勘地点：</w:t>
            </w:r>
            <w:r>
              <w:rPr>
                <w:rFonts w:hint="eastAsia" w:ascii="仿宋" w:hAnsi="仿宋" w:eastAsia="仿宋" w:cs="仿宋"/>
                <w:color w:val="auto"/>
                <w:kern w:val="0"/>
                <w:sz w:val="24"/>
                <w:szCs w:val="24"/>
                <w:highlight w:val="none"/>
                <w:u w:val="single"/>
                <w:lang w:val="zh-CN"/>
              </w:rPr>
              <w:t xml:space="preserve">               </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EFEDFB7">
            <w:pPr>
              <w:keepNext w:val="0"/>
              <w:keepLines w:val="0"/>
              <w:pageBreakBefore w:val="0"/>
              <w:widowControl w:val="0"/>
              <w:tabs>
                <w:tab w:val="left" w:pos="7665"/>
              </w:tabs>
              <w:kinsoku/>
              <w:overflowPunct/>
              <w:topLinePunct w:val="0"/>
              <w:bidi w:val="0"/>
              <w:snapToGrid/>
              <w:spacing w:before="63" w:beforeLines="20" w:line="288" w:lineRule="auto"/>
              <w:ind w:firstLine="1080" w:firstLineChars="450"/>
              <w:textAlignment w:val="auto"/>
              <w:rPr>
                <w:rFonts w:hint="eastAsia" w:ascii="仿宋" w:hAnsi="仿宋" w:eastAsia="仿宋" w:cs="仿宋"/>
                <w:color w:val="auto"/>
                <w:kern w:val="0"/>
                <w:sz w:val="24"/>
                <w:szCs w:val="24"/>
                <w:highlight w:val="none"/>
                <w:lang w:val="zh-CN"/>
              </w:rPr>
            </w:pPr>
          </w:p>
        </w:tc>
      </w:tr>
      <w:tr w14:paraId="2FC5E0FD">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2E80E83">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16</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EEB1843">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zh-CN"/>
              </w:rPr>
              <w:t>履约保证金</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E800D47">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rPr>
            </w:pPr>
            <w:r>
              <w:rPr>
                <w:rFonts w:hint="eastAsia" w:ascii="仿宋" w:hAnsi="仿宋" w:eastAsia="仿宋" w:cs="Times New Roman"/>
                <w:color w:val="auto"/>
                <w:kern w:val="0"/>
                <w:sz w:val="24"/>
                <w:szCs w:val="24"/>
                <w:highlight w:val="none"/>
                <w:lang w:val="zh-CN" w:eastAsia="zh-CN"/>
              </w:rPr>
              <w:t>☑</w:t>
            </w:r>
            <w:r>
              <w:rPr>
                <w:rFonts w:hint="eastAsia" w:ascii="仿宋" w:hAnsi="仿宋" w:eastAsia="仿宋" w:cs="Times New Roman"/>
                <w:color w:val="auto"/>
                <w:kern w:val="0"/>
                <w:sz w:val="24"/>
                <w:szCs w:val="24"/>
                <w:highlight w:val="none"/>
                <w:lang w:val="zh-CN"/>
              </w:rPr>
              <w:t xml:space="preserve"> 不需要</w:t>
            </w:r>
          </w:p>
          <w:p w14:paraId="0C58DCB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rPr>
            </w:pPr>
            <w:r>
              <w:rPr>
                <w:rFonts w:hint="eastAsia" w:ascii="仿宋" w:hAnsi="仿宋" w:eastAsia="仿宋" w:cs="Times New Roman"/>
                <w:color w:val="auto"/>
                <w:kern w:val="0"/>
                <w:sz w:val="24"/>
                <w:szCs w:val="24"/>
                <w:highlight w:val="none"/>
                <w:lang w:val="zh-CN" w:eastAsia="zh-CN"/>
              </w:rPr>
              <w:t>□</w:t>
            </w:r>
            <w:r>
              <w:rPr>
                <w:rFonts w:hint="eastAsia" w:ascii="仿宋" w:hAnsi="仿宋" w:eastAsia="仿宋" w:cs="Times New Roman"/>
                <w:color w:val="auto"/>
                <w:kern w:val="0"/>
                <w:sz w:val="24"/>
                <w:szCs w:val="24"/>
                <w:highlight w:val="none"/>
                <w:lang w:val="zh-CN"/>
              </w:rPr>
              <w:t xml:space="preserve"> 需要</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D08FEC3">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eastAsia="zh-CN"/>
              </w:rPr>
            </w:pPr>
          </w:p>
        </w:tc>
      </w:tr>
      <w:tr w14:paraId="60B21685">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6F70FC4">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17</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163E194">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Times New Roman"/>
                <w:color w:val="auto"/>
                <w:kern w:val="0"/>
                <w:sz w:val="24"/>
                <w:szCs w:val="24"/>
                <w:highlight w:val="none"/>
                <w:lang w:val="zh-CN"/>
              </w:rPr>
              <w:t>采购代理服务费支付</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8C92409">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 </w:t>
            </w:r>
            <w:r>
              <w:rPr>
                <w:rFonts w:hint="eastAsia" w:ascii="仿宋" w:hAnsi="仿宋" w:eastAsia="仿宋" w:cs="Times New Roman"/>
                <w:color w:val="auto"/>
                <w:kern w:val="0"/>
                <w:sz w:val="24"/>
                <w:szCs w:val="24"/>
                <w:highlight w:val="none"/>
                <w:lang w:val="zh-CN"/>
              </w:rPr>
              <w:t>由采购人支付</w:t>
            </w:r>
          </w:p>
          <w:p w14:paraId="6FD459D0">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 </w:t>
            </w:r>
            <w:r>
              <w:rPr>
                <w:rFonts w:hint="eastAsia" w:ascii="仿宋" w:hAnsi="仿宋" w:eastAsia="仿宋" w:cs="Times New Roman"/>
                <w:color w:val="auto"/>
                <w:kern w:val="0"/>
                <w:sz w:val="24"/>
                <w:szCs w:val="24"/>
                <w:highlight w:val="none"/>
                <w:lang w:val="zh-CN"/>
              </w:rPr>
              <w:t>由成交供应商支付</w:t>
            </w:r>
          </w:p>
          <w:p w14:paraId="33460A0D">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Times New Roman"/>
                <w:color w:val="auto"/>
                <w:kern w:val="0"/>
                <w:sz w:val="24"/>
                <w:szCs w:val="24"/>
                <w:highlight w:val="none"/>
                <w:lang w:val="en-US"/>
              </w:rPr>
            </w:pPr>
            <w:r>
              <w:rPr>
                <w:rFonts w:hint="eastAsia" w:ascii="仿宋" w:hAnsi="仿宋" w:eastAsia="仿宋" w:cs="Times New Roman"/>
                <w:color w:val="auto"/>
                <w:kern w:val="0"/>
                <w:sz w:val="24"/>
                <w:szCs w:val="24"/>
                <w:highlight w:val="none"/>
                <w:lang w:val="zh-CN"/>
              </w:rPr>
              <w:t>招标代理服务费用</w:t>
            </w:r>
            <w:r>
              <w:rPr>
                <w:rFonts w:hint="eastAsia" w:ascii="仿宋" w:hAnsi="仿宋" w:eastAsia="仿宋" w:cs="Times New Roman"/>
                <w:color w:val="auto"/>
                <w:kern w:val="0"/>
                <w:sz w:val="24"/>
                <w:szCs w:val="24"/>
                <w:highlight w:val="none"/>
                <w:lang w:val="en-US" w:eastAsia="zh-CN"/>
              </w:rPr>
              <w:t>参</w:t>
            </w:r>
            <w:r>
              <w:rPr>
                <w:rFonts w:hint="eastAsia" w:ascii="仿宋" w:hAnsi="仿宋" w:eastAsia="仿宋" w:cs="Times New Roman"/>
                <w:color w:val="auto"/>
                <w:kern w:val="0"/>
                <w:sz w:val="24"/>
                <w:szCs w:val="24"/>
                <w:highlight w:val="none"/>
                <w:lang w:val="zh-CN"/>
              </w:rPr>
              <w:t>照发改价格〔2015〕299号</w:t>
            </w:r>
            <w:r>
              <w:rPr>
                <w:rFonts w:hint="eastAsia" w:ascii="仿宋" w:hAnsi="仿宋" w:eastAsia="仿宋" w:cs="Times New Roman"/>
                <w:color w:val="auto"/>
                <w:kern w:val="0"/>
                <w:sz w:val="24"/>
                <w:szCs w:val="24"/>
                <w:highlight w:val="none"/>
                <w:lang w:val="zh-CN" w:eastAsia="zh-CN"/>
              </w:rPr>
              <w:t>文件</w:t>
            </w:r>
            <w:r>
              <w:rPr>
                <w:rFonts w:hint="eastAsia" w:ascii="仿宋" w:hAnsi="仿宋" w:eastAsia="仿宋" w:cs="Times New Roman"/>
                <w:color w:val="auto"/>
                <w:kern w:val="0"/>
                <w:sz w:val="24"/>
                <w:szCs w:val="24"/>
                <w:highlight w:val="none"/>
                <w:lang w:val="zh-CN"/>
              </w:rPr>
              <w:t>通知要求，参照</w:t>
            </w:r>
            <w:r>
              <w:rPr>
                <w:rFonts w:hint="eastAsia" w:ascii="仿宋" w:hAnsi="仿宋" w:eastAsia="仿宋" w:cs="Times New Roman"/>
                <w:color w:val="auto"/>
                <w:kern w:val="0"/>
                <w:sz w:val="24"/>
                <w:szCs w:val="24"/>
                <w:highlight w:val="none"/>
                <w:lang w:val="zh-CN" w:eastAsia="zh-CN"/>
              </w:rPr>
              <w:t>发改计价格【2002】1980号文件及</w:t>
            </w:r>
            <w:r>
              <w:rPr>
                <w:rFonts w:hint="eastAsia" w:ascii="仿宋" w:hAnsi="仿宋" w:eastAsia="仿宋" w:cs="Times New Roman"/>
                <w:color w:val="auto"/>
                <w:kern w:val="0"/>
                <w:sz w:val="24"/>
                <w:szCs w:val="24"/>
                <w:highlight w:val="none"/>
                <w:lang w:val="zh-CN"/>
              </w:rPr>
              <w:t>发改价格</w:t>
            </w:r>
            <w:r>
              <w:rPr>
                <w:rFonts w:hint="eastAsia" w:ascii="仿宋" w:hAnsi="仿宋" w:eastAsia="仿宋" w:cs="Times New Roman"/>
                <w:color w:val="auto"/>
                <w:kern w:val="0"/>
                <w:sz w:val="24"/>
                <w:szCs w:val="24"/>
                <w:highlight w:val="none"/>
                <w:lang w:val="zh-CN" w:eastAsia="zh-CN"/>
              </w:rPr>
              <w:t>【</w:t>
            </w:r>
            <w:r>
              <w:rPr>
                <w:rFonts w:hint="eastAsia" w:ascii="仿宋" w:hAnsi="仿宋" w:eastAsia="仿宋" w:cs="Times New Roman"/>
                <w:color w:val="auto"/>
                <w:kern w:val="0"/>
                <w:sz w:val="24"/>
                <w:szCs w:val="24"/>
                <w:highlight w:val="none"/>
                <w:lang w:val="zh-CN"/>
              </w:rPr>
              <w:t>2011</w:t>
            </w:r>
            <w:r>
              <w:rPr>
                <w:rFonts w:hint="eastAsia" w:ascii="仿宋" w:hAnsi="仿宋" w:eastAsia="仿宋" w:cs="Times New Roman"/>
                <w:color w:val="auto"/>
                <w:kern w:val="0"/>
                <w:sz w:val="24"/>
                <w:szCs w:val="24"/>
                <w:highlight w:val="none"/>
                <w:lang w:val="zh-CN" w:eastAsia="zh-CN"/>
              </w:rPr>
              <w:t>】</w:t>
            </w:r>
            <w:r>
              <w:rPr>
                <w:rFonts w:hint="eastAsia" w:ascii="仿宋" w:hAnsi="仿宋" w:eastAsia="仿宋" w:cs="Times New Roman"/>
                <w:color w:val="auto"/>
                <w:kern w:val="0"/>
                <w:sz w:val="24"/>
                <w:szCs w:val="24"/>
                <w:highlight w:val="none"/>
                <w:lang w:val="zh-CN"/>
              </w:rPr>
              <w:t>534号文</w:t>
            </w:r>
            <w:r>
              <w:rPr>
                <w:rFonts w:hint="eastAsia" w:ascii="仿宋" w:hAnsi="仿宋" w:eastAsia="仿宋" w:cs="Times New Roman"/>
                <w:color w:val="auto"/>
                <w:kern w:val="0"/>
                <w:sz w:val="24"/>
                <w:szCs w:val="24"/>
                <w:highlight w:val="none"/>
                <w:lang w:val="zh-CN" w:eastAsia="zh-CN"/>
              </w:rPr>
              <w:t>件</w:t>
            </w:r>
            <w:r>
              <w:rPr>
                <w:rFonts w:hint="eastAsia" w:ascii="仿宋" w:hAnsi="仿宋" w:eastAsia="仿宋" w:cs="Times New Roman"/>
                <w:color w:val="auto"/>
                <w:kern w:val="0"/>
                <w:sz w:val="24"/>
                <w:szCs w:val="24"/>
                <w:highlight w:val="none"/>
                <w:lang w:val="zh-CN"/>
              </w:rPr>
              <w:t>的</w:t>
            </w:r>
            <w:r>
              <w:rPr>
                <w:rFonts w:hint="eastAsia" w:ascii="仿宋" w:hAnsi="仿宋" w:eastAsia="仿宋" w:cs="Times New Roman"/>
                <w:color w:val="auto"/>
                <w:kern w:val="0"/>
                <w:sz w:val="24"/>
                <w:szCs w:val="24"/>
                <w:highlight w:val="none"/>
                <w:lang w:val="zh-CN" w:eastAsia="zh-CN"/>
              </w:rPr>
              <w:t>差额定率累进法计算</w:t>
            </w:r>
            <w:r>
              <w:rPr>
                <w:rFonts w:hint="eastAsia" w:ascii="仿宋" w:hAnsi="仿宋" w:eastAsia="仿宋" w:cs="Times New Roman"/>
                <w:color w:val="auto"/>
                <w:kern w:val="0"/>
                <w:sz w:val="24"/>
                <w:szCs w:val="24"/>
                <w:highlight w:val="none"/>
                <w:lang w:val="zh-CN"/>
              </w:rPr>
              <w:t>标准</w:t>
            </w:r>
            <w:r>
              <w:rPr>
                <w:rFonts w:hint="eastAsia" w:ascii="仿宋" w:hAnsi="仿宋" w:eastAsia="仿宋" w:cs="Times New Roman"/>
                <w:color w:val="auto"/>
                <w:kern w:val="0"/>
                <w:sz w:val="24"/>
                <w:szCs w:val="24"/>
                <w:highlight w:val="none"/>
                <w:lang w:val="zh-CN" w:eastAsia="zh-CN"/>
              </w:rPr>
              <w:t>。</w:t>
            </w:r>
            <w:r>
              <w:rPr>
                <w:rFonts w:hint="eastAsia" w:ascii="仿宋" w:hAnsi="仿宋" w:eastAsia="仿宋" w:cs="Times New Roman"/>
                <w:color w:val="auto"/>
                <w:kern w:val="0"/>
                <w:sz w:val="24"/>
                <w:szCs w:val="24"/>
                <w:highlight w:val="none"/>
                <w:lang w:val="en-US" w:eastAsia="zh-CN"/>
              </w:rPr>
              <w:t>在此标准计算后下浮40%收取。</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A0B5399">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zh-CN"/>
              </w:rPr>
            </w:pPr>
          </w:p>
        </w:tc>
      </w:tr>
      <w:tr w14:paraId="67A0F26C">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3E63B88">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18</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2DBCE09">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构成采购文件的其他材料</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2A99D56">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补充文件</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4DEB8DB">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eastAsia="zh-CN"/>
              </w:rPr>
            </w:pPr>
          </w:p>
        </w:tc>
      </w:tr>
      <w:tr w14:paraId="79690423">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DC9C8B8">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19</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E87E75E">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rPr>
            </w:pPr>
            <w:r>
              <w:rPr>
                <w:rFonts w:hint="eastAsia" w:ascii="仿宋" w:hAnsi="仿宋" w:eastAsia="仿宋" w:cs="Times New Roman"/>
                <w:color w:val="auto"/>
                <w:kern w:val="0"/>
                <w:sz w:val="24"/>
                <w:szCs w:val="24"/>
                <w:highlight w:val="none"/>
                <w:lang w:val="zh-CN"/>
              </w:rPr>
              <w:t>询问和质疑</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A97578C">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Times New Roman"/>
                <w:color w:val="auto"/>
                <w:kern w:val="0"/>
                <w:sz w:val="24"/>
                <w:szCs w:val="24"/>
                <w:highlight w:val="none"/>
                <w:lang w:val="en-US" w:eastAsia="zh-CN"/>
              </w:rPr>
            </w:pPr>
            <w:r>
              <w:rPr>
                <w:rFonts w:hint="default" w:ascii="仿宋" w:hAnsi="仿宋" w:eastAsia="仿宋" w:cs="Times New Roman"/>
                <w:color w:val="auto"/>
                <w:kern w:val="0"/>
                <w:sz w:val="24"/>
                <w:szCs w:val="24"/>
                <w:highlight w:val="none"/>
                <w:lang w:val="en-US" w:eastAsia="zh-CN"/>
              </w:rPr>
              <w:t>(1)</w:t>
            </w:r>
            <w:r>
              <w:rPr>
                <w:rFonts w:hint="eastAsia" w:ascii="仿宋" w:hAnsi="仿宋" w:eastAsia="仿宋" w:cs="Times New Roman"/>
                <w:color w:val="auto"/>
                <w:kern w:val="0"/>
                <w:sz w:val="24"/>
                <w:szCs w:val="24"/>
                <w:highlight w:val="none"/>
                <w:lang w:val="en-US" w:eastAsia="zh-CN"/>
              </w:rPr>
              <w:t>供应商</w:t>
            </w:r>
            <w:r>
              <w:rPr>
                <w:rFonts w:hint="default" w:ascii="仿宋" w:hAnsi="仿宋" w:eastAsia="仿宋" w:cs="Times New Roman"/>
                <w:color w:val="auto"/>
                <w:kern w:val="0"/>
                <w:sz w:val="24"/>
                <w:szCs w:val="24"/>
                <w:highlight w:val="none"/>
                <w:lang w:val="en-US" w:eastAsia="zh-CN"/>
              </w:rPr>
              <w:t>对采购事项有疑问的，可以向采购人或采购代理机构提出询问。(2)提出质疑的</w:t>
            </w:r>
            <w:r>
              <w:rPr>
                <w:rFonts w:hint="eastAsia" w:ascii="仿宋" w:hAnsi="仿宋" w:eastAsia="仿宋" w:cs="Times New Roman"/>
                <w:color w:val="auto"/>
                <w:kern w:val="0"/>
                <w:sz w:val="24"/>
                <w:szCs w:val="24"/>
                <w:highlight w:val="none"/>
                <w:lang w:val="en-US" w:eastAsia="zh-CN"/>
              </w:rPr>
              <w:t>供应商</w:t>
            </w:r>
            <w:r>
              <w:rPr>
                <w:rFonts w:hint="default" w:ascii="仿宋" w:hAnsi="仿宋" w:eastAsia="仿宋" w:cs="Times New Roman"/>
                <w:color w:val="auto"/>
                <w:kern w:val="0"/>
                <w:sz w:val="24"/>
                <w:szCs w:val="24"/>
                <w:highlight w:val="none"/>
                <w:lang w:val="en-US" w:eastAsia="zh-CN"/>
              </w:rPr>
              <w:t>应当是参与所质疑项目采购活动的</w:t>
            </w:r>
            <w:r>
              <w:rPr>
                <w:rFonts w:hint="eastAsia" w:ascii="仿宋" w:hAnsi="仿宋" w:eastAsia="仿宋" w:cs="Times New Roman"/>
                <w:color w:val="auto"/>
                <w:kern w:val="0"/>
                <w:sz w:val="24"/>
                <w:szCs w:val="24"/>
                <w:highlight w:val="none"/>
                <w:lang w:val="en-US" w:eastAsia="zh-CN"/>
              </w:rPr>
              <w:t>供应商</w:t>
            </w:r>
            <w:r>
              <w:rPr>
                <w:rFonts w:hint="default" w:ascii="仿宋" w:hAnsi="仿宋" w:eastAsia="仿宋" w:cs="Times New Roman"/>
                <w:color w:val="auto"/>
                <w:kern w:val="0"/>
                <w:sz w:val="24"/>
                <w:szCs w:val="24"/>
                <w:highlight w:val="none"/>
                <w:lang w:val="en-US" w:eastAsia="zh-CN"/>
              </w:rPr>
              <w:t>。</w:t>
            </w:r>
            <w:r>
              <w:rPr>
                <w:rFonts w:hint="eastAsia" w:ascii="仿宋" w:hAnsi="仿宋" w:eastAsia="仿宋" w:cs="Times New Roman"/>
                <w:color w:val="auto"/>
                <w:kern w:val="0"/>
                <w:sz w:val="24"/>
                <w:szCs w:val="24"/>
                <w:highlight w:val="none"/>
                <w:lang w:val="en-US" w:eastAsia="zh-CN"/>
              </w:rPr>
              <w:t>供应商</w:t>
            </w:r>
            <w:r>
              <w:rPr>
                <w:rFonts w:hint="default" w:ascii="仿宋" w:hAnsi="仿宋" w:eastAsia="仿宋" w:cs="Times New Roman"/>
                <w:color w:val="auto"/>
                <w:kern w:val="0"/>
                <w:sz w:val="24"/>
                <w:szCs w:val="24"/>
                <w:highlight w:val="none"/>
                <w:lang w:val="en-US" w:eastAsia="zh-CN"/>
              </w:rPr>
              <w:t>认为磋商文件、采购过程和中标结果使自已的权益受到损害的，可以在知道或者应知其权益受到损害之日起7个工作日内，以书面形式向采购人或采购代理机构提出质疑。(3)质疑应当按照《中华人民共和国政府采购法》、《中华人民共和国政府采购法实施条例》、《政府采购质疑和投诉办法》等法律法规的相关规定，以书面形式向采购人或采购代理机构提出。(4)质疑函应当附上相关证明材料，否则质疑将视为无有效证据支持，将被予以驳回，并不得以上述理由要求延长质疑有效期。未递交</w:t>
            </w:r>
            <w:r>
              <w:rPr>
                <w:rFonts w:hint="eastAsia" w:ascii="仿宋" w:hAnsi="仿宋" w:eastAsia="仿宋" w:cs="Times New Roman"/>
                <w:color w:val="auto"/>
                <w:kern w:val="0"/>
                <w:sz w:val="24"/>
                <w:szCs w:val="24"/>
                <w:highlight w:val="none"/>
                <w:lang w:val="en-US" w:eastAsia="zh-CN"/>
              </w:rPr>
              <w:t>响应文件</w:t>
            </w:r>
            <w:r>
              <w:rPr>
                <w:rFonts w:hint="default" w:ascii="仿宋" w:hAnsi="仿宋" w:eastAsia="仿宋" w:cs="Times New Roman"/>
                <w:color w:val="auto"/>
                <w:kern w:val="0"/>
                <w:sz w:val="24"/>
                <w:szCs w:val="24"/>
                <w:highlight w:val="none"/>
                <w:lang w:val="en-US" w:eastAsia="zh-CN"/>
              </w:rPr>
              <w:t>的</w:t>
            </w:r>
            <w:r>
              <w:rPr>
                <w:rFonts w:hint="eastAsia" w:ascii="仿宋" w:hAnsi="仿宋" w:eastAsia="仿宋" w:cs="Times New Roman"/>
                <w:color w:val="auto"/>
                <w:kern w:val="0"/>
                <w:sz w:val="24"/>
                <w:szCs w:val="24"/>
                <w:highlight w:val="none"/>
                <w:lang w:val="en-US" w:eastAsia="zh-CN"/>
              </w:rPr>
              <w:t>供应商</w:t>
            </w:r>
            <w:r>
              <w:rPr>
                <w:rFonts w:hint="default" w:ascii="仿宋" w:hAnsi="仿宋" w:eastAsia="仿宋" w:cs="Times New Roman"/>
                <w:color w:val="auto"/>
                <w:kern w:val="0"/>
                <w:sz w:val="24"/>
                <w:szCs w:val="24"/>
                <w:highlight w:val="none"/>
                <w:lang w:val="en-US" w:eastAsia="zh-CN"/>
              </w:rPr>
              <w:t>，其未参加后续采购活动，不得对递交</w:t>
            </w:r>
            <w:r>
              <w:rPr>
                <w:rFonts w:hint="eastAsia" w:ascii="仿宋" w:hAnsi="仿宋" w:eastAsia="仿宋" w:cs="Times New Roman"/>
                <w:color w:val="auto"/>
                <w:kern w:val="0"/>
                <w:sz w:val="24"/>
                <w:szCs w:val="24"/>
                <w:highlight w:val="none"/>
                <w:lang w:val="en-US" w:eastAsia="zh-CN"/>
              </w:rPr>
              <w:t>响应文件</w:t>
            </w:r>
            <w:r>
              <w:rPr>
                <w:rFonts w:hint="default" w:ascii="仿宋" w:hAnsi="仿宋" w:eastAsia="仿宋" w:cs="Times New Roman"/>
                <w:color w:val="auto"/>
                <w:kern w:val="0"/>
                <w:sz w:val="24"/>
                <w:szCs w:val="24"/>
                <w:highlight w:val="none"/>
                <w:lang w:val="en-US" w:eastAsia="zh-CN"/>
              </w:rPr>
              <w:t>截止后的采购过程、采购结果提出质疑。(5)质疑人可以采取书面形式递交质疑函。采购人或采购代理机构收到质疑函后，对质疑函进行审查，对符合质疑条件的将办理签收手续，自签收质疑函之日起即为受理。(6)采购人或采购代理机构将在受理书面质疑后7个工作日内审查质疑事项，作出答复或相关处理决定，并以书面形式通知质疑人和其他相关</w:t>
            </w:r>
            <w:r>
              <w:rPr>
                <w:rFonts w:hint="eastAsia" w:ascii="仿宋" w:hAnsi="仿宋" w:eastAsia="仿宋" w:cs="Times New Roman"/>
                <w:color w:val="auto"/>
                <w:kern w:val="0"/>
                <w:sz w:val="24"/>
                <w:szCs w:val="24"/>
                <w:highlight w:val="none"/>
                <w:lang w:val="en-US" w:eastAsia="zh-CN"/>
              </w:rPr>
              <w:t>供应商</w:t>
            </w:r>
            <w:r>
              <w:rPr>
                <w:rFonts w:hint="default" w:ascii="仿宋" w:hAnsi="仿宋" w:eastAsia="仿宋" w:cs="Times New Roman"/>
                <w:color w:val="auto"/>
                <w:kern w:val="0"/>
                <w:sz w:val="24"/>
                <w:szCs w:val="24"/>
                <w:highlight w:val="none"/>
                <w:lang w:val="en-US" w:eastAsia="zh-CN"/>
              </w:rPr>
              <w:t>，但答复的内容不涉及商业秘密。(7)</w:t>
            </w:r>
            <w:r>
              <w:rPr>
                <w:rFonts w:hint="eastAsia" w:ascii="仿宋" w:hAnsi="仿宋" w:eastAsia="仿宋" w:cs="Times New Roman"/>
                <w:color w:val="auto"/>
                <w:kern w:val="0"/>
                <w:sz w:val="24"/>
                <w:szCs w:val="24"/>
                <w:highlight w:val="none"/>
                <w:lang w:val="en-US" w:eastAsia="zh-CN"/>
              </w:rPr>
              <w:t>供应商</w:t>
            </w:r>
            <w:r>
              <w:rPr>
                <w:rFonts w:hint="default" w:ascii="仿宋" w:hAnsi="仿宋" w:eastAsia="仿宋" w:cs="Times New Roman"/>
                <w:color w:val="auto"/>
                <w:kern w:val="0"/>
                <w:sz w:val="24"/>
                <w:szCs w:val="24"/>
                <w:highlight w:val="none"/>
                <w:lang w:val="en-US" w:eastAsia="zh-CN"/>
              </w:rPr>
              <w:t>进行虚假和恶意质疑的，采购人或采购代理机构将提请 政府采购监管部门对该</w:t>
            </w:r>
            <w:r>
              <w:rPr>
                <w:rFonts w:hint="eastAsia" w:ascii="仿宋" w:hAnsi="仿宋" w:eastAsia="仿宋" w:cs="Times New Roman"/>
                <w:color w:val="auto"/>
                <w:kern w:val="0"/>
                <w:sz w:val="24"/>
                <w:szCs w:val="24"/>
                <w:highlight w:val="none"/>
                <w:lang w:val="en-US" w:eastAsia="zh-CN"/>
              </w:rPr>
              <w:t>供应商</w:t>
            </w:r>
            <w:r>
              <w:rPr>
                <w:rFonts w:hint="default" w:ascii="仿宋" w:hAnsi="仿宋" w:eastAsia="仿宋" w:cs="Times New Roman"/>
                <w:color w:val="auto"/>
                <w:kern w:val="0"/>
                <w:sz w:val="24"/>
                <w:szCs w:val="24"/>
                <w:highlight w:val="none"/>
                <w:lang w:val="en-US" w:eastAsia="zh-CN"/>
              </w:rPr>
              <w:t>进行相应的行政处罚和记录该</w:t>
            </w:r>
            <w:r>
              <w:rPr>
                <w:rFonts w:hint="eastAsia" w:ascii="仿宋" w:hAnsi="仿宋" w:eastAsia="仿宋" w:cs="Times New Roman"/>
                <w:color w:val="auto"/>
                <w:kern w:val="0"/>
                <w:sz w:val="24"/>
                <w:szCs w:val="24"/>
                <w:highlight w:val="none"/>
                <w:lang w:val="en-US" w:eastAsia="zh-CN"/>
              </w:rPr>
              <w:t>供应商</w:t>
            </w:r>
            <w:r>
              <w:rPr>
                <w:rFonts w:hint="default" w:ascii="仿宋" w:hAnsi="仿宋" w:eastAsia="仿宋" w:cs="Times New Roman"/>
                <w:color w:val="auto"/>
                <w:kern w:val="0"/>
                <w:sz w:val="24"/>
                <w:szCs w:val="24"/>
                <w:highlight w:val="none"/>
                <w:lang w:val="en-US" w:eastAsia="zh-CN"/>
              </w:rPr>
              <w:t>的失信信息。(8)质疑人对答复不满意以及采购人或采购代理机构未在规定的时 间内作出答复的，可以在答复期满后 15 个工作日内向财政部门投拆。质疑函制作说明： 1.质疑人提出质疑时，应当提交书面质疑函，质疑函应当包括下列 主要内容：（一）</w:t>
            </w:r>
            <w:r>
              <w:rPr>
                <w:rFonts w:hint="eastAsia" w:ascii="仿宋" w:hAnsi="仿宋" w:eastAsia="仿宋" w:cs="Times New Roman"/>
                <w:color w:val="auto"/>
                <w:kern w:val="0"/>
                <w:sz w:val="24"/>
                <w:szCs w:val="24"/>
                <w:highlight w:val="none"/>
                <w:lang w:val="en-US" w:eastAsia="zh-CN"/>
              </w:rPr>
              <w:t>供应商</w:t>
            </w:r>
            <w:r>
              <w:rPr>
                <w:rFonts w:hint="default" w:ascii="仿宋" w:hAnsi="仿宋" w:eastAsia="仿宋" w:cs="Times New Roman"/>
                <w:color w:val="auto"/>
                <w:kern w:val="0"/>
                <w:sz w:val="24"/>
                <w:szCs w:val="24"/>
                <w:highlight w:val="none"/>
                <w:lang w:val="en-US" w:eastAsia="zh-CN"/>
              </w:rPr>
              <w:t>的姓名或者名称、地址、邮编、联系人及联系电话；（二）质疑项目的名称、编号；（三）具体、明确的质疑事项和与质疑事项相关的请求；（四）事实依据；（五）必要的法律依据；（六）提出质疑的日期。★质疑函的递交方式：以书面形式递交或者电子邮件的方式。注：</w:t>
            </w:r>
            <w:r>
              <w:rPr>
                <w:rFonts w:hint="eastAsia" w:ascii="仿宋" w:hAnsi="仿宋" w:eastAsia="仿宋" w:cs="Times New Roman"/>
                <w:color w:val="auto"/>
                <w:kern w:val="0"/>
                <w:sz w:val="24"/>
                <w:szCs w:val="24"/>
                <w:highlight w:val="none"/>
                <w:lang w:val="en-US" w:eastAsia="zh-CN"/>
              </w:rPr>
              <w:t>供应商</w:t>
            </w:r>
            <w:r>
              <w:rPr>
                <w:rFonts w:hint="default" w:ascii="仿宋" w:hAnsi="仿宋" w:eastAsia="仿宋" w:cs="Times New Roman"/>
                <w:color w:val="auto"/>
                <w:kern w:val="0"/>
                <w:sz w:val="24"/>
                <w:szCs w:val="24"/>
                <w:highlight w:val="none"/>
                <w:lang w:val="en-US" w:eastAsia="zh-CN"/>
              </w:rPr>
              <w:t>按照中华人民共和国财政部令第94号《政府采购质疑 和投诉办法》提出质疑。2.质疑</w:t>
            </w:r>
            <w:r>
              <w:rPr>
                <w:rFonts w:hint="eastAsia" w:ascii="仿宋" w:hAnsi="仿宋" w:eastAsia="仿宋" w:cs="Times New Roman"/>
                <w:color w:val="auto"/>
                <w:kern w:val="0"/>
                <w:sz w:val="24"/>
                <w:szCs w:val="24"/>
                <w:highlight w:val="none"/>
                <w:lang w:val="en-US" w:eastAsia="zh-CN"/>
              </w:rPr>
              <w:t>供应商</w:t>
            </w:r>
            <w:r>
              <w:rPr>
                <w:rFonts w:hint="default" w:ascii="仿宋" w:hAnsi="仿宋" w:eastAsia="仿宋" w:cs="Times New Roman"/>
                <w:color w:val="auto"/>
                <w:kern w:val="0"/>
                <w:sz w:val="24"/>
                <w:szCs w:val="24"/>
                <w:highlight w:val="none"/>
                <w:lang w:val="en-US" w:eastAsia="zh-CN"/>
              </w:rPr>
              <w:t>若委托代理人进行质疑的，质疑函应按要求列明“授 权代表”的有关内容，并在附件中提交由质疑</w:t>
            </w:r>
            <w:r>
              <w:rPr>
                <w:rFonts w:hint="eastAsia" w:ascii="仿宋" w:hAnsi="仿宋" w:eastAsia="仿宋" w:cs="Times New Roman"/>
                <w:color w:val="auto"/>
                <w:kern w:val="0"/>
                <w:sz w:val="24"/>
                <w:szCs w:val="24"/>
                <w:highlight w:val="none"/>
                <w:lang w:val="en-US" w:eastAsia="zh-CN"/>
              </w:rPr>
              <w:t>供应商</w:t>
            </w:r>
            <w:r>
              <w:rPr>
                <w:rFonts w:hint="default" w:ascii="仿宋" w:hAnsi="仿宋" w:eastAsia="仿宋" w:cs="Times New Roman"/>
                <w:color w:val="auto"/>
                <w:kern w:val="0"/>
                <w:sz w:val="24"/>
                <w:szCs w:val="24"/>
                <w:highlight w:val="none"/>
                <w:lang w:val="en-US" w:eastAsia="zh-CN"/>
              </w:rPr>
              <w:t>签署的授权委 托书。授权委托书应载明代理人的姓名或者名称、代理事项、具体 权限、期限和相关事项。 3.质疑函的质疑事项应具体、明确，并有必要的事实依据和法律依 据。 4.质疑函的质疑请求应与质疑事项相关。 5.质疑</w:t>
            </w:r>
            <w:r>
              <w:rPr>
                <w:rFonts w:hint="eastAsia" w:ascii="仿宋" w:hAnsi="仿宋" w:eastAsia="仿宋" w:cs="Times New Roman"/>
                <w:color w:val="auto"/>
                <w:kern w:val="0"/>
                <w:sz w:val="24"/>
                <w:szCs w:val="24"/>
                <w:highlight w:val="none"/>
                <w:lang w:val="en-US" w:eastAsia="zh-CN"/>
              </w:rPr>
              <w:t>供应商</w:t>
            </w:r>
            <w:r>
              <w:rPr>
                <w:rFonts w:hint="default" w:ascii="仿宋" w:hAnsi="仿宋" w:eastAsia="仿宋" w:cs="Times New Roman"/>
                <w:color w:val="auto"/>
                <w:kern w:val="0"/>
                <w:sz w:val="24"/>
                <w:szCs w:val="24"/>
                <w:highlight w:val="none"/>
                <w:lang w:val="en-US" w:eastAsia="zh-CN"/>
              </w:rPr>
              <w:t>为自然人的，质疑函应由本人签字；质疑</w:t>
            </w:r>
            <w:r>
              <w:rPr>
                <w:rFonts w:hint="eastAsia" w:ascii="仿宋" w:hAnsi="仿宋" w:eastAsia="仿宋" w:cs="Times New Roman"/>
                <w:color w:val="auto"/>
                <w:kern w:val="0"/>
                <w:sz w:val="24"/>
                <w:szCs w:val="24"/>
                <w:highlight w:val="none"/>
                <w:lang w:val="en-US" w:eastAsia="zh-CN"/>
              </w:rPr>
              <w:t>供应商</w:t>
            </w:r>
            <w:r>
              <w:rPr>
                <w:rFonts w:hint="default" w:ascii="仿宋" w:hAnsi="仿宋" w:eastAsia="仿宋" w:cs="Times New Roman"/>
                <w:color w:val="auto"/>
                <w:kern w:val="0"/>
                <w:sz w:val="24"/>
                <w:szCs w:val="24"/>
                <w:highlight w:val="none"/>
                <w:lang w:val="en-US" w:eastAsia="zh-CN"/>
              </w:rPr>
              <w:t>为法 人或者其他组织的，质疑函应由法定代表人、主要负责人，或者其 授权代表签字或者盖章，并加盖公章。 接收方式：要求质疑</w:t>
            </w:r>
            <w:r>
              <w:rPr>
                <w:rFonts w:hint="eastAsia" w:ascii="仿宋" w:hAnsi="仿宋" w:eastAsia="仿宋" w:cs="Times New Roman"/>
                <w:color w:val="auto"/>
                <w:kern w:val="0"/>
                <w:sz w:val="24"/>
                <w:szCs w:val="24"/>
                <w:highlight w:val="none"/>
                <w:lang w:val="en-US" w:eastAsia="zh-CN"/>
              </w:rPr>
              <w:t>供应商</w:t>
            </w:r>
            <w:r>
              <w:rPr>
                <w:rFonts w:hint="default" w:ascii="仿宋" w:hAnsi="仿宋" w:eastAsia="仿宋" w:cs="Times New Roman"/>
                <w:color w:val="auto"/>
                <w:kern w:val="0"/>
                <w:sz w:val="24"/>
                <w:szCs w:val="24"/>
                <w:highlight w:val="none"/>
                <w:lang w:val="en-US" w:eastAsia="zh-CN"/>
              </w:rPr>
              <w:t>提供营业执照扫描件、法人身份证扫描 件，代理人有授权委托书。</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C2F63BF">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rPr>
            </w:pPr>
          </w:p>
        </w:tc>
      </w:tr>
      <w:tr w14:paraId="41158EDA">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FCA58B9">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212E5BC">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rPr>
            </w:pPr>
            <w:r>
              <w:rPr>
                <w:rFonts w:hint="eastAsia" w:ascii="仿宋" w:hAnsi="仿宋" w:eastAsia="仿宋" w:cs="Times New Roman"/>
                <w:color w:val="auto"/>
                <w:kern w:val="0"/>
                <w:sz w:val="24"/>
                <w:szCs w:val="24"/>
                <w:highlight w:val="none"/>
                <w:lang w:eastAsia="zh-CN"/>
              </w:rPr>
              <w:t>供应商</w:t>
            </w:r>
            <w:r>
              <w:rPr>
                <w:rFonts w:ascii="仿宋" w:hAnsi="仿宋" w:eastAsia="仿宋" w:cs="Times New Roman"/>
                <w:color w:val="auto"/>
                <w:kern w:val="0"/>
                <w:sz w:val="24"/>
                <w:szCs w:val="24"/>
                <w:highlight w:val="none"/>
              </w:rPr>
              <w:t>确认收到采购文件澄清或修改的时间</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E696578">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u w:val="single"/>
                <w:lang w:val="zh-CN"/>
              </w:rPr>
            </w:pPr>
            <w:r>
              <w:rPr>
                <w:rFonts w:hint="eastAsia" w:ascii="仿宋" w:hAnsi="仿宋" w:eastAsia="仿宋" w:cs="仿宋"/>
                <w:color w:val="auto"/>
                <w:kern w:val="0"/>
                <w:sz w:val="24"/>
                <w:szCs w:val="24"/>
                <w:highlight w:val="none"/>
                <w:lang w:val="zh-CN"/>
              </w:rPr>
              <w:t>提交首次响应文件截止日期前5日</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E40BBA7">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zh-CN"/>
              </w:rPr>
            </w:pPr>
          </w:p>
        </w:tc>
      </w:tr>
      <w:tr w14:paraId="32745A28">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A8CF8F3">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21</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94CC39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供应商资格条件</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BBF9BE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1.满足《中华人民共和国政府采购法》第二十二条规</w:t>
            </w:r>
          </w:p>
          <w:p w14:paraId="5988378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定 ；</w:t>
            </w:r>
          </w:p>
          <w:p w14:paraId="567D483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（1）具有独立承担民事责任的能力</w:t>
            </w:r>
            <w:r>
              <w:rPr>
                <w:rFonts w:hint="eastAsia" w:ascii="仿宋" w:hAnsi="仿宋" w:eastAsia="仿宋" w:cs="仿宋"/>
                <w:color w:val="auto"/>
                <w:sz w:val="24"/>
                <w:szCs w:val="24"/>
                <w:highlight w:val="none"/>
                <w:lang w:val="zh-CN"/>
              </w:rPr>
              <w:t>：</w:t>
            </w:r>
            <w:r>
              <w:rPr>
                <w:rFonts w:hint="eastAsia" w:ascii="仿宋" w:hAnsi="仿宋" w:cs="仿宋"/>
                <w:color w:val="auto"/>
                <w:sz w:val="24"/>
                <w:szCs w:val="24"/>
                <w:highlight w:val="none"/>
                <w:lang w:val="zh-CN"/>
              </w:rPr>
              <w:t>具有有效经年检的三证合一营业执照。</w:t>
            </w:r>
          </w:p>
          <w:p w14:paraId="5021278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（2）具有良好的商业信誉和健全的财务会计制度：</w:t>
            </w:r>
            <w:r>
              <w:rPr>
                <w:rFonts w:hint="eastAsia" w:ascii="仿宋" w:hAnsi="仿宋" w:eastAsia="仿宋" w:cs="仿宋"/>
                <w:color w:val="auto"/>
                <w:sz w:val="24"/>
                <w:szCs w:val="24"/>
                <w:highlight w:val="none"/>
                <w:lang w:val="zh-CN"/>
              </w:rPr>
              <w:t>提供</w:t>
            </w:r>
            <w:r>
              <w:rPr>
                <w:rFonts w:hint="eastAsia" w:ascii="仿宋" w:hAnsi="仿宋" w:cs="仿宋"/>
                <w:color w:val="auto"/>
                <w:sz w:val="24"/>
                <w:szCs w:val="24"/>
                <w:highlight w:val="none"/>
                <w:lang w:val="en-US" w:eastAsia="zh-CN"/>
              </w:rPr>
              <w:t>2025年审计报告或</w:t>
            </w:r>
            <w:r>
              <w:rPr>
                <w:rFonts w:hint="eastAsia" w:ascii="仿宋" w:hAnsi="仿宋" w:eastAsia="仿宋" w:cs="仿宋"/>
                <w:color w:val="auto"/>
                <w:sz w:val="24"/>
                <w:szCs w:val="24"/>
                <w:highlight w:val="none"/>
                <w:lang w:val="zh-CN"/>
              </w:rPr>
              <w:t>财务</w:t>
            </w:r>
            <w:r>
              <w:rPr>
                <w:rFonts w:hint="eastAsia" w:ascii="仿宋" w:hAnsi="仿宋" w:cs="仿宋"/>
                <w:color w:val="auto"/>
                <w:sz w:val="24"/>
                <w:szCs w:val="24"/>
                <w:highlight w:val="none"/>
                <w:lang w:val="en-US" w:eastAsia="zh-CN"/>
              </w:rPr>
              <w:t>报表</w:t>
            </w:r>
            <w:r>
              <w:rPr>
                <w:rFonts w:hint="eastAsia" w:ascii="仿宋" w:hAnsi="仿宋" w:eastAsia="仿宋" w:cs="仿宋"/>
                <w:color w:val="auto"/>
                <w:sz w:val="24"/>
                <w:szCs w:val="24"/>
                <w:highlight w:val="none"/>
                <w:lang w:val="zh-CN"/>
              </w:rPr>
              <w:t>(成立不足一年提供成立至今财务报表</w:t>
            </w:r>
            <w:r>
              <w:rPr>
                <w:rFonts w:hint="eastAsia" w:ascii="仿宋" w:hAnsi="仿宋" w:cs="仿宋"/>
                <w:color w:val="auto"/>
                <w:sz w:val="24"/>
                <w:szCs w:val="24"/>
                <w:highlight w:val="none"/>
                <w:lang w:val="zh-CN"/>
              </w:rPr>
              <w:t>，</w:t>
            </w:r>
            <w:r>
              <w:rPr>
                <w:rFonts w:hint="eastAsia" w:ascii="仿宋" w:hAnsi="仿宋" w:eastAsia="仿宋" w:cs="仿宋"/>
                <w:color w:val="auto"/>
                <w:sz w:val="24"/>
                <w:szCs w:val="24"/>
                <w:highlight w:val="none"/>
                <w:lang w:val="zh-CN" w:eastAsia="zh-CN"/>
              </w:rPr>
              <w:t>包括资产负债表、利润表、现金流量表</w:t>
            </w:r>
            <w:r>
              <w:rPr>
                <w:rFonts w:hint="eastAsia" w:ascii="仿宋" w:hAnsi="仿宋" w:eastAsia="仿宋" w:cs="仿宋"/>
                <w:color w:val="auto"/>
                <w:sz w:val="24"/>
                <w:szCs w:val="24"/>
                <w:highlight w:val="none"/>
                <w:lang w:val="zh-CN"/>
              </w:rPr>
              <w:t>）。</w:t>
            </w:r>
          </w:p>
          <w:p w14:paraId="59FADBD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（3）具有履行合同所必需的设备和专业技术能力提供：</w:t>
            </w:r>
            <w:r>
              <w:rPr>
                <w:rFonts w:hint="eastAsia" w:ascii="仿宋" w:hAnsi="仿宋" w:eastAsia="仿宋" w:cs="仿宋"/>
                <w:color w:val="auto"/>
                <w:sz w:val="24"/>
                <w:szCs w:val="24"/>
                <w:highlight w:val="none"/>
                <w:lang w:val="zh-CN"/>
              </w:rPr>
              <w:t>《供应商具有履行合同所必需的设备和专业技术能力提供声明函》</w:t>
            </w:r>
          </w:p>
          <w:p w14:paraId="68A1770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（4）依法缴纳税收的良好记录：</w:t>
            </w:r>
            <w:r>
              <w:rPr>
                <w:rFonts w:hint="eastAsia" w:ascii="仿宋" w:hAnsi="仿宋" w:eastAsia="仿宋" w:cs="仿宋"/>
                <w:color w:val="auto"/>
                <w:sz w:val="24"/>
                <w:szCs w:val="24"/>
                <w:highlight w:val="none"/>
                <w:lang w:val="zh-CN"/>
              </w:rPr>
              <w:t>提供投标截止日前近</w:t>
            </w:r>
            <w:r>
              <w:rPr>
                <w:rFonts w:hint="eastAsia" w:ascii="仿宋" w:hAnsi="仿宋" w:cs="仿宋"/>
                <w:color w:val="auto"/>
                <w:sz w:val="24"/>
                <w:szCs w:val="24"/>
                <w:highlight w:val="none"/>
                <w:lang w:val="zh-CN"/>
              </w:rPr>
              <w:t>三个月</w:t>
            </w:r>
            <w:r>
              <w:rPr>
                <w:rFonts w:hint="eastAsia" w:ascii="仿宋" w:hAnsi="仿宋" w:eastAsia="仿宋" w:cs="仿宋"/>
                <w:color w:val="auto"/>
                <w:sz w:val="24"/>
                <w:szCs w:val="24"/>
                <w:highlight w:val="none"/>
                <w:lang w:val="zh-CN"/>
              </w:rPr>
              <w:t>任意一个月完税证明；依法免税的，应提供相应文件（扫描件）证明其依法免税。</w:t>
            </w:r>
          </w:p>
          <w:p w14:paraId="1E95A75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（5）依法缴纳社会保障资金的良好记录：</w:t>
            </w:r>
            <w:r>
              <w:rPr>
                <w:rFonts w:hint="eastAsia" w:ascii="仿宋" w:hAnsi="仿宋" w:eastAsia="仿宋" w:cs="仿宋"/>
                <w:color w:val="auto"/>
                <w:sz w:val="24"/>
                <w:szCs w:val="24"/>
                <w:highlight w:val="none"/>
                <w:lang w:val="zh-CN"/>
              </w:rPr>
              <w:t>提供投标截止日前</w:t>
            </w:r>
            <w:r>
              <w:rPr>
                <w:rFonts w:hint="eastAsia" w:ascii="仿宋" w:hAnsi="仿宋" w:cs="仿宋"/>
                <w:color w:val="auto"/>
                <w:sz w:val="24"/>
                <w:szCs w:val="24"/>
                <w:highlight w:val="none"/>
                <w:lang w:val="en-US" w:eastAsia="zh-CN"/>
              </w:rPr>
              <w:t>2026年</w:t>
            </w:r>
            <w:r>
              <w:rPr>
                <w:rFonts w:hint="eastAsia" w:ascii="仿宋" w:hAnsi="仿宋" w:eastAsia="仿宋" w:cs="仿宋"/>
                <w:color w:val="auto"/>
                <w:sz w:val="24"/>
                <w:szCs w:val="24"/>
                <w:highlight w:val="none"/>
                <w:lang w:val="zh-CN"/>
              </w:rPr>
              <w:t>任意一个月的社保缴纳证明（社保缴纳证明中含</w:t>
            </w:r>
            <w:r>
              <w:rPr>
                <w:rFonts w:hint="eastAsia" w:ascii="仿宋" w:hAnsi="仿宋" w:cs="仿宋"/>
                <w:color w:val="auto"/>
                <w:sz w:val="24"/>
                <w:szCs w:val="24"/>
                <w:highlight w:val="none"/>
                <w:lang w:val="en-US" w:eastAsia="zh-CN"/>
              </w:rPr>
              <w:t>法定代表人</w:t>
            </w:r>
            <w:r>
              <w:rPr>
                <w:rFonts w:hint="eastAsia" w:ascii="仿宋" w:hAnsi="仿宋" w:eastAsia="仿宋" w:cs="仿宋"/>
                <w:color w:val="auto"/>
                <w:sz w:val="24"/>
                <w:szCs w:val="24"/>
                <w:highlight w:val="none"/>
                <w:lang w:val="zh-CN"/>
              </w:rPr>
              <w:t>或委托</w:t>
            </w:r>
            <w:r>
              <w:rPr>
                <w:rFonts w:hint="eastAsia" w:ascii="仿宋" w:hAnsi="仿宋" w:cs="仿宋"/>
                <w:color w:val="auto"/>
                <w:sz w:val="24"/>
                <w:szCs w:val="24"/>
                <w:highlight w:val="none"/>
                <w:lang w:val="en-US" w:eastAsia="zh-CN"/>
              </w:rPr>
              <w:t>代理人</w:t>
            </w:r>
            <w:r>
              <w:rPr>
                <w:rFonts w:hint="eastAsia" w:ascii="仿宋" w:hAnsi="仿宋" w:eastAsia="仿宋" w:cs="仿宋"/>
                <w:color w:val="auto"/>
                <w:sz w:val="24"/>
                <w:szCs w:val="24"/>
                <w:highlight w:val="none"/>
                <w:lang w:val="zh-CN"/>
              </w:rPr>
              <w:t>的社保明细）；依法不需要缴纳社会保险的，应提供相应文件（扫描件）证明其依法不需要缴纳社会保险。</w:t>
            </w:r>
          </w:p>
          <w:p w14:paraId="4680A47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（6）参加政府采购活动前三年内，在经营活动中没有重大违法记录：</w:t>
            </w:r>
            <w:r>
              <w:rPr>
                <w:rFonts w:hint="eastAsia" w:ascii="仿宋" w:hAnsi="仿宋" w:eastAsia="仿宋" w:cs="仿宋"/>
                <w:color w:val="auto"/>
                <w:sz w:val="24"/>
                <w:szCs w:val="24"/>
                <w:highlight w:val="none"/>
                <w:lang w:val="zh-CN"/>
              </w:rPr>
              <w:t>提供《三年内在经营活动中没有重大违法记录的声明》。</w:t>
            </w:r>
          </w:p>
          <w:p w14:paraId="33EA147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（7）符合法律、行政法规规定的其他条件：</w:t>
            </w:r>
            <w:r>
              <w:rPr>
                <w:rFonts w:hint="eastAsia" w:ascii="仿宋" w:hAnsi="仿宋" w:eastAsia="仿宋" w:cs="仿宋"/>
                <w:color w:val="auto"/>
                <w:sz w:val="24"/>
                <w:szCs w:val="24"/>
                <w:highlight w:val="none"/>
                <w:lang w:val="zh-CN"/>
              </w:rPr>
              <w:t>提供①单位负责人为同一人或者存在直接控股、管理关系的不同供应商不得参加同一合同项下的政府采购活动的《声明函》；提供②为采购项目提供整体设计、规范编制或者项目管理、监理、检测等服务的供应商，不得再参加该采购项目的其他采购活动的《声明函》。</w:t>
            </w:r>
          </w:p>
          <w:p w14:paraId="0990426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2.落实政府采购政策需满足的资格要求：本项目属于专门面向</w:t>
            </w:r>
            <w:r>
              <w:rPr>
                <w:rFonts w:hint="eastAsia" w:ascii="仿宋" w:hAnsi="仿宋" w:cs="仿宋"/>
                <w:b/>
                <w:bCs/>
                <w:color w:val="auto"/>
                <w:sz w:val="24"/>
                <w:szCs w:val="24"/>
                <w:highlight w:val="none"/>
                <w:lang w:val="zh-CN"/>
              </w:rPr>
              <w:t>中</w:t>
            </w:r>
            <w:r>
              <w:rPr>
                <w:rFonts w:hint="eastAsia" w:ascii="仿宋" w:hAnsi="仿宋" w:cs="仿宋"/>
                <w:b/>
                <w:bCs/>
                <w:color w:val="auto"/>
                <w:sz w:val="24"/>
                <w:szCs w:val="24"/>
                <w:highlight w:val="none"/>
                <w:lang w:val="en-US" w:eastAsia="zh-CN"/>
              </w:rPr>
              <w:t>小</w:t>
            </w:r>
            <w:r>
              <w:rPr>
                <w:rFonts w:hint="eastAsia" w:ascii="仿宋" w:hAnsi="仿宋" w:eastAsia="仿宋" w:cs="仿宋"/>
                <w:b/>
                <w:bCs/>
                <w:color w:val="auto"/>
                <w:sz w:val="24"/>
                <w:szCs w:val="24"/>
                <w:highlight w:val="none"/>
                <w:lang w:val="zh-CN"/>
              </w:rPr>
              <w:t>企业采购的项目</w:t>
            </w:r>
            <w:r>
              <w:rPr>
                <w:rFonts w:hint="eastAsia" w:ascii="仿宋" w:hAnsi="仿宋" w:eastAsia="仿宋" w:cs="仿宋"/>
                <w:color w:val="auto"/>
                <w:sz w:val="24"/>
                <w:szCs w:val="24"/>
                <w:highlight w:val="none"/>
                <w:lang w:val="zh-CN"/>
              </w:rPr>
              <w:t>，供应商应为符合《政府采购促进中小企业发展管理办法》的</w:t>
            </w:r>
            <w:r>
              <w:rPr>
                <w:rFonts w:hint="eastAsia" w:ascii="仿宋" w:hAnsi="仿宋" w:cs="仿宋"/>
                <w:color w:val="auto"/>
                <w:sz w:val="24"/>
                <w:szCs w:val="24"/>
                <w:highlight w:val="none"/>
                <w:lang w:val="en-US" w:eastAsia="zh-CN"/>
              </w:rPr>
              <w:t>中</w:t>
            </w:r>
            <w:r>
              <w:rPr>
                <w:rFonts w:hint="eastAsia" w:ascii="仿宋" w:hAnsi="仿宋" w:cs="仿宋"/>
                <w:color w:val="auto"/>
                <w:sz w:val="24"/>
                <w:szCs w:val="24"/>
                <w:highlight w:val="none"/>
                <w:lang w:val="zh-CN"/>
              </w:rPr>
              <w:t>小</w:t>
            </w:r>
            <w:r>
              <w:rPr>
                <w:rFonts w:hint="eastAsia" w:ascii="仿宋" w:hAnsi="仿宋" w:eastAsia="仿宋" w:cs="仿宋"/>
                <w:color w:val="auto"/>
                <w:sz w:val="24"/>
                <w:szCs w:val="24"/>
                <w:highlight w:val="none"/>
                <w:lang w:val="zh-CN"/>
              </w:rPr>
              <w:t>企业(其中，</w:t>
            </w:r>
            <w:r>
              <w:rPr>
                <w:rFonts w:hint="eastAsia" w:ascii="仿宋" w:hAnsi="仿宋" w:cs="仿宋"/>
                <w:color w:val="auto"/>
                <w:sz w:val="24"/>
                <w:szCs w:val="24"/>
                <w:highlight w:val="none"/>
                <w:lang w:val="en-US" w:eastAsia="zh-CN"/>
              </w:rPr>
              <w:t>中</w:t>
            </w:r>
            <w:r>
              <w:rPr>
                <w:rFonts w:hint="eastAsia" w:ascii="仿宋" w:hAnsi="仿宋" w:eastAsia="仿宋" w:cs="仿宋"/>
                <w:color w:val="auto"/>
                <w:sz w:val="24"/>
                <w:szCs w:val="24"/>
                <w:highlight w:val="none"/>
                <w:lang w:val="zh-CN"/>
              </w:rPr>
              <w:t>小企业包括视同为</w:t>
            </w:r>
            <w:r>
              <w:rPr>
                <w:rFonts w:hint="eastAsia" w:ascii="仿宋" w:hAnsi="仿宋" w:cs="仿宋"/>
                <w:color w:val="auto"/>
                <w:sz w:val="24"/>
                <w:szCs w:val="24"/>
                <w:highlight w:val="none"/>
                <w:lang w:val="zh-CN"/>
              </w:rPr>
              <w:t>中</w:t>
            </w:r>
            <w:r>
              <w:rPr>
                <w:rFonts w:hint="eastAsia" w:ascii="仿宋" w:hAnsi="仿宋" w:eastAsia="仿宋" w:cs="仿宋"/>
                <w:color w:val="auto"/>
                <w:sz w:val="24"/>
                <w:szCs w:val="24"/>
                <w:highlight w:val="none"/>
                <w:lang w:val="zh-CN"/>
              </w:rPr>
              <w:t>型、小型、微型企业的监狱企业、残疾人福利性单位)。</w:t>
            </w:r>
          </w:p>
          <w:p w14:paraId="1A2F717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auto"/>
                <w:kern w:val="0"/>
                <w:sz w:val="24"/>
                <w:szCs w:val="24"/>
                <w:highlight w:val="none"/>
                <w:lang w:val="en-US" w:eastAsia="zh-CN" w:bidi="ar-SA"/>
              </w:rPr>
              <w:t>3.</w:t>
            </w:r>
            <w:r>
              <w:rPr>
                <w:rFonts w:hint="eastAsia" w:ascii="仿宋" w:hAnsi="仿宋" w:eastAsia="仿宋" w:cs="仿宋"/>
                <w:b/>
                <w:bCs/>
                <w:color w:val="auto"/>
                <w:sz w:val="24"/>
                <w:szCs w:val="24"/>
                <w:highlight w:val="none"/>
                <w:lang w:val="zh-CN"/>
              </w:rPr>
              <w:t>本项目的特定资格要求：</w:t>
            </w:r>
            <w:r>
              <w:rPr>
                <w:rFonts w:hint="eastAsia" w:ascii="仿宋" w:hAnsi="仿宋" w:cs="仿宋"/>
                <w:b/>
                <w:bCs/>
                <w:color w:val="auto"/>
                <w:sz w:val="24"/>
                <w:szCs w:val="24"/>
                <w:highlight w:val="none"/>
                <w:lang w:val="en-US" w:eastAsia="zh-CN"/>
              </w:rPr>
              <w:t>无</w:t>
            </w:r>
          </w:p>
          <w:p w14:paraId="3A59486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en-US" w:eastAsia="zh-CN"/>
              </w:rPr>
              <w:t>4.其他要求：</w:t>
            </w:r>
            <w:r>
              <w:rPr>
                <w:rFonts w:hint="eastAsia" w:ascii="仿宋" w:hAnsi="仿宋" w:eastAsia="仿宋" w:cs="仿宋"/>
                <w:color w:val="auto"/>
                <w:sz w:val="24"/>
                <w:szCs w:val="24"/>
                <w:highlight w:val="none"/>
                <w:lang w:val="zh-CN"/>
              </w:rPr>
              <w:t>供应商存在“信用中国”网站（www.creditchina.gov.cn）、中国政府采购网（www.ccgp.gov.cn）中被列入失信被执行人、重大税收违法案件当事人名单、政府采购严重违法失信行为记录名单的禁止参与参与本项目，响应文件无效。</w:t>
            </w:r>
            <w:r>
              <w:rPr>
                <w:rFonts w:hint="eastAsia" w:ascii="仿宋" w:hAnsi="仿宋" w:cs="仿宋"/>
                <w:color w:val="auto"/>
                <w:sz w:val="24"/>
                <w:szCs w:val="24"/>
                <w:highlight w:val="none"/>
                <w:lang w:val="zh-CN"/>
              </w:rPr>
              <w:t>（</w:t>
            </w:r>
            <w:r>
              <w:rPr>
                <w:rFonts w:hint="eastAsia" w:ascii="仿宋" w:hAnsi="仿宋" w:cs="仿宋"/>
                <w:b/>
                <w:bCs/>
                <w:color w:val="auto"/>
                <w:sz w:val="24"/>
                <w:szCs w:val="24"/>
                <w:highlight w:val="none"/>
                <w:lang w:val="zh-CN"/>
              </w:rPr>
              <w:t>由</w:t>
            </w:r>
            <w:r>
              <w:rPr>
                <w:rFonts w:hint="eastAsia" w:ascii="仿宋" w:hAnsi="仿宋" w:cs="仿宋"/>
                <w:b/>
                <w:bCs/>
                <w:color w:val="auto"/>
                <w:sz w:val="24"/>
                <w:szCs w:val="24"/>
                <w:highlight w:val="none"/>
                <w:lang w:val="en-US" w:eastAsia="zh-CN"/>
              </w:rPr>
              <w:t>资格审查小组</w:t>
            </w:r>
            <w:r>
              <w:rPr>
                <w:rFonts w:hint="eastAsia" w:ascii="仿宋" w:hAnsi="仿宋" w:cs="仿宋"/>
                <w:b/>
                <w:bCs/>
                <w:color w:val="auto"/>
                <w:sz w:val="24"/>
                <w:szCs w:val="24"/>
                <w:highlight w:val="none"/>
                <w:lang w:val="zh-CN"/>
              </w:rPr>
              <w:t>自行查询</w:t>
            </w:r>
            <w:r>
              <w:rPr>
                <w:rFonts w:hint="eastAsia" w:ascii="仿宋" w:hAnsi="仿宋" w:cs="仿宋"/>
                <w:color w:val="auto"/>
                <w:sz w:val="24"/>
                <w:szCs w:val="24"/>
                <w:highlight w:val="none"/>
                <w:lang w:val="zh-CN"/>
              </w:rPr>
              <w:t>）</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828F56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color w:val="auto"/>
                <w:kern w:val="2"/>
                <w:sz w:val="24"/>
                <w:szCs w:val="24"/>
                <w:highlight w:val="none"/>
                <w:lang w:val="zh-CN" w:eastAsia="zh-CN" w:bidi="ar-SA"/>
              </w:rPr>
            </w:pPr>
          </w:p>
        </w:tc>
      </w:tr>
      <w:tr w14:paraId="1B69A5F0">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484AFBF">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22</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ECACA49">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是否允许递交备选报价方案</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5BDF9CE">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 不允许</w:t>
            </w:r>
          </w:p>
          <w:p w14:paraId="7DF1FC60">
            <w:pPr>
              <w:keepNext w:val="0"/>
              <w:keepLines w:val="0"/>
              <w:pageBreakBefore w:val="0"/>
              <w:widowControl w:val="0"/>
              <w:kinsoku/>
              <w:overflowPunct/>
              <w:topLinePunct w:val="0"/>
              <w:bidi w:val="0"/>
              <w:snapToGrid/>
              <w:spacing w:before="63" w:beforeLines="20" w:line="288" w:lineRule="auto"/>
              <w:ind w:left="360" w:hanging="360" w:hangingChars="150"/>
              <w:textAlignment w:val="auto"/>
              <w:rPr>
                <w:rFonts w:ascii="仿宋" w:hAnsi="仿宋" w:eastAsia="仿宋" w:cs="Times New Roman"/>
                <w:color w:val="auto"/>
                <w:kern w:val="0"/>
                <w:sz w:val="24"/>
                <w:szCs w:val="24"/>
                <w:highlight w:val="none"/>
                <w:u w:val="single"/>
                <w:lang w:val="zh-CN"/>
              </w:rPr>
            </w:pPr>
            <w:r>
              <w:rPr>
                <w:rFonts w:hint="eastAsia" w:ascii="仿宋" w:hAnsi="仿宋" w:eastAsia="仿宋" w:cs="仿宋"/>
                <w:color w:val="auto"/>
                <w:kern w:val="0"/>
                <w:sz w:val="24"/>
                <w:szCs w:val="24"/>
                <w:highlight w:val="none"/>
                <w:lang w:val="zh-CN"/>
              </w:rPr>
              <w:t>□ 允许。要求：只有成交供应商所递交的备选报价方案方可予以考虑。磋商小组认为成交供应商的备选报价方案优于其按照采购文件要求的报价方案，采购人可以接受该备选报价方案。</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78E5A02">
            <w:pPr>
              <w:keepNext w:val="0"/>
              <w:keepLines w:val="0"/>
              <w:pageBreakBefore w:val="0"/>
              <w:widowControl w:val="0"/>
              <w:kinsoku/>
              <w:overflowPunct/>
              <w:topLinePunct w:val="0"/>
              <w:bidi w:val="0"/>
              <w:snapToGrid/>
              <w:spacing w:before="63" w:beforeLines="20" w:line="288" w:lineRule="auto"/>
              <w:ind w:left="360" w:hanging="360" w:hangingChars="150"/>
              <w:textAlignment w:val="auto"/>
              <w:rPr>
                <w:rFonts w:hint="eastAsia" w:ascii="仿宋" w:hAnsi="仿宋" w:eastAsia="仿宋" w:cs="仿宋"/>
                <w:color w:val="auto"/>
                <w:kern w:val="0"/>
                <w:sz w:val="24"/>
                <w:szCs w:val="24"/>
                <w:highlight w:val="none"/>
                <w:lang w:val="zh-CN"/>
              </w:rPr>
            </w:pPr>
          </w:p>
        </w:tc>
      </w:tr>
      <w:tr w14:paraId="6D561F2C">
        <w:tblPrEx>
          <w:tblCellMar>
            <w:top w:w="0" w:type="dxa"/>
            <w:left w:w="108" w:type="dxa"/>
            <w:bottom w:w="0" w:type="dxa"/>
            <w:right w:w="108" w:type="dxa"/>
          </w:tblCellMar>
        </w:tblPrEx>
        <w:trPr>
          <w:trHeight w:val="9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A7BCC3F">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23</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C4EB01E">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响应报价的范围</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4841B7D">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仿宋"/>
                <w:color w:val="auto"/>
                <w:kern w:val="0"/>
                <w:sz w:val="24"/>
                <w:szCs w:val="24"/>
                <w:highlight w:val="none"/>
                <w:lang w:val="zh-CN"/>
              </w:rPr>
            </w:pPr>
            <w:r>
              <w:rPr>
                <w:rFonts w:ascii="仿宋" w:hAnsi="仿宋" w:eastAsia="仿宋" w:cs="仿宋"/>
                <w:color w:val="auto"/>
                <w:kern w:val="0"/>
                <w:sz w:val="24"/>
                <w:szCs w:val="24"/>
                <w:highlight w:val="none"/>
                <w:lang w:val="zh-CN"/>
              </w:rPr>
              <w:t>含税全包价。</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8C5CE6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zh-CN"/>
              </w:rPr>
            </w:pPr>
          </w:p>
        </w:tc>
      </w:tr>
      <w:tr w14:paraId="6FD8F8A8">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C76B430">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24</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E221DB6">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2"/>
                <w:sz w:val="24"/>
                <w:szCs w:val="24"/>
                <w:highlight w:val="none"/>
                <w:lang w:val="zh-CN" w:eastAsia="zh-CN" w:bidi="ar-SA"/>
              </w:rPr>
            </w:pPr>
            <w:r>
              <w:rPr>
                <w:rFonts w:hint="eastAsia" w:ascii="仿宋" w:hAnsi="仿宋" w:eastAsia="仿宋" w:cs="Times New Roman"/>
                <w:color w:val="auto"/>
                <w:kern w:val="0"/>
                <w:sz w:val="24"/>
                <w:szCs w:val="24"/>
                <w:highlight w:val="none"/>
              </w:rPr>
              <w:t>响应报价的次数</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60B3CB3">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2"/>
                <w:sz w:val="24"/>
                <w:szCs w:val="24"/>
                <w:highlight w:val="none"/>
                <w:lang w:val="zh-CN" w:eastAsia="zh-CN" w:bidi="ar-SA"/>
              </w:rPr>
            </w:pPr>
            <w:r>
              <w:rPr>
                <w:rFonts w:hint="eastAsia" w:ascii="仿宋" w:hAnsi="仿宋" w:eastAsia="仿宋" w:cs="Times New Roman"/>
                <w:color w:val="auto"/>
                <w:kern w:val="2"/>
                <w:sz w:val="24"/>
                <w:szCs w:val="24"/>
                <w:highlight w:val="none"/>
                <w:lang w:val="zh-CN" w:eastAsia="zh-CN" w:bidi="ar-SA"/>
              </w:rPr>
              <w:t>本次响应报价实行两轮报价，原则上第二轮报价为最终报价。超过二轮报价的由磋商小组现场集体决定是否继续报价，磋商文件能够详细列明采购标的的技术、服务要求的，磋商结束后，磋商小组应当要求所有实质性响应的供应商在规定时间内提交最后报价，提交最后报价的供应商不得少于3家。</w:t>
            </w:r>
          </w:p>
          <w:p w14:paraId="189352CC">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2"/>
                <w:sz w:val="24"/>
                <w:szCs w:val="24"/>
                <w:highlight w:val="none"/>
                <w:lang w:val="zh-CN" w:eastAsia="zh-CN" w:bidi="ar-SA"/>
              </w:rPr>
            </w:pPr>
            <w:r>
              <w:rPr>
                <w:rFonts w:hint="eastAsia" w:ascii="仿宋" w:hAnsi="仿宋" w:eastAsia="仿宋" w:cs="Times New Roman"/>
                <w:color w:val="auto"/>
                <w:kern w:val="2"/>
                <w:sz w:val="24"/>
                <w:szCs w:val="24"/>
                <w:highlight w:val="none"/>
                <w:lang w:val="zh-CN" w:eastAsia="zh-CN" w:bidi="ar-SA"/>
              </w:rPr>
              <w:t>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3DFEF87D">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2"/>
                <w:sz w:val="24"/>
                <w:szCs w:val="24"/>
                <w:highlight w:val="none"/>
                <w:lang w:val="zh-CN" w:eastAsia="zh-CN" w:bidi="ar-SA"/>
              </w:rPr>
            </w:pPr>
            <w:r>
              <w:rPr>
                <w:rFonts w:hint="eastAsia" w:ascii="仿宋" w:hAnsi="仿宋" w:eastAsia="仿宋" w:cs="Times New Roman"/>
                <w:color w:val="auto"/>
                <w:kern w:val="2"/>
                <w:sz w:val="24"/>
                <w:szCs w:val="24"/>
                <w:highlight w:val="none"/>
                <w:lang w:val="zh-CN" w:eastAsia="zh-CN" w:bidi="ar-SA"/>
              </w:rPr>
              <w:t>　　最后报价是供应商响应文件的有效组成部分。市场竞争不充分的科研项目，以及需要扶持的科技成果转化项目，提交最后报价的供应商可以为2家。</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0F5C063">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rPr>
            </w:pPr>
          </w:p>
        </w:tc>
      </w:tr>
      <w:tr w14:paraId="0A5BBF10">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4D75364">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25</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F33D979">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保证金的缴纳</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0D332A0">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zh-CN"/>
              </w:rPr>
              <w:t>投标保证金：</w:t>
            </w:r>
            <w:r>
              <w:rPr>
                <w:rFonts w:hint="eastAsia" w:ascii="仿宋" w:hAnsi="仿宋" w:eastAsia="仿宋" w:cs="Times New Roman"/>
                <w:color w:val="auto"/>
                <w:kern w:val="0"/>
                <w:sz w:val="24"/>
                <w:szCs w:val="24"/>
                <w:highlight w:val="none"/>
                <w:lang w:val="en-US" w:eastAsia="zh-CN"/>
              </w:rPr>
              <w:t>本项目不做要求</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39B93E8">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rPr>
            </w:pPr>
          </w:p>
        </w:tc>
      </w:tr>
      <w:tr w14:paraId="0FBBCF3C">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17CAE83">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26</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0223245">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响应文件编制装订</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514D5EA">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项目开评标结束后，排名前三的供应商按以下要求提供响应文件</w:t>
            </w:r>
          </w:p>
          <w:p w14:paraId="3A52E4B4">
            <w:pPr>
              <w:keepNext w:val="0"/>
              <w:keepLines w:val="0"/>
              <w:pageBreakBefore w:val="0"/>
              <w:widowControl w:val="0"/>
              <w:kinsoku/>
              <w:overflowPunct/>
              <w:topLinePunct w:val="0"/>
              <w:bidi w:val="0"/>
              <w:snapToGrid/>
              <w:spacing w:before="63" w:beforeLines="20" w:line="288" w:lineRule="auto"/>
              <w:ind w:firstLine="480" w:firstLineChars="200"/>
              <w:textAlignment w:val="auto"/>
              <w:rPr>
                <w:rFonts w:ascii="仿宋" w:hAnsi="仿宋" w:eastAsia="仿宋" w:cs="仿宋"/>
                <w:color w:val="auto"/>
                <w:kern w:val="0"/>
                <w:sz w:val="24"/>
                <w:szCs w:val="24"/>
                <w:highlight w:val="none"/>
                <w:lang w:val="zh-CN"/>
              </w:rPr>
            </w:pPr>
            <w:r>
              <w:rPr>
                <w:rFonts w:ascii="仿宋" w:hAnsi="仿宋" w:eastAsia="仿宋" w:cs="仿宋"/>
                <w:color w:val="auto"/>
                <w:kern w:val="0"/>
                <w:sz w:val="24"/>
                <w:szCs w:val="24"/>
                <w:highlight w:val="none"/>
                <w:lang w:val="zh-CN"/>
              </w:rPr>
              <w:t>1.响应文件装订成一册。</w:t>
            </w:r>
          </w:p>
          <w:p w14:paraId="0CF63188">
            <w:pPr>
              <w:keepNext w:val="0"/>
              <w:keepLines w:val="0"/>
              <w:pageBreakBefore w:val="0"/>
              <w:widowControl w:val="0"/>
              <w:kinsoku/>
              <w:overflowPunct/>
              <w:topLinePunct w:val="0"/>
              <w:bidi w:val="0"/>
              <w:snapToGrid/>
              <w:spacing w:before="63" w:beforeLines="20" w:line="288" w:lineRule="auto"/>
              <w:ind w:firstLine="480" w:firstLineChars="200"/>
              <w:textAlignment w:val="auto"/>
              <w:rPr>
                <w:rFonts w:ascii="仿宋" w:hAnsi="仿宋" w:eastAsia="仿宋" w:cs="仿宋"/>
                <w:color w:val="auto"/>
                <w:kern w:val="0"/>
                <w:sz w:val="24"/>
                <w:szCs w:val="24"/>
                <w:highlight w:val="none"/>
                <w:lang w:val="zh-CN"/>
              </w:rPr>
            </w:pPr>
            <w:r>
              <w:rPr>
                <w:rFonts w:ascii="仿宋" w:hAnsi="仿宋" w:eastAsia="仿宋" w:cs="仿宋"/>
                <w:color w:val="auto"/>
                <w:kern w:val="0"/>
                <w:sz w:val="24"/>
                <w:szCs w:val="24"/>
                <w:highlight w:val="none"/>
                <w:lang w:val="zh-CN"/>
              </w:rPr>
              <w:t>2.封面设置。响应文件封面设置包括：响应文件、项目名称、项目编号、供应商全称和响应文件完成时间。供应商全称填写“×××公司”。</w:t>
            </w:r>
          </w:p>
          <w:p w14:paraId="14506FD4">
            <w:pPr>
              <w:keepNext w:val="0"/>
              <w:keepLines w:val="0"/>
              <w:pageBreakBefore w:val="0"/>
              <w:widowControl w:val="0"/>
              <w:kinsoku/>
              <w:overflowPunct/>
              <w:topLinePunct w:val="0"/>
              <w:bidi w:val="0"/>
              <w:snapToGrid/>
              <w:spacing w:before="63" w:beforeLines="20" w:line="288" w:lineRule="auto"/>
              <w:ind w:firstLine="480" w:firstLineChars="200"/>
              <w:textAlignment w:val="auto"/>
              <w:rPr>
                <w:rFonts w:ascii="仿宋" w:hAnsi="仿宋" w:eastAsia="仿宋" w:cs="仿宋"/>
                <w:color w:val="auto"/>
                <w:kern w:val="0"/>
                <w:sz w:val="24"/>
                <w:szCs w:val="24"/>
                <w:highlight w:val="none"/>
                <w:lang w:val="zh-CN"/>
              </w:rPr>
            </w:pPr>
            <w:r>
              <w:rPr>
                <w:rFonts w:ascii="仿宋" w:hAnsi="仿宋" w:eastAsia="仿宋" w:cs="仿宋"/>
                <w:color w:val="auto"/>
                <w:kern w:val="0"/>
                <w:sz w:val="24"/>
                <w:szCs w:val="24"/>
                <w:highlight w:val="none"/>
                <w:lang w:val="zh-CN"/>
              </w:rPr>
              <w:t>3.响应文件内容。供应商应按照采购文件的要求编写响应文件；对采购文件要求填写的表格或者资料不得缺少或者留空，响应文件不得加行、涂改、插字或者删除。</w:t>
            </w:r>
          </w:p>
          <w:p w14:paraId="7B6C8892">
            <w:pPr>
              <w:keepNext w:val="0"/>
              <w:keepLines w:val="0"/>
              <w:pageBreakBefore w:val="0"/>
              <w:widowControl w:val="0"/>
              <w:kinsoku/>
              <w:overflowPunct/>
              <w:topLinePunct w:val="0"/>
              <w:bidi w:val="0"/>
              <w:snapToGrid/>
              <w:spacing w:before="63" w:beforeLines="20" w:line="288" w:lineRule="auto"/>
              <w:ind w:firstLine="480" w:firstLineChars="200"/>
              <w:textAlignment w:val="auto"/>
              <w:rPr>
                <w:rFonts w:ascii="仿宋" w:hAnsi="仿宋" w:eastAsia="仿宋" w:cs="仿宋"/>
                <w:color w:val="auto"/>
                <w:kern w:val="0"/>
                <w:sz w:val="24"/>
                <w:szCs w:val="24"/>
                <w:highlight w:val="none"/>
                <w:lang w:val="zh-CN"/>
              </w:rPr>
            </w:pPr>
            <w:r>
              <w:rPr>
                <w:rFonts w:ascii="仿宋" w:hAnsi="仿宋" w:eastAsia="仿宋" w:cs="仿宋"/>
                <w:color w:val="auto"/>
                <w:kern w:val="0"/>
                <w:sz w:val="24"/>
                <w:szCs w:val="24"/>
                <w:highlight w:val="none"/>
                <w:lang w:val="zh-CN"/>
              </w:rPr>
              <w:t>4.响应文件正文用白色A4复印纸打印，并编制目录，目录、内容标注连续页码，页码从目录编起，标注于页面底部居中位置；产品授权书、产品说明书、产品彩页、图纸、图片等非文本形式的内容，可以不标注页码，应将这些材料放置在技术文件中，折叠成A4纸面大小，左、下侧对齐，左侧胶装成册。</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F99106E">
            <w:pPr>
              <w:keepNext w:val="0"/>
              <w:keepLines w:val="0"/>
              <w:pageBreakBefore w:val="0"/>
              <w:widowControl w:val="0"/>
              <w:kinsoku/>
              <w:overflowPunct/>
              <w:topLinePunct w:val="0"/>
              <w:bidi w:val="0"/>
              <w:snapToGrid/>
              <w:spacing w:before="63" w:beforeLines="20" w:line="288" w:lineRule="auto"/>
              <w:ind w:firstLine="480" w:firstLineChars="200"/>
              <w:textAlignment w:val="auto"/>
              <w:rPr>
                <w:rFonts w:hint="eastAsia" w:ascii="仿宋" w:hAnsi="仿宋" w:eastAsia="仿宋" w:cs="仿宋"/>
                <w:color w:val="auto"/>
                <w:kern w:val="0"/>
                <w:sz w:val="24"/>
                <w:szCs w:val="24"/>
                <w:highlight w:val="none"/>
                <w:lang w:val="en-US" w:eastAsia="zh-CN"/>
              </w:rPr>
            </w:pPr>
          </w:p>
        </w:tc>
      </w:tr>
      <w:tr w14:paraId="4494825B">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FF06376">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27</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3A1D8CB">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响应文件签署和盖章</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CDDF55B">
            <w:pPr>
              <w:keepNext w:val="0"/>
              <w:keepLines w:val="0"/>
              <w:pageBreakBefore w:val="0"/>
              <w:widowControl w:val="0"/>
              <w:numPr>
                <w:ilvl w:val="0"/>
                <w:numId w:val="0"/>
              </w:numPr>
              <w:kinsoku/>
              <w:overflowPunct/>
              <w:topLinePunct w:val="0"/>
              <w:bidi w:val="0"/>
              <w:snapToGrid/>
              <w:spacing w:before="63" w:beforeLines="20"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2"/>
                <w:sz w:val="24"/>
                <w:szCs w:val="24"/>
                <w:highlight w:val="none"/>
                <w:lang w:val="zh-CN" w:eastAsia="zh-CN" w:bidi="ar-SA"/>
              </w:rPr>
              <w:t>1.</w:t>
            </w:r>
            <w:r>
              <w:rPr>
                <w:rFonts w:hint="eastAsia" w:ascii="仿宋" w:hAnsi="仿宋" w:eastAsia="仿宋" w:cs="仿宋"/>
                <w:color w:val="auto"/>
                <w:kern w:val="0"/>
                <w:sz w:val="24"/>
                <w:szCs w:val="24"/>
                <w:highlight w:val="none"/>
                <w:lang w:val="zh-CN"/>
              </w:rPr>
              <w:t>竞争性磋商文件要求供应商法定代表人或者被授权代表签字处，均须</w:t>
            </w:r>
            <w:r>
              <w:rPr>
                <w:rFonts w:hint="eastAsia" w:ascii="仿宋" w:hAnsi="仿宋" w:eastAsia="仿宋" w:cs="仿宋"/>
                <w:color w:val="auto"/>
                <w:kern w:val="0"/>
                <w:sz w:val="24"/>
                <w:szCs w:val="24"/>
                <w:highlight w:val="none"/>
                <w:lang w:val="en-US" w:eastAsia="zh-CN"/>
              </w:rPr>
              <w:t>按规定</w:t>
            </w:r>
            <w:r>
              <w:rPr>
                <w:rFonts w:hint="eastAsia" w:ascii="仿宋" w:hAnsi="仿宋" w:eastAsia="仿宋" w:cs="仿宋"/>
                <w:color w:val="auto"/>
                <w:kern w:val="0"/>
                <w:sz w:val="24"/>
                <w:szCs w:val="24"/>
                <w:highlight w:val="none"/>
                <w:lang w:val="zh-CN"/>
              </w:rPr>
              <w:t>本人</w:t>
            </w:r>
            <w:r>
              <w:rPr>
                <w:rFonts w:hint="eastAsia" w:ascii="仿宋" w:hAnsi="仿宋" w:eastAsia="仿宋" w:cs="仿宋"/>
                <w:color w:val="auto"/>
                <w:kern w:val="0"/>
                <w:sz w:val="24"/>
                <w:szCs w:val="24"/>
                <w:highlight w:val="none"/>
                <w:lang w:val="en-US" w:eastAsia="zh-CN"/>
              </w:rPr>
              <w:t>签署</w:t>
            </w:r>
            <w:r>
              <w:rPr>
                <w:rFonts w:hint="eastAsia" w:ascii="仿宋" w:hAnsi="仿宋" w:eastAsia="仿宋" w:cs="仿宋"/>
                <w:color w:val="auto"/>
                <w:kern w:val="0"/>
                <w:sz w:val="24"/>
                <w:szCs w:val="24"/>
                <w:highlight w:val="none"/>
                <w:lang w:val="zh-CN"/>
              </w:rPr>
              <w:t>,不得由他人代签。</w:t>
            </w:r>
          </w:p>
          <w:p w14:paraId="5013F1B1">
            <w:pPr>
              <w:keepNext w:val="0"/>
              <w:keepLines w:val="0"/>
              <w:pageBreakBefore w:val="0"/>
              <w:widowControl w:val="0"/>
              <w:numPr>
                <w:ilvl w:val="0"/>
                <w:numId w:val="0"/>
              </w:numPr>
              <w:kinsoku/>
              <w:overflowPunct/>
              <w:topLinePunct w:val="0"/>
              <w:bidi w:val="0"/>
              <w:snapToGrid/>
              <w:spacing w:before="63" w:beforeLines="20"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2.被授权代表人签字的，响应文件应附法人授权委托书。</w:t>
            </w:r>
          </w:p>
          <w:p w14:paraId="7710F548">
            <w:pPr>
              <w:keepNext w:val="0"/>
              <w:keepLines w:val="0"/>
              <w:pageBreakBefore w:val="0"/>
              <w:widowControl w:val="0"/>
              <w:kinsoku/>
              <w:overflowPunct/>
              <w:topLinePunct w:val="0"/>
              <w:bidi w:val="0"/>
              <w:snapToGrid/>
              <w:spacing w:before="63" w:beforeLines="20"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3.“报价函”、“法人授权委托书”和“政府采购诚信承诺书”必须由法定代表人签署。</w:t>
            </w:r>
          </w:p>
          <w:p w14:paraId="6AFC8DE9">
            <w:pPr>
              <w:keepNext w:val="0"/>
              <w:keepLines w:val="0"/>
              <w:pageBreakBefore w:val="0"/>
              <w:widowControl w:val="0"/>
              <w:kinsoku/>
              <w:overflowPunct/>
              <w:topLinePunct w:val="0"/>
              <w:bidi w:val="0"/>
              <w:snapToGrid/>
              <w:spacing w:before="63" w:beforeLines="20"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4.供应商在响应文件以及相关书面文件中的单位盖章(包括印章、公章等)均指与供应商名称全称相一致的标准公章，不得使用其他形式(如带有“专用章”、“合同章”、“财务章”、"业务章"等)的印章。</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F5ABD51">
            <w:pPr>
              <w:keepNext w:val="0"/>
              <w:keepLines w:val="0"/>
              <w:pageBreakBefore w:val="0"/>
              <w:widowControl w:val="0"/>
              <w:kinsoku/>
              <w:overflowPunct/>
              <w:topLinePunct w:val="0"/>
              <w:bidi w:val="0"/>
              <w:snapToGrid/>
              <w:spacing w:before="63" w:beforeLines="20" w:line="288" w:lineRule="auto"/>
              <w:ind w:firstLine="480" w:firstLineChars="200"/>
              <w:textAlignment w:val="auto"/>
              <w:rPr>
                <w:rFonts w:hint="eastAsia" w:ascii="仿宋" w:hAnsi="仿宋" w:eastAsia="仿宋" w:cs="仿宋"/>
                <w:color w:val="auto"/>
                <w:kern w:val="0"/>
                <w:sz w:val="24"/>
                <w:szCs w:val="24"/>
                <w:highlight w:val="none"/>
                <w:lang w:val="zh-CN"/>
              </w:rPr>
            </w:pPr>
          </w:p>
        </w:tc>
      </w:tr>
      <w:tr w14:paraId="09DB3A2A">
        <w:tblPrEx>
          <w:tblCellMar>
            <w:top w:w="0" w:type="dxa"/>
            <w:left w:w="108" w:type="dxa"/>
            <w:bottom w:w="0" w:type="dxa"/>
            <w:right w:w="108" w:type="dxa"/>
          </w:tblCellMar>
        </w:tblPrEx>
        <w:trPr>
          <w:trHeight w:val="733"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F37DD94">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28</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AE8CB12">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响应文件份数及要求</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676D65D">
            <w:pPr>
              <w:pStyle w:val="21"/>
              <w:rPr>
                <w:rFonts w:hint="eastAsia"/>
                <w:color w:val="auto"/>
                <w:kern w:val="0"/>
                <w:highlight w:val="none"/>
                <w:lang w:val="zh-CN"/>
              </w:rPr>
            </w:pPr>
            <w:r>
              <w:rPr>
                <w:rFonts w:hint="eastAsia" w:ascii="仿宋" w:hAnsi="仿宋" w:eastAsia="仿宋" w:cs="仿宋"/>
                <w:color w:val="auto"/>
                <w:kern w:val="2"/>
                <w:sz w:val="24"/>
                <w:szCs w:val="24"/>
                <w:highlight w:val="none"/>
                <w:lang w:val="zh-CN" w:eastAsia="zh-CN" w:bidi="ar-SA"/>
              </w:rPr>
              <w:t>本项目实行电子招投标，投标单位不用现场投标，按规定时间上传电子投标书即可。(投标结束后，</w:t>
            </w:r>
            <w:r>
              <w:rPr>
                <w:rFonts w:hint="eastAsia" w:ascii="仿宋" w:hAnsi="仿宋" w:eastAsia="仿宋" w:cs="仿宋"/>
                <w:color w:val="auto"/>
                <w:kern w:val="0"/>
                <w:sz w:val="24"/>
                <w:szCs w:val="24"/>
                <w:highlight w:val="none"/>
                <w:lang w:val="en-US" w:eastAsia="zh-CN"/>
              </w:rPr>
              <w:t>排名前三</w:t>
            </w:r>
            <w:r>
              <w:rPr>
                <w:rFonts w:hint="eastAsia" w:ascii="仿宋" w:hAnsi="仿宋" w:eastAsia="仿宋" w:cs="仿宋"/>
                <w:color w:val="auto"/>
                <w:kern w:val="2"/>
                <w:sz w:val="24"/>
                <w:szCs w:val="24"/>
                <w:highlight w:val="none"/>
                <w:lang w:val="zh-CN" w:eastAsia="zh-CN" w:bidi="ar-SA"/>
              </w:rPr>
              <w:t>投标供应商在5天内将纸质版响应文件(一正</w:t>
            </w:r>
            <w:r>
              <w:rPr>
                <w:rFonts w:hint="eastAsia" w:ascii="仿宋" w:hAnsi="仿宋" w:eastAsia="仿宋" w:cs="仿宋"/>
                <w:color w:val="auto"/>
                <w:kern w:val="2"/>
                <w:sz w:val="24"/>
                <w:szCs w:val="24"/>
                <w:highlight w:val="none"/>
                <w:lang w:val="en-US" w:eastAsia="zh-CN" w:bidi="ar-SA"/>
              </w:rPr>
              <w:t>三</w:t>
            </w:r>
            <w:r>
              <w:rPr>
                <w:rFonts w:hint="eastAsia" w:ascii="仿宋" w:hAnsi="仿宋" w:eastAsia="仿宋" w:cs="仿宋"/>
                <w:color w:val="auto"/>
                <w:kern w:val="2"/>
                <w:sz w:val="24"/>
                <w:szCs w:val="24"/>
                <w:highlight w:val="none"/>
                <w:lang w:val="zh-CN" w:eastAsia="zh-CN" w:bidi="ar-SA"/>
              </w:rPr>
              <w:t>副电子U盘3个)邮寄至国泰城市公馆商铺；联系人：</w:t>
            </w:r>
            <w:r>
              <w:rPr>
                <w:rFonts w:hint="eastAsia" w:ascii="仿宋" w:hAnsi="仿宋" w:eastAsia="仿宋" w:cs="仿宋"/>
                <w:color w:val="auto"/>
                <w:kern w:val="2"/>
                <w:sz w:val="24"/>
                <w:szCs w:val="24"/>
                <w:highlight w:val="none"/>
                <w:lang w:val="en-US" w:eastAsia="zh-CN" w:bidi="ar-SA"/>
              </w:rPr>
              <w:t>常丽13657595999</w:t>
            </w:r>
            <w:r>
              <w:rPr>
                <w:rFonts w:hint="eastAsia" w:ascii="仿宋" w:hAnsi="仿宋" w:eastAsia="仿宋" w:cs="仿宋"/>
                <w:color w:val="auto"/>
                <w:kern w:val="2"/>
                <w:sz w:val="24"/>
                <w:szCs w:val="24"/>
                <w:highlight w:val="none"/>
                <w:lang w:val="zh-CN" w:eastAsia="zh-CN" w:bidi="ar-SA"/>
              </w:rPr>
              <w:t>;纸质版须与电子版响应文件内容一致。</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F4DB76B">
            <w:pPr>
              <w:pStyle w:val="21"/>
              <w:rPr>
                <w:rFonts w:hint="eastAsia" w:ascii="仿宋" w:hAnsi="仿宋" w:eastAsia="仿宋" w:cs="Times New Roman"/>
                <w:color w:val="auto"/>
                <w:kern w:val="0"/>
                <w:sz w:val="24"/>
                <w:szCs w:val="24"/>
                <w:highlight w:val="none"/>
                <w:lang w:val="zh-CN" w:eastAsia="zh-CN"/>
              </w:rPr>
            </w:pPr>
          </w:p>
        </w:tc>
      </w:tr>
      <w:tr w14:paraId="0F56EE9F">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D5C1BE6">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29</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D0DE15A">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响应文件密封和标记</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732B69E">
            <w:pPr>
              <w:pStyle w:val="21"/>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本项目实行电子招投标，投标单位不用现场投标，按</w:t>
            </w:r>
          </w:p>
          <w:p w14:paraId="63FA2F3E">
            <w:pPr>
              <w:pStyle w:val="21"/>
              <w:rPr>
                <w:rFonts w:hint="eastAsia" w:ascii="仿宋" w:hAnsi="仿宋" w:eastAsia="仿宋" w:cs="仿宋"/>
                <w:b/>
                <w:color w:val="auto"/>
                <w:kern w:val="0"/>
                <w:sz w:val="24"/>
                <w:szCs w:val="24"/>
                <w:highlight w:val="none"/>
                <w:lang w:val="zh-CN"/>
              </w:rPr>
            </w:pPr>
            <w:r>
              <w:rPr>
                <w:rFonts w:hint="eastAsia" w:ascii="仿宋" w:hAnsi="仿宋" w:eastAsia="仿宋" w:cs="仿宋"/>
                <w:color w:val="auto"/>
                <w:kern w:val="2"/>
                <w:sz w:val="24"/>
                <w:szCs w:val="24"/>
                <w:highlight w:val="none"/>
                <w:lang w:val="zh-CN" w:eastAsia="zh-CN" w:bidi="ar-SA"/>
              </w:rPr>
              <w:t>规定时间上传电子投标书即可。</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09C7F23">
            <w:pPr>
              <w:keepNext w:val="0"/>
              <w:keepLines w:val="0"/>
              <w:pageBreakBefore w:val="0"/>
              <w:widowControl w:val="0"/>
              <w:kinsoku/>
              <w:wordWrap w:val="0"/>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eastAsia="zh-CN"/>
              </w:rPr>
            </w:pPr>
          </w:p>
        </w:tc>
      </w:tr>
      <w:tr w14:paraId="6656B54E">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3F35C81">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30</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D57CCF5">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lang w:val="zh-CN"/>
              </w:rPr>
              <w:t>递交响应文件截止时间</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FFDFE9A">
            <w:pPr>
              <w:pStyle w:val="21"/>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截止时间：202</w:t>
            </w:r>
            <w:r>
              <w:rPr>
                <w:rFonts w:hint="eastAsia" w:ascii="仿宋" w:hAnsi="仿宋" w:eastAsia="仿宋" w:cs="仿宋"/>
                <w:color w:val="auto"/>
                <w:kern w:val="2"/>
                <w:sz w:val="24"/>
                <w:szCs w:val="24"/>
                <w:highlight w:val="none"/>
                <w:lang w:val="en-US" w:eastAsia="zh-CN" w:bidi="ar-SA"/>
              </w:rPr>
              <w:t>6</w:t>
            </w:r>
            <w:r>
              <w:rPr>
                <w:rFonts w:hint="eastAsia" w:ascii="仿宋" w:hAnsi="仿宋" w:eastAsia="仿宋" w:cs="仿宋"/>
                <w:color w:val="auto"/>
                <w:kern w:val="2"/>
                <w:sz w:val="24"/>
                <w:szCs w:val="24"/>
                <w:highlight w:val="none"/>
                <w:lang w:val="zh-CN" w:eastAsia="zh-CN" w:bidi="ar-SA"/>
              </w:rPr>
              <w:t>年</w:t>
            </w:r>
            <w:r>
              <w:rPr>
                <w:rFonts w:hint="eastAsia" w:ascii="仿宋" w:hAnsi="仿宋" w:eastAsia="仿宋" w:cs="仿宋"/>
                <w:color w:val="auto"/>
                <w:kern w:val="2"/>
                <w:sz w:val="24"/>
                <w:szCs w:val="24"/>
                <w:highlight w:val="none"/>
                <w:lang w:val="en-US" w:eastAsia="zh-CN" w:bidi="ar-SA"/>
              </w:rPr>
              <w:t>06</w:t>
            </w:r>
            <w:r>
              <w:rPr>
                <w:rFonts w:hint="eastAsia" w:ascii="仿宋" w:hAnsi="仿宋" w:eastAsia="仿宋" w:cs="仿宋"/>
                <w:color w:val="auto"/>
                <w:kern w:val="2"/>
                <w:sz w:val="24"/>
                <w:szCs w:val="24"/>
                <w:highlight w:val="none"/>
                <w:lang w:val="zh-CN" w:eastAsia="zh-CN" w:bidi="ar-SA"/>
              </w:rPr>
              <w:t>月</w:t>
            </w:r>
            <w:r>
              <w:rPr>
                <w:rFonts w:hint="eastAsia" w:ascii="仿宋" w:hAnsi="仿宋" w:eastAsia="仿宋" w:cs="仿宋"/>
                <w:color w:val="auto"/>
                <w:kern w:val="2"/>
                <w:sz w:val="24"/>
                <w:szCs w:val="24"/>
                <w:highlight w:val="none"/>
                <w:lang w:val="en-US" w:eastAsia="zh-CN" w:bidi="ar-SA"/>
              </w:rPr>
              <w:t>17</w:t>
            </w:r>
            <w:r>
              <w:rPr>
                <w:rFonts w:hint="eastAsia" w:ascii="仿宋" w:hAnsi="仿宋" w:eastAsia="仿宋" w:cs="仿宋"/>
                <w:color w:val="auto"/>
                <w:kern w:val="2"/>
                <w:sz w:val="24"/>
                <w:szCs w:val="24"/>
                <w:highlight w:val="none"/>
                <w:lang w:val="zh-CN" w:eastAsia="zh-CN" w:bidi="ar-SA"/>
              </w:rPr>
              <w:t>日</w:t>
            </w:r>
            <w:r>
              <w:rPr>
                <w:rFonts w:hint="eastAsia" w:ascii="仿宋" w:hAnsi="仿宋" w:eastAsia="仿宋" w:cs="仿宋"/>
                <w:color w:val="auto"/>
                <w:kern w:val="2"/>
                <w:sz w:val="24"/>
                <w:szCs w:val="24"/>
                <w:highlight w:val="none"/>
                <w:lang w:val="en-US" w:eastAsia="zh-CN" w:bidi="ar-SA"/>
              </w:rPr>
              <w:t>10</w:t>
            </w: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zh-CN" w:eastAsia="zh-CN" w:bidi="ar-SA"/>
              </w:rPr>
              <w:t>0(北京时间)</w:t>
            </w:r>
          </w:p>
          <w:p w14:paraId="3A700F61">
            <w:pPr>
              <w:pStyle w:val="21"/>
              <w:rPr>
                <w:rFonts w:hint="eastAsia"/>
                <w:color w:val="auto"/>
                <w:kern w:val="0"/>
                <w:highlight w:val="none"/>
                <w:lang w:val="zh-CN" w:eastAsia="zh-CN"/>
              </w:rPr>
            </w:pPr>
            <w:r>
              <w:rPr>
                <w:rFonts w:hint="eastAsia" w:ascii="仿宋" w:hAnsi="仿宋" w:eastAsia="仿宋" w:cs="仿宋"/>
                <w:color w:val="auto"/>
                <w:kern w:val="2"/>
                <w:sz w:val="24"/>
                <w:szCs w:val="24"/>
                <w:highlight w:val="none"/>
                <w:lang w:val="zh-CN" w:eastAsia="zh-CN" w:bidi="ar-SA"/>
              </w:rPr>
              <w:t>提交响应文件地点：政采云平台(www.zcygov.com)</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0019319">
            <w:pPr>
              <w:keepNext w:val="0"/>
              <w:keepLines w:val="0"/>
              <w:pageBreakBefore w:val="0"/>
              <w:widowControl w:val="0"/>
              <w:kinsoku/>
              <w:overflowPunct/>
              <w:topLinePunct w:val="0"/>
              <w:bidi w:val="0"/>
              <w:snapToGrid/>
              <w:spacing w:before="63" w:beforeLines="20" w:line="288" w:lineRule="auto"/>
              <w:jc w:val="left"/>
              <w:textAlignment w:val="auto"/>
              <w:rPr>
                <w:rFonts w:hint="eastAsia" w:ascii="仿宋" w:hAnsi="仿宋" w:eastAsia="仿宋" w:cs="楷体"/>
                <w:color w:val="auto"/>
                <w:kern w:val="1"/>
                <w:sz w:val="24"/>
                <w:szCs w:val="24"/>
                <w:highlight w:val="none"/>
                <w:lang w:val="zh-CN" w:eastAsia="zh-CN"/>
              </w:rPr>
            </w:pPr>
          </w:p>
        </w:tc>
      </w:tr>
      <w:tr w14:paraId="0B51CAC9">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C72579A">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31</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C60FD6C">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开标时间及地点</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17A2915">
            <w:pPr>
              <w:pStyle w:val="21"/>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时间：202</w:t>
            </w:r>
            <w:r>
              <w:rPr>
                <w:rFonts w:hint="eastAsia" w:ascii="仿宋" w:hAnsi="仿宋" w:eastAsia="仿宋" w:cs="仿宋"/>
                <w:color w:val="auto"/>
                <w:kern w:val="2"/>
                <w:sz w:val="24"/>
                <w:szCs w:val="24"/>
                <w:highlight w:val="none"/>
                <w:lang w:val="en-US" w:eastAsia="zh-CN" w:bidi="ar-SA"/>
              </w:rPr>
              <w:t>6</w:t>
            </w:r>
            <w:r>
              <w:rPr>
                <w:rFonts w:hint="eastAsia" w:ascii="仿宋" w:hAnsi="仿宋" w:eastAsia="仿宋" w:cs="仿宋"/>
                <w:color w:val="auto"/>
                <w:kern w:val="2"/>
                <w:sz w:val="24"/>
                <w:szCs w:val="24"/>
                <w:highlight w:val="none"/>
                <w:lang w:val="zh-CN" w:eastAsia="zh-CN" w:bidi="ar-SA"/>
              </w:rPr>
              <w:t>年</w:t>
            </w:r>
            <w:r>
              <w:rPr>
                <w:rFonts w:hint="eastAsia" w:ascii="仿宋" w:hAnsi="仿宋" w:eastAsia="仿宋" w:cs="仿宋"/>
                <w:color w:val="auto"/>
                <w:kern w:val="2"/>
                <w:sz w:val="24"/>
                <w:szCs w:val="24"/>
                <w:highlight w:val="none"/>
                <w:lang w:val="en-US" w:eastAsia="zh-CN" w:bidi="ar-SA"/>
              </w:rPr>
              <w:t>06</w:t>
            </w:r>
            <w:r>
              <w:rPr>
                <w:rFonts w:hint="eastAsia" w:ascii="仿宋" w:hAnsi="仿宋" w:eastAsia="仿宋" w:cs="仿宋"/>
                <w:color w:val="auto"/>
                <w:kern w:val="2"/>
                <w:sz w:val="24"/>
                <w:szCs w:val="24"/>
                <w:highlight w:val="none"/>
                <w:lang w:val="zh-CN" w:eastAsia="zh-CN" w:bidi="ar-SA"/>
              </w:rPr>
              <w:t>月</w:t>
            </w:r>
            <w:r>
              <w:rPr>
                <w:rFonts w:hint="eastAsia" w:ascii="仿宋" w:hAnsi="仿宋" w:eastAsia="仿宋" w:cs="仿宋"/>
                <w:color w:val="auto"/>
                <w:kern w:val="2"/>
                <w:sz w:val="24"/>
                <w:szCs w:val="24"/>
                <w:highlight w:val="none"/>
                <w:lang w:val="en-US" w:eastAsia="zh-CN" w:bidi="ar-SA"/>
              </w:rPr>
              <w:t>17</w:t>
            </w:r>
            <w:r>
              <w:rPr>
                <w:rFonts w:hint="eastAsia" w:ascii="仿宋" w:hAnsi="仿宋" w:eastAsia="仿宋" w:cs="仿宋"/>
                <w:color w:val="auto"/>
                <w:kern w:val="2"/>
                <w:sz w:val="24"/>
                <w:szCs w:val="24"/>
                <w:highlight w:val="none"/>
                <w:lang w:val="zh-CN" w:eastAsia="zh-CN" w:bidi="ar-SA"/>
              </w:rPr>
              <w:t>日 1</w:t>
            </w:r>
            <w:r>
              <w:rPr>
                <w:rFonts w:hint="eastAsia" w:ascii="仿宋" w:hAnsi="仿宋" w:eastAsia="仿宋" w:cs="仿宋"/>
                <w:color w:val="auto"/>
                <w:kern w:val="2"/>
                <w:sz w:val="24"/>
                <w:szCs w:val="24"/>
                <w:highlight w:val="none"/>
                <w:lang w:val="en-US" w:eastAsia="zh-CN" w:bidi="ar-SA"/>
              </w:rPr>
              <w:t>0</w:t>
            </w: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zh-CN" w:eastAsia="zh-CN" w:bidi="ar-SA"/>
              </w:rPr>
              <w:t>0(北京时间)</w:t>
            </w:r>
          </w:p>
          <w:p w14:paraId="5C74FFFC">
            <w:pPr>
              <w:pStyle w:val="21"/>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地点：供应商登录政采云平台https://www.zcygov.cn/，进入“项目采购-开标评标-右边选择对应项目点击“进入项目”进入开标大厅。</w:t>
            </w:r>
          </w:p>
          <w:p w14:paraId="6146CBFA">
            <w:pPr>
              <w:pStyle w:val="21"/>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供应商应于202</w:t>
            </w:r>
            <w:r>
              <w:rPr>
                <w:rFonts w:hint="eastAsia" w:ascii="仿宋" w:hAnsi="仿宋" w:eastAsia="仿宋" w:cs="仿宋"/>
                <w:color w:val="auto"/>
                <w:kern w:val="2"/>
                <w:sz w:val="24"/>
                <w:szCs w:val="24"/>
                <w:highlight w:val="none"/>
                <w:lang w:val="en-US" w:eastAsia="zh-CN" w:bidi="ar-SA"/>
              </w:rPr>
              <w:t>6</w:t>
            </w:r>
            <w:r>
              <w:rPr>
                <w:rFonts w:hint="eastAsia" w:ascii="仿宋" w:hAnsi="仿宋" w:eastAsia="仿宋" w:cs="仿宋"/>
                <w:color w:val="auto"/>
                <w:kern w:val="2"/>
                <w:sz w:val="24"/>
                <w:szCs w:val="24"/>
                <w:highlight w:val="none"/>
                <w:lang w:val="zh-CN" w:eastAsia="zh-CN" w:bidi="ar-SA"/>
              </w:rPr>
              <w:t>年</w:t>
            </w:r>
            <w:r>
              <w:rPr>
                <w:rFonts w:hint="eastAsia" w:ascii="仿宋" w:hAnsi="仿宋" w:eastAsia="仿宋" w:cs="仿宋"/>
                <w:color w:val="auto"/>
                <w:kern w:val="2"/>
                <w:sz w:val="24"/>
                <w:szCs w:val="24"/>
                <w:highlight w:val="none"/>
                <w:lang w:val="en-US" w:eastAsia="zh-CN" w:bidi="ar-SA"/>
              </w:rPr>
              <w:t>06</w:t>
            </w:r>
            <w:r>
              <w:rPr>
                <w:rFonts w:hint="eastAsia" w:ascii="仿宋" w:hAnsi="仿宋" w:eastAsia="仿宋" w:cs="仿宋"/>
                <w:color w:val="auto"/>
                <w:kern w:val="2"/>
                <w:sz w:val="24"/>
                <w:szCs w:val="24"/>
                <w:highlight w:val="none"/>
                <w:lang w:val="zh-CN" w:eastAsia="zh-CN" w:bidi="ar-SA"/>
              </w:rPr>
              <w:t>月</w:t>
            </w:r>
            <w:r>
              <w:rPr>
                <w:rFonts w:hint="eastAsia" w:ascii="仿宋" w:hAnsi="仿宋" w:eastAsia="仿宋" w:cs="仿宋"/>
                <w:color w:val="auto"/>
                <w:kern w:val="2"/>
                <w:sz w:val="24"/>
                <w:szCs w:val="24"/>
                <w:highlight w:val="none"/>
                <w:lang w:val="en-US" w:eastAsia="zh-CN" w:bidi="ar-SA"/>
              </w:rPr>
              <w:t>17</w:t>
            </w:r>
            <w:r>
              <w:rPr>
                <w:rFonts w:hint="eastAsia" w:ascii="仿宋" w:hAnsi="仿宋" w:eastAsia="仿宋" w:cs="仿宋"/>
                <w:color w:val="auto"/>
                <w:kern w:val="2"/>
                <w:sz w:val="24"/>
                <w:szCs w:val="24"/>
                <w:highlight w:val="none"/>
                <w:lang w:val="zh-CN" w:eastAsia="zh-CN" w:bidi="ar-SA"/>
              </w:rPr>
              <w:t>日</w:t>
            </w:r>
            <w:r>
              <w:rPr>
                <w:rFonts w:hint="eastAsia" w:ascii="仿宋" w:hAnsi="仿宋" w:eastAsia="仿宋" w:cs="仿宋"/>
                <w:color w:val="auto"/>
                <w:kern w:val="2"/>
                <w:sz w:val="24"/>
                <w:szCs w:val="24"/>
                <w:highlight w:val="none"/>
                <w:lang w:val="en-US" w:eastAsia="zh-CN" w:bidi="ar-SA"/>
              </w:rPr>
              <w:t>10</w:t>
            </w: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zh-CN" w:eastAsia="zh-CN" w:bidi="ar-SA"/>
              </w:rPr>
              <w:t>0(北京时间)时之前将电子响应文件上传到“政采云”平台。应按照本项目磋商文件和政采云平台的要求编制、加密传输响应文件。</w:t>
            </w:r>
          </w:p>
          <w:p w14:paraId="08A39458">
            <w:pPr>
              <w:pStyle w:val="21"/>
              <w:rPr>
                <w:rFonts w:hint="eastAsia"/>
                <w:color w:val="auto"/>
                <w:kern w:val="0"/>
                <w:highlight w:val="none"/>
                <w:lang w:val="zh-CN"/>
              </w:rPr>
            </w:pPr>
            <w:r>
              <w:rPr>
                <w:rFonts w:hint="eastAsia" w:ascii="仿宋" w:hAnsi="仿宋" w:eastAsia="仿宋" w:cs="仿宋"/>
                <w:color w:val="auto"/>
                <w:kern w:val="2"/>
                <w:sz w:val="24"/>
                <w:szCs w:val="24"/>
                <w:highlight w:val="none"/>
                <w:lang w:val="zh-CN" w:eastAsia="zh-CN" w:bidi="ar-SA"/>
              </w:rPr>
              <w:t>供应商在使用系统进行投标的过程中遇到涉及平台使   用的任何问题，可致电政采云平台技术支持热线咨询，客服电话：95763。</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CC89CDA">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楷体"/>
                <w:color w:val="auto"/>
                <w:kern w:val="1"/>
                <w:sz w:val="24"/>
                <w:szCs w:val="24"/>
                <w:highlight w:val="none"/>
                <w:lang w:val="zh-CN" w:eastAsia="zh-CN"/>
              </w:rPr>
            </w:pPr>
          </w:p>
        </w:tc>
      </w:tr>
      <w:tr w14:paraId="30DF831A">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AD42280">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32</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D7601C0">
            <w:pPr>
              <w:keepNext w:val="0"/>
              <w:keepLines w:val="0"/>
              <w:pageBreakBefore w:val="0"/>
              <w:widowControl w:val="0"/>
              <w:kinsoku/>
              <w:overflowPunct/>
              <w:topLinePunct w:val="0"/>
              <w:autoSpaceDE w:val="0"/>
              <w:autoSpaceDN w:val="0"/>
              <w:bidi w:val="0"/>
              <w:adjustRightInd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磋商小组</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B0BD87E">
            <w:pPr>
              <w:keepNext w:val="0"/>
              <w:keepLines w:val="0"/>
              <w:pageBreakBefore w:val="0"/>
              <w:widowControl w:val="0"/>
              <w:kinsoku/>
              <w:overflowPunct/>
              <w:topLinePunct w:val="0"/>
              <w:autoSpaceDE w:val="0"/>
              <w:autoSpaceDN w:val="0"/>
              <w:bidi w:val="0"/>
              <w:adjustRightInd/>
              <w:snapToGrid/>
              <w:spacing w:before="63" w:beforeLines="20" w:line="288" w:lineRule="auto"/>
              <w:ind w:left="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磋商小组共</w:t>
            </w:r>
            <w:r>
              <w:rPr>
                <w:rFonts w:hint="eastAsia" w:ascii="仿宋" w:hAnsi="仿宋" w:eastAsia="仿宋" w:cs="仿宋"/>
                <w:color w:val="auto"/>
                <w:kern w:val="0"/>
                <w:sz w:val="24"/>
                <w:szCs w:val="24"/>
                <w:highlight w:val="none"/>
                <w:u w:val="single"/>
                <w:lang w:val="en-US" w:eastAsia="zh-CN"/>
              </w:rPr>
              <w:t>3</w:t>
            </w:r>
            <w:r>
              <w:rPr>
                <w:rFonts w:hint="eastAsia" w:ascii="仿宋" w:hAnsi="仿宋" w:eastAsia="仿宋" w:cs="仿宋"/>
                <w:color w:val="auto"/>
                <w:kern w:val="0"/>
                <w:sz w:val="24"/>
                <w:szCs w:val="24"/>
                <w:highlight w:val="none"/>
                <w:lang w:val="zh-CN"/>
              </w:rPr>
              <w:t>人，其中：</w:t>
            </w:r>
          </w:p>
          <w:p w14:paraId="1924A8D5">
            <w:pPr>
              <w:keepNext w:val="0"/>
              <w:keepLines w:val="0"/>
              <w:pageBreakBefore w:val="0"/>
              <w:widowControl w:val="0"/>
              <w:kinsoku/>
              <w:overflowPunct/>
              <w:topLinePunct w:val="0"/>
              <w:autoSpaceDE w:val="0"/>
              <w:autoSpaceDN w:val="0"/>
              <w:bidi w:val="0"/>
              <w:adjustRightInd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采购人代表</w:t>
            </w:r>
            <w:r>
              <w:rPr>
                <w:rFonts w:hint="eastAsia" w:ascii="仿宋" w:hAnsi="仿宋" w:eastAsia="仿宋" w:cs="仿宋"/>
                <w:color w:val="auto"/>
                <w:kern w:val="0"/>
                <w:sz w:val="24"/>
                <w:szCs w:val="24"/>
                <w:highlight w:val="none"/>
                <w:u w:val="single"/>
                <w:lang w:val="en-US" w:eastAsia="zh-CN"/>
              </w:rPr>
              <w:t>1</w:t>
            </w:r>
            <w:r>
              <w:rPr>
                <w:rFonts w:hint="eastAsia" w:ascii="仿宋" w:hAnsi="仿宋" w:eastAsia="仿宋" w:cs="仿宋"/>
                <w:color w:val="auto"/>
                <w:kern w:val="0"/>
                <w:sz w:val="24"/>
                <w:szCs w:val="24"/>
                <w:highlight w:val="none"/>
                <w:lang w:val="zh-CN"/>
              </w:rPr>
              <w:t>人，评审专家</w:t>
            </w:r>
            <w:r>
              <w:rPr>
                <w:rFonts w:hint="eastAsia" w:ascii="仿宋" w:hAnsi="仿宋" w:eastAsia="仿宋" w:cs="仿宋"/>
                <w:color w:val="auto"/>
                <w:kern w:val="0"/>
                <w:sz w:val="24"/>
                <w:szCs w:val="24"/>
                <w:highlight w:val="none"/>
                <w:u w:val="single"/>
                <w:lang w:val="en-US" w:eastAsia="zh-CN"/>
              </w:rPr>
              <w:t>2</w:t>
            </w:r>
            <w:r>
              <w:rPr>
                <w:rFonts w:hint="eastAsia" w:ascii="仿宋" w:hAnsi="仿宋" w:eastAsia="仿宋" w:cs="仿宋"/>
                <w:color w:val="auto"/>
                <w:kern w:val="0"/>
                <w:sz w:val="24"/>
                <w:szCs w:val="24"/>
                <w:highlight w:val="none"/>
                <w:lang w:val="zh-CN"/>
              </w:rPr>
              <w:t>人。</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470036A">
            <w:pPr>
              <w:keepNext w:val="0"/>
              <w:keepLines w:val="0"/>
              <w:pageBreakBefore w:val="0"/>
              <w:widowControl w:val="0"/>
              <w:kinsoku/>
              <w:overflowPunct/>
              <w:topLinePunct w:val="0"/>
              <w:autoSpaceDE w:val="0"/>
              <w:autoSpaceDN w:val="0"/>
              <w:bidi w:val="0"/>
              <w:adjustRightInd w:val="0"/>
              <w:snapToGrid/>
              <w:spacing w:before="63" w:beforeLines="20" w:line="288" w:lineRule="auto"/>
              <w:textAlignment w:val="auto"/>
              <w:rPr>
                <w:rFonts w:hint="eastAsia" w:ascii="仿宋" w:hAnsi="仿宋" w:eastAsia="仿宋" w:cs="仿宋"/>
                <w:color w:val="auto"/>
                <w:kern w:val="0"/>
                <w:sz w:val="24"/>
                <w:szCs w:val="24"/>
                <w:highlight w:val="none"/>
                <w:lang w:val="zh-CN"/>
              </w:rPr>
            </w:pPr>
          </w:p>
        </w:tc>
      </w:tr>
      <w:tr w14:paraId="5F47E0D2">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BB3DA73">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33</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258DC0D">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评审办法</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ADA13E0">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综合评分法</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7C5BFD6">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zh-CN"/>
              </w:rPr>
            </w:pPr>
          </w:p>
        </w:tc>
      </w:tr>
      <w:tr w14:paraId="1CE18E99">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77F11EF">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34</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599A9D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b w:val="0"/>
                <w:bCs w:val="0"/>
                <w:color w:val="auto"/>
                <w:kern w:val="0"/>
                <w:sz w:val="24"/>
                <w:szCs w:val="24"/>
                <w:highlight w:val="none"/>
                <w:lang w:val="zh-CN" w:eastAsia="zh-CN"/>
              </w:rPr>
            </w:pPr>
            <w:r>
              <w:rPr>
                <w:rFonts w:hint="eastAsia" w:ascii="仿宋" w:hAnsi="仿宋" w:eastAsia="仿宋" w:cs="Times New Roman"/>
                <w:b w:val="0"/>
                <w:bCs w:val="0"/>
                <w:color w:val="auto"/>
                <w:kern w:val="0"/>
                <w:sz w:val="24"/>
                <w:szCs w:val="24"/>
                <w:highlight w:val="none"/>
              </w:rPr>
              <w:t>是否授权</w:t>
            </w:r>
            <w:r>
              <w:rPr>
                <w:rFonts w:hint="eastAsia" w:ascii="仿宋" w:hAnsi="仿宋" w:eastAsia="仿宋" w:cs="Times New Roman"/>
                <w:b w:val="0"/>
                <w:bCs w:val="0"/>
                <w:color w:val="auto"/>
                <w:kern w:val="0"/>
                <w:sz w:val="24"/>
                <w:szCs w:val="24"/>
                <w:highlight w:val="none"/>
                <w:lang w:eastAsia="zh-CN"/>
              </w:rPr>
              <w:t>磋商</w:t>
            </w:r>
            <w:r>
              <w:rPr>
                <w:rFonts w:hint="eastAsia" w:ascii="仿宋" w:hAnsi="仿宋" w:eastAsia="仿宋" w:cs="Times New Roman"/>
                <w:b w:val="0"/>
                <w:bCs w:val="0"/>
                <w:color w:val="auto"/>
                <w:kern w:val="0"/>
                <w:sz w:val="24"/>
                <w:szCs w:val="24"/>
                <w:highlight w:val="none"/>
              </w:rPr>
              <w:t>小组确定成交</w:t>
            </w:r>
            <w:r>
              <w:rPr>
                <w:rFonts w:hint="eastAsia" w:ascii="仿宋" w:hAnsi="仿宋" w:eastAsia="仿宋" w:cs="Times New Roman"/>
                <w:b w:val="0"/>
                <w:bCs w:val="0"/>
                <w:color w:val="auto"/>
                <w:kern w:val="0"/>
                <w:sz w:val="24"/>
                <w:szCs w:val="24"/>
                <w:highlight w:val="none"/>
                <w:lang w:eastAsia="zh-CN"/>
              </w:rPr>
              <w:t>供应商</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01207AE">
            <w:pPr>
              <w:keepNext w:val="0"/>
              <w:keepLines w:val="0"/>
              <w:pageBreakBefore w:val="0"/>
              <w:widowControl w:val="0"/>
              <w:kinsoku/>
              <w:overflowPunct/>
              <w:topLinePunct w:val="0"/>
              <w:bidi w:val="0"/>
              <w:snapToGrid/>
              <w:spacing w:before="63" w:beforeLines="20" w:line="288" w:lineRule="auto"/>
              <w:ind w:left="360" w:hanging="361" w:hangingChars="150"/>
              <w:textAlignment w:val="auto"/>
              <w:rPr>
                <w:rFonts w:ascii="仿宋" w:hAnsi="仿宋" w:eastAsia="仿宋" w:cs="Times New Roman"/>
                <w:b w:val="0"/>
                <w:bCs w:val="0"/>
                <w:color w:val="auto"/>
                <w:kern w:val="0"/>
                <w:sz w:val="24"/>
                <w:szCs w:val="24"/>
                <w:highlight w:val="none"/>
              </w:rPr>
            </w:pPr>
            <w:r>
              <w:rPr>
                <w:rFonts w:hint="eastAsia" w:ascii="仿宋" w:hAnsi="仿宋" w:eastAsia="仿宋" w:cs="Times New Roman"/>
                <w:b/>
                <w:bCs/>
                <w:color w:val="auto"/>
                <w:kern w:val="0"/>
                <w:sz w:val="24"/>
                <w:szCs w:val="24"/>
                <w:highlight w:val="none"/>
              </w:rPr>
              <w:fldChar w:fldCharType="begin"/>
            </w:r>
            <w:r>
              <w:rPr>
                <w:rFonts w:hint="eastAsia" w:ascii="仿宋" w:hAnsi="仿宋" w:eastAsia="仿宋" w:cs="Times New Roman"/>
                <w:b/>
                <w:bCs/>
                <w:color w:val="auto"/>
                <w:kern w:val="0"/>
                <w:sz w:val="24"/>
                <w:szCs w:val="24"/>
                <w:highlight w:val="none"/>
              </w:rPr>
              <w:instrText xml:space="preserve"> eq \o\ac(□)</w:instrText>
            </w:r>
            <w:r>
              <w:rPr>
                <w:rFonts w:hint="eastAsia" w:ascii="仿宋" w:hAnsi="仿宋" w:eastAsia="仿宋" w:cs="Times New Roman"/>
                <w:b/>
                <w:bCs/>
                <w:color w:val="auto"/>
                <w:kern w:val="0"/>
                <w:sz w:val="24"/>
                <w:szCs w:val="24"/>
                <w:highlight w:val="none"/>
              </w:rPr>
              <w:fldChar w:fldCharType="end"/>
            </w:r>
            <w:r>
              <w:rPr>
                <w:rFonts w:hint="eastAsia" w:ascii="仿宋" w:hAnsi="仿宋" w:eastAsia="仿宋" w:cs="Times New Roman"/>
                <w:b w:val="0"/>
                <w:bCs w:val="0"/>
                <w:color w:val="auto"/>
                <w:kern w:val="0"/>
                <w:sz w:val="24"/>
                <w:szCs w:val="24"/>
                <w:highlight w:val="none"/>
              </w:rPr>
              <w:t xml:space="preserve"> 是，</w:t>
            </w:r>
            <w:r>
              <w:rPr>
                <w:rFonts w:hint="eastAsia" w:ascii="仿宋" w:hAnsi="仿宋" w:eastAsia="仿宋" w:cs="仿宋"/>
                <w:b w:val="0"/>
                <w:bCs w:val="0"/>
                <w:color w:val="auto"/>
                <w:kern w:val="0"/>
                <w:sz w:val="24"/>
                <w:szCs w:val="24"/>
                <w:highlight w:val="none"/>
                <w:lang w:val="zh-CN"/>
              </w:rPr>
              <w:t>每包确定一个成交供应商</w:t>
            </w:r>
            <w:r>
              <w:rPr>
                <w:rFonts w:ascii="仿宋" w:hAnsi="仿宋" w:eastAsia="仿宋" w:cs="仿宋"/>
                <w:b w:val="0"/>
                <w:bCs w:val="0"/>
                <w:color w:val="auto"/>
                <w:kern w:val="0"/>
                <w:sz w:val="24"/>
                <w:szCs w:val="24"/>
                <w:highlight w:val="none"/>
                <w:lang w:val="zh-CN"/>
              </w:rPr>
              <w:t>，</w:t>
            </w:r>
            <w:r>
              <w:rPr>
                <w:rFonts w:hint="eastAsia" w:ascii="仿宋" w:hAnsi="仿宋" w:eastAsia="仿宋" w:cs="仿宋"/>
                <w:b w:val="0"/>
                <w:bCs w:val="0"/>
                <w:color w:val="auto"/>
                <w:kern w:val="0"/>
                <w:sz w:val="24"/>
                <w:szCs w:val="24"/>
                <w:highlight w:val="none"/>
                <w:lang w:val="zh-CN"/>
              </w:rPr>
              <w:t>成交结果在相关媒介发布，公告期限为1个工作日。</w:t>
            </w:r>
          </w:p>
          <w:p w14:paraId="453B45A3">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Times New Roman"/>
                <w:b w:val="0"/>
                <w:bCs w:val="0"/>
                <w:color w:val="auto"/>
                <w:kern w:val="0"/>
                <w:sz w:val="24"/>
                <w:szCs w:val="24"/>
                <w:highlight w:val="none"/>
                <w:lang w:eastAsia="zh-CN"/>
              </w:rPr>
              <w:t>☑</w:t>
            </w:r>
            <w:r>
              <w:rPr>
                <w:rFonts w:hint="eastAsia" w:ascii="仿宋" w:hAnsi="仿宋" w:eastAsia="仿宋" w:cs="Times New Roman"/>
                <w:b w:val="0"/>
                <w:bCs w:val="0"/>
                <w:color w:val="auto"/>
                <w:kern w:val="0"/>
                <w:sz w:val="24"/>
                <w:szCs w:val="24"/>
                <w:highlight w:val="none"/>
              </w:rPr>
              <w:t xml:space="preserve"> 否，推荐的成交候选</w:t>
            </w:r>
            <w:r>
              <w:rPr>
                <w:rFonts w:hint="eastAsia" w:ascii="仿宋" w:hAnsi="仿宋" w:eastAsia="仿宋" w:cs="Times New Roman"/>
                <w:b w:val="0"/>
                <w:bCs w:val="0"/>
                <w:color w:val="auto"/>
                <w:kern w:val="0"/>
                <w:sz w:val="24"/>
                <w:szCs w:val="24"/>
                <w:highlight w:val="none"/>
                <w:lang w:eastAsia="zh-CN"/>
              </w:rPr>
              <w:t>供应商</w:t>
            </w:r>
            <w:r>
              <w:rPr>
                <w:rFonts w:hint="eastAsia" w:ascii="仿宋" w:hAnsi="仿宋" w:eastAsia="仿宋" w:cs="Times New Roman"/>
                <w:b w:val="0"/>
                <w:bCs w:val="0"/>
                <w:color w:val="auto"/>
                <w:kern w:val="0"/>
                <w:sz w:val="24"/>
                <w:szCs w:val="24"/>
                <w:highlight w:val="none"/>
              </w:rPr>
              <w:t>个数：</w:t>
            </w:r>
            <w:r>
              <w:rPr>
                <w:rFonts w:hint="eastAsia" w:ascii="仿宋" w:hAnsi="仿宋" w:eastAsia="仿宋" w:cs="Times New Roman"/>
                <w:b w:val="0"/>
                <w:bCs w:val="0"/>
                <w:color w:val="auto"/>
                <w:kern w:val="0"/>
                <w:sz w:val="24"/>
                <w:szCs w:val="24"/>
                <w:highlight w:val="none"/>
                <w:u w:val="single"/>
              </w:rPr>
              <w:t xml:space="preserve"> </w:t>
            </w:r>
            <w:r>
              <w:rPr>
                <w:rFonts w:hint="eastAsia" w:ascii="仿宋" w:hAnsi="仿宋" w:eastAsia="仿宋" w:cs="Times New Roman"/>
                <w:b w:val="0"/>
                <w:bCs w:val="0"/>
                <w:color w:val="auto"/>
                <w:kern w:val="0"/>
                <w:sz w:val="24"/>
                <w:szCs w:val="24"/>
                <w:highlight w:val="none"/>
                <w:u w:val="single"/>
                <w:lang w:val="en-US" w:eastAsia="zh-CN"/>
              </w:rPr>
              <w:t>3</w:t>
            </w:r>
            <w:r>
              <w:rPr>
                <w:rFonts w:hint="eastAsia" w:ascii="仿宋" w:hAnsi="仿宋" w:eastAsia="仿宋" w:cs="Times New Roman"/>
                <w:b w:val="0"/>
                <w:bCs w:val="0"/>
                <w:color w:val="auto"/>
                <w:kern w:val="0"/>
                <w:sz w:val="24"/>
                <w:szCs w:val="24"/>
                <w:highlight w:val="none"/>
                <w:u w:val="single"/>
              </w:rPr>
              <w:t xml:space="preserve"> </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67A1FF2">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eastAsia="zh-CN"/>
              </w:rPr>
            </w:pPr>
          </w:p>
        </w:tc>
      </w:tr>
      <w:tr w14:paraId="1323E8AA">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9F1E10B">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35</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34254FB">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是否退还响应文件</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CBE3B2A">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除</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需收回的资格、资信等证明文件中的证明材料原件（如营业执照、合同、相关资质证书等）外，其他文件概不退还。</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6E39EF0">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rPr>
            </w:pPr>
          </w:p>
        </w:tc>
      </w:tr>
      <w:tr w14:paraId="4329C3E3">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A78F768">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36</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6C0690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供应商在开标时需携带的验资文件</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0971E4E">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rPr>
            </w:pPr>
            <w:r>
              <w:rPr>
                <w:rFonts w:hint="eastAsia" w:ascii="仿宋" w:hAnsi="仿宋" w:eastAsia="仿宋" w:cs="Times New Roman"/>
                <w:color w:val="auto"/>
                <w:kern w:val="0"/>
                <w:sz w:val="24"/>
                <w:szCs w:val="24"/>
                <w:highlight w:val="none"/>
                <w:lang w:val="zh-CN"/>
              </w:rPr>
              <w:t>本项目实行电子招投标，投标单位不用现场投标，按</w:t>
            </w:r>
          </w:p>
          <w:p w14:paraId="09F75E10">
            <w:pPr>
              <w:keepNext w:val="0"/>
              <w:keepLines w:val="0"/>
              <w:pageBreakBefore w:val="0"/>
              <w:widowControl w:val="0"/>
              <w:kinsoku/>
              <w:overflowPunct/>
              <w:topLinePunct w:val="0"/>
              <w:bidi w:val="0"/>
              <w:snapToGrid/>
              <w:spacing w:before="63" w:beforeLines="20" w:line="288" w:lineRule="auto"/>
              <w:textAlignment w:val="auto"/>
              <w:rPr>
                <w:rFonts w:hint="eastAsia" w:ascii="Times New Roman" w:hAnsi="Times New Roman" w:eastAsia="Times New Roman" w:cs="Times New Roman"/>
                <w:color w:val="auto"/>
                <w:kern w:val="0"/>
                <w:sz w:val="24"/>
                <w:highlight w:val="none"/>
                <w:lang w:val="zh-CN"/>
              </w:rPr>
            </w:pPr>
            <w:r>
              <w:rPr>
                <w:rFonts w:hint="eastAsia" w:ascii="仿宋" w:hAnsi="仿宋" w:eastAsia="仿宋" w:cs="Times New Roman"/>
                <w:color w:val="auto"/>
                <w:kern w:val="0"/>
                <w:sz w:val="24"/>
                <w:szCs w:val="24"/>
                <w:highlight w:val="none"/>
                <w:lang w:val="zh-CN"/>
              </w:rPr>
              <w:t>规定时间上传电子投标书即可。</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F738D3D">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lang w:val="zh-CN" w:eastAsia="zh-CN"/>
              </w:rPr>
            </w:pPr>
          </w:p>
        </w:tc>
      </w:tr>
      <w:tr w14:paraId="23ABEBE2">
        <w:tblPrEx>
          <w:tblCellMar>
            <w:top w:w="0" w:type="dxa"/>
            <w:left w:w="108" w:type="dxa"/>
            <w:bottom w:w="0" w:type="dxa"/>
            <w:right w:w="108" w:type="dxa"/>
          </w:tblCellMar>
        </w:tblPrEx>
        <w:trPr>
          <w:trHeight w:val="0" w:hRule="atLeast"/>
        </w:trPr>
        <w:tc>
          <w:tcPr>
            <w:tcW w:w="764" w:type="dxa"/>
            <w:vMerge w:val="restart"/>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11F3503">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37</w:t>
            </w:r>
          </w:p>
        </w:tc>
        <w:tc>
          <w:tcPr>
            <w:tcW w:w="2703" w:type="dxa"/>
            <w:vMerge w:val="restart"/>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780D0C8">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定义</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AB1DE69">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lang w:val="zh-CN"/>
              </w:rPr>
              <w:t>原件：</w:t>
            </w:r>
            <w:r>
              <w:rPr>
                <w:rFonts w:hint="eastAsia" w:ascii="仿宋" w:hAnsi="仿宋" w:eastAsia="仿宋" w:cs="Times New Roman"/>
                <w:color w:val="auto"/>
                <w:kern w:val="0"/>
                <w:sz w:val="24"/>
                <w:szCs w:val="24"/>
                <w:highlight w:val="none"/>
              </w:rPr>
              <w:t>最初产生的区别于复制件的原始文件或文件的原本或公证处出具的文件复制件公证书。</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2A2E421">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zh-CN"/>
              </w:rPr>
            </w:pPr>
          </w:p>
        </w:tc>
      </w:tr>
      <w:tr w14:paraId="363EB0D9">
        <w:tblPrEx>
          <w:tblCellMar>
            <w:top w:w="0" w:type="dxa"/>
            <w:left w:w="108" w:type="dxa"/>
            <w:bottom w:w="0" w:type="dxa"/>
            <w:right w:w="108" w:type="dxa"/>
          </w:tblCellMar>
        </w:tblPrEx>
        <w:trPr>
          <w:trHeight w:val="0" w:hRule="atLeast"/>
        </w:trPr>
        <w:tc>
          <w:tcPr>
            <w:tcW w:w="764" w:type="dxa"/>
            <w:vMerge w:val="continue"/>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1CFD431">
            <w:pPr>
              <w:keepNext w:val="0"/>
              <w:keepLines w:val="0"/>
              <w:pageBreakBefore w:val="0"/>
              <w:widowControl w:val="0"/>
              <w:kinsoku/>
              <w:overflowPunct/>
              <w:topLinePunct w:val="0"/>
              <w:bidi w:val="0"/>
              <w:snapToGrid/>
              <w:spacing w:before="63" w:beforeLines="20" w:line="288" w:lineRule="auto"/>
              <w:jc w:val="center"/>
              <w:textAlignment w:val="auto"/>
              <w:rPr>
                <w:rFonts w:hint="eastAsia" w:ascii="仿宋" w:hAnsi="仿宋" w:eastAsia="仿宋" w:cs="仿宋"/>
                <w:color w:val="auto"/>
                <w:kern w:val="0"/>
                <w:sz w:val="24"/>
                <w:szCs w:val="24"/>
                <w:highlight w:val="none"/>
                <w:lang w:val="zh-CN"/>
              </w:rPr>
            </w:pPr>
          </w:p>
        </w:tc>
        <w:tc>
          <w:tcPr>
            <w:tcW w:w="2703" w:type="dxa"/>
            <w:vMerge w:val="continue"/>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BFC489E">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zh-CN"/>
              </w:rPr>
            </w:pP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2FEE63E">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zh-CN"/>
              </w:rPr>
            </w:pPr>
            <w:r>
              <w:rPr>
                <w:rFonts w:ascii="仿宋" w:hAnsi="仿宋" w:eastAsia="仿宋" w:cs="Times New Roman"/>
                <w:color w:val="auto"/>
                <w:kern w:val="0"/>
                <w:sz w:val="24"/>
                <w:szCs w:val="24"/>
                <w:highlight w:val="none"/>
              </w:rPr>
              <w:t>书面形式：</w:t>
            </w:r>
            <w:r>
              <w:rPr>
                <w:rFonts w:hint="eastAsia" w:ascii="仿宋" w:hAnsi="仿宋" w:eastAsia="仿宋" w:cs="Times New Roman"/>
                <w:color w:val="auto"/>
                <w:kern w:val="0"/>
                <w:sz w:val="24"/>
                <w:szCs w:val="24"/>
                <w:highlight w:val="none"/>
              </w:rPr>
              <w:t>包括文字的打印或复印件、传真、信函、电传、电报、</w:t>
            </w:r>
            <w:r>
              <w:rPr>
                <w:rFonts w:ascii="仿宋" w:hAnsi="仿宋" w:eastAsia="仿宋" w:cs="Arial"/>
                <w:color w:val="auto"/>
                <w:kern w:val="0"/>
                <w:sz w:val="24"/>
                <w:szCs w:val="24"/>
                <w:highlight w:val="none"/>
                <w:shd w:val="clear" w:color="auto" w:fill="FFFFFF"/>
              </w:rPr>
              <w:t>电子邮件</w:t>
            </w:r>
            <w:r>
              <w:rPr>
                <w:rFonts w:hint="eastAsia" w:ascii="仿宋" w:hAnsi="仿宋" w:eastAsia="仿宋" w:cs="Arial"/>
                <w:color w:val="auto"/>
                <w:kern w:val="0"/>
                <w:sz w:val="24"/>
                <w:szCs w:val="24"/>
                <w:highlight w:val="none"/>
                <w:shd w:val="clear" w:color="auto" w:fill="FFFFFF"/>
              </w:rPr>
              <w:t>、</w:t>
            </w:r>
            <w:r>
              <w:rPr>
                <w:rFonts w:hint="eastAsia" w:ascii="仿宋" w:hAnsi="仿宋" w:eastAsia="仿宋" w:cs="Arial"/>
                <w:color w:val="auto"/>
                <w:kern w:val="0"/>
                <w:sz w:val="24"/>
                <w:szCs w:val="24"/>
                <w:highlight w:val="none"/>
                <w:shd w:val="clear" w:color="auto" w:fill="FFFFFF"/>
                <w:lang w:eastAsia="zh-CN"/>
              </w:rPr>
              <w:t>相关网站</w:t>
            </w:r>
            <w:r>
              <w:rPr>
                <w:rFonts w:hint="eastAsia" w:ascii="仿宋" w:hAnsi="仿宋" w:eastAsia="仿宋" w:cs="Times New Roman"/>
                <w:color w:val="auto"/>
                <w:kern w:val="0"/>
                <w:sz w:val="24"/>
                <w:szCs w:val="24"/>
                <w:highlight w:val="none"/>
              </w:rPr>
              <w:t>发布的公告</w:t>
            </w:r>
            <w:r>
              <w:rPr>
                <w:rFonts w:ascii="仿宋" w:hAnsi="仿宋" w:eastAsia="仿宋" w:cs="Arial"/>
                <w:color w:val="auto"/>
                <w:kern w:val="0"/>
                <w:sz w:val="24"/>
                <w:szCs w:val="24"/>
                <w:highlight w:val="none"/>
                <w:shd w:val="clear" w:color="auto" w:fill="FFFFFF"/>
              </w:rPr>
              <w:t>等可以有形地表现所载内容的形式。</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DFBE0B5">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rPr>
            </w:pPr>
          </w:p>
        </w:tc>
      </w:tr>
      <w:tr w14:paraId="701A7876">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1A4F859">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38</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D50B6D5">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Times New Roman"/>
                <w:color w:val="auto"/>
                <w:kern w:val="0"/>
                <w:sz w:val="24"/>
                <w:szCs w:val="24"/>
                <w:highlight w:val="none"/>
              </w:rPr>
              <w:t>分包和非主体、非关键性工作</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7056E87">
            <w:pPr>
              <w:keepNext w:val="0"/>
              <w:keepLines w:val="0"/>
              <w:pageBreakBefore w:val="0"/>
              <w:widowControl w:val="0"/>
              <w:kinsoku/>
              <w:overflowPunct/>
              <w:topLinePunct w:val="0"/>
              <w:bidi w:val="0"/>
              <w:snapToGrid/>
              <w:spacing w:before="63" w:beforeLines="20" w:line="288" w:lineRule="auto"/>
              <w:ind w:left="360" w:hanging="360" w:hangingChars="150"/>
              <w:textAlignment w:val="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w:t>
            </w:r>
            <w:r>
              <w:rPr>
                <w:rFonts w:hint="eastAsia" w:ascii="仿宋" w:hAnsi="仿宋" w:eastAsia="仿宋" w:cs="Times New Roman"/>
                <w:color w:val="auto"/>
                <w:kern w:val="0"/>
                <w:sz w:val="24"/>
                <w:szCs w:val="24"/>
                <w:highlight w:val="none"/>
              </w:rPr>
              <w:t xml:space="preserve"> 不允许</w:t>
            </w:r>
          </w:p>
          <w:p w14:paraId="397F1BA7">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rPr>
            </w:pPr>
            <w:r>
              <w:rPr>
                <w:rFonts w:hint="eastAsia" w:ascii="仿宋" w:hAnsi="仿宋" w:eastAsia="仿宋" w:cs="Times New Roman"/>
                <w:color w:val="auto"/>
                <w:kern w:val="0"/>
                <w:sz w:val="24"/>
                <w:szCs w:val="24"/>
                <w:highlight w:val="none"/>
              </w:rPr>
              <w:t>□ 允许，</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根据采购文件载明的标的采购项目实际情况，拟在成交后将成交项目的非主体、非关键性工作交由他人完成的，应当在响应文件中载明。</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C185EBB">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rPr>
            </w:pPr>
          </w:p>
        </w:tc>
      </w:tr>
      <w:tr w14:paraId="712FCD2D">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A495BFC">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39</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68CB1E0">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多包成交规则</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0E3A9A6">
            <w:pPr>
              <w:keepNext w:val="0"/>
              <w:keepLines w:val="0"/>
              <w:pageBreakBefore w:val="0"/>
              <w:widowControl w:val="0"/>
              <w:kinsoku/>
              <w:overflowPunct/>
              <w:topLinePunct w:val="0"/>
              <w:bidi w:val="0"/>
              <w:snapToGrid/>
              <w:spacing w:before="63" w:beforeLines="20" w:line="288" w:lineRule="auto"/>
              <w:ind w:left="1"/>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分包采购的项目，</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可以选择</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个包报价，但只能成交</w:t>
            </w:r>
            <w:r>
              <w:rPr>
                <w:rFonts w:hint="eastAsia" w:ascii="仿宋" w:hAnsi="仿宋" w:eastAsia="仿宋" w:cs="仿宋"/>
                <w:color w:val="auto"/>
                <w:kern w:val="0"/>
                <w:sz w:val="24"/>
                <w:szCs w:val="24"/>
                <w:highlight w:val="none"/>
                <w:u w:val="single"/>
                <w:lang w:val="en-US" w:eastAsia="zh-CN"/>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个包。</w:t>
            </w:r>
          </w:p>
          <w:p w14:paraId="0A9CA981">
            <w:pPr>
              <w:keepNext w:val="0"/>
              <w:keepLines w:val="0"/>
              <w:pageBreakBefore w:val="0"/>
              <w:widowControl w:val="0"/>
              <w:kinsoku/>
              <w:overflowPunct/>
              <w:topLinePunct w:val="0"/>
              <w:bidi w:val="0"/>
              <w:snapToGrid/>
              <w:spacing w:before="63" w:beforeLines="20" w:line="288" w:lineRule="auto"/>
              <w:ind w:left="1"/>
              <w:textAlignment w:val="auto"/>
              <w:rPr>
                <w:rFonts w:hint="eastAsia"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lang w:val="zh-CN"/>
              </w:rPr>
              <w:t>供应商可依照采购文件要求进行多个包报价。若所投多个包的报价排位均第一，由供应商自行选择其中</w:t>
            </w:r>
            <w:r>
              <w:rPr>
                <w:rFonts w:hint="eastAsia" w:ascii="仿宋" w:hAnsi="仿宋" w:eastAsia="仿宋" w:cs="仿宋"/>
                <w:color w:val="auto"/>
                <w:kern w:val="0"/>
                <w:sz w:val="24"/>
                <w:szCs w:val="24"/>
                <w:highlight w:val="none"/>
                <w:u w:val="single"/>
                <w:lang w:val="en-US" w:eastAsia="zh-CN"/>
              </w:rPr>
              <w:t>/</w:t>
            </w:r>
            <w:r>
              <w:rPr>
                <w:rFonts w:hint="eastAsia" w:ascii="仿宋" w:hAnsi="仿宋" w:eastAsia="仿宋" w:cs="仿宋"/>
                <w:color w:val="auto"/>
                <w:kern w:val="0"/>
                <w:sz w:val="24"/>
                <w:szCs w:val="24"/>
                <w:highlight w:val="none"/>
                <w:lang w:val="zh-CN"/>
              </w:rPr>
              <w:t>个包成交；其他包参与报价排序，排序第一也不成交，成交顺延排序第二的供应商，以此类推。</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5182E9B">
            <w:pPr>
              <w:keepNext w:val="0"/>
              <w:keepLines w:val="0"/>
              <w:pageBreakBefore w:val="0"/>
              <w:widowControl w:val="0"/>
              <w:kinsoku/>
              <w:overflowPunct/>
              <w:topLinePunct w:val="0"/>
              <w:bidi w:val="0"/>
              <w:snapToGrid/>
              <w:spacing w:before="63" w:beforeLines="20" w:line="288" w:lineRule="auto"/>
              <w:ind w:left="1"/>
              <w:textAlignment w:val="auto"/>
              <w:rPr>
                <w:rFonts w:hint="eastAsia" w:ascii="仿宋" w:hAnsi="仿宋" w:eastAsia="仿宋" w:cs="仿宋"/>
                <w:color w:val="auto"/>
                <w:kern w:val="0"/>
                <w:sz w:val="24"/>
                <w:szCs w:val="24"/>
                <w:highlight w:val="none"/>
                <w:lang w:val="zh-CN"/>
              </w:rPr>
            </w:pPr>
          </w:p>
        </w:tc>
      </w:tr>
      <w:tr w14:paraId="6E40619C">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065277F">
            <w:pPr>
              <w:keepNext w:val="0"/>
              <w:keepLines w:val="0"/>
              <w:pageBreakBefore w:val="0"/>
              <w:widowControl w:val="0"/>
              <w:kinsoku/>
              <w:overflowPunct/>
              <w:topLinePunct w:val="0"/>
              <w:bidi w:val="0"/>
              <w:snapToGrid/>
              <w:spacing w:before="63" w:beforeLines="20" w:line="288" w:lineRule="auto"/>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40</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0F94E97">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监督</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CED1AE2">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Times New Roman"/>
                <w:color w:val="auto"/>
                <w:kern w:val="0"/>
                <w:sz w:val="24"/>
                <w:szCs w:val="24"/>
                <w:highlight w:val="none"/>
                <w:lang w:val="zh-CN"/>
              </w:rPr>
            </w:pPr>
            <w:r>
              <w:rPr>
                <w:rFonts w:hint="eastAsia" w:ascii="仿宋" w:hAnsi="仿宋" w:eastAsia="仿宋" w:cs="仿宋"/>
                <w:color w:val="auto"/>
                <w:kern w:val="0"/>
                <w:sz w:val="24"/>
                <w:szCs w:val="24"/>
                <w:highlight w:val="none"/>
                <w:lang w:val="zh-CN"/>
              </w:rPr>
              <w:t>本次采购活动以及相关当事人应当接受</w:t>
            </w:r>
            <w:r>
              <w:rPr>
                <w:rFonts w:hint="eastAsia" w:ascii="仿宋" w:hAnsi="仿宋" w:eastAsia="仿宋" w:cs="仿宋"/>
                <w:color w:val="auto"/>
                <w:kern w:val="0"/>
                <w:sz w:val="24"/>
                <w:szCs w:val="24"/>
                <w:highlight w:val="none"/>
                <w:lang w:val="en-US" w:eastAsia="zh-CN"/>
              </w:rPr>
              <w:t>当地</w:t>
            </w:r>
            <w:r>
              <w:rPr>
                <w:rFonts w:hint="eastAsia" w:ascii="仿宋" w:hAnsi="仿宋" w:eastAsia="仿宋" w:cs="仿宋"/>
                <w:bCs/>
                <w:color w:val="auto"/>
                <w:kern w:val="0"/>
                <w:sz w:val="24"/>
                <w:szCs w:val="24"/>
                <w:highlight w:val="none"/>
                <w:lang w:val="zh-CN"/>
              </w:rPr>
              <w:t>监督管理部门</w:t>
            </w:r>
            <w:r>
              <w:rPr>
                <w:rFonts w:hint="eastAsia" w:ascii="仿宋" w:hAnsi="仿宋" w:eastAsia="仿宋" w:cs="仿宋"/>
                <w:color w:val="auto"/>
                <w:kern w:val="0"/>
                <w:sz w:val="24"/>
                <w:szCs w:val="24"/>
                <w:highlight w:val="none"/>
                <w:lang w:val="zh-CN"/>
              </w:rPr>
              <w:t>依法实施的监督。</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CD0C2F6">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kern w:val="0"/>
                <w:sz w:val="24"/>
                <w:szCs w:val="24"/>
                <w:highlight w:val="none"/>
                <w:lang w:val="zh-CN"/>
              </w:rPr>
            </w:pPr>
          </w:p>
        </w:tc>
      </w:tr>
      <w:tr w14:paraId="13CCAD2A">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B36D114">
            <w:pPr>
              <w:numPr>
                <w:ilvl w:val="0"/>
                <w:numId w:val="0"/>
              </w:numPr>
              <w:ind w:left="0" w:leftChars="0" w:firstLine="0" w:firstLine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41</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0DD2A8D">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eastAsia="zh-CN"/>
              </w:rPr>
              <w:t>是否</w:t>
            </w:r>
            <w:r>
              <w:rPr>
                <w:rFonts w:hint="eastAsia" w:ascii="仿宋" w:hAnsi="仿宋" w:eastAsia="仿宋" w:cs="仿宋"/>
                <w:color w:val="auto"/>
                <w:kern w:val="0"/>
                <w:sz w:val="24"/>
                <w:szCs w:val="24"/>
                <w:highlight w:val="none"/>
                <w:lang w:val="en-US" w:eastAsia="zh-CN"/>
              </w:rPr>
              <w:t>缴纳</w:t>
            </w:r>
            <w:r>
              <w:rPr>
                <w:rFonts w:hint="eastAsia" w:ascii="仿宋" w:hAnsi="仿宋" w:eastAsia="仿宋" w:cs="仿宋"/>
                <w:color w:val="auto"/>
                <w:kern w:val="0"/>
                <w:sz w:val="24"/>
                <w:szCs w:val="24"/>
                <w:highlight w:val="none"/>
                <w:lang w:val="zh-CN"/>
              </w:rPr>
              <w:t>场地费</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7C8C20F">
            <w:pPr>
              <w:numPr>
                <w:ilvl w:val="0"/>
                <w:numId w:val="0"/>
              </w:numPr>
              <w:ind w:left="0" w:leftChars="0" w:firstLine="0" w:firstLineChars="0"/>
              <w:jc w:val="both"/>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lang w:val="zh-CN" w:eastAsia="zh-CN"/>
              </w:rPr>
              <w:t>□是</w:t>
            </w:r>
          </w:p>
          <w:p w14:paraId="67824E7E">
            <w:pPr>
              <w:pStyle w:val="4"/>
              <w:rPr>
                <w:rFonts w:hint="eastAsia"/>
                <w:color w:val="auto"/>
                <w:kern w:val="0"/>
                <w:highlight w:val="none"/>
                <w:lang w:val="zh-CN"/>
              </w:rPr>
            </w:pPr>
            <w:r>
              <w:rPr>
                <w:rFonts w:hint="eastAsia" w:ascii="仿宋" w:hAnsi="仿宋" w:eastAsia="仿宋" w:cs="仿宋"/>
                <w:color w:val="auto"/>
                <w:kern w:val="0"/>
                <w:sz w:val="24"/>
                <w:szCs w:val="24"/>
                <w:highlight w:val="none"/>
                <w:lang w:val="zh-CN" w:eastAsia="zh-CN"/>
              </w:rPr>
              <w:t>☑否</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CDC4723">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zh-CN"/>
              </w:rPr>
            </w:pPr>
          </w:p>
        </w:tc>
      </w:tr>
      <w:tr w14:paraId="3F0AA80B">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top"/>
          </w:tcPr>
          <w:p w14:paraId="44EAF3CB">
            <w:pPr>
              <w:numPr>
                <w:ilvl w:val="0"/>
                <w:numId w:val="0"/>
              </w:numPr>
              <w:ind w:left="0" w:leftChars="0" w:firstLine="0" w:firstLine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42</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top"/>
          </w:tcPr>
          <w:p w14:paraId="06C00C1F">
            <w:pPr>
              <w:numPr>
                <w:ilvl w:val="0"/>
                <w:numId w:val="0"/>
              </w:numPr>
              <w:ind w:left="0" w:leftChars="0" w:firstLine="0" w:firstLineChars="0"/>
              <w:jc w:val="both"/>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lang w:val="zh-CN" w:eastAsia="zh-CN"/>
              </w:rPr>
              <w:t>是否邀请公证</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top"/>
          </w:tcPr>
          <w:p w14:paraId="226242E1">
            <w:pPr>
              <w:numPr>
                <w:ilvl w:val="0"/>
                <w:numId w:val="0"/>
              </w:numPr>
              <w:ind w:left="0" w:leftChars="0" w:firstLine="0" w:firstLineChars="0"/>
              <w:jc w:val="both"/>
              <w:rPr>
                <w:rFonts w:hint="eastAsia" w:ascii="仿宋" w:hAnsi="仿宋" w:eastAsia="仿宋" w:cs="仿宋"/>
                <w:color w:val="auto"/>
                <w:kern w:val="0"/>
                <w:sz w:val="24"/>
                <w:szCs w:val="24"/>
                <w:highlight w:val="none"/>
                <w:lang w:val="zh-CN" w:eastAsia="zh-CN"/>
              </w:rPr>
            </w:pPr>
            <w:bookmarkStart w:id="92" w:name="_GoBack"/>
            <w:bookmarkEnd w:id="92"/>
            <w:r>
              <w:rPr>
                <w:rFonts w:hint="eastAsia" w:ascii="仿宋" w:hAnsi="仿宋" w:eastAsia="仿宋" w:cs="仿宋"/>
                <w:color w:val="auto"/>
                <w:kern w:val="0"/>
                <w:sz w:val="24"/>
                <w:szCs w:val="24"/>
                <w:highlight w:val="none"/>
                <w:lang w:val="zh-CN" w:eastAsia="zh-CN"/>
              </w:rPr>
              <w:t>□是</w:t>
            </w:r>
          </w:p>
          <w:p w14:paraId="43BE1BD3">
            <w:pPr>
              <w:numPr>
                <w:ilvl w:val="0"/>
                <w:numId w:val="0"/>
              </w:numPr>
              <w:ind w:left="0" w:leftChars="0" w:firstLine="0" w:firstLineChars="0"/>
              <w:jc w:val="both"/>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lang w:val="zh-CN" w:eastAsia="zh-CN"/>
              </w:rPr>
              <w:t>☑否</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5F410C0">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zh-CN"/>
              </w:rPr>
            </w:pPr>
          </w:p>
        </w:tc>
      </w:tr>
      <w:tr w14:paraId="195CBAE9">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5FC2E0F">
            <w:pPr>
              <w:numPr>
                <w:ilvl w:val="0"/>
                <w:numId w:val="0"/>
              </w:numPr>
              <w:ind w:left="0" w:leftChars="0" w:firstLine="0" w:firstLine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43</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89A2706">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lang w:val="zh-CN" w:eastAsia="zh-CN"/>
              </w:rPr>
              <w:t>节能、环保政府采购政策</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0146005">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严格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r>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t>本次采购产品类别（如有）属于政府强制采购产品类别的，应当按照要求提供依据国家确定的认证机构出具的、处于有效期之内的节能产品或环境标志产品认证证书，否则响应文件无效；</w:t>
            </w:r>
            <w:r>
              <w:rPr>
                <w:rFonts w:hint="eastAsia" w:ascii="仿宋" w:hAnsi="仿宋" w:eastAsia="仿宋" w:cs="仿宋"/>
                <w:color w:val="auto"/>
                <w:kern w:val="0"/>
                <w:sz w:val="24"/>
                <w:szCs w:val="24"/>
                <w:highlight w:val="none"/>
                <w:lang w:val="en-US" w:eastAsia="zh-CN"/>
              </w:rPr>
              <w:t>属于政府优先采购产品类别的，应当按照要求提供依据国家确定的认证机构出具的、处于有效期之内的节能产品或环境标志产品认证证书，否则不予认定。</w:t>
            </w:r>
          </w:p>
          <w:p w14:paraId="2C93A9D8">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政府采购政策支持</w:t>
            </w:r>
          </w:p>
          <w:p w14:paraId="520168E8">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1产品符合政府采购强制采购政策的，实行强制采购；符合政府采购优先采购政策的，产品享受节能产品、环境标志产品优惠(由供应商在报价文件中选择并填</w:t>
            </w:r>
          </w:p>
          <w:p w14:paraId="79EF6E87">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报，评审时进行价格优惠);供应商享受支持中小企业</w:t>
            </w:r>
          </w:p>
          <w:p w14:paraId="374BE2E2">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发展政策优惠的，可以与同时享受节能产品、环境标</w:t>
            </w:r>
          </w:p>
          <w:p w14:paraId="7464D699">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志产品产品优惠累加优惠。财政部门关于政府采购强</w:t>
            </w:r>
          </w:p>
          <w:p w14:paraId="71BD9FAE">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制采购、优先采购的政策规定可在中国政府采购网(www.ccgp.gov.cn)查询。本项目专门面向小微企业，不再执行价格扣除。</w:t>
            </w:r>
          </w:p>
          <w:p w14:paraId="60672850">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2同一项目中部分产品属于优先采购政策的，评审时只对该部分产品的报价实行价格优惠。</w:t>
            </w:r>
          </w:p>
          <w:p w14:paraId="27810E09">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3为推进政府采购诚信体系建设，供应商在签署相关承诺，提供相关信息前，应认真阅读财政部门相关政策规定。</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B5C4D5F">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p>
        </w:tc>
      </w:tr>
      <w:tr w14:paraId="72A127E9">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DC6820D">
            <w:pPr>
              <w:numPr>
                <w:ilvl w:val="0"/>
                <w:numId w:val="0"/>
              </w:numPr>
              <w:ind w:left="0" w:leftChars="0" w:firstLine="0" w:firstLine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44</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0994613">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关于中小企业、残疾人福利性单位、监狱企业扶持政策落实的规定：</w:t>
            </w:r>
          </w:p>
          <w:p w14:paraId="68259E99">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8582C6F">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☑本项目专门面向中小企业采购项目(残疾人福利性单位、监狱企业同样享受该政策，视为小微企业)</w:t>
            </w:r>
          </w:p>
          <w:p w14:paraId="67B62727">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□本项目按照《新疆维吾尔自治区政府采购促进中小</w:t>
            </w:r>
          </w:p>
          <w:p w14:paraId="5C8D6361">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企业发展管理实施办法》(新财规〔2021〕6号)</w:t>
            </w:r>
          </w:p>
          <w:p w14:paraId="723B9508">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b/>
                <w:bCs/>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lang w:val="en-US" w:eastAsia="zh-CN"/>
              </w:rPr>
              <w:t>1、本项目专门面向中小企业采购，所属行业为</w:t>
            </w:r>
            <w:r>
              <w:rPr>
                <w:rFonts w:hint="eastAsia" w:ascii="仿宋" w:hAnsi="仿宋" w:eastAsia="仿宋" w:cs="仿宋"/>
                <w:color w:val="auto"/>
                <w:kern w:val="0"/>
                <w:sz w:val="24"/>
                <w:szCs w:val="24"/>
                <w:highlight w:val="none"/>
                <w:u w:val="single"/>
                <w:lang w:val="en-US" w:eastAsia="zh-CN"/>
              </w:rPr>
              <w:t>其他未列明行业</w:t>
            </w:r>
          </w:p>
          <w:p w14:paraId="222187F5">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(1)供应商需按照采购文件的要求提供《中小企业声</w:t>
            </w:r>
          </w:p>
          <w:p w14:paraId="4B521156">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明函》,详见第六章“响应文件格式”附件八。</w:t>
            </w:r>
          </w:p>
          <w:p w14:paraId="42401B72">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(2)企业标准请参照《关于印发中小企业划型标准规</w:t>
            </w:r>
          </w:p>
          <w:p w14:paraId="23C4A166">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定的通知》(工信部联企业[2011]300号)文件规定</w:t>
            </w:r>
          </w:p>
          <w:p w14:paraId="3A1A5F35">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自行填写。</w:t>
            </w:r>
          </w:p>
          <w:p w14:paraId="33700AA9">
            <w:pPr>
              <w:pStyle w:val="5"/>
              <w:rPr>
                <w:rFonts w:hint="default" w:ascii="仿宋" w:hAnsi="仿宋" w:eastAsia="仿宋" w:cs="仿宋"/>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特别提示</w:t>
            </w:r>
          </w:p>
          <w:p w14:paraId="717573B1">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bidi="ar-SA"/>
              </w:rPr>
              <w:t>1、本项目专门面向</w:t>
            </w:r>
            <w:r>
              <w:rPr>
                <w:rFonts w:hint="eastAsia" w:ascii="仿宋" w:hAnsi="仿宋" w:eastAsia="仿宋" w:cs="仿宋"/>
                <w:color w:val="auto"/>
                <w:kern w:val="0"/>
                <w:sz w:val="24"/>
                <w:szCs w:val="24"/>
                <w:highlight w:val="none"/>
                <w:lang w:val="en-US" w:eastAsia="zh-CN" w:bidi="ar-SA"/>
              </w:rPr>
              <w:t>中小</w:t>
            </w:r>
            <w:r>
              <w:rPr>
                <w:rFonts w:hint="default" w:ascii="仿宋" w:hAnsi="仿宋" w:eastAsia="仿宋" w:cs="仿宋"/>
                <w:color w:val="auto"/>
                <w:kern w:val="0"/>
                <w:sz w:val="24"/>
                <w:szCs w:val="24"/>
                <w:highlight w:val="none"/>
                <w:lang w:val="en-US" w:eastAsia="zh-CN" w:bidi="ar-SA"/>
              </w:rPr>
              <w:t>企业，不再执行价格扣除。</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48FD225">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p>
        </w:tc>
      </w:tr>
      <w:tr w14:paraId="00F4293C">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4521FD7">
            <w:pPr>
              <w:numPr>
                <w:ilvl w:val="0"/>
                <w:numId w:val="0"/>
              </w:numPr>
              <w:ind w:left="0" w:leftChars="0" w:firstLine="0" w:firstLine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45</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96F7A72">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标前准备</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49F18C1">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1、本项目实行网上投标，采用电子响应文件。若供应</w:t>
            </w:r>
          </w:p>
          <w:p w14:paraId="1DF37CA7">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商参与投标，自行承担投标一切费用。</w:t>
            </w:r>
          </w:p>
          <w:p w14:paraId="3AF236D2">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2E37A719">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3、供应商将政采云电子交易客户端下载、安装完成后，可通过账号密码或CA登录客户端进行响应文件制作。在使用政采云投标客户端时，建议使用WIN7及以上操</w:t>
            </w:r>
          </w:p>
          <w:p w14:paraId="3CAB0CC8">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作系统。客户端请至新疆政府采购网(</w:t>
            </w:r>
            <w:r>
              <w:rPr>
                <w:rFonts w:hint="eastAsia" w:ascii="仿宋" w:hAnsi="仿宋" w:eastAsia="仿宋" w:cs="仿宋"/>
                <w:color w:val="auto"/>
                <w:kern w:val="0"/>
                <w:sz w:val="24"/>
                <w:szCs w:val="24"/>
                <w:highlight w:val="none"/>
                <w:lang w:val="en-US" w:eastAsia="zh-CN"/>
              </w:rPr>
              <w:fldChar w:fldCharType="begin"/>
            </w:r>
            <w:r>
              <w:rPr>
                <w:rFonts w:hint="eastAsia" w:ascii="仿宋" w:hAnsi="仿宋" w:eastAsia="仿宋" w:cs="仿宋"/>
                <w:color w:val="auto"/>
                <w:kern w:val="0"/>
                <w:sz w:val="24"/>
                <w:szCs w:val="24"/>
                <w:highlight w:val="none"/>
                <w:lang w:val="en-US" w:eastAsia="zh-CN"/>
              </w:rPr>
              <w:instrText xml:space="preserve"> HYPERLINK "http://www.ccgp-xinjiang.gov.cn/" </w:instrText>
            </w:r>
            <w:r>
              <w:rPr>
                <w:rFonts w:hint="eastAsia" w:ascii="仿宋" w:hAnsi="仿宋" w:eastAsia="仿宋" w:cs="仿宋"/>
                <w:color w:val="auto"/>
                <w:kern w:val="0"/>
                <w:sz w:val="24"/>
                <w:szCs w:val="24"/>
                <w:highlight w:val="none"/>
                <w:lang w:val="en-US" w:eastAsia="zh-CN"/>
              </w:rPr>
              <w:fldChar w:fldCharType="separate"/>
            </w:r>
            <w:r>
              <w:rPr>
                <w:rFonts w:hint="eastAsia" w:ascii="仿宋" w:hAnsi="仿宋" w:eastAsia="仿宋" w:cs="仿宋"/>
                <w:color w:val="auto"/>
                <w:kern w:val="0"/>
                <w:sz w:val="24"/>
                <w:szCs w:val="24"/>
                <w:highlight w:val="none"/>
                <w:lang w:val="en-US" w:eastAsia="zh-CN"/>
              </w:rPr>
              <w:t>http://www.ccgp-xinjiang.gov.cn/</w:t>
            </w:r>
            <w:r>
              <w:rPr>
                <w:rFonts w:hint="eastAsia" w:ascii="仿宋" w:hAnsi="仿宋" w:eastAsia="仿宋" w:cs="仿宋"/>
                <w:color w:val="auto"/>
                <w:kern w:val="0"/>
                <w:sz w:val="24"/>
                <w:szCs w:val="24"/>
                <w:highlight w:val="none"/>
                <w:lang w:val="en-US" w:eastAsia="zh-CN"/>
              </w:rPr>
              <w:fldChar w:fldCharType="end"/>
            </w:r>
            <w:r>
              <w:rPr>
                <w:rFonts w:hint="eastAsia" w:ascii="仿宋" w:hAnsi="仿宋" w:eastAsia="仿宋" w:cs="仿宋"/>
                <w:color w:val="auto"/>
                <w:kern w:val="0"/>
                <w:sz w:val="24"/>
                <w:szCs w:val="24"/>
                <w:highlight w:val="none"/>
                <w:lang w:val="en-US" w:eastAsia="zh-CN"/>
              </w:rPr>
              <w:t>)下载专区查看，如有问题可拨打政采云客户服务热线95763进行咨询。</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9DC4907">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p>
        </w:tc>
      </w:tr>
      <w:tr w14:paraId="0A0F3ADE">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C026EAB">
            <w:pPr>
              <w:numPr>
                <w:ilvl w:val="0"/>
                <w:numId w:val="0"/>
              </w:numPr>
              <w:ind w:left="0" w:leftChars="0" w:firstLine="0" w:firstLine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46</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B17EBE5">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响应文件解密时间</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7A1DD84">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供应商应当在响应文件提交截止时间前，将生成的“电子加密响应文件”上传递交至“政府采购云平台”。响应文件提交截止时间以后上传提交的响应文件将被“政府采购云平台”拒收。</w:t>
            </w:r>
          </w:p>
          <w:p w14:paraId="1EABB836">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响应文件开启时间后30分钟内供应商可以登录“政采云”平台，用“项目采购-开标评标”功能进行解密响应文件。若供应商在规定时间内未按时解密的，视为响应文件撤回。</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B1A6566">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p>
        </w:tc>
      </w:tr>
      <w:tr w14:paraId="3C5ADB14">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FC6604D">
            <w:pPr>
              <w:numPr>
                <w:ilvl w:val="0"/>
                <w:numId w:val="0"/>
              </w:numPr>
              <w:ind w:left="0" w:leftChars="0" w:firstLine="0" w:firstLine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47</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D2431B6">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低价不正当竞争预防措施</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F1BE197">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低价不正当竞争预防措施（实质性要求）：</w:t>
            </w:r>
          </w:p>
          <w:p w14:paraId="14678022">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1.在评标过程中，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 </w:t>
            </w:r>
          </w:p>
          <w:p w14:paraId="2D4861B7">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2.政府采购异常低价审查：根据《关于推动解决政府采购异常低价问题的通知》（财库〔2026〕2号）的规定：</w:t>
            </w:r>
          </w:p>
          <w:p w14:paraId="1F9550EC">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（一）采购评审中出现下列情形之一的，评审委员会应当启动异常低价投标（响应）审查程序：</w:t>
            </w:r>
          </w:p>
          <w:p w14:paraId="0C2E5D2C">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1.投标（响应）报价低于全部通过符合性审查供应商投标（响应）报价平均值60%的，即投标（响应）报价〈全部通过符合性审查供应商投标（响应）报价平均值×60%；</w:t>
            </w:r>
          </w:p>
          <w:p w14:paraId="4606383F">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2.投标（响应）报价低于通过符合性审查的次低报价供应商投标（响应）报价60%的，即投标（响应）报价〈通过符合性审查的次低报价供应商投标（响应）报价×60%；</w:t>
            </w:r>
          </w:p>
          <w:p w14:paraId="169B0C51">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3.投标（响应）报价低于采购项目最高限价60%的，即投标（响应）报价〈采购项目最高限价×60%；</w:t>
            </w:r>
          </w:p>
          <w:p w14:paraId="423C7E7F">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4.评审委员会基于专业判断，认为供应商报价过低，有可能影响产品质量或者不能诚信履约的其他情形。</w:t>
            </w:r>
          </w:p>
          <w:p w14:paraId="1B6E6439">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采购人可以结合具体项目实际情况，提高上述第1项至第3项中启动异常低价投标（响应）审查的数值标准，但是最高不得超过60%。</w:t>
            </w:r>
          </w:p>
          <w:p w14:paraId="43102412">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相关法律法规对供应商报价有规定的，从其规定。</w:t>
            </w:r>
          </w:p>
          <w:p w14:paraId="634674E7">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CA8A34F">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5C4D17C">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p>
        </w:tc>
      </w:tr>
      <w:tr w14:paraId="12683E8E">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F48AA88">
            <w:pPr>
              <w:numPr>
                <w:ilvl w:val="0"/>
                <w:numId w:val="0"/>
              </w:numPr>
              <w:ind w:left="0" w:leftChars="0" w:firstLine="0" w:firstLine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48</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3DF481FF">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付款方式</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C29F355">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支付方式：签订合同15日内支付30%作为预付款；维保进场后并完成所有设备的安装、调试以及维护；经采购人确认后支付50%；维保周期届满、全年维保履约完毕，无故障遗留支付剩余20%（具体以双方协商确定）。</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0DBF681">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p>
        </w:tc>
      </w:tr>
      <w:tr w14:paraId="42D8DBFB">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53CAEDBE">
            <w:pPr>
              <w:numPr>
                <w:ilvl w:val="0"/>
                <w:numId w:val="0"/>
              </w:numPr>
              <w:ind w:left="0" w:leftChars="0" w:firstLine="0" w:firstLine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49</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142D752A">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声明</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764AAC42">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1.中标成交供应商响应文件作为合同附件，如发现承诺多兑现少或未在规定的时间内与业主方签订合同合同期内不能严格履行合同，将追究其法律，经济责任。</w:t>
            </w:r>
          </w:p>
          <w:p w14:paraId="78ADBEAA">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b/>
                <w:bCs/>
                <w:color w:val="auto"/>
                <w:kern w:val="0"/>
                <w:sz w:val="24"/>
                <w:szCs w:val="24"/>
                <w:highlight w:val="none"/>
                <w:lang w:val="en-US" w:eastAsia="zh-CN"/>
              </w:rPr>
              <w:t>.中标成交供应商自成交通知书发出之日起30日内与采购人签订合同，合同签订后2个工作日内须向我公司提供一份合同扫描件(PDF格式),备注项目名称及编号，发送至邮箱867778358@qq.com。用于合同备案，逾期未提供，后果自负。</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6CCDB8CA">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p>
        </w:tc>
      </w:tr>
      <w:tr w14:paraId="154CD6C6">
        <w:tblPrEx>
          <w:tblCellMar>
            <w:top w:w="0" w:type="dxa"/>
            <w:left w:w="108" w:type="dxa"/>
            <w:bottom w:w="0" w:type="dxa"/>
            <w:right w:w="108" w:type="dxa"/>
          </w:tblCellMar>
        </w:tblPrEx>
        <w:trPr>
          <w:trHeight w:val="0" w:hRule="atLeast"/>
        </w:trPr>
        <w:tc>
          <w:tcPr>
            <w:tcW w:w="764"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046C9667">
            <w:pPr>
              <w:numPr>
                <w:ilvl w:val="0"/>
                <w:numId w:val="0"/>
              </w:numPr>
              <w:ind w:left="0" w:leftChars="0" w:firstLine="0" w:firstLine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50</w:t>
            </w:r>
          </w:p>
        </w:tc>
        <w:tc>
          <w:tcPr>
            <w:tcW w:w="270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2D24F399">
            <w:pPr>
              <w:keepNext w:val="0"/>
              <w:keepLines w:val="0"/>
              <w:pageBreakBefore w:val="0"/>
              <w:widowControl w:val="0"/>
              <w:kinsoku/>
              <w:wordWrap/>
              <w:overflowPunct/>
              <w:topLinePunct w:val="0"/>
              <w:bidi w:val="0"/>
              <w:adjustRightInd/>
              <w:snapToGrid/>
              <w:spacing w:before="32" w:beforeLines="10" w:line="24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合同履约</w:t>
            </w:r>
          </w:p>
        </w:tc>
        <w:tc>
          <w:tcPr>
            <w:tcW w:w="5692"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575EFAD">
            <w:pPr>
              <w:spacing w:line="240" w:lineRule="auto"/>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1．采购人与中标、成交供应商应当在中标、成交通知书发出之日起三十日内，按照采购文件确定的事项签订政府采购合同。中标、成交通知书对采购人和中标、成交供应商均具有法律效力。中标、成交通知书发出后，采购人改变中标、成交结果的，或者中标、成交供应商放弃中标、成交项目的，应当依法承担法律责任。</w:t>
            </w:r>
          </w:p>
          <w:p w14:paraId="2C7BB4AF">
            <w:pPr>
              <w:spacing w:line="240" w:lineRule="auto"/>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法律依据：《政府采购法》第46条，如不按时签订视为拒绝和采购人签订合同，如属于无正当理由的，按《中华人民共和国政府采购法》相关条款进行行政处罚，给采购人造成损失的，将依法追究其责任。</w:t>
            </w:r>
          </w:p>
          <w:p w14:paraId="15FBAF21">
            <w:pPr>
              <w:spacing w:line="240" w:lineRule="auto"/>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2．中标或者成交供应商拒绝与采购人签订合同的，采购人可以按照评审报告推荐的中标或者成交候选人名单排序，</w:t>
            </w:r>
            <w:r>
              <w:rPr>
                <w:rFonts w:hint="eastAsia" w:ascii="仿宋" w:hAnsi="仿宋" w:eastAsia="仿宋" w:cs="仿宋"/>
                <w:b/>
                <w:bCs/>
                <w:color w:val="auto"/>
                <w:kern w:val="0"/>
                <w:sz w:val="24"/>
                <w:highlight w:val="none"/>
                <w:lang w:val="en-US" w:eastAsia="zh-CN"/>
              </w:rPr>
              <w:t>确定下一候选人为中标或者成交供应商</w:t>
            </w:r>
            <w:r>
              <w:rPr>
                <w:rFonts w:hint="eastAsia" w:ascii="仿宋" w:hAnsi="仿宋" w:eastAsia="仿宋" w:cs="仿宋"/>
                <w:b w:val="0"/>
                <w:bCs w:val="0"/>
                <w:color w:val="auto"/>
                <w:kern w:val="0"/>
                <w:sz w:val="24"/>
                <w:highlight w:val="none"/>
                <w:lang w:val="en-US" w:eastAsia="zh-CN"/>
              </w:rPr>
              <w:t>，也可以重新开展政府采购活动。</w:t>
            </w:r>
          </w:p>
          <w:p w14:paraId="1071C82A">
            <w:pPr>
              <w:keepNext w:val="0"/>
              <w:keepLines w:val="0"/>
              <w:pageBreakBefore w:val="0"/>
              <w:widowControl w:val="0"/>
              <w:kinsoku/>
              <w:wordWrap/>
              <w:overflowPunct/>
              <w:topLinePunct w:val="0"/>
              <w:bidi w:val="0"/>
              <w:adjustRightInd/>
              <w:snapToGrid/>
              <w:spacing w:before="32" w:beforeLines="10" w:line="240" w:lineRule="auto"/>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color w:val="auto"/>
                <w:kern w:val="0"/>
                <w:sz w:val="24"/>
                <w:highlight w:val="none"/>
                <w:lang w:val="en-US" w:eastAsia="zh-CN"/>
              </w:rPr>
              <w:t>法律依据：《政府采购法实施条例》第49条</w:t>
            </w:r>
          </w:p>
        </w:tc>
        <w:tc>
          <w:tcPr>
            <w:tcW w:w="5753" w:type="dxa"/>
            <w:tcBorders>
              <w:top w:val="single" w:color="82181A" w:sz="8" w:space="0"/>
              <w:left w:val="single" w:color="FEFEFE" w:sz="8" w:space="0"/>
              <w:bottom w:val="single" w:color="82181A" w:sz="8" w:space="0"/>
              <w:right w:val="single" w:color="FEFEFE" w:sz="8" w:space="0"/>
            </w:tcBorders>
            <w:shd w:val="clear" w:color="auto" w:fill="FEFEFE"/>
            <w:noWrap w:val="0"/>
            <w:vAlign w:val="center"/>
          </w:tcPr>
          <w:p w14:paraId="484AC8E1">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p>
        </w:tc>
      </w:tr>
      <w:tr w14:paraId="23E8466E">
        <w:tblPrEx>
          <w:tblCellMar>
            <w:top w:w="0" w:type="dxa"/>
            <w:left w:w="108" w:type="dxa"/>
            <w:bottom w:w="0" w:type="dxa"/>
            <w:right w:w="108" w:type="dxa"/>
          </w:tblCellMar>
        </w:tblPrEx>
        <w:trPr>
          <w:trHeight w:val="0" w:hRule="atLeast"/>
        </w:trPr>
        <w:tc>
          <w:tcPr>
            <w:tcW w:w="9159" w:type="dxa"/>
            <w:gridSpan w:val="3"/>
            <w:tcBorders>
              <w:top w:val="single" w:color="82181A" w:sz="8" w:space="0"/>
              <w:left w:val="single" w:color="FEFEFE" w:sz="8" w:space="0"/>
              <w:bottom w:val="single" w:color="FEFEFE" w:sz="8" w:space="0"/>
              <w:right w:val="single" w:color="FEFEFE" w:sz="8" w:space="0"/>
            </w:tcBorders>
            <w:shd w:val="clear" w:color="auto" w:fill="FEFEFE"/>
            <w:noWrap w:val="0"/>
            <w:vAlign w:val="center"/>
          </w:tcPr>
          <w:p w14:paraId="0A81B5D0">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注意事项：</w:t>
            </w:r>
          </w:p>
          <w:p w14:paraId="29792E05">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1、请务必确保</w:t>
            </w:r>
            <w:r>
              <w:rPr>
                <w:rFonts w:hint="eastAsia" w:ascii="仿宋" w:hAnsi="仿宋" w:eastAsia="仿宋" w:cs="仿宋"/>
                <w:color w:val="auto"/>
                <w:kern w:val="0"/>
                <w:sz w:val="24"/>
                <w:szCs w:val="24"/>
                <w:highlight w:val="none"/>
                <w:lang w:val="en-US" w:eastAsia="zh-CN"/>
              </w:rPr>
              <w:t>响应文件</w:t>
            </w:r>
            <w:r>
              <w:rPr>
                <w:rFonts w:hint="default" w:ascii="仿宋" w:hAnsi="仿宋" w:eastAsia="仿宋" w:cs="仿宋"/>
                <w:color w:val="auto"/>
                <w:kern w:val="0"/>
                <w:sz w:val="24"/>
                <w:szCs w:val="24"/>
                <w:highlight w:val="none"/>
                <w:lang w:val="en-US" w:eastAsia="zh-CN"/>
              </w:rPr>
              <w:t>制作客户端为最新版本，旧版本可能导致</w:t>
            </w:r>
            <w:r>
              <w:rPr>
                <w:rFonts w:hint="eastAsia" w:ascii="仿宋" w:hAnsi="仿宋" w:eastAsia="仿宋" w:cs="仿宋"/>
                <w:color w:val="auto"/>
                <w:kern w:val="0"/>
                <w:sz w:val="24"/>
                <w:szCs w:val="24"/>
                <w:highlight w:val="none"/>
                <w:lang w:val="en-US" w:eastAsia="zh-CN"/>
              </w:rPr>
              <w:t>响应文件</w:t>
            </w:r>
            <w:r>
              <w:rPr>
                <w:rFonts w:hint="default" w:ascii="仿宋" w:hAnsi="仿宋" w:eastAsia="仿宋" w:cs="仿宋"/>
                <w:color w:val="auto"/>
                <w:kern w:val="0"/>
                <w:sz w:val="24"/>
                <w:szCs w:val="24"/>
                <w:highlight w:val="none"/>
                <w:lang w:val="en-US" w:eastAsia="zh-CN"/>
              </w:rPr>
              <w:t>解密失败。2、请务必确保</w:t>
            </w:r>
            <w:r>
              <w:rPr>
                <w:rFonts w:hint="eastAsia" w:ascii="仿宋" w:hAnsi="仿宋" w:eastAsia="仿宋" w:cs="仿宋"/>
                <w:color w:val="auto"/>
                <w:kern w:val="0"/>
                <w:sz w:val="24"/>
                <w:szCs w:val="24"/>
                <w:highlight w:val="none"/>
                <w:lang w:val="en-US" w:eastAsia="zh-CN"/>
              </w:rPr>
              <w:t>响应文件</w:t>
            </w:r>
            <w:r>
              <w:rPr>
                <w:rFonts w:hint="default" w:ascii="仿宋" w:hAnsi="仿宋" w:eastAsia="仿宋" w:cs="仿宋"/>
                <w:color w:val="auto"/>
                <w:kern w:val="0"/>
                <w:sz w:val="24"/>
                <w:szCs w:val="24"/>
                <w:highlight w:val="none"/>
                <w:lang w:val="en-US" w:eastAsia="zh-CN"/>
              </w:rPr>
              <w:t>制作时所用的CA锁与</w:t>
            </w:r>
            <w:r>
              <w:rPr>
                <w:rFonts w:hint="eastAsia" w:ascii="仿宋" w:hAnsi="仿宋" w:eastAsia="仿宋" w:cs="仿宋"/>
                <w:color w:val="auto"/>
                <w:kern w:val="0"/>
                <w:sz w:val="24"/>
                <w:szCs w:val="24"/>
                <w:highlight w:val="none"/>
                <w:lang w:val="en-US" w:eastAsia="zh-CN"/>
              </w:rPr>
              <w:t>响应文件</w:t>
            </w:r>
            <w:r>
              <w:rPr>
                <w:rFonts w:hint="default" w:ascii="仿宋" w:hAnsi="仿宋" w:eastAsia="仿宋" w:cs="仿宋"/>
                <w:color w:val="auto"/>
                <w:kern w:val="0"/>
                <w:sz w:val="24"/>
                <w:szCs w:val="24"/>
                <w:highlight w:val="none"/>
                <w:lang w:val="en-US" w:eastAsia="zh-CN"/>
              </w:rPr>
              <w:t>解密时的CA锁为同一把，否则可能导致</w:t>
            </w:r>
            <w:r>
              <w:rPr>
                <w:rFonts w:hint="eastAsia" w:ascii="仿宋" w:hAnsi="仿宋" w:eastAsia="仿宋" w:cs="仿宋"/>
                <w:color w:val="auto"/>
                <w:kern w:val="0"/>
                <w:sz w:val="24"/>
                <w:szCs w:val="24"/>
                <w:highlight w:val="none"/>
                <w:lang w:val="en-US" w:eastAsia="zh-CN"/>
              </w:rPr>
              <w:t>响应文件</w:t>
            </w:r>
            <w:r>
              <w:rPr>
                <w:rFonts w:hint="default" w:ascii="仿宋" w:hAnsi="仿宋" w:eastAsia="仿宋" w:cs="仿宋"/>
                <w:color w:val="auto"/>
                <w:kern w:val="0"/>
                <w:sz w:val="24"/>
                <w:szCs w:val="24"/>
                <w:highlight w:val="none"/>
                <w:lang w:val="en-US" w:eastAsia="zh-CN"/>
              </w:rPr>
              <w:t>解密失败。</w:t>
            </w:r>
          </w:p>
          <w:p w14:paraId="6D612772">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3、供应商须知前附表内容与磋商文件其它内容不一致的，应当以供应商须知前附表内容为准。</w:t>
            </w:r>
          </w:p>
          <w:p w14:paraId="43F73D35">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4、本表中“”标示选择使用该项。</w:t>
            </w:r>
          </w:p>
          <w:p w14:paraId="62CD7C9B">
            <w:pPr>
              <w:keepNext w:val="0"/>
              <w:keepLines w:val="0"/>
              <w:pageBreakBefore w:val="0"/>
              <w:widowControl w:val="0"/>
              <w:kinsoku/>
              <w:wordWrap/>
              <w:overflowPunct/>
              <w:topLinePunct w:val="0"/>
              <w:bidi w:val="0"/>
              <w:adjustRightInd/>
              <w:snapToGrid/>
              <w:spacing w:before="32" w:beforeLines="10" w:line="264" w:lineRule="auto"/>
              <w:textAlignment w:val="auto"/>
              <w:rPr>
                <w:rFonts w:hint="default" w:ascii="仿宋" w:hAnsi="仿宋" w:eastAsia="仿宋" w:cs="仿宋"/>
                <w:color w:val="auto"/>
                <w:kern w:val="0"/>
                <w:sz w:val="24"/>
                <w:szCs w:val="24"/>
                <w:highlight w:val="none"/>
                <w:lang w:val="en-US" w:eastAsia="zh-CN"/>
              </w:rPr>
            </w:pPr>
          </w:p>
        </w:tc>
        <w:tc>
          <w:tcPr>
            <w:tcW w:w="5753" w:type="dxa"/>
            <w:tcBorders>
              <w:top w:val="single" w:color="82181A" w:sz="8" w:space="0"/>
              <w:left w:val="single" w:color="FEFEFE" w:sz="8" w:space="0"/>
              <w:bottom w:val="single" w:color="FEFEFE" w:sz="8" w:space="0"/>
              <w:right w:val="single" w:color="FEFEFE" w:sz="8" w:space="0"/>
            </w:tcBorders>
            <w:shd w:val="clear" w:color="auto" w:fill="FEFEFE"/>
            <w:noWrap w:val="0"/>
            <w:vAlign w:val="center"/>
          </w:tcPr>
          <w:p w14:paraId="4746E4DE">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0"/>
                <w:sz w:val="24"/>
                <w:szCs w:val="24"/>
                <w:highlight w:val="none"/>
                <w:lang w:val="en-US" w:eastAsia="zh-CN"/>
              </w:rPr>
            </w:pPr>
          </w:p>
        </w:tc>
      </w:tr>
    </w:tbl>
    <w:p w14:paraId="5F95331D">
      <w:r>
        <w:br w:type="page"/>
      </w:r>
    </w:p>
    <w:p w14:paraId="40B40178">
      <w:pPr>
        <w:jc w:val="center"/>
        <w:rPr>
          <w:rFonts w:ascii="Times New Roman" w:hAnsi="Times New Roman" w:eastAsia="Times New Roman" w:cs="Times New Roman"/>
          <w:color w:val="auto"/>
          <w:kern w:val="0"/>
          <w:sz w:val="24"/>
          <w:highlight w:val="none"/>
        </w:rPr>
      </w:pPr>
      <w:bookmarkStart w:id="19" w:name="_Toc7285"/>
      <w:r>
        <w:rPr>
          <w:rFonts w:hint="eastAsia" w:ascii="黑体" w:hAnsi="黑体" w:eastAsia="黑体" w:cs="Times New Roman"/>
          <w:color w:val="auto"/>
          <w:kern w:val="0"/>
          <w:sz w:val="28"/>
          <w:szCs w:val="28"/>
          <w:highlight w:val="none"/>
          <w:lang w:eastAsia="zh-CN"/>
        </w:rPr>
        <w:t>供应商</w:t>
      </w:r>
      <w:r>
        <w:rPr>
          <w:rFonts w:hint="eastAsia" w:ascii="黑体" w:hAnsi="黑体" w:eastAsia="黑体" w:cs="Times New Roman"/>
          <w:color w:val="auto"/>
          <w:kern w:val="0"/>
          <w:sz w:val="28"/>
          <w:szCs w:val="28"/>
          <w:highlight w:val="none"/>
        </w:rPr>
        <w:t>须知</w:t>
      </w:r>
      <w:bookmarkEnd w:id="19"/>
      <w:r>
        <w:rPr>
          <w:rFonts w:hint="eastAsia" w:ascii="黑体" w:hAnsi="黑体" w:eastAsia="黑体" w:cs="Times New Roman"/>
          <w:color w:val="auto"/>
          <w:kern w:val="0"/>
          <w:sz w:val="28"/>
          <w:szCs w:val="28"/>
          <w:highlight w:val="none"/>
          <w:lang w:val="en-US" w:eastAsia="zh-CN"/>
        </w:rPr>
        <w:t>正文</w:t>
      </w:r>
    </w:p>
    <w:p w14:paraId="0801E5D9">
      <w:pPr>
        <w:spacing w:line="360" w:lineRule="auto"/>
        <w:ind w:firstLine="560" w:firstLineChars="200"/>
        <w:outlineLvl w:val="2"/>
        <w:rPr>
          <w:rFonts w:ascii="楷体" w:hAnsi="楷体" w:eastAsia="楷体" w:cs="Times New Roman"/>
          <w:color w:val="auto"/>
          <w:kern w:val="0"/>
          <w:sz w:val="28"/>
          <w:szCs w:val="28"/>
          <w:highlight w:val="none"/>
        </w:rPr>
      </w:pPr>
      <w:bookmarkStart w:id="20" w:name="_Toc1411"/>
      <w:r>
        <w:rPr>
          <w:rFonts w:ascii="楷体" w:hAnsi="楷体" w:eastAsia="楷体" w:cs="Times New Roman"/>
          <w:color w:val="auto"/>
          <w:kern w:val="0"/>
          <w:sz w:val="28"/>
          <w:szCs w:val="28"/>
          <w:highlight w:val="none"/>
        </w:rPr>
        <w:t>1</w:t>
      </w:r>
      <w:r>
        <w:rPr>
          <w:rFonts w:hint="eastAsia" w:ascii="楷体" w:hAnsi="楷体" w:eastAsia="楷体" w:cs="Times New Roman"/>
          <w:color w:val="auto"/>
          <w:kern w:val="0"/>
          <w:sz w:val="28"/>
          <w:szCs w:val="28"/>
          <w:highlight w:val="none"/>
        </w:rPr>
        <w:t>.采购依据以及原则</w:t>
      </w:r>
      <w:bookmarkEnd w:id="20"/>
    </w:p>
    <w:p w14:paraId="23AB487D">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1.1</w:t>
      </w:r>
      <w:r>
        <w:rPr>
          <w:rFonts w:hint="eastAsia" w:ascii="仿宋" w:hAnsi="仿宋" w:eastAsia="仿宋" w:cs="Times New Roman"/>
          <w:color w:val="auto"/>
          <w:kern w:val="0"/>
          <w:sz w:val="24"/>
          <w:szCs w:val="24"/>
          <w:highlight w:val="none"/>
        </w:rPr>
        <w:t>《中华人民共和国政府采购法》；</w:t>
      </w:r>
    </w:p>
    <w:p w14:paraId="4FEA0A32">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1.2</w:t>
      </w:r>
      <w:r>
        <w:rPr>
          <w:rFonts w:hint="eastAsia" w:ascii="仿宋" w:hAnsi="仿宋" w:eastAsia="仿宋" w:cs="Times New Roman"/>
          <w:color w:val="auto"/>
          <w:kern w:val="0"/>
          <w:sz w:val="24"/>
          <w:szCs w:val="24"/>
          <w:highlight w:val="none"/>
        </w:rPr>
        <w:t>《</w:t>
      </w:r>
      <w:r>
        <w:rPr>
          <w:rFonts w:hint="eastAsia" w:ascii="仿宋" w:hAnsi="仿宋" w:eastAsia="仿宋" w:cs="Times New Roman"/>
          <w:color w:val="auto"/>
          <w:kern w:val="0"/>
          <w:sz w:val="24"/>
          <w:szCs w:val="24"/>
          <w:highlight w:val="none"/>
          <w:lang w:val="en-US" w:eastAsia="zh-CN"/>
        </w:rPr>
        <w:t>政府采购竞争性磋商采购方式管理暂行办法</w:t>
      </w:r>
      <w:r>
        <w:rPr>
          <w:rFonts w:hint="eastAsia" w:ascii="仿宋" w:hAnsi="仿宋" w:eastAsia="仿宋" w:cs="Times New Roman"/>
          <w:color w:val="auto"/>
          <w:kern w:val="0"/>
          <w:sz w:val="24"/>
          <w:szCs w:val="24"/>
          <w:highlight w:val="none"/>
        </w:rPr>
        <w:t>》；</w:t>
      </w:r>
    </w:p>
    <w:p w14:paraId="5D8EDC3D">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rPr>
        <w:t>《中华人民共和国政府采购法实施条例》；</w:t>
      </w:r>
    </w:p>
    <w:p w14:paraId="5D13C0A4">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1.4《</w:t>
      </w:r>
      <w:r>
        <w:rPr>
          <w:rFonts w:ascii="仿宋" w:hAnsi="仿宋" w:eastAsia="仿宋" w:cs="Times New Roman"/>
          <w:color w:val="auto"/>
          <w:kern w:val="0"/>
          <w:sz w:val="24"/>
          <w:szCs w:val="24"/>
          <w:highlight w:val="none"/>
        </w:rPr>
        <w:t>政府采购非招标采购方式管理办法</w:t>
      </w:r>
      <w:r>
        <w:rPr>
          <w:rFonts w:hint="eastAsia" w:ascii="仿宋" w:hAnsi="仿宋" w:eastAsia="仿宋" w:cs="Times New Roman"/>
          <w:color w:val="auto"/>
          <w:kern w:val="0"/>
          <w:sz w:val="24"/>
          <w:szCs w:val="24"/>
          <w:highlight w:val="none"/>
        </w:rPr>
        <w:t>》；</w:t>
      </w:r>
    </w:p>
    <w:p w14:paraId="30EEFB5F">
      <w:pPr>
        <w:spacing w:line="360" w:lineRule="auto"/>
        <w:ind w:firstLine="480" w:firstLineChars="200"/>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rPr>
        <w:t>5《</w:t>
      </w:r>
      <w:r>
        <w:rPr>
          <w:rFonts w:ascii="仿宋" w:hAnsi="仿宋" w:eastAsia="仿宋" w:cs="Times New Roman"/>
          <w:color w:val="auto"/>
          <w:kern w:val="0"/>
          <w:sz w:val="24"/>
          <w:szCs w:val="24"/>
          <w:highlight w:val="none"/>
        </w:rPr>
        <w:t>政府采购质疑和投诉办法</w:t>
      </w:r>
      <w:r>
        <w:rPr>
          <w:rFonts w:hint="eastAsia" w:ascii="仿宋" w:hAnsi="仿宋" w:eastAsia="仿宋" w:cs="Times New Roman"/>
          <w:color w:val="auto"/>
          <w:kern w:val="0"/>
          <w:sz w:val="24"/>
          <w:szCs w:val="24"/>
          <w:highlight w:val="none"/>
        </w:rPr>
        <w:t>》；</w:t>
      </w:r>
    </w:p>
    <w:p w14:paraId="5B49A6D4">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lang w:val="en-US" w:eastAsia="zh-CN"/>
        </w:rPr>
        <w:t>6</w:t>
      </w:r>
      <w:r>
        <w:rPr>
          <w:rFonts w:hint="eastAsia" w:ascii="仿宋" w:hAnsi="仿宋" w:eastAsia="仿宋" w:cs="Times New Roman"/>
          <w:color w:val="auto"/>
          <w:kern w:val="0"/>
          <w:sz w:val="24"/>
          <w:szCs w:val="24"/>
          <w:highlight w:val="none"/>
        </w:rPr>
        <w:t>其他有关法律、行政法规以及省市规范性文件规定。</w:t>
      </w:r>
    </w:p>
    <w:p w14:paraId="48EAFA3B">
      <w:pPr>
        <w:spacing w:line="360" w:lineRule="auto"/>
        <w:ind w:firstLine="560" w:firstLineChars="200"/>
        <w:outlineLvl w:val="2"/>
        <w:rPr>
          <w:rFonts w:hint="eastAsia" w:ascii="楷体" w:hAnsi="楷体" w:eastAsia="楷体" w:cs="Times New Roman"/>
          <w:color w:val="auto"/>
          <w:kern w:val="0"/>
          <w:sz w:val="28"/>
          <w:szCs w:val="28"/>
          <w:highlight w:val="none"/>
          <w:lang w:eastAsia="zh-CN"/>
        </w:rPr>
      </w:pPr>
      <w:bookmarkStart w:id="21" w:name="_Toc25260"/>
      <w:r>
        <w:rPr>
          <w:rFonts w:ascii="楷体" w:hAnsi="楷体" w:eastAsia="楷体" w:cs="Times New Roman"/>
          <w:color w:val="auto"/>
          <w:kern w:val="0"/>
          <w:sz w:val="28"/>
          <w:szCs w:val="28"/>
          <w:highlight w:val="none"/>
        </w:rPr>
        <w:t>2</w:t>
      </w:r>
      <w:r>
        <w:rPr>
          <w:rFonts w:hint="eastAsia" w:ascii="楷体" w:hAnsi="楷体" w:eastAsia="楷体" w:cs="Times New Roman"/>
          <w:color w:val="auto"/>
          <w:kern w:val="0"/>
          <w:sz w:val="28"/>
          <w:szCs w:val="28"/>
          <w:highlight w:val="none"/>
        </w:rPr>
        <w:t>.合格的</w:t>
      </w:r>
      <w:r>
        <w:rPr>
          <w:rFonts w:hint="eastAsia" w:ascii="楷体" w:hAnsi="楷体" w:eastAsia="楷体" w:cs="Times New Roman"/>
          <w:color w:val="auto"/>
          <w:kern w:val="0"/>
          <w:sz w:val="28"/>
          <w:szCs w:val="28"/>
          <w:highlight w:val="none"/>
          <w:lang w:eastAsia="zh-CN"/>
        </w:rPr>
        <w:t>供应商</w:t>
      </w:r>
      <w:bookmarkEnd w:id="21"/>
    </w:p>
    <w:p w14:paraId="43C2FDF9">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rPr>
        <w:t>符合《中华人民共和国政府采购法》第二十二条第一款规定的条件；</w:t>
      </w:r>
    </w:p>
    <w:p w14:paraId="3B7D611B">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符合本磋商文件规定的资格要求，且按照要求提供相关证明材料；</w:t>
      </w:r>
    </w:p>
    <w:p w14:paraId="4F012B95">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.3单位负责人为同一人或者存在直接控股、管理关系的不同</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，不得参加同一合同项下的政府采购活动。</w:t>
      </w:r>
    </w:p>
    <w:p w14:paraId="15CF4624">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4</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须知前附表规定接受联合体报价的，应符合以下规定：</w:t>
      </w:r>
    </w:p>
    <w:p w14:paraId="5756D1F5">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4</w:t>
      </w: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rPr>
        <w:t>联合体各方应按照磋商文件提供的格式签订联合体协议书，明确联合体牵头人和各方权利义务；</w:t>
      </w:r>
    </w:p>
    <w:p w14:paraId="52942081">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4</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联合体各方均应当符合《政府采购法》第二十二条第一款规定的条件；</w:t>
      </w:r>
    </w:p>
    <w:p w14:paraId="00F74D29">
      <w:pPr>
        <w:spacing w:line="360" w:lineRule="auto"/>
        <w:ind w:firstLine="480" w:firstLineChars="200"/>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4</w:t>
      </w:r>
      <w:r>
        <w:rPr>
          <w:rFonts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rPr>
        <w:t>联合体中有同类资质的</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按照联合体分工承担相同工作的，应当按照资质等级较低的</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确定资质等级。</w:t>
      </w:r>
    </w:p>
    <w:p w14:paraId="752BBC0F">
      <w:pPr>
        <w:spacing w:line="360" w:lineRule="auto"/>
        <w:ind w:firstLine="480" w:firstLineChars="200"/>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4</w:t>
      </w:r>
      <w:r>
        <w:rPr>
          <w:rFonts w:ascii="仿宋" w:hAnsi="仿宋" w:eastAsia="仿宋" w:cs="Times New Roman"/>
          <w:color w:val="auto"/>
          <w:kern w:val="0"/>
          <w:sz w:val="24"/>
          <w:szCs w:val="24"/>
          <w:highlight w:val="none"/>
        </w:rPr>
        <w:t>.4</w:t>
      </w:r>
      <w:r>
        <w:rPr>
          <w:rFonts w:hint="eastAsia" w:ascii="仿宋" w:hAnsi="仿宋" w:eastAsia="仿宋" w:cs="Times New Roman"/>
          <w:color w:val="auto"/>
          <w:kern w:val="0"/>
          <w:sz w:val="24"/>
          <w:szCs w:val="24"/>
          <w:highlight w:val="none"/>
        </w:rPr>
        <w:t>以联合体形式参加政府采购活动的，联合体各方不得再单独参加或者与其他</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另外组成联合体参加同一合同项下的政府采购活动。</w:t>
      </w:r>
    </w:p>
    <w:p w14:paraId="51727352">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4</w:t>
      </w:r>
      <w:r>
        <w:rPr>
          <w:rFonts w:ascii="仿宋" w:hAnsi="仿宋" w:eastAsia="仿宋" w:cs="Times New Roman"/>
          <w:color w:val="auto"/>
          <w:kern w:val="0"/>
          <w:sz w:val="24"/>
          <w:szCs w:val="24"/>
          <w:highlight w:val="none"/>
        </w:rPr>
        <w:t>.5</w:t>
      </w:r>
      <w:r>
        <w:rPr>
          <w:rFonts w:hint="eastAsia" w:ascii="仿宋" w:hAnsi="仿宋" w:eastAsia="仿宋" w:cs="Times New Roman"/>
          <w:color w:val="auto"/>
          <w:kern w:val="0"/>
          <w:sz w:val="24"/>
          <w:szCs w:val="24"/>
          <w:highlight w:val="none"/>
        </w:rPr>
        <w:t>联合体各方应当共同与采购人签订采购合同，就合同约定的事项对采购人承担连带责任。</w:t>
      </w:r>
    </w:p>
    <w:p w14:paraId="71AA0721">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鼓励大中型企业和其他自然人、法人或者其他组织与小型、微型企业组成联合体报价，但联合体各方均应符合上述规定。</w:t>
      </w:r>
    </w:p>
    <w:p w14:paraId="33AEC44C">
      <w:pPr>
        <w:spacing w:line="360" w:lineRule="auto"/>
        <w:ind w:firstLine="480" w:firstLineChars="200"/>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6为采购项目提供整体设计、规范编制或者项目管理、检测等服务的</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，不得再参加该采购项目的其他采购活动。</w:t>
      </w:r>
    </w:p>
    <w:p w14:paraId="61DA8999">
      <w:pPr>
        <w:spacing w:line="360" w:lineRule="auto"/>
        <w:ind w:firstLine="480" w:firstLineChars="200"/>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7</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提供的证明材料内容必须真实可靠。</w:t>
      </w:r>
    </w:p>
    <w:p w14:paraId="2E67C213">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符合上述条件的</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即为合格</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，具有参与竞争性磋商的资格。</w:t>
      </w:r>
    </w:p>
    <w:p w14:paraId="386F4F75">
      <w:pPr>
        <w:spacing w:line="360" w:lineRule="auto"/>
        <w:ind w:firstLine="560" w:firstLineChars="200"/>
        <w:outlineLvl w:val="2"/>
        <w:rPr>
          <w:rFonts w:ascii="楷体" w:hAnsi="楷体" w:eastAsia="楷体" w:cs="Times New Roman"/>
          <w:color w:val="auto"/>
          <w:kern w:val="0"/>
          <w:sz w:val="28"/>
          <w:szCs w:val="28"/>
          <w:highlight w:val="none"/>
        </w:rPr>
      </w:pPr>
      <w:bookmarkStart w:id="22" w:name="_Toc22580"/>
      <w:r>
        <w:rPr>
          <w:rFonts w:ascii="楷体" w:hAnsi="楷体" w:eastAsia="楷体" w:cs="Times New Roman"/>
          <w:color w:val="auto"/>
          <w:kern w:val="0"/>
          <w:sz w:val="28"/>
          <w:szCs w:val="28"/>
          <w:highlight w:val="none"/>
        </w:rPr>
        <w:t>3</w:t>
      </w:r>
      <w:r>
        <w:rPr>
          <w:rFonts w:hint="eastAsia" w:ascii="楷体" w:hAnsi="楷体" w:eastAsia="楷体" w:cs="Times New Roman"/>
          <w:color w:val="auto"/>
          <w:kern w:val="0"/>
          <w:sz w:val="28"/>
          <w:szCs w:val="28"/>
          <w:highlight w:val="none"/>
        </w:rPr>
        <w:t>.保密</w:t>
      </w:r>
      <w:bookmarkEnd w:id="22"/>
    </w:p>
    <w:p w14:paraId="249033DD">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参与竞争性磋商活动的当事人应对磋商文件和响应文件中的商业和技术等秘密保密，违者应对由此造成的后果承担法律责任。</w:t>
      </w:r>
    </w:p>
    <w:p w14:paraId="70C2A436">
      <w:pPr>
        <w:spacing w:line="360" w:lineRule="auto"/>
        <w:ind w:firstLine="560" w:firstLineChars="200"/>
        <w:outlineLvl w:val="2"/>
        <w:rPr>
          <w:rFonts w:ascii="楷体" w:hAnsi="楷体" w:eastAsia="楷体" w:cs="Times New Roman"/>
          <w:color w:val="auto"/>
          <w:kern w:val="0"/>
          <w:sz w:val="28"/>
          <w:szCs w:val="28"/>
          <w:highlight w:val="none"/>
        </w:rPr>
      </w:pPr>
      <w:bookmarkStart w:id="23" w:name="_Toc3971"/>
      <w:r>
        <w:rPr>
          <w:rFonts w:ascii="楷体" w:hAnsi="楷体" w:eastAsia="楷体" w:cs="Times New Roman"/>
          <w:color w:val="auto"/>
          <w:kern w:val="0"/>
          <w:sz w:val="28"/>
          <w:szCs w:val="28"/>
          <w:highlight w:val="none"/>
        </w:rPr>
        <w:t>4.</w:t>
      </w:r>
      <w:r>
        <w:rPr>
          <w:rFonts w:hint="eastAsia" w:ascii="楷体" w:hAnsi="楷体" w:eastAsia="楷体" w:cs="Times New Roman"/>
          <w:color w:val="auto"/>
          <w:kern w:val="0"/>
          <w:sz w:val="28"/>
          <w:szCs w:val="28"/>
          <w:highlight w:val="none"/>
        </w:rPr>
        <w:t>语言文字、计量单位、时间单位、报价有效期以及参与采购活动费用</w:t>
      </w:r>
      <w:bookmarkEnd w:id="23"/>
    </w:p>
    <w:p w14:paraId="63DBE8F3">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1语言文字</w:t>
      </w:r>
    </w:p>
    <w:p w14:paraId="4B6E8AEF">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除专用术语外，与竞争性磋商活动有关的语言均使用简体中文。必要时专用术语应附有中文注释。如</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提交的支持文件和印刷的文献使用另一种语言，应附有相应内容的中文翻译本，在解释响应文件时以中文翻译本为准。</w:t>
      </w:r>
    </w:p>
    <w:p w14:paraId="2A70EB42">
      <w:pPr>
        <w:spacing w:line="360" w:lineRule="auto"/>
        <w:ind w:firstLine="480" w:firstLineChars="200"/>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4.2</w:t>
      </w:r>
      <w:r>
        <w:rPr>
          <w:rFonts w:hint="eastAsia" w:ascii="仿宋" w:hAnsi="仿宋" w:eastAsia="仿宋" w:cs="Times New Roman"/>
          <w:color w:val="auto"/>
          <w:kern w:val="0"/>
          <w:sz w:val="24"/>
          <w:szCs w:val="24"/>
          <w:highlight w:val="none"/>
        </w:rPr>
        <w:t>计量单位</w:t>
      </w:r>
    </w:p>
    <w:p w14:paraId="18ECD53D">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除磋商文件另有规定外，计量均应采用中华人民共和国法定计量单位；所有报价一律使用人民币，货币单位为“元”。</w:t>
      </w:r>
    </w:p>
    <w:p w14:paraId="0C393386">
      <w:pPr>
        <w:spacing w:line="360" w:lineRule="auto"/>
        <w:ind w:firstLine="480" w:firstLineChars="200"/>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4.3</w:t>
      </w:r>
      <w:r>
        <w:rPr>
          <w:rFonts w:hint="eastAsia" w:ascii="仿宋" w:hAnsi="仿宋" w:eastAsia="仿宋" w:cs="Times New Roman"/>
          <w:color w:val="auto"/>
          <w:kern w:val="0"/>
          <w:sz w:val="24"/>
          <w:szCs w:val="24"/>
          <w:highlight w:val="none"/>
        </w:rPr>
        <w:t>时间单位</w:t>
      </w:r>
    </w:p>
    <w:p w14:paraId="74B3D3CB">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除磋商文件中另有规定外，磋商文件所使用的时间单位“天”、“日”均指日历天，时、分均为北京时间。</w:t>
      </w:r>
    </w:p>
    <w:p w14:paraId="431187D9">
      <w:pPr>
        <w:spacing w:line="360" w:lineRule="auto"/>
        <w:ind w:firstLine="480" w:firstLineChars="200"/>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4</w:t>
      </w:r>
      <w:r>
        <w:rPr>
          <w:rFonts w:hint="eastAsia" w:ascii="仿宋" w:hAnsi="仿宋" w:eastAsia="仿宋" w:cs="Times New Roman"/>
          <w:color w:val="auto"/>
          <w:kern w:val="0"/>
          <w:sz w:val="24"/>
          <w:szCs w:val="24"/>
          <w:highlight w:val="none"/>
        </w:rPr>
        <w:t>报价</w:t>
      </w:r>
      <w:r>
        <w:rPr>
          <w:rFonts w:ascii="仿宋" w:hAnsi="仿宋" w:eastAsia="仿宋" w:cs="Times New Roman"/>
          <w:color w:val="auto"/>
          <w:kern w:val="0"/>
          <w:sz w:val="24"/>
          <w:szCs w:val="24"/>
          <w:highlight w:val="none"/>
        </w:rPr>
        <w:t>有效期</w:t>
      </w:r>
    </w:p>
    <w:p w14:paraId="2B676148">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4.4.1</w:t>
      </w:r>
      <w:r>
        <w:rPr>
          <w:rFonts w:hint="eastAsia" w:ascii="仿宋" w:hAnsi="仿宋" w:eastAsia="仿宋" w:cs="Times New Roman"/>
          <w:color w:val="auto"/>
          <w:kern w:val="0"/>
          <w:sz w:val="24"/>
          <w:szCs w:val="24"/>
          <w:highlight w:val="none"/>
        </w:rPr>
        <w:t>在</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须知前附表规定的报价有效期内，响应文件以及其补充、承诺等部分均保持有效。</w:t>
      </w:r>
    </w:p>
    <w:p w14:paraId="228E2F5B">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4.4.2</w:t>
      </w:r>
      <w:r>
        <w:rPr>
          <w:rFonts w:hint="eastAsia" w:ascii="仿宋" w:hAnsi="仿宋" w:eastAsia="仿宋" w:cs="Times New Roman"/>
          <w:color w:val="auto"/>
          <w:kern w:val="0"/>
          <w:sz w:val="24"/>
          <w:szCs w:val="24"/>
          <w:highlight w:val="none"/>
        </w:rPr>
        <w:t>在磋商文件规定的响应文件有效期满之前，如果出现特殊情况，采购人或者采购代理机构可在报价有效期内要求</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延长有效期，要求与答复均以书面通知为准并作为磋商文件和响应文件的组成部分；</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可以拒绝上述要求，拒绝延长响应文件有效期的，其响应失效；同意上述要求的，既不能要求也不允许其修改响应文件。</w:t>
      </w:r>
    </w:p>
    <w:p w14:paraId="00AE7AD1">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4.5</w:t>
      </w:r>
      <w:r>
        <w:rPr>
          <w:rFonts w:hint="eastAsia" w:ascii="仿宋" w:hAnsi="仿宋" w:eastAsia="仿宋" w:cs="Times New Roman"/>
          <w:color w:val="auto"/>
          <w:kern w:val="0"/>
          <w:sz w:val="24"/>
          <w:szCs w:val="24"/>
          <w:highlight w:val="none"/>
        </w:rPr>
        <w:t>参与采购活动</w:t>
      </w:r>
      <w:r>
        <w:rPr>
          <w:rFonts w:ascii="仿宋" w:hAnsi="仿宋" w:eastAsia="仿宋" w:cs="Times New Roman"/>
          <w:color w:val="auto"/>
          <w:kern w:val="0"/>
          <w:sz w:val="24"/>
          <w:szCs w:val="24"/>
          <w:highlight w:val="none"/>
        </w:rPr>
        <w:t>费用</w:t>
      </w:r>
    </w:p>
    <w:p w14:paraId="3242B347">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应自行承担其准备和参加采购活动发生的所有费用。</w:t>
      </w:r>
    </w:p>
    <w:p w14:paraId="5EBAFA40">
      <w:pPr>
        <w:spacing w:line="360" w:lineRule="auto"/>
        <w:ind w:firstLine="560" w:firstLineChars="200"/>
        <w:outlineLvl w:val="2"/>
        <w:rPr>
          <w:rFonts w:ascii="楷体" w:hAnsi="楷体" w:eastAsia="楷体" w:cs="Times New Roman"/>
          <w:color w:val="auto"/>
          <w:kern w:val="0"/>
          <w:sz w:val="28"/>
          <w:szCs w:val="28"/>
          <w:highlight w:val="none"/>
        </w:rPr>
      </w:pPr>
      <w:bookmarkStart w:id="24" w:name="_Toc9488"/>
      <w:r>
        <w:rPr>
          <w:rFonts w:ascii="楷体" w:hAnsi="楷体" w:eastAsia="楷体" w:cs="Times New Roman"/>
          <w:color w:val="auto"/>
          <w:kern w:val="0"/>
          <w:sz w:val="28"/>
          <w:szCs w:val="28"/>
          <w:highlight w:val="none"/>
        </w:rPr>
        <w:t>5.</w:t>
      </w:r>
      <w:r>
        <w:rPr>
          <w:rFonts w:hint="eastAsia" w:ascii="楷体" w:hAnsi="楷体" w:eastAsia="楷体" w:cs="Times New Roman"/>
          <w:color w:val="auto"/>
          <w:kern w:val="0"/>
          <w:sz w:val="28"/>
          <w:szCs w:val="28"/>
          <w:highlight w:val="none"/>
        </w:rPr>
        <w:t>踏勘现场</w:t>
      </w:r>
      <w:bookmarkEnd w:id="24"/>
    </w:p>
    <w:p w14:paraId="57CEBFC2">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5.1</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须知前附表规定组织踏勘现场的，采购人必须按照规定时间、地点组织</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踏勘项目现场，以便</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获取有关编制响应文件和签署合同所涉及现场的资料。</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承担踏勘现场所发生的自身费用。</w:t>
      </w:r>
    </w:p>
    <w:p w14:paraId="0D15EF25">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5.2</w:t>
      </w:r>
      <w:r>
        <w:rPr>
          <w:rFonts w:hint="eastAsia" w:ascii="仿宋" w:hAnsi="仿宋" w:eastAsia="仿宋" w:cs="Times New Roman"/>
          <w:color w:val="auto"/>
          <w:kern w:val="0"/>
          <w:sz w:val="24"/>
          <w:szCs w:val="24"/>
          <w:highlight w:val="none"/>
        </w:rPr>
        <w:t>采购人向</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提供的有关现场的资料和数据，是采购人现有的能使</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利用的资料，采购人对</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由此而做出的推论、理解和结论不负责任。</w:t>
      </w:r>
    </w:p>
    <w:p w14:paraId="1740AF4C">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5.3</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经过采购人允许，可以进入项目现场踏勘，但不得因此使采购人承担有关责任和蒙受损失。除采购人原因外，</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应对踏勘现场而造成的死亡、人身伤害、财产损失、损害以及其它任何损失、损害和引起的费用和开支承担责任。</w:t>
      </w:r>
    </w:p>
    <w:p w14:paraId="1C35AC17">
      <w:pPr>
        <w:spacing w:line="360" w:lineRule="auto"/>
        <w:ind w:firstLine="560" w:firstLineChars="200"/>
        <w:outlineLvl w:val="2"/>
        <w:rPr>
          <w:rFonts w:ascii="楷体" w:hAnsi="楷体" w:eastAsia="楷体" w:cs="Times New Roman"/>
          <w:color w:val="auto"/>
          <w:kern w:val="0"/>
          <w:sz w:val="28"/>
          <w:szCs w:val="28"/>
          <w:highlight w:val="none"/>
        </w:rPr>
      </w:pPr>
      <w:bookmarkStart w:id="25" w:name="_Toc26730"/>
      <w:r>
        <w:rPr>
          <w:rFonts w:ascii="楷体" w:hAnsi="楷体" w:eastAsia="楷体" w:cs="Times New Roman"/>
          <w:color w:val="auto"/>
          <w:kern w:val="0"/>
          <w:sz w:val="28"/>
          <w:szCs w:val="28"/>
          <w:highlight w:val="none"/>
        </w:rPr>
        <w:t>6</w:t>
      </w:r>
      <w:r>
        <w:rPr>
          <w:rFonts w:hint="eastAsia" w:ascii="楷体" w:hAnsi="楷体" w:eastAsia="楷体" w:cs="Times New Roman"/>
          <w:color w:val="auto"/>
          <w:kern w:val="0"/>
          <w:sz w:val="28"/>
          <w:szCs w:val="28"/>
          <w:highlight w:val="none"/>
        </w:rPr>
        <w:t>.询问</w:t>
      </w:r>
      <w:bookmarkEnd w:id="25"/>
    </w:p>
    <w:p w14:paraId="6A3892F6">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6.1</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对竞争性磋商活动事项有疑问的，可以向采购代理机构提出询问；采购代理机构应当及时作出答复，但答复的内容不得涉及商业秘密。</w:t>
      </w:r>
    </w:p>
    <w:p w14:paraId="5D1BF7DC">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6.</w:t>
      </w:r>
      <w:r>
        <w:rPr>
          <w:rFonts w:ascii="仿宋" w:hAnsi="仿宋" w:eastAsia="仿宋" w:cs="Times New Roman"/>
          <w:color w:val="auto"/>
          <w:kern w:val="0"/>
          <w:sz w:val="24"/>
          <w:szCs w:val="24"/>
          <w:highlight w:val="none"/>
        </w:rPr>
        <w:t>2询问及答复</w:t>
      </w:r>
      <w:r>
        <w:rPr>
          <w:rFonts w:hint="eastAsia" w:ascii="仿宋" w:hAnsi="仿宋" w:eastAsia="仿宋" w:cs="Times New Roman"/>
          <w:color w:val="auto"/>
          <w:kern w:val="0"/>
          <w:sz w:val="24"/>
          <w:szCs w:val="24"/>
          <w:highlight w:val="none"/>
        </w:rPr>
        <w:t>应当</w:t>
      </w:r>
      <w:r>
        <w:rPr>
          <w:rFonts w:ascii="仿宋" w:hAnsi="仿宋" w:eastAsia="仿宋" w:cs="Times New Roman"/>
          <w:color w:val="auto"/>
          <w:kern w:val="0"/>
          <w:sz w:val="24"/>
          <w:szCs w:val="24"/>
          <w:highlight w:val="none"/>
        </w:rPr>
        <w:t>采取书面形式。</w:t>
      </w:r>
    </w:p>
    <w:p w14:paraId="4204D9FB">
      <w:pPr>
        <w:spacing w:line="360" w:lineRule="auto"/>
        <w:ind w:firstLine="560" w:firstLineChars="200"/>
        <w:outlineLvl w:val="2"/>
        <w:rPr>
          <w:rFonts w:ascii="楷体" w:hAnsi="楷体" w:eastAsia="楷体" w:cs="Times New Roman"/>
          <w:color w:val="auto"/>
          <w:kern w:val="0"/>
          <w:sz w:val="28"/>
          <w:szCs w:val="28"/>
          <w:highlight w:val="none"/>
        </w:rPr>
      </w:pPr>
      <w:r>
        <w:rPr>
          <w:rFonts w:ascii="楷体" w:hAnsi="楷体" w:eastAsia="楷体" w:cs="Times New Roman"/>
          <w:color w:val="auto"/>
          <w:kern w:val="0"/>
          <w:sz w:val="28"/>
          <w:szCs w:val="28"/>
          <w:highlight w:val="none"/>
        </w:rPr>
        <w:t>7.</w:t>
      </w:r>
      <w:r>
        <w:rPr>
          <w:rFonts w:hint="eastAsia" w:ascii="楷体" w:hAnsi="楷体" w:eastAsia="楷体" w:cs="Times New Roman"/>
          <w:color w:val="auto"/>
          <w:kern w:val="0"/>
          <w:sz w:val="28"/>
          <w:szCs w:val="28"/>
          <w:highlight w:val="none"/>
        </w:rPr>
        <w:t>偏离</w:t>
      </w:r>
    </w:p>
    <w:p w14:paraId="7651AE6C">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采购人允许响应文件偏离磋商文件某些非实质性要求的，偏离应当符合磋商文件规定的偏离范围和幅度。</w:t>
      </w:r>
    </w:p>
    <w:p w14:paraId="41D040A7">
      <w:pPr>
        <w:spacing w:line="360" w:lineRule="auto"/>
        <w:ind w:firstLine="560" w:firstLineChars="200"/>
        <w:outlineLvl w:val="2"/>
        <w:rPr>
          <w:rFonts w:ascii="楷体" w:hAnsi="楷体" w:eastAsia="楷体" w:cs="Times New Roman"/>
          <w:color w:val="auto"/>
          <w:kern w:val="0"/>
          <w:sz w:val="28"/>
          <w:szCs w:val="28"/>
          <w:highlight w:val="none"/>
        </w:rPr>
      </w:pPr>
      <w:bookmarkStart w:id="26" w:name="_Toc4866"/>
      <w:r>
        <w:rPr>
          <w:rFonts w:ascii="楷体" w:hAnsi="楷体" w:eastAsia="楷体" w:cs="Times New Roman"/>
          <w:color w:val="auto"/>
          <w:kern w:val="0"/>
          <w:sz w:val="28"/>
          <w:szCs w:val="28"/>
          <w:highlight w:val="none"/>
        </w:rPr>
        <w:t>8</w:t>
      </w:r>
      <w:r>
        <w:rPr>
          <w:rFonts w:hint="eastAsia" w:ascii="楷体" w:hAnsi="楷体" w:eastAsia="楷体" w:cs="Times New Roman"/>
          <w:color w:val="auto"/>
          <w:kern w:val="0"/>
          <w:sz w:val="28"/>
          <w:szCs w:val="28"/>
          <w:highlight w:val="none"/>
        </w:rPr>
        <w:t>.履约担保</w:t>
      </w:r>
      <w:bookmarkEnd w:id="26"/>
    </w:p>
    <w:p w14:paraId="4FFCA540">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8.1</w:t>
      </w:r>
      <w:r>
        <w:rPr>
          <w:rFonts w:hint="eastAsia" w:ascii="仿宋" w:hAnsi="仿宋" w:eastAsia="仿宋" w:cs="Times New Roman"/>
          <w:color w:val="auto"/>
          <w:kern w:val="0"/>
          <w:sz w:val="24"/>
          <w:szCs w:val="24"/>
          <w:highlight w:val="none"/>
        </w:rPr>
        <w:t>在签订合同前，成交</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应按照有关规定或者事先经过采购人书面认可的履约担保要求向采购人提交履约担保。除另有规定外，履约担保金额不超过成交合同金额的</w:t>
      </w:r>
      <w:r>
        <w:rPr>
          <w:rFonts w:hint="eastAsia" w:ascii="仿宋" w:hAnsi="仿宋" w:eastAsia="仿宋" w:cs="Times New Roman"/>
          <w:color w:val="auto"/>
          <w:kern w:val="0"/>
          <w:sz w:val="24"/>
          <w:szCs w:val="24"/>
          <w:highlight w:val="none"/>
          <w:lang w:val="en-US" w:eastAsia="zh-CN"/>
        </w:rPr>
        <w:t>6</w:t>
      </w:r>
      <w:r>
        <w:rPr>
          <w:rFonts w:ascii="仿宋" w:hAnsi="仿宋" w:eastAsia="仿宋" w:cs="Times New Roman"/>
          <w:color w:val="auto"/>
          <w:kern w:val="0"/>
          <w:sz w:val="24"/>
          <w:szCs w:val="24"/>
          <w:highlight w:val="none"/>
        </w:rPr>
        <w:t>%</w:t>
      </w:r>
      <w:r>
        <w:rPr>
          <w:rFonts w:hint="eastAsia" w:ascii="仿宋" w:hAnsi="仿宋" w:eastAsia="仿宋" w:cs="Times New Roman"/>
          <w:color w:val="auto"/>
          <w:kern w:val="0"/>
          <w:sz w:val="24"/>
          <w:szCs w:val="24"/>
          <w:highlight w:val="none"/>
        </w:rPr>
        <w:t>。</w:t>
      </w:r>
    </w:p>
    <w:p w14:paraId="18656993">
      <w:pPr>
        <w:spacing w:line="360" w:lineRule="auto"/>
        <w:ind w:firstLine="480" w:firstLineChars="200"/>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8.2</w:t>
      </w:r>
      <w:r>
        <w:rPr>
          <w:rFonts w:hint="eastAsia" w:ascii="仿宋" w:hAnsi="仿宋" w:eastAsia="仿宋" w:cs="Times New Roman"/>
          <w:color w:val="auto"/>
          <w:kern w:val="0"/>
          <w:sz w:val="24"/>
          <w:szCs w:val="24"/>
          <w:highlight w:val="none"/>
        </w:rPr>
        <w:t>成交</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未按照要求提交履约担保的，视为放弃成交资格，成交</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应当对采购人造成的损失给予赔偿。</w:t>
      </w:r>
    </w:p>
    <w:p w14:paraId="53AF5E26">
      <w:pPr>
        <w:spacing w:line="360" w:lineRule="auto"/>
        <w:ind w:firstLine="560" w:firstLineChars="200"/>
        <w:outlineLvl w:val="2"/>
        <w:rPr>
          <w:rFonts w:hint="eastAsia" w:ascii="楷体" w:hAnsi="楷体" w:eastAsia="楷体" w:cs="Times New Roman"/>
          <w:color w:val="auto"/>
          <w:kern w:val="0"/>
          <w:sz w:val="28"/>
          <w:szCs w:val="28"/>
          <w:highlight w:val="none"/>
        </w:rPr>
      </w:pPr>
      <w:bookmarkStart w:id="27" w:name="_Toc16833"/>
      <w:r>
        <w:rPr>
          <w:rFonts w:ascii="楷体" w:hAnsi="楷体" w:eastAsia="楷体" w:cs="Times New Roman"/>
          <w:color w:val="auto"/>
          <w:kern w:val="0"/>
          <w:sz w:val="28"/>
          <w:szCs w:val="28"/>
          <w:highlight w:val="none"/>
        </w:rPr>
        <w:t>9</w:t>
      </w:r>
      <w:r>
        <w:rPr>
          <w:rFonts w:hint="eastAsia" w:ascii="楷体" w:hAnsi="楷体" w:eastAsia="楷体" w:cs="Times New Roman"/>
          <w:color w:val="auto"/>
          <w:kern w:val="0"/>
          <w:sz w:val="28"/>
          <w:szCs w:val="28"/>
          <w:highlight w:val="none"/>
        </w:rPr>
        <w:t>.采购代理服务费</w:t>
      </w:r>
      <w:bookmarkEnd w:id="27"/>
    </w:p>
    <w:p w14:paraId="0B385748">
      <w:pPr>
        <w:spacing w:line="360" w:lineRule="auto"/>
        <w:ind w:firstLine="470" w:firstLineChars="196"/>
        <w:rPr>
          <w:rFonts w:hint="eastAsia" w:ascii="仿宋" w:hAnsi="仿宋" w:eastAsia="仿宋" w:cs="仿宋"/>
          <w:color w:val="auto"/>
          <w:kern w:val="0"/>
          <w:sz w:val="24"/>
          <w:szCs w:val="24"/>
          <w:highlight w:val="none"/>
          <w:lang w:eastAsia="zh-CN"/>
        </w:rPr>
      </w:pPr>
      <w:r>
        <w:rPr>
          <w:rFonts w:ascii="仿宋" w:hAnsi="仿宋" w:eastAsia="仿宋" w:cs="Times New Roman"/>
          <w:color w:val="auto"/>
          <w:kern w:val="0"/>
          <w:sz w:val="24"/>
          <w:szCs w:val="24"/>
          <w:highlight w:val="none"/>
        </w:rPr>
        <w:t>9.1</w:t>
      </w:r>
      <w:r>
        <w:rPr>
          <w:rFonts w:hint="eastAsia" w:ascii="仿宋" w:hAnsi="仿宋" w:eastAsia="仿宋" w:cs="仿宋"/>
          <w:color w:val="auto"/>
          <w:kern w:val="0"/>
          <w:sz w:val="24"/>
          <w:szCs w:val="24"/>
          <w:highlight w:val="none"/>
        </w:rPr>
        <w:t>代理服务费按照</w:t>
      </w:r>
      <w:r>
        <w:rPr>
          <w:rFonts w:hint="eastAsia" w:ascii="仿宋" w:hAnsi="仿宋" w:eastAsia="仿宋" w:cs="仿宋"/>
          <w:color w:val="auto"/>
          <w:kern w:val="0"/>
          <w:sz w:val="24"/>
          <w:szCs w:val="24"/>
          <w:highlight w:val="none"/>
          <w:lang w:eastAsia="zh-CN"/>
        </w:rPr>
        <w:t>磋商文件</w:t>
      </w:r>
      <w:r>
        <w:rPr>
          <w:rFonts w:hint="eastAsia" w:ascii="仿宋" w:hAnsi="仿宋" w:eastAsia="仿宋" w:cs="仿宋"/>
          <w:color w:val="auto"/>
          <w:kern w:val="0"/>
          <w:sz w:val="24"/>
          <w:szCs w:val="24"/>
          <w:highlight w:val="none"/>
        </w:rPr>
        <w:t>第二部分“</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须知前附表”中规定由中标人</w:t>
      </w:r>
      <w:r>
        <w:rPr>
          <w:rFonts w:hint="eastAsia" w:ascii="仿宋" w:hAnsi="仿宋" w:eastAsia="仿宋" w:cs="仿宋"/>
          <w:color w:val="auto"/>
          <w:kern w:val="0"/>
          <w:sz w:val="24"/>
          <w:szCs w:val="24"/>
          <w:highlight w:val="none"/>
          <w:lang w:eastAsia="zh-CN"/>
        </w:rPr>
        <w:t>缴纳</w:t>
      </w:r>
      <w:r>
        <w:rPr>
          <w:rFonts w:hint="eastAsia" w:ascii="仿宋" w:hAnsi="仿宋" w:eastAsia="仿宋" w:cs="仿宋"/>
          <w:color w:val="auto"/>
          <w:kern w:val="0"/>
          <w:sz w:val="24"/>
          <w:szCs w:val="24"/>
          <w:highlight w:val="none"/>
        </w:rPr>
        <w:t>，请</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在测算投标报价时充分考虑这一因素。</w:t>
      </w:r>
    </w:p>
    <w:p w14:paraId="5D83412A">
      <w:pPr>
        <w:spacing w:line="3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"http://www.cin.gov.cn/law/other/2003010201.doc" \t "_blank" </w:instrText>
      </w:r>
      <w:r>
        <w:rPr>
          <w:rFonts w:hint="eastAsia" w:ascii="仿宋" w:hAnsi="仿宋" w:eastAsia="仿宋" w:cs="仿宋"/>
          <w:color w:val="auto"/>
          <w:kern w:val="0"/>
          <w:sz w:val="24"/>
          <w:szCs w:val="24"/>
          <w:highlight w:val="none"/>
        </w:rPr>
        <w:fldChar w:fldCharType="separate"/>
      </w:r>
      <w:r>
        <w:rPr>
          <w:rStyle w:val="19"/>
          <w:rFonts w:hint="eastAsia" w:ascii="仿宋" w:hAnsi="仿宋" w:eastAsia="仿宋" w:cs="仿宋"/>
          <w:color w:val="auto"/>
          <w:kern w:val="0"/>
          <w:sz w:val="24"/>
          <w:szCs w:val="24"/>
          <w:highlight w:val="none"/>
        </w:rPr>
        <w:t>招标代理服务</w:t>
      </w:r>
      <w:r>
        <w:rPr>
          <w:rStyle w:val="19"/>
          <w:rFonts w:hint="eastAsia" w:ascii="仿宋" w:hAnsi="仿宋" w:eastAsia="仿宋" w:cs="仿宋"/>
          <w:color w:val="auto"/>
          <w:kern w:val="0"/>
          <w:sz w:val="24"/>
          <w:szCs w:val="24"/>
          <w:highlight w:val="none"/>
          <w:lang w:eastAsia="zh-CN"/>
        </w:rPr>
        <w:t>计</w: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lang w:eastAsia="zh-CN"/>
        </w:rPr>
        <w:t>算方法</w:t>
      </w:r>
    </w:p>
    <w:tbl>
      <w:tblPr>
        <w:tblStyle w:val="16"/>
        <w:tblW w:w="0" w:type="auto"/>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6"/>
        <w:gridCol w:w="2086"/>
        <w:gridCol w:w="2121"/>
        <w:gridCol w:w="1977"/>
      </w:tblGrid>
      <w:tr w14:paraId="3AF0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726" w:type="dxa"/>
            <w:noWrap w:val="0"/>
            <w:vAlign w:val="top"/>
          </w:tcPr>
          <w:p w14:paraId="265C139B">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-84455</wp:posOffset>
                      </wp:positionH>
                      <wp:positionV relativeFrom="paragraph">
                        <wp:posOffset>-3810</wp:posOffset>
                      </wp:positionV>
                      <wp:extent cx="1713230" cy="597535"/>
                      <wp:effectExtent l="1270" t="4445" r="19050" b="7620"/>
                      <wp:wrapNone/>
                      <wp:docPr id="1" name="直接连接符 1"/>
                      <wp:cNvGraphicFramePr/>
                      <a:graphic xmlns:a="http://schemas.openxmlformats.org/drawingml/2006/main">
                        <a:graphicData uri="http://schemas.microsoft.com/office/word/2010/wordprocessingShape">
                          <wps:wsp>
                            <wps:cNvCnPr/>
                            <wps:spPr>
                              <a:xfrm>
                                <a:off x="1079500" y="1322705"/>
                                <a:ext cx="1713230" cy="59753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6.65pt;margin-top:-0.3pt;height:47.05pt;width:134.9pt;z-index:251659264;mso-width-relative:page;mso-height-relative:page;" filled="f" stroked="t" coordsize="21600,21600" o:gfxdata="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jt&#10;GrLXAAAACAEAAA8AAAAAAAAAAQAgAAAAIgAAAGRycy9kb3ducmV2LnhtbFBLAQIUABQAAAAIAIdO&#10;4kCWWccZ6wEAALkDAAAOAAAAAAAAAAEAIAAAACYBAABkcnMvZTJvRG9jLnhtbFBLBQYAAAAABgAG&#10;AFkBAACDBQAAAAA=&#10;">
                      <v:fill on="f" focussize="0,0"/>
                      <v:stroke color="#000000" joinstyle="round"/>
                      <v:imagedata o:title=""/>
                      <o:lock v:ext="edit" aspectratio="f"/>
                    </v:line>
                  </w:pict>
                </mc:Fallback>
              </mc:AlternateContent>
            </w:r>
            <w:r>
              <w:rPr>
                <w:rFonts w:hint="eastAsia" w:ascii="仿宋" w:hAnsi="仿宋" w:eastAsia="仿宋" w:cs="仿宋"/>
                <w:color w:val="auto"/>
                <w:kern w:val="0"/>
                <w:sz w:val="24"/>
                <w:szCs w:val="24"/>
                <w:highlight w:val="none"/>
                <w:lang w:val="en-US" w:eastAsia="zh-CN"/>
              </w:rPr>
              <w:t>　　　　　　服务类型中标金额</w:t>
            </w:r>
          </w:p>
        </w:tc>
        <w:tc>
          <w:tcPr>
            <w:tcW w:w="2086" w:type="dxa"/>
            <w:noWrap w:val="0"/>
            <w:vAlign w:val="top"/>
          </w:tcPr>
          <w:p w14:paraId="505A8CB0">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货物招标</w:t>
            </w:r>
          </w:p>
        </w:tc>
        <w:tc>
          <w:tcPr>
            <w:tcW w:w="2121" w:type="dxa"/>
            <w:noWrap w:val="0"/>
            <w:vAlign w:val="top"/>
          </w:tcPr>
          <w:p w14:paraId="1AE75DBE">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服务招标</w:t>
            </w:r>
          </w:p>
        </w:tc>
        <w:tc>
          <w:tcPr>
            <w:tcW w:w="1977" w:type="dxa"/>
            <w:noWrap w:val="0"/>
            <w:vAlign w:val="top"/>
          </w:tcPr>
          <w:p w14:paraId="1B579A71">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工程招标</w:t>
            </w:r>
          </w:p>
        </w:tc>
      </w:tr>
      <w:tr w14:paraId="7499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726" w:type="dxa"/>
            <w:noWrap w:val="0"/>
            <w:vAlign w:val="top"/>
          </w:tcPr>
          <w:p w14:paraId="21CE09F6">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100万元以下</w:t>
            </w:r>
          </w:p>
        </w:tc>
        <w:tc>
          <w:tcPr>
            <w:tcW w:w="2086" w:type="dxa"/>
            <w:noWrap w:val="0"/>
            <w:vAlign w:val="top"/>
          </w:tcPr>
          <w:p w14:paraId="07B281C4">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2121" w:type="dxa"/>
            <w:noWrap w:val="0"/>
            <w:vAlign w:val="top"/>
          </w:tcPr>
          <w:p w14:paraId="46E23A73">
            <w:pPr>
              <w:spacing w:line="360" w:lineRule="auto"/>
              <w:ind w:firstLine="470" w:firstLineChars="196"/>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1977" w:type="dxa"/>
            <w:noWrap w:val="0"/>
            <w:vAlign w:val="top"/>
          </w:tcPr>
          <w:p w14:paraId="19DDDA28">
            <w:pPr>
              <w:spacing w:line="360" w:lineRule="auto"/>
              <w:ind w:firstLine="470" w:firstLineChars="196"/>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r>
      <w:tr w14:paraId="59FB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726" w:type="dxa"/>
            <w:noWrap w:val="0"/>
            <w:vAlign w:val="top"/>
          </w:tcPr>
          <w:p w14:paraId="65B04DAD">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100-500万元</w:t>
            </w:r>
          </w:p>
        </w:tc>
        <w:tc>
          <w:tcPr>
            <w:tcW w:w="2086" w:type="dxa"/>
            <w:noWrap w:val="0"/>
            <w:vAlign w:val="top"/>
          </w:tcPr>
          <w:p w14:paraId="29085BDB">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w:t>
            </w:r>
          </w:p>
        </w:tc>
        <w:tc>
          <w:tcPr>
            <w:tcW w:w="2121" w:type="dxa"/>
            <w:noWrap w:val="0"/>
            <w:vAlign w:val="top"/>
          </w:tcPr>
          <w:p w14:paraId="48C13032">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0.8%</w:t>
            </w:r>
          </w:p>
        </w:tc>
        <w:tc>
          <w:tcPr>
            <w:tcW w:w="1977" w:type="dxa"/>
            <w:noWrap w:val="0"/>
            <w:vAlign w:val="top"/>
          </w:tcPr>
          <w:p w14:paraId="5BF4B40A">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0.7%</w:t>
            </w:r>
          </w:p>
        </w:tc>
      </w:tr>
      <w:tr w14:paraId="429B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noWrap w:val="0"/>
            <w:vAlign w:val="top"/>
          </w:tcPr>
          <w:p w14:paraId="319C7E79">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500-1000万元</w:t>
            </w:r>
          </w:p>
        </w:tc>
        <w:tc>
          <w:tcPr>
            <w:tcW w:w="2086" w:type="dxa"/>
            <w:noWrap w:val="0"/>
            <w:vAlign w:val="top"/>
          </w:tcPr>
          <w:p w14:paraId="51A3A680">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0.8%</w:t>
            </w:r>
          </w:p>
        </w:tc>
        <w:tc>
          <w:tcPr>
            <w:tcW w:w="2121" w:type="dxa"/>
            <w:noWrap w:val="0"/>
            <w:vAlign w:val="top"/>
          </w:tcPr>
          <w:p w14:paraId="20903670">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0.45%</w:t>
            </w:r>
          </w:p>
        </w:tc>
        <w:tc>
          <w:tcPr>
            <w:tcW w:w="1977" w:type="dxa"/>
            <w:noWrap w:val="0"/>
            <w:vAlign w:val="top"/>
          </w:tcPr>
          <w:p w14:paraId="73B76B83">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0.55%</w:t>
            </w:r>
          </w:p>
        </w:tc>
      </w:tr>
      <w:tr w14:paraId="726F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noWrap w:val="0"/>
            <w:vAlign w:val="top"/>
          </w:tcPr>
          <w:p w14:paraId="5CEF1031">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1000-5000万元</w:t>
            </w:r>
          </w:p>
        </w:tc>
        <w:tc>
          <w:tcPr>
            <w:tcW w:w="2086" w:type="dxa"/>
            <w:noWrap w:val="0"/>
            <w:vAlign w:val="top"/>
          </w:tcPr>
          <w:p w14:paraId="76C6A188">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0.5%</w:t>
            </w:r>
          </w:p>
        </w:tc>
        <w:tc>
          <w:tcPr>
            <w:tcW w:w="2121" w:type="dxa"/>
            <w:noWrap w:val="0"/>
            <w:vAlign w:val="top"/>
          </w:tcPr>
          <w:p w14:paraId="5046ED72">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0.25%</w:t>
            </w:r>
          </w:p>
        </w:tc>
        <w:tc>
          <w:tcPr>
            <w:tcW w:w="1977" w:type="dxa"/>
            <w:noWrap w:val="0"/>
            <w:vAlign w:val="top"/>
          </w:tcPr>
          <w:p w14:paraId="2DC12927">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0.35%</w:t>
            </w:r>
          </w:p>
        </w:tc>
      </w:tr>
      <w:tr w14:paraId="1889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noWrap w:val="0"/>
            <w:vAlign w:val="top"/>
          </w:tcPr>
          <w:p w14:paraId="714DC4A0">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5000万元-1亿元</w:t>
            </w:r>
          </w:p>
        </w:tc>
        <w:tc>
          <w:tcPr>
            <w:tcW w:w="2086" w:type="dxa"/>
            <w:noWrap w:val="0"/>
            <w:vAlign w:val="top"/>
          </w:tcPr>
          <w:p w14:paraId="137D3451">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0.25%</w:t>
            </w:r>
          </w:p>
        </w:tc>
        <w:tc>
          <w:tcPr>
            <w:tcW w:w="2121" w:type="dxa"/>
            <w:noWrap w:val="0"/>
            <w:vAlign w:val="top"/>
          </w:tcPr>
          <w:p w14:paraId="726DF301">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0.1%</w:t>
            </w:r>
          </w:p>
        </w:tc>
        <w:tc>
          <w:tcPr>
            <w:tcW w:w="1977" w:type="dxa"/>
            <w:noWrap w:val="0"/>
            <w:vAlign w:val="top"/>
          </w:tcPr>
          <w:p w14:paraId="4F5032CF">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0.2%</w:t>
            </w:r>
          </w:p>
        </w:tc>
      </w:tr>
      <w:tr w14:paraId="76E1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noWrap w:val="0"/>
            <w:vAlign w:val="top"/>
          </w:tcPr>
          <w:p w14:paraId="11921A77">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1-5亿元</w:t>
            </w:r>
          </w:p>
        </w:tc>
        <w:tc>
          <w:tcPr>
            <w:tcW w:w="2086" w:type="dxa"/>
            <w:noWrap w:val="0"/>
            <w:vAlign w:val="top"/>
          </w:tcPr>
          <w:p w14:paraId="2B412264">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0.05%</w:t>
            </w:r>
          </w:p>
        </w:tc>
        <w:tc>
          <w:tcPr>
            <w:tcW w:w="2121" w:type="dxa"/>
            <w:noWrap w:val="0"/>
            <w:vAlign w:val="top"/>
          </w:tcPr>
          <w:p w14:paraId="54581B67">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0.05%</w:t>
            </w:r>
          </w:p>
        </w:tc>
        <w:tc>
          <w:tcPr>
            <w:tcW w:w="1977" w:type="dxa"/>
            <w:noWrap w:val="0"/>
            <w:vAlign w:val="top"/>
          </w:tcPr>
          <w:p w14:paraId="2CB493AD">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0.05%</w:t>
            </w:r>
          </w:p>
        </w:tc>
      </w:tr>
      <w:tr w14:paraId="3CA4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noWrap w:val="0"/>
            <w:vAlign w:val="top"/>
          </w:tcPr>
          <w:p w14:paraId="5FBF9DDE">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5-10亿元</w:t>
            </w:r>
          </w:p>
        </w:tc>
        <w:tc>
          <w:tcPr>
            <w:tcW w:w="2086" w:type="dxa"/>
            <w:noWrap w:val="0"/>
            <w:vAlign w:val="top"/>
          </w:tcPr>
          <w:p w14:paraId="15523916">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0.035%</w:t>
            </w:r>
          </w:p>
        </w:tc>
        <w:tc>
          <w:tcPr>
            <w:tcW w:w="2121" w:type="dxa"/>
            <w:noWrap w:val="0"/>
            <w:vAlign w:val="top"/>
          </w:tcPr>
          <w:p w14:paraId="356B4E3C">
            <w:pPr>
              <w:spacing w:line="360" w:lineRule="auto"/>
              <w:ind w:firstLine="470" w:firstLineChars="196"/>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0.035%</w:t>
            </w:r>
          </w:p>
        </w:tc>
        <w:tc>
          <w:tcPr>
            <w:tcW w:w="1977" w:type="dxa"/>
            <w:noWrap w:val="0"/>
            <w:vAlign w:val="top"/>
          </w:tcPr>
          <w:p w14:paraId="38473DD0">
            <w:pPr>
              <w:spacing w:line="360" w:lineRule="auto"/>
              <w:ind w:firstLine="470" w:firstLineChars="196"/>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0.035%</w:t>
            </w:r>
          </w:p>
        </w:tc>
      </w:tr>
      <w:tr w14:paraId="2961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noWrap w:val="0"/>
            <w:vAlign w:val="top"/>
          </w:tcPr>
          <w:p w14:paraId="71581A5F">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10-50亿元</w:t>
            </w:r>
          </w:p>
        </w:tc>
        <w:tc>
          <w:tcPr>
            <w:tcW w:w="2086" w:type="dxa"/>
            <w:noWrap w:val="0"/>
            <w:vAlign w:val="top"/>
          </w:tcPr>
          <w:p w14:paraId="71EE5464">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0.008%</w:t>
            </w:r>
          </w:p>
        </w:tc>
        <w:tc>
          <w:tcPr>
            <w:tcW w:w="2121" w:type="dxa"/>
            <w:noWrap w:val="0"/>
            <w:vAlign w:val="top"/>
          </w:tcPr>
          <w:p w14:paraId="3A21D9E5">
            <w:pPr>
              <w:spacing w:line="360" w:lineRule="auto"/>
              <w:ind w:firstLine="470" w:firstLineChars="196"/>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0.008%</w:t>
            </w:r>
          </w:p>
        </w:tc>
        <w:tc>
          <w:tcPr>
            <w:tcW w:w="1977" w:type="dxa"/>
            <w:noWrap w:val="0"/>
            <w:vAlign w:val="top"/>
          </w:tcPr>
          <w:p w14:paraId="6E11F196">
            <w:pPr>
              <w:spacing w:line="360" w:lineRule="auto"/>
              <w:ind w:firstLine="470" w:firstLineChars="196"/>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0.008%</w:t>
            </w:r>
          </w:p>
        </w:tc>
      </w:tr>
      <w:tr w14:paraId="7D83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noWrap w:val="0"/>
            <w:vAlign w:val="top"/>
          </w:tcPr>
          <w:p w14:paraId="2C307BE6">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50-100亿元</w:t>
            </w:r>
          </w:p>
        </w:tc>
        <w:tc>
          <w:tcPr>
            <w:tcW w:w="2086" w:type="dxa"/>
            <w:noWrap w:val="0"/>
            <w:vAlign w:val="top"/>
          </w:tcPr>
          <w:p w14:paraId="21DE206C">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0.006%</w:t>
            </w:r>
          </w:p>
        </w:tc>
        <w:tc>
          <w:tcPr>
            <w:tcW w:w="2121" w:type="dxa"/>
            <w:noWrap w:val="0"/>
            <w:vAlign w:val="top"/>
          </w:tcPr>
          <w:p w14:paraId="234A1137">
            <w:pPr>
              <w:spacing w:line="360" w:lineRule="auto"/>
              <w:ind w:firstLine="470" w:firstLineChars="196"/>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0.006%</w:t>
            </w:r>
          </w:p>
        </w:tc>
        <w:tc>
          <w:tcPr>
            <w:tcW w:w="1977" w:type="dxa"/>
            <w:noWrap w:val="0"/>
            <w:vAlign w:val="top"/>
          </w:tcPr>
          <w:p w14:paraId="02C43E37">
            <w:pPr>
              <w:spacing w:line="360" w:lineRule="auto"/>
              <w:ind w:firstLine="470" w:firstLineChars="196"/>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0.006%</w:t>
            </w:r>
          </w:p>
        </w:tc>
      </w:tr>
      <w:tr w14:paraId="1B62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noWrap w:val="0"/>
            <w:vAlign w:val="top"/>
          </w:tcPr>
          <w:p w14:paraId="3F93F95C">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100亿元以上</w:t>
            </w:r>
          </w:p>
        </w:tc>
        <w:tc>
          <w:tcPr>
            <w:tcW w:w="2086" w:type="dxa"/>
            <w:noWrap w:val="0"/>
            <w:vAlign w:val="top"/>
          </w:tcPr>
          <w:p w14:paraId="78CF52AC">
            <w:pPr>
              <w:spacing w:line="360" w:lineRule="auto"/>
              <w:ind w:firstLine="470" w:firstLineChars="196"/>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0.004%</w:t>
            </w:r>
          </w:p>
        </w:tc>
        <w:tc>
          <w:tcPr>
            <w:tcW w:w="2121" w:type="dxa"/>
            <w:noWrap w:val="0"/>
            <w:vAlign w:val="top"/>
          </w:tcPr>
          <w:p w14:paraId="3438DBCA">
            <w:pPr>
              <w:spacing w:line="360" w:lineRule="auto"/>
              <w:ind w:firstLine="470" w:firstLineChars="196"/>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0.004%</w:t>
            </w:r>
          </w:p>
        </w:tc>
        <w:tc>
          <w:tcPr>
            <w:tcW w:w="1977" w:type="dxa"/>
            <w:noWrap w:val="0"/>
            <w:vAlign w:val="top"/>
          </w:tcPr>
          <w:p w14:paraId="6136F27D">
            <w:pPr>
              <w:spacing w:line="360" w:lineRule="auto"/>
              <w:ind w:firstLine="470" w:firstLineChars="196"/>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0.004%</w:t>
            </w:r>
          </w:p>
        </w:tc>
      </w:tr>
    </w:tbl>
    <w:p w14:paraId="4130A3ED">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注:1.按本表费率计算的收费为招标代理服务全过程的收费基准价格，单独提供编制磋商文件(有标底的含标底）服务的，可按规定标准的30%计收。</w:t>
      </w:r>
    </w:p>
    <w:p w14:paraId="0430DFEB">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2.招标代理服务收费按差额定率累进法计算。例如:某工程招标代理业务中标金额为6000万元，计算招标代理服务收费额如下:</w:t>
      </w:r>
    </w:p>
    <w:p w14:paraId="094DFA0C">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100万元×1.0%=1万元</w:t>
      </w:r>
    </w:p>
    <w:p w14:paraId="403C189F">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(500-100）万元×0.7%=2.8万元</w:t>
      </w:r>
    </w:p>
    <w:p w14:paraId="1D5C4305">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(1000-500）×0.55%=2.75万元</w:t>
      </w:r>
    </w:p>
    <w:p w14:paraId="0DD0EF97">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(5000-1000）×0.35%=14万元</w:t>
      </w:r>
    </w:p>
    <w:p w14:paraId="05B1844F">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(6000-5000）×0.2%=2万元</w:t>
      </w:r>
    </w:p>
    <w:p w14:paraId="6F7E236B">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合计收费=1+2.8+2.75+14+2=22.55（万元）</w:t>
      </w:r>
    </w:p>
    <w:p w14:paraId="0DFD5E41">
      <w:pPr>
        <w:spacing w:line="360" w:lineRule="auto"/>
        <w:ind w:firstLine="560" w:firstLineChars="200"/>
        <w:outlineLvl w:val="2"/>
        <w:rPr>
          <w:rFonts w:hint="eastAsia" w:ascii="楷体" w:hAnsi="楷体" w:eastAsia="楷体" w:cs="Times New Roman"/>
          <w:color w:val="auto"/>
          <w:kern w:val="0"/>
          <w:sz w:val="28"/>
          <w:szCs w:val="28"/>
          <w:highlight w:val="none"/>
        </w:rPr>
      </w:pPr>
      <w:bookmarkStart w:id="28" w:name="_Toc24341"/>
      <w:r>
        <w:rPr>
          <w:rFonts w:hint="eastAsia" w:ascii="楷体" w:hAnsi="楷体" w:eastAsia="楷体" w:cs="Times New Roman"/>
          <w:color w:val="auto"/>
          <w:kern w:val="0"/>
          <w:sz w:val="28"/>
          <w:szCs w:val="28"/>
          <w:highlight w:val="none"/>
        </w:rPr>
        <w:t>1</w:t>
      </w:r>
      <w:r>
        <w:rPr>
          <w:rFonts w:ascii="楷体" w:hAnsi="楷体" w:eastAsia="楷体" w:cs="Times New Roman"/>
          <w:color w:val="auto"/>
          <w:kern w:val="0"/>
          <w:sz w:val="28"/>
          <w:szCs w:val="28"/>
          <w:highlight w:val="none"/>
        </w:rPr>
        <w:t>0.</w:t>
      </w:r>
      <w:r>
        <w:rPr>
          <w:rFonts w:hint="eastAsia" w:ascii="楷体" w:hAnsi="楷体" w:eastAsia="楷体" w:cs="Times New Roman"/>
          <w:color w:val="auto"/>
          <w:kern w:val="0"/>
          <w:sz w:val="28"/>
          <w:szCs w:val="28"/>
          <w:highlight w:val="none"/>
        </w:rPr>
        <w:t>磋商文件</w:t>
      </w:r>
      <w:bookmarkEnd w:id="28"/>
    </w:p>
    <w:p w14:paraId="14197C12">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0</w:t>
      </w: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磋商文件的组成</w:t>
      </w:r>
    </w:p>
    <w:p w14:paraId="7A1EF473">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0</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1.1</w:t>
      </w:r>
      <w:r>
        <w:rPr>
          <w:rFonts w:hint="eastAsia" w:ascii="仿宋" w:hAnsi="仿宋" w:eastAsia="仿宋" w:cs="Times New Roman"/>
          <w:color w:val="auto"/>
          <w:kern w:val="0"/>
          <w:sz w:val="24"/>
          <w:szCs w:val="24"/>
          <w:highlight w:val="none"/>
        </w:rPr>
        <w:t>磋商文件是用以阐明</w:t>
      </w:r>
      <w:r>
        <w:rPr>
          <w:rFonts w:hint="eastAsia" w:ascii="仿宋" w:hAnsi="仿宋" w:eastAsia="仿宋" w:cs="Times New Roman"/>
          <w:color w:val="auto"/>
          <w:kern w:val="0"/>
          <w:sz w:val="24"/>
          <w:szCs w:val="24"/>
          <w:highlight w:val="none"/>
          <w:lang w:val="en-US" w:eastAsia="zh-CN"/>
        </w:rPr>
        <w:t>服务</w:t>
      </w:r>
      <w:r>
        <w:rPr>
          <w:rFonts w:hint="eastAsia" w:ascii="仿宋" w:hAnsi="仿宋" w:eastAsia="仿宋" w:cs="Times New Roman"/>
          <w:color w:val="auto"/>
          <w:kern w:val="0"/>
          <w:sz w:val="24"/>
          <w:szCs w:val="24"/>
          <w:highlight w:val="none"/>
        </w:rPr>
        <w:t>、磋商程序和合同格式的规范性文件。磋商文件主要由以下部分组成：</w:t>
      </w:r>
    </w:p>
    <w:p w14:paraId="3461CE89">
      <w:pPr>
        <w:numPr>
          <w:ilvl w:val="0"/>
          <w:numId w:val="3"/>
        </w:num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采购公告</w:t>
      </w:r>
    </w:p>
    <w:p w14:paraId="500339C0">
      <w:pPr>
        <w:numPr>
          <w:ilvl w:val="0"/>
          <w:numId w:val="3"/>
        </w:num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供应商须知</w:t>
      </w:r>
    </w:p>
    <w:p w14:paraId="2F554336">
      <w:pPr>
        <w:numPr>
          <w:ilvl w:val="0"/>
          <w:numId w:val="3"/>
        </w:num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采购需求</w:t>
      </w:r>
    </w:p>
    <w:p w14:paraId="2A8B98FC">
      <w:pPr>
        <w:numPr>
          <w:ilvl w:val="0"/>
          <w:numId w:val="3"/>
        </w:num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评审办法</w:t>
      </w:r>
    </w:p>
    <w:p w14:paraId="6A1107EE">
      <w:pPr>
        <w:numPr>
          <w:ilvl w:val="0"/>
          <w:numId w:val="3"/>
        </w:num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签订合同、合同主要条款</w:t>
      </w:r>
    </w:p>
    <w:p w14:paraId="4D14F750">
      <w:pPr>
        <w:numPr>
          <w:ilvl w:val="0"/>
          <w:numId w:val="3"/>
        </w:num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响应文件格式</w:t>
      </w:r>
    </w:p>
    <w:p w14:paraId="31FC63AD">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0</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1.2</w:t>
      </w:r>
      <w:r>
        <w:rPr>
          <w:rFonts w:hint="eastAsia" w:ascii="仿宋" w:hAnsi="仿宋" w:eastAsia="仿宋" w:cs="Times New Roman"/>
          <w:color w:val="auto"/>
          <w:kern w:val="0"/>
          <w:sz w:val="24"/>
          <w:szCs w:val="24"/>
          <w:highlight w:val="none"/>
        </w:rPr>
        <w:t>根据本章第1</w:t>
      </w:r>
      <w:r>
        <w:rPr>
          <w:rFonts w:ascii="仿宋" w:hAnsi="仿宋" w:eastAsia="仿宋" w:cs="Times New Roman"/>
          <w:color w:val="auto"/>
          <w:kern w:val="0"/>
          <w:sz w:val="24"/>
          <w:szCs w:val="24"/>
          <w:highlight w:val="none"/>
        </w:rPr>
        <w:t>0</w:t>
      </w:r>
      <w:r>
        <w:rPr>
          <w:rFonts w:hint="eastAsia" w:ascii="仿宋" w:hAnsi="仿宋" w:eastAsia="仿宋" w:cs="Times New Roman"/>
          <w:color w:val="auto"/>
          <w:kern w:val="0"/>
          <w:sz w:val="24"/>
          <w:szCs w:val="24"/>
          <w:highlight w:val="none"/>
        </w:rPr>
        <w:t>.2款对磋商文件所作的澄清和修改，构成磋商文件的组成部分。</w:t>
      </w:r>
    </w:p>
    <w:p w14:paraId="031D65C4">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0</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1.3</w:t>
      </w:r>
      <w:r>
        <w:rPr>
          <w:rFonts w:hint="eastAsia" w:ascii="仿宋" w:hAnsi="仿宋" w:eastAsia="仿宋" w:cs="Times New Roman"/>
          <w:color w:val="auto"/>
          <w:kern w:val="0"/>
          <w:sz w:val="24"/>
          <w:szCs w:val="24"/>
          <w:highlight w:val="none"/>
        </w:rPr>
        <w:t>除非有特殊要求，磋商文件不单独提供项目所在地的自然环境、气候条件、公用设施等情况，</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被视为熟悉上述与履行合同有关的一切情况。</w:t>
      </w:r>
    </w:p>
    <w:p w14:paraId="086F8FBF">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0</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磋商文件的澄清和修改</w:t>
      </w:r>
    </w:p>
    <w:p w14:paraId="4639CB0E">
      <w:pPr>
        <w:spacing w:line="400" w:lineRule="exact"/>
        <w:ind w:firstLine="480" w:firstLineChars="200"/>
        <w:rPr>
          <w:rFonts w:ascii="仿宋" w:hAnsi="仿宋" w:eastAsia="仿宋" w:cs="Times New Roman"/>
          <w:color w:val="auto"/>
          <w:kern w:val="0"/>
          <w:sz w:val="24"/>
          <w:highlight w:val="none"/>
        </w:rPr>
      </w:pPr>
      <w:r>
        <w:rPr>
          <w:rFonts w:hint="eastAsia" w:ascii="仿宋" w:hAnsi="仿宋" w:eastAsia="仿宋" w:cs="Times New Roman"/>
          <w:color w:val="auto"/>
          <w:kern w:val="0"/>
          <w:sz w:val="24"/>
          <w:highlight w:val="none"/>
        </w:rPr>
        <w:t>磋商文件的澄清和修改及确认，详见</w:t>
      </w:r>
      <w:r>
        <w:rPr>
          <w:rFonts w:hint="eastAsia" w:ascii="仿宋" w:hAnsi="仿宋" w:eastAsia="仿宋" w:cs="Times New Roman"/>
          <w:color w:val="auto"/>
          <w:kern w:val="0"/>
          <w:sz w:val="24"/>
          <w:highlight w:val="none"/>
          <w:lang w:eastAsia="zh-CN"/>
        </w:rPr>
        <w:t>供应商</w:t>
      </w:r>
      <w:r>
        <w:rPr>
          <w:rFonts w:hint="eastAsia" w:ascii="仿宋" w:hAnsi="仿宋" w:eastAsia="仿宋" w:cs="Times New Roman"/>
          <w:color w:val="auto"/>
          <w:kern w:val="0"/>
          <w:sz w:val="24"/>
          <w:highlight w:val="none"/>
        </w:rPr>
        <w:t>须知前附表。</w:t>
      </w:r>
    </w:p>
    <w:p w14:paraId="7F1D0FB0">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highlight w:val="none"/>
        </w:rPr>
        <w:t>磋商文件的澄清或者修改在同一内容的表述上不一致时，以最后发出的公告为准。</w:t>
      </w:r>
    </w:p>
    <w:p w14:paraId="6F77E93C">
      <w:pPr>
        <w:spacing w:line="360" w:lineRule="auto"/>
        <w:ind w:firstLine="560" w:firstLineChars="200"/>
        <w:outlineLvl w:val="2"/>
        <w:rPr>
          <w:rFonts w:ascii="楷体" w:hAnsi="楷体" w:eastAsia="楷体" w:cs="Times New Roman"/>
          <w:color w:val="auto"/>
          <w:kern w:val="0"/>
          <w:sz w:val="28"/>
          <w:szCs w:val="28"/>
          <w:highlight w:val="none"/>
        </w:rPr>
      </w:pPr>
      <w:bookmarkStart w:id="29" w:name="_Toc7701"/>
      <w:r>
        <w:rPr>
          <w:rFonts w:hint="eastAsia" w:ascii="楷体" w:hAnsi="楷体" w:eastAsia="楷体" w:cs="Times New Roman"/>
          <w:color w:val="auto"/>
          <w:kern w:val="0"/>
          <w:sz w:val="28"/>
          <w:szCs w:val="28"/>
          <w:highlight w:val="none"/>
        </w:rPr>
        <w:t>1</w:t>
      </w:r>
      <w:r>
        <w:rPr>
          <w:rFonts w:ascii="楷体" w:hAnsi="楷体" w:eastAsia="楷体" w:cs="Times New Roman"/>
          <w:color w:val="auto"/>
          <w:kern w:val="0"/>
          <w:sz w:val="28"/>
          <w:szCs w:val="28"/>
          <w:highlight w:val="none"/>
        </w:rPr>
        <w:t>1</w:t>
      </w:r>
      <w:r>
        <w:rPr>
          <w:rFonts w:hint="eastAsia" w:ascii="楷体" w:hAnsi="楷体" w:eastAsia="楷体" w:cs="Times New Roman"/>
          <w:color w:val="auto"/>
          <w:kern w:val="0"/>
          <w:sz w:val="28"/>
          <w:szCs w:val="28"/>
          <w:highlight w:val="none"/>
        </w:rPr>
        <w:t>.响应文件的组成</w:t>
      </w:r>
      <w:bookmarkEnd w:id="29"/>
    </w:p>
    <w:p w14:paraId="69B054BB">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应按照磋商文件的要求以及格式编制响应文件，并保证其真实性、准确性以及完整性，并按照磋商文件要求提交全部资料并做出实质性响应。</w:t>
      </w:r>
    </w:p>
    <w:p w14:paraId="2551D4C7">
      <w:pPr>
        <w:spacing w:line="360" w:lineRule="auto"/>
        <w:ind w:firstLine="480" w:firstLineChars="200"/>
        <w:rPr>
          <w:rFonts w:hint="default" w:ascii="仿宋" w:hAnsi="仿宋" w:eastAsia="仿宋" w:cs="Times New Roman"/>
          <w:color w:val="auto"/>
          <w:kern w:val="0"/>
          <w:sz w:val="24"/>
          <w:szCs w:val="24"/>
          <w:highlight w:val="none"/>
          <w:lang w:val="en-US" w:eastAsia="zh-CN"/>
        </w:rPr>
      </w:pPr>
      <w:r>
        <w:rPr>
          <w:rFonts w:ascii="仿宋" w:hAnsi="仿宋" w:eastAsia="仿宋" w:cs="Times New Roman"/>
          <w:color w:val="auto"/>
          <w:kern w:val="0"/>
          <w:sz w:val="24"/>
          <w:szCs w:val="24"/>
          <w:highlight w:val="none"/>
        </w:rPr>
        <w:t>11.2</w:t>
      </w:r>
      <w:r>
        <w:rPr>
          <w:rFonts w:hint="eastAsia" w:ascii="仿宋" w:hAnsi="仿宋" w:eastAsia="仿宋" w:cs="Times New Roman"/>
          <w:color w:val="auto"/>
          <w:kern w:val="0"/>
          <w:sz w:val="24"/>
          <w:szCs w:val="24"/>
          <w:highlight w:val="none"/>
        </w:rPr>
        <w:t>响应文件</w:t>
      </w:r>
      <w:r>
        <w:rPr>
          <w:rFonts w:hint="eastAsia" w:ascii="仿宋" w:hAnsi="仿宋" w:eastAsia="仿宋" w:cs="Times New Roman"/>
          <w:color w:val="auto"/>
          <w:kern w:val="0"/>
          <w:sz w:val="24"/>
          <w:szCs w:val="24"/>
          <w:highlight w:val="none"/>
          <w:lang w:val="en-US" w:eastAsia="zh-CN"/>
        </w:rPr>
        <w:t>的</w:t>
      </w:r>
      <w:r>
        <w:rPr>
          <w:rFonts w:hint="eastAsia" w:ascii="仿宋" w:hAnsi="仿宋" w:eastAsia="仿宋" w:cs="Times New Roman"/>
          <w:color w:val="auto"/>
          <w:kern w:val="0"/>
          <w:sz w:val="24"/>
          <w:szCs w:val="24"/>
          <w:highlight w:val="none"/>
        </w:rPr>
        <w:t>组成：</w:t>
      </w:r>
      <w:r>
        <w:rPr>
          <w:rFonts w:hint="eastAsia" w:ascii="仿宋" w:hAnsi="仿宋" w:eastAsia="仿宋" w:cs="Times New Roman"/>
          <w:color w:val="auto"/>
          <w:kern w:val="0"/>
          <w:sz w:val="24"/>
          <w:szCs w:val="24"/>
          <w:highlight w:val="none"/>
          <w:lang w:val="en-US" w:eastAsia="zh-CN"/>
        </w:rPr>
        <w:t>详见第六章响应文件格式。</w:t>
      </w:r>
    </w:p>
    <w:p w14:paraId="7A2D1A19">
      <w:pPr>
        <w:spacing w:line="360" w:lineRule="auto"/>
        <w:ind w:firstLine="560" w:firstLineChars="200"/>
        <w:outlineLvl w:val="2"/>
        <w:rPr>
          <w:rFonts w:ascii="楷体" w:hAnsi="楷体" w:eastAsia="楷体" w:cs="Times New Roman"/>
          <w:color w:val="auto"/>
          <w:kern w:val="0"/>
          <w:sz w:val="28"/>
          <w:szCs w:val="28"/>
          <w:highlight w:val="none"/>
        </w:rPr>
      </w:pPr>
      <w:bookmarkStart w:id="30" w:name="_Toc8464"/>
      <w:r>
        <w:rPr>
          <w:rFonts w:hint="eastAsia" w:ascii="楷体" w:hAnsi="楷体" w:eastAsia="楷体" w:cs="Times New Roman"/>
          <w:color w:val="auto"/>
          <w:kern w:val="0"/>
          <w:sz w:val="28"/>
          <w:szCs w:val="28"/>
          <w:highlight w:val="none"/>
        </w:rPr>
        <w:t>1</w:t>
      </w:r>
      <w:r>
        <w:rPr>
          <w:rFonts w:ascii="楷体" w:hAnsi="楷体" w:eastAsia="楷体" w:cs="Times New Roman"/>
          <w:color w:val="auto"/>
          <w:kern w:val="0"/>
          <w:sz w:val="28"/>
          <w:szCs w:val="28"/>
          <w:highlight w:val="none"/>
        </w:rPr>
        <w:t>2</w:t>
      </w:r>
      <w:r>
        <w:rPr>
          <w:rFonts w:hint="eastAsia" w:ascii="楷体" w:hAnsi="楷体" w:eastAsia="楷体" w:cs="Times New Roman"/>
          <w:color w:val="auto"/>
          <w:kern w:val="0"/>
          <w:sz w:val="28"/>
          <w:szCs w:val="28"/>
          <w:highlight w:val="none"/>
        </w:rPr>
        <w:t>.响应报价</w:t>
      </w:r>
      <w:bookmarkEnd w:id="30"/>
    </w:p>
    <w:p w14:paraId="14CF7C1D">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2.1</w:t>
      </w:r>
      <w:r>
        <w:rPr>
          <w:rFonts w:hint="eastAsia" w:ascii="仿宋" w:hAnsi="仿宋" w:eastAsia="仿宋" w:cs="Times New Roman"/>
          <w:color w:val="auto"/>
          <w:kern w:val="0"/>
          <w:sz w:val="24"/>
          <w:szCs w:val="24"/>
          <w:highlight w:val="none"/>
        </w:rPr>
        <w:t>响应报价的范围：见供应商须知前附表。</w:t>
      </w:r>
    </w:p>
    <w:p w14:paraId="487F3705">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2</w:t>
      </w:r>
      <w:r>
        <w:rPr>
          <w:rFonts w:ascii="仿宋" w:hAnsi="仿宋" w:eastAsia="仿宋" w:cs="Times New Roman"/>
          <w:color w:val="auto"/>
          <w:kern w:val="0"/>
          <w:sz w:val="24"/>
          <w:szCs w:val="24"/>
          <w:highlight w:val="none"/>
        </w:rPr>
        <w:t>响应报价的次数：见供应商须知前附表。</w:t>
      </w:r>
    </w:p>
    <w:p w14:paraId="08B9E4A8">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3供应商不得以任何方式或者方法提供报价以外的任何附赠条款。</w:t>
      </w:r>
    </w:p>
    <w:p w14:paraId="030CAA1F">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4供应商应按照采购文件中要求的内容填写报价，并由法定代表人或者被授权代表签署。</w:t>
      </w:r>
    </w:p>
    <w:p w14:paraId="7968D53F">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5供应商须按照附件格式表中的各单项明细逐项填写，以方便谈判小组对各响应文件进行比较。</w:t>
      </w:r>
    </w:p>
    <w:p w14:paraId="1CB8EB71">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6开标时，响应文件中《报价一览表》内容与《分项报价明细表》内容不一致的，以《报价一览表》为准。大写金额和小写金额不一致的，以大写金额为准；总价金额与按照单价汇总金额不一致的，以单价金额计算结果为准；单价金额小数点有明显错位的，应以总价为准，并修改单价；对不同文字文本响应文件的解释发生异议的，以中文文本为准。按照以上原则对错误报价的修正，供应商应签字确认。</w:t>
      </w:r>
    </w:p>
    <w:p w14:paraId="5CCA418B">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7唱标时，采购代理机构只对按照采购文件要求编制的响应报价进行唱标。</w:t>
      </w:r>
    </w:p>
    <w:p w14:paraId="6613D0EC">
      <w:pPr>
        <w:spacing w:line="360" w:lineRule="auto"/>
        <w:ind w:firstLine="480" w:firstLineChars="200"/>
        <w:outlineLvl w:val="9"/>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8供应商的成交价格在合同执行中是固定不变的，不得以任何理由予以变更，不得出现任何包含价格调整的要求。</w:t>
      </w:r>
    </w:p>
    <w:p w14:paraId="7DE48BE3">
      <w:pPr>
        <w:spacing w:line="360" w:lineRule="auto"/>
        <w:ind w:firstLine="560" w:firstLineChars="200"/>
        <w:outlineLvl w:val="2"/>
        <w:rPr>
          <w:rFonts w:ascii="楷体" w:hAnsi="楷体" w:eastAsia="楷体" w:cs="Times New Roman"/>
          <w:color w:val="auto"/>
          <w:kern w:val="0"/>
          <w:sz w:val="28"/>
          <w:szCs w:val="28"/>
          <w:highlight w:val="none"/>
        </w:rPr>
      </w:pPr>
      <w:bookmarkStart w:id="31" w:name="_Toc2399"/>
      <w:r>
        <w:rPr>
          <w:rFonts w:hint="eastAsia" w:ascii="楷体" w:hAnsi="楷体" w:eastAsia="楷体" w:cs="Times New Roman"/>
          <w:color w:val="auto"/>
          <w:kern w:val="0"/>
          <w:sz w:val="28"/>
          <w:szCs w:val="28"/>
          <w:highlight w:val="none"/>
        </w:rPr>
        <w:t>1</w:t>
      </w:r>
      <w:r>
        <w:rPr>
          <w:rFonts w:ascii="楷体" w:hAnsi="楷体" w:eastAsia="楷体" w:cs="Times New Roman"/>
          <w:color w:val="auto"/>
          <w:kern w:val="0"/>
          <w:sz w:val="28"/>
          <w:szCs w:val="28"/>
          <w:highlight w:val="none"/>
        </w:rPr>
        <w:t>3.</w:t>
      </w:r>
      <w:r>
        <w:rPr>
          <w:rFonts w:hint="eastAsia" w:ascii="楷体" w:hAnsi="楷体" w:eastAsia="楷体" w:cs="Times New Roman"/>
          <w:color w:val="auto"/>
          <w:kern w:val="0"/>
          <w:sz w:val="28"/>
          <w:szCs w:val="28"/>
          <w:highlight w:val="none"/>
        </w:rPr>
        <w:t>响应文件编制要求</w:t>
      </w:r>
      <w:bookmarkEnd w:id="31"/>
    </w:p>
    <w:p w14:paraId="73FCC4BD">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rPr>
        <w:t>响应文件应按所投包分别进行编制。</w:t>
      </w:r>
    </w:p>
    <w:p w14:paraId="290E1909">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13.2</w:t>
      </w:r>
      <w:r>
        <w:rPr>
          <w:rFonts w:hint="eastAsia" w:ascii="仿宋" w:hAnsi="仿宋" w:eastAsia="仿宋" w:cs="Times New Roman"/>
          <w:color w:val="auto"/>
          <w:kern w:val="0"/>
          <w:sz w:val="24"/>
          <w:szCs w:val="24"/>
          <w:highlight w:val="none"/>
        </w:rPr>
        <w:t>响应文件编制：见</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须知前附表。</w:t>
      </w:r>
    </w:p>
    <w:p w14:paraId="3FD1FBFB">
      <w:pPr>
        <w:spacing w:line="360" w:lineRule="auto"/>
        <w:ind w:firstLine="480" w:firstLineChars="200"/>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13.3响应文件</w:t>
      </w:r>
      <w:r>
        <w:rPr>
          <w:rFonts w:hint="eastAsia" w:ascii="仿宋" w:hAnsi="仿宋" w:eastAsia="仿宋" w:cs="Times New Roman"/>
          <w:color w:val="auto"/>
          <w:kern w:val="0"/>
          <w:sz w:val="24"/>
          <w:szCs w:val="24"/>
          <w:highlight w:val="none"/>
        </w:rPr>
        <w:t>签章</w:t>
      </w:r>
      <w:r>
        <w:rPr>
          <w:rFonts w:ascii="仿宋" w:hAnsi="仿宋" w:eastAsia="仿宋" w:cs="Times New Roman"/>
          <w:color w:val="auto"/>
          <w:kern w:val="0"/>
          <w:sz w:val="24"/>
          <w:szCs w:val="24"/>
          <w:highlight w:val="none"/>
        </w:rPr>
        <w:t>：</w:t>
      </w:r>
      <w:r>
        <w:rPr>
          <w:rFonts w:hint="eastAsia" w:ascii="仿宋" w:hAnsi="仿宋" w:eastAsia="仿宋" w:cs="Times New Roman"/>
          <w:color w:val="auto"/>
          <w:kern w:val="0"/>
          <w:sz w:val="24"/>
          <w:szCs w:val="24"/>
          <w:highlight w:val="none"/>
        </w:rPr>
        <w:t>见</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须知前附表。</w:t>
      </w:r>
    </w:p>
    <w:p w14:paraId="79D7C388">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3.4</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可对供货现场以及其范围环境进行考察，以获取有关编制响应文件和签署实施合同所需的各项资料，</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应承担现场考察的费用、责任和风险。</w:t>
      </w:r>
    </w:p>
    <w:p w14:paraId="1D601785">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13.5</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编制响应文件时，应当如实在技术响应表和商务响应表中填写响应情况。</w:t>
      </w:r>
    </w:p>
    <w:p w14:paraId="73264D45">
      <w:pPr>
        <w:spacing w:line="360" w:lineRule="auto"/>
        <w:ind w:firstLine="560" w:firstLineChars="200"/>
        <w:outlineLvl w:val="2"/>
        <w:rPr>
          <w:rFonts w:hint="eastAsia" w:ascii="楷体" w:hAnsi="楷体" w:eastAsia="楷体" w:cs="Times New Roman"/>
          <w:color w:val="auto"/>
          <w:kern w:val="0"/>
          <w:sz w:val="28"/>
          <w:szCs w:val="28"/>
          <w:highlight w:val="none"/>
        </w:rPr>
      </w:pPr>
      <w:bookmarkStart w:id="32" w:name="_Toc10529"/>
      <w:r>
        <w:rPr>
          <w:rFonts w:hint="eastAsia" w:ascii="楷体" w:hAnsi="楷体" w:eastAsia="楷体" w:cs="Times New Roman"/>
          <w:color w:val="auto"/>
          <w:kern w:val="0"/>
          <w:sz w:val="28"/>
          <w:szCs w:val="28"/>
          <w:highlight w:val="none"/>
        </w:rPr>
        <w:t>1</w:t>
      </w:r>
      <w:r>
        <w:rPr>
          <w:rFonts w:ascii="楷体" w:hAnsi="楷体" w:eastAsia="楷体" w:cs="Times New Roman"/>
          <w:color w:val="auto"/>
          <w:kern w:val="0"/>
          <w:sz w:val="28"/>
          <w:szCs w:val="28"/>
          <w:highlight w:val="none"/>
        </w:rPr>
        <w:t>4.</w:t>
      </w:r>
      <w:r>
        <w:rPr>
          <w:rFonts w:hint="eastAsia" w:ascii="楷体" w:hAnsi="楷体" w:eastAsia="楷体" w:cs="Times New Roman"/>
          <w:color w:val="auto"/>
          <w:kern w:val="0"/>
          <w:sz w:val="28"/>
          <w:szCs w:val="28"/>
          <w:highlight w:val="none"/>
        </w:rPr>
        <w:t>响应文件的密封和标记</w:t>
      </w:r>
      <w:bookmarkEnd w:id="32"/>
    </w:p>
    <w:p w14:paraId="79254A36">
      <w:pPr>
        <w:spacing w:line="360" w:lineRule="auto"/>
        <w:ind w:firstLine="480" w:firstLineChars="2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见供应商须知前附表。</w:t>
      </w:r>
    </w:p>
    <w:p w14:paraId="32E97ABC">
      <w:pPr>
        <w:spacing w:line="360" w:lineRule="auto"/>
        <w:ind w:firstLine="560" w:firstLineChars="200"/>
        <w:rPr>
          <w:rFonts w:hint="eastAsia" w:ascii="楷体" w:hAnsi="楷体" w:eastAsia="楷体" w:cs="Times New Roman"/>
          <w:color w:val="auto"/>
          <w:kern w:val="0"/>
          <w:sz w:val="28"/>
          <w:szCs w:val="28"/>
          <w:highlight w:val="none"/>
        </w:rPr>
      </w:pPr>
      <w:r>
        <w:rPr>
          <w:rFonts w:hint="eastAsia" w:ascii="楷体" w:hAnsi="楷体" w:eastAsia="楷体" w:cs="Times New Roman"/>
          <w:color w:val="auto"/>
          <w:kern w:val="0"/>
          <w:sz w:val="28"/>
          <w:szCs w:val="28"/>
          <w:highlight w:val="none"/>
        </w:rPr>
        <w:t>1</w:t>
      </w:r>
      <w:r>
        <w:rPr>
          <w:rFonts w:ascii="楷体" w:hAnsi="楷体" w:eastAsia="楷体" w:cs="Times New Roman"/>
          <w:color w:val="auto"/>
          <w:kern w:val="0"/>
          <w:sz w:val="28"/>
          <w:szCs w:val="28"/>
          <w:highlight w:val="none"/>
        </w:rPr>
        <w:t>5.</w:t>
      </w:r>
      <w:r>
        <w:rPr>
          <w:rFonts w:hint="eastAsia" w:ascii="楷体" w:hAnsi="楷体" w:eastAsia="楷体" w:cs="Times New Roman"/>
          <w:color w:val="auto"/>
          <w:kern w:val="0"/>
          <w:sz w:val="28"/>
          <w:szCs w:val="28"/>
          <w:highlight w:val="none"/>
        </w:rPr>
        <w:t>响应文件的递交</w:t>
      </w:r>
    </w:p>
    <w:p w14:paraId="4331A06F">
      <w:pPr>
        <w:spacing w:line="360" w:lineRule="auto"/>
        <w:ind w:firstLine="480" w:firstLineChars="200"/>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15</w:t>
      </w:r>
      <w:r>
        <w:rPr>
          <w:rFonts w:hint="eastAsia"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应在报价截止时间前递交响应文件。</w:t>
      </w:r>
    </w:p>
    <w:p w14:paraId="28D8F578">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15.</w:t>
      </w:r>
      <w:r>
        <w:rPr>
          <w:rFonts w:hint="eastAsia"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递交响应文件的时间、地点和要求：见</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须知前附表。</w:t>
      </w:r>
    </w:p>
    <w:p w14:paraId="0A073C80">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5</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有下列情况之一，采购人或者采购代理机构应当拒绝接收</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的响应文件：</w:t>
      </w:r>
    </w:p>
    <w:p w14:paraId="3DB9D096">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5</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3.1</w:t>
      </w:r>
      <w:r>
        <w:rPr>
          <w:rFonts w:hint="eastAsia" w:ascii="仿宋" w:hAnsi="仿宋" w:eastAsia="仿宋" w:cs="Times New Roman"/>
          <w:color w:val="auto"/>
          <w:kern w:val="0"/>
          <w:sz w:val="24"/>
          <w:szCs w:val="24"/>
          <w:highlight w:val="none"/>
        </w:rPr>
        <w:t>逾期送达的或者未送达</w:t>
      </w:r>
      <w:r>
        <w:rPr>
          <w:rFonts w:hint="eastAsia" w:ascii="仿宋" w:hAnsi="仿宋" w:eastAsia="仿宋" w:cs="Times New Roman"/>
          <w:color w:val="auto"/>
          <w:kern w:val="0"/>
          <w:sz w:val="24"/>
          <w:szCs w:val="24"/>
          <w:highlight w:val="none"/>
          <w:lang w:eastAsia="zh-CN"/>
        </w:rPr>
        <w:t>（</w:t>
      </w:r>
      <w:r>
        <w:rPr>
          <w:rFonts w:hint="eastAsia" w:ascii="仿宋" w:hAnsi="仿宋" w:eastAsia="仿宋" w:cs="Times New Roman"/>
          <w:color w:val="auto"/>
          <w:kern w:val="0"/>
          <w:sz w:val="24"/>
          <w:szCs w:val="24"/>
          <w:highlight w:val="none"/>
          <w:lang w:val="en-US" w:eastAsia="zh-CN"/>
        </w:rPr>
        <w:t>上传</w:t>
      </w:r>
      <w:r>
        <w:rPr>
          <w:rFonts w:hint="eastAsia" w:ascii="仿宋" w:hAnsi="仿宋" w:eastAsia="仿宋" w:cs="Times New Roman"/>
          <w:color w:val="auto"/>
          <w:kern w:val="0"/>
          <w:sz w:val="24"/>
          <w:szCs w:val="24"/>
          <w:highlight w:val="none"/>
          <w:lang w:eastAsia="zh-CN"/>
        </w:rPr>
        <w:t>）</w:t>
      </w:r>
      <w:r>
        <w:rPr>
          <w:rFonts w:hint="eastAsia" w:ascii="仿宋" w:hAnsi="仿宋" w:eastAsia="仿宋" w:cs="Times New Roman"/>
          <w:color w:val="auto"/>
          <w:kern w:val="0"/>
          <w:sz w:val="24"/>
          <w:szCs w:val="24"/>
          <w:highlight w:val="none"/>
        </w:rPr>
        <w:t>指定地点的。</w:t>
      </w:r>
    </w:p>
    <w:p w14:paraId="51103742">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15.3.2响应文件未按采购文件要求</w:t>
      </w:r>
      <w:r>
        <w:rPr>
          <w:rFonts w:hint="eastAsia" w:ascii="仿宋" w:hAnsi="仿宋" w:eastAsia="仿宋" w:cs="Times New Roman"/>
          <w:color w:val="auto"/>
          <w:kern w:val="0"/>
          <w:sz w:val="24"/>
          <w:szCs w:val="24"/>
          <w:highlight w:val="none"/>
          <w:lang w:val="en-US" w:eastAsia="zh-CN"/>
        </w:rPr>
        <w:t>密封（加密）</w:t>
      </w:r>
      <w:r>
        <w:rPr>
          <w:rFonts w:hint="eastAsia" w:ascii="仿宋" w:hAnsi="仿宋" w:eastAsia="仿宋" w:cs="Times New Roman"/>
          <w:color w:val="auto"/>
          <w:kern w:val="0"/>
          <w:sz w:val="24"/>
          <w:szCs w:val="24"/>
          <w:highlight w:val="none"/>
        </w:rPr>
        <w:t>的。</w:t>
      </w:r>
    </w:p>
    <w:p w14:paraId="4CB65594">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15.3.3递交响应文件</w:t>
      </w:r>
      <w:r>
        <w:rPr>
          <w:rFonts w:hint="eastAsia" w:ascii="仿宋" w:hAnsi="仿宋" w:eastAsia="仿宋" w:cs="Times New Roman"/>
          <w:color w:val="auto"/>
          <w:kern w:val="0"/>
          <w:sz w:val="24"/>
          <w:szCs w:val="24"/>
          <w:highlight w:val="none"/>
          <w:lang w:val="en-US" w:eastAsia="zh-CN"/>
        </w:rPr>
        <w:t>未在规定时间内解密响应文件</w:t>
      </w:r>
      <w:r>
        <w:rPr>
          <w:rFonts w:hint="eastAsia" w:ascii="仿宋" w:hAnsi="仿宋" w:eastAsia="仿宋" w:cs="Times New Roman"/>
          <w:color w:val="auto"/>
          <w:kern w:val="0"/>
          <w:sz w:val="24"/>
          <w:szCs w:val="24"/>
          <w:highlight w:val="none"/>
        </w:rPr>
        <w:t>。</w:t>
      </w:r>
    </w:p>
    <w:p w14:paraId="01C0E561">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5.4</w:t>
      </w:r>
      <w:r>
        <w:rPr>
          <w:rFonts w:hint="eastAsia" w:ascii="仿宋" w:hAnsi="仿宋" w:eastAsia="仿宋" w:cs="Times New Roman"/>
          <w:color w:val="auto"/>
          <w:kern w:val="0"/>
          <w:sz w:val="24"/>
          <w:szCs w:val="24"/>
          <w:highlight w:val="none"/>
        </w:rPr>
        <w:t>除</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须知前附表另有规定外，不论采购过程和结果如何，</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的响应文件均不退还。</w:t>
      </w:r>
    </w:p>
    <w:p w14:paraId="283BBBDB">
      <w:pPr>
        <w:spacing w:line="360" w:lineRule="auto"/>
        <w:ind w:firstLine="560" w:firstLineChars="200"/>
        <w:outlineLvl w:val="2"/>
        <w:rPr>
          <w:rFonts w:ascii="楷体" w:hAnsi="楷体" w:eastAsia="楷体" w:cs="Times New Roman"/>
          <w:color w:val="auto"/>
          <w:kern w:val="0"/>
          <w:sz w:val="28"/>
          <w:szCs w:val="28"/>
          <w:highlight w:val="none"/>
        </w:rPr>
      </w:pPr>
      <w:bookmarkStart w:id="33" w:name="_Toc31356"/>
      <w:r>
        <w:rPr>
          <w:rFonts w:hint="eastAsia" w:ascii="楷体" w:hAnsi="楷体" w:eastAsia="楷体" w:cs="Times New Roman"/>
          <w:color w:val="auto"/>
          <w:kern w:val="0"/>
          <w:sz w:val="28"/>
          <w:szCs w:val="28"/>
          <w:highlight w:val="none"/>
        </w:rPr>
        <w:t>1</w:t>
      </w:r>
      <w:r>
        <w:rPr>
          <w:rFonts w:ascii="楷体" w:hAnsi="楷体" w:eastAsia="楷体" w:cs="Times New Roman"/>
          <w:color w:val="auto"/>
          <w:kern w:val="0"/>
          <w:sz w:val="28"/>
          <w:szCs w:val="28"/>
          <w:highlight w:val="none"/>
        </w:rPr>
        <w:t>6</w:t>
      </w:r>
      <w:r>
        <w:rPr>
          <w:rFonts w:hint="eastAsia" w:ascii="楷体" w:hAnsi="楷体" w:eastAsia="楷体" w:cs="Times New Roman"/>
          <w:color w:val="auto"/>
          <w:kern w:val="0"/>
          <w:sz w:val="28"/>
          <w:szCs w:val="28"/>
          <w:highlight w:val="none"/>
        </w:rPr>
        <w:t>.响应文件的修改与撤回</w:t>
      </w:r>
      <w:bookmarkEnd w:id="33"/>
    </w:p>
    <w:p w14:paraId="6910B0CD">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6.1</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在磋商文件要求提交响应文件截止时间前，可以补充、修改、替代或者撤回已提交的响应文件。补充、修改的内容为响应文件的组成部分。</w:t>
      </w:r>
    </w:p>
    <w:p w14:paraId="621DDA9D">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6</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在提交响应文件截止时间后到磋商文件规定的报价有效期终止之前，在磋商文件没有变动的情况下，</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不得补充、修改、替代或者撤销其响应文件。</w:t>
      </w:r>
    </w:p>
    <w:p w14:paraId="5FCBE832">
      <w:pPr>
        <w:spacing w:line="360" w:lineRule="auto"/>
        <w:ind w:firstLine="560" w:firstLineChars="200"/>
        <w:outlineLvl w:val="2"/>
        <w:rPr>
          <w:rFonts w:hint="eastAsia" w:ascii="楷体" w:hAnsi="楷体" w:eastAsia="楷体" w:cs="Times New Roman"/>
          <w:color w:val="auto"/>
          <w:kern w:val="0"/>
          <w:sz w:val="28"/>
          <w:szCs w:val="28"/>
          <w:highlight w:val="none"/>
          <w:lang w:eastAsia="zh-CN"/>
        </w:rPr>
      </w:pPr>
      <w:bookmarkStart w:id="34" w:name="_Toc1139"/>
      <w:bookmarkStart w:id="35" w:name="_Toc8485"/>
      <w:bookmarkStart w:id="36" w:name="_Toc464831145"/>
      <w:r>
        <w:rPr>
          <w:rFonts w:hint="eastAsia" w:ascii="楷体" w:hAnsi="楷体" w:eastAsia="楷体" w:cs="Times New Roman"/>
          <w:color w:val="auto"/>
          <w:kern w:val="0"/>
          <w:sz w:val="28"/>
          <w:szCs w:val="28"/>
          <w:highlight w:val="none"/>
        </w:rPr>
        <w:t>1</w:t>
      </w:r>
      <w:r>
        <w:rPr>
          <w:rFonts w:ascii="楷体" w:hAnsi="楷体" w:eastAsia="楷体" w:cs="Times New Roman"/>
          <w:color w:val="auto"/>
          <w:kern w:val="0"/>
          <w:sz w:val="28"/>
          <w:szCs w:val="28"/>
          <w:highlight w:val="none"/>
        </w:rPr>
        <w:t>7.</w:t>
      </w:r>
      <w:r>
        <w:rPr>
          <w:rFonts w:hint="eastAsia" w:ascii="楷体" w:hAnsi="楷体" w:eastAsia="楷体" w:cs="Times New Roman"/>
          <w:color w:val="auto"/>
          <w:kern w:val="0"/>
          <w:sz w:val="28"/>
          <w:szCs w:val="28"/>
          <w:highlight w:val="none"/>
        </w:rPr>
        <w:t>保证金</w:t>
      </w:r>
      <w:bookmarkEnd w:id="34"/>
      <w:bookmarkEnd w:id="35"/>
      <w:bookmarkEnd w:id="36"/>
    </w:p>
    <w:p w14:paraId="764CA6C9">
      <w:pPr>
        <w:spacing w:line="360" w:lineRule="auto"/>
        <w:ind w:firstLine="480" w:firstLineChars="2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7.1保证金</w:t>
      </w:r>
      <w:r>
        <w:rPr>
          <w:rFonts w:hint="eastAsia" w:ascii="仿宋" w:hAnsi="仿宋" w:eastAsia="仿宋" w:cs="Times New Roman"/>
          <w:color w:val="auto"/>
          <w:kern w:val="0"/>
          <w:sz w:val="24"/>
          <w:szCs w:val="24"/>
          <w:highlight w:val="none"/>
        </w:rPr>
        <w:t>的</w:t>
      </w:r>
      <w:r>
        <w:rPr>
          <w:rFonts w:hint="eastAsia" w:ascii="仿宋" w:hAnsi="仿宋" w:eastAsia="仿宋" w:cs="Times New Roman"/>
          <w:color w:val="auto"/>
          <w:kern w:val="0"/>
          <w:sz w:val="24"/>
          <w:szCs w:val="24"/>
          <w:highlight w:val="none"/>
          <w:lang w:eastAsia="zh-CN"/>
        </w:rPr>
        <w:t>缴纳</w:t>
      </w:r>
    </w:p>
    <w:p w14:paraId="510CDBEF">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7.1.1保证金</w:t>
      </w:r>
      <w:r>
        <w:rPr>
          <w:rFonts w:hint="eastAsia" w:ascii="仿宋" w:hAnsi="仿宋" w:eastAsia="仿宋" w:cs="Times New Roman"/>
          <w:color w:val="auto"/>
          <w:kern w:val="0"/>
          <w:sz w:val="24"/>
          <w:szCs w:val="24"/>
          <w:highlight w:val="none"/>
        </w:rPr>
        <w:t>的</w:t>
      </w:r>
      <w:r>
        <w:rPr>
          <w:rFonts w:hint="eastAsia" w:ascii="仿宋" w:hAnsi="仿宋" w:eastAsia="仿宋" w:cs="Times New Roman"/>
          <w:color w:val="auto"/>
          <w:kern w:val="0"/>
          <w:sz w:val="24"/>
          <w:szCs w:val="24"/>
          <w:highlight w:val="none"/>
          <w:lang w:eastAsia="zh-CN"/>
        </w:rPr>
        <w:t>缴纳</w:t>
      </w:r>
      <w:r>
        <w:rPr>
          <w:rFonts w:hint="eastAsia" w:ascii="仿宋" w:hAnsi="仿宋" w:eastAsia="仿宋" w:cs="Times New Roman"/>
          <w:color w:val="auto"/>
          <w:kern w:val="0"/>
          <w:sz w:val="24"/>
          <w:szCs w:val="24"/>
          <w:highlight w:val="none"/>
        </w:rPr>
        <w:t>金额和形式：见</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须知前附表。</w:t>
      </w:r>
    </w:p>
    <w:p w14:paraId="1818FACE">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7.1.2</w:t>
      </w:r>
      <w:r>
        <w:rPr>
          <w:rFonts w:hint="eastAsia" w:ascii="仿宋" w:hAnsi="仿宋" w:eastAsia="仿宋" w:cs="Times New Roman"/>
          <w:color w:val="auto"/>
          <w:kern w:val="0"/>
          <w:sz w:val="24"/>
          <w:szCs w:val="24"/>
          <w:highlight w:val="none"/>
        </w:rPr>
        <w:t>保证金以到账时间为准。</w:t>
      </w:r>
    </w:p>
    <w:p w14:paraId="743B97CA">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7.1.3</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为联合体的，联合体牵头人</w:t>
      </w:r>
      <w:r>
        <w:rPr>
          <w:rFonts w:hint="eastAsia" w:ascii="仿宋" w:hAnsi="仿宋" w:eastAsia="仿宋" w:cs="Times New Roman"/>
          <w:color w:val="auto"/>
          <w:kern w:val="0"/>
          <w:sz w:val="24"/>
          <w:szCs w:val="24"/>
          <w:highlight w:val="none"/>
          <w:lang w:eastAsia="zh-CN"/>
        </w:rPr>
        <w:t>缴纳</w:t>
      </w:r>
      <w:r>
        <w:rPr>
          <w:rFonts w:hint="eastAsia" w:ascii="仿宋" w:hAnsi="仿宋" w:eastAsia="仿宋" w:cs="Times New Roman"/>
          <w:color w:val="auto"/>
          <w:kern w:val="0"/>
          <w:sz w:val="24"/>
          <w:szCs w:val="24"/>
          <w:highlight w:val="none"/>
        </w:rPr>
        <w:t>的保证金对联合体各方均具有约束力。</w:t>
      </w:r>
    </w:p>
    <w:p w14:paraId="7A96E814">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17.</w:t>
      </w:r>
      <w:r>
        <w:rPr>
          <w:rFonts w:hint="eastAsia" w:ascii="仿宋" w:hAnsi="仿宋" w:eastAsia="仿宋" w:cs="Times New Roman"/>
          <w:color w:val="auto"/>
          <w:kern w:val="0"/>
          <w:sz w:val="24"/>
          <w:szCs w:val="24"/>
          <w:highlight w:val="none"/>
        </w:rPr>
        <w:t>2保证金的退还</w:t>
      </w:r>
    </w:p>
    <w:p w14:paraId="1F3D2F68">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7.</w:t>
      </w:r>
      <w:r>
        <w:rPr>
          <w:rFonts w:hint="eastAsia" w:ascii="仿宋" w:hAnsi="仿宋" w:eastAsia="仿宋" w:cs="Times New Roman"/>
          <w:color w:val="auto"/>
          <w:kern w:val="0"/>
          <w:sz w:val="24"/>
          <w:szCs w:val="24"/>
          <w:highlight w:val="none"/>
        </w:rPr>
        <w:t>2</w:t>
      </w: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在采购文件要求提交响应文件截止时间前书面要求撤回响应文件的，采购人或者采购代理机构自收到</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书面撤回文件之日起</w:t>
      </w:r>
      <w:r>
        <w:rPr>
          <w:rFonts w:ascii="仿宋" w:hAnsi="仿宋" w:eastAsia="仿宋" w:cs="Times New Roman"/>
          <w:color w:val="auto"/>
          <w:kern w:val="0"/>
          <w:sz w:val="24"/>
          <w:szCs w:val="24"/>
          <w:highlight w:val="none"/>
        </w:rPr>
        <w:t>5</w:t>
      </w:r>
      <w:r>
        <w:rPr>
          <w:rFonts w:hint="eastAsia" w:ascii="仿宋" w:hAnsi="仿宋" w:eastAsia="仿宋" w:cs="Times New Roman"/>
          <w:color w:val="auto"/>
          <w:kern w:val="0"/>
          <w:sz w:val="24"/>
          <w:szCs w:val="24"/>
          <w:highlight w:val="none"/>
        </w:rPr>
        <w:t>日内退还已收取的保证金。</w:t>
      </w:r>
    </w:p>
    <w:p w14:paraId="79981E0C">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7.</w:t>
      </w:r>
      <w:r>
        <w:rPr>
          <w:rFonts w:hint="eastAsia" w:ascii="仿宋" w:hAnsi="仿宋" w:eastAsia="仿宋" w:cs="Times New Roman"/>
          <w:color w:val="auto"/>
          <w:kern w:val="0"/>
          <w:sz w:val="24"/>
          <w:szCs w:val="24"/>
          <w:highlight w:val="none"/>
        </w:rPr>
        <w:t>2</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采购代理机构在成交通知发出后5个工作日内退还未成交</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的保证金，在采购合同签订并备案后5个工作日内退还成交</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的保证金。</w:t>
      </w:r>
    </w:p>
    <w:p w14:paraId="27540A1D">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ascii="仿宋" w:hAnsi="仿宋" w:eastAsia="仿宋" w:cs="Times New Roman"/>
          <w:color w:val="auto"/>
          <w:kern w:val="0"/>
          <w:sz w:val="24"/>
          <w:szCs w:val="24"/>
          <w:highlight w:val="none"/>
        </w:rPr>
        <w:t>7.</w:t>
      </w:r>
      <w:r>
        <w:rPr>
          <w:rFonts w:hint="eastAsia" w:ascii="仿宋" w:hAnsi="仿宋" w:eastAsia="仿宋" w:cs="Times New Roman"/>
          <w:color w:val="auto"/>
          <w:kern w:val="0"/>
          <w:sz w:val="24"/>
          <w:szCs w:val="24"/>
          <w:highlight w:val="none"/>
        </w:rPr>
        <w:t>3保证金的不予退还</w:t>
      </w:r>
    </w:p>
    <w:p w14:paraId="70B31132">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17.3.1</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有下列情形之一的，保证金将不予退还：</w:t>
      </w:r>
    </w:p>
    <w:p w14:paraId="22E1E959">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（1）提供的有关资料不真实或者提供虚假材料的；</w:t>
      </w:r>
    </w:p>
    <w:p w14:paraId="51C2065E">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）报价截止时间后</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撤回全部或者部分响应文件的；</w:t>
      </w:r>
    </w:p>
    <w:p w14:paraId="73B6D7AC">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rPr>
        <w:t>）损害采购人或者采购代理机构合法权益的；</w:t>
      </w:r>
    </w:p>
    <w:p w14:paraId="322E0A59">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4</w:t>
      </w:r>
      <w:r>
        <w:rPr>
          <w:rFonts w:hint="eastAsia" w:ascii="仿宋" w:hAnsi="仿宋" w:eastAsia="仿宋" w:cs="Times New Roman"/>
          <w:color w:val="auto"/>
          <w:kern w:val="0"/>
          <w:sz w:val="24"/>
          <w:szCs w:val="24"/>
          <w:highlight w:val="none"/>
        </w:rPr>
        <w:t>）</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向采购代理机构、采购人、专家提供不正当利益的；</w:t>
      </w:r>
    </w:p>
    <w:p w14:paraId="2E59D76B">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5</w:t>
      </w:r>
      <w:r>
        <w:rPr>
          <w:rFonts w:hint="eastAsia" w:ascii="仿宋" w:hAnsi="仿宋" w:eastAsia="仿宋" w:cs="Times New Roman"/>
          <w:color w:val="auto"/>
          <w:kern w:val="0"/>
          <w:sz w:val="24"/>
          <w:szCs w:val="24"/>
          <w:highlight w:val="none"/>
        </w:rPr>
        <w:t>）经</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小组认定有故意哄抬报价、串标或者其它违法行为的</w:t>
      </w:r>
      <w:r>
        <w:rPr>
          <w:rFonts w:ascii="仿宋" w:hAnsi="仿宋" w:eastAsia="仿宋" w:cs="Times New Roman"/>
          <w:color w:val="auto"/>
          <w:kern w:val="0"/>
          <w:sz w:val="24"/>
          <w:szCs w:val="24"/>
          <w:highlight w:val="none"/>
        </w:rPr>
        <w:t>;</w:t>
      </w:r>
    </w:p>
    <w:p w14:paraId="3EF46FE5">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6</w:t>
      </w:r>
      <w:r>
        <w:rPr>
          <w:rFonts w:hint="eastAsia" w:ascii="仿宋" w:hAnsi="仿宋" w:eastAsia="仿宋" w:cs="Times New Roman"/>
          <w:color w:val="auto"/>
          <w:kern w:val="0"/>
          <w:sz w:val="24"/>
          <w:szCs w:val="24"/>
          <w:highlight w:val="none"/>
        </w:rPr>
        <w:t>）成交</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未按照采购文件规定签订合同或者未按照采购文件规定提供履约保证金的；</w:t>
      </w:r>
    </w:p>
    <w:p w14:paraId="1DA3DFC5">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7</w:t>
      </w:r>
      <w:r>
        <w:rPr>
          <w:rFonts w:hint="eastAsia" w:ascii="仿宋" w:hAnsi="仿宋" w:eastAsia="仿宋" w:cs="Times New Roman"/>
          <w:color w:val="auto"/>
          <w:kern w:val="0"/>
          <w:sz w:val="24"/>
          <w:szCs w:val="24"/>
          <w:highlight w:val="none"/>
        </w:rPr>
        <w:t>）法律、行政法规以及有关规定的其它情形。</w:t>
      </w:r>
    </w:p>
    <w:p w14:paraId="4E15B360">
      <w:pPr>
        <w:spacing w:line="360" w:lineRule="auto"/>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17.3.2</w:t>
      </w:r>
      <w:r>
        <w:rPr>
          <w:rFonts w:hint="eastAsia" w:ascii="仿宋" w:hAnsi="仿宋" w:eastAsia="仿宋" w:cs="Times New Roman"/>
          <w:color w:val="auto"/>
          <w:kern w:val="0"/>
          <w:sz w:val="24"/>
          <w:szCs w:val="24"/>
          <w:highlight w:val="none"/>
        </w:rPr>
        <w:t>不予退还的保证金应在规定时间内上缴国库。</w:t>
      </w:r>
    </w:p>
    <w:p w14:paraId="67807FCE">
      <w:pPr>
        <w:spacing w:line="360" w:lineRule="auto"/>
        <w:ind w:firstLine="560" w:firstLineChars="200"/>
        <w:outlineLvl w:val="2"/>
        <w:rPr>
          <w:rFonts w:hint="eastAsia" w:ascii="楷体" w:hAnsi="楷体" w:eastAsia="楷体" w:cs="Times New Roman"/>
          <w:color w:val="auto"/>
          <w:kern w:val="0"/>
          <w:sz w:val="28"/>
          <w:szCs w:val="28"/>
          <w:highlight w:val="none"/>
        </w:rPr>
      </w:pPr>
      <w:bookmarkStart w:id="37" w:name="_Toc31914"/>
      <w:bookmarkStart w:id="38" w:name="_Toc4865"/>
      <w:bookmarkStart w:id="39" w:name="_Toc12370"/>
      <w:r>
        <w:rPr>
          <w:rFonts w:hint="eastAsia" w:ascii="楷体" w:hAnsi="楷体" w:eastAsia="楷体" w:cs="Times New Roman"/>
          <w:color w:val="auto"/>
          <w:kern w:val="0"/>
          <w:sz w:val="28"/>
          <w:szCs w:val="28"/>
          <w:highlight w:val="none"/>
          <w:lang w:val="en-US" w:eastAsia="zh-CN"/>
        </w:rPr>
        <w:t>18.</w:t>
      </w:r>
      <w:r>
        <w:rPr>
          <w:rFonts w:hint="eastAsia" w:ascii="楷体" w:hAnsi="楷体" w:eastAsia="楷体" w:cs="Times New Roman"/>
          <w:color w:val="auto"/>
          <w:kern w:val="0"/>
          <w:sz w:val="28"/>
          <w:szCs w:val="28"/>
          <w:highlight w:val="none"/>
        </w:rPr>
        <w:t>开标、</w:t>
      </w:r>
      <w:r>
        <w:rPr>
          <w:rFonts w:hint="eastAsia" w:ascii="楷体" w:hAnsi="楷体" w:eastAsia="楷体" w:cs="Times New Roman"/>
          <w:color w:val="auto"/>
          <w:kern w:val="0"/>
          <w:sz w:val="28"/>
          <w:szCs w:val="28"/>
          <w:highlight w:val="none"/>
          <w:lang w:eastAsia="zh-CN"/>
        </w:rPr>
        <w:t>磋商</w:t>
      </w:r>
      <w:r>
        <w:rPr>
          <w:rFonts w:hint="eastAsia" w:ascii="楷体" w:hAnsi="楷体" w:eastAsia="楷体" w:cs="Times New Roman"/>
          <w:color w:val="auto"/>
          <w:kern w:val="0"/>
          <w:sz w:val="28"/>
          <w:szCs w:val="28"/>
          <w:highlight w:val="none"/>
        </w:rPr>
        <w:t>、成交</w:t>
      </w:r>
      <w:bookmarkEnd w:id="37"/>
      <w:bookmarkEnd w:id="38"/>
    </w:p>
    <w:p w14:paraId="522A8B91">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18.1．竞争性磋商</w:t>
      </w:r>
    </w:p>
    <w:p w14:paraId="34F1ECBD">
      <w:pPr>
        <w:spacing w:line="360" w:lineRule="auto"/>
        <w:ind w:firstLine="480" w:firstLineChars="200"/>
        <w:rPr>
          <w:rFonts w:hint="eastAsia" w:ascii="仿宋" w:hAnsi="仿宋" w:eastAsia="仿宋" w:cs="Times New Roman"/>
          <w:color w:val="auto"/>
          <w:kern w:val="0"/>
          <w:sz w:val="24"/>
          <w:szCs w:val="24"/>
          <w:highlight w:val="none"/>
          <w:lang w:val="en-US" w:eastAsia="zh-CN"/>
        </w:rPr>
      </w:pPr>
      <w:bookmarkStart w:id="40" w:name="_Toc520356165"/>
      <w:r>
        <w:rPr>
          <w:rFonts w:hint="eastAsia" w:ascii="仿宋" w:hAnsi="仿宋" w:eastAsia="仿宋" w:cs="Times New Roman"/>
          <w:color w:val="auto"/>
          <w:kern w:val="0"/>
          <w:sz w:val="24"/>
          <w:szCs w:val="24"/>
          <w:highlight w:val="none"/>
          <w:lang w:val="en-US" w:eastAsia="zh-CN"/>
        </w:rPr>
        <w:t>（1）采购人和采购代理机构将按规定的磋商时间和地点组织磋商。监督部门将视情况派代表到现场进行监督。</w:t>
      </w:r>
    </w:p>
    <w:p w14:paraId="130C111A">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（2）供应商在公告或变更通知的规定日期、时间和地点组织开标会。供应商可由法定代表人或其授权人线上参加，并签到以证明出席，如未按要求时间签到解密的供应商后果自负。</w:t>
      </w:r>
    </w:p>
    <w:p w14:paraId="129A9DCB">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（3）开标时，由采购代理机构向磋商小组介绍项目基本情况并宣布有关纪律和磋商程序。</w:t>
      </w:r>
    </w:p>
    <w:p w14:paraId="0E04348A">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（4）开启有效供应商的报价，公布开标一览表有关内容，并【开启签章时段】，供 应商对开标纪录进行在线签章确认（不予确认的应说明理由，否则视为无异议） 。开标结束后，由评标委员会对报价的合理性、准确性等进行审查核实。</w:t>
      </w:r>
    </w:p>
    <w:p w14:paraId="02D61D10">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（5）磋商小组依据法律法规和磋商文件中规定的内容，对供应商进行资格审查。未通过资格审查的供应商不得进入详细评审，其响应文件将被拒绝。</w:t>
      </w:r>
    </w:p>
    <w:p w14:paraId="74E01A61">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（6）磋商小组开启供应商首次报价并进行初步审查和详细评审（只有初步审查合格的供应商，其竞争性磋商响应文件方可进入磋商阶段。）</w:t>
      </w:r>
    </w:p>
    <w:p w14:paraId="640EA6E9">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（7）通过评审后，将进入新一轮报价。</w:t>
      </w:r>
    </w:p>
    <w:p w14:paraId="4B04AF8C">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（8）采购人或采购代理机构将对磋商过程进行记录，并存档备查。</w:t>
      </w:r>
    </w:p>
    <w:p w14:paraId="2F1990C7">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（9）供应商代表对磋商过程和磋商记录有疑义，以及认为采购人、采购代理机构相关工作人员有需要回避的情形的，应当场提出询问或者回避申请。</w:t>
      </w:r>
    </w:p>
    <w:p w14:paraId="2D840577">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注：特别情况说明：</w:t>
      </w:r>
    </w:p>
    <w:p w14:paraId="3CA570FF">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（1）本项目采用电子交易，如遇“新疆政府采购云平台 ”电子化开标或评审程序调整的 ,  按调整后程序执行。</w:t>
      </w:r>
    </w:p>
    <w:p w14:paraId="39CB59D2">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（2） 开标过程中需要相关当事人进行签章或盖章确认的材料将通过 “政府采购云平台 ” 进行，若因“政府采购云平台 ”技术问题无法进行签章或盖章确认的，采购组织机构将通 过电子邮件等形式予以确认，请供应商保证办理投标事宜人员电话畅通、网络在线，签章或盖章确认的时间为 30 分钟。如未及时签章或盖章确认的，视为无异议。</w:t>
      </w:r>
    </w:p>
    <w:p w14:paraId="32A7D623">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（3）在开标过程中如评审小组对响应文件有疑问，询标内容汇总后将发起询标函，供应商应对询标函提出的问题做出澄清或说明。</w:t>
      </w:r>
      <w:bookmarkEnd w:id="40"/>
    </w:p>
    <w:p w14:paraId="31C44E61">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w:t>
      </w:r>
    </w:p>
    <w:p w14:paraId="52FDCBCE">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小组的组成</w:t>
      </w:r>
    </w:p>
    <w:p w14:paraId="50F03760">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采购人按照《中华人民共和国政府采购法》以及有关规定组建</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由依法组建的</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小组负责。</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小组由采购人代表和评审专家共同组成，成员人数为三人及以上单数，其中采购人代表只限一人，技术、经济等方面的评审专家不得少于成员总数的三分之二。</w:t>
      </w:r>
    </w:p>
    <w:p w14:paraId="68CB96FB">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评审专家的抽取</w:t>
      </w:r>
    </w:p>
    <w:p w14:paraId="2922096C">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.2.1</w:t>
      </w:r>
      <w:r>
        <w:rPr>
          <w:rFonts w:hint="eastAsia" w:ascii="仿宋" w:hAnsi="仿宋" w:eastAsia="仿宋" w:cs="Times New Roman"/>
          <w:color w:val="auto"/>
          <w:kern w:val="0"/>
          <w:sz w:val="24"/>
          <w:szCs w:val="24"/>
          <w:highlight w:val="none"/>
        </w:rPr>
        <w:t>采用随机抽取方式从政府采购监管部门依法设立的专家库中确定</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小组成员。任何单位和个人都不得指定评审专家或干预评审专家的抽取工作。</w:t>
      </w:r>
    </w:p>
    <w:p w14:paraId="7CB5918C">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.2.2</w:t>
      </w:r>
      <w:r>
        <w:rPr>
          <w:rFonts w:hint="eastAsia" w:ascii="仿宋" w:hAnsi="仿宋" w:eastAsia="仿宋" w:cs="Times New Roman"/>
          <w:color w:val="auto"/>
          <w:kern w:val="0"/>
          <w:sz w:val="24"/>
          <w:szCs w:val="24"/>
          <w:highlight w:val="none"/>
        </w:rPr>
        <w:t>参加评审专家抽取的有关人员对被抽取的专家的姓名、单位和联系方式等内容负有保密的义务。</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小组成员的名单在评审结果确定前必须严格保密。</w:t>
      </w:r>
    </w:p>
    <w:p w14:paraId="60AEFBC4">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小组成员不得参加与自己有利害关系的评审活动，与自己有利害关系的应当回避，已经进入的必须更换。</w:t>
      </w:r>
    </w:p>
    <w:p w14:paraId="07232192">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.4</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小组负责对各响应文件进行评审、比较、评定，并按本采购文件的规定确定成交</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或者推荐中标候选人。</w:t>
      </w:r>
    </w:p>
    <w:p w14:paraId="0BF8C26C">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.5</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小组具有依据采购文件进行独立评审的权力，且不受外界任何因素的干扰。</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小组成员必须独立、负责地提出评审意见，并对自己的评审意见承担责任。对评审结果有不同意见的</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小组成员应当以书面形式说明其不同意见和理由，评审报告应当注明不同意见。评审委员会成员拒绝评审或者拒绝在评审报告上签字并且又不书面说明其不同意见和理由的，视为同意评审结果。</w:t>
      </w:r>
    </w:p>
    <w:p w14:paraId="2CE134E0">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.6</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小组的职责：</w:t>
      </w:r>
    </w:p>
    <w:p w14:paraId="030CD1E2">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.6.1</w:t>
      </w:r>
      <w:r>
        <w:rPr>
          <w:rFonts w:hint="eastAsia" w:ascii="仿宋" w:hAnsi="仿宋" w:eastAsia="仿宋" w:cs="Times New Roman"/>
          <w:color w:val="auto"/>
          <w:kern w:val="0"/>
          <w:sz w:val="24"/>
          <w:szCs w:val="24"/>
          <w:highlight w:val="none"/>
        </w:rPr>
        <w:t>审查响应文件是否符合采购文件要求，进行资格性审查和符合性审查，</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小组做出评价；</w:t>
      </w:r>
    </w:p>
    <w:p w14:paraId="1C3FAD12">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.6.2</w:t>
      </w:r>
      <w:r>
        <w:rPr>
          <w:rFonts w:hint="eastAsia" w:ascii="仿宋" w:hAnsi="仿宋" w:eastAsia="仿宋" w:cs="Times New Roman"/>
          <w:color w:val="auto"/>
          <w:kern w:val="0"/>
          <w:sz w:val="24"/>
          <w:szCs w:val="24"/>
          <w:highlight w:val="none"/>
        </w:rPr>
        <w:t>要求</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对响应文件有关事项做出解释或者澄清；</w:t>
      </w:r>
    </w:p>
    <w:p w14:paraId="704A0BD6">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.6.3</w:t>
      </w:r>
      <w:r>
        <w:rPr>
          <w:rFonts w:hint="eastAsia" w:ascii="仿宋" w:hAnsi="仿宋" w:eastAsia="仿宋" w:cs="Times New Roman"/>
          <w:color w:val="auto"/>
          <w:kern w:val="0"/>
          <w:sz w:val="24"/>
          <w:szCs w:val="24"/>
          <w:highlight w:val="none"/>
        </w:rPr>
        <w:t>推荐中标候选人名单，或者受采购人委托按照事先确定的办法直接确定成交</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w:t>
      </w:r>
    </w:p>
    <w:p w14:paraId="76472747">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.6.4</w:t>
      </w:r>
      <w:r>
        <w:rPr>
          <w:rFonts w:hint="eastAsia" w:ascii="仿宋" w:hAnsi="仿宋" w:eastAsia="仿宋" w:cs="Times New Roman"/>
          <w:color w:val="auto"/>
          <w:kern w:val="0"/>
          <w:sz w:val="24"/>
          <w:szCs w:val="24"/>
          <w:highlight w:val="none"/>
        </w:rPr>
        <w:t>向采购人、采购代理机构或者有关部门报告非法干预评审工作的行为。</w:t>
      </w:r>
    </w:p>
    <w:p w14:paraId="0F0BE94E">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3.6.5对围、串标等违法违规行为作出认定。</w:t>
      </w:r>
    </w:p>
    <w:p w14:paraId="17566396">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.7</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小组的义务：</w:t>
      </w:r>
    </w:p>
    <w:p w14:paraId="3FFBA162">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.7.1</w:t>
      </w:r>
      <w:r>
        <w:rPr>
          <w:rFonts w:hint="eastAsia" w:ascii="仿宋" w:hAnsi="仿宋" w:eastAsia="仿宋" w:cs="Times New Roman"/>
          <w:color w:val="auto"/>
          <w:kern w:val="0"/>
          <w:sz w:val="24"/>
          <w:szCs w:val="24"/>
          <w:highlight w:val="none"/>
        </w:rPr>
        <w:t>遵纪守法，客观、公正、廉洁地履行职责；</w:t>
      </w:r>
    </w:p>
    <w:p w14:paraId="1866611B">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.7.2</w:t>
      </w:r>
      <w:r>
        <w:rPr>
          <w:rFonts w:hint="eastAsia" w:ascii="仿宋" w:hAnsi="仿宋" w:eastAsia="仿宋" w:cs="Times New Roman"/>
          <w:color w:val="auto"/>
          <w:kern w:val="0"/>
          <w:sz w:val="24"/>
          <w:szCs w:val="24"/>
          <w:highlight w:val="none"/>
        </w:rPr>
        <w:t>提出真实、可靠的评审意见；</w:t>
      </w:r>
    </w:p>
    <w:p w14:paraId="5438CA5A">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.7.3</w:t>
      </w:r>
      <w:r>
        <w:rPr>
          <w:rFonts w:hint="eastAsia" w:ascii="仿宋" w:hAnsi="仿宋" w:eastAsia="仿宋" w:cs="Times New Roman"/>
          <w:color w:val="auto"/>
          <w:kern w:val="0"/>
          <w:sz w:val="24"/>
          <w:szCs w:val="24"/>
          <w:highlight w:val="none"/>
        </w:rPr>
        <w:t>严格遵守评审纪律，不得向外界泄露评审情况；</w:t>
      </w:r>
    </w:p>
    <w:p w14:paraId="2D4730E2">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.7.4</w:t>
      </w:r>
      <w:r>
        <w:rPr>
          <w:rFonts w:hint="eastAsia" w:ascii="仿宋" w:hAnsi="仿宋" w:eastAsia="仿宋" w:cs="Times New Roman"/>
          <w:color w:val="auto"/>
          <w:kern w:val="0"/>
          <w:sz w:val="24"/>
          <w:szCs w:val="24"/>
          <w:highlight w:val="none"/>
        </w:rPr>
        <w:t>发现</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在招报价活动中有不正当竞争或者恶意串通等违规行为，应及时向监督部门报告并加以制止；</w:t>
      </w:r>
    </w:p>
    <w:p w14:paraId="1777BE36">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.7.5</w:t>
      </w:r>
      <w:r>
        <w:rPr>
          <w:rFonts w:hint="eastAsia" w:ascii="仿宋" w:hAnsi="仿宋" w:eastAsia="仿宋" w:cs="Times New Roman"/>
          <w:color w:val="auto"/>
          <w:kern w:val="0"/>
          <w:sz w:val="24"/>
          <w:szCs w:val="24"/>
          <w:highlight w:val="none"/>
        </w:rPr>
        <w:t>按照采购文件规定的评审方法和评审标准进行评审，对评审意见承担个人责任；</w:t>
      </w:r>
    </w:p>
    <w:p w14:paraId="5120E298">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.7.6</w:t>
      </w:r>
      <w:r>
        <w:rPr>
          <w:rFonts w:hint="eastAsia" w:ascii="仿宋" w:hAnsi="仿宋" w:eastAsia="仿宋" w:cs="Times New Roman"/>
          <w:color w:val="auto"/>
          <w:kern w:val="0"/>
          <w:sz w:val="24"/>
          <w:szCs w:val="24"/>
          <w:highlight w:val="none"/>
        </w:rPr>
        <w:t>编写评审报告；</w:t>
      </w:r>
    </w:p>
    <w:p w14:paraId="4FCC3E36">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.7.7</w:t>
      </w:r>
      <w:r>
        <w:rPr>
          <w:rFonts w:hint="eastAsia" w:ascii="仿宋" w:hAnsi="仿宋" w:eastAsia="仿宋" w:cs="Times New Roman"/>
          <w:color w:val="auto"/>
          <w:kern w:val="0"/>
          <w:sz w:val="24"/>
          <w:szCs w:val="24"/>
          <w:highlight w:val="none"/>
        </w:rPr>
        <w:t>配合采购人或者采购代理机构答复</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提出的质疑；</w:t>
      </w:r>
    </w:p>
    <w:p w14:paraId="5B73E54A">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.7.8</w:t>
      </w:r>
      <w:r>
        <w:rPr>
          <w:rFonts w:hint="eastAsia" w:ascii="仿宋" w:hAnsi="仿宋" w:eastAsia="仿宋" w:cs="Times New Roman"/>
          <w:color w:val="auto"/>
          <w:kern w:val="0"/>
          <w:sz w:val="24"/>
          <w:szCs w:val="24"/>
          <w:highlight w:val="none"/>
        </w:rPr>
        <w:t>对评审过程和结果，以及采购人、</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的商业秘密保密；</w:t>
      </w:r>
    </w:p>
    <w:p w14:paraId="304664B4">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.7.9</w:t>
      </w:r>
      <w:r>
        <w:rPr>
          <w:rFonts w:hint="eastAsia" w:ascii="仿宋" w:hAnsi="仿宋" w:eastAsia="仿宋" w:cs="Times New Roman"/>
          <w:color w:val="auto"/>
          <w:kern w:val="0"/>
          <w:sz w:val="24"/>
          <w:szCs w:val="24"/>
          <w:highlight w:val="none"/>
        </w:rPr>
        <w:t>配合监管部门处理投诉；</w:t>
      </w:r>
    </w:p>
    <w:p w14:paraId="1E4AEE26">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.8</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小组成员有下列情形之一的，应当回避</w:t>
      </w:r>
      <w:r>
        <w:rPr>
          <w:rFonts w:ascii="仿宋" w:hAnsi="仿宋" w:eastAsia="仿宋" w:cs="Times New Roman"/>
          <w:color w:val="auto"/>
          <w:kern w:val="0"/>
          <w:sz w:val="24"/>
          <w:szCs w:val="24"/>
          <w:highlight w:val="none"/>
        </w:rPr>
        <w:t>：</w:t>
      </w:r>
    </w:p>
    <w:p w14:paraId="7FF173AD">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.8.1</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或者</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主要负责人的近亲属；</w:t>
      </w:r>
    </w:p>
    <w:p w14:paraId="0347E8FE">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.8.2</w:t>
      </w:r>
      <w:r>
        <w:rPr>
          <w:rFonts w:hint="eastAsia" w:ascii="仿宋" w:hAnsi="仿宋" w:eastAsia="仿宋" w:cs="Times New Roman"/>
          <w:color w:val="auto"/>
          <w:kern w:val="0"/>
          <w:sz w:val="24"/>
          <w:szCs w:val="24"/>
          <w:highlight w:val="none"/>
        </w:rPr>
        <w:t>项目主管部门或者行政监督部门的人员；</w:t>
      </w:r>
    </w:p>
    <w:p w14:paraId="38CB660A">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.8.3</w:t>
      </w:r>
      <w:r>
        <w:rPr>
          <w:rFonts w:hint="eastAsia" w:ascii="仿宋" w:hAnsi="仿宋" w:eastAsia="仿宋" w:cs="Times New Roman"/>
          <w:color w:val="auto"/>
          <w:kern w:val="0"/>
          <w:sz w:val="24"/>
          <w:szCs w:val="24"/>
          <w:highlight w:val="none"/>
        </w:rPr>
        <w:t>与</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有经济利益关系；</w:t>
      </w:r>
    </w:p>
    <w:p w14:paraId="0864A6F1">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.8.4</w:t>
      </w:r>
      <w:r>
        <w:rPr>
          <w:rFonts w:hint="eastAsia" w:ascii="仿宋" w:hAnsi="仿宋" w:eastAsia="仿宋" w:cs="Times New Roman"/>
          <w:color w:val="auto"/>
          <w:kern w:val="0"/>
          <w:sz w:val="24"/>
          <w:szCs w:val="24"/>
          <w:highlight w:val="none"/>
        </w:rPr>
        <w:t>曾因在采购、评审以及其他与政府采购有关系活动中从事违法行为而受到行政处罚或者刑事处罚的；</w:t>
      </w:r>
    </w:p>
    <w:p w14:paraId="56C06D40">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3</w:t>
      </w:r>
      <w:r>
        <w:rPr>
          <w:rFonts w:ascii="仿宋" w:hAnsi="仿宋" w:eastAsia="仿宋" w:cs="Times New Roman"/>
          <w:color w:val="auto"/>
          <w:kern w:val="0"/>
          <w:sz w:val="24"/>
          <w:szCs w:val="24"/>
          <w:highlight w:val="none"/>
        </w:rPr>
        <w:t>.8.5</w:t>
      </w:r>
      <w:r>
        <w:rPr>
          <w:rFonts w:hint="eastAsia" w:ascii="仿宋" w:hAnsi="仿宋" w:eastAsia="仿宋" w:cs="Times New Roman"/>
          <w:color w:val="auto"/>
          <w:kern w:val="0"/>
          <w:sz w:val="24"/>
          <w:szCs w:val="24"/>
          <w:highlight w:val="none"/>
        </w:rPr>
        <w:t>与</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有其他利害关系。</w:t>
      </w:r>
    </w:p>
    <w:p w14:paraId="71A026F4">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4评审程序</w:t>
      </w:r>
    </w:p>
    <w:p w14:paraId="25E8213A">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ascii="仿宋" w:hAnsi="仿宋" w:eastAsia="仿宋" w:cs="Times New Roman"/>
          <w:color w:val="auto"/>
          <w:kern w:val="0"/>
          <w:sz w:val="24"/>
          <w:szCs w:val="24"/>
          <w:highlight w:val="none"/>
        </w:rPr>
        <w:t>4.1</w:t>
      </w:r>
      <w:r>
        <w:rPr>
          <w:rFonts w:hint="eastAsia" w:ascii="仿宋" w:hAnsi="仿宋" w:eastAsia="仿宋" w:cs="Times New Roman"/>
          <w:color w:val="auto"/>
          <w:kern w:val="0"/>
          <w:sz w:val="24"/>
          <w:szCs w:val="24"/>
          <w:highlight w:val="none"/>
        </w:rPr>
        <w:t>宣布评审纪律以及回避提示；</w:t>
      </w:r>
    </w:p>
    <w:p w14:paraId="62D7A3F5">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ascii="仿宋" w:hAnsi="仿宋" w:eastAsia="仿宋" w:cs="Times New Roman"/>
          <w:color w:val="auto"/>
          <w:kern w:val="0"/>
          <w:sz w:val="24"/>
          <w:szCs w:val="24"/>
          <w:highlight w:val="none"/>
        </w:rPr>
        <w:t>4.2</w:t>
      </w:r>
      <w:r>
        <w:rPr>
          <w:rFonts w:hint="eastAsia" w:ascii="仿宋" w:hAnsi="仿宋" w:eastAsia="仿宋" w:cs="Times New Roman"/>
          <w:color w:val="auto"/>
          <w:kern w:val="0"/>
          <w:sz w:val="24"/>
          <w:szCs w:val="24"/>
          <w:highlight w:val="none"/>
        </w:rPr>
        <w:t>组织推荐</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小组组长；</w:t>
      </w:r>
    </w:p>
    <w:p w14:paraId="355E554A">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ascii="仿宋" w:hAnsi="仿宋" w:eastAsia="仿宋" w:cs="Times New Roman"/>
          <w:color w:val="auto"/>
          <w:kern w:val="0"/>
          <w:sz w:val="24"/>
          <w:szCs w:val="24"/>
          <w:highlight w:val="none"/>
        </w:rPr>
        <w:t>4.3</w:t>
      </w:r>
      <w:r>
        <w:rPr>
          <w:rFonts w:hint="eastAsia" w:ascii="仿宋" w:hAnsi="仿宋" w:eastAsia="仿宋" w:cs="Times New Roman"/>
          <w:color w:val="auto"/>
          <w:kern w:val="0"/>
          <w:sz w:val="24"/>
          <w:szCs w:val="24"/>
          <w:highlight w:val="none"/>
        </w:rPr>
        <w:t>资格性审查；</w:t>
      </w:r>
    </w:p>
    <w:p w14:paraId="1EB6CF85">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ascii="仿宋" w:hAnsi="仿宋" w:eastAsia="仿宋" w:cs="Times New Roman"/>
          <w:color w:val="auto"/>
          <w:kern w:val="0"/>
          <w:sz w:val="24"/>
          <w:szCs w:val="24"/>
          <w:highlight w:val="none"/>
        </w:rPr>
        <w:t>4.4</w:t>
      </w:r>
      <w:r>
        <w:rPr>
          <w:rFonts w:hint="eastAsia" w:ascii="仿宋" w:hAnsi="仿宋" w:eastAsia="仿宋" w:cs="Times New Roman"/>
          <w:color w:val="auto"/>
          <w:kern w:val="0"/>
          <w:sz w:val="24"/>
          <w:szCs w:val="24"/>
          <w:highlight w:val="none"/>
        </w:rPr>
        <w:t>符合性审查；</w:t>
      </w:r>
    </w:p>
    <w:p w14:paraId="2DF01579">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ascii="仿宋" w:hAnsi="仿宋" w:eastAsia="仿宋" w:cs="Times New Roman"/>
          <w:color w:val="auto"/>
          <w:kern w:val="0"/>
          <w:sz w:val="24"/>
          <w:szCs w:val="24"/>
          <w:highlight w:val="none"/>
        </w:rPr>
        <w:t>4.5</w:t>
      </w:r>
      <w:r>
        <w:rPr>
          <w:rFonts w:hint="eastAsia" w:ascii="仿宋" w:hAnsi="仿宋" w:eastAsia="仿宋" w:cs="Times New Roman"/>
          <w:color w:val="auto"/>
          <w:kern w:val="0"/>
          <w:sz w:val="24"/>
          <w:szCs w:val="24"/>
          <w:highlight w:val="none"/>
        </w:rPr>
        <w:t>技术评审；</w:t>
      </w:r>
    </w:p>
    <w:p w14:paraId="27E823A5">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ascii="仿宋" w:hAnsi="仿宋" w:eastAsia="仿宋" w:cs="Times New Roman"/>
          <w:color w:val="auto"/>
          <w:kern w:val="0"/>
          <w:sz w:val="24"/>
          <w:szCs w:val="24"/>
          <w:highlight w:val="none"/>
        </w:rPr>
        <w:t>4.6</w:t>
      </w:r>
      <w:r>
        <w:rPr>
          <w:rFonts w:hint="eastAsia" w:ascii="仿宋" w:hAnsi="仿宋" w:eastAsia="仿宋" w:cs="Times New Roman"/>
          <w:color w:val="auto"/>
          <w:kern w:val="0"/>
          <w:sz w:val="24"/>
          <w:szCs w:val="24"/>
          <w:highlight w:val="none"/>
        </w:rPr>
        <w:t>澄清有关问题；</w:t>
      </w:r>
    </w:p>
    <w:p w14:paraId="26643FF2">
      <w:pPr>
        <w:spacing w:line="360" w:lineRule="auto"/>
        <w:ind w:firstLine="480" w:firstLineChars="2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4.7</w:t>
      </w:r>
      <w:r>
        <w:rPr>
          <w:rFonts w:hint="eastAsia" w:ascii="仿宋" w:hAnsi="仿宋" w:eastAsia="仿宋" w:cs="Times New Roman"/>
          <w:color w:val="auto"/>
          <w:kern w:val="0"/>
          <w:sz w:val="24"/>
          <w:szCs w:val="24"/>
          <w:highlight w:val="none"/>
          <w:lang w:eastAsia="zh-CN"/>
        </w:rPr>
        <w:t>磋商</w:t>
      </w:r>
    </w:p>
    <w:p w14:paraId="41AFD956">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ascii="仿宋" w:hAnsi="仿宋" w:eastAsia="仿宋" w:cs="Times New Roman"/>
          <w:color w:val="auto"/>
          <w:kern w:val="0"/>
          <w:sz w:val="24"/>
          <w:szCs w:val="24"/>
          <w:highlight w:val="none"/>
        </w:rPr>
        <w:t>4.8</w:t>
      </w:r>
      <w:r>
        <w:rPr>
          <w:rFonts w:hint="eastAsia" w:ascii="仿宋" w:hAnsi="仿宋" w:eastAsia="仿宋" w:cs="Times New Roman"/>
          <w:color w:val="auto"/>
          <w:kern w:val="0"/>
          <w:sz w:val="24"/>
          <w:szCs w:val="24"/>
          <w:highlight w:val="none"/>
        </w:rPr>
        <w:t>确定成交</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或者推荐成交候选人名单；</w:t>
      </w:r>
    </w:p>
    <w:p w14:paraId="0A1BEA30">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ascii="仿宋" w:hAnsi="仿宋" w:eastAsia="仿宋" w:cs="Times New Roman"/>
          <w:color w:val="auto"/>
          <w:kern w:val="0"/>
          <w:sz w:val="24"/>
          <w:szCs w:val="24"/>
          <w:highlight w:val="none"/>
        </w:rPr>
        <w:t>4.9</w:t>
      </w:r>
      <w:r>
        <w:rPr>
          <w:rFonts w:hint="eastAsia" w:ascii="仿宋" w:hAnsi="仿宋" w:eastAsia="仿宋" w:cs="Times New Roman"/>
          <w:color w:val="auto"/>
          <w:kern w:val="0"/>
          <w:sz w:val="24"/>
          <w:szCs w:val="24"/>
          <w:highlight w:val="none"/>
        </w:rPr>
        <w:t>编写评审报告；</w:t>
      </w:r>
    </w:p>
    <w:p w14:paraId="65DEF3D4">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ascii="仿宋" w:hAnsi="仿宋" w:eastAsia="仿宋" w:cs="Times New Roman"/>
          <w:color w:val="auto"/>
          <w:kern w:val="0"/>
          <w:sz w:val="24"/>
          <w:szCs w:val="24"/>
          <w:highlight w:val="none"/>
        </w:rPr>
        <w:t>4.10</w:t>
      </w:r>
      <w:r>
        <w:rPr>
          <w:rFonts w:hint="eastAsia" w:ascii="仿宋" w:hAnsi="仿宋" w:eastAsia="仿宋" w:cs="Times New Roman"/>
          <w:color w:val="auto"/>
          <w:kern w:val="0"/>
          <w:sz w:val="24"/>
          <w:szCs w:val="24"/>
          <w:highlight w:val="none"/>
        </w:rPr>
        <w:t>宣布评审。</w:t>
      </w:r>
    </w:p>
    <w:p w14:paraId="30C030D7">
      <w:pPr>
        <w:spacing w:line="360" w:lineRule="auto"/>
        <w:ind w:firstLine="480" w:firstLineChars="200"/>
        <w:outlineLvl w:val="9"/>
        <w:rPr>
          <w:rFonts w:ascii="楷体" w:hAnsi="楷体" w:eastAsia="楷体" w:cs="Times New Roman"/>
          <w:color w:val="auto"/>
          <w:kern w:val="0"/>
          <w:sz w:val="28"/>
          <w:szCs w:val="28"/>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5评审</w:t>
      </w:r>
    </w:p>
    <w:p w14:paraId="6301EED3">
      <w:pPr>
        <w:spacing w:line="360" w:lineRule="auto"/>
        <w:ind w:firstLine="480" w:firstLineChars="200"/>
        <w:outlineLvl w:val="9"/>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5</w:t>
      </w: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rPr>
        <w:t>资格性审查</w:t>
      </w:r>
    </w:p>
    <w:p w14:paraId="7131F562">
      <w:pPr>
        <w:spacing w:line="360" w:lineRule="auto"/>
        <w:ind w:firstLine="480" w:firstLineChars="200"/>
        <w:outlineLvl w:val="9"/>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5</w:t>
      </w:r>
      <w:r>
        <w:rPr>
          <w:rFonts w:ascii="仿宋" w:hAnsi="仿宋" w:eastAsia="仿宋" w:cs="Times New Roman"/>
          <w:color w:val="auto"/>
          <w:kern w:val="0"/>
          <w:sz w:val="24"/>
          <w:szCs w:val="24"/>
          <w:highlight w:val="none"/>
        </w:rPr>
        <w:t>.1.1</w:t>
      </w:r>
      <w:r>
        <w:rPr>
          <w:rFonts w:hint="eastAsia" w:ascii="仿宋" w:hAnsi="仿宋" w:eastAsia="仿宋" w:cs="Times New Roman"/>
          <w:color w:val="auto"/>
          <w:kern w:val="0"/>
          <w:sz w:val="24"/>
          <w:szCs w:val="24"/>
          <w:highlight w:val="none"/>
          <w:lang w:eastAsia="zh-CN"/>
        </w:rPr>
        <w:t>磋商</w:t>
      </w:r>
      <w:r>
        <w:rPr>
          <w:rFonts w:ascii="仿宋" w:hAnsi="仿宋" w:eastAsia="仿宋" w:cs="Times New Roman"/>
          <w:color w:val="auto"/>
          <w:kern w:val="0"/>
          <w:sz w:val="24"/>
          <w:szCs w:val="24"/>
          <w:highlight w:val="none"/>
        </w:rPr>
        <w:t>小组</w:t>
      </w:r>
      <w:r>
        <w:rPr>
          <w:rFonts w:hint="eastAsia" w:ascii="仿宋" w:hAnsi="仿宋" w:eastAsia="仿宋" w:cs="Times New Roman"/>
          <w:color w:val="auto"/>
          <w:kern w:val="0"/>
          <w:sz w:val="24"/>
          <w:szCs w:val="24"/>
          <w:highlight w:val="none"/>
        </w:rPr>
        <w:t>依据法律法规和采购文件的规定，对响应文件中的资格证明、保证金等进行审查，以确定</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是否具备报价资格。</w:t>
      </w:r>
    </w:p>
    <w:p w14:paraId="6940AF5C">
      <w:pPr>
        <w:spacing w:line="360" w:lineRule="auto"/>
        <w:ind w:firstLine="480" w:firstLineChars="200"/>
        <w:outlineLvl w:val="9"/>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5.1.2</w:t>
      </w:r>
      <w:r>
        <w:rPr>
          <w:rFonts w:hint="eastAsia" w:ascii="仿宋" w:hAnsi="仿宋" w:eastAsia="仿宋" w:cs="Times New Roman"/>
          <w:color w:val="auto"/>
          <w:kern w:val="0"/>
          <w:sz w:val="24"/>
          <w:szCs w:val="24"/>
          <w:highlight w:val="none"/>
          <w:lang w:val="en-US" w:eastAsia="zh-CN"/>
        </w:rPr>
        <w:t>磋商小组</w:t>
      </w:r>
      <w:r>
        <w:rPr>
          <w:rFonts w:hint="eastAsia" w:ascii="仿宋" w:hAnsi="仿宋" w:eastAsia="仿宋" w:cs="Times New Roman"/>
          <w:color w:val="auto"/>
          <w:kern w:val="0"/>
          <w:sz w:val="24"/>
          <w:szCs w:val="24"/>
          <w:highlight w:val="none"/>
        </w:rPr>
        <w:t>通过“信用中国”网站、中国政府采购查询</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信用记录，查询时要将查询网页、内容进行截图或拍照，以作证据留存，截图或拍照内容要完整清晰，应包括网站网址、查询内容、电脑截屏时间。</w:t>
      </w:r>
      <w:r>
        <w:rPr>
          <w:rFonts w:hint="eastAsia" w:ascii="仿宋" w:hAnsi="仿宋" w:eastAsia="仿宋" w:cs="Times New Roman"/>
          <w:color w:val="auto"/>
          <w:kern w:val="0"/>
          <w:sz w:val="24"/>
          <w:szCs w:val="24"/>
          <w:highlight w:val="none"/>
          <w:lang w:val="en-US" w:eastAsia="zh-CN"/>
        </w:rPr>
        <w:t>磋商小组</w:t>
      </w:r>
      <w:r>
        <w:rPr>
          <w:rFonts w:hint="eastAsia" w:ascii="仿宋" w:hAnsi="仿宋" w:eastAsia="仿宋" w:cs="Times New Roman"/>
          <w:color w:val="auto"/>
          <w:kern w:val="0"/>
          <w:sz w:val="24"/>
          <w:szCs w:val="24"/>
          <w:highlight w:val="none"/>
        </w:rPr>
        <w:t>应当对</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信用记录进行甄别，对列入失信被执行人、重大税收违法案件当事人名单、政府采购严重违法失信行为记录名单及其他不符合《中华人民共和国政府采购法》第二十二条规定条件的</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，应当拒绝其参加政府采购活动，其响应无效；两个以上的自然人、法人或者其他组织组成一个联合体，以一个</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的身份共同参加政府采购活动的，应当对所有联合体成员进行信用记录查询，联合体成员存在不良信用记录的，视同联合体存在不良信用记录，其响应无效。</w:t>
      </w:r>
    </w:p>
    <w:p w14:paraId="39007C13">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信用信息查询记录及相关证据应当与其他采购文件一并保存。</w:t>
      </w:r>
    </w:p>
    <w:p w14:paraId="3D05D6E0">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5</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符合性审查</w:t>
      </w:r>
    </w:p>
    <w:p w14:paraId="55DD6157">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小组依据采购文件的规定，从响应文件的有效性、完整性和对采购文件的响应程度进行审查，以确定是否对采购文件的实质性要求作出响应。</w:t>
      </w:r>
    </w:p>
    <w:p w14:paraId="1BE144CB">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5</w:t>
      </w:r>
      <w:r>
        <w:rPr>
          <w:rFonts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rPr>
        <w:t>在资格性和符合性审查同时，对属于不合格</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或者</w:t>
      </w:r>
      <w:r>
        <w:rPr>
          <w:rFonts w:hint="eastAsia" w:ascii="仿宋" w:hAnsi="仿宋" w:eastAsia="仿宋" w:cs="仿宋"/>
          <w:color w:val="auto"/>
          <w:kern w:val="0"/>
          <w:sz w:val="24"/>
          <w:highlight w:val="none"/>
          <w:lang w:val="zh-CN"/>
        </w:rPr>
        <w:t>采购人或者其委托公证人员依据法律法规和采购文件的规定，分别与供应商共同对其商务部分响应文件中的资格证明、保证金等进行审查，以确定供应商是否具备报价资格，填写资格审查表并签字确认后，提交磋商小组审核</w:t>
      </w:r>
      <w:r>
        <w:rPr>
          <w:rFonts w:hint="eastAsia" w:ascii="仿宋" w:hAnsi="仿宋" w:eastAsia="仿宋" w:cs="Times New Roman"/>
          <w:color w:val="auto"/>
          <w:kern w:val="0"/>
          <w:sz w:val="24"/>
          <w:szCs w:val="24"/>
          <w:highlight w:val="none"/>
        </w:rPr>
        <w:t>的</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小组必须提出不合格或者响应无效的事实依据，并出具不合格或者响应无效说明，</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签字确认。</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签字确认后</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小组全体成员签字。</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拒绝签字确认的不影响</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小组做出的不合格或无效裁定。</w:t>
      </w:r>
    </w:p>
    <w:p w14:paraId="70E5CD36">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18.5.4技术评审</w:t>
      </w:r>
    </w:p>
    <w:p w14:paraId="025BFB39">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谈判小组根据项目实际情况对各供应商的技术文件进行审查。</w:t>
      </w:r>
    </w:p>
    <w:p w14:paraId="6FF2F032">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6澄清有关问题</w:t>
      </w:r>
    </w:p>
    <w:p w14:paraId="0D8827C5">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6</w:t>
      </w: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rPr>
        <w:t>对响应文件中含义不明确、同类问题表述不一致或者有明显文字和计算错误的内容，</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小组应以书面形式要求</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做出必要的澄清、承诺、说明或者纠正。</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的澄清、承诺、说明或者纠正应采取书面形式，由法定代表人或者被授权代表签字，并不得超出响应文件的范围或者改变响应文件的实质性内容。</w:t>
      </w:r>
    </w:p>
    <w:p w14:paraId="1B03AC22">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6</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小组判断响应文件的响应性仅基于响应文件本身而不靠外部因素。未响应实质性条款的，</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小组有权确定其响应无效，</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不能通过修正、撤销或者澄清不符之处而使其报价成为实质性响应的报价。</w:t>
      </w:r>
    </w:p>
    <w:p w14:paraId="07E45C56">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6.</w:t>
      </w:r>
      <w:r>
        <w:rPr>
          <w:rFonts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lang w:eastAsia="zh-CN"/>
        </w:rPr>
        <w:t>磋商</w:t>
      </w:r>
      <w:r>
        <w:rPr>
          <w:rFonts w:hint="eastAsia" w:ascii="仿宋" w:hAnsi="仿宋" w:eastAsia="仿宋" w:cs="Times New Roman"/>
          <w:color w:val="auto"/>
          <w:kern w:val="0"/>
          <w:sz w:val="24"/>
          <w:szCs w:val="24"/>
          <w:highlight w:val="none"/>
        </w:rPr>
        <w:t>小组可以允许</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修改或者澄清其响应文件中不构成实质偏离的、微小的、非正规的不一致或者不规则的地方。</w:t>
      </w:r>
    </w:p>
    <w:p w14:paraId="0BAA29FA">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18.6.4响应文件计算错误的修正。谈判小组在对实质上响应采购文件要求的响应文件进行评估时，除采购文件另有约定外，须进行修正的，应符合下列原则：</w:t>
      </w:r>
    </w:p>
    <w:p w14:paraId="4DD59E25">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18.6.4.1响应文件以正本为准。响应文件中《开标一览表》内容与分项报价、明细表内容不一致的，以《开标一览表》为准；大写金额和小写金额不一致的，以大写金额为准；单价与工程量的乘积与总价之间不一致时，以单价为准，单价明显不合理的可以进行纠偏；对不同文字文本响应文件的解释发生异议的，以中文文本为准；用数字表示的数额与用文字表示的数额不一致时，以文字数额为准。</w:t>
      </w:r>
    </w:p>
    <w:p w14:paraId="73DD42D2">
      <w:pPr>
        <w:spacing w:line="360" w:lineRule="auto"/>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18.6.4.2按前款规定调整后的报价，经供应商确认后产生约束力。</w:t>
      </w:r>
    </w:p>
    <w:p w14:paraId="506D4317">
      <w:pPr>
        <w:spacing w:line="360" w:lineRule="auto"/>
        <w:ind w:firstLine="480" w:firstLineChars="200"/>
        <w:rPr>
          <w:rFonts w:hint="eastAsia" w:ascii="仿宋" w:hAnsi="仿宋" w:eastAsia="仿宋" w:cs="Times New Roman"/>
          <w:color w:val="auto"/>
          <w:kern w:val="0"/>
          <w:sz w:val="24"/>
          <w:szCs w:val="24"/>
          <w:highlight w:val="none"/>
          <w:lang w:val="en-GB" w:eastAsia="zh-CN"/>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lang w:val="en-GB"/>
        </w:rPr>
        <w:t>7</w:t>
      </w:r>
      <w:r>
        <w:rPr>
          <w:rFonts w:hint="eastAsia" w:ascii="仿宋" w:hAnsi="仿宋" w:eastAsia="仿宋" w:cs="Times New Roman"/>
          <w:color w:val="auto"/>
          <w:kern w:val="0"/>
          <w:sz w:val="24"/>
          <w:szCs w:val="24"/>
          <w:highlight w:val="none"/>
          <w:lang w:val="en-GB" w:eastAsia="zh-CN"/>
        </w:rPr>
        <w:t>磋商</w:t>
      </w:r>
    </w:p>
    <w:p w14:paraId="21F048A1">
      <w:pPr>
        <w:spacing w:line="360" w:lineRule="auto"/>
        <w:ind w:firstLine="480" w:firstLineChars="200"/>
        <w:rPr>
          <w:rFonts w:hint="eastAsia" w:ascii="仿宋" w:hAnsi="仿宋" w:eastAsia="仿宋" w:cs="Times New Roman"/>
          <w:color w:val="auto"/>
          <w:kern w:val="0"/>
          <w:sz w:val="24"/>
          <w:szCs w:val="24"/>
          <w:highlight w:val="none"/>
          <w:lang w:val="en-GB"/>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7</w:t>
      </w: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lang w:val="en-GB" w:eastAsia="zh-CN"/>
        </w:rPr>
        <w:t>磋商</w:t>
      </w:r>
      <w:r>
        <w:rPr>
          <w:rFonts w:hint="eastAsia" w:ascii="仿宋" w:hAnsi="仿宋" w:eastAsia="仿宋" w:cs="Times New Roman"/>
          <w:color w:val="auto"/>
          <w:kern w:val="0"/>
          <w:sz w:val="24"/>
          <w:szCs w:val="24"/>
          <w:highlight w:val="none"/>
          <w:lang w:val="en-GB"/>
        </w:rPr>
        <w:t>前，</w:t>
      </w:r>
      <w:r>
        <w:rPr>
          <w:rFonts w:hint="eastAsia" w:ascii="仿宋" w:hAnsi="仿宋" w:eastAsia="仿宋" w:cs="Times New Roman"/>
          <w:color w:val="auto"/>
          <w:kern w:val="0"/>
          <w:sz w:val="24"/>
          <w:szCs w:val="24"/>
          <w:highlight w:val="none"/>
          <w:lang w:val="en-GB" w:eastAsia="zh-CN"/>
        </w:rPr>
        <w:t>磋商</w:t>
      </w:r>
      <w:r>
        <w:rPr>
          <w:rFonts w:hint="eastAsia" w:ascii="仿宋" w:hAnsi="仿宋" w:eastAsia="仿宋" w:cs="Times New Roman"/>
          <w:color w:val="auto"/>
          <w:kern w:val="0"/>
          <w:sz w:val="24"/>
          <w:szCs w:val="24"/>
          <w:highlight w:val="none"/>
          <w:lang w:val="en-GB"/>
        </w:rPr>
        <w:t>小组应核实</w:t>
      </w:r>
      <w:r>
        <w:rPr>
          <w:rFonts w:hint="eastAsia" w:ascii="仿宋" w:hAnsi="仿宋" w:eastAsia="仿宋" w:cs="Times New Roman"/>
          <w:color w:val="auto"/>
          <w:kern w:val="0"/>
          <w:sz w:val="24"/>
          <w:szCs w:val="24"/>
          <w:highlight w:val="none"/>
          <w:lang w:val="en-GB" w:eastAsia="zh-CN"/>
        </w:rPr>
        <w:t>供应商</w:t>
      </w:r>
      <w:r>
        <w:rPr>
          <w:rFonts w:hint="eastAsia" w:ascii="仿宋" w:hAnsi="仿宋" w:eastAsia="仿宋" w:cs="Times New Roman"/>
          <w:color w:val="auto"/>
          <w:kern w:val="0"/>
          <w:sz w:val="24"/>
          <w:szCs w:val="24"/>
          <w:highlight w:val="none"/>
          <w:lang w:val="en-GB"/>
        </w:rPr>
        <w:t>对统一</w:t>
      </w:r>
      <w:r>
        <w:rPr>
          <w:rFonts w:hint="eastAsia" w:ascii="仿宋" w:hAnsi="仿宋" w:eastAsia="仿宋" w:cs="Times New Roman"/>
          <w:color w:val="auto"/>
          <w:kern w:val="0"/>
          <w:sz w:val="24"/>
          <w:szCs w:val="24"/>
          <w:highlight w:val="none"/>
          <w:lang w:val="en-GB" w:eastAsia="zh-CN"/>
        </w:rPr>
        <w:t>磋商</w:t>
      </w:r>
      <w:r>
        <w:rPr>
          <w:rFonts w:hint="eastAsia" w:ascii="仿宋" w:hAnsi="仿宋" w:eastAsia="仿宋" w:cs="Times New Roman"/>
          <w:color w:val="auto"/>
          <w:kern w:val="0"/>
          <w:sz w:val="24"/>
          <w:szCs w:val="24"/>
          <w:highlight w:val="none"/>
          <w:lang w:val="en-GB"/>
        </w:rPr>
        <w:t>技术标准（包括强制性标准和行业标准）等是否全部承诺或者确认。</w:t>
      </w:r>
    </w:p>
    <w:p w14:paraId="2770367F">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lang w:val="en-GB"/>
        </w:rPr>
        <w:t>7.2</w:t>
      </w:r>
      <w:r>
        <w:rPr>
          <w:rFonts w:hint="eastAsia" w:ascii="仿宋" w:hAnsi="仿宋" w:eastAsia="仿宋" w:cs="Times New Roman"/>
          <w:color w:val="auto"/>
          <w:kern w:val="0"/>
          <w:sz w:val="24"/>
          <w:szCs w:val="24"/>
          <w:highlight w:val="none"/>
          <w:lang w:val="en-GB" w:eastAsia="zh-CN"/>
        </w:rPr>
        <w:t>磋商</w:t>
      </w:r>
      <w:r>
        <w:rPr>
          <w:rFonts w:hint="eastAsia" w:ascii="仿宋" w:hAnsi="仿宋" w:eastAsia="仿宋" w:cs="Times New Roman"/>
          <w:color w:val="auto"/>
          <w:kern w:val="0"/>
          <w:sz w:val="24"/>
          <w:szCs w:val="24"/>
          <w:highlight w:val="none"/>
          <w:lang w:val="en-GB"/>
        </w:rPr>
        <w:t>小组所有成员集中与单一</w:t>
      </w:r>
      <w:r>
        <w:rPr>
          <w:rFonts w:hint="eastAsia" w:ascii="仿宋" w:hAnsi="仿宋" w:eastAsia="仿宋" w:cs="Times New Roman"/>
          <w:color w:val="auto"/>
          <w:kern w:val="0"/>
          <w:sz w:val="24"/>
          <w:szCs w:val="24"/>
          <w:highlight w:val="none"/>
          <w:lang w:val="en-GB" w:eastAsia="zh-CN"/>
        </w:rPr>
        <w:t>供应商</w:t>
      </w:r>
      <w:r>
        <w:rPr>
          <w:rFonts w:hint="eastAsia" w:ascii="仿宋" w:hAnsi="仿宋" w:eastAsia="仿宋" w:cs="Times New Roman"/>
          <w:color w:val="auto"/>
          <w:kern w:val="0"/>
          <w:sz w:val="24"/>
          <w:szCs w:val="24"/>
          <w:highlight w:val="none"/>
          <w:lang w:val="en-GB"/>
        </w:rPr>
        <w:t>进行</w:t>
      </w:r>
      <w:r>
        <w:rPr>
          <w:rFonts w:hint="eastAsia" w:ascii="仿宋" w:hAnsi="仿宋" w:eastAsia="仿宋" w:cs="Times New Roman"/>
          <w:color w:val="auto"/>
          <w:kern w:val="0"/>
          <w:sz w:val="24"/>
          <w:szCs w:val="24"/>
          <w:highlight w:val="none"/>
          <w:lang w:val="en-GB" w:eastAsia="zh-CN"/>
        </w:rPr>
        <w:t>磋商</w:t>
      </w:r>
      <w:r>
        <w:rPr>
          <w:rFonts w:hint="eastAsia" w:ascii="仿宋" w:hAnsi="仿宋" w:eastAsia="仿宋" w:cs="Times New Roman"/>
          <w:color w:val="auto"/>
          <w:kern w:val="0"/>
          <w:sz w:val="24"/>
          <w:szCs w:val="24"/>
          <w:highlight w:val="none"/>
          <w:lang w:val="en-GB"/>
        </w:rPr>
        <w:t>。在</w:t>
      </w:r>
      <w:r>
        <w:rPr>
          <w:rFonts w:hint="eastAsia" w:ascii="仿宋" w:hAnsi="仿宋" w:eastAsia="仿宋" w:cs="Times New Roman"/>
          <w:color w:val="auto"/>
          <w:kern w:val="0"/>
          <w:sz w:val="24"/>
          <w:szCs w:val="24"/>
          <w:highlight w:val="none"/>
          <w:lang w:val="en-GB" w:eastAsia="zh-CN"/>
        </w:rPr>
        <w:t>磋商</w:t>
      </w:r>
      <w:r>
        <w:rPr>
          <w:rFonts w:hint="eastAsia" w:ascii="仿宋" w:hAnsi="仿宋" w:eastAsia="仿宋" w:cs="Times New Roman"/>
          <w:color w:val="auto"/>
          <w:kern w:val="0"/>
          <w:sz w:val="24"/>
          <w:szCs w:val="24"/>
          <w:highlight w:val="none"/>
          <w:lang w:val="en-GB"/>
        </w:rPr>
        <w:t>中，</w:t>
      </w:r>
      <w:r>
        <w:rPr>
          <w:rFonts w:hint="eastAsia" w:ascii="仿宋" w:hAnsi="仿宋" w:eastAsia="仿宋" w:cs="Times New Roman"/>
          <w:color w:val="auto"/>
          <w:kern w:val="0"/>
          <w:sz w:val="24"/>
          <w:szCs w:val="24"/>
          <w:highlight w:val="none"/>
          <w:lang w:val="en-GB" w:eastAsia="zh-CN"/>
        </w:rPr>
        <w:t>磋商</w:t>
      </w:r>
      <w:r>
        <w:rPr>
          <w:rFonts w:hint="eastAsia" w:ascii="仿宋" w:hAnsi="仿宋" w:eastAsia="仿宋" w:cs="Times New Roman"/>
          <w:color w:val="auto"/>
          <w:kern w:val="0"/>
          <w:sz w:val="24"/>
          <w:szCs w:val="24"/>
          <w:highlight w:val="none"/>
          <w:lang w:val="en-GB"/>
        </w:rPr>
        <w:t>的任何一方不得透露与</w:t>
      </w:r>
      <w:r>
        <w:rPr>
          <w:rFonts w:hint="eastAsia" w:ascii="仿宋" w:hAnsi="仿宋" w:eastAsia="仿宋" w:cs="Times New Roman"/>
          <w:color w:val="auto"/>
          <w:kern w:val="0"/>
          <w:sz w:val="24"/>
          <w:szCs w:val="24"/>
          <w:highlight w:val="none"/>
          <w:lang w:val="en-GB" w:eastAsia="zh-CN"/>
        </w:rPr>
        <w:t>磋商</w:t>
      </w:r>
      <w:r>
        <w:rPr>
          <w:rFonts w:hint="eastAsia" w:ascii="仿宋" w:hAnsi="仿宋" w:eastAsia="仿宋" w:cs="Times New Roman"/>
          <w:color w:val="auto"/>
          <w:kern w:val="0"/>
          <w:sz w:val="24"/>
          <w:szCs w:val="24"/>
          <w:highlight w:val="none"/>
          <w:lang w:val="en-GB"/>
        </w:rPr>
        <w:t>有关的其他</w:t>
      </w:r>
      <w:r>
        <w:rPr>
          <w:rFonts w:hint="eastAsia" w:ascii="仿宋" w:hAnsi="仿宋" w:eastAsia="仿宋" w:cs="Times New Roman"/>
          <w:color w:val="auto"/>
          <w:kern w:val="0"/>
          <w:sz w:val="24"/>
          <w:szCs w:val="24"/>
          <w:highlight w:val="none"/>
          <w:lang w:val="en-GB" w:eastAsia="zh-CN"/>
        </w:rPr>
        <w:t>供应商</w:t>
      </w:r>
      <w:r>
        <w:rPr>
          <w:rFonts w:hint="eastAsia" w:ascii="仿宋" w:hAnsi="仿宋" w:eastAsia="仿宋" w:cs="Times New Roman"/>
          <w:color w:val="auto"/>
          <w:kern w:val="0"/>
          <w:sz w:val="24"/>
          <w:szCs w:val="24"/>
          <w:highlight w:val="none"/>
          <w:lang w:val="en-GB"/>
        </w:rPr>
        <w:t>的技术资料、价格和其他信息。</w:t>
      </w:r>
    </w:p>
    <w:p w14:paraId="26D4B08F">
      <w:pPr>
        <w:spacing w:line="360" w:lineRule="auto"/>
        <w:ind w:firstLine="480" w:firstLineChars="200"/>
        <w:rPr>
          <w:rFonts w:hint="eastAsia" w:ascii="仿宋" w:hAnsi="仿宋" w:eastAsia="仿宋" w:cs="Times New Roman"/>
          <w:color w:val="auto"/>
          <w:kern w:val="0"/>
          <w:sz w:val="24"/>
          <w:szCs w:val="24"/>
          <w:highlight w:val="none"/>
          <w:lang w:val="en-GB"/>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7</w:t>
      </w:r>
      <w:r>
        <w:rPr>
          <w:rFonts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rPr>
        <w:t>本次响应报价实行</w:t>
      </w:r>
      <w:r>
        <w:rPr>
          <w:rFonts w:hint="eastAsia" w:ascii="仿宋" w:hAnsi="仿宋" w:eastAsia="仿宋" w:cs="Times New Roman"/>
          <w:color w:val="auto"/>
          <w:kern w:val="0"/>
          <w:sz w:val="24"/>
          <w:szCs w:val="24"/>
          <w:highlight w:val="none"/>
          <w:lang w:eastAsia="zh-CN"/>
        </w:rPr>
        <w:t>两</w:t>
      </w:r>
      <w:r>
        <w:rPr>
          <w:rFonts w:hint="eastAsia" w:ascii="仿宋" w:hAnsi="仿宋" w:eastAsia="仿宋" w:cs="Times New Roman"/>
          <w:color w:val="auto"/>
          <w:kern w:val="0"/>
          <w:sz w:val="24"/>
          <w:szCs w:val="24"/>
          <w:highlight w:val="none"/>
        </w:rPr>
        <w:t>轮报价，原则上第</w:t>
      </w:r>
      <w:r>
        <w:rPr>
          <w:rFonts w:hint="eastAsia" w:ascii="仿宋" w:hAnsi="仿宋" w:eastAsia="仿宋" w:cs="Times New Roman"/>
          <w:color w:val="auto"/>
          <w:kern w:val="0"/>
          <w:sz w:val="24"/>
          <w:szCs w:val="24"/>
          <w:highlight w:val="none"/>
          <w:lang w:eastAsia="zh-CN"/>
        </w:rPr>
        <w:t>二</w:t>
      </w:r>
      <w:r>
        <w:rPr>
          <w:rFonts w:hint="eastAsia" w:ascii="仿宋" w:hAnsi="仿宋" w:eastAsia="仿宋" w:cs="Times New Roman"/>
          <w:color w:val="auto"/>
          <w:kern w:val="0"/>
          <w:sz w:val="24"/>
          <w:szCs w:val="24"/>
          <w:highlight w:val="none"/>
        </w:rPr>
        <w:t>轮报价为最终报价</w:t>
      </w:r>
      <w:r>
        <w:rPr>
          <w:rFonts w:hint="eastAsia" w:ascii="仿宋" w:hAnsi="仿宋" w:eastAsia="仿宋" w:cs="Times New Roman"/>
          <w:color w:val="auto"/>
          <w:kern w:val="0"/>
          <w:sz w:val="24"/>
          <w:szCs w:val="24"/>
          <w:highlight w:val="none"/>
          <w:lang w:val="en-GB"/>
        </w:rPr>
        <w:t>。超过</w:t>
      </w:r>
      <w:r>
        <w:rPr>
          <w:rFonts w:hint="eastAsia" w:ascii="仿宋" w:hAnsi="仿宋" w:eastAsia="仿宋" w:cs="Times New Roman"/>
          <w:color w:val="auto"/>
          <w:kern w:val="0"/>
          <w:sz w:val="24"/>
          <w:szCs w:val="24"/>
          <w:highlight w:val="none"/>
          <w:lang w:val="en-GB" w:eastAsia="zh-CN"/>
        </w:rPr>
        <w:t>二</w:t>
      </w:r>
      <w:r>
        <w:rPr>
          <w:rFonts w:hint="eastAsia" w:ascii="仿宋" w:hAnsi="仿宋" w:eastAsia="仿宋" w:cs="Times New Roman"/>
          <w:color w:val="auto"/>
          <w:kern w:val="0"/>
          <w:sz w:val="24"/>
          <w:szCs w:val="24"/>
          <w:highlight w:val="none"/>
          <w:lang w:val="en-GB"/>
        </w:rPr>
        <w:t>轮报价的由磋商小组现场集体决定</w:t>
      </w:r>
      <w:r>
        <w:rPr>
          <w:rFonts w:hint="eastAsia" w:ascii="仿宋" w:hAnsi="仿宋" w:eastAsia="仿宋" w:cs="Times New Roman"/>
          <w:color w:val="auto"/>
          <w:kern w:val="0"/>
          <w:sz w:val="24"/>
          <w:szCs w:val="24"/>
          <w:highlight w:val="none"/>
          <w:lang w:val="en-GB" w:eastAsia="zh-CN"/>
        </w:rPr>
        <w:t>是否继续报价</w:t>
      </w:r>
      <w:r>
        <w:rPr>
          <w:rFonts w:hint="eastAsia" w:ascii="仿宋" w:hAnsi="仿宋" w:eastAsia="仿宋" w:cs="Times New Roman"/>
          <w:color w:val="auto"/>
          <w:kern w:val="0"/>
          <w:sz w:val="24"/>
          <w:szCs w:val="24"/>
          <w:highlight w:val="none"/>
          <w:lang w:val="en-GB"/>
        </w:rPr>
        <w:t>，磋商文件能够详细列明采购标的的技术、服务要求的，磋商结束后，磋商小组应当要求所有实质性响应的供应商在规定时间内提交最后报价，提交最后报价的供应商不得少于3家。</w:t>
      </w:r>
    </w:p>
    <w:p w14:paraId="06C78F56">
      <w:pPr>
        <w:spacing w:line="360" w:lineRule="auto"/>
        <w:ind w:firstLine="480" w:firstLineChars="200"/>
        <w:rPr>
          <w:rFonts w:hint="eastAsia" w:ascii="仿宋" w:hAnsi="仿宋" w:eastAsia="仿宋" w:cs="Times New Roman"/>
          <w:color w:val="auto"/>
          <w:kern w:val="0"/>
          <w:sz w:val="24"/>
          <w:szCs w:val="24"/>
          <w:highlight w:val="none"/>
          <w:lang w:val="en-GB"/>
        </w:rPr>
      </w:pPr>
      <w:r>
        <w:rPr>
          <w:rFonts w:hint="eastAsia" w:ascii="仿宋" w:hAnsi="仿宋" w:eastAsia="仿宋" w:cs="Times New Roman"/>
          <w:color w:val="auto"/>
          <w:kern w:val="0"/>
          <w:sz w:val="24"/>
          <w:szCs w:val="24"/>
          <w:highlight w:val="none"/>
          <w:lang w:val="en-GB"/>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A33E56B">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GB"/>
        </w:rPr>
        <w:t>最后报价是供应商响应文件的有效组成部分。市场竞争不充分的科研项目，以及需要扶持的科技成果转化项目，提交最后报价的供应商可以为2家。</w:t>
      </w:r>
    </w:p>
    <w:p w14:paraId="6D47DEBA">
      <w:pPr>
        <w:spacing w:line="360" w:lineRule="auto"/>
        <w:ind w:firstLine="480" w:firstLineChars="200"/>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8成交</w:t>
      </w:r>
    </w:p>
    <w:p w14:paraId="06A347C7">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8.1本项目</w:t>
      </w:r>
      <w:r>
        <w:rPr>
          <w:rFonts w:hint="eastAsia" w:ascii="仿宋" w:hAnsi="仿宋" w:eastAsia="仿宋" w:cs="Times New Roman"/>
          <w:color w:val="auto"/>
          <w:kern w:val="0"/>
          <w:sz w:val="24"/>
          <w:szCs w:val="24"/>
          <w:highlight w:val="none"/>
          <w:lang w:eastAsia="zh-CN"/>
        </w:rPr>
        <w:t>评审</w:t>
      </w:r>
      <w:r>
        <w:rPr>
          <w:rFonts w:hint="eastAsia" w:ascii="仿宋" w:hAnsi="仿宋" w:eastAsia="仿宋" w:cs="Times New Roman"/>
          <w:color w:val="auto"/>
          <w:kern w:val="0"/>
          <w:sz w:val="24"/>
          <w:szCs w:val="24"/>
          <w:highlight w:val="none"/>
        </w:rPr>
        <w:t>办法为综合评分法。</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对满足</w:t>
      </w:r>
      <w:r>
        <w:rPr>
          <w:rFonts w:hint="eastAsia" w:ascii="仿宋" w:hAnsi="仿宋" w:eastAsia="仿宋" w:cs="Times New Roman"/>
          <w:color w:val="auto"/>
          <w:kern w:val="0"/>
          <w:sz w:val="24"/>
          <w:szCs w:val="24"/>
          <w:highlight w:val="none"/>
          <w:lang w:eastAsia="zh-CN"/>
        </w:rPr>
        <w:t>磋商文件</w:t>
      </w:r>
      <w:r>
        <w:rPr>
          <w:rFonts w:hint="eastAsia" w:ascii="仿宋" w:hAnsi="仿宋" w:eastAsia="仿宋" w:cs="Times New Roman"/>
          <w:color w:val="auto"/>
          <w:kern w:val="0"/>
          <w:sz w:val="24"/>
          <w:szCs w:val="24"/>
          <w:highlight w:val="none"/>
        </w:rPr>
        <w:t>实质性要求的</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，按照本章第2.3、2.4款规定的评分标准进行打分，并按综合得分由高到低顺序推荐中标候选人，或根据</w:t>
      </w:r>
      <w:r>
        <w:rPr>
          <w:rFonts w:hint="eastAsia" w:ascii="仿宋" w:hAnsi="仿宋" w:eastAsia="仿宋" w:cs="Times New Roman"/>
          <w:color w:val="auto"/>
          <w:kern w:val="0"/>
          <w:sz w:val="24"/>
          <w:szCs w:val="24"/>
          <w:highlight w:val="none"/>
          <w:lang w:eastAsia="zh-CN"/>
        </w:rPr>
        <w:t>采购人</w:t>
      </w:r>
      <w:r>
        <w:rPr>
          <w:rFonts w:hint="eastAsia" w:ascii="仿宋" w:hAnsi="仿宋" w:eastAsia="仿宋" w:cs="Times New Roman"/>
          <w:color w:val="auto"/>
          <w:kern w:val="0"/>
          <w:sz w:val="24"/>
          <w:szCs w:val="24"/>
          <w:highlight w:val="none"/>
        </w:rPr>
        <w:t>授权直接确定中标人。综合评分相等时，以</w:t>
      </w:r>
      <w:r>
        <w:rPr>
          <w:rFonts w:hint="eastAsia" w:ascii="仿宋" w:hAnsi="仿宋" w:eastAsia="仿宋" w:cs="Times New Roman"/>
          <w:color w:val="auto"/>
          <w:kern w:val="0"/>
          <w:sz w:val="24"/>
          <w:szCs w:val="24"/>
          <w:highlight w:val="none"/>
          <w:lang w:eastAsia="zh-CN"/>
        </w:rPr>
        <w:t>报价</w:t>
      </w:r>
      <w:r>
        <w:rPr>
          <w:rFonts w:hint="eastAsia" w:ascii="仿宋" w:hAnsi="仿宋" w:eastAsia="仿宋" w:cs="Times New Roman"/>
          <w:color w:val="auto"/>
          <w:kern w:val="0"/>
          <w:sz w:val="24"/>
          <w:szCs w:val="24"/>
          <w:highlight w:val="none"/>
        </w:rPr>
        <w:t>低的优先；</w:t>
      </w:r>
      <w:r>
        <w:rPr>
          <w:rFonts w:hint="eastAsia" w:ascii="仿宋" w:hAnsi="仿宋" w:eastAsia="仿宋" w:cs="Times New Roman"/>
          <w:color w:val="auto"/>
          <w:kern w:val="0"/>
          <w:sz w:val="24"/>
          <w:szCs w:val="24"/>
          <w:highlight w:val="none"/>
          <w:lang w:eastAsia="zh-CN"/>
        </w:rPr>
        <w:t>报价</w:t>
      </w:r>
      <w:r>
        <w:rPr>
          <w:rFonts w:hint="eastAsia" w:ascii="仿宋" w:hAnsi="仿宋" w:eastAsia="仿宋" w:cs="Times New Roman"/>
          <w:color w:val="auto"/>
          <w:kern w:val="0"/>
          <w:sz w:val="24"/>
          <w:szCs w:val="24"/>
          <w:highlight w:val="none"/>
        </w:rPr>
        <w:t>也相等的，由</w:t>
      </w:r>
      <w:r>
        <w:rPr>
          <w:rFonts w:hint="eastAsia" w:ascii="仿宋" w:hAnsi="仿宋" w:eastAsia="仿宋" w:cs="Times New Roman"/>
          <w:color w:val="auto"/>
          <w:kern w:val="0"/>
          <w:sz w:val="24"/>
          <w:szCs w:val="24"/>
          <w:highlight w:val="none"/>
          <w:lang w:eastAsia="zh-CN"/>
        </w:rPr>
        <w:t>采购人</w:t>
      </w:r>
      <w:r>
        <w:rPr>
          <w:rFonts w:hint="eastAsia" w:ascii="仿宋" w:hAnsi="仿宋" w:eastAsia="仿宋" w:cs="Times New Roman"/>
          <w:color w:val="auto"/>
          <w:kern w:val="0"/>
          <w:sz w:val="24"/>
          <w:szCs w:val="24"/>
          <w:highlight w:val="none"/>
        </w:rPr>
        <w:t>自行确定。</w:t>
      </w:r>
    </w:p>
    <w:p w14:paraId="6036A841">
      <w:pPr>
        <w:spacing w:line="360" w:lineRule="auto"/>
        <w:ind w:firstLine="480" w:firstLineChars="200"/>
        <w:rPr>
          <w:rFonts w:hint="eastAsia" w:ascii="仿宋" w:hAnsi="仿宋" w:eastAsia="仿宋" w:cs="Arial"/>
          <w:color w:val="auto"/>
          <w:kern w:val="0"/>
          <w:sz w:val="24"/>
          <w:highlight w:val="none"/>
          <w:lang w:val="en-GB"/>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Times New Roman"/>
          <w:color w:val="auto"/>
          <w:kern w:val="0"/>
          <w:sz w:val="24"/>
          <w:szCs w:val="24"/>
          <w:highlight w:val="none"/>
        </w:rPr>
        <w:t>8.2</w:t>
      </w:r>
      <w:r>
        <w:rPr>
          <w:rFonts w:hint="eastAsia" w:ascii="仿宋" w:hAnsi="仿宋" w:eastAsia="仿宋" w:cs="Arial"/>
          <w:color w:val="auto"/>
          <w:kern w:val="0"/>
          <w:sz w:val="24"/>
          <w:highlight w:val="none"/>
          <w:lang w:val="en-GB"/>
        </w:rPr>
        <w:t>采购人授权</w:t>
      </w:r>
      <w:r>
        <w:rPr>
          <w:rFonts w:hint="eastAsia" w:ascii="仿宋" w:hAnsi="仿宋" w:eastAsia="仿宋" w:cs="Arial"/>
          <w:color w:val="auto"/>
          <w:kern w:val="0"/>
          <w:sz w:val="24"/>
          <w:highlight w:val="none"/>
          <w:lang w:val="en-GB" w:eastAsia="zh-CN"/>
        </w:rPr>
        <w:t>磋商</w:t>
      </w:r>
      <w:r>
        <w:rPr>
          <w:rFonts w:hint="eastAsia" w:ascii="仿宋" w:hAnsi="仿宋" w:eastAsia="仿宋" w:cs="Arial"/>
          <w:color w:val="auto"/>
          <w:kern w:val="0"/>
          <w:sz w:val="24"/>
          <w:highlight w:val="none"/>
          <w:lang w:val="en-GB"/>
        </w:rPr>
        <w:t>小组确定成交</w:t>
      </w:r>
      <w:r>
        <w:rPr>
          <w:rFonts w:hint="eastAsia" w:ascii="仿宋" w:hAnsi="仿宋" w:eastAsia="仿宋" w:cs="Arial"/>
          <w:color w:val="auto"/>
          <w:kern w:val="0"/>
          <w:sz w:val="24"/>
          <w:highlight w:val="none"/>
          <w:lang w:val="en-GB" w:eastAsia="zh-CN"/>
        </w:rPr>
        <w:t>供应商</w:t>
      </w:r>
      <w:r>
        <w:rPr>
          <w:rFonts w:hint="eastAsia" w:ascii="仿宋" w:hAnsi="仿宋" w:eastAsia="仿宋" w:cs="Arial"/>
          <w:color w:val="auto"/>
          <w:kern w:val="0"/>
          <w:sz w:val="24"/>
          <w:highlight w:val="none"/>
          <w:lang w:val="en-GB"/>
        </w:rPr>
        <w:t>的，最终报价结束后，</w:t>
      </w:r>
      <w:r>
        <w:rPr>
          <w:rFonts w:hint="eastAsia" w:ascii="仿宋" w:hAnsi="仿宋" w:eastAsia="仿宋" w:cs="Arial"/>
          <w:color w:val="auto"/>
          <w:kern w:val="0"/>
          <w:sz w:val="24"/>
          <w:highlight w:val="none"/>
          <w:lang w:val="en-GB" w:eastAsia="zh-CN"/>
        </w:rPr>
        <w:t>磋商</w:t>
      </w:r>
      <w:r>
        <w:rPr>
          <w:rFonts w:hint="eastAsia" w:ascii="仿宋" w:hAnsi="仿宋" w:eastAsia="仿宋" w:cs="Arial"/>
          <w:color w:val="auto"/>
          <w:kern w:val="0"/>
          <w:sz w:val="24"/>
          <w:highlight w:val="none"/>
          <w:lang w:val="en-GB"/>
        </w:rPr>
        <w:t>小组按照上述的规定，对</w:t>
      </w:r>
      <w:r>
        <w:rPr>
          <w:rFonts w:hint="eastAsia" w:ascii="仿宋" w:hAnsi="仿宋" w:eastAsia="仿宋" w:cs="Arial"/>
          <w:color w:val="auto"/>
          <w:kern w:val="0"/>
          <w:sz w:val="24"/>
          <w:highlight w:val="none"/>
          <w:lang w:val="en-GB" w:eastAsia="zh-CN"/>
        </w:rPr>
        <w:t>供应商</w:t>
      </w:r>
      <w:r>
        <w:rPr>
          <w:rFonts w:hint="eastAsia" w:ascii="仿宋" w:hAnsi="仿宋" w:eastAsia="仿宋" w:cs="Arial"/>
          <w:color w:val="auto"/>
          <w:kern w:val="0"/>
          <w:sz w:val="24"/>
          <w:highlight w:val="none"/>
          <w:lang w:val="en-GB"/>
        </w:rPr>
        <w:t>进行排序并确定排序第一的为成交</w:t>
      </w:r>
      <w:r>
        <w:rPr>
          <w:rFonts w:hint="eastAsia" w:ascii="仿宋" w:hAnsi="仿宋" w:eastAsia="仿宋" w:cs="Arial"/>
          <w:color w:val="auto"/>
          <w:kern w:val="0"/>
          <w:sz w:val="24"/>
          <w:highlight w:val="none"/>
          <w:lang w:val="en-GB" w:eastAsia="zh-CN"/>
        </w:rPr>
        <w:t>供应商</w:t>
      </w:r>
      <w:r>
        <w:rPr>
          <w:rFonts w:hint="eastAsia" w:ascii="仿宋" w:hAnsi="仿宋" w:eastAsia="仿宋" w:cs="Arial"/>
          <w:color w:val="auto"/>
          <w:kern w:val="0"/>
          <w:sz w:val="24"/>
          <w:highlight w:val="none"/>
          <w:lang w:val="en-GB"/>
        </w:rPr>
        <w:t>；</w:t>
      </w:r>
    </w:p>
    <w:p w14:paraId="22C6C350">
      <w:pPr>
        <w:spacing w:line="360" w:lineRule="auto"/>
        <w:ind w:firstLine="480" w:firstLineChars="200"/>
        <w:rPr>
          <w:rFonts w:hint="eastAsia" w:ascii="仿宋" w:hAnsi="仿宋" w:eastAsia="仿宋" w:cs="Arial"/>
          <w:color w:val="auto"/>
          <w:kern w:val="0"/>
          <w:sz w:val="24"/>
          <w:highlight w:val="none"/>
          <w:lang w:val="en-GB"/>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Arial"/>
          <w:color w:val="auto"/>
          <w:kern w:val="0"/>
          <w:sz w:val="24"/>
          <w:highlight w:val="none"/>
          <w:lang w:val="en-GB"/>
        </w:rPr>
        <w:t>8.3</w:t>
      </w:r>
      <w:r>
        <w:rPr>
          <w:rFonts w:hint="eastAsia" w:ascii="仿宋" w:hAnsi="仿宋" w:eastAsia="仿宋" w:cs="仿宋"/>
          <w:color w:val="auto"/>
          <w:kern w:val="0"/>
          <w:sz w:val="24"/>
          <w:highlight w:val="none"/>
          <w:lang w:val="zh-CN"/>
        </w:rPr>
        <w:t>采购文件规定推荐成交候选供应商的，成交候选供应商数量应当根据采购需要并在采购活动开始前确定，由磋商小组按照上述规定的评审办法确定各供应商排列顺序，依照顺序推荐成交候选供应商，并出具评审报告，采购人应当在收到评审报告后5个工作日内，从评审报告提出的成交候选人中，根据质量和服务均能满足采购文件实质性响应要求且最后</w:t>
      </w:r>
      <w:r>
        <w:rPr>
          <w:rFonts w:hint="eastAsia" w:ascii="仿宋" w:hAnsi="仿宋" w:eastAsia="仿宋" w:cs="仿宋"/>
          <w:color w:val="auto"/>
          <w:kern w:val="0"/>
          <w:sz w:val="24"/>
          <w:highlight w:val="none"/>
          <w:lang w:val="en-US" w:eastAsia="zh-CN"/>
        </w:rPr>
        <w:t>综合得分最高</w:t>
      </w:r>
      <w:r>
        <w:rPr>
          <w:rFonts w:hint="eastAsia" w:ascii="仿宋" w:hAnsi="仿宋" w:eastAsia="仿宋" w:cs="仿宋"/>
          <w:color w:val="auto"/>
          <w:kern w:val="0"/>
          <w:sz w:val="24"/>
          <w:highlight w:val="none"/>
          <w:lang w:val="zh-CN"/>
        </w:rPr>
        <w:t>的原则确定成交供应商。</w:t>
      </w:r>
    </w:p>
    <w:p w14:paraId="33ED0625">
      <w:pPr>
        <w:spacing w:line="360" w:lineRule="auto"/>
        <w:ind w:firstLine="482"/>
        <w:rPr>
          <w:rFonts w:hint="eastAsia" w:ascii="仿宋" w:hAnsi="仿宋" w:eastAsia="仿宋" w:cs="仿宋"/>
          <w:color w:val="auto"/>
          <w:kern w:val="0"/>
          <w:sz w:val="24"/>
          <w:highlight w:val="none"/>
          <w:lang w:val="zh-CN"/>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仿宋"/>
          <w:color w:val="auto"/>
          <w:kern w:val="0"/>
          <w:sz w:val="24"/>
          <w:highlight w:val="none"/>
          <w:lang w:val="zh-CN"/>
        </w:rPr>
        <w:t>8.4中标或者成交供应商拒绝与采购人签订合同的，采购人可以按照评审报告推荐的中标或者成交候选人名单排序，确定下一候选人为中标或者成交供应商，也可以重新开展政府采购活动。</w:t>
      </w:r>
    </w:p>
    <w:p w14:paraId="1F0297E5">
      <w:pPr>
        <w:spacing w:line="360" w:lineRule="auto"/>
        <w:ind w:firstLine="480" w:firstLineChars="200"/>
        <w:rPr>
          <w:rFonts w:hint="eastAsia" w:ascii="仿宋" w:hAnsi="仿宋" w:eastAsia="仿宋" w:cs="Arial"/>
          <w:color w:val="auto"/>
          <w:kern w:val="0"/>
          <w:sz w:val="24"/>
          <w:highlight w:val="none"/>
        </w:rPr>
      </w:pPr>
      <w:r>
        <w:rPr>
          <w:rFonts w:hint="eastAsia" w:ascii="仿宋" w:hAnsi="仿宋" w:eastAsia="仿宋" w:cs="Times New Roman"/>
          <w:color w:val="auto"/>
          <w:kern w:val="0"/>
          <w:sz w:val="24"/>
          <w:szCs w:val="24"/>
          <w:highlight w:val="none"/>
          <w:lang w:val="en-US" w:eastAsia="zh-CN"/>
        </w:rPr>
        <w:t>18.</w:t>
      </w:r>
      <w:r>
        <w:rPr>
          <w:rFonts w:hint="eastAsia" w:ascii="仿宋" w:hAnsi="仿宋" w:eastAsia="仿宋" w:cs="Arial"/>
          <w:color w:val="auto"/>
          <w:kern w:val="0"/>
          <w:sz w:val="24"/>
          <w:highlight w:val="none"/>
          <w:lang w:val="en-GB"/>
        </w:rPr>
        <w:t>8.5</w:t>
      </w:r>
      <w:r>
        <w:rPr>
          <w:rFonts w:hint="eastAsia" w:ascii="仿宋" w:hAnsi="仿宋" w:eastAsia="仿宋" w:cs="Arial"/>
          <w:color w:val="auto"/>
          <w:kern w:val="0"/>
          <w:sz w:val="24"/>
          <w:highlight w:val="none"/>
          <w:lang w:val="en-GB" w:eastAsia="zh-CN"/>
        </w:rPr>
        <w:t>磋商</w:t>
      </w:r>
      <w:r>
        <w:rPr>
          <w:rFonts w:hint="eastAsia" w:ascii="仿宋" w:hAnsi="仿宋" w:eastAsia="仿宋" w:cs="Arial"/>
          <w:color w:val="auto"/>
          <w:kern w:val="0"/>
          <w:sz w:val="24"/>
          <w:highlight w:val="none"/>
          <w:lang w:val="en-GB"/>
        </w:rPr>
        <w:t>结果应通知所有参加</w:t>
      </w:r>
      <w:r>
        <w:rPr>
          <w:rFonts w:hint="eastAsia" w:ascii="仿宋" w:hAnsi="仿宋" w:eastAsia="仿宋" w:cs="Arial"/>
          <w:color w:val="auto"/>
          <w:kern w:val="0"/>
          <w:sz w:val="24"/>
          <w:highlight w:val="none"/>
          <w:lang w:val="en-GB" w:eastAsia="zh-CN"/>
        </w:rPr>
        <w:t>磋商</w:t>
      </w:r>
      <w:r>
        <w:rPr>
          <w:rFonts w:hint="eastAsia" w:ascii="仿宋" w:hAnsi="仿宋" w:eastAsia="仿宋" w:cs="Arial"/>
          <w:color w:val="auto"/>
          <w:kern w:val="0"/>
          <w:sz w:val="24"/>
          <w:highlight w:val="none"/>
          <w:lang w:val="en-GB"/>
        </w:rPr>
        <w:t>的</w:t>
      </w:r>
      <w:r>
        <w:rPr>
          <w:rFonts w:hint="eastAsia" w:ascii="仿宋" w:hAnsi="仿宋" w:eastAsia="仿宋" w:cs="Arial"/>
          <w:color w:val="auto"/>
          <w:kern w:val="0"/>
          <w:sz w:val="24"/>
          <w:highlight w:val="none"/>
          <w:lang w:val="en-GB" w:eastAsia="zh-CN"/>
        </w:rPr>
        <w:t>供应商</w:t>
      </w:r>
      <w:r>
        <w:rPr>
          <w:rFonts w:hint="eastAsia" w:ascii="仿宋" w:hAnsi="仿宋" w:eastAsia="仿宋" w:cs="Arial"/>
          <w:color w:val="auto"/>
          <w:kern w:val="0"/>
          <w:sz w:val="24"/>
          <w:highlight w:val="none"/>
          <w:lang w:val="en-GB"/>
        </w:rPr>
        <w:t>。</w:t>
      </w:r>
    </w:p>
    <w:p w14:paraId="39740B7E">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18.9</w:t>
      </w:r>
      <w:r>
        <w:rPr>
          <w:rFonts w:hint="eastAsia" w:ascii="仿宋" w:hAnsi="仿宋" w:eastAsia="仿宋" w:cs="仿宋"/>
          <w:color w:val="auto"/>
          <w:kern w:val="0"/>
          <w:sz w:val="24"/>
          <w:szCs w:val="24"/>
          <w:highlight w:val="none"/>
        </w:rPr>
        <w:t>成交结果公告以及成交通知书</w:t>
      </w:r>
    </w:p>
    <w:p w14:paraId="1AD3787B">
      <w:pPr>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18.9.</w:t>
      </w:r>
      <w:r>
        <w:rPr>
          <w:rFonts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采购人或者采购代理机构应当自公告成交结果</w:t>
      </w:r>
      <w:r>
        <w:rPr>
          <w:rFonts w:hint="eastAsia" w:ascii="仿宋" w:hAnsi="仿宋" w:eastAsia="仿宋" w:cs="仿宋"/>
          <w:color w:val="auto"/>
          <w:kern w:val="0"/>
          <w:sz w:val="24"/>
          <w:szCs w:val="24"/>
          <w:highlight w:val="none"/>
          <w:lang w:val="en-US" w:eastAsia="zh-CN"/>
        </w:rPr>
        <w:t>公示之后</w:t>
      </w:r>
      <w:r>
        <w:rPr>
          <w:rFonts w:hint="eastAsia" w:ascii="仿宋" w:hAnsi="仿宋" w:eastAsia="仿宋" w:cs="仿宋"/>
          <w:color w:val="auto"/>
          <w:kern w:val="0"/>
          <w:sz w:val="24"/>
          <w:szCs w:val="24"/>
          <w:highlight w:val="none"/>
        </w:rPr>
        <w:t>，发出成交通知书</w:t>
      </w:r>
      <w:r>
        <w:rPr>
          <w:rFonts w:hint="eastAsia" w:ascii="仿宋" w:hAnsi="仿宋" w:eastAsia="仿宋" w:cs="仿宋"/>
          <w:color w:val="auto"/>
          <w:kern w:val="0"/>
          <w:sz w:val="24"/>
          <w:szCs w:val="24"/>
          <w:highlight w:val="none"/>
          <w:lang w:eastAsia="zh-CN"/>
        </w:rPr>
        <w:t>。</w:t>
      </w:r>
    </w:p>
    <w:p w14:paraId="4AF8EB7E">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18.9.</w:t>
      </w:r>
      <w:r>
        <w:rPr>
          <w:rFonts w:hint="eastAsia" w:ascii="仿宋" w:hAnsi="仿宋" w:eastAsia="仿宋" w:cs="仿宋"/>
          <w:color w:val="auto"/>
          <w:kern w:val="0"/>
          <w:sz w:val="24"/>
          <w:szCs w:val="24"/>
          <w:highlight w:val="none"/>
        </w:rPr>
        <w:t>2采购人或采购代理机构不按照规定发布成交结果公告或者发布成交结果公告后不签发成交通知书的，应当承担法律责任，给成交</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造成经济损失的应承担赔偿责任。</w:t>
      </w:r>
    </w:p>
    <w:p w14:paraId="34CCAA95">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18.9.</w:t>
      </w:r>
      <w:r>
        <w:rPr>
          <w:rStyle w:val="24"/>
          <w:rFonts w:hint="eastAsia" w:cs="Times New Roman"/>
          <w:color w:val="auto"/>
          <w:sz w:val="24"/>
          <w:szCs w:val="24"/>
          <w:highlight w:val="none"/>
        </w:rPr>
        <w:t>3成交通知书对采购人和成交</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都具有法律效力。成交通知书发出后，采购人改变成交结果的，或者成交</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放弃成交，应当依法承担法律责任。</w:t>
      </w:r>
    </w:p>
    <w:p w14:paraId="49732135">
      <w:pPr>
        <w:spacing w:line="360" w:lineRule="auto"/>
        <w:ind w:firstLine="480" w:firstLineChars="200"/>
        <w:rPr>
          <w:rStyle w:val="24"/>
          <w:rFonts w:hint="eastAsia"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lang w:eastAsia="zh-CN"/>
        </w:rPr>
        <w:t>18.10</w:t>
      </w:r>
      <w:r>
        <w:rPr>
          <w:rStyle w:val="24"/>
          <w:rFonts w:hint="eastAsia" w:cs="Times New Roman"/>
          <w:color w:val="auto"/>
          <w:sz w:val="24"/>
          <w:szCs w:val="24"/>
          <w:highlight w:val="none"/>
        </w:rPr>
        <w:t>响应无效</w:t>
      </w:r>
    </w:p>
    <w:p w14:paraId="42011BEE">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rPr>
        <w:t>出现下列情形之一的，响应无效：</w:t>
      </w:r>
    </w:p>
    <w:p w14:paraId="446C0E81">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18.10.</w:t>
      </w:r>
      <w:r>
        <w:rPr>
          <w:rStyle w:val="24"/>
          <w:rFonts w:cs="Times New Roman"/>
          <w:color w:val="auto"/>
          <w:sz w:val="24"/>
          <w:szCs w:val="24"/>
          <w:highlight w:val="none"/>
        </w:rPr>
        <w:t>1</w:t>
      </w:r>
      <w:r>
        <w:rPr>
          <w:rStyle w:val="24"/>
          <w:rFonts w:hint="eastAsia" w:cs="Times New Roman"/>
          <w:color w:val="auto"/>
          <w:sz w:val="24"/>
          <w:szCs w:val="24"/>
          <w:highlight w:val="none"/>
        </w:rPr>
        <w:t>响应报价高于采购预算的；</w:t>
      </w:r>
    </w:p>
    <w:p w14:paraId="325D8C45">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18.10.</w:t>
      </w:r>
      <w:r>
        <w:rPr>
          <w:rStyle w:val="24"/>
          <w:rFonts w:cs="Times New Roman"/>
          <w:color w:val="auto"/>
          <w:sz w:val="24"/>
          <w:szCs w:val="24"/>
          <w:highlight w:val="none"/>
        </w:rPr>
        <w:t>2</w:t>
      </w:r>
      <w:r>
        <w:rPr>
          <w:rStyle w:val="24"/>
          <w:rFonts w:hint="eastAsia" w:cs="Times New Roman"/>
          <w:color w:val="auto"/>
          <w:sz w:val="24"/>
          <w:szCs w:val="24"/>
          <w:highlight w:val="none"/>
        </w:rPr>
        <w:t>对“★”条款未做出实质性响应或者发生负偏离的；</w:t>
      </w:r>
    </w:p>
    <w:p w14:paraId="295B412C">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18.10.</w:t>
      </w:r>
      <w:r>
        <w:rPr>
          <w:rStyle w:val="24"/>
          <w:rFonts w:hint="eastAsia" w:cs="Times New Roman"/>
          <w:color w:val="auto"/>
          <w:sz w:val="24"/>
          <w:szCs w:val="24"/>
          <w:highlight w:val="none"/>
        </w:rPr>
        <w:t>3应提供而未提供带“▲”标注的政府强制采购节能产品的；</w:t>
      </w:r>
    </w:p>
    <w:p w14:paraId="016D242F">
      <w:pPr>
        <w:spacing w:line="360" w:lineRule="auto"/>
        <w:ind w:firstLine="480" w:firstLineChars="200"/>
        <w:rPr>
          <w:rStyle w:val="24"/>
          <w:rFonts w:hint="eastAsia"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18.10.</w:t>
      </w:r>
      <w:r>
        <w:rPr>
          <w:rStyle w:val="24"/>
          <w:rFonts w:hint="eastAsia" w:cs="Times New Roman"/>
          <w:color w:val="auto"/>
          <w:sz w:val="24"/>
          <w:szCs w:val="24"/>
          <w:highlight w:val="none"/>
        </w:rPr>
        <w:t>4对允许偏离的非实质性条款，偏离采购文件规定的偏离范围和幅度的；</w:t>
      </w:r>
    </w:p>
    <w:p w14:paraId="0099E888">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18.10.</w:t>
      </w:r>
      <w:r>
        <w:rPr>
          <w:rStyle w:val="24"/>
          <w:rFonts w:hint="eastAsia" w:cs="Times New Roman"/>
          <w:color w:val="auto"/>
          <w:sz w:val="24"/>
          <w:szCs w:val="24"/>
          <w:highlight w:val="none"/>
        </w:rPr>
        <w:t>5不按照采购文件规定报价、没有分项报价、拒绝报价、有多个报价（采购文件另有规定的除外）、有选择性报价、附有条件的报价或者拒绝修正报价的；</w:t>
      </w:r>
    </w:p>
    <w:p w14:paraId="5EA8ED79">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18.10.</w:t>
      </w:r>
      <w:r>
        <w:rPr>
          <w:rStyle w:val="24"/>
          <w:rFonts w:hint="eastAsia" w:cs="Times New Roman"/>
          <w:color w:val="auto"/>
          <w:sz w:val="24"/>
          <w:szCs w:val="24"/>
          <w:highlight w:val="none"/>
        </w:rPr>
        <w:t>7</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未按采购文件要求</w:t>
      </w:r>
      <w:r>
        <w:rPr>
          <w:rStyle w:val="24"/>
          <w:rFonts w:hint="eastAsia" w:eastAsia="仿宋" w:cs="Times New Roman"/>
          <w:color w:val="auto"/>
          <w:sz w:val="24"/>
          <w:szCs w:val="24"/>
          <w:highlight w:val="none"/>
          <w:lang w:eastAsia="zh-CN"/>
        </w:rPr>
        <w:t>缴纳</w:t>
      </w:r>
      <w:r>
        <w:rPr>
          <w:rStyle w:val="24"/>
          <w:rFonts w:hint="eastAsia" w:cs="Times New Roman"/>
          <w:color w:val="auto"/>
          <w:sz w:val="24"/>
          <w:szCs w:val="24"/>
          <w:highlight w:val="none"/>
        </w:rPr>
        <w:t>保证金的；</w:t>
      </w:r>
    </w:p>
    <w:p w14:paraId="0F681339">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18.10.</w:t>
      </w:r>
      <w:r>
        <w:rPr>
          <w:rStyle w:val="24"/>
          <w:rFonts w:hint="eastAsia" w:cs="Times New Roman"/>
          <w:color w:val="auto"/>
          <w:sz w:val="24"/>
          <w:szCs w:val="24"/>
          <w:highlight w:val="none"/>
        </w:rPr>
        <w:t>8报价有效期不满足采购文件要求的；</w:t>
      </w:r>
    </w:p>
    <w:p w14:paraId="6DFEE536">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18.10.</w:t>
      </w:r>
      <w:r>
        <w:rPr>
          <w:rStyle w:val="24"/>
          <w:rFonts w:hint="eastAsia" w:eastAsia="仿宋" w:cs="Times New Roman"/>
          <w:color w:val="auto"/>
          <w:sz w:val="24"/>
          <w:szCs w:val="24"/>
          <w:highlight w:val="none"/>
          <w:lang w:val="en-US" w:eastAsia="zh-CN"/>
        </w:rPr>
        <w:t>9</w:t>
      </w:r>
      <w:r>
        <w:rPr>
          <w:rStyle w:val="24"/>
          <w:rFonts w:hint="eastAsia" w:eastAsia="仿宋" w:cs="Times New Roman"/>
          <w:color w:val="auto"/>
          <w:sz w:val="24"/>
          <w:szCs w:val="24"/>
          <w:highlight w:val="none"/>
          <w:lang w:eastAsia="zh-CN"/>
        </w:rPr>
        <w:t>磋商</w:t>
      </w:r>
      <w:r>
        <w:rPr>
          <w:rStyle w:val="24"/>
          <w:rFonts w:hint="eastAsia" w:cs="Times New Roman"/>
          <w:color w:val="auto"/>
          <w:sz w:val="24"/>
          <w:szCs w:val="24"/>
          <w:highlight w:val="none"/>
        </w:rPr>
        <w:t>小组</w:t>
      </w:r>
      <w:r>
        <w:rPr>
          <w:rStyle w:val="24"/>
          <w:rFonts w:cs="Times New Roman"/>
          <w:color w:val="auto"/>
          <w:sz w:val="24"/>
          <w:szCs w:val="24"/>
          <w:highlight w:val="none"/>
        </w:rPr>
        <w:t>2/3</w:t>
      </w:r>
      <w:r>
        <w:rPr>
          <w:rStyle w:val="24"/>
          <w:rFonts w:hint="eastAsia" w:cs="Times New Roman"/>
          <w:color w:val="auto"/>
          <w:sz w:val="24"/>
          <w:szCs w:val="24"/>
          <w:highlight w:val="none"/>
        </w:rPr>
        <w:t>及以上成员认定报价方案技术含量低、偏离范围超出允许幅度、不符合采购文件要求的；</w:t>
      </w:r>
    </w:p>
    <w:p w14:paraId="4712DF03">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18.10.</w:t>
      </w:r>
      <w:r>
        <w:rPr>
          <w:rStyle w:val="24"/>
          <w:rFonts w:cs="Times New Roman"/>
          <w:color w:val="auto"/>
          <w:sz w:val="24"/>
          <w:szCs w:val="24"/>
          <w:highlight w:val="none"/>
        </w:rPr>
        <w:t>1</w:t>
      </w:r>
      <w:r>
        <w:rPr>
          <w:rStyle w:val="24"/>
          <w:rFonts w:hint="eastAsia" w:eastAsia="仿宋" w:cs="Times New Roman"/>
          <w:color w:val="auto"/>
          <w:sz w:val="24"/>
          <w:szCs w:val="24"/>
          <w:highlight w:val="none"/>
          <w:lang w:val="en-US" w:eastAsia="zh-CN"/>
        </w:rPr>
        <w:t>0</w:t>
      </w:r>
      <w:r>
        <w:rPr>
          <w:rStyle w:val="24"/>
          <w:rFonts w:hint="eastAsia" w:eastAsia="仿宋" w:cs="Times New Roman"/>
          <w:color w:val="auto"/>
          <w:sz w:val="24"/>
          <w:szCs w:val="24"/>
          <w:highlight w:val="none"/>
          <w:lang w:eastAsia="zh-CN"/>
        </w:rPr>
        <w:t>磋商</w:t>
      </w:r>
      <w:r>
        <w:rPr>
          <w:rStyle w:val="24"/>
          <w:rFonts w:hint="eastAsia" w:cs="Times New Roman"/>
          <w:color w:val="auto"/>
          <w:sz w:val="24"/>
          <w:szCs w:val="24"/>
          <w:highlight w:val="none"/>
        </w:rPr>
        <w:t>小组判定</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涂改证明材料或者提供虚假材料和承诺的；</w:t>
      </w:r>
    </w:p>
    <w:p w14:paraId="52634BFE">
      <w:pPr>
        <w:spacing w:line="360" w:lineRule="auto"/>
        <w:ind w:firstLine="480" w:firstLineChars="200"/>
        <w:rPr>
          <w:rStyle w:val="24"/>
          <w:rFonts w:hint="eastAsia"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18.10.</w:t>
      </w:r>
      <w:r>
        <w:rPr>
          <w:rStyle w:val="24"/>
          <w:rFonts w:cs="Times New Roman"/>
          <w:color w:val="auto"/>
          <w:sz w:val="24"/>
          <w:szCs w:val="24"/>
          <w:highlight w:val="none"/>
        </w:rPr>
        <w:t>1</w:t>
      </w:r>
      <w:r>
        <w:rPr>
          <w:rStyle w:val="24"/>
          <w:rFonts w:hint="eastAsia" w:eastAsia="仿宋" w:cs="Times New Roman"/>
          <w:color w:val="auto"/>
          <w:sz w:val="24"/>
          <w:szCs w:val="24"/>
          <w:highlight w:val="none"/>
          <w:lang w:val="en-US" w:eastAsia="zh-CN"/>
        </w:rPr>
        <w:t>1</w:t>
      </w:r>
      <w:r>
        <w:rPr>
          <w:rStyle w:val="24"/>
          <w:rFonts w:hint="eastAsia" w:cs="Times New Roman"/>
          <w:color w:val="auto"/>
          <w:sz w:val="24"/>
          <w:szCs w:val="24"/>
          <w:highlight w:val="none"/>
        </w:rPr>
        <w:t>未按采购文件规定编制、签署、盖章、响应文件的；</w:t>
      </w:r>
    </w:p>
    <w:p w14:paraId="29331679">
      <w:pPr>
        <w:spacing w:line="360" w:lineRule="auto"/>
        <w:ind w:firstLine="480" w:firstLineChars="200"/>
        <w:rPr>
          <w:rStyle w:val="24"/>
          <w:rFonts w:hint="eastAsia"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18.10.</w:t>
      </w:r>
      <w:r>
        <w:rPr>
          <w:rStyle w:val="24"/>
          <w:rFonts w:hint="eastAsia" w:cs="Times New Roman"/>
          <w:color w:val="auto"/>
          <w:sz w:val="24"/>
          <w:szCs w:val="24"/>
          <w:highlight w:val="none"/>
        </w:rPr>
        <w:t>1</w:t>
      </w:r>
      <w:r>
        <w:rPr>
          <w:rStyle w:val="24"/>
          <w:rFonts w:hint="eastAsia" w:eastAsia="仿宋" w:cs="Times New Roman"/>
          <w:color w:val="auto"/>
          <w:sz w:val="24"/>
          <w:szCs w:val="24"/>
          <w:highlight w:val="none"/>
          <w:lang w:val="en-US" w:eastAsia="zh-CN"/>
        </w:rPr>
        <w:t>4</w:t>
      </w:r>
      <w:r>
        <w:rPr>
          <w:rStyle w:val="24"/>
          <w:rFonts w:hint="eastAsia" w:cs="Times New Roman"/>
          <w:color w:val="auto"/>
          <w:sz w:val="24"/>
          <w:szCs w:val="24"/>
          <w:highlight w:val="none"/>
        </w:rPr>
        <w:t>不符合法律、法规和采购文件中规定的其他要求的。</w:t>
      </w:r>
    </w:p>
    <w:p w14:paraId="404F8511">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rPr>
        <w:t>对响应无效的认定，必须经</w:t>
      </w:r>
      <w:r>
        <w:rPr>
          <w:rStyle w:val="24"/>
          <w:rFonts w:hint="eastAsia" w:eastAsia="仿宋" w:cs="Times New Roman"/>
          <w:color w:val="auto"/>
          <w:sz w:val="24"/>
          <w:szCs w:val="24"/>
          <w:highlight w:val="none"/>
          <w:lang w:eastAsia="zh-CN"/>
        </w:rPr>
        <w:t>磋商</w:t>
      </w:r>
      <w:r>
        <w:rPr>
          <w:rStyle w:val="24"/>
          <w:rFonts w:hint="eastAsia" w:cs="Times New Roman"/>
          <w:color w:val="auto"/>
          <w:sz w:val="24"/>
          <w:szCs w:val="24"/>
          <w:highlight w:val="none"/>
        </w:rPr>
        <w:t>小组集体做出决定并出具响应无效的事实依据，由</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法定代表人或者被授权代表签字确认，拒绝签字的，不影响</w:t>
      </w:r>
      <w:r>
        <w:rPr>
          <w:rStyle w:val="24"/>
          <w:rFonts w:hint="eastAsia" w:eastAsia="仿宋" w:cs="Times New Roman"/>
          <w:color w:val="auto"/>
          <w:sz w:val="24"/>
          <w:szCs w:val="24"/>
          <w:highlight w:val="none"/>
          <w:lang w:eastAsia="zh-CN"/>
        </w:rPr>
        <w:t>磋商</w:t>
      </w:r>
      <w:r>
        <w:rPr>
          <w:rStyle w:val="24"/>
          <w:rFonts w:hint="eastAsia" w:cs="Times New Roman"/>
          <w:color w:val="auto"/>
          <w:sz w:val="24"/>
          <w:szCs w:val="24"/>
          <w:highlight w:val="none"/>
        </w:rPr>
        <w:t>小组做出的决定。</w:t>
      </w:r>
    </w:p>
    <w:p w14:paraId="509FAD76">
      <w:pPr>
        <w:spacing w:line="360" w:lineRule="auto"/>
        <w:ind w:firstLine="480" w:firstLineChars="200"/>
        <w:rPr>
          <w:rStyle w:val="24"/>
          <w:rFonts w:hint="eastAsia"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lang w:eastAsia="zh-CN"/>
        </w:rPr>
        <w:t>18.11</w:t>
      </w:r>
      <w:r>
        <w:rPr>
          <w:rStyle w:val="24"/>
          <w:rFonts w:hint="eastAsia" w:cs="Times New Roman"/>
          <w:color w:val="auto"/>
          <w:sz w:val="24"/>
          <w:szCs w:val="24"/>
          <w:highlight w:val="none"/>
        </w:rPr>
        <w:t>废标</w:t>
      </w:r>
    </w:p>
    <w:p w14:paraId="510E7637">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18.11.</w:t>
      </w:r>
      <w:r>
        <w:rPr>
          <w:rStyle w:val="24"/>
          <w:rFonts w:cs="Times New Roman"/>
          <w:color w:val="auto"/>
          <w:sz w:val="24"/>
          <w:szCs w:val="24"/>
          <w:highlight w:val="none"/>
        </w:rPr>
        <w:t>1</w:t>
      </w:r>
      <w:r>
        <w:rPr>
          <w:rStyle w:val="24"/>
          <w:rFonts w:hint="eastAsia" w:cs="Times New Roman"/>
          <w:color w:val="auto"/>
          <w:sz w:val="24"/>
          <w:szCs w:val="24"/>
          <w:highlight w:val="none"/>
        </w:rPr>
        <w:t>出现下列情形之一的，应予废标：</w:t>
      </w:r>
    </w:p>
    <w:p w14:paraId="3AA4F361">
      <w:pPr>
        <w:spacing w:line="360" w:lineRule="auto"/>
        <w:ind w:firstLine="480" w:firstLineChars="200"/>
        <w:rPr>
          <w:rStyle w:val="24"/>
          <w:rFonts w:hint="eastAsia"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lang w:eastAsia="zh-CN"/>
        </w:rPr>
        <w:t>18.11.</w:t>
      </w:r>
      <w:r>
        <w:rPr>
          <w:rStyle w:val="24"/>
          <w:rFonts w:hint="eastAsia" w:cs="Times New Roman"/>
          <w:color w:val="auto"/>
          <w:sz w:val="24"/>
          <w:szCs w:val="24"/>
          <w:highlight w:val="none"/>
        </w:rPr>
        <w:t>1.1 符合专业条件的供应商或者对</w:t>
      </w:r>
      <w:r>
        <w:rPr>
          <w:rStyle w:val="24"/>
          <w:rFonts w:hint="eastAsia" w:eastAsia="仿宋" w:cs="Times New Roman"/>
          <w:color w:val="auto"/>
          <w:sz w:val="24"/>
          <w:szCs w:val="24"/>
          <w:highlight w:val="none"/>
          <w:lang w:eastAsia="zh-CN"/>
        </w:rPr>
        <w:t>磋商文件</w:t>
      </w:r>
      <w:r>
        <w:rPr>
          <w:rStyle w:val="24"/>
          <w:rFonts w:hint="eastAsia" w:cs="Times New Roman"/>
          <w:color w:val="auto"/>
          <w:sz w:val="24"/>
          <w:szCs w:val="24"/>
          <w:highlight w:val="none"/>
        </w:rPr>
        <w:t>作实质响应的供应商不足三家的：</w:t>
      </w:r>
    </w:p>
    <w:p w14:paraId="431034E1">
      <w:pPr>
        <w:spacing w:line="360" w:lineRule="auto"/>
        <w:ind w:firstLine="480" w:firstLineChars="200"/>
        <w:rPr>
          <w:rStyle w:val="24"/>
          <w:rFonts w:hint="eastAsia"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lang w:eastAsia="zh-CN"/>
        </w:rPr>
        <w:t>18.11.</w:t>
      </w:r>
      <w:r>
        <w:rPr>
          <w:rStyle w:val="24"/>
          <w:rFonts w:hint="eastAsia" w:cs="Times New Roman"/>
          <w:color w:val="auto"/>
          <w:sz w:val="24"/>
          <w:szCs w:val="24"/>
          <w:highlight w:val="none"/>
        </w:rPr>
        <w:t>1.2出现影响采购公正的违法、违规行为的：</w:t>
      </w:r>
    </w:p>
    <w:p w14:paraId="40B7D395">
      <w:pPr>
        <w:spacing w:line="360" w:lineRule="auto"/>
        <w:ind w:firstLine="480" w:firstLineChars="200"/>
        <w:rPr>
          <w:rStyle w:val="24"/>
          <w:rFonts w:hint="eastAsia"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lang w:eastAsia="zh-CN"/>
        </w:rPr>
        <w:t>18.11.</w:t>
      </w:r>
      <w:r>
        <w:rPr>
          <w:rStyle w:val="24"/>
          <w:rFonts w:hint="eastAsia" w:cs="Times New Roman"/>
          <w:color w:val="auto"/>
          <w:sz w:val="24"/>
          <w:szCs w:val="24"/>
          <w:highlight w:val="none"/>
        </w:rPr>
        <w:t>1.3因重大变故，采购任务取消的：</w:t>
      </w:r>
    </w:p>
    <w:p w14:paraId="0B9386C0">
      <w:pPr>
        <w:spacing w:line="360" w:lineRule="auto"/>
        <w:ind w:firstLine="480" w:firstLineChars="200"/>
        <w:rPr>
          <w:rStyle w:val="24"/>
          <w:rFonts w:hint="eastAsia"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lang w:eastAsia="zh-CN"/>
        </w:rPr>
        <w:t>18.11.</w:t>
      </w:r>
      <w:r>
        <w:rPr>
          <w:rStyle w:val="24"/>
          <w:rFonts w:hint="eastAsia" w:cs="Times New Roman"/>
          <w:color w:val="auto"/>
          <w:sz w:val="24"/>
          <w:szCs w:val="24"/>
          <w:highlight w:val="none"/>
        </w:rPr>
        <w:t>1.4法律、法规以及采购文件规定的其他废标情形。</w:t>
      </w:r>
    </w:p>
    <w:p w14:paraId="2F3452D1">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18.11.</w:t>
      </w:r>
      <w:r>
        <w:rPr>
          <w:rStyle w:val="24"/>
          <w:rFonts w:cs="Times New Roman"/>
          <w:color w:val="auto"/>
          <w:sz w:val="24"/>
          <w:szCs w:val="24"/>
          <w:highlight w:val="none"/>
        </w:rPr>
        <w:t>2</w:t>
      </w:r>
      <w:r>
        <w:rPr>
          <w:rStyle w:val="24"/>
          <w:rFonts w:hint="eastAsia" w:cs="Times New Roman"/>
          <w:color w:val="auto"/>
          <w:sz w:val="24"/>
          <w:szCs w:val="24"/>
          <w:highlight w:val="none"/>
        </w:rPr>
        <w:t>废标后，采购人或者采购代理机构应当将废标理由通知所有</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w:t>
      </w:r>
    </w:p>
    <w:p w14:paraId="0E28763C">
      <w:pPr>
        <w:spacing w:line="360" w:lineRule="auto"/>
        <w:ind w:firstLine="480" w:firstLineChars="200"/>
        <w:rPr>
          <w:rStyle w:val="24"/>
          <w:rFonts w:hint="eastAsia"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lang w:eastAsia="zh-CN"/>
        </w:rPr>
        <w:t>18.12</w:t>
      </w:r>
      <w:r>
        <w:rPr>
          <w:rStyle w:val="24"/>
          <w:rFonts w:hint="eastAsia" w:cs="Times New Roman"/>
          <w:color w:val="auto"/>
          <w:sz w:val="24"/>
          <w:szCs w:val="24"/>
          <w:highlight w:val="none"/>
        </w:rPr>
        <w:t>特殊情况处置程序</w:t>
      </w:r>
    </w:p>
    <w:p w14:paraId="7CF26BA4">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18.12.</w:t>
      </w:r>
      <w:r>
        <w:rPr>
          <w:rStyle w:val="24"/>
          <w:rFonts w:cs="Times New Roman"/>
          <w:color w:val="auto"/>
          <w:sz w:val="24"/>
          <w:szCs w:val="24"/>
          <w:highlight w:val="none"/>
        </w:rPr>
        <w:t>1</w:t>
      </w:r>
      <w:r>
        <w:rPr>
          <w:rStyle w:val="24"/>
          <w:rFonts w:hint="eastAsia" w:eastAsia="仿宋" w:cs="Times New Roman"/>
          <w:color w:val="auto"/>
          <w:sz w:val="24"/>
          <w:szCs w:val="24"/>
          <w:highlight w:val="none"/>
          <w:lang w:eastAsia="zh-CN"/>
        </w:rPr>
        <w:t>磋商</w:t>
      </w:r>
      <w:r>
        <w:rPr>
          <w:rStyle w:val="24"/>
          <w:rFonts w:hint="eastAsia" w:cs="Times New Roman"/>
          <w:color w:val="auto"/>
          <w:sz w:val="24"/>
          <w:szCs w:val="24"/>
          <w:highlight w:val="none"/>
        </w:rPr>
        <w:t>小组成员的更换</w:t>
      </w:r>
    </w:p>
    <w:p w14:paraId="2944BE5B">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18.12.</w:t>
      </w:r>
      <w:r>
        <w:rPr>
          <w:rStyle w:val="24"/>
          <w:rFonts w:cs="Times New Roman"/>
          <w:color w:val="auto"/>
          <w:sz w:val="24"/>
          <w:szCs w:val="24"/>
          <w:highlight w:val="none"/>
        </w:rPr>
        <w:t>1.1</w:t>
      </w:r>
      <w:r>
        <w:rPr>
          <w:rStyle w:val="24"/>
          <w:rFonts w:hint="eastAsia" w:eastAsia="仿宋" w:cs="Times New Roman"/>
          <w:color w:val="auto"/>
          <w:sz w:val="24"/>
          <w:szCs w:val="24"/>
          <w:highlight w:val="none"/>
          <w:lang w:eastAsia="zh-CN"/>
        </w:rPr>
        <w:t>磋商</w:t>
      </w:r>
      <w:r>
        <w:rPr>
          <w:rStyle w:val="24"/>
          <w:rFonts w:hint="eastAsia" w:cs="Times New Roman"/>
          <w:color w:val="auto"/>
          <w:sz w:val="24"/>
          <w:szCs w:val="24"/>
          <w:highlight w:val="none"/>
        </w:rPr>
        <w:t>小组应当执行连续评审的原则，按照采购文件规定的程序、内容、方法、标准完成全部评审工作。出现评审专家临时缺席、回避等情形导致评审现场专家数量不符合法定标准的，采购人或者采购代理机构要按照有关程序及时补抽专家，继续组织评审。如无法及时补齐专家，则要立即停止评审工作，封存采购文件和所有响应文件，择期重新组建</w:t>
      </w:r>
      <w:r>
        <w:rPr>
          <w:rStyle w:val="24"/>
          <w:rFonts w:hint="eastAsia" w:eastAsia="仿宋" w:cs="Times New Roman"/>
          <w:color w:val="auto"/>
          <w:sz w:val="24"/>
          <w:szCs w:val="24"/>
          <w:highlight w:val="none"/>
          <w:lang w:eastAsia="zh-CN"/>
        </w:rPr>
        <w:t>磋商</w:t>
      </w:r>
      <w:r>
        <w:rPr>
          <w:rStyle w:val="24"/>
          <w:rFonts w:hint="eastAsia" w:cs="Times New Roman"/>
          <w:color w:val="auto"/>
          <w:sz w:val="24"/>
          <w:szCs w:val="24"/>
          <w:highlight w:val="none"/>
        </w:rPr>
        <w:t>小组进行评审。</w:t>
      </w:r>
    </w:p>
    <w:p w14:paraId="7AB1E666">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18.12.</w:t>
      </w:r>
      <w:r>
        <w:rPr>
          <w:rStyle w:val="24"/>
          <w:rFonts w:cs="Times New Roman"/>
          <w:color w:val="auto"/>
          <w:sz w:val="24"/>
          <w:szCs w:val="24"/>
          <w:highlight w:val="none"/>
        </w:rPr>
        <w:t>1.2</w:t>
      </w:r>
      <w:r>
        <w:rPr>
          <w:rStyle w:val="24"/>
          <w:rFonts w:hint="eastAsia" w:cs="Times New Roman"/>
          <w:color w:val="auto"/>
          <w:sz w:val="24"/>
          <w:szCs w:val="24"/>
          <w:highlight w:val="none"/>
        </w:rPr>
        <w:t>退出</w:t>
      </w:r>
      <w:r>
        <w:rPr>
          <w:rStyle w:val="24"/>
          <w:rFonts w:hint="eastAsia" w:eastAsia="仿宋" w:cs="Times New Roman"/>
          <w:color w:val="auto"/>
          <w:sz w:val="24"/>
          <w:szCs w:val="24"/>
          <w:highlight w:val="none"/>
          <w:lang w:eastAsia="zh-CN"/>
        </w:rPr>
        <w:t>磋商</w:t>
      </w:r>
      <w:r>
        <w:rPr>
          <w:rStyle w:val="24"/>
          <w:rFonts w:hint="eastAsia" w:cs="Times New Roman"/>
          <w:color w:val="auto"/>
          <w:sz w:val="24"/>
          <w:szCs w:val="24"/>
          <w:highlight w:val="none"/>
        </w:rPr>
        <w:t>小组的成员，其已完成的评审行为无效。由采购人向监督人员提出更换</w:t>
      </w:r>
      <w:r>
        <w:rPr>
          <w:rStyle w:val="24"/>
          <w:rFonts w:hint="eastAsia" w:eastAsia="仿宋" w:cs="Times New Roman"/>
          <w:color w:val="auto"/>
          <w:sz w:val="24"/>
          <w:szCs w:val="24"/>
          <w:highlight w:val="none"/>
          <w:lang w:eastAsia="zh-CN"/>
        </w:rPr>
        <w:t>磋商</w:t>
      </w:r>
      <w:r>
        <w:rPr>
          <w:rStyle w:val="24"/>
          <w:rFonts w:hint="eastAsia" w:cs="Times New Roman"/>
          <w:color w:val="auto"/>
          <w:sz w:val="24"/>
          <w:szCs w:val="24"/>
          <w:highlight w:val="none"/>
        </w:rPr>
        <w:t>小组成员意见并获准后，根据本采购文件规定的</w:t>
      </w:r>
      <w:r>
        <w:rPr>
          <w:rStyle w:val="24"/>
          <w:rFonts w:hint="eastAsia" w:eastAsia="仿宋" w:cs="Times New Roman"/>
          <w:color w:val="auto"/>
          <w:sz w:val="24"/>
          <w:szCs w:val="24"/>
          <w:highlight w:val="none"/>
          <w:lang w:eastAsia="zh-CN"/>
        </w:rPr>
        <w:t>磋商</w:t>
      </w:r>
      <w:r>
        <w:rPr>
          <w:rStyle w:val="24"/>
          <w:rFonts w:hint="eastAsia" w:cs="Times New Roman"/>
          <w:color w:val="auto"/>
          <w:sz w:val="24"/>
          <w:szCs w:val="24"/>
          <w:highlight w:val="none"/>
        </w:rPr>
        <w:t>小组成员产生方式另行确定替代者进行评审。</w:t>
      </w:r>
    </w:p>
    <w:p w14:paraId="21420FB3">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18.12.</w:t>
      </w:r>
      <w:r>
        <w:rPr>
          <w:rStyle w:val="24"/>
          <w:rFonts w:cs="Times New Roman"/>
          <w:color w:val="auto"/>
          <w:sz w:val="24"/>
          <w:szCs w:val="24"/>
          <w:highlight w:val="none"/>
        </w:rPr>
        <w:t>2</w:t>
      </w:r>
      <w:r>
        <w:rPr>
          <w:rStyle w:val="24"/>
          <w:rFonts w:hint="eastAsia" w:cs="Times New Roman"/>
          <w:color w:val="auto"/>
          <w:sz w:val="24"/>
          <w:szCs w:val="24"/>
          <w:highlight w:val="none"/>
        </w:rPr>
        <w:t>记名投票</w:t>
      </w:r>
    </w:p>
    <w:p w14:paraId="02D2203F">
      <w:pPr>
        <w:spacing w:line="360" w:lineRule="auto"/>
        <w:ind w:firstLine="480" w:firstLineChars="200"/>
        <w:rPr>
          <w:rStyle w:val="24"/>
          <w:rFonts w:hint="eastAsia"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rPr>
        <w:t>在评审过程中，</w:t>
      </w:r>
      <w:r>
        <w:rPr>
          <w:rStyle w:val="24"/>
          <w:rFonts w:hint="eastAsia" w:eastAsia="仿宋" w:cs="Times New Roman"/>
          <w:color w:val="auto"/>
          <w:sz w:val="24"/>
          <w:szCs w:val="24"/>
          <w:highlight w:val="none"/>
          <w:lang w:eastAsia="zh-CN"/>
        </w:rPr>
        <w:t>磋商</w:t>
      </w:r>
      <w:r>
        <w:rPr>
          <w:rStyle w:val="24"/>
          <w:rFonts w:hint="eastAsia" w:cs="Times New Roman"/>
          <w:color w:val="auto"/>
          <w:sz w:val="24"/>
          <w:szCs w:val="24"/>
          <w:highlight w:val="none"/>
        </w:rPr>
        <w:t>小组发生分歧或者评审结论有异议需表决的，按照少数服从多数的原则，由</w:t>
      </w:r>
      <w:r>
        <w:rPr>
          <w:rStyle w:val="24"/>
          <w:rFonts w:hint="eastAsia" w:eastAsia="仿宋" w:cs="Times New Roman"/>
          <w:color w:val="auto"/>
          <w:sz w:val="24"/>
          <w:szCs w:val="24"/>
          <w:highlight w:val="none"/>
          <w:lang w:eastAsia="zh-CN"/>
        </w:rPr>
        <w:t>磋商</w:t>
      </w:r>
      <w:r>
        <w:rPr>
          <w:rStyle w:val="24"/>
          <w:rFonts w:hint="eastAsia" w:cs="Times New Roman"/>
          <w:color w:val="auto"/>
          <w:sz w:val="24"/>
          <w:szCs w:val="24"/>
          <w:highlight w:val="none"/>
        </w:rPr>
        <w:t>小组全体成员以记名投票方式表决。</w:t>
      </w:r>
    </w:p>
    <w:p w14:paraId="5B51B0F2">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18.12.</w:t>
      </w:r>
      <w:r>
        <w:rPr>
          <w:rStyle w:val="24"/>
          <w:rFonts w:cs="Times New Roman"/>
          <w:color w:val="auto"/>
          <w:sz w:val="24"/>
          <w:szCs w:val="24"/>
          <w:highlight w:val="none"/>
        </w:rPr>
        <w:t>3</w:t>
      </w:r>
      <w:r>
        <w:rPr>
          <w:rStyle w:val="24"/>
          <w:rFonts w:hint="eastAsia" w:cs="Times New Roman"/>
          <w:color w:val="auto"/>
          <w:sz w:val="24"/>
          <w:szCs w:val="24"/>
          <w:highlight w:val="none"/>
        </w:rPr>
        <w:t>延期开标</w:t>
      </w:r>
    </w:p>
    <w:p w14:paraId="4857A032">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rPr>
        <w:t>因特殊情况需要推迟开标时间的，采购人或者采购代理机构必须提前报监督部门审批，经批准后按规定提前告知所有参加报价的</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，否则必须按时开标。</w:t>
      </w:r>
    </w:p>
    <w:p w14:paraId="7AEBF2ED">
      <w:pPr>
        <w:spacing w:line="360" w:lineRule="auto"/>
        <w:ind w:firstLine="480" w:firstLineChars="200"/>
        <w:rPr>
          <w:rStyle w:val="24"/>
          <w:rFonts w:hint="eastAsia"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lang w:eastAsia="zh-CN"/>
        </w:rPr>
        <w:t>18.13</w:t>
      </w:r>
      <w:r>
        <w:rPr>
          <w:rStyle w:val="24"/>
          <w:rFonts w:hint="eastAsia" w:cs="Times New Roman"/>
          <w:color w:val="auto"/>
          <w:sz w:val="24"/>
          <w:szCs w:val="24"/>
          <w:highlight w:val="none"/>
        </w:rPr>
        <w:t>违法违规情形</w:t>
      </w:r>
    </w:p>
    <w:p w14:paraId="73D83B4E">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18.13.</w:t>
      </w:r>
      <w:r>
        <w:rPr>
          <w:rStyle w:val="24"/>
          <w:rFonts w:cs="Times New Roman"/>
          <w:color w:val="auto"/>
          <w:sz w:val="24"/>
          <w:szCs w:val="24"/>
          <w:highlight w:val="none"/>
        </w:rPr>
        <w:t>1</w:t>
      </w:r>
      <w:r>
        <w:rPr>
          <w:rStyle w:val="24"/>
          <w:rFonts w:hint="eastAsia" w:cs="Times New Roman"/>
          <w:color w:val="auto"/>
          <w:sz w:val="24"/>
          <w:szCs w:val="24"/>
          <w:highlight w:val="none"/>
        </w:rPr>
        <w:t>有下列情形之一的，属于</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相互串通报价：</w:t>
      </w:r>
    </w:p>
    <w:p w14:paraId="45125A28">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18.13.</w:t>
      </w:r>
      <w:r>
        <w:rPr>
          <w:rStyle w:val="24"/>
          <w:rFonts w:cs="Times New Roman"/>
          <w:color w:val="auto"/>
          <w:sz w:val="24"/>
          <w:szCs w:val="24"/>
          <w:highlight w:val="none"/>
        </w:rPr>
        <w:t>1.1</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之间协商响应报价等响应文件的实质性内容；</w:t>
      </w:r>
    </w:p>
    <w:p w14:paraId="1DF444BD">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18.13.</w:t>
      </w:r>
      <w:r>
        <w:rPr>
          <w:rStyle w:val="24"/>
          <w:rFonts w:cs="Times New Roman"/>
          <w:color w:val="auto"/>
          <w:sz w:val="24"/>
          <w:szCs w:val="24"/>
          <w:highlight w:val="none"/>
        </w:rPr>
        <w:t>1.2</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之间约定成交</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w:t>
      </w:r>
    </w:p>
    <w:p w14:paraId="0522C42F">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18.13.</w:t>
      </w:r>
      <w:r>
        <w:rPr>
          <w:rStyle w:val="24"/>
          <w:rFonts w:cs="Times New Roman"/>
          <w:color w:val="auto"/>
          <w:sz w:val="24"/>
          <w:szCs w:val="24"/>
          <w:highlight w:val="none"/>
        </w:rPr>
        <w:t>1.3</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之间约定部分</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放弃报价或者成交；</w:t>
      </w:r>
    </w:p>
    <w:p w14:paraId="6362E61B">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18.13.</w:t>
      </w:r>
      <w:r>
        <w:rPr>
          <w:rStyle w:val="24"/>
          <w:rFonts w:cs="Times New Roman"/>
          <w:color w:val="auto"/>
          <w:sz w:val="24"/>
          <w:szCs w:val="24"/>
          <w:highlight w:val="none"/>
        </w:rPr>
        <w:t>1.4</w:t>
      </w:r>
      <w:r>
        <w:rPr>
          <w:rStyle w:val="24"/>
          <w:rFonts w:hint="eastAsia" w:cs="Times New Roman"/>
          <w:color w:val="auto"/>
          <w:sz w:val="24"/>
          <w:szCs w:val="24"/>
          <w:highlight w:val="none"/>
        </w:rPr>
        <w:t>属于同一集团、协会、商会等组织成员的</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按照该组织要求协同报价；</w:t>
      </w:r>
    </w:p>
    <w:p w14:paraId="332D62B9">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18.13.</w:t>
      </w:r>
      <w:r>
        <w:rPr>
          <w:rStyle w:val="24"/>
          <w:rFonts w:cs="Times New Roman"/>
          <w:color w:val="auto"/>
          <w:sz w:val="24"/>
          <w:szCs w:val="24"/>
          <w:highlight w:val="none"/>
        </w:rPr>
        <w:t>1.5</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之间为谋取中标或者排斥特定</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而采取的其他联合行动。</w:t>
      </w:r>
    </w:p>
    <w:p w14:paraId="534B0A53">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18.13.</w:t>
      </w:r>
      <w:r>
        <w:rPr>
          <w:rStyle w:val="24"/>
          <w:rFonts w:cs="Times New Roman"/>
          <w:color w:val="auto"/>
          <w:sz w:val="24"/>
          <w:szCs w:val="24"/>
          <w:highlight w:val="none"/>
        </w:rPr>
        <w:t>2</w:t>
      </w:r>
      <w:r>
        <w:rPr>
          <w:rStyle w:val="24"/>
          <w:rFonts w:hint="eastAsia" w:cs="Times New Roman"/>
          <w:color w:val="auto"/>
          <w:sz w:val="24"/>
          <w:szCs w:val="24"/>
          <w:highlight w:val="none"/>
        </w:rPr>
        <w:t>有下列情形之一的，视为</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相互串通报价，</w:t>
      </w:r>
      <w:r>
        <w:rPr>
          <w:rStyle w:val="24"/>
          <w:rFonts w:hint="eastAsia" w:eastAsia="仿宋" w:cs="Times New Roman"/>
          <w:color w:val="auto"/>
          <w:sz w:val="24"/>
          <w:szCs w:val="24"/>
          <w:highlight w:val="none"/>
          <w:lang w:eastAsia="zh-CN"/>
        </w:rPr>
        <w:t>磋商</w:t>
      </w:r>
      <w:r>
        <w:rPr>
          <w:rStyle w:val="24"/>
          <w:rFonts w:hint="eastAsia" w:cs="Times New Roman"/>
          <w:color w:val="auto"/>
          <w:sz w:val="24"/>
          <w:szCs w:val="24"/>
          <w:highlight w:val="none"/>
        </w:rPr>
        <w:t>小组应当出具违法违规认定意见并作响应无效处理：</w:t>
      </w:r>
    </w:p>
    <w:p w14:paraId="3830A824">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18.13.</w:t>
      </w:r>
      <w:r>
        <w:rPr>
          <w:rStyle w:val="24"/>
          <w:rFonts w:cs="Times New Roman"/>
          <w:color w:val="auto"/>
          <w:sz w:val="24"/>
          <w:szCs w:val="24"/>
          <w:highlight w:val="none"/>
        </w:rPr>
        <w:t>2.1</w:t>
      </w:r>
      <w:r>
        <w:rPr>
          <w:rStyle w:val="24"/>
          <w:rFonts w:hint="eastAsia" w:cs="Times New Roman"/>
          <w:color w:val="auto"/>
          <w:sz w:val="24"/>
          <w:szCs w:val="24"/>
          <w:highlight w:val="none"/>
        </w:rPr>
        <w:t>不同</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的响应文件由同一单位或者个人编制；</w:t>
      </w:r>
    </w:p>
    <w:p w14:paraId="138F0345">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18.13.</w:t>
      </w:r>
      <w:r>
        <w:rPr>
          <w:rStyle w:val="24"/>
          <w:rFonts w:cs="Times New Roman"/>
          <w:color w:val="auto"/>
          <w:sz w:val="24"/>
          <w:szCs w:val="24"/>
          <w:highlight w:val="none"/>
        </w:rPr>
        <w:t>2.2</w:t>
      </w:r>
      <w:r>
        <w:rPr>
          <w:rStyle w:val="24"/>
          <w:rFonts w:hint="eastAsia" w:cs="Times New Roman"/>
          <w:color w:val="auto"/>
          <w:sz w:val="24"/>
          <w:szCs w:val="24"/>
          <w:highlight w:val="none"/>
        </w:rPr>
        <w:t>不同</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委托同一单位或者个人办理报价事宜；</w:t>
      </w:r>
    </w:p>
    <w:p w14:paraId="1FA14434">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18.13.</w:t>
      </w:r>
      <w:r>
        <w:rPr>
          <w:rStyle w:val="24"/>
          <w:rFonts w:cs="Times New Roman"/>
          <w:color w:val="auto"/>
          <w:sz w:val="24"/>
          <w:szCs w:val="24"/>
          <w:highlight w:val="none"/>
        </w:rPr>
        <w:t>2.3</w:t>
      </w:r>
      <w:r>
        <w:rPr>
          <w:rStyle w:val="24"/>
          <w:rFonts w:hint="eastAsia" w:cs="Times New Roman"/>
          <w:color w:val="auto"/>
          <w:sz w:val="24"/>
          <w:szCs w:val="24"/>
          <w:highlight w:val="none"/>
        </w:rPr>
        <w:t>不同</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的响应文件载明的项目管理成员为同一人；</w:t>
      </w:r>
    </w:p>
    <w:p w14:paraId="77E37F13">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18.13.</w:t>
      </w:r>
      <w:r>
        <w:rPr>
          <w:rStyle w:val="24"/>
          <w:rFonts w:cs="Times New Roman"/>
          <w:color w:val="auto"/>
          <w:sz w:val="24"/>
          <w:szCs w:val="24"/>
          <w:highlight w:val="none"/>
        </w:rPr>
        <w:t>2.4</w:t>
      </w:r>
      <w:r>
        <w:rPr>
          <w:rStyle w:val="24"/>
          <w:rFonts w:hint="eastAsia" w:cs="Times New Roman"/>
          <w:color w:val="auto"/>
          <w:sz w:val="24"/>
          <w:szCs w:val="24"/>
          <w:highlight w:val="none"/>
        </w:rPr>
        <w:t>不同</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的响应文件异常一致或者响应报价呈规律性差异；</w:t>
      </w:r>
    </w:p>
    <w:p w14:paraId="37C6AEF2">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18.13.</w:t>
      </w:r>
      <w:r>
        <w:rPr>
          <w:rStyle w:val="24"/>
          <w:rFonts w:cs="Times New Roman"/>
          <w:color w:val="auto"/>
          <w:sz w:val="24"/>
          <w:szCs w:val="24"/>
          <w:highlight w:val="none"/>
        </w:rPr>
        <w:t>2.5</w:t>
      </w:r>
      <w:r>
        <w:rPr>
          <w:rStyle w:val="24"/>
          <w:rFonts w:hint="eastAsia" w:cs="Times New Roman"/>
          <w:color w:val="auto"/>
          <w:sz w:val="24"/>
          <w:szCs w:val="24"/>
          <w:highlight w:val="none"/>
        </w:rPr>
        <w:t>不同</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的响应文件相互混装；</w:t>
      </w:r>
    </w:p>
    <w:p w14:paraId="5179211E">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18.13.</w:t>
      </w:r>
      <w:r>
        <w:rPr>
          <w:rStyle w:val="24"/>
          <w:rFonts w:cs="Times New Roman"/>
          <w:color w:val="auto"/>
          <w:sz w:val="24"/>
          <w:szCs w:val="24"/>
          <w:highlight w:val="none"/>
        </w:rPr>
        <w:t>2.6</w:t>
      </w:r>
      <w:r>
        <w:rPr>
          <w:rStyle w:val="24"/>
          <w:rFonts w:hint="eastAsia" w:cs="Times New Roman"/>
          <w:color w:val="auto"/>
          <w:sz w:val="24"/>
          <w:szCs w:val="24"/>
          <w:highlight w:val="none"/>
        </w:rPr>
        <w:t>不同</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的保证金从同一单位或者个人的账户转出。</w:t>
      </w:r>
    </w:p>
    <w:p w14:paraId="3829A6DD">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18.13.</w:t>
      </w:r>
      <w:r>
        <w:rPr>
          <w:rStyle w:val="24"/>
          <w:rFonts w:cs="Times New Roman"/>
          <w:color w:val="auto"/>
          <w:sz w:val="24"/>
          <w:szCs w:val="24"/>
          <w:highlight w:val="none"/>
        </w:rPr>
        <w:t>3</w:t>
      </w:r>
      <w:r>
        <w:rPr>
          <w:rStyle w:val="24"/>
          <w:rFonts w:hint="eastAsia" w:cs="Times New Roman"/>
          <w:color w:val="auto"/>
          <w:sz w:val="24"/>
          <w:szCs w:val="24"/>
          <w:highlight w:val="none"/>
        </w:rPr>
        <w:t>有下列情形之一的，属于采购人与</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串通报价：</w:t>
      </w:r>
    </w:p>
    <w:p w14:paraId="22C7C5CC">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18.13.</w:t>
      </w:r>
      <w:r>
        <w:rPr>
          <w:rStyle w:val="24"/>
          <w:rFonts w:cs="Times New Roman"/>
          <w:color w:val="auto"/>
          <w:sz w:val="24"/>
          <w:szCs w:val="24"/>
          <w:highlight w:val="none"/>
        </w:rPr>
        <w:t>3.1</w:t>
      </w:r>
      <w:r>
        <w:rPr>
          <w:rStyle w:val="24"/>
          <w:rFonts w:hint="eastAsia" w:cs="Times New Roman"/>
          <w:color w:val="auto"/>
          <w:sz w:val="24"/>
          <w:szCs w:val="24"/>
          <w:highlight w:val="none"/>
        </w:rPr>
        <w:t>采购人在开标前开启响应文件并将有关信息泄露给其他</w:t>
      </w:r>
      <w:r>
        <w:rPr>
          <w:rStyle w:val="24"/>
          <w:rFonts w:hint="eastAsia" w:eastAsia="仿宋" w:cs="Times New Roman"/>
          <w:color w:val="auto"/>
          <w:sz w:val="24"/>
          <w:szCs w:val="24"/>
          <w:highlight w:val="none"/>
          <w:lang w:eastAsia="zh-CN"/>
        </w:rPr>
        <w:t>供应商</w:t>
      </w:r>
      <w:r>
        <w:rPr>
          <w:rStyle w:val="24"/>
          <w:rFonts w:cs="Times New Roman"/>
          <w:color w:val="auto"/>
          <w:sz w:val="24"/>
          <w:szCs w:val="24"/>
          <w:highlight w:val="none"/>
        </w:rPr>
        <w:t>；</w:t>
      </w:r>
    </w:p>
    <w:p w14:paraId="20D965B7">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18.13.</w:t>
      </w:r>
      <w:r>
        <w:rPr>
          <w:rStyle w:val="24"/>
          <w:rFonts w:cs="Times New Roman"/>
          <w:color w:val="auto"/>
          <w:sz w:val="24"/>
          <w:szCs w:val="24"/>
          <w:highlight w:val="none"/>
        </w:rPr>
        <w:t>3.2</w:t>
      </w:r>
      <w:r>
        <w:rPr>
          <w:rStyle w:val="24"/>
          <w:rFonts w:hint="eastAsia" w:cs="Times New Roman"/>
          <w:color w:val="auto"/>
          <w:sz w:val="24"/>
          <w:szCs w:val="24"/>
          <w:highlight w:val="none"/>
        </w:rPr>
        <w:t>采购人直接或者间接向</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泄露标底、</w:t>
      </w:r>
      <w:r>
        <w:rPr>
          <w:rStyle w:val="24"/>
          <w:rFonts w:hint="eastAsia" w:eastAsia="仿宋" w:cs="Times New Roman"/>
          <w:color w:val="auto"/>
          <w:sz w:val="24"/>
          <w:szCs w:val="24"/>
          <w:highlight w:val="none"/>
          <w:lang w:eastAsia="zh-CN"/>
        </w:rPr>
        <w:t>磋商</w:t>
      </w:r>
      <w:r>
        <w:rPr>
          <w:rStyle w:val="24"/>
          <w:rFonts w:hint="eastAsia" w:cs="Times New Roman"/>
          <w:color w:val="auto"/>
          <w:sz w:val="24"/>
          <w:szCs w:val="24"/>
          <w:highlight w:val="none"/>
        </w:rPr>
        <w:t>小组成员等信息；</w:t>
      </w:r>
    </w:p>
    <w:p w14:paraId="6F1C4B1B">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18.13.</w:t>
      </w:r>
      <w:r>
        <w:rPr>
          <w:rStyle w:val="24"/>
          <w:rFonts w:cs="Times New Roman"/>
          <w:color w:val="auto"/>
          <w:sz w:val="24"/>
          <w:szCs w:val="24"/>
          <w:highlight w:val="none"/>
        </w:rPr>
        <w:t>3.3</w:t>
      </w:r>
      <w:r>
        <w:rPr>
          <w:rStyle w:val="24"/>
          <w:rFonts w:hint="eastAsia" w:cs="Times New Roman"/>
          <w:color w:val="auto"/>
          <w:sz w:val="24"/>
          <w:szCs w:val="24"/>
          <w:highlight w:val="none"/>
        </w:rPr>
        <w:t>采购人明示或者暗示</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压低或者抬高响应报价；</w:t>
      </w:r>
    </w:p>
    <w:p w14:paraId="5825B0D6">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18.13.</w:t>
      </w:r>
      <w:r>
        <w:rPr>
          <w:rStyle w:val="24"/>
          <w:rFonts w:cs="Times New Roman"/>
          <w:color w:val="auto"/>
          <w:sz w:val="24"/>
          <w:szCs w:val="24"/>
          <w:highlight w:val="none"/>
        </w:rPr>
        <w:t>3.4</w:t>
      </w:r>
      <w:r>
        <w:rPr>
          <w:rStyle w:val="24"/>
          <w:rFonts w:hint="eastAsia" w:cs="Times New Roman"/>
          <w:color w:val="auto"/>
          <w:sz w:val="24"/>
          <w:szCs w:val="24"/>
          <w:highlight w:val="none"/>
        </w:rPr>
        <w:t>采购人授意</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撤换、修改响应文件；</w:t>
      </w:r>
    </w:p>
    <w:p w14:paraId="726DEEA0">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18.13.</w:t>
      </w:r>
      <w:r>
        <w:rPr>
          <w:rStyle w:val="24"/>
          <w:rFonts w:cs="Times New Roman"/>
          <w:color w:val="auto"/>
          <w:sz w:val="24"/>
          <w:szCs w:val="24"/>
          <w:highlight w:val="none"/>
        </w:rPr>
        <w:t>3.5</w:t>
      </w:r>
      <w:r>
        <w:rPr>
          <w:rStyle w:val="24"/>
          <w:rFonts w:hint="eastAsia" w:cs="Times New Roman"/>
          <w:color w:val="auto"/>
          <w:sz w:val="24"/>
          <w:szCs w:val="24"/>
          <w:highlight w:val="none"/>
        </w:rPr>
        <w:t>采购人明示或者暗示</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为特定</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中标提供方便；</w:t>
      </w:r>
    </w:p>
    <w:p w14:paraId="23B6535F">
      <w:pPr>
        <w:spacing w:line="360" w:lineRule="auto"/>
        <w:ind w:firstLine="480" w:firstLineChars="200"/>
        <w:rPr>
          <w:rStyle w:val="24"/>
          <w:rFonts w:hint="eastAsia"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18.13.</w:t>
      </w:r>
      <w:r>
        <w:rPr>
          <w:rStyle w:val="24"/>
          <w:rFonts w:cs="Times New Roman"/>
          <w:color w:val="auto"/>
          <w:sz w:val="24"/>
          <w:szCs w:val="24"/>
          <w:highlight w:val="none"/>
        </w:rPr>
        <w:t>3.6</w:t>
      </w:r>
      <w:r>
        <w:rPr>
          <w:rStyle w:val="24"/>
          <w:rFonts w:hint="eastAsia" w:cs="Times New Roman"/>
          <w:color w:val="auto"/>
          <w:sz w:val="24"/>
          <w:szCs w:val="24"/>
          <w:highlight w:val="none"/>
        </w:rPr>
        <w:t>采购人与</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为谋求特定</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中标而采取的其他串通行为。</w:t>
      </w:r>
    </w:p>
    <w:p w14:paraId="65C6437D">
      <w:pPr>
        <w:spacing w:line="360" w:lineRule="auto"/>
        <w:ind w:firstLine="480" w:firstLineChars="200"/>
        <w:rPr>
          <w:rStyle w:val="24"/>
          <w:rFonts w:hint="eastAsia"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rPr>
        <w:t>在开标、评审过程中发现以上违法违规情形的，首先由</w:t>
      </w:r>
      <w:r>
        <w:rPr>
          <w:rStyle w:val="24"/>
          <w:rFonts w:hint="eastAsia" w:eastAsia="仿宋" w:cs="Times New Roman"/>
          <w:color w:val="auto"/>
          <w:sz w:val="24"/>
          <w:szCs w:val="24"/>
          <w:highlight w:val="none"/>
          <w:lang w:eastAsia="zh-CN"/>
        </w:rPr>
        <w:t>磋商</w:t>
      </w:r>
      <w:r>
        <w:rPr>
          <w:rStyle w:val="24"/>
          <w:rFonts w:hint="eastAsia" w:cs="Times New Roman"/>
          <w:color w:val="auto"/>
          <w:sz w:val="24"/>
          <w:szCs w:val="24"/>
          <w:highlight w:val="none"/>
        </w:rPr>
        <w:t>小组作出认定，对认定确有以上违法违规情形的</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，按无效报价处理，再进入正常评审程序。</w:t>
      </w:r>
    </w:p>
    <w:p w14:paraId="736803B3">
      <w:pPr>
        <w:spacing w:line="360" w:lineRule="auto"/>
        <w:ind w:firstLine="480" w:firstLineChars="200"/>
        <w:rPr>
          <w:rStyle w:val="24"/>
          <w:rFonts w:hint="eastAsia"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lang w:eastAsia="zh-CN"/>
        </w:rPr>
        <w:t>18.14</w:t>
      </w:r>
      <w:r>
        <w:rPr>
          <w:rStyle w:val="24"/>
          <w:rFonts w:hint="eastAsia" w:cs="Times New Roman"/>
          <w:color w:val="auto"/>
          <w:sz w:val="24"/>
          <w:szCs w:val="24"/>
          <w:highlight w:val="none"/>
        </w:rPr>
        <w:t>违规处理</w:t>
      </w:r>
    </w:p>
    <w:p w14:paraId="2A623323">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有下列情形之一的，列入不良行为记录名单，在一至三年内禁止参加</w:t>
      </w:r>
      <w:r>
        <w:rPr>
          <w:rStyle w:val="24"/>
          <w:rFonts w:hint="eastAsia" w:eastAsia="仿宋" w:cs="Times New Roman"/>
          <w:color w:val="auto"/>
          <w:sz w:val="24"/>
          <w:szCs w:val="24"/>
          <w:highlight w:val="none"/>
          <w:lang w:eastAsia="zh-CN"/>
        </w:rPr>
        <w:t>阿克苏市</w:t>
      </w:r>
      <w:r>
        <w:rPr>
          <w:rStyle w:val="24"/>
          <w:rFonts w:hint="eastAsia" w:cs="Times New Roman"/>
          <w:color w:val="auto"/>
          <w:sz w:val="24"/>
          <w:szCs w:val="24"/>
          <w:highlight w:val="none"/>
        </w:rPr>
        <w:t>政府采购活动：</w:t>
      </w:r>
    </w:p>
    <w:p w14:paraId="041CB412">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18.14.</w:t>
      </w:r>
      <w:r>
        <w:rPr>
          <w:rStyle w:val="24"/>
          <w:rFonts w:cs="Times New Roman"/>
          <w:color w:val="auto"/>
          <w:sz w:val="24"/>
          <w:szCs w:val="24"/>
          <w:highlight w:val="none"/>
        </w:rPr>
        <w:t>1</w:t>
      </w:r>
      <w:r>
        <w:rPr>
          <w:rStyle w:val="24"/>
          <w:rFonts w:hint="eastAsia" w:cs="Times New Roman"/>
          <w:color w:val="auto"/>
          <w:sz w:val="24"/>
          <w:szCs w:val="24"/>
          <w:highlight w:val="none"/>
        </w:rPr>
        <w:t>提供虚假报价材料谋取中标、成交的；</w:t>
      </w:r>
    </w:p>
    <w:p w14:paraId="3BCE3CD6">
      <w:pPr>
        <w:spacing w:line="360" w:lineRule="auto"/>
        <w:ind w:firstLine="480" w:firstLineChars="200"/>
        <w:rPr>
          <w:rStyle w:val="24"/>
          <w:rFonts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18.14.</w:t>
      </w:r>
      <w:r>
        <w:rPr>
          <w:rStyle w:val="24"/>
          <w:rFonts w:cs="Times New Roman"/>
          <w:color w:val="auto"/>
          <w:sz w:val="24"/>
          <w:szCs w:val="24"/>
          <w:highlight w:val="none"/>
        </w:rPr>
        <w:t>2</w:t>
      </w:r>
      <w:r>
        <w:rPr>
          <w:rStyle w:val="24"/>
          <w:rFonts w:hint="eastAsia" w:cs="Times New Roman"/>
          <w:color w:val="auto"/>
          <w:sz w:val="24"/>
          <w:szCs w:val="24"/>
          <w:highlight w:val="none"/>
        </w:rPr>
        <w:t>采取不正当手段诋毁、排挤其他</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的；</w:t>
      </w:r>
    </w:p>
    <w:p w14:paraId="23C1D94D">
      <w:pPr>
        <w:ind w:firstLine="480" w:firstLineChars="200"/>
        <w:rPr>
          <w:rStyle w:val="24"/>
          <w:rFonts w:hint="eastAsia" w:ascii="Times New Roman" w:hAnsi="Times New Roman" w:eastAsia="Times New Roman" w:cs="Times New Roman"/>
          <w:color w:val="auto"/>
          <w:kern w:val="0"/>
          <w:sz w:val="24"/>
          <w:szCs w:val="24"/>
          <w:highlight w:val="none"/>
        </w:rPr>
      </w:pPr>
      <w:r>
        <w:rPr>
          <w:rStyle w:val="24"/>
          <w:rFonts w:hint="eastAsia" w:eastAsia="仿宋" w:cs="Times New Roman"/>
          <w:color w:val="auto"/>
          <w:sz w:val="24"/>
          <w:szCs w:val="24"/>
          <w:highlight w:val="none"/>
          <w:lang w:eastAsia="zh-CN"/>
        </w:rPr>
        <w:t>18.14.</w:t>
      </w:r>
      <w:r>
        <w:rPr>
          <w:rStyle w:val="24"/>
          <w:rFonts w:cs="Times New Roman"/>
          <w:color w:val="auto"/>
          <w:sz w:val="24"/>
          <w:szCs w:val="24"/>
          <w:highlight w:val="none"/>
        </w:rPr>
        <w:t>3</w:t>
      </w:r>
      <w:r>
        <w:rPr>
          <w:rStyle w:val="24"/>
          <w:rFonts w:hint="eastAsia" w:cs="Times New Roman"/>
          <w:color w:val="auto"/>
          <w:sz w:val="24"/>
          <w:szCs w:val="24"/>
          <w:highlight w:val="none"/>
        </w:rPr>
        <w:t>与采购人、其他</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或者采购代理机构恶意串通的；</w:t>
      </w:r>
    </w:p>
    <w:p w14:paraId="2D8E9374">
      <w:pPr>
        <w:spacing w:line="360" w:lineRule="auto"/>
        <w:ind w:firstLine="560" w:firstLineChars="200"/>
        <w:outlineLvl w:val="2"/>
        <w:rPr>
          <w:rFonts w:ascii="楷体" w:hAnsi="楷体" w:eastAsia="楷体" w:cs="Times New Roman"/>
          <w:color w:val="auto"/>
          <w:kern w:val="0"/>
          <w:sz w:val="28"/>
          <w:szCs w:val="28"/>
          <w:highlight w:val="none"/>
        </w:rPr>
      </w:pPr>
      <w:bookmarkStart w:id="41" w:name="_Toc24861"/>
      <w:bookmarkStart w:id="42" w:name="_Toc18982"/>
      <w:r>
        <w:rPr>
          <w:rFonts w:hint="eastAsia" w:ascii="楷体" w:hAnsi="楷体" w:eastAsia="楷体" w:cs="Times New Roman"/>
          <w:color w:val="auto"/>
          <w:kern w:val="0"/>
          <w:sz w:val="28"/>
          <w:szCs w:val="28"/>
          <w:highlight w:val="none"/>
          <w:lang w:eastAsia="zh-CN"/>
        </w:rPr>
        <w:t>19.</w:t>
      </w:r>
      <w:r>
        <w:rPr>
          <w:rFonts w:hint="eastAsia" w:ascii="楷体" w:hAnsi="楷体" w:eastAsia="楷体" w:cs="Times New Roman"/>
          <w:color w:val="auto"/>
          <w:kern w:val="0"/>
          <w:sz w:val="28"/>
          <w:szCs w:val="28"/>
          <w:highlight w:val="none"/>
        </w:rPr>
        <w:t>质疑</w:t>
      </w:r>
      <w:bookmarkEnd w:id="41"/>
      <w:bookmarkEnd w:id="42"/>
    </w:p>
    <w:p w14:paraId="0578E255">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19.</w:t>
      </w:r>
      <w:r>
        <w:rPr>
          <w:rFonts w:hint="eastAsia" w:ascii="仿宋" w:hAnsi="仿宋" w:eastAsia="仿宋" w:cs="Times New Roman"/>
          <w:color w:val="auto"/>
          <w:kern w:val="0"/>
          <w:sz w:val="24"/>
          <w:szCs w:val="24"/>
          <w:highlight w:val="none"/>
        </w:rPr>
        <w:t>1参加本次政府采购活动的</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认为采购文件、采购过程和成交结果使自己的权益受到损害的，可以在知道或者应知道其权益受到损害之日起7个工作日内，以书面形式向采购人或者采购代理机构提出质疑。</w:t>
      </w:r>
    </w:p>
    <w:p w14:paraId="1464686C">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19.</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质疑书内容应包括以下主要内容：</w:t>
      </w:r>
    </w:p>
    <w:p w14:paraId="269751AE">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19.</w:t>
      </w:r>
      <w:r>
        <w:rPr>
          <w:rFonts w:ascii="仿宋" w:hAnsi="仿宋" w:eastAsia="仿宋" w:cs="Times New Roman"/>
          <w:color w:val="auto"/>
          <w:kern w:val="0"/>
          <w:sz w:val="24"/>
          <w:szCs w:val="24"/>
          <w:highlight w:val="none"/>
        </w:rPr>
        <w:t>2.1</w:t>
      </w:r>
      <w:r>
        <w:rPr>
          <w:rFonts w:hint="eastAsia" w:ascii="仿宋" w:hAnsi="仿宋" w:eastAsia="仿宋" w:cs="Times New Roman"/>
          <w:color w:val="auto"/>
          <w:kern w:val="0"/>
          <w:sz w:val="24"/>
          <w:szCs w:val="24"/>
          <w:highlight w:val="none"/>
        </w:rPr>
        <w:t>质疑人的名称、地址、电话等；</w:t>
      </w:r>
    </w:p>
    <w:p w14:paraId="0466A26C">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19.</w:t>
      </w:r>
      <w:r>
        <w:rPr>
          <w:rFonts w:ascii="仿宋" w:hAnsi="仿宋" w:eastAsia="仿宋" w:cs="Times New Roman"/>
          <w:color w:val="auto"/>
          <w:kern w:val="0"/>
          <w:sz w:val="24"/>
          <w:szCs w:val="24"/>
          <w:highlight w:val="none"/>
        </w:rPr>
        <w:t>2.2</w:t>
      </w:r>
      <w:r>
        <w:rPr>
          <w:rFonts w:hint="eastAsia" w:ascii="仿宋" w:hAnsi="仿宋" w:eastAsia="仿宋" w:cs="Times New Roman"/>
          <w:color w:val="auto"/>
          <w:kern w:val="0"/>
          <w:sz w:val="24"/>
          <w:szCs w:val="24"/>
          <w:highlight w:val="none"/>
        </w:rPr>
        <w:t>具体的质疑事项、证据以及法律、法规依据；</w:t>
      </w:r>
    </w:p>
    <w:p w14:paraId="4E6E3026">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19.</w:t>
      </w:r>
      <w:r>
        <w:rPr>
          <w:rFonts w:ascii="仿宋" w:hAnsi="仿宋" w:eastAsia="仿宋" w:cs="Times New Roman"/>
          <w:color w:val="auto"/>
          <w:kern w:val="0"/>
          <w:sz w:val="24"/>
          <w:szCs w:val="24"/>
          <w:highlight w:val="none"/>
        </w:rPr>
        <w:t>2.3</w:t>
      </w:r>
      <w:r>
        <w:rPr>
          <w:rFonts w:hint="eastAsia" w:ascii="仿宋" w:hAnsi="仿宋" w:eastAsia="仿宋" w:cs="Times New Roman"/>
          <w:color w:val="auto"/>
          <w:kern w:val="0"/>
          <w:sz w:val="24"/>
          <w:szCs w:val="24"/>
          <w:highlight w:val="none"/>
        </w:rPr>
        <w:t>提出质疑的日期。</w:t>
      </w:r>
    </w:p>
    <w:p w14:paraId="43B64B9D">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19.</w:t>
      </w:r>
      <w:r>
        <w:rPr>
          <w:rFonts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rPr>
        <w:t>质疑书应当署名，一式叁份。由法定代表人或者主要负责人签字并加盖公章后生效。代理人办理质疑事务时，还应当提交授权委托书，授权委托书应当载明代理的具体权限和事项。否则采购人或者采购代理机构不予受理。</w:t>
      </w:r>
    </w:p>
    <w:p w14:paraId="2C82CE7C">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19.</w:t>
      </w:r>
      <w:r>
        <w:rPr>
          <w:rFonts w:ascii="仿宋" w:hAnsi="仿宋" w:eastAsia="仿宋" w:cs="Times New Roman"/>
          <w:color w:val="auto"/>
          <w:kern w:val="0"/>
          <w:sz w:val="24"/>
          <w:szCs w:val="24"/>
          <w:highlight w:val="none"/>
        </w:rPr>
        <w:t>4</w:t>
      </w:r>
      <w:r>
        <w:rPr>
          <w:rFonts w:hint="eastAsia" w:ascii="仿宋" w:hAnsi="仿宋" w:eastAsia="仿宋" w:cs="Times New Roman"/>
          <w:color w:val="auto"/>
          <w:kern w:val="0"/>
          <w:sz w:val="24"/>
          <w:szCs w:val="24"/>
          <w:highlight w:val="none"/>
        </w:rPr>
        <w:t>除书面形式外，其他任何方式的质疑，采购人或者采购代理机构均不予接受和回复。</w:t>
      </w:r>
    </w:p>
    <w:p w14:paraId="766524AF">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19.</w:t>
      </w:r>
      <w:r>
        <w:rPr>
          <w:rFonts w:ascii="仿宋" w:hAnsi="仿宋" w:eastAsia="仿宋" w:cs="Times New Roman"/>
          <w:color w:val="auto"/>
          <w:kern w:val="0"/>
          <w:sz w:val="24"/>
          <w:szCs w:val="24"/>
          <w:highlight w:val="none"/>
        </w:rPr>
        <w:t>5</w:t>
      </w:r>
      <w:r>
        <w:rPr>
          <w:rFonts w:hint="eastAsia" w:ascii="仿宋" w:hAnsi="仿宋" w:eastAsia="仿宋" w:cs="Times New Roman"/>
          <w:color w:val="auto"/>
          <w:kern w:val="0"/>
          <w:sz w:val="24"/>
          <w:szCs w:val="24"/>
          <w:highlight w:val="none"/>
        </w:rPr>
        <w:t>采购人或者采购代理机构在收到质疑书后7个工作日内做出书面答复，并以书面形式通知质疑人和其他有关</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，但答复不得涉及商业秘密。</w:t>
      </w:r>
    </w:p>
    <w:p w14:paraId="60342D47">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19.</w:t>
      </w:r>
      <w:r>
        <w:rPr>
          <w:rFonts w:ascii="仿宋" w:hAnsi="仿宋" w:eastAsia="仿宋" w:cs="Times New Roman"/>
          <w:color w:val="auto"/>
          <w:kern w:val="0"/>
          <w:sz w:val="24"/>
          <w:szCs w:val="24"/>
          <w:highlight w:val="none"/>
        </w:rPr>
        <w:t xml:space="preserve">6 </w:t>
      </w:r>
      <w:r>
        <w:rPr>
          <w:rFonts w:hint="eastAsia" w:ascii="仿宋" w:hAnsi="仿宋" w:eastAsia="仿宋" w:cs="Times New Roman"/>
          <w:color w:val="auto"/>
          <w:kern w:val="0"/>
          <w:sz w:val="24"/>
          <w:szCs w:val="24"/>
          <w:highlight w:val="none"/>
        </w:rPr>
        <w:t>采购人负责供应商质疑答复。采购人委托采购代理机构采购的，采购代理机构在委托授权范围内作出答复。</w:t>
      </w:r>
    </w:p>
    <w:p w14:paraId="673E8E15">
      <w:pPr>
        <w:spacing w:line="360" w:lineRule="auto"/>
        <w:ind w:firstLine="560" w:firstLineChars="200"/>
        <w:outlineLvl w:val="2"/>
        <w:rPr>
          <w:rFonts w:ascii="楷体" w:hAnsi="楷体" w:eastAsia="楷体" w:cs="Times New Roman"/>
          <w:color w:val="auto"/>
          <w:kern w:val="0"/>
          <w:sz w:val="28"/>
          <w:szCs w:val="28"/>
          <w:highlight w:val="none"/>
        </w:rPr>
      </w:pPr>
      <w:bookmarkStart w:id="43" w:name="_Toc24106"/>
      <w:bookmarkStart w:id="44" w:name="_Toc2813"/>
      <w:r>
        <w:rPr>
          <w:rFonts w:hint="eastAsia" w:ascii="楷体" w:hAnsi="楷体" w:eastAsia="楷体" w:cs="Times New Roman"/>
          <w:color w:val="auto"/>
          <w:kern w:val="0"/>
          <w:sz w:val="28"/>
          <w:szCs w:val="28"/>
          <w:highlight w:val="none"/>
          <w:lang w:eastAsia="zh-CN"/>
        </w:rPr>
        <w:t>20.</w:t>
      </w:r>
      <w:r>
        <w:rPr>
          <w:rFonts w:hint="eastAsia" w:ascii="楷体" w:hAnsi="楷体" w:eastAsia="楷体" w:cs="Times New Roman"/>
          <w:color w:val="auto"/>
          <w:kern w:val="0"/>
          <w:sz w:val="28"/>
          <w:szCs w:val="28"/>
          <w:highlight w:val="none"/>
        </w:rPr>
        <w:t>投诉</w:t>
      </w:r>
      <w:bookmarkEnd w:id="43"/>
      <w:bookmarkEnd w:id="44"/>
    </w:p>
    <w:p w14:paraId="4B051644">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rPr>
        <w:t>按照《中华人民共和国政府采购法》、财政部《政府采购</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投诉处理办法》</w:t>
      </w:r>
      <w:r>
        <w:rPr>
          <w:rFonts w:hint="eastAsia" w:ascii="仿宋" w:hAnsi="仿宋" w:eastAsia="仿宋" w:cs="Times New Roman"/>
          <w:color w:val="auto"/>
          <w:kern w:val="0"/>
          <w:sz w:val="24"/>
          <w:szCs w:val="24"/>
          <w:highlight w:val="none"/>
          <w:lang w:eastAsia="zh-CN"/>
        </w:rPr>
        <w:t>（财政部令第94号）</w:t>
      </w:r>
      <w:r>
        <w:rPr>
          <w:rFonts w:hint="eastAsia" w:ascii="仿宋" w:hAnsi="仿宋" w:eastAsia="仿宋" w:cs="Times New Roman"/>
          <w:color w:val="auto"/>
          <w:kern w:val="0"/>
          <w:sz w:val="24"/>
          <w:szCs w:val="24"/>
          <w:highlight w:val="none"/>
        </w:rPr>
        <w:t>文件以及相关的法律、法规及规定，质疑人对采购人、采购代理机构的答复不满意或者采购人、采购代理机构未在规定的时间内做出答复的，可以在答复期满后1</w:t>
      </w:r>
      <w:r>
        <w:rPr>
          <w:rFonts w:ascii="仿宋" w:hAnsi="仿宋" w:eastAsia="仿宋" w:cs="Times New Roman"/>
          <w:color w:val="auto"/>
          <w:kern w:val="0"/>
          <w:sz w:val="24"/>
          <w:szCs w:val="24"/>
          <w:highlight w:val="none"/>
        </w:rPr>
        <w:t>5</w:t>
      </w:r>
      <w:r>
        <w:rPr>
          <w:rFonts w:hint="eastAsia" w:ascii="仿宋" w:hAnsi="仿宋" w:eastAsia="仿宋" w:cs="Times New Roman"/>
          <w:color w:val="auto"/>
          <w:kern w:val="0"/>
          <w:sz w:val="24"/>
          <w:szCs w:val="24"/>
          <w:highlight w:val="none"/>
        </w:rPr>
        <w:t>个工作日内向同级监管部门投诉。</w:t>
      </w:r>
    </w:p>
    <w:p w14:paraId="50B383D9">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2</w:t>
      </w:r>
      <w:r>
        <w:rPr>
          <w:rFonts w:hint="eastAsia" w:ascii="仿宋" w:hAnsi="仿宋" w:eastAsia="仿宋" w:cs="Times New Roman"/>
          <w:color w:val="auto"/>
          <w:kern w:val="0"/>
          <w:sz w:val="24"/>
          <w:szCs w:val="24"/>
          <w:highlight w:val="none"/>
        </w:rPr>
        <w:t>投诉人提起投诉应符合下列条件：</w:t>
      </w:r>
    </w:p>
    <w:p w14:paraId="2E42D168">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2.1</w:t>
      </w:r>
      <w:r>
        <w:rPr>
          <w:rFonts w:hint="eastAsia" w:ascii="仿宋" w:hAnsi="仿宋" w:eastAsia="仿宋" w:cs="Times New Roman"/>
          <w:color w:val="auto"/>
          <w:kern w:val="0"/>
          <w:sz w:val="24"/>
          <w:szCs w:val="24"/>
          <w:highlight w:val="none"/>
        </w:rPr>
        <w:t>提起投诉前已依法进行质疑；</w:t>
      </w:r>
    </w:p>
    <w:p w14:paraId="07DE8138">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2.2</w:t>
      </w:r>
      <w:r>
        <w:rPr>
          <w:rFonts w:hint="eastAsia" w:ascii="仿宋" w:hAnsi="仿宋" w:eastAsia="仿宋" w:cs="Times New Roman"/>
          <w:color w:val="auto"/>
          <w:kern w:val="0"/>
          <w:sz w:val="24"/>
          <w:szCs w:val="24"/>
          <w:highlight w:val="none"/>
        </w:rPr>
        <w:t>投诉书内容符合本办法的规定；</w:t>
      </w:r>
    </w:p>
    <w:p w14:paraId="3B67464E">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2.3</w:t>
      </w:r>
      <w:r>
        <w:rPr>
          <w:rFonts w:hint="eastAsia" w:ascii="仿宋" w:hAnsi="仿宋" w:eastAsia="仿宋" w:cs="Times New Roman"/>
          <w:color w:val="auto"/>
          <w:kern w:val="0"/>
          <w:sz w:val="24"/>
          <w:szCs w:val="24"/>
          <w:highlight w:val="none"/>
        </w:rPr>
        <w:t>在投诉有效期限内提起投诉；</w:t>
      </w:r>
    </w:p>
    <w:p w14:paraId="04A54BA6">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2.4</w:t>
      </w:r>
      <w:r>
        <w:rPr>
          <w:rFonts w:hint="eastAsia" w:ascii="仿宋" w:hAnsi="仿宋" w:eastAsia="仿宋" w:cs="Times New Roman"/>
          <w:color w:val="auto"/>
          <w:kern w:val="0"/>
          <w:sz w:val="24"/>
          <w:szCs w:val="24"/>
          <w:highlight w:val="none"/>
        </w:rPr>
        <w:t>同一投诉事项未经财政部门投诉处理；</w:t>
      </w:r>
    </w:p>
    <w:p w14:paraId="51A984E5">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2.5</w:t>
      </w:r>
      <w:r>
        <w:rPr>
          <w:rFonts w:hint="eastAsia" w:ascii="仿宋" w:hAnsi="仿宋" w:eastAsia="仿宋" w:cs="Times New Roman"/>
          <w:color w:val="auto"/>
          <w:kern w:val="0"/>
          <w:sz w:val="24"/>
          <w:szCs w:val="24"/>
          <w:highlight w:val="none"/>
        </w:rPr>
        <w:t>财政部规定的其他条件；</w:t>
      </w:r>
    </w:p>
    <w:p w14:paraId="00BD7B2F">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rPr>
        <w:t>投诉人投诉时，应当提交投诉书，并按照被投诉采购人、采购代理机构和与投诉事项有关的</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数量提供投诉书的副本。</w:t>
      </w:r>
    </w:p>
    <w:p w14:paraId="4878E80E">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4</w:t>
      </w:r>
      <w:r>
        <w:rPr>
          <w:rFonts w:hint="eastAsia" w:ascii="仿宋" w:hAnsi="仿宋" w:eastAsia="仿宋" w:cs="Times New Roman"/>
          <w:color w:val="auto"/>
          <w:kern w:val="0"/>
          <w:sz w:val="24"/>
          <w:szCs w:val="24"/>
          <w:highlight w:val="none"/>
        </w:rPr>
        <w:t>投诉书应当包括以下主要内容：</w:t>
      </w:r>
    </w:p>
    <w:p w14:paraId="2E0CC1F0">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4.1</w:t>
      </w:r>
      <w:r>
        <w:rPr>
          <w:rFonts w:hint="eastAsia" w:ascii="仿宋" w:hAnsi="仿宋" w:eastAsia="仿宋" w:cs="Times New Roman"/>
          <w:color w:val="auto"/>
          <w:kern w:val="0"/>
          <w:sz w:val="24"/>
          <w:szCs w:val="24"/>
          <w:highlight w:val="none"/>
        </w:rPr>
        <w:t>投诉人和被投诉人的名称、地址、电话等；</w:t>
      </w:r>
    </w:p>
    <w:p w14:paraId="23F8E799">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4.2</w:t>
      </w:r>
      <w:r>
        <w:rPr>
          <w:rFonts w:hint="eastAsia" w:ascii="仿宋" w:hAnsi="仿宋" w:eastAsia="仿宋" w:cs="Times New Roman"/>
          <w:color w:val="auto"/>
          <w:kern w:val="0"/>
          <w:sz w:val="24"/>
          <w:szCs w:val="24"/>
          <w:highlight w:val="none"/>
        </w:rPr>
        <w:t>具体的投诉事宜以及事实依据；</w:t>
      </w:r>
    </w:p>
    <w:p w14:paraId="30D22E57">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4.3</w:t>
      </w:r>
      <w:r>
        <w:rPr>
          <w:rFonts w:hint="eastAsia" w:ascii="仿宋" w:hAnsi="仿宋" w:eastAsia="仿宋" w:cs="Times New Roman"/>
          <w:color w:val="auto"/>
          <w:kern w:val="0"/>
          <w:sz w:val="24"/>
          <w:szCs w:val="24"/>
          <w:highlight w:val="none"/>
        </w:rPr>
        <w:t>质疑书和质疑答复情况以及相关证明材料；</w:t>
      </w:r>
    </w:p>
    <w:p w14:paraId="06F09E78">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4.4</w:t>
      </w:r>
      <w:r>
        <w:rPr>
          <w:rFonts w:hint="eastAsia" w:ascii="仿宋" w:hAnsi="仿宋" w:eastAsia="仿宋" w:cs="Times New Roman"/>
          <w:color w:val="auto"/>
          <w:kern w:val="0"/>
          <w:sz w:val="24"/>
          <w:szCs w:val="24"/>
          <w:highlight w:val="none"/>
        </w:rPr>
        <w:t>提起投诉的日期。</w:t>
      </w:r>
    </w:p>
    <w:p w14:paraId="589D841C">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5</w:t>
      </w:r>
      <w:r>
        <w:rPr>
          <w:rFonts w:hint="eastAsia" w:ascii="仿宋" w:hAnsi="仿宋" w:eastAsia="仿宋" w:cs="Times New Roman"/>
          <w:color w:val="auto"/>
          <w:kern w:val="0"/>
          <w:sz w:val="24"/>
          <w:szCs w:val="24"/>
          <w:highlight w:val="none"/>
        </w:rPr>
        <w:t>投诉书应当署名。投诉人为自然人的，应当由本人签字；投诉人为法人或者其他组织的，应当由法定代表人或者主要负责人签字盖章并加盖公章。</w:t>
      </w:r>
    </w:p>
    <w:p w14:paraId="75BBAC0D">
      <w:pPr>
        <w:spacing w:line="360" w:lineRule="auto"/>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6</w:t>
      </w:r>
      <w:r>
        <w:rPr>
          <w:rFonts w:hint="eastAsia" w:ascii="仿宋" w:hAnsi="仿宋" w:eastAsia="仿宋" w:cs="Times New Roman"/>
          <w:color w:val="auto"/>
          <w:kern w:val="0"/>
          <w:sz w:val="24"/>
          <w:szCs w:val="24"/>
          <w:highlight w:val="none"/>
        </w:rPr>
        <w:t>投诉人可以委托代理人办理投诉事务。代理人办理投诉事务时，除提交投诉书外，还应当向同级监管部门提交投诉人的授权委托书，授权委托书应当载明委托代理的具体权限和事项。</w:t>
      </w:r>
    </w:p>
    <w:p w14:paraId="47F0B8CA">
      <w:pPr>
        <w:spacing w:line="360" w:lineRule="auto"/>
        <w:ind w:firstLine="480" w:firstLineChars="200"/>
        <w:outlineLvl w:val="9"/>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20.</w:t>
      </w:r>
      <w:r>
        <w:rPr>
          <w:rFonts w:ascii="仿宋" w:hAnsi="仿宋" w:eastAsia="仿宋" w:cs="Times New Roman"/>
          <w:color w:val="auto"/>
          <w:kern w:val="0"/>
          <w:sz w:val="24"/>
          <w:szCs w:val="24"/>
          <w:highlight w:val="none"/>
        </w:rPr>
        <w:t>7</w:t>
      </w:r>
      <w:r>
        <w:rPr>
          <w:rFonts w:hint="eastAsia" w:ascii="仿宋" w:hAnsi="仿宋" w:eastAsia="仿宋" w:cs="Times New Roman"/>
          <w:color w:val="auto"/>
          <w:kern w:val="0"/>
          <w:sz w:val="24"/>
          <w:szCs w:val="24"/>
          <w:highlight w:val="none"/>
        </w:rPr>
        <w:t>投诉人不符合上述规定提起的投诉，监管部门不予受理。</w:t>
      </w:r>
    </w:p>
    <w:p w14:paraId="531D42E7">
      <w:pPr>
        <w:spacing w:line="360" w:lineRule="auto"/>
        <w:ind w:firstLine="560" w:firstLineChars="200"/>
        <w:outlineLvl w:val="2"/>
        <w:rPr>
          <w:rFonts w:hint="eastAsia" w:ascii="楷体" w:hAnsi="楷体" w:eastAsia="楷体" w:cs="Times New Roman"/>
          <w:color w:val="auto"/>
          <w:kern w:val="0"/>
          <w:sz w:val="28"/>
          <w:szCs w:val="28"/>
          <w:highlight w:val="none"/>
        </w:rPr>
      </w:pPr>
      <w:bookmarkStart w:id="45" w:name="_Toc29378"/>
      <w:r>
        <w:rPr>
          <w:rFonts w:ascii="楷体" w:hAnsi="楷体" w:eastAsia="楷体" w:cs="Times New Roman"/>
          <w:color w:val="auto"/>
          <w:kern w:val="0"/>
          <w:sz w:val="28"/>
          <w:szCs w:val="28"/>
          <w:highlight w:val="none"/>
        </w:rPr>
        <w:t>2</w:t>
      </w:r>
      <w:r>
        <w:rPr>
          <w:rFonts w:hint="eastAsia" w:ascii="楷体" w:hAnsi="楷体" w:eastAsia="楷体" w:cs="Times New Roman"/>
          <w:color w:val="auto"/>
          <w:kern w:val="0"/>
          <w:sz w:val="28"/>
          <w:szCs w:val="28"/>
          <w:highlight w:val="none"/>
          <w:lang w:val="en-US" w:eastAsia="zh-CN"/>
        </w:rPr>
        <w:t>1</w:t>
      </w:r>
      <w:r>
        <w:rPr>
          <w:rFonts w:hint="eastAsia" w:ascii="楷体" w:hAnsi="楷体" w:eastAsia="楷体" w:cs="Times New Roman"/>
          <w:color w:val="auto"/>
          <w:kern w:val="0"/>
          <w:sz w:val="28"/>
          <w:szCs w:val="28"/>
          <w:highlight w:val="none"/>
        </w:rPr>
        <w:t>.其他需补充的内容</w:t>
      </w:r>
      <w:bookmarkEnd w:id="39"/>
      <w:bookmarkEnd w:id="45"/>
    </w:p>
    <w:p w14:paraId="6014DD27">
      <w:pPr>
        <w:ind w:firstLine="240" w:firstLineChars="100"/>
        <w:rPr>
          <w:rFonts w:ascii="Times New Roman" w:hAnsi="Times New Roman" w:eastAsia="Times New Roman" w:cs="Times New Roman"/>
          <w:color w:val="auto"/>
          <w:kern w:val="0"/>
          <w:sz w:val="24"/>
          <w:highlight w:val="none"/>
        </w:rPr>
      </w:pPr>
      <w:r>
        <w:rPr>
          <w:rFonts w:hint="eastAsia" w:ascii="仿宋" w:hAnsi="仿宋" w:eastAsia="仿宋" w:cs="Times New Roman"/>
          <w:color w:val="auto"/>
          <w:kern w:val="0"/>
          <w:sz w:val="24"/>
          <w:szCs w:val="24"/>
          <w:highlight w:val="none"/>
        </w:rPr>
        <w:t>其他需补充的内容：见</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须知前附表。</w:t>
      </w:r>
    </w:p>
    <w:p w14:paraId="0933C7A4">
      <w:pPr>
        <w:ind w:firstLine="360" w:firstLineChars="100"/>
        <w:jc w:val="center"/>
        <w:rPr>
          <w:rFonts w:hint="eastAsia" w:ascii="仿宋" w:hAnsi="仿宋" w:eastAsia="仿宋" w:cs="Times New Roman"/>
          <w:color w:val="auto"/>
          <w:kern w:val="0"/>
          <w:sz w:val="36"/>
          <w:szCs w:val="36"/>
          <w:highlight w:val="none"/>
          <w:lang w:eastAsia="zh-CN"/>
        </w:rPr>
      </w:pPr>
      <w:r>
        <w:rPr>
          <w:rFonts w:hint="eastAsia" w:ascii="仿宋" w:hAnsi="仿宋" w:eastAsia="仿宋" w:cs="Times New Roman"/>
          <w:color w:val="auto"/>
          <w:kern w:val="0"/>
          <w:sz w:val="36"/>
          <w:szCs w:val="36"/>
          <w:highlight w:val="none"/>
          <w:lang w:eastAsia="zh-CN"/>
        </w:rPr>
        <w:br w:type="page"/>
      </w:r>
      <w:r>
        <w:rPr>
          <w:rFonts w:hint="eastAsia" w:ascii="仿宋" w:hAnsi="仿宋" w:eastAsia="仿宋" w:cs="Times New Roman"/>
          <w:color w:val="auto"/>
          <w:kern w:val="0"/>
          <w:sz w:val="36"/>
          <w:szCs w:val="36"/>
          <w:highlight w:val="none"/>
          <w:lang w:eastAsia="zh-CN"/>
        </w:rPr>
        <w:t>质疑函范本</w:t>
      </w:r>
    </w:p>
    <w:p w14:paraId="4BD1CD77">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一、质疑供应商基本信息</w:t>
      </w:r>
    </w:p>
    <w:p w14:paraId="16A1F170">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质疑供应商：                                                              </w:t>
      </w:r>
    </w:p>
    <w:p w14:paraId="513CBE6C">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地址：                             邮编：                                    </w:t>
      </w:r>
    </w:p>
    <w:p w14:paraId="1A16822C">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联系人：                           联系电话：                                       </w:t>
      </w:r>
    </w:p>
    <w:p w14:paraId="47DA59B6">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授权代表：                                                                 </w:t>
      </w:r>
    </w:p>
    <w:p w14:paraId="0B2C1089">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联系电话：                                                                </w:t>
      </w:r>
    </w:p>
    <w:p w14:paraId="575350FE">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地址：                              邮编：                                     </w:t>
      </w:r>
    </w:p>
    <w:p w14:paraId="7FAF475E">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二、质疑项目基本情况</w:t>
      </w:r>
    </w:p>
    <w:p w14:paraId="3B07AC1D">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质疑项目的名称：                                                          </w:t>
      </w:r>
    </w:p>
    <w:p w14:paraId="0E62AC87">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质疑项目的编号：                    包号：                           </w:t>
      </w:r>
    </w:p>
    <w:p w14:paraId="71F91207">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采购人名称：                                                              </w:t>
      </w:r>
    </w:p>
    <w:p w14:paraId="5BC70E33">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采购文件获取日期：                                                        </w:t>
      </w:r>
    </w:p>
    <w:p w14:paraId="20D45E00">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三、质疑事项具体内容</w:t>
      </w:r>
    </w:p>
    <w:p w14:paraId="7B83F7EC">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质疑事项1：                                                              </w:t>
      </w:r>
    </w:p>
    <w:p w14:paraId="4EB1ECC2">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事实依据：                                                                                                                                   </w:t>
      </w:r>
    </w:p>
    <w:p w14:paraId="6824E7C0">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法律依据：                                                                                                                                     </w:t>
      </w:r>
    </w:p>
    <w:p w14:paraId="05591A9C">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质疑事项2</w:t>
      </w:r>
    </w:p>
    <w:p w14:paraId="718C96F8">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w:t>
      </w:r>
    </w:p>
    <w:p w14:paraId="7B687E6E">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四、与质疑事项相关的质疑请求</w:t>
      </w:r>
    </w:p>
    <w:p w14:paraId="6C1E65EF">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请求：                                                                     </w:t>
      </w:r>
    </w:p>
    <w:p w14:paraId="6DF6FF31">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签字(签章)：                   公章：                      </w:t>
      </w:r>
    </w:p>
    <w:p w14:paraId="71446807">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 xml:space="preserve">日期：    </w:t>
      </w:r>
    </w:p>
    <w:p w14:paraId="3B9E1A2B">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质疑函制作说明：</w:t>
      </w:r>
    </w:p>
    <w:p w14:paraId="554C4E4E">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1.供应商提出质疑时，应提交质疑函和必要的证明材料。</w:t>
      </w:r>
    </w:p>
    <w:p w14:paraId="39E67905">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5526955">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3.质疑供应商若对项目的某一分包进行质疑，质疑函中应列明具体分包号。</w:t>
      </w:r>
    </w:p>
    <w:p w14:paraId="4B42EB1D">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4.质疑函的质疑事项应具体、明确，并有必要的事实依据和法律依据。</w:t>
      </w:r>
    </w:p>
    <w:p w14:paraId="6B775A10">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5.质疑函的质疑请求应与质疑事项相关。</w:t>
      </w:r>
    </w:p>
    <w:p w14:paraId="4EAC8E26">
      <w:pPr>
        <w:ind w:firstLine="240" w:firstLineChars="100"/>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6.质疑供应商为自然人的，质疑函应由本人签字；质疑供应商为法人或者其他组织的，质疑函应由法定代表人、主要负责人，或者其授权代表签字或者盖章，并加盖公章。</w:t>
      </w:r>
    </w:p>
    <w:p w14:paraId="602B1F06">
      <w:pPr>
        <w:ind w:firstLine="240" w:firstLineChars="100"/>
        <w:rPr>
          <w:rFonts w:hint="eastAsia" w:ascii="仿宋" w:hAnsi="仿宋" w:eastAsia="仿宋" w:cs="Times New Roman"/>
          <w:color w:val="auto"/>
          <w:kern w:val="0"/>
          <w:sz w:val="24"/>
          <w:szCs w:val="24"/>
          <w:highlight w:val="none"/>
          <w:lang w:eastAsia="zh-CN"/>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8189"/>
      </w:tblGrid>
      <w:tr w14:paraId="50DE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097" w:type="dxa"/>
            <w:noWrap w:val="0"/>
            <w:vAlign w:val="center"/>
          </w:tcPr>
          <w:p w14:paraId="112D4155">
            <w:pPr>
              <w:ind w:firstLine="240" w:firstLineChars="1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质疑函接收方式</w:t>
            </w:r>
          </w:p>
        </w:tc>
        <w:tc>
          <w:tcPr>
            <w:tcW w:w="8189" w:type="dxa"/>
            <w:noWrap w:val="0"/>
            <w:vAlign w:val="center"/>
          </w:tcPr>
          <w:p w14:paraId="1DDCD986">
            <w:pPr>
              <w:ind w:firstLine="240" w:firstLineChars="1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eastAsia="zh-CN"/>
              </w:rPr>
              <w:t>☑ 书面质疑递交（或邮寄）地址：国泰城市公馆，</w:t>
            </w:r>
            <w:r>
              <w:rPr>
                <w:rFonts w:hint="eastAsia" w:ascii="仿宋" w:hAnsi="仿宋" w:eastAsia="仿宋" w:cs="Times New Roman"/>
                <w:color w:val="auto"/>
                <w:kern w:val="0"/>
                <w:sz w:val="24"/>
                <w:szCs w:val="24"/>
                <w:highlight w:val="none"/>
                <w:lang w:val="en-US" w:eastAsia="zh-CN"/>
              </w:rPr>
              <w:t>常丽13657595999</w:t>
            </w:r>
            <w:r>
              <w:rPr>
                <w:rFonts w:hint="eastAsia" w:ascii="仿宋" w:hAnsi="仿宋" w:eastAsia="仿宋" w:cs="Times New Roman"/>
                <w:color w:val="auto"/>
                <w:kern w:val="0"/>
                <w:sz w:val="24"/>
                <w:szCs w:val="24"/>
                <w:highlight w:val="none"/>
                <w:lang w:eastAsia="zh-CN"/>
              </w:rPr>
              <w:t>收；同时将质疑文件扫描件发送至公司企业邮箱（邮箱地址：</w:t>
            </w:r>
            <w:r>
              <w:rPr>
                <w:rFonts w:hint="eastAsia" w:ascii="仿宋" w:hAnsi="仿宋" w:eastAsia="仿宋" w:cs="Times New Roman"/>
                <w:color w:val="auto"/>
                <w:kern w:val="0"/>
                <w:sz w:val="24"/>
                <w:szCs w:val="24"/>
                <w:highlight w:val="none"/>
                <w:lang w:eastAsia="zh-CN"/>
              </w:rPr>
              <w:fldChar w:fldCharType="begin"/>
            </w:r>
            <w:r>
              <w:rPr>
                <w:rFonts w:hint="eastAsia" w:ascii="仿宋" w:hAnsi="仿宋" w:eastAsia="仿宋" w:cs="Times New Roman"/>
                <w:color w:val="auto"/>
                <w:kern w:val="0"/>
                <w:sz w:val="24"/>
                <w:szCs w:val="24"/>
                <w:highlight w:val="none"/>
                <w:lang w:eastAsia="zh-CN"/>
              </w:rPr>
              <w:instrText xml:space="preserve"> HYPERLINK "mailto:xjzy@xjzeyi.com）" </w:instrText>
            </w:r>
            <w:r>
              <w:rPr>
                <w:rFonts w:hint="eastAsia" w:ascii="仿宋" w:hAnsi="仿宋" w:eastAsia="仿宋" w:cs="Times New Roman"/>
                <w:color w:val="auto"/>
                <w:kern w:val="0"/>
                <w:sz w:val="24"/>
                <w:szCs w:val="24"/>
                <w:highlight w:val="none"/>
                <w:lang w:eastAsia="zh-CN"/>
              </w:rPr>
              <w:fldChar w:fldCharType="separate"/>
            </w:r>
            <w:r>
              <w:rPr>
                <w:rFonts w:hint="eastAsia" w:ascii="仿宋" w:hAnsi="仿宋" w:eastAsia="仿宋" w:cs="Times New Roman"/>
                <w:color w:val="auto"/>
                <w:kern w:val="0"/>
                <w:sz w:val="24"/>
                <w:szCs w:val="24"/>
                <w:highlight w:val="none"/>
                <w:lang w:val="en-US" w:eastAsia="zh-CN"/>
              </w:rPr>
              <w:t>867778358@qq</w:t>
            </w:r>
            <w:r>
              <w:rPr>
                <w:rFonts w:hint="eastAsia" w:ascii="仿宋" w:hAnsi="仿宋" w:eastAsia="仿宋" w:cs="Times New Roman"/>
                <w:color w:val="auto"/>
                <w:kern w:val="0"/>
                <w:sz w:val="24"/>
                <w:szCs w:val="24"/>
                <w:highlight w:val="none"/>
                <w:lang w:eastAsia="zh-CN"/>
              </w:rPr>
              <w:t>.com）</w:t>
            </w:r>
            <w:r>
              <w:rPr>
                <w:rFonts w:hint="eastAsia" w:ascii="仿宋" w:hAnsi="仿宋" w:eastAsia="仿宋" w:cs="Times New Roman"/>
                <w:color w:val="auto"/>
                <w:kern w:val="0"/>
                <w:sz w:val="24"/>
                <w:szCs w:val="24"/>
                <w:highlight w:val="none"/>
                <w:lang w:eastAsia="zh-CN"/>
              </w:rPr>
              <w:fldChar w:fldCharType="end"/>
            </w:r>
          </w:p>
        </w:tc>
      </w:tr>
    </w:tbl>
    <w:p w14:paraId="3E48DAD0">
      <w:pPr>
        <w:ind w:firstLine="240" w:firstLineChars="100"/>
        <w:rPr>
          <w:rFonts w:hint="eastAsia" w:ascii="仿宋" w:hAnsi="仿宋" w:eastAsia="仿宋" w:cs="Times New Roman"/>
          <w:color w:val="auto"/>
          <w:kern w:val="0"/>
          <w:sz w:val="24"/>
          <w:szCs w:val="24"/>
          <w:highlight w:val="none"/>
          <w:lang w:val="en-US" w:eastAsia="zh-CN"/>
        </w:rPr>
      </w:pPr>
    </w:p>
    <w:p w14:paraId="1EE9678F">
      <w:pPr>
        <w:rPr>
          <w:rFonts w:hint="eastAsia" w:ascii="仿宋" w:hAnsi="仿宋" w:eastAsia="仿宋" w:cs="Times New Roman"/>
          <w:color w:val="auto"/>
          <w:kern w:val="0"/>
          <w:sz w:val="24"/>
          <w:szCs w:val="24"/>
          <w:highlight w:val="none"/>
          <w:lang w:eastAsia="zh-CN"/>
        </w:rPr>
      </w:pPr>
      <w:r>
        <w:rPr>
          <w:rFonts w:hint="eastAsia" w:ascii="仿宋" w:hAnsi="仿宋" w:eastAsia="仿宋" w:cs="Times New Roman"/>
          <w:color w:val="auto"/>
          <w:kern w:val="0"/>
          <w:sz w:val="24"/>
          <w:szCs w:val="24"/>
          <w:highlight w:val="none"/>
          <w:lang w:eastAsia="zh-CN"/>
        </w:rPr>
        <w:t>注：质疑函附件应提供营业执照扫描件、法</w:t>
      </w:r>
      <w:r>
        <w:rPr>
          <w:rFonts w:hint="eastAsia" w:ascii="仿宋" w:hAnsi="仿宋" w:eastAsia="仿宋" w:cs="Times New Roman"/>
          <w:color w:val="auto"/>
          <w:kern w:val="0"/>
          <w:sz w:val="24"/>
          <w:szCs w:val="24"/>
          <w:highlight w:val="none"/>
          <w:lang w:val="en-US" w:eastAsia="zh-CN"/>
        </w:rPr>
        <w:t>定代表</w:t>
      </w:r>
      <w:r>
        <w:rPr>
          <w:rFonts w:hint="eastAsia" w:ascii="仿宋" w:hAnsi="仿宋" w:eastAsia="仿宋" w:cs="Times New Roman"/>
          <w:color w:val="auto"/>
          <w:kern w:val="0"/>
          <w:sz w:val="24"/>
          <w:szCs w:val="24"/>
          <w:highlight w:val="none"/>
          <w:lang w:eastAsia="zh-CN"/>
        </w:rPr>
        <w:t>人身份证扫描件、授权委托人应附供应商授权委托书及被委托人身份证扫描件、获取磋商文件回执单。</w:t>
      </w:r>
    </w:p>
    <w:p w14:paraId="3B0B2C98">
      <w:pPr>
        <w:ind w:firstLine="240" w:firstLineChars="100"/>
        <w:rPr>
          <w:rFonts w:hint="eastAsia" w:ascii="仿宋" w:hAnsi="仿宋" w:eastAsia="仿宋" w:cs="Times New Roman"/>
          <w:color w:val="auto"/>
          <w:sz w:val="24"/>
          <w:szCs w:val="24"/>
          <w:highlight w:val="none"/>
          <w:lang w:eastAsia="zh-CN"/>
        </w:rPr>
        <w:sectPr>
          <w:footerReference r:id="rId9" w:type="default"/>
          <w:pgSz w:w="11906" w:h="16838"/>
          <w:pgMar w:top="1418" w:right="1418" w:bottom="1418" w:left="1418" w:header="851" w:footer="992" w:gutter="0"/>
          <w:pgNumType w:fmt="decimal"/>
          <w:cols w:space="720" w:num="1"/>
          <w:docGrid w:type="lines" w:linePitch="312" w:charSpace="0"/>
        </w:sectPr>
      </w:pPr>
    </w:p>
    <w:p w14:paraId="5B132F2F">
      <w:pPr>
        <w:keepNext/>
        <w:keepLines/>
        <w:widowControl w:val="0"/>
        <w:numPr>
          <w:ilvl w:val="0"/>
          <w:numId w:val="4"/>
        </w:numPr>
        <w:bidi w:val="0"/>
        <w:spacing w:before="260" w:beforeLines="0" w:beforeAutospacing="0" w:after="220" w:afterLines="0" w:afterAutospacing="0" w:line="240" w:lineRule="auto"/>
        <w:jc w:val="center"/>
        <w:outlineLvl w:val="0"/>
        <w:rPr>
          <w:rFonts w:hint="eastAsia" w:ascii="仿宋" w:hAnsi="仿宋" w:eastAsia="仿宋" w:cs="仿宋"/>
          <w:b/>
          <w:kern w:val="44"/>
          <w:sz w:val="32"/>
          <w:szCs w:val="32"/>
          <w:highlight w:val="none"/>
          <w:lang w:val="en-US" w:eastAsia="zh-CN" w:bidi="ar-SA"/>
        </w:rPr>
      </w:pPr>
      <w:bookmarkStart w:id="46" w:name="_Toc20533"/>
      <w:bookmarkStart w:id="47" w:name="_Toc5958"/>
      <w:r>
        <w:rPr>
          <w:rFonts w:hint="eastAsia" w:ascii="仿宋" w:hAnsi="仿宋" w:eastAsia="仿宋" w:cs="仿宋"/>
          <w:b/>
          <w:kern w:val="44"/>
          <w:sz w:val="32"/>
          <w:szCs w:val="32"/>
          <w:highlight w:val="none"/>
          <w:lang w:val="en-US" w:eastAsia="zh-CN" w:bidi="ar-SA"/>
        </w:rPr>
        <w:t>政府采购合同</w:t>
      </w:r>
      <w:bookmarkEnd w:id="46"/>
      <w:r>
        <w:rPr>
          <w:rFonts w:hint="eastAsia" w:ascii="仿宋" w:hAnsi="仿宋" w:eastAsia="仿宋" w:cs="仿宋"/>
          <w:b/>
          <w:kern w:val="44"/>
          <w:sz w:val="32"/>
          <w:szCs w:val="32"/>
          <w:highlight w:val="none"/>
          <w:lang w:val="en-US" w:eastAsia="zh-CN" w:bidi="ar-SA"/>
        </w:rPr>
        <w:t>(最终以双方签订的合同为主)</w:t>
      </w:r>
      <w:bookmarkEnd w:id="47"/>
    </w:p>
    <w:p w14:paraId="5CF87F35">
      <w:pPr>
        <w:jc w:val="center"/>
        <w:rPr>
          <w:rFonts w:hint="default" w:ascii="Arial" w:hAnsi="Arial" w:eastAsia="仿宋_GB2312" w:cs="Times New Roman"/>
          <w:sz w:val="24"/>
          <w:lang w:val="en-US" w:eastAsia="zh-CN"/>
        </w:rPr>
      </w:pPr>
      <w:r>
        <w:rPr>
          <w:rFonts w:hint="eastAsia" w:ascii="仿宋" w:hAnsi="仿宋" w:eastAsia="仿宋" w:cs="仿宋"/>
          <w:sz w:val="32"/>
          <w:szCs w:val="32"/>
          <w:highlight w:val="none"/>
          <w:lang w:val="en-US" w:eastAsia="zh-CN"/>
        </w:rPr>
        <w:t>该合同仅供参考</w:t>
      </w:r>
    </w:p>
    <w:p w14:paraId="2FE93DAB">
      <w:pPr>
        <w:keepLines/>
        <w:tabs>
          <w:tab w:val="left" w:pos="720"/>
        </w:tabs>
        <w:adjustRightInd w:val="0"/>
        <w:spacing w:before="120" w:after="120" w:line="360" w:lineRule="auto"/>
        <w:textAlignment w:val="baseline"/>
        <w:rPr>
          <w:rFonts w:hint="eastAsia" w:ascii="仿宋" w:hAnsi="仿宋" w:eastAsia="仿宋" w:cs="仿宋"/>
          <w:color w:val="000000"/>
          <w:kern w:val="2"/>
          <w:sz w:val="21"/>
          <w:szCs w:val="21"/>
          <w:highlight w:val="none"/>
        </w:rPr>
      </w:pPr>
      <w:bookmarkStart w:id="48" w:name="_Toc8038"/>
      <w:r>
        <w:rPr>
          <w:rFonts w:hint="eastAsia" w:ascii="仿宋" w:hAnsi="仿宋" w:eastAsia="仿宋" w:cs="仿宋"/>
          <w:color w:val="000000"/>
          <w:kern w:val="2"/>
          <w:sz w:val="21"/>
          <w:szCs w:val="21"/>
          <w:highlight w:val="none"/>
        </w:rPr>
        <w:t>合同编号：</w:t>
      </w:r>
    </w:p>
    <w:p w14:paraId="7FAA543C">
      <w:pPr>
        <w:spacing w:line="360" w:lineRule="auto"/>
        <w:rPr>
          <w:rFonts w:hint="eastAsia" w:ascii="仿宋" w:hAnsi="仿宋" w:eastAsia="仿宋" w:cs="仿宋"/>
          <w:color w:val="000000"/>
          <w:kern w:val="2"/>
          <w:sz w:val="21"/>
          <w:szCs w:val="21"/>
          <w:highlight w:val="none"/>
        </w:rPr>
      </w:pPr>
    </w:p>
    <w:p w14:paraId="6B02A7F5">
      <w:pPr>
        <w:spacing w:line="360" w:lineRule="auto"/>
        <w:jc w:val="center"/>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合  同</w:t>
      </w:r>
    </w:p>
    <w:p w14:paraId="3468BC94">
      <w:pPr>
        <w:spacing w:line="360" w:lineRule="auto"/>
        <w:jc w:val="center"/>
        <w:rPr>
          <w:rFonts w:hint="eastAsia" w:ascii="仿宋" w:hAnsi="仿宋" w:eastAsia="仿宋" w:cs="仿宋"/>
          <w:color w:val="000000"/>
          <w:kern w:val="2"/>
          <w:sz w:val="21"/>
          <w:szCs w:val="21"/>
          <w:highlight w:val="none"/>
        </w:rPr>
      </w:pPr>
    </w:p>
    <w:p w14:paraId="1DDE582C">
      <w:pPr>
        <w:autoSpaceDE w:val="0"/>
        <w:autoSpaceDN w:val="0"/>
        <w:adjustRightInd w:val="0"/>
        <w:spacing w:line="360" w:lineRule="auto"/>
        <w:rPr>
          <w:rFonts w:hint="eastAsia" w:ascii="仿宋" w:hAnsi="仿宋" w:eastAsia="仿宋" w:cs="仿宋"/>
          <w:b/>
          <w:color w:val="000000"/>
          <w:sz w:val="21"/>
          <w:szCs w:val="21"/>
          <w:highlight w:val="none"/>
        </w:rPr>
      </w:pPr>
    </w:p>
    <w:p w14:paraId="5B691CD0">
      <w:pPr>
        <w:autoSpaceDE w:val="0"/>
        <w:autoSpaceDN w:val="0"/>
        <w:adjustRightInd w:val="0"/>
        <w:spacing w:line="360" w:lineRule="auto"/>
        <w:rPr>
          <w:rFonts w:hint="eastAsia" w:ascii="仿宋" w:hAnsi="仿宋" w:eastAsia="仿宋" w:cs="仿宋"/>
          <w:b/>
          <w:color w:val="000000"/>
          <w:sz w:val="21"/>
          <w:szCs w:val="21"/>
          <w:highlight w:val="none"/>
        </w:rPr>
      </w:pPr>
    </w:p>
    <w:p w14:paraId="3F6EE280">
      <w:pPr>
        <w:autoSpaceDE w:val="0"/>
        <w:autoSpaceDN w:val="0"/>
        <w:adjustRightInd w:val="0"/>
        <w:spacing w:line="360" w:lineRule="auto"/>
        <w:rPr>
          <w:rFonts w:hint="eastAsia" w:ascii="仿宋" w:hAnsi="仿宋" w:eastAsia="仿宋" w:cs="仿宋"/>
          <w:b/>
          <w:color w:val="000000"/>
          <w:sz w:val="21"/>
          <w:szCs w:val="21"/>
          <w:highlight w:val="none"/>
        </w:rPr>
      </w:pPr>
    </w:p>
    <w:p w14:paraId="2273D130">
      <w:pPr>
        <w:autoSpaceDE w:val="0"/>
        <w:autoSpaceDN w:val="0"/>
        <w:adjustRightInd w:val="0"/>
        <w:spacing w:line="360" w:lineRule="auto"/>
        <w:rPr>
          <w:rFonts w:hint="eastAsia" w:ascii="仿宋" w:hAnsi="仿宋" w:eastAsia="仿宋" w:cs="仿宋"/>
          <w:b/>
          <w:color w:val="000000"/>
          <w:sz w:val="21"/>
          <w:szCs w:val="21"/>
          <w:highlight w:val="none"/>
        </w:rPr>
      </w:pPr>
    </w:p>
    <w:p w14:paraId="04400E4C">
      <w:pPr>
        <w:autoSpaceDE w:val="0"/>
        <w:autoSpaceDN w:val="0"/>
        <w:adjustRightInd w:val="0"/>
        <w:spacing w:line="360" w:lineRule="auto"/>
        <w:ind w:left="4066" w:hanging="2846" w:hangingChars="1350"/>
        <w:rPr>
          <w:rFonts w:hint="eastAsia" w:ascii="仿宋" w:hAnsi="仿宋" w:eastAsia="仿宋" w:cs="仿宋"/>
          <w:b/>
          <w:color w:val="000000"/>
          <w:sz w:val="21"/>
          <w:szCs w:val="21"/>
          <w:highlight w:val="none"/>
          <w:u w:val="single"/>
        </w:rPr>
      </w:pPr>
      <w:r>
        <w:rPr>
          <w:rFonts w:hint="eastAsia" w:ascii="仿宋" w:hAnsi="仿宋" w:eastAsia="仿宋" w:cs="仿宋"/>
          <w:b/>
          <w:color w:val="000000"/>
          <w:sz w:val="21"/>
          <w:szCs w:val="21"/>
          <w:highlight w:val="none"/>
        </w:rPr>
        <w:t>项目名称：</w:t>
      </w:r>
      <w:r>
        <w:rPr>
          <w:rFonts w:hint="eastAsia" w:ascii="仿宋" w:hAnsi="仿宋" w:eastAsia="仿宋" w:cs="仿宋"/>
          <w:b/>
          <w:color w:val="000000"/>
          <w:sz w:val="21"/>
          <w:szCs w:val="21"/>
          <w:highlight w:val="none"/>
          <w:u w:val="single"/>
        </w:rPr>
        <w:t xml:space="preserve">                                          </w:t>
      </w:r>
    </w:p>
    <w:p w14:paraId="40655647">
      <w:pPr>
        <w:autoSpaceDE w:val="0"/>
        <w:autoSpaceDN w:val="0"/>
        <w:adjustRightInd w:val="0"/>
        <w:spacing w:line="360" w:lineRule="auto"/>
        <w:ind w:left="4066" w:hanging="2846" w:hangingChars="1350"/>
        <w:rPr>
          <w:rFonts w:hint="eastAsia" w:ascii="仿宋" w:hAnsi="仿宋" w:eastAsia="仿宋" w:cs="仿宋"/>
          <w:b/>
          <w:color w:val="000000"/>
          <w:sz w:val="21"/>
          <w:szCs w:val="21"/>
          <w:highlight w:val="none"/>
          <w:u w:val="single"/>
        </w:rPr>
      </w:pPr>
    </w:p>
    <w:p w14:paraId="49AA8BB2">
      <w:pPr>
        <w:autoSpaceDE w:val="0"/>
        <w:autoSpaceDN w:val="0"/>
        <w:adjustRightInd w:val="0"/>
        <w:spacing w:line="360" w:lineRule="auto"/>
        <w:ind w:left="4066" w:hanging="2846" w:hangingChars="1350"/>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项目编号：</w:t>
      </w:r>
      <w:r>
        <w:rPr>
          <w:rFonts w:hint="eastAsia" w:ascii="仿宋" w:hAnsi="仿宋" w:eastAsia="仿宋" w:cs="仿宋"/>
          <w:b/>
          <w:color w:val="000000"/>
          <w:sz w:val="21"/>
          <w:szCs w:val="21"/>
          <w:highlight w:val="none"/>
          <w:u w:val="single"/>
        </w:rPr>
        <w:t xml:space="preserve">                                          </w:t>
      </w:r>
      <w:r>
        <w:rPr>
          <w:rFonts w:hint="eastAsia" w:ascii="仿宋" w:hAnsi="仿宋" w:eastAsia="仿宋" w:cs="仿宋"/>
          <w:b/>
          <w:color w:val="000000"/>
          <w:sz w:val="21"/>
          <w:szCs w:val="21"/>
          <w:highlight w:val="none"/>
        </w:rPr>
        <w:t xml:space="preserve">                                          </w:t>
      </w:r>
    </w:p>
    <w:p w14:paraId="3D8DEF94">
      <w:pPr>
        <w:autoSpaceDE w:val="0"/>
        <w:autoSpaceDN w:val="0"/>
        <w:adjustRightInd w:val="0"/>
        <w:spacing w:line="360" w:lineRule="auto"/>
        <w:ind w:left="4066" w:hanging="2846" w:hangingChars="1350"/>
        <w:rPr>
          <w:rFonts w:hint="eastAsia" w:ascii="仿宋" w:hAnsi="仿宋" w:eastAsia="仿宋" w:cs="仿宋"/>
          <w:b/>
          <w:color w:val="000000"/>
          <w:sz w:val="21"/>
          <w:szCs w:val="21"/>
          <w:highlight w:val="none"/>
          <w:u w:val="single"/>
        </w:rPr>
      </w:pPr>
    </w:p>
    <w:p w14:paraId="7177B2A1">
      <w:pPr>
        <w:autoSpaceDE w:val="0"/>
        <w:autoSpaceDN w:val="0"/>
        <w:adjustRightInd w:val="0"/>
        <w:spacing w:line="360" w:lineRule="auto"/>
        <w:ind w:left="4066" w:hanging="2846" w:hangingChars="1350"/>
        <w:rPr>
          <w:rFonts w:hint="eastAsia" w:ascii="仿宋" w:hAnsi="仿宋" w:eastAsia="仿宋" w:cs="仿宋"/>
          <w:b/>
          <w:color w:val="000000"/>
          <w:sz w:val="21"/>
          <w:szCs w:val="21"/>
          <w:highlight w:val="none"/>
          <w:u w:val="single"/>
        </w:rPr>
      </w:pPr>
    </w:p>
    <w:p w14:paraId="28CF6D1D">
      <w:pPr>
        <w:autoSpaceDE w:val="0"/>
        <w:autoSpaceDN w:val="0"/>
        <w:adjustRightInd w:val="0"/>
        <w:spacing w:line="360" w:lineRule="auto"/>
        <w:ind w:left="4050" w:hanging="2835" w:hangingChars="135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202</w:t>
      </w:r>
      <w:r>
        <w:rPr>
          <w:rFonts w:hint="eastAsia" w:ascii="仿宋" w:hAnsi="仿宋" w:eastAsia="仿宋" w:cs="仿宋"/>
          <w:color w:val="000000"/>
          <w:sz w:val="21"/>
          <w:szCs w:val="21"/>
          <w:highlight w:val="none"/>
          <w:lang w:val="en-US" w:eastAsia="zh-CN"/>
        </w:rPr>
        <w:t>6</w:t>
      </w:r>
      <w:r>
        <w:rPr>
          <w:rFonts w:hint="eastAsia" w:ascii="仿宋" w:hAnsi="仿宋" w:eastAsia="仿宋" w:cs="仿宋"/>
          <w:color w:val="000000"/>
          <w:sz w:val="21"/>
          <w:szCs w:val="21"/>
          <w:highlight w:val="none"/>
        </w:rPr>
        <w:t>年    月</w:t>
      </w:r>
    </w:p>
    <w:p w14:paraId="69D2FF89">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br w:type="page"/>
      </w:r>
    </w:p>
    <w:p w14:paraId="096D3ACB">
      <w:pPr>
        <w:adjustRightInd w:val="0"/>
        <w:snapToGrid w:val="0"/>
        <w:spacing w:line="360" w:lineRule="auto"/>
        <w:ind w:right="-340" w:rightChars="-162"/>
        <w:rPr>
          <w:rFonts w:hint="eastAsia" w:ascii="仿宋" w:hAnsi="仿宋" w:eastAsia="仿宋" w:cs="仿宋"/>
          <w:color w:val="000000"/>
          <w:kern w:val="2"/>
          <w:sz w:val="21"/>
          <w:szCs w:val="21"/>
          <w:highlight w:val="none"/>
        </w:rPr>
      </w:pPr>
    </w:p>
    <w:p w14:paraId="18F348E2">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甲方：</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color w:val="000000"/>
          <w:kern w:val="2"/>
          <w:sz w:val="21"/>
          <w:szCs w:val="21"/>
          <w:highlight w:val="none"/>
          <w:u w:val="single"/>
          <w:lang w:val="en-US" w:eastAsia="zh-CN"/>
        </w:rPr>
        <w:t xml:space="preserve">                              </w:t>
      </w:r>
      <w:r>
        <w:rPr>
          <w:rFonts w:hint="eastAsia" w:ascii="仿宋" w:hAnsi="仿宋" w:eastAsia="仿宋" w:cs="仿宋"/>
          <w:b/>
          <w:color w:val="000000"/>
          <w:kern w:val="2"/>
          <w:sz w:val="21"/>
          <w:szCs w:val="21"/>
          <w:highlight w:val="none"/>
          <w:u w:val="single"/>
        </w:rPr>
        <w:t xml:space="preserve">   </w:t>
      </w:r>
    </w:p>
    <w:p w14:paraId="500D2FA0">
      <w:pPr>
        <w:adjustRightInd w:val="0"/>
        <w:snapToGrid w:val="0"/>
        <w:spacing w:line="360" w:lineRule="auto"/>
        <w:ind w:right="-340" w:rightChars="-162"/>
        <w:rPr>
          <w:rFonts w:hint="eastAsia" w:ascii="仿宋" w:hAnsi="仿宋" w:eastAsia="仿宋" w:cs="仿宋"/>
          <w:b/>
          <w:color w:val="000000"/>
          <w:kern w:val="2"/>
          <w:sz w:val="21"/>
          <w:szCs w:val="21"/>
          <w:highlight w:val="none"/>
          <w:u w:val="single"/>
        </w:rPr>
      </w:pPr>
      <w:r>
        <w:rPr>
          <w:rFonts w:hint="eastAsia" w:ascii="仿宋" w:hAnsi="仿宋" w:eastAsia="仿宋" w:cs="仿宋"/>
          <w:color w:val="000000"/>
          <w:kern w:val="2"/>
          <w:sz w:val="21"/>
          <w:szCs w:val="21"/>
          <w:highlight w:val="none"/>
        </w:rPr>
        <w:t>乙方：</w:t>
      </w:r>
      <w:r>
        <w:rPr>
          <w:rFonts w:hint="eastAsia" w:ascii="仿宋" w:hAnsi="仿宋" w:eastAsia="仿宋" w:cs="仿宋"/>
          <w:b/>
          <w:color w:val="000000"/>
          <w:kern w:val="2"/>
          <w:sz w:val="21"/>
          <w:szCs w:val="21"/>
          <w:highlight w:val="none"/>
          <w:u w:val="single"/>
        </w:rPr>
        <w:t xml:space="preserve">                                    </w:t>
      </w:r>
    </w:p>
    <w:p w14:paraId="07B74D59">
      <w:pPr>
        <w:adjustRightInd w:val="0"/>
        <w:snapToGrid w:val="0"/>
        <w:spacing w:line="360" w:lineRule="auto"/>
        <w:ind w:right="-340" w:rightChars="-162" w:firstLine="420" w:firstLineChars="200"/>
        <w:rPr>
          <w:rFonts w:hint="eastAsia" w:ascii="仿宋" w:hAnsi="仿宋" w:eastAsia="仿宋" w:cs="仿宋"/>
          <w:color w:val="000000"/>
          <w:kern w:val="2"/>
          <w:sz w:val="21"/>
          <w:szCs w:val="21"/>
          <w:highlight w:val="none"/>
        </w:rPr>
      </w:pPr>
    </w:p>
    <w:p w14:paraId="6175E47D">
      <w:pPr>
        <w:adjustRightInd w:val="0"/>
        <w:snapToGrid w:val="0"/>
        <w:spacing w:line="360" w:lineRule="auto"/>
        <w:ind w:right="-340" w:rightChars="-162" w:firstLine="420" w:firstLineChars="200"/>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甲、乙双方根据 202</w:t>
      </w:r>
      <w:r>
        <w:rPr>
          <w:rFonts w:hint="eastAsia" w:ascii="仿宋" w:hAnsi="仿宋" w:eastAsia="仿宋" w:cs="仿宋"/>
          <w:color w:val="000000"/>
          <w:kern w:val="2"/>
          <w:sz w:val="21"/>
          <w:szCs w:val="21"/>
          <w:highlight w:val="none"/>
          <w:lang w:val="en-US" w:eastAsia="zh-CN"/>
        </w:rPr>
        <w:t>6</w:t>
      </w:r>
      <w:r>
        <w:rPr>
          <w:rFonts w:hint="eastAsia" w:ascii="仿宋" w:hAnsi="仿宋" w:eastAsia="仿宋" w:cs="仿宋"/>
          <w:color w:val="000000"/>
          <w:kern w:val="2"/>
          <w:sz w:val="21"/>
          <w:szCs w:val="21"/>
          <w:highlight w:val="none"/>
        </w:rPr>
        <w:t>年XX月XX日采购项目_________________的</w:t>
      </w:r>
      <w:r>
        <w:rPr>
          <w:rFonts w:hint="eastAsia" w:ascii="仿宋" w:hAnsi="仿宋" w:eastAsia="仿宋" w:cs="仿宋"/>
          <w:color w:val="000000"/>
          <w:kern w:val="2"/>
          <w:sz w:val="21"/>
          <w:szCs w:val="21"/>
          <w:highlight w:val="none"/>
          <w:lang w:val="en-US" w:eastAsia="zh-CN"/>
        </w:rPr>
        <w:t>竞争性磋商</w:t>
      </w:r>
      <w:r>
        <w:rPr>
          <w:rFonts w:hint="eastAsia" w:ascii="仿宋" w:hAnsi="仿宋" w:eastAsia="仿宋" w:cs="仿宋"/>
          <w:color w:val="000000"/>
          <w:kern w:val="2"/>
          <w:sz w:val="21"/>
          <w:szCs w:val="21"/>
          <w:highlight w:val="none"/>
        </w:rPr>
        <w:t>文件要求和采购代理机构出具的《中标（成交）通知书》，并经双方协商一致，签订本合同协议书。</w:t>
      </w:r>
    </w:p>
    <w:p w14:paraId="24E29D7D">
      <w:pPr>
        <w:adjustRightInd w:val="0"/>
        <w:snapToGrid w:val="0"/>
        <w:spacing w:line="360" w:lineRule="auto"/>
        <w:ind w:right="-340" w:rightChars="-162"/>
        <w:rPr>
          <w:rFonts w:hint="eastAsia" w:ascii="仿宋" w:hAnsi="仿宋" w:eastAsia="仿宋" w:cs="仿宋"/>
          <w:b/>
          <w:color w:val="000000"/>
          <w:kern w:val="2"/>
          <w:sz w:val="21"/>
          <w:szCs w:val="21"/>
          <w:highlight w:val="none"/>
        </w:rPr>
      </w:pPr>
    </w:p>
    <w:p w14:paraId="16615E80">
      <w:pPr>
        <w:adjustRightInd w:val="0"/>
        <w:snapToGrid w:val="0"/>
        <w:spacing w:line="360" w:lineRule="auto"/>
        <w:ind w:right="-340"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 xml:space="preserve">一、项目内容及金额 </w:t>
      </w:r>
    </w:p>
    <w:p w14:paraId="2E45B1C4">
      <w:pPr>
        <w:adjustRightInd w:val="0"/>
        <w:snapToGrid w:val="0"/>
        <w:spacing w:line="360" w:lineRule="auto"/>
        <w:ind w:left="263" w:leftChars="125" w:right="-340"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（一）、项目内容：</w:t>
      </w:r>
    </w:p>
    <w:p w14:paraId="1F05B612">
      <w:pPr>
        <w:adjustRightInd w:val="0"/>
        <w:snapToGrid w:val="0"/>
        <w:spacing w:line="360" w:lineRule="auto"/>
        <w:ind w:firstLine="420" w:firstLineChars="200"/>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（二）、项目要求：</w:t>
      </w:r>
    </w:p>
    <w:p w14:paraId="5AF80A63">
      <w:pPr>
        <w:adjustRightInd w:val="0"/>
        <w:snapToGrid w:val="0"/>
        <w:spacing w:line="360" w:lineRule="auto"/>
        <w:ind w:right="-340" w:rightChars="-162" w:firstLine="420" w:firstLineChars="200"/>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（三）、项目进度：</w:t>
      </w:r>
    </w:p>
    <w:p w14:paraId="2EB1CC47">
      <w:pPr>
        <w:adjustRightInd w:val="0"/>
        <w:snapToGrid w:val="0"/>
        <w:spacing w:line="360" w:lineRule="auto"/>
        <w:ind w:right="-340" w:rightChars="-162" w:firstLine="420" w:firstLineChars="200"/>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（四）、项目的总金额：人民币       万元（大写     ）</w:t>
      </w:r>
    </w:p>
    <w:p w14:paraId="6540CE98">
      <w:pPr>
        <w:adjustRightInd w:val="0"/>
        <w:snapToGrid w:val="0"/>
        <w:spacing w:line="360" w:lineRule="auto"/>
        <w:ind w:right="-340" w:rightChars="-162" w:firstLine="420" w:firstLineChars="200"/>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 xml:space="preserve">本合同以人民币进行结算，合同总价包括：         </w:t>
      </w:r>
    </w:p>
    <w:p w14:paraId="33F266D5">
      <w:pPr>
        <w:adjustRightInd w:val="0"/>
        <w:snapToGrid w:val="0"/>
        <w:spacing w:line="360" w:lineRule="auto"/>
        <w:ind w:right="-340"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二、乙方的工作职责</w:t>
      </w:r>
    </w:p>
    <w:p w14:paraId="72F06C1E">
      <w:pPr>
        <w:adjustRightInd w:val="0"/>
        <w:snapToGrid w:val="0"/>
        <w:spacing w:line="360" w:lineRule="auto"/>
        <w:ind w:right="-340" w:rightChars="-162" w:firstLine="420" w:firstLineChars="200"/>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根据甲方要求做好</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color w:val="000000"/>
          <w:kern w:val="2"/>
          <w:sz w:val="21"/>
          <w:szCs w:val="21"/>
          <w:highlight w:val="none"/>
          <w:u w:val="single"/>
          <w:lang w:val="en-US" w:eastAsia="zh-CN"/>
        </w:rPr>
        <w:t>项目</w:t>
      </w:r>
      <w:r>
        <w:rPr>
          <w:rFonts w:hint="eastAsia" w:ascii="仿宋" w:hAnsi="仿宋" w:eastAsia="仿宋" w:cs="仿宋"/>
          <w:color w:val="000000"/>
          <w:kern w:val="2"/>
          <w:sz w:val="21"/>
          <w:szCs w:val="21"/>
          <w:highlight w:val="none"/>
        </w:rPr>
        <w:t>相关工作。</w:t>
      </w:r>
    </w:p>
    <w:p w14:paraId="633A041C">
      <w:pPr>
        <w:adjustRightInd w:val="0"/>
        <w:snapToGrid w:val="0"/>
        <w:spacing w:line="360" w:lineRule="auto"/>
        <w:ind w:right="-340"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三、乙方的工作内容：</w:t>
      </w:r>
    </w:p>
    <w:p w14:paraId="24D80FAB">
      <w:pPr>
        <w:adjustRightInd w:val="0"/>
        <w:snapToGrid w:val="0"/>
        <w:spacing w:line="360" w:lineRule="auto"/>
        <w:ind w:right="-340"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四、时间、地点和要求</w:t>
      </w:r>
    </w:p>
    <w:p w14:paraId="1B5F321D">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 xml:space="preserve">1.验收时间：于 </w:t>
      </w:r>
      <w:r>
        <w:rPr>
          <w:rFonts w:hint="eastAsia" w:ascii="仿宋" w:hAnsi="仿宋" w:eastAsia="仿宋" w:cs="仿宋"/>
          <w:color w:val="000000"/>
          <w:kern w:val="2"/>
          <w:sz w:val="21"/>
          <w:szCs w:val="21"/>
          <w:highlight w:val="none"/>
          <w:lang w:eastAsia="zh-CN"/>
        </w:rPr>
        <w:t>2026年</w:t>
      </w:r>
      <w:r>
        <w:rPr>
          <w:rFonts w:hint="eastAsia" w:ascii="仿宋" w:hAnsi="仿宋" w:eastAsia="仿宋" w:cs="仿宋"/>
          <w:color w:val="000000"/>
          <w:kern w:val="2"/>
          <w:sz w:val="21"/>
          <w:szCs w:val="21"/>
          <w:highlight w:val="none"/>
          <w:lang w:val="en-US" w:eastAsia="zh-CN"/>
        </w:rPr>
        <w:t xml:space="preserve"> </w:t>
      </w:r>
      <w:r>
        <w:rPr>
          <w:rFonts w:hint="eastAsia" w:ascii="仿宋" w:hAnsi="仿宋" w:eastAsia="仿宋" w:cs="仿宋"/>
          <w:color w:val="000000"/>
          <w:kern w:val="2"/>
          <w:sz w:val="21"/>
          <w:szCs w:val="21"/>
          <w:highlight w:val="none"/>
          <w:lang w:eastAsia="zh-CN"/>
        </w:rPr>
        <w:t>月</w:t>
      </w:r>
      <w:r>
        <w:rPr>
          <w:rFonts w:hint="eastAsia" w:ascii="仿宋" w:hAnsi="仿宋" w:eastAsia="仿宋" w:cs="仿宋"/>
          <w:color w:val="000000"/>
          <w:kern w:val="2"/>
          <w:sz w:val="21"/>
          <w:szCs w:val="21"/>
          <w:highlight w:val="none"/>
          <w:lang w:val="en-US" w:eastAsia="zh-CN"/>
        </w:rPr>
        <w:t xml:space="preserve"> </w:t>
      </w:r>
      <w:r>
        <w:rPr>
          <w:rFonts w:hint="eastAsia" w:ascii="仿宋" w:hAnsi="仿宋" w:eastAsia="仿宋" w:cs="仿宋"/>
          <w:color w:val="000000"/>
          <w:kern w:val="2"/>
          <w:sz w:val="21"/>
          <w:szCs w:val="21"/>
          <w:highlight w:val="none"/>
          <w:lang w:eastAsia="zh-CN"/>
        </w:rPr>
        <w:t>日</w:t>
      </w:r>
      <w:r>
        <w:rPr>
          <w:rFonts w:hint="eastAsia" w:ascii="仿宋" w:hAnsi="仿宋" w:eastAsia="仿宋" w:cs="仿宋"/>
          <w:color w:val="000000"/>
          <w:kern w:val="2"/>
          <w:sz w:val="21"/>
          <w:szCs w:val="21"/>
          <w:highlight w:val="none"/>
        </w:rPr>
        <w:t xml:space="preserve">前验收；验收地点： </w:t>
      </w:r>
    </w:p>
    <w:p w14:paraId="6F71C064">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2.验收方式：验收报告</w:t>
      </w:r>
    </w:p>
    <w:p w14:paraId="68FDCED5">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3.乙方提交工作成果形式：</w:t>
      </w:r>
    </w:p>
    <w:p w14:paraId="79038E81">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4.乙方向甲方提交的所有资料，需正是有效，如发现涉及虚假伪造行为，造成的严重后果，均有乙方自行承担。</w:t>
      </w:r>
    </w:p>
    <w:p w14:paraId="57F7A245">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5.甲方委托乙方的其他事项。</w:t>
      </w:r>
    </w:p>
    <w:p w14:paraId="342058E3">
      <w:pPr>
        <w:adjustRightInd w:val="0"/>
        <w:snapToGrid w:val="0"/>
        <w:spacing w:line="360" w:lineRule="auto"/>
        <w:ind w:right="-340" w:rightChars="-162"/>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 xml:space="preserve">  </w:t>
      </w:r>
      <w:r>
        <w:rPr>
          <w:rFonts w:hint="eastAsia" w:ascii="仿宋" w:hAnsi="仿宋" w:eastAsia="仿宋" w:cs="仿宋"/>
          <w:b/>
          <w:color w:val="000000"/>
          <w:kern w:val="2"/>
          <w:sz w:val="21"/>
          <w:szCs w:val="21"/>
          <w:highlight w:val="none"/>
        </w:rPr>
        <w:t xml:space="preserve">  </w:t>
      </w:r>
    </w:p>
    <w:p w14:paraId="0B05E06C">
      <w:pPr>
        <w:adjustRightInd w:val="0"/>
        <w:snapToGrid w:val="0"/>
        <w:spacing w:line="360" w:lineRule="auto"/>
        <w:ind w:right="-340" w:rightChars="-162"/>
        <w:rPr>
          <w:rFonts w:hint="eastAsia" w:ascii="仿宋" w:hAnsi="仿宋" w:eastAsia="仿宋" w:cs="仿宋"/>
          <w:color w:val="000000"/>
          <w:kern w:val="2"/>
          <w:sz w:val="21"/>
          <w:szCs w:val="21"/>
          <w:highlight w:val="green"/>
        </w:rPr>
      </w:pPr>
      <w:r>
        <w:rPr>
          <w:rFonts w:hint="eastAsia" w:ascii="仿宋" w:hAnsi="仿宋" w:eastAsia="仿宋" w:cs="仿宋"/>
          <w:b/>
          <w:color w:val="000000"/>
          <w:kern w:val="2"/>
          <w:sz w:val="21"/>
          <w:szCs w:val="21"/>
          <w:highlight w:val="none"/>
        </w:rPr>
        <w:t>五、付款方式</w:t>
      </w:r>
    </w:p>
    <w:p w14:paraId="171FAEA1">
      <w:pPr>
        <w:adjustRightInd w:val="0"/>
        <w:snapToGrid w:val="0"/>
        <w:spacing w:line="360" w:lineRule="auto"/>
        <w:ind w:right="-340" w:rightChars="-162" w:firstLine="210" w:firstLineChars="100"/>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lang w:val="en-US" w:eastAsia="zh-CN"/>
        </w:rPr>
        <w:t>签订合同15日内支付30%作为预付款；维保进场后并完成所有设备的安装、调试以及维护；经采购人确认后支付50%；维保周期届满、全年维保履约完毕，无故障遗留支付剩余20%。</w:t>
      </w:r>
    </w:p>
    <w:p w14:paraId="17062839">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b/>
          <w:color w:val="000000"/>
          <w:kern w:val="2"/>
          <w:sz w:val="21"/>
          <w:szCs w:val="21"/>
          <w:highlight w:val="none"/>
        </w:rPr>
        <w:t>六、合同的变更、终止与转让</w:t>
      </w:r>
    </w:p>
    <w:p w14:paraId="360FC75A">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1.除《中华人民共和国政府采购法》第50条规定的情形外，本合同一经签订，甲乙双方不得擅自变更、中止或终止。</w:t>
      </w:r>
    </w:p>
    <w:p w14:paraId="7FF09E3F">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2.未经甲方书面同意，乙方不得擅自转让其应履行的合同义务。</w:t>
      </w:r>
    </w:p>
    <w:p w14:paraId="1DA13955">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b/>
          <w:color w:val="000000"/>
          <w:kern w:val="2"/>
          <w:sz w:val="21"/>
          <w:szCs w:val="21"/>
          <w:highlight w:val="none"/>
        </w:rPr>
        <w:t>七、违约责任</w:t>
      </w:r>
    </w:p>
    <w:p w14:paraId="1C09D0D2">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1.甲方未按照合同约定向乙方支付费用的，每逾期一天按照未付款额同期银行贷款利率向乙方支付逾期付款违约金。</w:t>
      </w:r>
    </w:p>
    <w:p w14:paraId="18094DB6">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2.乙方不得无合理理由中途解除合同。如乙方无合理理由中途解除约定，甲方可以要求乙方返还已支付所有费用，并可以要求乙方支付本合同总价</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lang w:val="en-US" w:eastAsia="zh-CN"/>
        </w:rPr>
        <w:t>/</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作为违约金。</w:t>
      </w:r>
    </w:p>
    <w:p w14:paraId="35369F76">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3.乙方提供的服务不符合合同约定，乙方按照不符合部分预算金额双倍支付甲方违约金；如出现二项以上未达到约定要求或者实质影响合同目的实现的，甲方有权解除合同，乙方则应按本合同总金额的</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lang w:val="en-US" w:eastAsia="zh-CN"/>
        </w:rPr>
        <w:t>/</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向甲方支付违约金，并全额退还甲方已付给乙方的钱款及其利息。</w:t>
      </w:r>
    </w:p>
    <w:p w14:paraId="577CC850">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4.乙方实施贿赂的，应当按行贿或承诺贿赂利益总额的</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color w:val="000000"/>
          <w:kern w:val="2"/>
          <w:sz w:val="21"/>
          <w:szCs w:val="21"/>
          <w:highlight w:val="none"/>
          <w:u w:val="single"/>
          <w:lang w:val="en-US" w:eastAsia="zh-CN"/>
        </w:rPr>
        <w:t>/</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倍处违约金向甲方支付违约金，且甲方有权单方解除本合同，乙方应当赔偿因解除本合同造成的损失。</w:t>
      </w:r>
    </w:p>
    <w:p w14:paraId="11FAF85B">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5.乙方实施的项目内容如有侵犯了第三方权益而引发纠纷或诉讼的，均由乙方负责交涉并承担全部责任。</w:t>
      </w:r>
    </w:p>
    <w:p w14:paraId="23E8ACF2">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6.乙方未按照合同约定时限完成工作任务的，每逾期一天承担</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lang w:val="en-US" w:eastAsia="zh-CN"/>
        </w:rPr>
        <w:t>/</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违约金，逾期超过30日的应视为乙方无法履行合同，按照本条第一款予以处理。</w:t>
      </w:r>
    </w:p>
    <w:p w14:paraId="700EA318">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7.乙方违反本合同其他的约定，甲方可视具体情况要求乙方承担费用</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lang w:val="en-US" w:eastAsia="zh-CN"/>
        </w:rPr>
        <w:t>/</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的违约金并赔偿因此造成的所有一切损失。</w:t>
      </w:r>
    </w:p>
    <w:p w14:paraId="07C3D081">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8.对违约金，甲方有权从应付乙方的款项中直接扣除。没有应付款项的，乙方应在违约之日起十天内，向甲方支付违约金。如未按时支付违约金，每逾期一天，乙方应按违约金数额的</w:t>
      </w:r>
      <w:r>
        <w:rPr>
          <w:rFonts w:hint="eastAsia" w:ascii="仿宋" w:hAnsi="仿宋" w:eastAsia="仿宋" w:cs="仿宋"/>
          <w:color w:val="000000"/>
          <w:kern w:val="2"/>
          <w:sz w:val="21"/>
          <w:szCs w:val="21"/>
          <w:highlight w:val="none"/>
          <w:u w:val="single"/>
        </w:rPr>
        <w:t xml:space="preserve">  </w:t>
      </w:r>
      <w:r>
        <w:rPr>
          <w:rFonts w:hint="eastAsia" w:ascii="仿宋" w:hAnsi="仿宋" w:eastAsia="仿宋" w:cs="仿宋"/>
          <w:b/>
          <w:color w:val="000000"/>
          <w:kern w:val="2"/>
          <w:sz w:val="21"/>
          <w:szCs w:val="21"/>
          <w:highlight w:val="none"/>
          <w:u w:val="single"/>
          <w:lang w:val="en-US" w:eastAsia="zh-CN"/>
        </w:rPr>
        <w:t>/</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向甲方支付逾期付款赔偿金。</w:t>
      </w:r>
    </w:p>
    <w:p w14:paraId="44EF12EE">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9.一方违约除承担违约责任外，守约方因维护合法权益，所支出的维权费用包括但不限于律师费、诉讼费、交通费等一切维权合理支出均由违约方承担。</w:t>
      </w:r>
    </w:p>
    <w:p w14:paraId="3BBC892D">
      <w:pPr>
        <w:adjustRightInd w:val="0"/>
        <w:snapToGrid w:val="0"/>
        <w:spacing w:line="360" w:lineRule="auto"/>
        <w:ind w:right="-340"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八、不可抗力</w:t>
      </w:r>
    </w:p>
    <w:p w14:paraId="0B28DD05">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1.不可抗力使合同的某些内容有变更必要的，双方应通过协商达成进一步履行合同的协议，因不可抗力致使合同不能履行的，合同终止。</w:t>
      </w:r>
    </w:p>
    <w:p w14:paraId="300FD075">
      <w:pPr>
        <w:adjustRightInd w:val="0"/>
        <w:snapToGrid w:val="0"/>
        <w:spacing w:line="360" w:lineRule="auto"/>
        <w:ind w:left="421" w:leftChars="84" w:right="-340" w:rightChars="-162" w:hanging="245" w:hangingChars="117"/>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2.除法律、法规规定的不可抗力情形外，双方约定出现</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情况亦视为不可抗力。</w:t>
      </w:r>
    </w:p>
    <w:p w14:paraId="57607B8F">
      <w:pPr>
        <w:adjustRightInd w:val="0"/>
        <w:snapToGrid w:val="0"/>
        <w:spacing w:line="360" w:lineRule="auto"/>
        <w:ind w:right="-340"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九、合同争议解决</w:t>
      </w:r>
    </w:p>
    <w:p w14:paraId="68888CD1">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1.因履行本合同引起的或与本合同有关的争议，甲乙双方应首先通过友好协商解决，如果协商不能解决，可向甲方所在地人民法院提起诉讼。</w:t>
      </w:r>
    </w:p>
    <w:p w14:paraId="7AE65E12">
      <w:pPr>
        <w:adjustRightInd w:val="0"/>
        <w:snapToGrid w:val="0"/>
        <w:spacing w:line="360" w:lineRule="auto"/>
        <w:ind w:left="421" w:leftChars="84" w:right="-340" w:rightChars="-162" w:hanging="245" w:hangingChars="117"/>
        <w:rPr>
          <w:rFonts w:hint="eastAsia" w:ascii="仿宋" w:hAnsi="仿宋" w:eastAsia="仿宋" w:cs="仿宋"/>
          <w:b/>
          <w:color w:val="000000"/>
          <w:kern w:val="2"/>
          <w:sz w:val="21"/>
          <w:szCs w:val="21"/>
          <w:highlight w:val="none"/>
        </w:rPr>
      </w:pPr>
      <w:r>
        <w:rPr>
          <w:rFonts w:hint="eastAsia" w:ascii="仿宋" w:hAnsi="仿宋" w:eastAsia="仿宋" w:cs="仿宋"/>
          <w:color w:val="000000"/>
          <w:kern w:val="2"/>
          <w:sz w:val="21"/>
          <w:szCs w:val="21"/>
          <w:highlight w:val="none"/>
        </w:rPr>
        <w:t>2.诉讼期间，本合同未发生争议部分应当继续履行。</w:t>
      </w:r>
    </w:p>
    <w:p w14:paraId="2EE35A2C">
      <w:pPr>
        <w:adjustRightInd w:val="0"/>
        <w:snapToGrid w:val="0"/>
        <w:spacing w:line="360" w:lineRule="auto"/>
        <w:ind w:right="-340" w:rightChars="-162"/>
        <w:rPr>
          <w:rFonts w:hint="eastAsia" w:ascii="仿宋" w:hAnsi="仿宋" w:eastAsia="仿宋" w:cs="仿宋"/>
          <w:b/>
          <w:color w:val="000000"/>
          <w:kern w:val="2"/>
          <w:sz w:val="21"/>
          <w:szCs w:val="21"/>
          <w:highlight w:val="none"/>
        </w:rPr>
      </w:pPr>
      <w:r>
        <w:rPr>
          <w:rFonts w:hint="eastAsia" w:ascii="仿宋" w:hAnsi="仿宋" w:eastAsia="仿宋" w:cs="仿宋"/>
          <w:b/>
          <w:color w:val="000000"/>
          <w:kern w:val="2"/>
          <w:sz w:val="21"/>
          <w:szCs w:val="21"/>
          <w:highlight w:val="none"/>
        </w:rPr>
        <w:t>十、合同生效及其它：</w:t>
      </w:r>
    </w:p>
    <w:p w14:paraId="3AC16FFE">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1.本合同一式</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份，甲方执</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份，乙方执</w:t>
      </w:r>
      <w:r>
        <w:rPr>
          <w:rFonts w:hint="eastAsia" w:ascii="仿宋" w:hAnsi="仿宋" w:eastAsia="仿宋" w:cs="仿宋"/>
          <w:b/>
          <w:color w:val="000000"/>
          <w:kern w:val="2"/>
          <w:sz w:val="21"/>
          <w:szCs w:val="21"/>
          <w:highlight w:val="none"/>
          <w:u w:val="single"/>
        </w:rPr>
        <w:t xml:space="preserve">    </w:t>
      </w:r>
      <w:r>
        <w:rPr>
          <w:rFonts w:hint="eastAsia" w:ascii="仿宋" w:hAnsi="仿宋" w:eastAsia="仿宋" w:cs="仿宋"/>
          <w:color w:val="000000"/>
          <w:kern w:val="2"/>
          <w:sz w:val="21"/>
          <w:szCs w:val="21"/>
          <w:highlight w:val="none"/>
        </w:rPr>
        <w:t>份，自双方签字并加盖公章后生效，各份具有同等法律效力。</w:t>
      </w:r>
    </w:p>
    <w:p w14:paraId="645E60FB">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2.双方任何通知、文件应以书面形式、并向本合同首页载明地址通过专人或邮政特快专递（EMS）送达，合同尾页列明的地址为双方寄送收往来文件的不变地址及人民法院、仲裁机构处理纠纷时送达法律文书的专用地址，如有任何一方发生变化，应当在24小时内书面通知对方，否则送达至收件邮局的文件视为对方已送达。</w:t>
      </w:r>
    </w:p>
    <w:p w14:paraId="7271B131">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3.下述文件为本合同不可分割的组成部分，并与本合同具有同等法律效力，本合同没有约定的，按下列文件的相关规定执行：</w:t>
      </w:r>
      <w:r>
        <w:rPr>
          <w:rFonts w:hint="eastAsia" w:ascii="仿宋" w:hAnsi="仿宋" w:eastAsia="仿宋" w:cs="仿宋"/>
          <w:color w:val="000000"/>
          <w:kern w:val="2"/>
          <w:sz w:val="21"/>
          <w:szCs w:val="21"/>
          <w:highlight w:val="none"/>
          <w:lang w:eastAsia="zh-CN"/>
        </w:rPr>
        <w:t>磋商文件</w:t>
      </w:r>
      <w:r>
        <w:rPr>
          <w:rFonts w:hint="eastAsia" w:ascii="仿宋" w:hAnsi="仿宋" w:eastAsia="仿宋" w:cs="仿宋"/>
          <w:color w:val="000000"/>
          <w:kern w:val="2"/>
          <w:sz w:val="21"/>
          <w:szCs w:val="21"/>
          <w:highlight w:val="none"/>
        </w:rPr>
        <w:t>及修改与补充、澄清；中标（成交）通知书和本合同所有附件；乙方的</w:t>
      </w:r>
      <w:r>
        <w:rPr>
          <w:rFonts w:hint="eastAsia" w:ascii="仿宋" w:hAnsi="仿宋" w:eastAsia="仿宋" w:cs="仿宋"/>
          <w:color w:val="000000"/>
          <w:kern w:val="2"/>
          <w:sz w:val="21"/>
          <w:szCs w:val="21"/>
          <w:highlight w:val="none"/>
          <w:lang w:eastAsia="zh-CN"/>
        </w:rPr>
        <w:t>响应文件</w:t>
      </w:r>
      <w:r>
        <w:rPr>
          <w:rFonts w:hint="eastAsia" w:ascii="仿宋" w:hAnsi="仿宋" w:eastAsia="仿宋" w:cs="仿宋"/>
          <w:color w:val="000000"/>
          <w:kern w:val="2"/>
          <w:sz w:val="21"/>
          <w:szCs w:val="21"/>
          <w:highlight w:val="none"/>
        </w:rPr>
        <w:t>及询标过程中的书面答疑记录；谈判中的承诺函、报价。</w:t>
      </w:r>
      <w:r>
        <w:rPr>
          <w:rFonts w:hint="eastAsia" w:ascii="仿宋" w:hAnsi="仿宋" w:eastAsia="仿宋" w:cs="仿宋"/>
          <w:color w:val="000000"/>
          <w:kern w:val="2"/>
          <w:sz w:val="21"/>
          <w:szCs w:val="21"/>
          <w:highlight w:val="none"/>
          <w:lang w:eastAsia="zh-CN"/>
        </w:rPr>
        <w:t>磋商文件</w:t>
      </w:r>
      <w:r>
        <w:rPr>
          <w:rFonts w:hint="eastAsia" w:ascii="仿宋" w:hAnsi="仿宋" w:eastAsia="仿宋" w:cs="仿宋"/>
          <w:color w:val="000000"/>
          <w:kern w:val="2"/>
          <w:sz w:val="21"/>
          <w:szCs w:val="21"/>
          <w:highlight w:val="none"/>
        </w:rPr>
        <w:t>和乙方</w:t>
      </w:r>
      <w:r>
        <w:rPr>
          <w:rFonts w:hint="eastAsia" w:ascii="仿宋" w:hAnsi="仿宋" w:eastAsia="仿宋" w:cs="仿宋"/>
          <w:color w:val="000000"/>
          <w:kern w:val="2"/>
          <w:sz w:val="21"/>
          <w:szCs w:val="21"/>
          <w:highlight w:val="none"/>
          <w:lang w:eastAsia="zh-CN"/>
        </w:rPr>
        <w:t>响应文件</w:t>
      </w:r>
      <w:r>
        <w:rPr>
          <w:rFonts w:hint="eastAsia" w:ascii="仿宋" w:hAnsi="仿宋" w:eastAsia="仿宋" w:cs="仿宋"/>
          <w:color w:val="000000"/>
          <w:kern w:val="2"/>
          <w:sz w:val="21"/>
          <w:szCs w:val="21"/>
          <w:highlight w:val="none"/>
        </w:rPr>
        <w:t>、答疑、承诺及本合同中如有表述不一致的地方，以有利于甲方的条款履行。</w:t>
      </w:r>
    </w:p>
    <w:p w14:paraId="38E1D540">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4.本合同未尽事宜，双方协商后签订书面补充协议。</w:t>
      </w:r>
    </w:p>
    <w:p w14:paraId="0C7EF6D4">
      <w:pPr>
        <w:adjustRightInd w:val="0"/>
        <w:snapToGrid w:val="0"/>
        <w:spacing w:line="360" w:lineRule="auto"/>
        <w:ind w:right="-340" w:rightChars="-162"/>
        <w:rPr>
          <w:rFonts w:hint="eastAsia" w:ascii="仿宋" w:hAnsi="仿宋" w:eastAsia="仿宋" w:cs="仿宋"/>
          <w:color w:val="000000"/>
          <w:kern w:val="2"/>
          <w:sz w:val="21"/>
          <w:szCs w:val="21"/>
          <w:highlight w:val="none"/>
        </w:rPr>
      </w:pPr>
    </w:p>
    <w:p w14:paraId="2A17C6A3">
      <w:pPr>
        <w:adjustRightInd w:val="0"/>
        <w:snapToGrid w:val="0"/>
        <w:spacing w:line="360" w:lineRule="auto"/>
        <w:ind w:right="-340" w:rightChars="-162"/>
        <w:rPr>
          <w:rFonts w:hint="eastAsia" w:ascii="仿宋" w:hAnsi="仿宋" w:eastAsia="仿宋" w:cs="仿宋"/>
          <w:color w:val="000000"/>
          <w:kern w:val="2"/>
          <w:sz w:val="21"/>
          <w:szCs w:val="21"/>
          <w:highlight w:val="none"/>
        </w:rPr>
      </w:pPr>
    </w:p>
    <w:p w14:paraId="7D173F4D">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 xml:space="preserve">甲方（盖章）：                            </w:t>
      </w:r>
    </w:p>
    <w:p w14:paraId="589452BF">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 xml:space="preserve">联系人：             </w:t>
      </w:r>
    </w:p>
    <w:p w14:paraId="5A908E56">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 xml:space="preserve">联系电话：                                                                                       </w:t>
      </w:r>
    </w:p>
    <w:p w14:paraId="2B86EA1C">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地址：</w:t>
      </w:r>
    </w:p>
    <w:p w14:paraId="27AF0F1A">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 xml:space="preserve">签约时间：  年  月  日  </w:t>
      </w:r>
    </w:p>
    <w:p w14:paraId="525813B5">
      <w:pPr>
        <w:adjustRightInd w:val="0"/>
        <w:snapToGrid w:val="0"/>
        <w:spacing w:line="360" w:lineRule="auto"/>
        <w:ind w:right="-340" w:rightChars="-162"/>
        <w:rPr>
          <w:rFonts w:hint="eastAsia" w:ascii="仿宋" w:hAnsi="仿宋" w:eastAsia="仿宋" w:cs="仿宋"/>
          <w:color w:val="000000"/>
          <w:kern w:val="2"/>
          <w:sz w:val="21"/>
          <w:szCs w:val="21"/>
          <w:highlight w:val="none"/>
        </w:rPr>
      </w:pPr>
    </w:p>
    <w:p w14:paraId="0D14CBFF">
      <w:pPr>
        <w:adjustRightInd w:val="0"/>
        <w:snapToGrid w:val="0"/>
        <w:spacing w:line="360" w:lineRule="auto"/>
        <w:ind w:right="-340" w:rightChars="-162"/>
        <w:rPr>
          <w:rFonts w:hint="eastAsia" w:ascii="仿宋" w:hAnsi="仿宋" w:eastAsia="仿宋" w:cs="仿宋"/>
          <w:color w:val="000000"/>
          <w:kern w:val="2"/>
          <w:sz w:val="21"/>
          <w:szCs w:val="21"/>
          <w:highlight w:val="none"/>
        </w:rPr>
      </w:pPr>
    </w:p>
    <w:p w14:paraId="513D1DBA">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乙方（盖章）：</w:t>
      </w:r>
    </w:p>
    <w:p w14:paraId="27FB8831">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开户银行：</w:t>
      </w:r>
    </w:p>
    <w:p w14:paraId="28000460">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账    号：</w:t>
      </w:r>
    </w:p>
    <w:p w14:paraId="14E2AAF6">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 xml:space="preserve">联系人：             </w:t>
      </w:r>
    </w:p>
    <w:p w14:paraId="1B7A8E43">
      <w:pPr>
        <w:adjustRightInd w:val="0"/>
        <w:snapToGrid w:val="0"/>
        <w:spacing w:line="360" w:lineRule="auto"/>
        <w:ind w:right="-340" w:rightChars="-162"/>
        <w:rPr>
          <w:rFonts w:hint="eastAsia" w:ascii="仿宋" w:hAnsi="仿宋" w:eastAsia="仿宋" w:cs="仿宋"/>
          <w:color w:val="000000"/>
          <w:kern w:val="2"/>
          <w:sz w:val="21"/>
          <w:szCs w:val="21"/>
          <w:highlight w:val="none"/>
        </w:rPr>
      </w:pPr>
      <w:r>
        <w:rPr>
          <w:rFonts w:hint="eastAsia" w:ascii="仿宋" w:hAnsi="仿宋" w:eastAsia="仿宋" w:cs="仿宋"/>
          <w:color w:val="000000"/>
          <w:kern w:val="2"/>
          <w:sz w:val="21"/>
          <w:szCs w:val="21"/>
          <w:highlight w:val="none"/>
        </w:rPr>
        <w:t>联系电话：</w:t>
      </w:r>
    </w:p>
    <w:p w14:paraId="03BF1600">
      <w:pPr>
        <w:rPr>
          <w:rFonts w:hint="eastAsia" w:ascii="Arial" w:hAnsi="Arial" w:eastAsia="宋体" w:cs="Arial"/>
          <w:color w:val="000000"/>
          <w:sz w:val="24"/>
          <w:szCs w:val="24"/>
          <w:highlight w:val="none"/>
          <w:lang w:val="en-US" w:eastAsia="zh-CN" w:bidi="ar-SA"/>
        </w:rPr>
      </w:pPr>
      <w:r>
        <w:rPr>
          <w:rFonts w:hint="eastAsia" w:ascii="仿宋" w:hAnsi="仿宋" w:eastAsia="仿宋" w:cs="仿宋"/>
          <w:color w:val="000000"/>
          <w:kern w:val="2"/>
          <w:sz w:val="21"/>
          <w:szCs w:val="21"/>
          <w:highlight w:val="none"/>
        </w:rPr>
        <w:br w:type="page"/>
      </w:r>
    </w:p>
    <w:p w14:paraId="3BBF059F">
      <w:pPr>
        <w:keepNext/>
        <w:keepLines/>
        <w:widowControl w:val="0"/>
        <w:numPr>
          <w:ilvl w:val="0"/>
          <w:numId w:val="4"/>
        </w:numPr>
        <w:bidi w:val="0"/>
        <w:spacing w:before="260" w:beforeLines="0" w:beforeAutospacing="0" w:after="220" w:afterLines="0" w:afterAutospacing="0" w:line="240" w:lineRule="auto"/>
        <w:jc w:val="center"/>
        <w:outlineLvl w:val="0"/>
        <w:rPr>
          <w:rFonts w:hint="eastAsia" w:ascii="仿宋" w:hAnsi="仿宋" w:eastAsia="仿宋" w:cs="仿宋"/>
          <w:b/>
          <w:kern w:val="44"/>
          <w:sz w:val="32"/>
          <w:szCs w:val="32"/>
          <w:highlight w:val="none"/>
          <w:lang w:val="en-US" w:eastAsia="zh-CN" w:bidi="ar-SA"/>
        </w:rPr>
      </w:pPr>
      <w:bookmarkStart w:id="49" w:name="_Toc9068"/>
      <w:r>
        <w:rPr>
          <w:rFonts w:hint="eastAsia" w:ascii="仿宋" w:hAnsi="仿宋" w:eastAsia="仿宋" w:cs="仿宋"/>
          <w:b/>
          <w:kern w:val="44"/>
          <w:sz w:val="32"/>
          <w:szCs w:val="32"/>
          <w:highlight w:val="none"/>
          <w:lang w:val="en-US" w:eastAsia="zh-CN" w:bidi="ar-SA"/>
        </w:rPr>
        <w:t>采购需求</w:t>
      </w:r>
      <w:bookmarkEnd w:id="48"/>
      <w:bookmarkEnd w:id="49"/>
    </w:p>
    <w:p w14:paraId="177031B4">
      <w:pPr>
        <w:jc w:val="center"/>
        <w:rPr>
          <w:rFonts w:hint="default" w:asciiTheme="minorHAnsi" w:hAnsiTheme="minorHAnsi" w:eastAsiaTheme="minorEastAsia" w:cstheme="minorBidi"/>
          <w:kern w:val="2"/>
          <w:sz w:val="21"/>
          <w:szCs w:val="24"/>
          <w:lang w:val="en-US" w:eastAsia="zh-CN" w:bidi="ar-SA"/>
        </w:rPr>
      </w:pPr>
      <w:r>
        <w:rPr>
          <w:rFonts w:hint="eastAsia" w:ascii="仿宋" w:hAnsi="仿宋" w:eastAsia="仿宋" w:cs="仿宋"/>
          <w:b/>
          <w:kern w:val="44"/>
          <w:sz w:val="32"/>
          <w:szCs w:val="32"/>
          <w:highlight w:val="none"/>
          <w:lang w:val="en-US" w:eastAsia="zh-CN" w:bidi="ar-SA"/>
        </w:rPr>
        <w:t>实验室维保项目清单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51"/>
        <w:gridCol w:w="1392"/>
        <w:gridCol w:w="2796"/>
        <w:gridCol w:w="636"/>
        <w:gridCol w:w="709"/>
      </w:tblGrid>
      <w:tr w14:paraId="461D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38" w:type="dxa"/>
            <w:vAlign w:val="center"/>
          </w:tcPr>
          <w:p w14:paraId="1D36766A">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序号</w:t>
            </w:r>
          </w:p>
        </w:tc>
        <w:tc>
          <w:tcPr>
            <w:tcW w:w="2351" w:type="dxa"/>
            <w:vAlign w:val="center"/>
          </w:tcPr>
          <w:p w14:paraId="2479FC74">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设备名称</w:t>
            </w:r>
          </w:p>
        </w:tc>
        <w:tc>
          <w:tcPr>
            <w:tcW w:w="1392" w:type="dxa"/>
            <w:vAlign w:val="center"/>
          </w:tcPr>
          <w:p w14:paraId="72EB44B0">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型号</w:t>
            </w:r>
          </w:p>
        </w:tc>
        <w:tc>
          <w:tcPr>
            <w:tcW w:w="2796" w:type="dxa"/>
            <w:vAlign w:val="center"/>
          </w:tcPr>
          <w:p w14:paraId="2550F6B8">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生产厂家</w:t>
            </w:r>
          </w:p>
        </w:tc>
        <w:tc>
          <w:tcPr>
            <w:tcW w:w="636" w:type="dxa"/>
            <w:vAlign w:val="center"/>
          </w:tcPr>
          <w:p w14:paraId="0808E8D2">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数量</w:t>
            </w:r>
          </w:p>
        </w:tc>
        <w:tc>
          <w:tcPr>
            <w:tcW w:w="709" w:type="dxa"/>
            <w:vAlign w:val="center"/>
          </w:tcPr>
          <w:p w14:paraId="6A1180A8">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单位</w:t>
            </w:r>
          </w:p>
        </w:tc>
      </w:tr>
      <w:tr w14:paraId="2EE2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4D4B8183">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w:t>
            </w:r>
          </w:p>
        </w:tc>
        <w:tc>
          <w:tcPr>
            <w:tcW w:w="2351" w:type="dxa"/>
            <w:shd w:val="clear" w:color="auto" w:fill="auto"/>
            <w:vAlign w:val="center"/>
          </w:tcPr>
          <w:p w14:paraId="4CAA74D0">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测序仪</w:t>
            </w:r>
          </w:p>
        </w:tc>
        <w:tc>
          <w:tcPr>
            <w:tcW w:w="1392" w:type="dxa"/>
            <w:vAlign w:val="center"/>
          </w:tcPr>
          <w:p w14:paraId="71E7F0A6">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3500XL</w:t>
            </w:r>
          </w:p>
        </w:tc>
        <w:tc>
          <w:tcPr>
            <w:tcW w:w="2796" w:type="dxa"/>
            <w:vAlign w:val="center"/>
          </w:tcPr>
          <w:p w14:paraId="5786C5E6">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赛默飞世尔科技（中国）有限公司</w:t>
            </w:r>
          </w:p>
        </w:tc>
        <w:tc>
          <w:tcPr>
            <w:tcW w:w="636" w:type="dxa"/>
            <w:vAlign w:val="center"/>
          </w:tcPr>
          <w:p w14:paraId="0E549AC8">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w:t>
            </w:r>
          </w:p>
        </w:tc>
        <w:tc>
          <w:tcPr>
            <w:tcW w:w="709" w:type="dxa"/>
            <w:vAlign w:val="center"/>
          </w:tcPr>
          <w:p w14:paraId="4E5E8241">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台</w:t>
            </w:r>
          </w:p>
        </w:tc>
      </w:tr>
      <w:tr w14:paraId="07B3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7E10AD82">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2</w:t>
            </w:r>
          </w:p>
        </w:tc>
        <w:tc>
          <w:tcPr>
            <w:tcW w:w="2351" w:type="dxa"/>
            <w:shd w:val="clear" w:color="auto" w:fill="auto"/>
            <w:vAlign w:val="center"/>
          </w:tcPr>
          <w:p w14:paraId="4F3C1B77">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DNA提取工作站维保</w:t>
            </w:r>
          </w:p>
          <w:p w14:paraId="50BA5D14">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（精密仪器）</w:t>
            </w:r>
          </w:p>
        </w:tc>
        <w:tc>
          <w:tcPr>
            <w:tcW w:w="1392" w:type="dxa"/>
            <w:vAlign w:val="center"/>
          </w:tcPr>
          <w:p w14:paraId="53B2CF4B">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24道</w:t>
            </w:r>
          </w:p>
        </w:tc>
        <w:tc>
          <w:tcPr>
            <w:tcW w:w="2796" w:type="dxa"/>
            <w:vAlign w:val="center"/>
          </w:tcPr>
          <w:p w14:paraId="35E3018F">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长春市博坤生物科技有限公司</w:t>
            </w:r>
          </w:p>
        </w:tc>
        <w:tc>
          <w:tcPr>
            <w:tcW w:w="636" w:type="dxa"/>
            <w:vAlign w:val="center"/>
          </w:tcPr>
          <w:p w14:paraId="2391A9F5">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w:t>
            </w:r>
          </w:p>
        </w:tc>
        <w:tc>
          <w:tcPr>
            <w:tcW w:w="709" w:type="dxa"/>
            <w:vAlign w:val="center"/>
          </w:tcPr>
          <w:p w14:paraId="281084B7">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台</w:t>
            </w:r>
          </w:p>
        </w:tc>
      </w:tr>
      <w:tr w14:paraId="628E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4EFC935C">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3</w:t>
            </w:r>
          </w:p>
        </w:tc>
        <w:tc>
          <w:tcPr>
            <w:tcW w:w="2351" w:type="dxa"/>
            <w:vAlign w:val="center"/>
          </w:tcPr>
          <w:p w14:paraId="5689869D">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502熏显柜</w:t>
            </w:r>
          </w:p>
          <w:p w14:paraId="3BDCFAE8">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（国产）</w:t>
            </w:r>
          </w:p>
        </w:tc>
        <w:tc>
          <w:tcPr>
            <w:tcW w:w="1392" w:type="dxa"/>
            <w:vAlign w:val="center"/>
          </w:tcPr>
          <w:p w14:paraId="6E224413">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HWXG-II</w:t>
            </w:r>
          </w:p>
        </w:tc>
        <w:tc>
          <w:tcPr>
            <w:tcW w:w="2796" w:type="dxa"/>
            <w:vAlign w:val="center"/>
          </w:tcPr>
          <w:p w14:paraId="33972798">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北京华兴瑞安科技有限公司</w:t>
            </w:r>
          </w:p>
        </w:tc>
        <w:tc>
          <w:tcPr>
            <w:tcW w:w="636" w:type="dxa"/>
            <w:vAlign w:val="center"/>
          </w:tcPr>
          <w:p w14:paraId="06D68ADB">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w:t>
            </w:r>
          </w:p>
        </w:tc>
        <w:tc>
          <w:tcPr>
            <w:tcW w:w="709" w:type="dxa"/>
            <w:vAlign w:val="center"/>
          </w:tcPr>
          <w:p w14:paraId="21C56529">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台</w:t>
            </w:r>
          </w:p>
        </w:tc>
      </w:tr>
      <w:tr w14:paraId="14C2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5E49F177">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4</w:t>
            </w:r>
          </w:p>
        </w:tc>
        <w:tc>
          <w:tcPr>
            <w:tcW w:w="2351" w:type="dxa"/>
            <w:shd w:val="clear" w:color="auto" w:fill="auto"/>
            <w:vAlign w:val="center"/>
          </w:tcPr>
          <w:p w14:paraId="58F0B1F8">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502熏显柜</w:t>
            </w:r>
          </w:p>
          <w:p w14:paraId="5524F50F">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（精密仪器）</w:t>
            </w:r>
          </w:p>
        </w:tc>
        <w:tc>
          <w:tcPr>
            <w:tcW w:w="1392" w:type="dxa"/>
            <w:vAlign w:val="center"/>
          </w:tcPr>
          <w:p w14:paraId="36201E88">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MVC3000</w:t>
            </w:r>
          </w:p>
        </w:tc>
        <w:tc>
          <w:tcPr>
            <w:tcW w:w="2796" w:type="dxa"/>
            <w:vAlign w:val="center"/>
          </w:tcPr>
          <w:p w14:paraId="77833EA2">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北京安道全科技有限公司</w:t>
            </w:r>
          </w:p>
        </w:tc>
        <w:tc>
          <w:tcPr>
            <w:tcW w:w="636" w:type="dxa"/>
            <w:vAlign w:val="center"/>
          </w:tcPr>
          <w:p w14:paraId="47F2D823">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w:t>
            </w:r>
          </w:p>
        </w:tc>
        <w:tc>
          <w:tcPr>
            <w:tcW w:w="709" w:type="dxa"/>
            <w:vAlign w:val="center"/>
          </w:tcPr>
          <w:p w14:paraId="2BFC6B04">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台</w:t>
            </w:r>
          </w:p>
        </w:tc>
      </w:tr>
      <w:tr w14:paraId="796F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593ABDEE">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5</w:t>
            </w:r>
          </w:p>
        </w:tc>
        <w:tc>
          <w:tcPr>
            <w:tcW w:w="2351" w:type="dxa"/>
            <w:shd w:val="clear" w:color="auto" w:fill="auto"/>
            <w:vAlign w:val="center"/>
          </w:tcPr>
          <w:p w14:paraId="009D23BA">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茚三酮熏显柜</w:t>
            </w:r>
          </w:p>
        </w:tc>
        <w:tc>
          <w:tcPr>
            <w:tcW w:w="1392" w:type="dxa"/>
            <w:vAlign w:val="center"/>
          </w:tcPr>
          <w:p w14:paraId="42880A0A">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Caron 6105</w:t>
            </w:r>
          </w:p>
        </w:tc>
        <w:tc>
          <w:tcPr>
            <w:tcW w:w="2796" w:type="dxa"/>
            <w:vAlign w:val="center"/>
          </w:tcPr>
          <w:p w14:paraId="5478BDC7">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美国卡隆产品与服务公司</w:t>
            </w:r>
          </w:p>
        </w:tc>
        <w:tc>
          <w:tcPr>
            <w:tcW w:w="636" w:type="dxa"/>
            <w:vAlign w:val="center"/>
          </w:tcPr>
          <w:p w14:paraId="61A816A8">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w:t>
            </w:r>
          </w:p>
        </w:tc>
        <w:tc>
          <w:tcPr>
            <w:tcW w:w="709" w:type="dxa"/>
            <w:vAlign w:val="center"/>
          </w:tcPr>
          <w:p w14:paraId="37B3D23D">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台</w:t>
            </w:r>
          </w:p>
        </w:tc>
      </w:tr>
      <w:tr w14:paraId="0AEB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3FED06BF">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6</w:t>
            </w:r>
          </w:p>
        </w:tc>
        <w:tc>
          <w:tcPr>
            <w:tcW w:w="2351" w:type="dxa"/>
            <w:shd w:val="clear" w:color="auto" w:fill="auto"/>
            <w:vAlign w:val="center"/>
          </w:tcPr>
          <w:p w14:paraId="653C7735">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气质联用仪</w:t>
            </w:r>
          </w:p>
          <w:p w14:paraId="1DB36C94">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（精密仪器）</w:t>
            </w:r>
          </w:p>
        </w:tc>
        <w:tc>
          <w:tcPr>
            <w:tcW w:w="1392" w:type="dxa"/>
            <w:vAlign w:val="center"/>
          </w:tcPr>
          <w:p w14:paraId="1E7EBA52">
            <w:pPr>
              <w:adjustRightInd w:val="0"/>
              <w:snapToGrid w:val="0"/>
              <w:spacing w:line="360" w:lineRule="auto"/>
              <w:ind w:left="421" w:leftChars="84" w:right="-340" w:rightChars="-162" w:hanging="245" w:hangingChars="117"/>
              <w:rPr>
                <w:rFonts w:hint="default"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QP-2010NX</w:t>
            </w:r>
          </w:p>
        </w:tc>
        <w:tc>
          <w:tcPr>
            <w:tcW w:w="2796" w:type="dxa"/>
            <w:vAlign w:val="center"/>
          </w:tcPr>
          <w:p w14:paraId="18522674">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岛津仪器（苏州）有限公司</w:t>
            </w:r>
          </w:p>
        </w:tc>
        <w:tc>
          <w:tcPr>
            <w:tcW w:w="636" w:type="dxa"/>
            <w:vAlign w:val="center"/>
          </w:tcPr>
          <w:p w14:paraId="08FABC2B">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w:t>
            </w:r>
          </w:p>
        </w:tc>
        <w:tc>
          <w:tcPr>
            <w:tcW w:w="709" w:type="dxa"/>
            <w:vAlign w:val="center"/>
          </w:tcPr>
          <w:p w14:paraId="011BBE01">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台</w:t>
            </w:r>
          </w:p>
        </w:tc>
      </w:tr>
      <w:tr w14:paraId="1838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7A4D287">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7</w:t>
            </w:r>
          </w:p>
        </w:tc>
        <w:tc>
          <w:tcPr>
            <w:tcW w:w="2351" w:type="dxa"/>
            <w:shd w:val="clear" w:color="auto" w:fill="auto"/>
            <w:vAlign w:val="center"/>
          </w:tcPr>
          <w:p w14:paraId="755D370B">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热脱附-气质联用仪</w:t>
            </w:r>
          </w:p>
          <w:p w14:paraId="3DD8D16D">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（精密仪器）</w:t>
            </w:r>
          </w:p>
        </w:tc>
        <w:tc>
          <w:tcPr>
            <w:tcW w:w="1392" w:type="dxa"/>
            <w:vAlign w:val="center"/>
          </w:tcPr>
          <w:p w14:paraId="047EA627">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LCD-350</w:t>
            </w:r>
          </w:p>
          <w:p w14:paraId="5CEBF810">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QP-2020NX</w:t>
            </w:r>
          </w:p>
        </w:tc>
        <w:tc>
          <w:tcPr>
            <w:tcW w:w="2796" w:type="dxa"/>
            <w:vAlign w:val="center"/>
          </w:tcPr>
          <w:p w14:paraId="216BD688">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莱创应用（广州）科技有限公司</w:t>
            </w:r>
          </w:p>
          <w:p w14:paraId="4C03DB56">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岛津仪器（苏州）有限公司</w:t>
            </w:r>
          </w:p>
        </w:tc>
        <w:tc>
          <w:tcPr>
            <w:tcW w:w="636" w:type="dxa"/>
            <w:vAlign w:val="center"/>
          </w:tcPr>
          <w:p w14:paraId="4EC0FD45">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w:t>
            </w:r>
          </w:p>
        </w:tc>
        <w:tc>
          <w:tcPr>
            <w:tcW w:w="709" w:type="dxa"/>
            <w:vAlign w:val="center"/>
          </w:tcPr>
          <w:p w14:paraId="247F8934">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台</w:t>
            </w:r>
          </w:p>
        </w:tc>
      </w:tr>
      <w:tr w14:paraId="70E8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0A66E23E">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8</w:t>
            </w:r>
          </w:p>
        </w:tc>
        <w:tc>
          <w:tcPr>
            <w:tcW w:w="2351" w:type="dxa"/>
            <w:shd w:val="clear" w:color="auto" w:fill="auto"/>
            <w:vAlign w:val="center"/>
          </w:tcPr>
          <w:p w14:paraId="7079B811">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顶空气相色谱</w:t>
            </w:r>
          </w:p>
          <w:p w14:paraId="438B663C">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（精密仪器）</w:t>
            </w:r>
          </w:p>
        </w:tc>
        <w:tc>
          <w:tcPr>
            <w:tcW w:w="1392" w:type="dxa"/>
            <w:vAlign w:val="center"/>
          </w:tcPr>
          <w:p w14:paraId="7D2AEE56">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7890B</w:t>
            </w:r>
          </w:p>
        </w:tc>
        <w:tc>
          <w:tcPr>
            <w:tcW w:w="2796" w:type="dxa"/>
            <w:vAlign w:val="center"/>
          </w:tcPr>
          <w:p w14:paraId="13B9EE56">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安捷伦（中国）科技有限公司</w:t>
            </w:r>
          </w:p>
        </w:tc>
        <w:tc>
          <w:tcPr>
            <w:tcW w:w="636" w:type="dxa"/>
            <w:vAlign w:val="center"/>
          </w:tcPr>
          <w:p w14:paraId="4FC37CDD">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w:t>
            </w:r>
          </w:p>
        </w:tc>
        <w:tc>
          <w:tcPr>
            <w:tcW w:w="709" w:type="dxa"/>
            <w:vAlign w:val="center"/>
          </w:tcPr>
          <w:p w14:paraId="0AC88756">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台</w:t>
            </w:r>
          </w:p>
        </w:tc>
      </w:tr>
      <w:tr w14:paraId="4382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6388293A">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9</w:t>
            </w:r>
          </w:p>
        </w:tc>
        <w:tc>
          <w:tcPr>
            <w:tcW w:w="2351" w:type="dxa"/>
            <w:shd w:val="clear" w:color="auto" w:fill="auto"/>
            <w:vAlign w:val="center"/>
          </w:tcPr>
          <w:p w14:paraId="39A1085A">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离子色谱仪</w:t>
            </w:r>
          </w:p>
        </w:tc>
        <w:tc>
          <w:tcPr>
            <w:tcW w:w="1392" w:type="dxa"/>
            <w:vAlign w:val="center"/>
          </w:tcPr>
          <w:p w14:paraId="54347E26">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ICS-5000+</w:t>
            </w:r>
          </w:p>
        </w:tc>
        <w:tc>
          <w:tcPr>
            <w:tcW w:w="2796" w:type="dxa"/>
            <w:vAlign w:val="center"/>
          </w:tcPr>
          <w:p w14:paraId="47673B76">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赛默飞世尔科技（中国）有限公司</w:t>
            </w:r>
          </w:p>
        </w:tc>
        <w:tc>
          <w:tcPr>
            <w:tcW w:w="636" w:type="dxa"/>
            <w:vAlign w:val="center"/>
          </w:tcPr>
          <w:p w14:paraId="2FC7F06A">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w:t>
            </w:r>
          </w:p>
        </w:tc>
        <w:tc>
          <w:tcPr>
            <w:tcW w:w="709" w:type="dxa"/>
            <w:vAlign w:val="center"/>
          </w:tcPr>
          <w:p w14:paraId="0352CB21">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台</w:t>
            </w:r>
          </w:p>
        </w:tc>
      </w:tr>
      <w:tr w14:paraId="13CF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A8127E5">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10</w:t>
            </w:r>
          </w:p>
        </w:tc>
        <w:tc>
          <w:tcPr>
            <w:tcW w:w="2351" w:type="dxa"/>
            <w:shd w:val="clear" w:color="auto" w:fill="auto"/>
            <w:vAlign w:val="center"/>
          </w:tcPr>
          <w:p w14:paraId="2707636D">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紫外分光光度计</w:t>
            </w:r>
          </w:p>
        </w:tc>
        <w:tc>
          <w:tcPr>
            <w:tcW w:w="1392" w:type="dxa"/>
            <w:shd w:val="clear" w:color="auto" w:fill="auto"/>
            <w:vAlign w:val="center"/>
          </w:tcPr>
          <w:p w14:paraId="3A9A0889">
            <w:pPr>
              <w:adjustRightInd w:val="0"/>
              <w:snapToGrid w:val="0"/>
              <w:spacing w:line="360" w:lineRule="auto"/>
              <w:ind w:left="421" w:leftChars="84" w:right="-340" w:rightChars="-162" w:hanging="245" w:hangingChars="117"/>
              <w:rPr>
                <w:rFonts w:hint="default"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UV</w:t>
            </w:r>
          </w:p>
        </w:tc>
        <w:tc>
          <w:tcPr>
            <w:tcW w:w="2796" w:type="dxa"/>
            <w:vAlign w:val="center"/>
          </w:tcPr>
          <w:p w14:paraId="79BD07FF">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岛津仪器（苏州）有限公司</w:t>
            </w:r>
          </w:p>
        </w:tc>
        <w:tc>
          <w:tcPr>
            <w:tcW w:w="636" w:type="dxa"/>
            <w:vAlign w:val="center"/>
          </w:tcPr>
          <w:p w14:paraId="034EE0C2">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w:t>
            </w:r>
          </w:p>
        </w:tc>
        <w:tc>
          <w:tcPr>
            <w:tcW w:w="709" w:type="dxa"/>
            <w:vAlign w:val="center"/>
          </w:tcPr>
          <w:p w14:paraId="6F1213CF">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台</w:t>
            </w:r>
          </w:p>
        </w:tc>
      </w:tr>
      <w:tr w14:paraId="72F4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42D1A03">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11</w:t>
            </w:r>
          </w:p>
        </w:tc>
        <w:tc>
          <w:tcPr>
            <w:tcW w:w="2351" w:type="dxa"/>
            <w:shd w:val="clear" w:color="auto" w:fill="auto"/>
            <w:vAlign w:val="center"/>
          </w:tcPr>
          <w:p w14:paraId="16BB6C82">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纯水仪</w:t>
            </w:r>
          </w:p>
        </w:tc>
        <w:tc>
          <w:tcPr>
            <w:tcW w:w="1392" w:type="dxa"/>
            <w:shd w:val="clear" w:color="auto" w:fill="auto"/>
            <w:vAlign w:val="center"/>
          </w:tcPr>
          <w:p w14:paraId="03552B5E">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FJY1502-UVF</w:t>
            </w:r>
          </w:p>
        </w:tc>
        <w:tc>
          <w:tcPr>
            <w:tcW w:w="2796" w:type="dxa"/>
            <w:vAlign w:val="center"/>
          </w:tcPr>
          <w:p w14:paraId="3F49F0CD">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青岛富勒姆科技有限公司</w:t>
            </w:r>
          </w:p>
        </w:tc>
        <w:tc>
          <w:tcPr>
            <w:tcW w:w="636" w:type="dxa"/>
            <w:vAlign w:val="center"/>
          </w:tcPr>
          <w:p w14:paraId="26A26963">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w:t>
            </w:r>
          </w:p>
        </w:tc>
        <w:tc>
          <w:tcPr>
            <w:tcW w:w="709" w:type="dxa"/>
            <w:vAlign w:val="center"/>
          </w:tcPr>
          <w:p w14:paraId="70F1992C">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台</w:t>
            </w:r>
          </w:p>
        </w:tc>
      </w:tr>
      <w:tr w14:paraId="35102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38" w:type="dxa"/>
            <w:vAlign w:val="center"/>
          </w:tcPr>
          <w:p w14:paraId="2155D88B">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12</w:t>
            </w:r>
          </w:p>
        </w:tc>
        <w:tc>
          <w:tcPr>
            <w:tcW w:w="2351" w:type="dxa"/>
            <w:shd w:val="clear" w:color="auto" w:fill="auto"/>
            <w:vAlign w:val="center"/>
          </w:tcPr>
          <w:p w14:paraId="68B2D1EC">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实验室故障维修</w:t>
            </w:r>
          </w:p>
          <w:p w14:paraId="536744EC">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（新风系统）</w:t>
            </w:r>
          </w:p>
        </w:tc>
        <w:tc>
          <w:tcPr>
            <w:tcW w:w="1392" w:type="dxa"/>
            <w:vAlign w:val="center"/>
          </w:tcPr>
          <w:p w14:paraId="00414CC0">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麦克维尔</w:t>
            </w:r>
          </w:p>
        </w:tc>
        <w:tc>
          <w:tcPr>
            <w:tcW w:w="2796" w:type="dxa"/>
            <w:vAlign w:val="center"/>
          </w:tcPr>
          <w:p w14:paraId="34E243B7">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深圳麦克维尔空调有限公司</w:t>
            </w:r>
          </w:p>
        </w:tc>
        <w:tc>
          <w:tcPr>
            <w:tcW w:w="636" w:type="dxa"/>
            <w:vAlign w:val="center"/>
          </w:tcPr>
          <w:p w14:paraId="717D89E1">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w:t>
            </w:r>
          </w:p>
        </w:tc>
        <w:tc>
          <w:tcPr>
            <w:tcW w:w="709" w:type="dxa"/>
            <w:vAlign w:val="center"/>
          </w:tcPr>
          <w:p w14:paraId="66622E2D">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台</w:t>
            </w:r>
          </w:p>
        </w:tc>
      </w:tr>
    </w:tbl>
    <w:p w14:paraId="7CBB75B6">
      <w:pPr>
        <w:bidi w:val="0"/>
        <w:jc w:val="left"/>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7A4916F2">
      <w:pPr>
        <w:adjustRightInd w:val="0"/>
        <w:snapToGrid w:val="0"/>
        <w:spacing w:line="360" w:lineRule="auto"/>
        <w:ind w:right="-340" w:rightChars="-162"/>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b/>
          <w:color w:val="000000"/>
          <w:kern w:val="2"/>
          <w:sz w:val="21"/>
          <w:szCs w:val="21"/>
          <w:highlight w:val="none"/>
          <w:lang w:val="en-US" w:eastAsia="zh-CN"/>
        </w:rPr>
        <w:t>（一）测序仪：</w:t>
      </w:r>
    </w:p>
    <w:p w14:paraId="2F12C042">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1、合同期内，包含所有损坏的零部件费用及人工、差旅费用。</w:t>
      </w:r>
    </w:p>
    <w:p w14:paraId="0F1506A0">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2、每年提供1次维护保养及校准服务，维护项目包括：</w:t>
      </w:r>
    </w:p>
    <w:p w14:paraId="4090F410">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整机除尘；（2）光路清理、矫正；（3）透镜清理、矫正；（4）CCD矫正；（5）自动进样器矫正；（6）协助对电泳系统进行水洗；（7）进行空间矫正；（8）进行光谱矫正；（9）以上工作完成后，出具维护校准报告。</w:t>
      </w:r>
    </w:p>
    <w:p w14:paraId="7C137A3F">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3、在维修过程中，如需更换配件，必须为全新正品配件，以保证仪器性能稳定。</w:t>
      </w:r>
    </w:p>
    <w:p w14:paraId="2869C8DA">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4、维修范围：泵（Pump）、激光管（Laser）、激光电源（Laser Power）、恒温箱（Oven）、线路板等均在维修维保范围内，如有非核心配件损坏，需免费更换。</w:t>
      </w:r>
    </w:p>
    <w:p w14:paraId="7F70F8F5">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5、服务响应时间：收到维护要求后4小时内作出响应，2个工作日内工程师上门。</w:t>
      </w:r>
    </w:p>
    <w:p w14:paraId="67909BEC">
      <w:pPr>
        <w:adjustRightInd w:val="0"/>
        <w:snapToGrid w:val="0"/>
        <w:spacing w:line="360" w:lineRule="auto"/>
        <w:ind w:left="421" w:leftChars="84" w:right="-340" w:rightChars="-162" w:hanging="245" w:hangingChars="117"/>
        <w:rPr>
          <w:rFonts w:hint="default"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6、投标方须具备仪器品牌的维保服务能力。</w:t>
      </w:r>
    </w:p>
    <w:p w14:paraId="37FF657F">
      <w:pPr>
        <w:adjustRightInd w:val="0"/>
        <w:snapToGrid w:val="0"/>
        <w:spacing w:line="360" w:lineRule="auto"/>
        <w:ind w:left="421" w:leftChars="84" w:right="-340" w:rightChars="-162" w:hanging="245" w:hangingChars="117"/>
        <w:rPr>
          <w:rFonts w:hint="eastAsia" w:ascii="宋体" w:hAnsi="宋体" w:eastAsia="宋体" w:cs="宋体"/>
          <w:i w:val="0"/>
          <w:iCs w:val="0"/>
          <w:color w:val="000000"/>
          <w:kern w:val="0"/>
          <w:sz w:val="24"/>
          <w:szCs w:val="24"/>
          <w:u w:val="none"/>
          <w:lang w:val="en-US" w:eastAsia="zh-CN" w:bidi="ar"/>
        </w:rPr>
      </w:pPr>
      <w:r>
        <w:rPr>
          <w:rFonts w:hint="eastAsia" w:ascii="仿宋" w:hAnsi="仿宋" w:eastAsia="仿宋" w:cs="仿宋"/>
          <w:color w:val="000000"/>
          <w:kern w:val="2"/>
          <w:sz w:val="21"/>
          <w:szCs w:val="21"/>
          <w:highlight w:val="none"/>
          <w:lang w:val="en-US" w:eastAsia="zh-CN"/>
        </w:rPr>
        <w:t>7、供应商需提供相关工具（万用表、激光表）的校准证书、专业工具等的有效证明文件。</w:t>
      </w:r>
    </w:p>
    <w:p w14:paraId="443066CE">
      <w:pPr>
        <w:adjustRightInd w:val="0"/>
        <w:snapToGrid w:val="0"/>
        <w:spacing w:line="360" w:lineRule="auto"/>
        <w:ind w:right="-340" w:rightChars="-162"/>
        <w:rPr>
          <w:rFonts w:hint="eastAsia" w:ascii="仿宋" w:hAnsi="仿宋" w:eastAsia="仿宋" w:cs="仿宋"/>
          <w:b/>
          <w:color w:val="000000"/>
          <w:kern w:val="2"/>
          <w:sz w:val="21"/>
          <w:szCs w:val="21"/>
          <w:highlight w:val="none"/>
          <w:lang w:val="en-US" w:eastAsia="zh-CN"/>
        </w:rPr>
      </w:pPr>
      <w:r>
        <w:rPr>
          <w:rFonts w:hint="eastAsia" w:ascii="仿宋" w:hAnsi="仿宋" w:eastAsia="仿宋" w:cs="仿宋"/>
          <w:b/>
          <w:color w:val="000000"/>
          <w:kern w:val="2"/>
          <w:sz w:val="21"/>
          <w:szCs w:val="21"/>
          <w:highlight w:val="none"/>
          <w:lang w:val="en-US" w:eastAsia="zh-CN"/>
        </w:rPr>
        <w:t>（二）DNA提取工作站（精密仪器）：</w:t>
      </w:r>
    </w:p>
    <w:p w14:paraId="5EB2E739">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1、合同期内，包含所有损坏的零部件费用及人工、差旅费用。</w:t>
      </w:r>
    </w:p>
    <w:p w14:paraId="0AE2B48C">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2、每年提供1次原厂标准维护保养及校准服务</w:t>
      </w:r>
    </w:p>
    <w:p w14:paraId="03B91609">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3、在维修过程中，如需更换配件，必须为全新正品配件，以保证仪、器正常运行，避免使用方工作延误。</w:t>
      </w:r>
    </w:p>
    <w:p w14:paraId="1F037EDD">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4、维修范围：清洁消毒、机械/磁路维护、电气与软件校准、耗材更换、环境与安全检查等均在维修维保范围内，如有非核心配件损坏，需免费更换。</w:t>
      </w:r>
    </w:p>
    <w:p w14:paraId="75043E99">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5、服务响应时间：收到维护要求后4小时内作出响应，之后2个工作日内安排工程师上门，以确保设备的正常使用。</w:t>
      </w:r>
    </w:p>
    <w:p w14:paraId="6DF3C3DC">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6、投标方须具备仪器品牌的维保服务能力。</w:t>
      </w:r>
    </w:p>
    <w:p w14:paraId="76D53609">
      <w:pPr>
        <w:adjustRightInd w:val="0"/>
        <w:snapToGrid w:val="0"/>
        <w:spacing w:line="360" w:lineRule="auto"/>
        <w:ind w:right="-340" w:rightChars="-162"/>
        <w:rPr>
          <w:rFonts w:hint="eastAsia" w:ascii="仿宋" w:hAnsi="仿宋" w:eastAsia="仿宋" w:cs="仿宋"/>
          <w:b/>
          <w:color w:val="000000"/>
          <w:kern w:val="2"/>
          <w:sz w:val="21"/>
          <w:szCs w:val="21"/>
          <w:highlight w:val="none"/>
          <w:lang w:val="en-US" w:eastAsia="zh-CN"/>
        </w:rPr>
      </w:pPr>
      <w:r>
        <w:rPr>
          <w:rFonts w:hint="eastAsia" w:ascii="仿宋" w:hAnsi="仿宋" w:eastAsia="仿宋" w:cs="仿宋"/>
          <w:b/>
          <w:color w:val="000000"/>
          <w:kern w:val="2"/>
          <w:sz w:val="21"/>
          <w:szCs w:val="21"/>
          <w:highlight w:val="none"/>
          <w:lang w:val="en-US" w:eastAsia="zh-CN"/>
        </w:rPr>
        <w:t>（三）502熏显柜（国产）</w:t>
      </w:r>
    </w:p>
    <w:p w14:paraId="25F7748B">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1、合同期内，包含所有损坏的零部件费用及人工、差旅费用。</w:t>
      </w:r>
    </w:p>
    <w:p w14:paraId="339426CF">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2、每年提供1次维护保养及校准服务</w:t>
      </w:r>
    </w:p>
    <w:p w14:paraId="6B57FA92">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3、在维修过程中，如需更换配件，必须为原厂全新配件，以保证仪器正常运行，避免使用方工作延误。</w:t>
      </w:r>
    </w:p>
    <w:p w14:paraId="12BFCB0D">
      <w:pPr>
        <w:adjustRightInd w:val="0"/>
        <w:snapToGrid w:val="0"/>
        <w:spacing w:line="360" w:lineRule="auto"/>
        <w:ind w:left="421" w:leftChars="84" w:right="-340" w:rightChars="-162" w:hanging="245" w:hangingChars="117"/>
        <w:rPr>
          <w:rFonts w:hint="default"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4、维修范围（包括但不限于）：包含柜体清洁、密封及气路检查、风机与净化滤芯更换、加热挥发组件检修、电路控制系统检测、气密性测试与安全功能校验等均在维修维保范围内，如有非核心配件损坏，需免费更换。</w:t>
      </w:r>
    </w:p>
    <w:p w14:paraId="29FA900B">
      <w:pPr>
        <w:adjustRightInd w:val="0"/>
        <w:snapToGrid w:val="0"/>
        <w:spacing w:line="360" w:lineRule="auto"/>
        <w:ind w:left="421" w:leftChars="84" w:right="-340" w:rightChars="-162" w:hanging="245" w:hangingChars="117"/>
        <w:rPr>
          <w:rFonts w:hint="eastAsia" w:ascii="宋体" w:hAnsi="宋体" w:eastAsia="宋体" w:cs="宋体"/>
          <w:i w:val="0"/>
          <w:iCs w:val="0"/>
          <w:color w:val="000000"/>
          <w:kern w:val="0"/>
          <w:sz w:val="24"/>
          <w:szCs w:val="24"/>
          <w:u w:val="none"/>
          <w:lang w:val="en-US" w:eastAsia="zh-CN" w:bidi="ar"/>
        </w:rPr>
      </w:pPr>
      <w:r>
        <w:rPr>
          <w:rFonts w:hint="eastAsia" w:ascii="仿宋" w:hAnsi="仿宋" w:eastAsia="仿宋" w:cs="仿宋"/>
          <w:color w:val="000000"/>
          <w:kern w:val="2"/>
          <w:sz w:val="21"/>
          <w:szCs w:val="21"/>
          <w:highlight w:val="none"/>
          <w:lang w:val="en-US" w:eastAsia="zh-CN"/>
        </w:rPr>
        <w:t>5、服务响应时间：收到维护要求后4小时内作出响应，之后2个工作日内安排工程师上门，以确保设备的正常使用。</w:t>
      </w:r>
    </w:p>
    <w:p w14:paraId="42762C0C">
      <w:pPr>
        <w:adjustRightInd w:val="0"/>
        <w:snapToGrid w:val="0"/>
        <w:spacing w:line="360" w:lineRule="auto"/>
        <w:ind w:right="-340" w:rightChars="-162"/>
        <w:rPr>
          <w:rFonts w:hint="eastAsia" w:ascii="仿宋" w:hAnsi="仿宋" w:eastAsia="仿宋" w:cs="仿宋"/>
          <w:b/>
          <w:color w:val="000000"/>
          <w:kern w:val="2"/>
          <w:sz w:val="21"/>
          <w:szCs w:val="21"/>
          <w:highlight w:val="none"/>
          <w:lang w:val="en-US" w:eastAsia="zh-CN"/>
        </w:rPr>
      </w:pPr>
      <w:r>
        <w:rPr>
          <w:rFonts w:hint="eastAsia" w:ascii="仿宋" w:hAnsi="仿宋" w:eastAsia="仿宋" w:cs="仿宋"/>
          <w:b/>
          <w:color w:val="000000"/>
          <w:kern w:val="2"/>
          <w:sz w:val="21"/>
          <w:szCs w:val="21"/>
          <w:highlight w:val="none"/>
          <w:lang w:val="en-US" w:eastAsia="zh-CN"/>
        </w:rPr>
        <w:t>（四）502熏显柜（精密仪器）</w:t>
      </w:r>
    </w:p>
    <w:p w14:paraId="67B1C2B7">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1、合同期内，包含所有损坏的零部件费用及人工、差旅费用。</w:t>
      </w:r>
    </w:p>
    <w:p w14:paraId="174FD78D">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2、每年提供1次维护保养及校准服务</w:t>
      </w:r>
    </w:p>
    <w:p w14:paraId="545DFC51">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3、在维修过程中，如需更换配件，必须为原厂全新配件，以保证仪器正常运行，避免使用方工作延误。</w:t>
      </w:r>
    </w:p>
    <w:p w14:paraId="50DD8F92">
      <w:pPr>
        <w:adjustRightInd w:val="0"/>
        <w:snapToGrid w:val="0"/>
        <w:spacing w:line="360" w:lineRule="auto"/>
        <w:ind w:left="421" w:leftChars="84" w:right="-340" w:rightChars="-162" w:hanging="245" w:hangingChars="117"/>
        <w:rPr>
          <w:rFonts w:hint="default"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4、维修范围（包括但不限于）：包含柜体清洁、密封及气路检查、风机与净化滤芯更换、加热挥发组件检修、电路控制系统检测、气密性测试与安全功能校验等均在维修维保范围内，如有非核心配件损坏，需免费更换。</w:t>
      </w:r>
    </w:p>
    <w:p w14:paraId="1394DDED">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5、服务响应时间：收到维护要求后4小时内作出响应，之后2个工作日内安排工程师上门，以确保设备的正常使用。</w:t>
      </w:r>
    </w:p>
    <w:p w14:paraId="161303F1">
      <w:pPr>
        <w:adjustRightInd w:val="0"/>
        <w:snapToGrid w:val="0"/>
        <w:spacing w:line="360" w:lineRule="auto"/>
        <w:ind w:left="421" w:leftChars="84" w:right="-340" w:rightChars="-162" w:hanging="245" w:hangingChars="117"/>
        <w:rPr>
          <w:rFonts w:hint="eastAsia" w:ascii="宋体" w:hAnsi="宋体" w:eastAsia="宋体" w:cs="宋体"/>
          <w:i w:val="0"/>
          <w:iCs w:val="0"/>
          <w:color w:val="000000"/>
          <w:kern w:val="0"/>
          <w:sz w:val="24"/>
          <w:szCs w:val="24"/>
          <w:u w:val="none"/>
          <w:lang w:val="en-US" w:eastAsia="zh-CN" w:bidi="ar"/>
        </w:rPr>
      </w:pPr>
      <w:r>
        <w:rPr>
          <w:rFonts w:hint="eastAsia" w:ascii="仿宋" w:hAnsi="仿宋" w:eastAsia="仿宋" w:cs="仿宋"/>
          <w:color w:val="000000"/>
          <w:kern w:val="2"/>
          <w:sz w:val="21"/>
          <w:szCs w:val="21"/>
          <w:highlight w:val="none"/>
          <w:lang w:val="en-US" w:eastAsia="zh-CN"/>
        </w:rPr>
        <w:t>6、投标方须具备仪器品牌的维保服务能力。</w:t>
      </w:r>
    </w:p>
    <w:p w14:paraId="18D42700">
      <w:pPr>
        <w:adjustRightInd w:val="0"/>
        <w:snapToGrid w:val="0"/>
        <w:spacing w:line="360" w:lineRule="auto"/>
        <w:ind w:right="-340" w:rightChars="-162"/>
        <w:rPr>
          <w:rFonts w:hint="eastAsia" w:ascii="仿宋" w:hAnsi="仿宋" w:eastAsia="仿宋" w:cs="仿宋"/>
          <w:b/>
          <w:color w:val="000000"/>
          <w:kern w:val="2"/>
          <w:sz w:val="21"/>
          <w:szCs w:val="21"/>
          <w:highlight w:val="none"/>
          <w:lang w:val="en-US" w:eastAsia="zh-CN"/>
        </w:rPr>
      </w:pPr>
      <w:r>
        <w:rPr>
          <w:rFonts w:hint="eastAsia" w:ascii="仿宋" w:hAnsi="仿宋" w:eastAsia="仿宋" w:cs="仿宋"/>
          <w:b/>
          <w:color w:val="000000"/>
          <w:kern w:val="2"/>
          <w:sz w:val="21"/>
          <w:szCs w:val="21"/>
          <w:highlight w:val="none"/>
          <w:lang w:val="en-US" w:eastAsia="zh-CN"/>
        </w:rPr>
        <w:t>（五）茚三酮熏显柜</w:t>
      </w:r>
    </w:p>
    <w:p w14:paraId="0F8EB99B">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1、合同期内，包含所有损坏的零部件费用及人工、差旅费用。。</w:t>
      </w:r>
    </w:p>
    <w:p w14:paraId="48A9B694">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2、每年提供1次维护保养及校准服务</w:t>
      </w:r>
    </w:p>
    <w:p w14:paraId="0B84EE4F">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3、在维修过程中，如需更换配件，必须为原厂全新配件，以保证仪器正常运行，避免使用方工作延误。</w:t>
      </w:r>
    </w:p>
    <w:p w14:paraId="74A6C477">
      <w:pPr>
        <w:adjustRightInd w:val="0"/>
        <w:snapToGrid w:val="0"/>
        <w:spacing w:line="360" w:lineRule="auto"/>
        <w:ind w:left="421" w:leftChars="84" w:right="-340" w:rightChars="-162" w:hanging="245" w:hangingChars="117"/>
        <w:rPr>
          <w:rFonts w:hint="default"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4、维修范围（包括但不限于）：包含柜体清洁、密封及气路检查、风机与净化滤芯更换、加热挥发组件检修、电路控制系统检测、气密性测试与安全功能校验等均在维修维保范围内，如有非核心配件损坏，需免费更换。</w:t>
      </w:r>
    </w:p>
    <w:p w14:paraId="23897C27">
      <w:pPr>
        <w:adjustRightInd w:val="0"/>
        <w:snapToGrid w:val="0"/>
        <w:spacing w:line="360" w:lineRule="auto"/>
        <w:ind w:left="421" w:leftChars="84" w:right="-340" w:rightChars="-162" w:hanging="245" w:hangingChars="117"/>
        <w:rPr>
          <w:rFonts w:hint="eastAsia" w:ascii="宋体" w:hAnsi="宋体" w:eastAsia="宋体" w:cs="宋体"/>
          <w:i w:val="0"/>
          <w:iCs w:val="0"/>
          <w:color w:val="000000"/>
          <w:kern w:val="0"/>
          <w:sz w:val="24"/>
          <w:szCs w:val="24"/>
          <w:u w:val="none"/>
          <w:lang w:val="en-US" w:eastAsia="zh-CN" w:bidi="ar"/>
        </w:rPr>
      </w:pPr>
      <w:r>
        <w:rPr>
          <w:rFonts w:hint="eastAsia" w:ascii="仿宋" w:hAnsi="仿宋" w:eastAsia="仿宋" w:cs="仿宋"/>
          <w:color w:val="000000"/>
          <w:kern w:val="2"/>
          <w:sz w:val="21"/>
          <w:szCs w:val="21"/>
          <w:highlight w:val="none"/>
          <w:lang w:val="en-US" w:eastAsia="zh-CN"/>
        </w:rPr>
        <w:t>5、服务响应时间：收到维护要求后4小时内作出响应，之后2个工作日内安排工程师上门，以确保设备的正常使用。</w:t>
      </w:r>
    </w:p>
    <w:p w14:paraId="212258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b/>
          <w:color w:val="000000"/>
          <w:kern w:val="2"/>
          <w:sz w:val="21"/>
          <w:szCs w:val="21"/>
          <w:highlight w:val="none"/>
          <w:lang w:val="en-US" w:eastAsia="zh-CN"/>
        </w:rPr>
        <w:t>（六）气质联用仪（精密仪器）</w:t>
      </w:r>
    </w:p>
    <w:p w14:paraId="276E60B4">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1、合同期内，包含所有损坏的零部件费用及人工、差旅费用。</w:t>
      </w:r>
    </w:p>
    <w:p w14:paraId="0F266EB7">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2、每年提供1次维护保养及校准服务。</w:t>
      </w:r>
    </w:p>
    <w:p w14:paraId="6CD3FD95">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3、在维修过程中，如需更换配件，必须为全新正品配件，以保证仪器正常运行，避免使用方工作延误。</w:t>
      </w:r>
    </w:p>
    <w:p w14:paraId="2E015873">
      <w:pPr>
        <w:adjustRightInd w:val="0"/>
        <w:snapToGrid w:val="0"/>
        <w:spacing w:line="360" w:lineRule="auto"/>
        <w:ind w:left="421" w:leftChars="84" w:right="-340" w:rightChars="-162" w:hanging="245" w:hangingChars="117"/>
        <w:rPr>
          <w:rFonts w:hint="default"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4、维修范围（包括但不限于）：管路气路检漏、进样系统、色谱柱、离子源及质谱检测器清洁维护、真空系统检查、耗材更换与仪器性能校准等均在维修维保范围内，如有非核心配件损坏，需免费更换。</w:t>
      </w:r>
    </w:p>
    <w:p w14:paraId="1D95605F">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5、服务响应时间：收到维护要求后4小时内作出响应，之后2个工作日内安排工程师上门，以确保设备的正常使用。</w:t>
      </w:r>
    </w:p>
    <w:p w14:paraId="5716A629">
      <w:pPr>
        <w:adjustRightInd w:val="0"/>
        <w:snapToGrid w:val="0"/>
        <w:spacing w:line="360" w:lineRule="auto"/>
        <w:ind w:left="421" w:leftChars="84" w:right="-340" w:rightChars="-162" w:hanging="245" w:hangingChars="117"/>
        <w:rPr>
          <w:rFonts w:hint="eastAsia" w:ascii="宋体" w:hAnsi="宋体" w:eastAsia="宋体" w:cs="宋体"/>
          <w:i w:val="0"/>
          <w:iCs w:val="0"/>
          <w:color w:val="000000"/>
          <w:kern w:val="0"/>
          <w:sz w:val="24"/>
          <w:szCs w:val="24"/>
          <w:u w:val="none"/>
          <w:lang w:val="en-US" w:eastAsia="zh-CN" w:bidi="ar"/>
        </w:rPr>
      </w:pPr>
      <w:r>
        <w:rPr>
          <w:rFonts w:hint="eastAsia" w:ascii="仿宋" w:hAnsi="仿宋" w:eastAsia="仿宋" w:cs="仿宋"/>
          <w:color w:val="000000"/>
          <w:kern w:val="2"/>
          <w:sz w:val="21"/>
          <w:szCs w:val="21"/>
          <w:highlight w:val="none"/>
          <w:lang w:val="en-US" w:eastAsia="zh-CN"/>
        </w:rPr>
        <w:t>6、投标方须具备仪器品牌的维保服务能力。</w:t>
      </w:r>
    </w:p>
    <w:p w14:paraId="5911D11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b/>
          <w:color w:val="000000"/>
          <w:kern w:val="2"/>
          <w:sz w:val="21"/>
          <w:szCs w:val="21"/>
          <w:highlight w:val="none"/>
          <w:lang w:val="en-US" w:eastAsia="zh-CN"/>
        </w:rPr>
        <w:t>（七）热脱附-气质联用仪（精密仪器）</w:t>
      </w:r>
    </w:p>
    <w:p w14:paraId="1C2CC0D1">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1、合同期内，包含所有损坏的零部件费用及人工、差旅费用。</w:t>
      </w:r>
    </w:p>
    <w:p w14:paraId="0AE2868D">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2、每年提供1次维护保养及校准服务</w:t>
      </w:r>
    </w:p>
    <w:p w14:paraId="26DDF2F7">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3、在维修过程中，如需更换配件，必须为全新正品配件，以保证仪器正常运行，避免使用方工作延误。</w:t>
      </w:r>
    </w:p>
    <w:p w14:paraId="7664D615">
      <w:pPr>
        <w:adjustRightInd w:val="0"/>
        <w:snapToGrid w:val="0"/>
        <w:spacing w:line="360" w:lineRule="auto"/>
        <w:ind w:left="421" w:leftChars="84" w:right="-340" w:rightChars="-162" w:hanging="245" w:hangingChars="117"/>
        <w:rPr>
          <w:rFonts w:hint="default"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4、维修范围（包括但不限于）：气路检漏、热脱附模块与进样组件清洁更换、色谱质谱系统维护、真空检查、耗材更换及仪器性能校准等均在维修维保范围内，如有非核心配件损坏，需免费更换。</w:t>
      </w:r>
    </w:p>
    <w:p w14:paraId="7EBAC60E">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5、服务响应时间：收到维护要求后4小时内作出响应，之后2个工作日内安排工程师上门，以确保设备的正常使用。</w:t>
      </w:r>
    </w:p>
    <w:p w14:paraId="191AA94C">
      <w:pPr>
        <w:adjustRightInd w:val="0"/>
        <w:snapToGrid w:val="0"/>
        <w:spacing w:line="360" w:lineRule="auto"/>
        <w:ind w:left="421" w:leftChars="84" w:right="-340" w:rightChars="-162" w:hanging="245" w:hangingChars="117"/>
        <w:rPr>
          <w:rFonts w:hint="eastAsia" w:ascii="宋体" w:hAnsi="宋体" w:eastAsia="宋体" w:cs="宋体"/>
          <w:i w:val="0"/>
          <w:iCs w:val="0"/>
          <w:color w:val="000000"/>
          <w:kern w:val="0"/>
          <w:sz w:val="24"/>
          <w:szCs w:val="24"/>
          <w:u w:val="none"/>
          <w:lang w:val="en-US" w:eastAsia="zh-CN" w:bidi="ar"/>
        </w:rPr>
      </w:pPr>
      <w:r>
        <w:rPr>
          <w:rFonts w:hint="eastAsia" w:ascii="仿宋" w:hAnsi="仿宋" w:eastAsia="仿宋" w:cs="仿宋"/>
          <w:color w:val="000000"/>
          <w:kern w:val="2"/>
          <w:sz w:val="21"/>
          <w:szCs w:val="21"/>
          <w:highlight w:val="none"/>
          <w:lang w:val="en-US" w:eastAsia="zh-CN"/>
        </w:rPr>
        <w:t>6、投标方须具备仪器品牌的维保服务能力。</w:t>
      </w:r>
    </w:p>
    <w:p w14:paraId="7431AC4E">
      <w:pPr>
        <w:adjustRightInd w:val="0"/>
        <w:snapToGrid w:val="0"/>
        <w:spacing w:line="360" w:lineRule="auto"/>
        <w:ind w:right="-340" w:rightChars="-162"/>
        <w:rPr>
          <w:rFonts w:hint="eastAsia" w:ascii="仿宋" w:hAnsi="仿宋" w:eastAsia="仿宋" w:cs="仿宋"/>
          <w:b/>
          <w:color w:val="000000"/>
          <w:kern w:val="2"/>
          <w:sz w:val="21"/>
          <w:szCs w:val="21"/>
          <w:highlight w:val="none"/>
          <w:lang w:val="en-US" w:eastAsia="zh-CN"/>
        </w:rPr>
      </w:pPr>
      <w:r>
        <w:rPr>
          <w:rFonts w:hint="eastAsia" w:ascii="仿宋" w:hAnsi="仿宋" w:eastAsia="仿宋" w:cs="仿宋"/>
          <w:b/>
          <w:color w:val="000000"/>
          <w:kern w:val="2"/>
          <w:sz w:val="21"/>
          <w:szCs w:val="21"/>
          <w:highlight w:val="none"/>
          <w:lang w:val="en-US" w:eastAsia="zh-CN"/>
        </w:rPr>
        <w:t>（八）顶空气相色谱（精密仪器）</w:t>
      </w:r>
    </w:p>
    <w:p w14:paraId="25A33071">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1、合同期内，包含所有损坏的零部件费用及人工、差旅费用。</w:t>
      </w:r>
    </w:p>
    <w:p w14:paraId="5B8FB9CA">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2、每年提供1次维护保养及校准服务</w:t>
      </w:r>
    </w:p>
    <w:p w14:paraId="1290EE96">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3、在维修过程中，如需更换配件，必须为全新正品配件，以保证仪器正常运行，避免使用方工作延误。</w:t>
      </w:r>
    </w:p>
    <w:p w14:paraId="6333A88A">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4、维修范围（包括但不限于）：气路检漏、顶空进样单元清洁维护、进样口与色谱系统检查、耗材更换、仪器校准及整机性能验证均在维修维保范围内，如有非核心配件损坏，需免费更换。</w:t>
      </w:r>
    </w:p>
    <w:p w14:paraId="4CC33F7D">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5、服务响应时间：收到维护要求后4小时内作出响应，之后2个工作日内安排工程师上门，以确保设备的正常使用。</w:t>
      </w:r>
    </w:p>
    <w:p w14:paraId="5D6A6AC0">
      <w:pPr>
        <w:adjustRightInd w:val="0"/>
        <w:snapToGrid w:val="0"/>
        <w:spacing w:line="360" w:lineRule="auto"/>
        <w:ind w:left="421" w:leftChars="84" w:right="-340" w:rightChars="-162" w:hanging="245" w:hangingChars="117"/>
        <w:rPr>
          <w:rFonts w:hint="eastAsia" w:ascii="宋体" w:hAnsi="宋体" w:eastAsia="宋体" w:cs="宋体"/>
          <w:i w:val="0"/>
          <w:iCs w:val="0"/>
          <w:color w:val="000000"/>
          <w:kern w:val="0"/>
          <w:sz w:val="24"/>
          <w:szCs w:val="24"/>
          <w:u w:val="none"/>
          <w:lang w:val="en-US" w:eastAsia="zh-CN" w:bidi="ar"/>
        </w:rPr>
      </w:pPr>
      <w:r>
        <w:rPr>
          <w:rFonts w:hint="eastAsia" w:ascii="仿宋" w:hAnsi="仿宋" w:eastAsia="仿宋" w:cs="仿宋"/>
          <w:color w:val="000000"/>
          <w:kern w:val="2"/>
          <w:sz w:val="21"/>
          <w:szCs w:val="21"/>
          <w:highlight w:val="none"/>
          <w:lang w:val="en-US" w:eastAsia="zh-CN"/>
        </w:rPr>
        <w:t>6、投标方须具备仪器品牌的维保服务能力。</w:t>
      </w:r>
    </w:p>
    <w:p w14:paraId="680F3B32">
      <w:pPr>
        <w:adjustRightInd w:val="0"/>
        <w:snapToGrid w:val="0"/>
        <w:spacing w:line="360" w:lineRule="auto"/>
        <w:ind w:right="-340" w:rightChars="-162"/>
        <w:rPr>
          <w:rFonts w:hint="eastAsia" w:ascii="仿宋" w:hAnsi="仿宋" w:eastAsia="仿宋" w:cs="仿宋"/>
          <w:b/>
          <w:color w:val="000000"/>
          <w:kern w:val="2"/>
          <w:sz w:val="21"/>
          <w:szCs w:val="21"/>
          <w:highlight w:val="none"/>
          <w:lang w:val="en-US" w:eastAsia="zh-CN"/>
        </w:rPr>
      </w:pPr>
      <w:r>
        <w:rPr>
          <w:rFonts w:hint="eastAsia" w:ascii="仿宋" w:hAnsi="仿宋" w:eastAsia="仿宋" w:cs="仿宋"/>
          <w:b/>
          <w:color w:val="000000"/>
          <w:kern w:val="2"/>
          <w:sz w:val="21"/>
          <w:szCs w:val="21"/>
          <w:highlight w:val="none"/>
          <w:lang w:val="en-US" w:eastAsia="zh-CN"/>
        </w:rPr>
        <w:t>（九）离子色谱仪</w:t>
      </w:r>
    </w:p>
    <w:p w14:paraId="31BC764E">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1、合同期内，包含所有损坏的零部件费用及人工、差旅费用。</w:t>
      </w:r>
    </w:p>
    <w:p w14:paraId="757F03AF">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2、每年提供1次维护保养及校准服务</w:t>
      </w:r>
    </w:p>
    <w:p w14:paraId="5E5FEA4F">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3、在维修过程中，如需更换配件，必须为全新正品配件，以保证仪器正常运行，避免使用方工作延误。</w:t>
      </w:r>
    </w:p>
    <w:p w14:paraId="759D6835">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4、维修范围（包括但不限于）：流路清洁、色谱柱与抑制器维护、泵阀检查、试剂耗材更换、管路检漏及仪器性能校准均在维修维保范围内，如有非核心配件损坏，需免费更换。</w:t>
      </w:r>
    </w:p>
    <w:p w14:paraId="1770F18B">
      <w:pPr>
        <w:adjustRightInd w:val="0"/>
        <w:snapToGrid w:val="0"/>
        <w:spacing w:line="360" w:lineRule="auto"/>
        <w:ind w:left="421" w:leftChars="84" w:right="-340" w:rightChars="-162" w:hanging="245" w:hangingChars="117"/>
        <w:rPr>
          <w:rFonts w:hint="eastAsia" w:ascii="宋体" w:hAnsi="宋体" w:eastAsia="宋体" w:cs="宋体"/>
          <w:i w:val="0"/>
          <w:iCs w:val="0"/>
          <w:color w:val="000000"/>
          <w:kern w:val="0"/>
          <w:sz w:val="24"/>
          <w:szCs w:val="24"/>
          <w:u w:val="none"/>
          <w:lang w:val="en-US" w:eastAsia="zh-CN" w:bidi="ar"/>
        </w:rPr>
      </w:pPr>
      <w:r>
        <w:rPr>
          <w:rFonts w:hint="eastAsia" w:ascii="仿宋" w:hAnsi="仿宋" w:eastAsia="仿宋" w:cs="仿宋"/>
          <w:color w:val="000000"/>
          <w:kern w:val="2"/>
          <w:sz w:val="21"/>
          <w:szCs w:val="21"/>
          <w:highlight w:val="none"/>
          <w:lang w:val="en-US" w:eastAsia="zh-CN"/>
        </w:rPr>
        <w:t>5、服务响应时间：收到维护要求后4小时内作出响应，之后2个工作日内安排工程师上门，以确保设备的正常使用。</w:t>
      </w:r>
    </w:p>
    <w:p w14:paraId="7939EF47">
      <w:pPr>
        <w:adjustRightInd w:val="0"/>
        <w:snapToGrid w:val="0"/>
        <w:spacing w:line="360" w:lineRule="auto"/>
        <w:ind w:right="-340" w:rightChars="-162"/>
        <w:rPr>
          <w:rFonts w:hint="eastAsia" w:ascii="仿宋" w:hAnsi="仿宋" w:eastAsia="仿宋" w:cs="仿宋"/>
          <w:b/>
          <w:color w:val="000000"/>
          <w:kern w:val="2"/>
          <w:sz w:val="21"/>
          <w:szCs w:val="21"/>
          <w:highlight w:val="none"/>
          <w:lang w:val="en-US" w:eastAsia="zh-CN"/>
        </w:rPr>
      </w:pPr>
      <w:r>
        <w:rPr>
          <w:rFonts w:hint="eastAsia" w:ascii="仿宋" w:hAnsi="仿宋" w:eastAsia="仿宋" w:cs="仿宋"/>
          <w:b/>
          <w:color w:val="000000"/>
          <w:kern w:val="2"/>
          <w:sz w:val="21"/>
          <w:szCs w:val="21"/>
          <w:highlight w:val="none"/>
          <w:lang w:val="en-US" w:eastAsia="zh-CN"/>
        </w:rPr>
        <w:t>（十）紫外分光光度计</w:t>
      </w:r>
    </w:p>
    <w:p w14:paraId="01347255">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1、合同期内，包含所有损坏的零部件费用及人工、差旅费用。</w:t>
      </w:r>
    </w:p>
    <w:p w14:paraId="1FF942DF">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2、每年提供1次维护保养及校准服务</w:t>
      </w:r>
    </w:p>
    <w:p w14:paraId="47C164BD">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3、在维修过程中，如需更换配件，必须为全新正品配件，以保证仪器正常运行，避免使用方工作延误。</w:t>
      </w:r>
    </w:p>
    <w:p w14:paraId="4D229FCC">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4、维修范围（包括但不限于）：仪器内外清洁、光学部件保养、光源与检测器检查、管路/样品池维护、日常校准及性能核查均在维修维保范围内，如有非核心配件损坏，需免费更换。</w:t>
      </w:r>
    </w:p>
    <w:p w14:paraId="66EBA1FB">
      <w:pPr>
        <w:adjustRightInd w:val="0"/>
        <w:snapToGrid w:val="0"/>
        <w:spacing w:line="360" w:lineRule="auto"/>
        <w:ind w:left="421" w:leftChars="84" w:right="-340" w:rightChars="-162" w:hanging="245" w:hangingChars="117"/>
        <w:rPr>
          <w:rFonts w:hint="eastAsia" w:ascii="宋体" w:hAnsi="宋体" w:eastAsia="宋体" w:cs="宋体"/>
          <w:i w:val="0"/>
          <w:iCs w:val="0"/>
          <w:color w:val="000000"/>
          <w:kern w:val="0"/>
          <w:sz w:val="24"/>
          <w:szCs w:val="24"/>
          <w:u w:val="none"/>
          <w:lang w:val="en-US" w:eastAsia="zh-CN" w:bidi="ar"/>
        </w:rPr>
      </w:pPr>
      <w:r>
        <w:rPr>
          <w:rFonts w:hint="eastAsia" w:ascii="仿宋" w:hAnsi="仿宋" w:eastAsia="仿宋" w:cs="仿宋"/>
          <w:color w:val="000000"/>
          <w:kern w:val="2"/>
          <w:sz w:val="21"/>
          <w:szCs w:val="21"/>
          <w:highlight w:val="none"/>
          <w:lang w:val="en-US" w:eastAsia="zh-CN"/>
        </w:rPr>
        <w:t>5、服务响应时间：收到维护要求后4小时内作出响应，之后2个工作日内安排工程师上门，以确保设备的正常使用。</w:t>
      </w:r>
    </w:p>
    <w:p w14:paraId="7D0215F4">
      <w:pPr>
        <w:adjustRightInd w:val="0"/>
        <w:snapToGrid w:val="0"/>
        <w:spacing w:line="360" w:lineRule="auto"/>
        <w:ind w:right="-340" w:rightChars="-162"/>
        <w:rPr>
          <w:rFonts w:hint="eastAsia" w:ascii="仿宋" w:hAnsi="仿宋" w:eastAsia="仿宋" w:cs="仿宋"/>
          <w:b/>
          <w:color w:val="000000"/>
          <w:kern w:val="2"/>
          <w:sz w:val="21"/>
          <w:szCs w:val="21"/>
          <w:highlight w:val="none"/>
          <w:lang w:val="en-US" w:eastAsia="zh-CN"/>
        </w:rPr>
      </w:pPr>
      <w:r>
        <w:rPr>
          <w:rFonts w:hint="eastAsia" w:ascii="仿宋" w:hAnsi="仿宋" w:eastAsia="仿宋" w:cs="仿宋"/>
          <w:b/>
          <w:color w:val="000000"/>
          <w:kern w:val="2"/>
          <w:sz w:val="21"/>
          <w:szCs w:val="21"/>
          <w:highlight w:val="none"/>
          <w:lang w:val="en-US" w:eastAsia="zh-CN"/>
        </w:rPr>
        <w:t>（十一）纯水仪</w:t>
      </w:r>
    </w:p>
    <w:p w14:paraId="7E90537C">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1、合同期内，包含所有损坏的零部件费用及人工、差旅费用。</w:t>
      </w:r>
    </w:p>
    <w:p w14:paraId="6FEE0811">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2、每年提供1次维护保养及校准服务</w:t>
      </w:r>
    </w:p>
    <w:p w14:paraId="637AF214">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3、在维修过程中，如需更换配件，必须为全新正品配件，以保证仪器正常运行，避免使用方工作延误。</w:t>
      </w:r>
    </w:p>
    <w:p w14:paraId="386BE559">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4、维修范围（包括但不限于）：机身管路清洁、滤芯耗材定期更换、水路检漏、水箱消毒、压力检查及水质指标校准检测均在维修维保范围内，如有非核心配件损坏，需免费更换。</w:t>
      </w:r>
    </w:p>
    <w:p w14:paraId="1098821F">
      <w:pPr>
        <w:adjustRightInd w:val="0"/>
        <w:snapToGrid w:val="0"/>
        <w:spacing w:line="360" w:lineRule="auto"/>
        <w:ind w:left="421" w:leftChars="84" w:right="-340" w:rightChars="-162" w:hanging="245" w:hangingChars="117"/>
        <w:rPr>
          <w:rFonts w:hint="eastAsia" w:ascii="宋体" w:hAnsi="宋体" w:eastAsia="宋体" w:cs="宋体"/>
          <w:b w:val="0"/>
          <w:bCs w:val="0"/>
          <w:i w:val="0"/>
          <w:iCs w:val="0"/>
          <w:color w:val="000000"/>
          <w:kern w:val="0"/>
          <w:sz w:val="24"/>
          <w:szCs w:val="24"/>
          <w:u w:val="none"/>
          <w:lang w:val="en-US" w:eastAsia="zh-CN" w:bidi="ar"/>
        </w:rPr>
      </w:pPr>
      <w:r>
        <w:rPr>
          <w:rFonts w:hint="eastAsia" w:ascii="仿宋" w:hAnsi="仿宋" w:eastAsia="仿宋" w:cs="仿宋"/>
          <w:color w:val="000000"/>
          <w:kern w:val="2"/>
          <w:sz w:val="21"/>
          <w:szCs w:val="21"/>
          <w:highlight w:val="none"/>
          <w:lang w:val="en-US" w:eastAsia="zh-CN"/>
        </w:rPr>
        <w:t>5、服务响应时间：收到维护要求后4小时内作出响应，之后2个工作日内安排工程师上门，以确保设备的正常使用。</w:t>
      </w:r>
    </w:p>
    <w:p w14:paraId="0FDC2F0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b/>
          <w:color w:val="000000"/>
          <w:kern w:val="2"/>
          <w:sz w:val="21"/>
          <w:szCs w:val="21"/>
          <w:highlight w:val="none"/>
          <w:lang w:val="en-US" w:eastAsia="zh-CN"/>
        </w:rPr>
        <w:t>（十二）实验室维护</w:t>
      </w:r>
    </w:p>
    <w:p w14:paraId="6C7F96BB">
      <w:pPr>
        <w:adjustRightInd w:val="0"/>
        <w:snapToGrid w:val="0"/>
        <w:spacing w:line="360" w:lineRule="auto"/>
        <w:ind w:left="421" w:leftChars="84" w:right="-340" w:rightChars="-162" w:hanging="245" w:hangingChars="117"/>
        <w:rPr>
          <w:rFonts w:hint="default"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1.对实验室所有新风系统进行维修和保养，其中包括DNA实验室，理化实验室，痕迹实验室等。</w:t>
      </w:r>
    </w:p>
    <w:p w14:paraId="235733F2">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2.对3500平米实验楼进行室内整体清洁，除尘，对实验室空气环境进行检测。要求每月对实验室进行除尘8次以上。</w:t>
      </w:r>
    </w:p>
    <w:p w14:paraId="0BD0196E">
      <w:pPr>
        <w:adjustRightInd w:val="0"/>
        <w:snapToGrid w:val="0"/>
        <w:spacing w:line="360" w:lineRule="auto"/>
        <w:ind w:left="421" w:leftChars="84" w:right="-340" w:rightChars="-162" w:hanging="245" w:hangingChars="117"/>
        <w:rPr>
          <w:rFonts w:hint="eastAsia" w:ascii="仿宋" w:hAnsi="仿宋" w:eastAsia="仿宋" w:cs="仿宋"/>
          <w:color w:val="000000"/>
          <w:kern w:val="2"/>
          <w:sz w:val="21"/>
          <w:szCs w:val="21"/>
          <w:highlight w:val="none"/>
          <w:lang w:val="en-US" w:eastAsia="zh-CN"/>
        </w:rPr>
      </w:pPr>
      <w:r>
        <w:rPr>
          <w:rFonts w:hint="eastAsia" w:ascii="仿宋" w:hAnsi="仿宋" w:eastAsia="仿宋" w:cs="仿宋"/>
          <w:color w:val="000000"/>
          <w:kern w:val="2"/>
          <w:sz w:val="21"/>
          <w:szCs w:val="21"/>
          <w:highlight w:val="none"/>
          <w:lang w:val="en-US" w:eastAsia="zh-CN"/>
        </w:rPr>
        <w:t>3.对实验室所有设备进行拆机，搬迁以及安装调试，其中包括DNA实验室，理化实验室，痕迹实验室等所有设备。</w:t>
      </w:r>
    </w:p>
    <w:p w14:paraId="02386E1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仿宋" w:hAnsi="仿宋" w:eastAsia="仿宋" w:cs="仿宋"/>
          <w:b/>
          <w:color w:val="000000"/>
          <w:kern w:val="2"/>
          <w:sz w:val="21"/>
          <w:szCs w:val="21"/>
          <w:highlight w:val="none"/>
          <w:lang w:val="en-US" w:eastAsia="zh-CN"/>
        </w:rPr>
        <w:t>（十三）计量认证</w:t>
      </w:r>
    </w:p>
    <w:p w14:paraId="106146A7">
      <w:pPr>
        <w:rPr>
          <w:rFonts w:hint="eastAsia" w:ascii="Arial" w:hAnsi="Arial" w:eastAsia="仿宋_GB2312" w:cs="Times New Roman"/>
          <w:sz w:val="24"/>
          <w:lang w:val="en-US" w:eastAsia="zh-CN"/>
        </w:rPr>
      </w:pPr>
      <w:r>
        <w:rPr>
          <w:rFonts w:hint="eastAsia" w:ascii="仿宋" w:hAnsi="仿宋" w:eastAsia="仿宋" w:cs="仿宋"/>
          <w:color w:val="000000"/>
          <w:kern w:val="2"/>
          <w:sz w:val="21"/>
          <w:szCs w:val="21"/>
          <w:highlight w:val="none"/>
          <w:lang w:val="en-US" w:eastAsia="zh-CN"/>
        </w:rPr>
        <w:t>对以下设备：气质联用仪（1台）、气质联用仪（1台）、顶空气相色谱（1台）、离心机（1台）、移液枪（1套）、量筒（1套）、温度计（1台）紫外分光光度计（1台）电子天平（1台）；按照要求对设备进行计量认证。</w:t>
      </w:r>
    </w:p>
    <w:p w14:paraId="4C35E953">
      <w:pPr>
        <w:rPr>
          <w:rFonts w:hint="eastAsia" w:ascii="Arial" w:hAnsi="Arial" w:eastAsia="仿宋_GB2312" w:cs="Times New Roman"/>
          <w:sz w:val="24"/>
          <w:lang w:val="en-US" w:eastAsia="zh-CN"/>
        </w:rPr>
      </w:pPr>
      <w:r>
        <w:rPr>
          <w:rFonts w:hint="eastAsia" w:ascii="Arial" w:hAnsi="Arial" w:eastAsia="仿宋_GB2312" w:cs="Times New Roman"/>
          <w:sz w:val="24"/>
          <w:lang w:val="en-US" w:eastAsia="zh-CN"/>
        </w:rPr>
        <w:br w:type="page"/>
      </w:r>
    </w:p>
    <w:p w14:paraId="7F9CA5F1">
      <w:pPr>
        <w:pStyle w:val="12"/>
        <w:keepNext w:val="0"/>
        <w:keepLines w:val="0"/>
        <w:pageBreakBefore/>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olor w:val="auto"/>
          <w:kern w:val="0"/>
          <w:sz w:val="28"/>
          <w:szCs w:val="28"/>
          <w:highlight w:val="none"/>
        </w:rPr>
      </w:pPr>
      <w:bookmarkStart w:id="50" w:name="_Toc28840"/>
      <w:r>
        <w:rPr>
          <w:rFonts w:hint="eastAsia" w:ascii="黑体" w:hAnsi="黑体" w:eastAsia="黑体"/>
          <w:color w:val="auto"/>
          <w:kern w:val="0"/>
          <w:sz w:val="32"/>
          <w:szCs w:val="32"/>
          <w:highlight w:val="none"/>
          <w:lang w:val="en-US" w:eastAsia="zh-CN"/>
        </w:rPr>
        <w:t>第五章·</w:t>
      </w:r>
      <w:r>
        <w:rPr>
          <w:rFonts w:hint="eastAsia" w:ascii="黑体" w:hAnsi="黑体" w:eastAsia="黑体"/>
          <w:color w:val="auto"/>
          <w:kern w:val="0"/>
          <w:sz w:val="32"/>
          <w:szCs w:val="32"/>
          <w:highlight w:val="none"/>
        </w:rPr>
        <w:t>评审办法</w:t>
      </w:r>
      <w:bookmarkEnd w:id="50"/>
    </w:p>
    <w:p w14:paraId="2F43142B">
      <w:pPr>
        <w:spacing w:after="156" w:afterLines="50" w:line="360" w:lineRule="auto"/>
        <w:outlineLvl w:val="1"/>
        <w:rPr>
          <w:rFonts w:ascii="楷体" w:hAnsi="楷体" w:eastAsia="楷体" w:cs="Times New Roman"/>
          <w:color w:val="auto"/>
          <w:kern w:val="0"/>
          <w:sz w:val="28"/>
          <w:szCs w:val="28"/>
          <w:highlight w:val="none"/>
        </w:rPr>
      </w:pPr>
      <w:bookmarkStart w:id="51" w:name="_Toc519082493"/>
      <w:bookmarkStart w:id="52" w:name="_Toc5623"/>
      <w:r>
        <w:rPr>
          <w:rFonts w:hint="eastAsia" w:ascii="楷体" w:hAnsi="楷体" w:eastAsia="楷体" w:cs="Times New Roman"/>
          <w:color w:val="auto"/>
          <w:kern w:val="0"/>
          <w:sz w:val="28"/>
          <w:szCs w:val="28"/>
          <w:highlight w:val="none"/>
        </w:rPr>
        <w:t>1.相关要求</w:t>
      </w:r>
      <w:bookmarkEnd w:id="51"/>
      <w:bookmarkEnd w:id="52"/>
    </w:p>
    <w:p w14:paraId="22A620D1">
      <w:pPr>
        <w:spacing w:after="156" w:afterLines="50" w:line="360" w:lineRule="auto"/>
        <w:ind w:firstLine="480" w:firstLineChars="200"/>
        <w:outlineLvl w:val="9"/>
        <w:rPr>
          <w:rFonts w:hint="eastAsia" w:ascii="仿宋" w:hAnsi="仿宋" w:eastAsia="仿宋" w:cs="Times New Roman"/>
          <w:color w:val="auto"/>
          <w:kern w:val="0"/>
          <w:sz w:val="24"/>
          <w:szCs w:val="24"/>
          <w:highlight w:val="none"/>
        </w:rPr>
      </w:pPr>
      <w:bookmarkStart w:id="53" w:name="_Toc519082494"/>
      <w:bookmarkStart w:id="54" w:name="_Toc494455918"/>
      <w:r>
        <w:rPr>
          <w:rFonts w:hint="eastAsia" w:ascii="仿宋" w:hAnsi="仿宋" w:eastAsia="仿宋" w:cs="Times New Roman"/>
          <w:color w:val="auto"/>
          <w:kern w:val="0"/>
          <w:sz w:val="24"/>
          <w:szCs w:val="24"/>
          <w:highlight w:val="none"/>
        </w:rPr>
        <w:t>1.经磋商确定最终采购需求和提交最后报价的供应商后，由磋商小组采用综合评分法对提交最后报价的供应商的响应文件和最后报价进行综合评分。</w:t>
      </w:r>
    </w:p>
    <w:p w14:paraId="4F10BB55">
      <w:pPr>
        <w:spacing w:after="156" w:afterLines="50" w:line="360" w:lineRule="auto"/>
        <w:ind w:firstLine="480" w:firstLineChars="200"/>
        <w:outlineLvl w:val="9"/>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综合评分法，是指响应文件满足磋商文件全部实质性要求且按评审因素的量化指标评审得分最高的供应商为成交候选供应商的评审方法。</w:t>
      </w:r>
    </w:p>
    <w:p w14:paraId="03AB859F">
      <w:pPr>
        <w:spacing w:after="156" w:afterLines="50" w:line="360" w:lineRule="auto"/>
        <w:ind w:firstLine="480" w:firstLineChars="200"/>
        <w:outlineLvl w:val="9"/>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2.评审时，磋商小组各成员应当独立对每个有效响应的文件进行评价、打分，然后汇总每个供应商每项评分因素的得分。</w:t>
      </w:r>
    </w:p>
    <w:p w14:paraId="4DB33D17">
      <w:pPr>
        <w:spacing w:after="156" w:afterLines="50" w:line="360" w:lineRule="auto"/>
        <w:ind w:firstLine="480" w:firstLineChars="200"/>
        <w:outlineLvl w:val="9"/>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14:paraId="22C2D26C">
      <w:pPr>
        <w:spacing w:after="156" w:afterLines="50" w:line="360" w:lineRule="auto"/>
        <w:outlineLvl w:val="1"/>
        <w:rPr>
          <w:rFonts w:hint="eastAsia" w:ascii="楷体" w:hAnsi="楷体" w:eastAsia="楷体" w:cs="Times New Roman"/>
          <w:color w:val="auto"/>
          <w:kern w:val="0"/>
          <w:sz w:val="28"/>
          <w:szCs w:val="28"/>
          <w:highlight w:val="none"/>
        </w:rPr>
      </w:pPr>
      <w:bookmarkStart w:id="55" w:name="_Toc4551"/>
      <w:r>
        <w:rPr>
          <w:rFonts w:hint="eastAsia" w:ascii="楷体" w:hAnsi="楷体" w:eastAsia="楷体" w:cs="Times New Roman"/>
          <w:color w:val="auto"/>
          <w:kern w:val="0"/>
          <w:sz w:val="28"/>
          <w:szCs w:val="28"/>
          <w:highlight w:val="none"/>
        </w:rPr>
        <w:t>2.评分标准</w:t>
      </w:r>
      <w:bookmarkEnd w:id="53"/>
      <w:bookmarkEnd w:id="54"/>
      <w:bookmarkEnd w:id="55"/>
    </w:p>
    <w:p w14:paraId="666E703E">
      <w:pPr>
        <w:spacing w:afterLines="50" w:line="400" w:lineRule="exact"/>
        <w:ind w:firstLine="480" w:firstLineChars="200"/>
        <w:outlineLvl w:val="2"/>
        <w:rPr>
          <w:rFonts w:ascii="楷体" w:hAnsi="楷体" w:eastAsia="楷体" w:cs="Times New Roman"/>
          <w:color w:val="auto"/>
          <w:kern w:val="0"/>
          <w:sz w:val="24"/>
          <w:szCs w:val="24"/>
          <w:highlight w:val="none"/>
        </w:rPr>
      </w:pPr>
      <w:bookmarkStart w:id="56" w:name="_Toc20449"/>
      <w:r>
        <w:rPr>
          <w:rFonts w:hint="eastAsia" w:ascii="楷体" w:hAnsi="楷体" w:eastAsia="楷体" w:cs="Times New Roman"/>
          <w:color w:val="auto"/>
          <w:kern w:val="0"/>
          <w:sz w:val="24"/>
          <w:szCs w:val="24"/>
          <w:highlight w:val="none"/>
        </w:rPr>
        <w:t>2.1评分因素以及分值</w:t>
      </w:r>
      <w:bookmarkEnd w:id="56"/>
    </w:p>
    <w:tbl>
      <w:tblPr>
        <w:tblStyle w:val="26"/>
        <w:tblW w:w="83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8"/>
        <w:gridCol w:w="2195"/>
        <w:gridCol w:w="2414"/>
        <w:gridCol w:w="1827"/>
      </w:tblGrid>
      <w:tr w14:paraId="6AE98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868" w:type="dxa"/>
            <w:noWrap w:val="0"/>
            <w:vAlign w:val="top"/>
          </w:tcPr>
          <w:p w14:paraId="0F0A6423">
            <w:pPr>
              <w:pStyle w:val="25"/>
              <w:spacing w:before="125" w:line="219" w:lineRule="auto"/>
              <w:ind w:left="504"/>
              <w:rPr>
                <w:color w:val="auto"/>
                <w:kern w:val="0"/>
                <w:sz w:val="24"/>
                <w:szCs w:val="24"/>
                <w:highlight w:val="none"/>
              </w:rPr>
            </w:pPr>
            <w:r>
              <w:rPr>
                <w:color w:val="auto"/>
                <w:spacing w:val="-2"/>
                <w:kern w:val="0"/>
                <w:sz w:val="24"/>
                <w:szCs w:val="24"/>
                <w:highlight w:val="none"/>
              </w:rPr>
              <w:t>评分因素</w:t>
            </w:r>
          </w:p>
        </w:tc>
        <w:tc>
          <w:tcPr>
            <w:tcW w:w="2195" w:type="dxa"/>
            <w:noWrap w:val="0"/>
            <w:vAlign w:val="top"/>
          </w:tcPr>
          <w:p w14:paraId="73A9608A">
            <w:pPr>
              <w:pStyle w:val="25"/>
              <w:spacing w:before="125" w:line="219" w:lineRule="auto"/>
              <w:ind w:left="771"/>
              <w:rPr>
                <w:color w:val="auto"/>
                <w:kern w:val="0"/>
                <w:sz w:val="24"/>
                <w:szCs w:val="24"/>
                <w:highlight w:val="none"/>
              </w:rPr>
            </w:pPr>
            <w:r>
              <w:rPr>
                <w:rFonts w:hint="eastAsia"/>
                <w:color w:val="auto"/>
                <w:spacing w:val="2"/>
                <w:kern w:val="0"/>
                <w:sz w:val="24"/>
                <w:szCs w:val="24"/>
                <w:highlight w:val="none"/>
                <w:lang w:val="en-US" w:eastAsia="zh-CN"/>
              </w:rPr>
              <w:t>报价</w:t>
            </w:r>
            <w:r>
              <w:rPr>
                <w:color w:val="auto"/>
                <w:spacing w:val="2"/>
                <w:kern w:val="0"/>
                <w:sz w:val="24"/>
                <w:szCs w:val="24"/>
                <w:highlight w:val="none"/>
              </w:rPr>
              <w:t>部分</w:t>
            </w:r>
          </w:p>
        </w:tc>
        <w:tc>
          <w:tcPr>
            <w:tcW w:w="2414" w:type="dxa"/>
            <w:noWrap w:val="0"/>
            <w:vAlign w:val="top"/>
          </w:tcPr>
          <w:p w14:paraId="136D262F">
            <w:pPr>
              <w:pStyle w:val="25"/>
              <w:spacing w:before="125" w:line="219" w:lineRule="auto"/>
              <w:ind w:left="795"/>
              <w:rPr>
                <w:color w:val="auto"/>
                <w:kern w:val="0"/>
                <w:sz w:val="24"/>
                <w:szCs w:val="24"/>
                <w:highlight w:val="none"/>
              </w:rPr>
            </w:pPr>
            <w:r>
              <w:rPr>
                <w:color w:val="auto"/>
                <w:spacing w:val="2"/>
                <w:kern w:val="0"/>
                <w:sz w:val="24"/>
                <w:szCs w:val="24"/>
                <w:highlight w:val="none"/>
              </w:rPr>
              <w:t>技术</w:t>
            </w:r>
            <w:r>
              <w:rPr>
                <w:rFonts w:hint="eastAsia"/>
                <w:color w:val="auto"/>
                <w:spacing w:val="2"/>
                <w:kern w:val="0"/>
                <w:sz w:val="24"/>
                <w:szCs w:val="24"/>
                <w:highlight w:val="none"/>
                <w:lang w:val="en-US" w:eastAsia="zh-CN"/>
              </w:rPr>
              <w:t>商务</w:t>
            </w:r>
            <w:r>
              <w:rPr>
                <w:color w:val="auto"/>
                <w:spacing w:val="2"/>
                <w:kern w:val="0"/>
                <w:sz w:val="24"/>
                <w:szCs w:val="24"/>
                <w:highlight w:val="none"/>
              </w:rPr>
              <w:t>部分</w:t>
            </w:r>
          </w:p>
        </w:tc>
        <w:tc>
          <w:tcPr>
            <w:tcW w:w="1827" w:type="dxa"/>
            <w:noWrap w:val="0"/>
            <w:vAlign w:val="top"/>
          </w:tcPr>
          <w:p w14:paraId="0D542686">
            <w:pPr>
              <w:pStyle w:val="25"/>
              <w:spacing w:before="125" w:line="220" w:lineRule="auto"/>
              <w:ind w:left="938"/>
              <w:rPr>
                <w:color w:val="auto"/>
                <w:kern w:val="0"/>
                <w:sz w:val="24"/>
                <w:szCs w:val="24"/>
                <w:highlight w:val="none"/>
              </w:rPr>
            </w:pPr>
            <w:r>
              <w:rPr>
                <w:color w:val="auto"/>
                <w:spacing w:val="5"/>
                <w:kern w:val="0"/>
                <w:sz w:val="24"/>
                <w:szCs w:val="24"/>
                <w:highlight w:val="none"/>
              </w:rPr>
              <w:t>总分</w:t>
            </w:r>
          </w:p>
        </w:tc>
      </w:tr>
      <w:tr w14:paraId="53A52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868" w:type="dxa"/>
            <w:noWrap w:val="0"/>
            <w:vAlign w:val="top"/>
          </w:tcPr>
          <w:p w14:paraId="311D926E">
            <w:pPr>
              <w:pStyle w:val="25"/>
              <w:spacing w:before="205" w:line="219" w:lineRule="auto"/>
              <w:ind w:left="504"/>
              <w:rPr>
                <w:color w:val="auto"/>
                <w:kern w:val="0"/>
                <w:sz w:val="24"/>
                <w:szCs w:val="24"/>
                <w:highlight w:val="none"/>
              </w:rPr>
            </w:pPr>
            <w:r>
              <w:rPr>
                <w:color w:val="auto"/>
                <w:spacing w:val="2"/>
                <w:kern w:val="0"/>
                <w:sz w:val="24"/>
                <w:szCs w:val="24"/>
                <w:highlight w:val="none"/>
              </w:rPr>
              <w:t>分值比重</w:t>
            </w:r>
          </w:p>
        </w:tc>
        <w:tc>
          <w:tcPr>
            <w:tcW w:w="2195" w:type="dxa"/>
            <w:noWrap w:val="0"/>
            <w:vAlign w:val="top"/>
          </w:tcPr>
          <w:p w14:paraId="380CFCCD">
            <w:pPr>
              <w:pStyle w:val="25"/>
              <w:spacing w:before="205" w:line="220" w:lineRule="auto"/>
              <w:ind w:left="1011"/>
              <w:rPr>
                <w:color w:val="auto"/>
                <w:kern w:val="0"/>
                <w:sz w:val="24"/>
                <w:szCs w:val="24"/>
                <w:highlight w:val="none"/>
              </w:rPr>
            </w:pPr>
            <w:r>
              <w:rPr>
                <w:rFonts w:hint="eastAsia"/>
                <w:color w:val="auto"/>
                <w:spacing w:val="3"/>
                <w:kern w:val="0"/>
                <w:sz w:val="24"/>
                <w:szCs w:val="24"/>
                <w:highlight w:val="none"/>
                <w:lang w:val="en-US" w:eastAsia="zh-CN"/>
              </w:rPr>
              <w:t>10</w:t>
            </w:r>
            <w:r>
              <w:rPr>
                <w:color w:val="auto"/>
                <w:spacing w:val="3"/>
                <w:kern w:val="0"/>
                <w:sz w:val="24"/>
                <w:szCs w:val="24"/>
                <w:highlight w:val="none"/>
              </w:rPr>
              <w:t>分</w:t>
            </w:r>
          </w:p>
        </w:tc>
        <w:tc>
          <w:tcPr>
            <w:tcW w:w="2414" w:type="dxa"/>
            <w:noWrap w:val="0"/>
            <w:vAlign w:val="top"/>
          </w:tcPr>
          <w:p w14:paraId="3B923712">
            <w:pPr>
              <w:pStyle w:val="25"/>
              <w:spacing w:before="205" w:line="220" w:lineRule="auto"/>
              <w:ind w:left="1034"/>
              <w:rPr>
                <w:color w:val="auto"/>
                <w:kern w:val="0"/>
                <w:sz w:val="24"/>
                <w:szCs w:val="24"/>
                <w:highlight w:val="none"/>
              </w:rPr>
            </w:pPr>
            <w:r>
              <w:rPr>
                <w:rFonts w:hint="eastAsia"/>
                <w:color w:val="auto"/>
                <w:spacing w:val="3"/>
                <w:kern w:val="0"/>
                <w:sz w:val="24"/>
                <w:szCs w:val="24"/>
                <w:highlight w:val="none"/>
                <w:lang w:val="en-US" w:eastAsia="zh-CN"/>
              </w:rPr>
              <w:t>90</w:t>
            </w:r>
            <w:r>
              <w:rPr>
                <w:color w:val="auto"/>
                <w:spacing w:val="3"/>
                <w:kern w:val="0"/>
                <w:sz w:val="24"/>
                <w:szCs w:val="24"/>
                <w:highlight w:val="none"/>
              </w:rPr>
              <w:t>分</w:t>
            </w:r>
          </w:p>
        </w:tc>
        <w:tc>
          <w:tcPr>
            <w:tcW w:w="1827" w:type="dxa"/>
            <w:noWrap w:val="0"/>
            <w:vAlign w:val="top"/>
          </w:tcPr>
          <w:p w14:paraId="030E87D3">
            <w:pPr>
              <w:pStyle w:val="25"/>
              <w:spacing w:before="145" w:line="220" w:lineRule="auto"/>
              <w:ind w:left="877"/>
              <w:rPr>
                <w:color w:val="auto"/>
                <w:kern w:val="0"/>
                <w:sz w:val="24"/>
                <w:szCs w:val="24"/>
                <w:highlight w:val="none"/>
              </w:rPr>
            </w:pPr>
            <w:r>
              <w:rPr>
                <w:color w:val="auto"/>
                <w:spacing w:val="2"/>
                <w:kern w:val="0"/>
                <w:sz w:val="24"/>
                <w:szCs w:val="24"/>
                <w:highlight w:val="none"/>
              </w:rPr>
              <w:t>100分</w:t>
            </w:r>
          </w:p>
        </w:tc>
      </w:tr>
    </w:tbl>
    <w:p w14:paraId="75596885">
      <w:pPr>
        <w:spacing w:before="79" w:line="223" w:lineRule="auto"/>
        <w:ind w:left="585"/>
        <w:rPr>
          <w:rFonts w:ascii="楷体" w:hAnsi="楷体" w:eastAsia="楷体" w:cs="楷体"/>
          <w:color w:val="auto"/>
          <w:kern w:val="0"/>
          <w:sz w:val="24"/>
          <w:szCs w:val="24"/>
          <w:highlight w:val="none"/>
        </w:rPr>
      </w:pPr>
      <w:r>
        <w:rPr>
          <w:rFonts w:ascii="楷体" w:hAnsi="楷体" w:eastAsia="楷体" w:cs="楷体"/>
          <w:color w:val="auto"/>
          <w:spacing w:val="1"/>
          <w:kern w:val="0"/>
          <w:sz w:val="24"/>
          <w:szCs w:val="24"/>
          <w:highlight w:val="none"/>
        </w:rPr>
        <w:t>2.2初步评审表</w:t>
      </w:r>
    </w:p>
    <w:tbl>
      <w:tblPr>
        <w:tblStyle w:val="26"/>
        <w:tblW w:w="83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7"/>
        <w:gridCol w:w="874"/>
        <w:gridCol w:w="6453"/>
      </w:tblGrid>
      <w:tr w14:paraId="5B8E5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1851" w:type="dxa"/>
            <w:gridSpan w:val="2"/>
            <w:noWrap w:val="0"/>
            <w:vAlign w:val="top"/>
          </w:tcPr>
          <w:p w14:paraId="4DA35FFB">
            <w:pPr>
              <w:pStyle w:val="25"/>
              <w:spacing w:before="131" w:line="219" w:lineRule="auto"/>
              <w:ind w:left="1088"/>
              <w:rPr>
                <w:rFonts w:hint="eastAsia" w:ascii="仿宋" w:hAnsi="仿宋" w:eastAsia="仿宋" w:cs="仿宋"/>
                <w:b w:val="0"/>
                <w:bCs w:val="0"/>
                <w:color w:val="auto"/>
                <w:kern w:val="0"/>
                <w:highlight w:val="none"/>
              </w:rPr>
            </w:pPr>
            <w:r>
              <w:rPr>
                <w:rFonts w:hint="eastAsia" w:ascii="仿宋" w:hAnsi="仿宋" w:eastAsia="仿宋" w:cs="仿宋"/>
                <w:b w:val="0"/>
                <w:bCs w:val="0"/>
                <w:color w:val="auto"/>
                <w:spacing w:val="-5"/>
                <w:kern w:val="0"/>
                <w:highlight w:val="none"/>
              </w:rPr>
              <w:t>条款号</w:t>
            </w:r>
          </w:p>
        </w:tc>
        <w:tc>
          <w:tcPr>
            <w:tcW w:w="6453" w:type="dxa"/>
            <w:noWrap w:val="0"/>
            <w:vAlign w:val="top"/>
          </w:tcPr>
          <w:p w14:paraId="798CEA13">
            <w:pPr>
              <w:pStyle w:val="25"/>
              <w:spacing w:before="131" w:line="220" w:lineRule="auto"/>
              <w:ind w:left="2837"/>
              <w:rPr>
                <w:rFonts w:hint="eastAsia" w:ascii="仿宋" w:hAnsi="仿宋" w:eastAsia="仿宋" w:cs="仿宋"/>
                <w:b w:val="0"/>
                <w:bCs w:val="0"/>
                <w:color w:val="auto"/>
                <w:kern w:val="0"/>
                <w:highlight w:val="none"/>
              </w:rPr>
            </w:pPr>
            <w:r>
              <w:rPr>
                <w:rFonts w:hint="eastAsia" w:ascii="仿宋" w:hAnsi="仿宋" w:eastAsia="仿宋" w:cs="仿宋"/>
                <w:b w:val="0"/>
                <w:bCs w:val="0"/>
                <w:color w:val="auto"/>
                <w:spacing w:val="-4"/>
                <w:kern w:val="0"/>
                <w:highlight w:val="none"/>
              </w:rPr>
              <w:t>评审标准</w:t>
            </w:r>
          </w:p>
        </w:tc>
      </w:tr>
      <w:tr w14:paraId="4CD7F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977" w:type="dxa"/>
            <w:vMerge w:val="restart"/>
            <w:noWrap w:val="0"/>
            <w:vAlign w:val="top"/>
          </w:tcPr>
          <w:p w14:paraId="3F918ABA">
            <w:pPr>
              <w:spacing w:line="261" w:lineRule="auto"/>
              <w:rPr>
                <w:rFonts w:hint="eastAsia" w:ascii="仿宋" w:hAnsi="仿宋" w:eastAsia="仿宋" w:cs="仿宋"/>
                <w:b w:val="0"/>
                <w:bCs w:val="0"/>
                <w:color w:val="auto"/>
                <w:kern w:val="0"/>
                <w:sz w:val="21"/>
                <w:highlight w:val="none"/>
              </w:rPr>
            </w:pPr>
          </w:p>
          <w:p w14:paraId="2F40BD08">
            <w:pPr>
              <w:spacing w:line="261" w:lineRule="auto"/>
              <w:rPr>
                <w:rFonts w:hint="eastAsia" w:ascii="仿宋" w:hAnsi="仿宋" w:eastAsia="仿宋" w:cs="仿宋"/>
                <w:b w:val="0"/>
                <w:bCs w:val="0"/>
                <w:color w:val="auto"/>
                <w:kern w:val="0"/>
                <w:sz w:val="21"/>
                <w:highlight w:val="none"/>
              </w:rPr>
            </w:pPr>
          </w:p>
          <w:p w14:paraId="3BB1BFD5">
            <w:pPr>
              <w:spacing w:line="262" w:lineRule="auto"/>
              <w:rPr>
                <w:rFonts w:hint="eastAsia" w:ascii="仿宋" w:hAnsi="仿宋" w:eastAsia="仿宋" w:cs="仿宋"/>
                <w:b w:val="0"/>
                <w:bCs w:val="0"/>
                <w:color w:val="auto"/>
                <w:kern w:val="0"/>
                <w:sz w:val="21"/>
                <w:highlight w:val="none"/>
              </w:rPr>
            </w:pPr>
          </w:p>
          <w:p w14:paraId="7EA845F4">
            <w:pPr>
              <w:spacing w:line="262" w:lineRule="auto"/>
              <w:rPr>
                <w:rFonts w:hint="eastAsia" w:ascii="仿宋" w:hAnsi="仿宋" w:eastAsia="仿宋" w:cs="仿宋"/>
                <w:b w:val="0"/>
                <w:bCs w:val="0"/>
                <w:color w:val="auto"/>
                <w:kern w:val="0"/>
                <w:sz w:val="21"/>
                <w:highlight w:val="none"/>
              </w:rPr>
            </w:pPr>
          </w:p>
          <w:p w14:paraId="5B5DC48E">
            <w:pPr>
              <w:spacing w:line="262" w:lineRule="auto"/>
              <w:rPr>
                <w:rFonts w:hint="eastAsia" w:ascii="仿宋" w:hAnsi="仿宋" w:eastAsia="仿宋" w:cs="仿宋"/>
                <w:b w:val="0"/>
                <w:bCs w:val="0"/>
                <w:color w:val="auto"/>
                <w:kern w:val="0"/>
                <w:sz w:val="21"/>
                <w:highlight w:val="none"/>
              </w:rPr>
            </w:pPr>
          </w:p>
          <w:p w14:paraId="4F5E2A00">
            <w:pPr>
              <w:spacing w:line="262" w:lineRule="auto"/>
              <w:rPr>
                <w:rFonts w:hint="eastAsia" w:ascii="仿宋" w:hAnsi="仿宋" w:eastAsia="仿宋" w:cs="仿宋"/>
                <w:b w:val="0"/>
                <w:bCs w:val="0"/>
                <w:color w:val="auto"/>
                <w:kern w:val="0"/>
                <w:sz w:val="21"/>
                <w:highlight w:val="none"/>
              </w:rPr>
            </w:pPr>
          </w:p>
          <w:p w14:paraId="67D7EF3E">
            <w:pPr>
              <w:spacing w:line="262" w:lineRule="auto"/>
              <w:rPr>
                <w:rFonts w:hint="eastAsia" w:ascii="仿宋" w:hAnsi="仿宋" w:eastAsia="仿宋" w:cs="仿宋"/>
                <w:b w:val="0"/>
                <w:bCs w:val="0"/>
                <w:color w:val="auto"/>
                <w:kern w:val="0"/>
                <w:sz w:val="21"/>
                <w:highlight w:val="none"/>
              </w:rPr>
            </w:pPr>
          </w:p>
          <w:p w14:paraId="535223A3">
            <w:pPr>
              <w:pStyle w:val="25"/>
              <w:spacing w:before="75" w:line="184" w:lineRule="auto"/>
              <w:ind w:left="394"/>
              <w:rPr>
                <w:rFonts w:hint="eastAsia" w:ascii="仿宋" w:hAnsi="仿宋" w:eastAsia="仿宋" w:cs="仿宋"/>
                <w:b w:val="0"/>
                <w:bCs w:val="0"/>
                <w:color w:val="auto"/>
                <w:kern w:val="0"/>
                <w:highlight w:val="none"/>
              </w:rPr>
            </w:pPr>
            <w:r>
              <w:rPr>
                <w:rFonts w:hint="eastAsia" w:ascii="仿宋" w:hAnsi="仿宋" w:eastAsia="仿宋" w:cs="仿宋"/>
                <w:b w:val="0"/>
                <w:bCs w:val="0"/>
                <w:color w:val="auto"/>
                <w:spacing w:val="-2"/>
                <w:kern w:val="0"/>
                <w:highlight w:val="none"/>
              </w:rPr>
              <w:t>2.2.1</w:t>
            </w:r>
          </w:p>
        </w:tc>
        <w:tc>
          <w:tcPr>
            <w:tcW w:w="874" w:type="dxa"/>
            <w:vMerge w:val="restart"/>
            <w:noWrap w:val="0"/>
            <w:vAlign w:val="top"/>
          </w:tcPr>
          <w:p w14:paraId="3EF7FDAE">
            <w:pPr>
              <w:spacing w:line="253" w:lineRule="auto"/>
              <w:rPr>
                <w:rFonts w:hint="eastAsia" w:ascii="仿宋" w:hAnsi="仿宋" w:eastAsia="仿宋" w:cs="仿宋"/>
                <w:b w:val="0"/>
                <w:bCs w:val="0"/>
                <w:color w:val="auto"/>
                <w:kern w:val="0"/>
                <w:sz w:val="21"/>
                <w:highlight w:val="none"/>
              </w:rPr>
            </w:pPr>
          </w:p>
          <w:p w14:paraId="210C8728">
            <w:pPr>
              <w:spacing w:line="253" w:lineRule="auto"/>
              <w:rPr>
                <w:rFonts w:hint="eastAsia" w:ascii="仿宋" w:hAnsi="仿宋" w:eastAsia="仿宋" w:cs="仿宋"/>
                <w:b w:val="0"/>
                <w:bCs w:val="0"/>
                <w:color w:val="auto"/>
                <w:kern w:val="0"/>
                <w:sz w:val="21"/>
                <w:highlight w:val="none"/>
              </w:rPr>
            </w:pPr>
          </w:p>
          <w:p w14:paraId="20B0C17E">
            <w:pPr>
              <w:spacing w:line="253" w:lineRule="auto"/>
              <w:rPr>
                <w:rFonts w:hint="eastAsia" w:ascii="仿宋" w:hAnsi="仿宋" w:eastAsia="仿宋" w:cs="仿宋"/>
                <w:b w:val="0"/>
                <w:bCs w:val="0"/>
                <w:color w:val="auto"/>
                <w:kern w:val="0"/>
                <w:sz w:val="21"/>
                <w:highlight w:val="none"/>
              </w:rPr>
            </w:pPr>
          </w:p>
          <w:p w14:paraId="21E828BD">
            <w:pPr>
              <w:spacing w:line="253" w:lineRule="auto"/>
              <w:rPr>
                <w:rFonts w:hint="eastAsia" w:ascii="仿宋" w:hAnsi="仿宋" w:eastAsia="仿宋" w:cs="仿宋"/>
                <w:b w:val="0"/>
                <w:bCs w:val="0"/>
                <w:color w:val="auto"/>
                <w:kern w:val="0"/>
                <w:sz w:val="21"/>
                <w:highlight w:val="none"/>
              </w:rPr>
            </w:pPr>
          </w:p>
          <w:p w14:paraId="344D986A">
            <w:pPr>
              <w:spacing w:line="254" w:lineRule="auto"/>
              <w:rPr>
                <w:rFonts w:hint="eastAsia" w:ascii="仿宋" w:hAnsi="仿宋" w:eastAsia="仿宋" w:cs="仿宋"/>
                <w:b w:val="0"/>
                <w:bCs w:val="0"/>
                <w:color w:val="auto"/>
                <w:kern w:val="0"/>
                <w:sz w:val="21"/>
                <w:highlight w:val="none"/>
              </w:rPr>
            </w:pPr>
          </w:p>
          <w:p w14:paraId="327888B3">
            <w:pPr>
              <w:spacing w:line="254" w:lineRule="auto"/>
              <w:rPr>
                <w:rFonts w:hint="eastAsia" w:ascii="仿宋" w:hAnsi="仿宋" w:eastAsia="仿宋" w:cs="仿宋"/>
                <w:b w:val="0"/>
                <w:bCs w:val="0"/>
                <w:color w:val="auto"/>
                <w:kern w:val="0"/>
                <w:sz w:val="21"/>
                <w:highlight w:val="none"/>
              </w:rPr>
            </w:pPr>
          </w:p>
          <w:p w14:paraId="5BD2183E">
            <w:pPr>
              <w:spacing w:line="254" w:lineRule="auto"/>
              <w:rPr>
                <w:rFonts w:hint="eastAsia" w:ascii="仿宋" w:hAnsi="仿宋" w:eastAsia="仿宋" w:cs="仿宋"/>
                <w:b w:val="0"/>
                <w:bCs w:val="0"/>
                <w:color w:val="auto"/>
                <w:kern w:val="0"/>
                <w:sz w:val="21"/>
                <w:highlight w:val="none"/>
              </w:rPr>
            </w:pPr>
          </w:p>
          <w:p w14:paraId="1C87981A">
            <w:pPr>
              <w:pStyle w:val="25"/>
              <w:spacing w:before="75" w:line="219" w:lineRule="auto"/>
              <w:ind w:left="161"/>
              <w:rPr>
                <w:rFonts w:hint="eastAsia" w:ascii="仿宋" w:hAnsi="仿宋" w:eastAsia="仿宋" w:cs="仿宋"/>
                <w:b w:val="0"/>
                <w:bCs w:val="0"/>
                <w:color w:val="auto"/>
                <w:kern w:val="0"/>
                <w:highlight w:val="none"/>
              </w:rPr>
            </w:pPr>
            <w:r>
              <w:rPr>
                <w:rFonts w:hint="eastAsia" w:ascii="仿宋" w:hAnsi="仿宋" w:eastAsia="仿宋" w:cs="仿宋"/>
                <w:b w:val="0"/>
                <w:bCs w:val="0"/>
                <w:color w:val="auto"/>
                <w:spacing w:val="2"/>
                <w:kern w:val="0"/>
                <w:highlight w:val="none"/>
              </w:rPr>
              <w:t>资格性审查</w:t>
            </w:r>
          </w:p>
        </w:tc>
        <w:tc>
          <w:tcPr>
            <w:tcW w:w="6453" w:type="dxa"/>
            <w:noWrap w:val="0"/>
            <w:vAlign w:val="top"/>
          </w:tcPr>
          <w:p w14:paraId="3BDF30E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b w:val="0"/>
                <w:bCs w:val="0"/>
                <w:color w:val="auto"/>
                <w:highlight w:val="none"/>
              </w:rPr>
            </w:pPr>
            <w:r>
              <w:rPr>
                <w:rFonts w:hint="eastAsia" w:ascii="仿宋" w:hAnsi="仿宋" w:eastAsia="仿宋" w:cs="仿宋"/>
                <w:b/>
                <w:bCs/>
                <w:color w:val="auto"/>
                <w:sz w:val="24"/>
                <w:szCs w:val="24"/>
                <w:highlight w:val="none"/>
                <w:lang w:val="zh-CN"/>
              </w:rPr>
              <w:t>（1）具有独立承担民事责任的能力</w:t>
            </w:r>
            <w:r>
              <w:rPr>
                <w:rFonts w:hint="eastAsia" w:ascii="仿宋" w:hAnsi="仿宋" w:eastAsia="仿宋" w:cs="仿宋"/>
                <w:color w:val="auto"/>
                <w:sz w:val="24"/>
                <w:szCs w:val="24"/>
                <w:highlight w:val="none"/>
                <w:lang w:val="zh-CN"/>
              </w:rPr>
              <w:t>：</w:t>
            </w:r>
            <w:r>
              <w:rPr>
                <w:rFonts w:hint="eastAsia" w:ascii="仿宋" w:hAnsi="仿宋" w:cs="仿宋"/>
                <w:color w:val="auto"/>
                <w:sz w:val="24"/>
                <w:szCs w:val="24"/>
                <w:highlight w:val="none"/>
                <w:lang w:val="zh-CN"/>
              </w:rPr>
              <w:t>具有有效经年检的三证合一营业执照</w:t>
            </w:r>
          </w:p>
        </w:tc>
      </w:tr>
      <w:tr w14:paraId="1A5D6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977" w:type="dxa"/>
            <w:vMerge w:val="continue"/>
            <w:noWrap w:val="0"/>
            <w:vAlign w:val="top"/>
          </w:tcPr>
          <w:p w14:paraId="0EA197B9">
            <w:pPr>
              <w:rPr>
                <w:rFonts w:hint="eastAsia" w:ascii="仿宋" w:hAnsi="仿宋" w:eastAsia="仿宋" w:cs="仿宋"/>
                <w:b w:val="0"/>
                <w:bCs w:val="0"/>
                <w:color w:val="auto"/>
                <w:kern w:val="0"/>
                <w:sz w:val="21"/>
                <w:highlight w:val="none"/>
              </w:rPr>
            </w:pPr>
          </w:p>
        </w:tc>
        <w:tc>
          <w:tcPr>
            <w:tcW w:w="874" w:type="dxa"/>
            <w:vMerge w:val="continue"/>
            <w:noWrap w:val="0"/>
            <w:vAlign w:val="top"/>
          </w:tcPr>
          <w:p w14:paraId="34A1237E">
            <w:pPr>
              <w:rPr>
                <w:rFonts w:hint="eastAsia" w:ascii="仿宋" w:hAnsi="仿宋" w:eastAsia="仿宋" w:cs="仿宋"/>
                <w:b w:val="0"/>
                <w:bCs w:val="0"/>
                <w:color w:val="auto"/>
                <w:kern w:val="0"/>
                <w:sz w:val="21"/>
                <w:highlight w:val="none"/>
              </w:rPr>
            </w:pPr>
          </w:p>
        </w:tc>
        <w:tc>
          <w:tcPr>
            <w:tcW w:w="6453" w:type="dxa"/>
            <w:noWrap w:val="0"/>
            <w:vAlign w:val="top"/>
          </w:tcPr>
          <w:p w14:paraId="044563B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b w:val="0"/>
                <w:bCs w:val="0"/>
                <w:color w:val="auto"/>
                <w:highlight w:val="none"/>
              </w:rPr>
            </w:pPr>
            <w:r>
              <w:rPr>
                <w:rFonts w:hint="eastAsia" w:ascii="仿宋" w:hAnsi="仿宋" w:eastAsia="仿宋" w:cs="仿宋"/>
                <w:b/>
                <w:bCs/>
                <w:color w:val="auto"/>
                <w:sz w:val="24"/>
                <w:szCs w:val="24"/>
                <w:highlight w:val="none"/>
                <w:lang w:val="zh-CN"/>
              </w:rPr>
              <w:t>（2）具有良好的商业信誉和健全的财务会计制度：</w:t>
            </w:r>
            <w:r>
              <w:rPr>
                <w:rFonts w:hint="eastAsia" w:ascii="仿宋" w:hAnsi="仿宋" w:eastAsia="仿宋" w:cs="仿宋"/>
                <w:color w:val="auto"/>
                <w:sz w:val="24"/>
                <w:szCs w:val="24"/>
                <w:highlight w:val="none"/>
                <w:lang w:val="zh-CN"/>
              </w:rPr>
              <w:t>提供</w:t>
            </w:r>
            <w:r>
              <w:rPr>
                <w:rFonts w:hint="eastAsia" w:ascii="仿宋" w:hAnsi="仿宋" w:cs="仿宋"/>
                <w:color w:val="auto"/>
                <w:sz w:val="24"/>
                <w:szCs w:val="24"/>
                <w:highlight w:val="none"/>
                <w:lang w:val="en-US" w:eastAsia="zh-CN"/>
              </w:rPr>
              <w:t>2025年审计报告或</w:t>
            </w:r>
            <w:r>
              <w:rPr>
                <w:rFonts w:hint="eastAsia" w:ascii="仿宋" w:hAnsi="仿宋" w:eastAsia="仿宋" w:cs="仿宋"/>
                <w:color w:val="auto"/>
                <w:sz w:val="24"/>
                <w:szCs w:val="24"/>
                <w:highlight w:val="none"/>
                <w:lang w:val="zh-CN"/>
              </w:rPr>
              <w:t>财务</w:t>
            </w:r>
            <w:r>
              <w:rPr>
                <w:rFonts w:hint="eastAsia" w:ascii="仿宋" w:hAnsi="仿宋" w:cs="仿宋"/>
                <w:color w:val="auto"/>
                <w:sz w:val="24"/>
                <w:szCs w:val="24"/>
                <w:highlight w:val="none"/>
                <w:lang w:val="en-US" w:eastAsia="zh-CN"/>
              </w:rPr>
              <w:t>报表</w:t>
            </w:r>
            <w:r>
              <w:rPr>
                <w:rFonts w:hint="eastAsia" w:ascii="仿宋" w:hAnsi="仿宋" w:eastAsia="仿宋" w:cs="仿宋"/>
                <w:color w:val="auto"/>
                <w:sz w:val="24"/>
                <w:szCs w:val="24"/>
                <w:highlight w:val="none"/>
                <w:lang w:val="zh-CN"/>
              </w:rPr>
              <w:t>(成立不足一年提供成立至今财务报表</w:t>
            </w:r>
            <w:r>
              <w:rPr>
                <w:rFonts w:hint="eastAsia" w:ascii="仿宋" w:hAnsi="仿宋" w:cs="仿宋"/>
                <w:color w:val="auto"/>
                <w:sz w:val="24"/>
                <w:szCs w:val="24"/>
                <w:highlight w:val="none"/>
                <w:lang w:val="zh-CN"/>
              </w:rPr>
              <w:t>，</w:t>
            </w:r>
            <w:r>
              <w:rPr>
                <w:rFonts w:hint="eastAsia" w:ascii="仿宋" w:hAnsi="仿宋" w:eastAsia="仿宋" w:cs="仿宋"/>
                <w:color w:val="auto"/>
                <w:sz w:val="24"/>
                <w:szCs w:val="24"/>
                <w:highlight w:val="none"/>
                <w:lang w:val="zh-CN" w:eastAsia="zh-CN"/>
              </w:rPr>
              <w:t>包括资产负债表、利润表、现金流量表</w:t>
            </w:r>
            <w:r>
              <w:rPr>
                <w:rFonts w:hint="eastAsia" w:ascii="仿宋" w:hAnsi="仿宋" w:eastAsia="仿宋" w:cs="仿宋"/>
                <w:color w:val="auto"/>
                <w:sz w:val="24"/>
                <w:szCs w:val="24"/>
                <w:highlight w:val="none"/>
                <w:lang w:val="zh-CN"/>
              </w:rPr>
              <w:t>）。</w:t>
            </w:r>
          </w:p>
        </w:tc>
      </w:tr>
      <w:tr w14:paraId="2CA72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77" w:type="dxa"/>
            <w:vMerge w:val="continue"/>
            <w:noWrap w:val="0"/>
            <w:vAlign w:val="top"/>
          </w:tcPr>
          <w:p w14:paraId="37B5EC3F">
            <w:pPr>
              <w:rPr>
                <w:rFonts w:hint="eastAsia" w:ascii="仿宋" w:hAnsi="仿宋" w:eastAsia="仿宋" w:cs="仿宋"/>
                <w:b w:val="0"/>
                <w:bCs w:val="0"/>
                <w:color w:val="auto"/>
                <w:kern w:val="0"/>
                <w:sz w:val="21"/>
                <w:highlight w:val="none"/>
              </w:rPr>
            </w:pPr>
          </w:p>
        </w:tc>
        <w:tc>
          <w:tcPr>
            <w:tcW w:w="874" w:type="dxa"/>
            <w:vMerge w:val="continue"/>
            <w:noWrap w:val="0"/>
            <w:vAlign w:val="top"/>
          </w:tcPr>
          <w:p w14:paraId="19000FA1">
            <w:pPr>
              <w:rPr>
                <w:rFonts w:hint="eastAsia" w:ascii="仿宋" w:hAnsi="仿宋" w:eastAsia="仿宋" w:cs="仿宋"/>
                <w:b w:val="0"/>
                <w:bCs w:val="0"/>
                <w:color w:val="auto"/>
                <w:kern w:val="0"/>
                <w:sz w:val="21"/>
                <w:highlight w:val="none"/>
              </w:rPr>
            </w:pPr>
          </w:p>
        </w:tc>
        <w:tc>
          <w:tcPr>
            <w:tcW w:w="6453" w:type="dxa"/>
            <w:noWrap w:val="0"/>
            <w:vAlign w:val="top"/>
          </w:tcPr>
          <w:p w14:paraId="04439EF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b w:val="0"/>
                <w:bCs w:val="0"/>
                <w:color w:val="auto"/>
                <w:highlight w:val="none"/>
              </w:rPr>
            </w:pPr>
            <w:r>
              <w:rPr>
                <w:rFonts w:hint="eastAsia" w:ascii="仿宋" w:hAnsi="仿宋" w:eastAsia="仿宋" w:cs="仿宋"/>
                <w:b/>
                <w:bCs/>
                <w:color w:val="auto"/>
                <w:sz w:val="24"/>
                <w:szCs w:val="24"/>
                <w:highlight w:val="none"/>
                <w:lang w:val="zh-CN"/>
              </w:rPr>
              <w:t>（3）具有履行合同所必需的设备和专业技术能力提供：</w:t>
            </w:r>
            <w:r>
              <w:rPr>
                <w:rFonts w:hint="eastAsia" w:ascii="仿宋" w:hAnsi="仿宋" w:eastAsia="仿宋" w:cs="仿宋"/>
                <w:color w:val="auto"/>
                <w:sz w:val="24"/>
                <w:szCs w:val="24"/>
                <w:highlight w:val="none"/>
                <w:lang w:val="zh-CN"/>
              </w:rPr>
              <w:t>《供应商具有履行合同所必需的设备和专业技术能力提供声明函》</w:t>
            </w:r>
          </w:p>
        </w:tc>
      </w:tr>
      <w:tr w14:paraId="2D5D4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77" w:type="dxa"/>
            <w:vMerge w:val="continue"/>
            <w:noWrap w:val="0"/>
            <w:vAlign w:val="top"/>
          </w:tcPr>
          <w:p w14:paraId="482EE189">
            <w:pPr>
              <w:rPr>
                <w:rFonts w:hint="eastAsia" w:ascii="仿宋" w:hAnsi="仿宋" w:eastAsia="仿宋" w:cs="仿宋"/>
                <w:b w:val="0"/>
                <w:bCs w:val="0"/>
                <w:color w:val="auto"/>
                <w:kern w:val="0"/>
                <w:sz w:val="21"/>
                <w:highlight w:val="none"/>
              </w:rPr>
            </w:pPr>
          </w:p>
        </w:tc>
        <w:tc>
          <w:tcPr>
            <w:tcW w:w="874" w:type="dxa"/>
            <w:vMerge w:val="continue"/>
            <w:noWrap w:val="0"/>
            <w:vAlign w:val="top"/>
          </w:tcPr>
          <w:p w14:paraId="5B23B67F">
            <w:pPr>
              <w:rPr>
                <w:rFonts w:hint="eastAsia" w:ascii="仿宋" w:hAnsi="仿宋" w:eastAsia="仿宋" w:cs="仿宋"/>
                <w:b w:val="0"/>
                <w:bCs w:val="0"/>
                <w:color w:val="auto"/>
                <w:kern w:val="0"/>
                <w:sz w:val="21"/>
                <w:highlight w:val="none"/>
              </w:rPr>
            </w:pPr>
          </w:p>
        </w:tc>
        <w:tc>
          <w:tcPr>
            <w:tcW w:w="6453" w:type="dxa"/>
            <w:noWrap w:val="0"/>
            <w:vAlign w:val="top"/>
          </w:tcPr>
          <w:p w14:paraId="0863F0A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b w:val="0"/>
                <w:bCs w:val="0"/>
                <w:color w:val="auto"/>
                <w:highlight w:val="none"/>
              </w:rPr>
            </w:pPr>
            <w:r>
              <w:rPr>
                <w:rFonts w:hint="eastAsia" w:ascii="仿宋" w:hAnsi="仿宋" w:eastAsia="仿宋" w:cs="仿宋"/>
                <w:b/>
                <w:bCs/>
                <w:color w:val="auto"/>
                <w:sz w:val="24"/>
                <w:szCs w:val="24"/>
                <w:highlight w:val="none"/>
                <w:lang w:val="zh-CN"/>
              </w:rPr>
              <w:t>（4）依法缴纳税收的良好记录：</w:t>
            </w:r>
            <w:r>
              <w:rPr>
                <w:rFonts w:hint="eastAsia" w:ascii="仿宋" w:hAnsi="仿宋" w:eastAsia="仿宋" w:cs="仿宋"/>
                <w:color w:val="auto"/>
                <w:kern w:val="0"/>
                <w:sz w:val="24"/>
                <w:szCs w:val="24"/>
                <w:highlight w:val="none"/>
                <w:lang w:val="zh-CN" w:bidi="ar-SA"/>
              </w:rPr>
              <w:t>提供投标截止日前近三个月任意一个月完税证明；依法免税的，应提供相应文件（扫描件）证明其依法免税。</w:t>
            </w:r>
          </w:p>
        </w:tc>
      </w:tr>
      <w:tr w14:paraId="240DF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77" w:type="dxa"/>
            <w:vMerge w:val="continue"/>
            <w:noWrap w:val="0"/>
            <w:vAlign w:val="top"/>
          </w:tcPr>
          <w:p w14:paraId="51DF0FEC">
            <w:pPr>
              <w:rPr>
                <w:rFonts w:hint="eastAsia" w:ascii="仿宋" w:hAnsi="仿宋" w:eastAsia="仿宋" w:cs="仿宋"/>
                <w:b w:val="0"/>
                <w:bCs w:val="0"/>
                <w:color w:val="auto"/>
                <w:kern w:val="0"/>
                <w:sz w:val="21"/>
                <w:highlight w:val="none"/>
              </w:rPr>
            </w:pPr>
          </w:p>
        </w:tc>
        <w:tc>
          <w:tcPr>
            <w:tcW w:w="874" w:type="dxa"/>
            <w:vMerge w:val="continue"/>
            <w:noWrap w:val="0"/>
            <w:vAlign w:val="top"/>
          </w:tcPr>
          <w:p w14:paraId="12102FD0">
            <w:pPr>
              <w:rPr>
                <w:rFonts w:hint="eastAsia" w:ascii="仿宋" w:hAnsi="仿宋" w:eastAsia="仿宋" w:cs="仿宋"/>
                <w:b w:val="0"/>
                <w:bCs w:val="0"/>
                <w:color w:val="auto"/>
                <w:kern w:val="0"/>
                <w:sz w:val="21"/>
                <w:highlight w:val="none"/>
              </w:rPr>
            </w:pPr>
          </w:p>
        </w:tc>
        <w:tc>
          <w:tcPr>
            <w:tcW w:w="6453" w:type="dxa"/>
            <w:noWrap w:val="0"/>
            <w:vAlign w:val="top"/>
          </w:tcPr>
          <w:p w14:paraId="100691A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b w:val="0"/>
                <w:bCs w:val="0"/>
                <w:color w:val="auto"/>
                <w:spacing w:val="1"/>
                <w:highlight w:val="none"/>
              </w:rPr>
            </w:pPr>
            <w:r>
              <w:rPr>
                <w:rFonts w:hint="eastAsia" w:ascii="仿宋" w:hAnsi="仿宋" w:eastAsia="仿宋" w:cs="仿宋"/>
                <w:b/>
                <w:bCs/>
                <w:color w:val="auto"/>
                <w:sz w:val="24"/>
                <w:szCs w:val="24"/>
                <w:highlight w:val="none"/>
                <w:lang w:val="zh-CN"/>
              </w:rPr>
              <w:t>（5）依法缴纳社会保障资金的良好记录：</w:t>
            </w:r>
            <w:r>
              <w:rPr>
                <w:rFonts w:hint="eastAsia" w:ascii="仿宋" w:hAnsi="仿宋" w:eastAsia="仿宋" w:cs="仿宋"/>
                <w:color w:val="auto"/>
                <w:sz w:val="24"/>
                <w:szCs w:val="24"/>
                <w:highlight w:val="none"/>
                <w:lang w:val="zh-CN"/>
              </w:rPr>
              <w:t>提供投标截止日前</w:t>
            </w:r>
            <w:r>
              <w:rPr>
                <w:rFonts w:hint="eastAsia" w:ascii="仿宋" w:hAnsi="仿宋" w:cs="仿宋"/>
                <w:color w:val="auto"/>
                <w:sz w:val="24"/>
                <w:szCs w:val="24"/>
                <w:highlight w:val="none"/>
                <w:lang w:val="en-US" w:eastAsia="zh-CN"/>
              </w:rPr>
              <w:t>2026年</w:t>
            </w:r>
            <w:r>
              <w:rPr>
                <w:rFonts w:hint="eastAsia" w:ascii="仿宋" w:hAnsi="仿宋" w:eastAsia="仿宋" w:cs="仿宋"/>
                <w:color w:val="auto"/>
                <w:sz w:val="24"/>
                <w:szCs w:val="24"/>
                <w:highlight w:val="none"/>
                <w:lang w:val="zh-CN"/>
              </w:rPr>
              <w:t>任意一个月的社保缴纳证明（社保缴纳证明中含</w:t>
            </w:r>
            <w:r>
              <w:rPr>
                <w:rFonts w:hint="eastAsia" w:ascii="仿宋" w:hAnsi="仿宋" w:cs="仿宋"/>
                <w:color w:val="auto"/>
                <w:sz w:val="24"/>
                <w:szCs w:val="24"/>
                <w:highlight w:val="none"/>
                <w:lang w:val="en-US" w:eastAsia="zh-CN"/>
              </w:rPr>
              <w:t>法定代表人</w:t>
            </w:r>
            <w:r>
              <w:rPr>
                <w:rFonts w:hint="eastAsia" w:ascii="仿宋" w:hAnsi="仿宋" w:eastAsia="仿宋" w:cs="仿宋"/>
                <w:color w:val="auto"/>
                <w:sz w:val="24"/>
                <w:szCs w:val="24"/>
                <w:highlight w:val="none"/>
                <w:lang w:val="zh-CN"/>
              </w:rPr>
              <w:t>或委托</w:t>
            </w:r>
            <w:r>
              <w:rPr>
                <w:rFonts w:hint="eastAsia" w:ascii="仿宋" w:hAnsi="仿宋" w:cs="仿宋"/>
                <w:color w:val="auto"/>
                <w:sz w:val="24"/>
                <w:szCs w:val="24"/>
                <w:highlight w:val="none"/>
                <w:lang w:val="en-US" w:eastAsia="zh-CN"/>
              </w:rPr>
              <w:t>代理人</w:t>
            </w:r>
            <w:r>
              <w:rPr>
                <w:rFonts w:hint="eastAsia" w:ascii="仿宋" w:hAnsi="仿宋" w:eastAsia="仿宋" w:cs="仿宋"/>
                <w:color w:val="auto"/>
                <w:sz w:val="24"/>
                <w:szCs w:val="24"/>
                <w:highlight w:val="none"/>
                <w:lang w:val="zh-CN"/>
              </w:rPr>
              <w:t>的社保明细）；依法不需要缴纳社会保险的，应提供相应文件（扫描件）证明其依法不需要缴纳社会保险。</w:t>
            </w:r>
          </w:p>
        </w:tc>
      </w:tr>
      <w:tr w14:paraId="04ACE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77" w:type="dxa"/>
            <w:vMerge w:val="continue"/>
            <w:noWrap w:val="0"/>
            <w:vAlign w:val="top"/>
          </w:tcPr>
          <w:p w14:paraId="5E3F407F">
            <w:pPr>
              <w:rPr>
                <w:rFonts w:hint="eastAsia" w:ascii="仿宋" w:hAnsi="仿宋" w:eastAsia="仿宋" w:cs="仿宋"/>
                <w:b w:val="0"/>
                <w:bCs w:val="0"/>
                <w:color w:val="auto"/>
                <w:kern w:val="0"/>
                <w:sz w:val="21"/>
                <w:highlight w:val="none"/>
              </w:rPr>
            </w:pPr>
          </w:p>
        </w:tc>
        <w:tc>
          <w:tcPr>
            <w:tcW w:w="874" w:type="dxa"/>
            <w:vMerge w:val="continue"/>
            <w:noWrap w:val="0"/>
            <w:vAlign w:val="top"/>
          </w:tcPr>
          <w:p w14:paraId="5802E695">
            <w:pPr>
              <w:rPr>
                <w:rFonts w:hint="eastAsia" w:ascii="仿宋" w:hAnsi="仿宋" w:eastAsia="仿宋" w:cs="仿宋"/>
                <w:b w:val="0"/>
                <w:bCs w:val="0"/>
                <w:color w:val="auto"/>
                <w:kern w:val="0"/>
                <w:sz w:val="21"/>
                <w:highlight w:val="none"/>
              </w:rPr>
            </w:pPr>
          </w:p>
        </w:tc>
        <w:tc>
          <w:tcPr>
            <w:tcW w:w="6453" w:type="dxa"/>
            <w:noWrap w:val="0"/>
            <w:vAlign w:val="top"/>
          </w:tcPr>
          <w:p w14:paraId="5817FE2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b w:val="0"/>
                <w:bCs w:val="0"/>
                <w:color w:val="auto"/>
                <w:spacing w:val="1"/>
                <w:highlight w:val="none"/>
              </w:rPr>
            </w:pPr>
            <w:r>
              <w:rPr>
                <w:rFonts w:hint="eastAsia" w:ascii="仿宋" w:hAnsi="仿宋" w:eastAsia="仿宋" w:cs="仿宋"/>
                <w:b/>
                <w:bCs/>
                <w:color w:val="auto"/>
                <w:sz w:val="24"/>
                <w:szCs w:val="24"/>
                <w:highlight w:val="none"/>
                <w:lang w:val="zh-CN"/>
              </w:rPr>
              <w:t>（6）参加政府采购活动前三年内，在经营活动中没有重大违法记录：</w:t>
            </w:r>
            <w:r>
              <w:rPr>
                <w:rFonts w:hint="eastAsia" w:ascii="仿宋" w:hAnsi="仿宋" w:eastAsia="仿宋" w:cs="仿宋"/>
                <w:color w:val="auto"/>
                <w:sz w:val="24"/>
                <w:szCs w:val="24"/>
                <w:highlight w:val="none"/>
                <w:lang w:val="zh-CN"/>
              </w:rPr>
              <w:t>提供《三年内在经营活动中没有重大违法记录的声明》。</w:t>
            </w:r>
          </w:p>
        </w:tc>
      </w:tr>
      <w:tr w14:paraId="2D671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77" w:type="dxa"/>
            <w:vMerge w:val="continue"/>
            <w:noWrap w:val="0"/>
            <w:vAlign w:val="top"/>
          </w:tcPr>
          <w:p w14:paraId="36FB47CC">
            <w:pPr>
              <w:rPr>
                <w:rFonts w:hint="eastAsia" w:ascii="仿宋" w:hAnsi="仿宋" w:eastAsia="仿宋" w:cs="仿宋"/>
                <w:b w:val="0"/>
                <w:bCs w:val="0"/>
                <w:color w:val="auto"/>
                <w:kern w:val="0"/>
                <w:sz w:val="21"/>
                <w:highlight w:val="none"/>
              </w:rPr>
            </w:pPr>
          </w:p>
        </w:tc>
        <w:tc>
          <w:tcPr>
            <w:tcW w:w="874" w:type="dxa"/>
            <w:vMerge w:val="continue"/>
            <w:noWrap w:val="0"/>
            <w:vAlign w:val="top"/>
          </w:tcPr>
          <w:p w14:paraId="3E89A31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b/>
                <w:bCs/>
                <w:color w:val="auto"/>
                <w:sz w:val="24"/>
                <w:szCs w:val="24"/>
                <w:highlight w:val="none"/>
                <w:lang w:val="zh-CN"/>
              </w:rPr>
            </w:pPr>
          </w:p>
        </w:tc>
        <w:tc>
          <w:tcPr>
            <w:tcW w:w="6453" w:type="dxa"/>
            <w:noWrap w:val="0"/>
            <w:vAlign w:val="top"/>
          </w:tcPr>
          <w:p w14:paraId="2212D7B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（7）符合法律、行政法规规定的其他条件：</w:t>
            </w:r>
            <w:r>
              <w:rPr>
                <w:rFonts w:hint="eastAsia" w:ascii="仿宋" w:hAnsi="仿宋" w:eastAsia="仿宋" w:cs="仿宋"/>
                <w:b w:val="0"/>
                <w:bCs w:val="0"/>
                <w:color w:val="auto"/>
                <w:sz w:val="24"/>
                <w:szCs w:val="24"/>
                <w:highlight w:val="none"/>
                <w:lang w:val="zh-CN"/>
              </w:rPr>
              <w:t>提供①单位负责人为同一人或者存在直接控股、管理关系的不同供应商不得参加同一合同项下的政府采购活动的《声明函》；提供②为采购项目提供整体设计、规范编制或者项目管理、监理、检测等服务的供应商，不得再参加该采购项目的其他采购活动的《声明函</w:t>
            </w:r>
            <w:r>
              <w:rPr>
                <w:rFonts w:hint="eastAsia" w:ascii="仿宋" w:hAnsi="仿宋" w:eastAsia="仿宋" w:cs="仿宋"/>
                <w:b/>
                <w:bCs/>
                <w:color w:val="auto"/>
                <w:sz w:val="24"/>
                <w:szCs w:val="24"/>
                <w:highlight w:val="none"/>
                <w:lang w:val="zh-CN"/>
              </w:rPr>
              <w:t>》</w:t>
            </w:r>
          </w:p>
        </w:tc>
      </w:tr>
      <w:tr w14:paraId="051FD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977" w:type="dxa"/>
            <w:vMerge w:val="continue"/>
            <w:tcBorders>
              <w:bottom w:val="single" w:color="auto" w:sz="4" w:space="0"/>
            </w:tcBorders>
            <w:noWrap w:val="0"/>
            <w:vAlign w:val="top"/>
          </w:tcPr>
          <w:p w14:paraId="2500F73A">
            <w:pPr>
              <w:rPr>
                <w:rFonts w:hint="eastAsia" w:ascii="仿宋" w:hAnsi="仿宋" w:eastAsia="仿宋" w:cs="仿宋"/>
                <w:b w:val="0"/>
                <w:bCs w:val="0"/>
                <w:color w:val="auto"/>
                <w:kern w:val="0"/>
                <w:sz w:val="21"/>
                <w:highlight w:val="none"/>
              </w:rPr>
            </w:pPr>
          </w:p>
        </w:tc>
        <w:tc>
          <w:tcPr>
            <w:tcW w:w="874" w:type="dxa"/>
            <w:vMerge w:val="continue"/>
            <w:tcBorders>
              <w:bottom w:val="single" w:color="auto" w:sz="4" w:space="0"/>
            </w:tcBorders>
            <w:noWrap w:val="0"/>
            <w:vAlign w:val="top"/>
          </w:tcPr>
          <w:p w14:paraId="4AEE83E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b/>
                <w:bCs/>
                <w:color w:val="auto"/>
                <w:sz w:val="24"/>
                <w:szCs w:val="24"/>
                <w:highlight w:val="none"/>
                <w:lang w:val="zh-CN"/>
              </w:rPr>
            </w:pPr>
          </w:p>
        </w:tc>
        <w:tc>
          <w:tcPr>
            <w:tcW w:w="6453" w:type="dxa"/>
            <w:tcBorders>
              <w:bottom w:val="single" w:color="auto" w:sz="4" w:space="0"/>
            </w:tcBorders>
            <w:noWrap w:val="0"/>
            <w:vAlign w:val="top"/>
          </w:tcPr>
          <w:p w14:paraId="6681016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leftChars="0" w:right="0" w:firstLine="0" w:firstLineChars="0"/>
              <w:jc w:val="both"/>
              <w:rPr>
                <w:rFonts w:hint="eastAsia" w:ascii="仿宋" w:hAnsi="仿宋" w:eastAsia="仿宋" w:cs="仿宋"/>
                <w:b/>
                <w:bCs/>
                <w:color w:val="auto"/>
                <w:sz w:val="24"/>
                <w:szCs w:val="24"/>
                <w:highlight w:val="none"/>
                <w:lang w:val="zh-CN"/>
              </w:rPr>
            </w:pPr>
            <w:r>
              <w:rPr>
                <w:rFonts w:hint="eastAsia" w:ascii="仿宋" w:hAnsi="仿宋" w:cs="仿宋"/>
                <w:b/>
                <w:bCs/>
                <w:color w:val="auto"/>
                <w:sz w:val="24"/>
                <w:szCs w:val="24"/>
                <w:highlight w:val="none"/>
                <w:lang w:val="zh-CN"/>
              </w:rPr>
              <w:t>（</w:t>
            </w:r>
            <w:r>
              <w:rPr>
                <w:rFonts w:hint="eastAsia" w:ascii="仿宋" w:hAnsi="仿宋" w:cs="仿宋"/>
                <w:b/>
                <w:bCs/>
                <w:color w:val="auto"/>
                <w:sz w:val="24"/>
                <w:szCs w:val="24"/>
                <w:highlight w:val="none"/>
                <w:lang w:val="en-US" w:eastAsia="zh-CN"/>
              </w:rPr>
              <w:t>8</w:t>
            </w:r>
            <w:r>
              <w:rPr>
                <w:rFonts w:hint="eastAsia" w:ascii="仿宋" w:hAnsi="仿宋" w:cs="仿宋"/>
                <w:b/>
                <w:bCs/>
                <w:color w:val="auto"/>
                <w:sz w:val="24"/>
                <w:szCs w:val="24"/>
                <w:highlight w:val="none"/>
                <w:lang w:val="zh-CN"/>
              </w:rPr>
              <w:t>）</w:t>
            </w:r>
            <w:r>
              <w:rPr>
                <w:rFonts w:hint="eastAsia" w:ascii="仿宋" w:hAnsi="仿宋" w:eastAsia="仿宋" w:cs="仿宋"/>
                <w:b/>
                <w:bCs/>
                <w:color w:val="auto"/>
                <w:sz w:val="24"/>
                <w:szCs w:val="24"/>
                <w:highlight w:val="none"/>
                <w:lang w:val="zh-CN"/>
              </w:rPr>
              <w:t>本项目属于专门面向</w:t>
            </w:r>
            <w:r>
              <w:rPr>
                <w:rFonts w:hint="eastAsia" w:ascii="仿宋" w:hAnsi="仿宋" w:cs="仿宋"/>
                <w:b/>
                <w:bCs/>
                <w:color w:val="auto"/>
                <w:sz w:val="24"/>
                <w:szCs w:val="24"/>
                <w:highlight w:val="none"/>
                <w:lang w:val="zh-CN"/>
              </w:rPr>
              <w:t>中</w:t>
            </w:r>
            <w:r>
              <w:rPr>
                <w:rFonts w:hint="eastAsia" w:ascii="仿宋" w:hAnsi="仿宋" w:cs="仿宋"/>
                <w:b/>
                <w:bCs/>
                <w:color w:val="auto"/>
                <w:sz w:val="24"/>
                <w:szCs w:val="24"/>
                <w:highlight w:val="none"/>
                <w:lang w:val="en-US" w:eastAsia="zh-CN"/>
              </w:rPr>
              <w:t>小</w:t>
            </w:r>
            <w:r>
              <w:rPr>
                <w:rFonts w:hint="eastAsia" w:ascii="仿宋" w:hAnsi="仿宋" w:eastAsia="仿宋" w:cs="仿宋"/>
                <w:b/>
                <w:bCs/>
                <w:color w:val="auto"/>
                <w:sz w:val="24"/>
                <w:szCs w:val="24"/>
                <w:highlight w:val="none"/>
                <w:lang w:val="zh-CN"/>
              </w:rPr>
              <w:t>企业采购的项目，供应商应为符合《政府采购促进中小企业发展管理办法》的</w:t>
            </w:r>
            <w:r>
              <w:rPr>
                <w:rFonts w:hint="eastAsia" w:ascii="仿宋" w:hAnsi="仿宋" w:cs="仿宋"/>
                <w:b/>
                <w:bCs/>
                <w:color w:val="auto"/>
                <w:sz w:val="24"/>
                <w:szCs w:val="24"/>
                <w:highlight w:val="none"/>
                <w:lang w:val="zh-CN"/>
              </w:rPr>
              <w:t>中</w:t>
            </w:r>
            <w:r>
              <w:rPr>
                <w:rFonts w:hint="eastAsia" w:ascii="仿宋" w:hAnsi="仿宋" w:cs="仿宋"/>
                <w:b/>
                <w:bCs/>
                <w:color w:val="auto"/>
                <w:sz w:val="24"/>
                <w:szCs w:val="24"/>
                <w:highlight w:val="none"/>
                <w:lang w:val="en-US" w:eastAsia="zh-CN"/>
              </w:rPr>
              <w:t>小</w:t>
            </w:r>
            <w:r>
              <w:rPr>
                <w:rFonts w:hint="eastAsia" w:ascii="仿宋" w:hAnsi="仿宋" w:eastAsia="仿宋" w:cs="仿宋"/>
                <w:b/>
                <w:bCs/>
                <w:color w:val="auto"/>
                <w:sz w:val="24"/>
                <w:szCs w:val="24"/>
                <w:highlight w:val="none"/>
                <w:lang w:val="zh-CN"/>
              </w:rPr>
              <w:t>企业(其中，</w:t>
            </w:r>
            <w:r>
              <w:rPr>
                <w:rFonts w:hint="eastAsia" w:ascii="仿宋" w:hAnsi="仿宋" w:eastAsia="仿宋" w:cs="仿宋"/>
                <w:b/>
                <w:bCs/>
                <w:color w:val="auto"/>
                <w:sz w:val="24"/>
                <w:szCs w:val="24"/>
                <w:highlight w:val="none"/>
                <w:lang w:val="zh-CN" w:eastAsia="zh-CN"/>
              </w:rPr>
              <w:t>中</w:t>
            </w:r>
            <w:r>
              <w:rPr>
                <w:rFonts w:hint="eastAsia" w:ascii="仿宋" w:hAnsi="仿宋" w:eastAsia="仿宋" w:cs="仿宋"/>
                <w:b/>
                <w:bCs/>
                <w:color w:val="auto"/>
                <w:sz w:val="24"/>
                <w:szCs w:val="24"/>
                <w:highlight w:val="none"/>
                <w:lang w:val="zh-CN"/>
              </w:rPr>
              <w:t>小企业包括视同为中型、小型、微型企业的监狱企业、残疾人福利性单位</w:t>
            </w:r>
            <w:r>
              <w:rPr>
                <w:rFonts w:hint="eastAsia" w:ascii="仿宋" w:hAnsi="仿宋" w:cs="仿宋"/>
                <w:b/>
                <w:bCs/>
                <w:color w:val="auto"/>
                <w:sz w:val="24"/>
                <w:szCs w:val="24"/>
                <w:highlight w:val="none"/>
                <w:lang w:val="zh-CN"/>
              </w:rPr>
              <w:t>）</w:t>
            </w:r>
            <w:r>
              <w:rPr>
                <w:rFonts w:hint="eastAsia" w:ascii="仿宋" w:hAnsi="仿宋" w:eastAsia="仿宋" w:cs="仿宋"/>
                <w:b/>
                <w:bCs/>
                <w:color w:val="auto"/>
                <w:sz w:val="24"/>
                <w:szCs w:val="24"/>
                <w:highlight w:val="none"/>
                <w:lang w:val="zh-CN"/>
              </w:rPr>
              <w:t>。</w:t>
            </w:r>
          </w:p>
        </w:tc>
      </w:tr>
      <w:tr w14:paraId="6808E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977" w:type="dxa"/>
            <w:vMerge w:val="restart"/>
            <w:tcBorders>
              <w:top w:val="single" w:color="auto" w:sz="4" w:space="0"/>
              <w:left w:val="single" w:color="auto" w:sz="4" w:space="0"/>
              <w:bottom w:val="single" w:color="auto" w:sz="4" w:space="0"/>
              <w:right w:val="single" w:color="auto" w:sz="4" w:space="0"/>
            </w:tcBorders>
            <w:noWrap w:val="0"/>
            <w:vAlign w:val="top"/>
          </w:tcPr>
          <w:p w14:paraId="20B76726">
            <w:pPr>
              <w:spacing w:line="259" w:lineRule="auto"/>
              <w:rPr>
                <w:rFonts w:hint="eastAsia" w:ascii="仿宋" w:hAnsi="仿宋" w:eastAsia="仿宋" w:cs="仿宋"/>
                <w:b w:val="0"/>
                <w:bCs w:val="0"/>
                <w:color w:val="auto"/>
                <w:kern w:val="0"/>
                <w:sz w:val="21"/>
                <w:highlight w:val="none"/>
              </w:rPr>
            </w:pPr>
          </w:p>
          <w:p w14:paraId="715006E6">
            <w:pPr>
              <w:spacing w:line="260" w:lineRule="auto"/>
              <w:rPr>
                <w:rFonts w:hint="eastAsia" w:ascii="仿宋" w:hAnsi="仿宋" w:eastAsia="仿宋" w:cs="仿宋"/>
                <w:b w:val="0"/>
                <w:bCs w:val="0"/>
                <w:color w:val="auto"/>
                <w:kern w:val="0"/>
                <w:sz w:val="21"/>
                <w:highlight w:val="none"/>
              </w:rPr>
            </w:pPr>
          </w:p>
          <w:p w14:paraId="2901B0F8">
            <w:pPr>
              <w:spacing w:line="260" w:lineRule="auto"/>
              <w:rPr>
                <w:rFonts w:hint="eastAsia" w:ascii="仿宋" w:hAnsi="仿宋" w:eastAsia="仿宋" w:cs="仿宋"/>
                <w:b w:val="0"/>
                <w:bCs w:val="0"/>
                <w:color w:val="auto"/>
                <w:kern w:val="0"/>
                <w:sz w:val="21"/>
                <w:highlight w:val="none"/>
              </w:rPr>
            </w:pPr>
          </w:p>
          <w:p w14:paraId="43EB3D1E">
            <w:pPr>
              <w:spacing w:line="260" w:lineRule="auto"/>
              <w:rPr>
                <w:rFonts w:hint="eastAsia" w:ascii="仿宋" w:hAnsi="仿宋" w:eastAsia="仿宋" w:cs="仿宋"/>
                <w:b w:val="0"/>
                <w:bCs w:val="0"/>
                <w:color w:val="auto"/>
                <w:kern w:val="0"/>
                <w:sz w:val="21"/>
                <w:highlight w:val="none"/>
              </w:rPr>
            </w:pPr>
          </w:p>
          <w:p w14:paraId="2546C747">
            <w:pPr>
              <w:spacing w:line="260" w:lineRule="auto"/>
              <w:rPr>
                <w:rFonts w:hint="eastAsia" w:ascii="仿宋" w:hAnsi="仿宋" w:eastAsia="仿宋" w:cs="仿宋"/>
                <w:b w:val="0"/>
                <w:bCs w:val="0"/>
                <w:color w:val="auto"/>
                <w:kern w:val="0"/>
                <w:sz w:val="21"/>
                <w:highlight w:val="none"/>
              </w:rPr>
            </w:pPr>
          </w:p>
          <w:p w14:paraId="74C8B333">
            <w:pPr>
              <w:spacing w:line="260" w:lineRule="auto"/>
              <w:rPr>
                <w:rFonts w:hint="eastAsia" w:ascii="仿宋" w:hAnsi="仿宋" w:eastAsia="仿宋" w:cs="仿宋"/>
                <w:b w:val="0"/>
                <w:bCs w:val="0"/>
                <w:color w:val="auto"/>
                <w:kern w:val="0"/>
                <w:sz w:val="21"/>
                <w:highlight w:val="none"/>
              </w:rPr>
            </w:pPr>
          </w:p>
          <w:p w14:paraId="0BB22B8C">
            <w:pPr>
              <w:pStyle w:val="25"/>
              <w:spacing w:before="75" w:line="183" w:lineRule="auto"/>
              <w:ind w:left="374"/>
              <w:rPr>
                <w:rFonts w:hint="eastAsia" w:ascii="仿宋" w:hAnsi="仿宋" w:eastAsia="仿宋" w:cs="仿宋"/>
                <w:b w:val="0"/>
                <w:bCs w:val="0"/>
                <w:color w:val="auto"/>
                <w:kern w:val="0"/>
                <w:highlight w:val="none"/>
              </w:rPr>
            </w:pPr>
            <w:r>
              <w:rPr>
                <w:rFonts w:hint="eastAsia" w:ascii="仿宋" w:hAnsi="仿宋" w:eastAsia="仿宋" w:cs="仿宋"/>
                <w:b w:val="0"/>
                <w:bCs w:val="0"/>
                <w:color w:val="auto"/>
                <w:spacing w:val="-2"/>
                <w:kern w:val="0"/>
                <w:highlight w:val="none"/>
              </w:rPr>
              <w:t>2.2.2</w:t>
            </w:r>
          </w:p>
        </w:tc>
        <w:tc>
          <w:tcPr>
            <w:tcW w:w="874" w:type="dxa"/>
            <w:vMerge w:val="restart"/>
            <w:tcBorders>
              <w:top w:val="single" w:color="auto" w:sz="4" w:space="0"/>
              <w:left w:val="single" w:color="auto" w:sz="4" w:space="0"/>
              <w:bottom w:val="single" w:color="auto" w:sz="4" w:space="0"/>
              <w:right w:val="single" w:color="auto" w:sz="4" w:space="0"/>
            </w:tcBorders>
            <w:noWrap w:val="0"/>
            <w:vAlign w:val="top"/>
          </w:tcPr>
          <w:p w14:paraId="41765BDD">
            <w:pPr>
              <w:spacing w:line="250" w:lineRule="auto"/>
              <w:rPr>
                <w:rFonts w:hint="eastAsia" w:ascii="仿宋" w:hAnsi="仿宋" w:eastAsia="仿宋" w:cs="仿宋"/>
                <w:b w:val="0"/>
                <w:bCs w:val="0"/>
                <w:color w:val="auto"/>
                <w:kern w:val="0"/>
                <w:sz w:val="21"/>
                <w:highlight w:val="none"/>
              </w:rPr>
            </w:pPr>
          </w:p>
          <w:p w14:paraId="08BA6E29">
            <w:pPr>
              <w:spacing w:line="250" w:lineRule="auto"/>
              <w:rPr>
                <w:rFonts w:hint="eastAsia" w:ascii="仿宋" w:hAnsi="仿宋" w:eastAsia="仿宋" w:cs="仿宋"/>
                <w:b w:val="0"/>
                <w:bCs w:val="0"/>
                <w:color w:val="auto"/>
                <w:kern w:val="0"/>
                <w:sz w:val="21"/>
                <w:highlight w:val="none"/>
              </w:rPr>
            </w:pPr>
          </w:p>
          <w:p w14:paraId="72C0FDC1">
            <w:pPr>
              <w:spacing w:line="250" w:lineRule="auto"/>
              <w:rPr>
                <w:rFonts w:hint="eastAsia" w:ascii="仿宋" w:hAnsi="仿宋" w:eastAsia="仿宋" w:cs="仿宋"/>
                <w:b w:val="0"/>
                <w:bCs w:val="0"/>
                <w:color w:val="auto"/>
                <w:kern w:val="0"/>
                <w:sz w:val="21"/>
                <w:highlight w:val="none"/>
              </w:rPr>
            </w:pPr>
          </w:p>
          <w:p w14:paraId="6B618592">
            <w:pPr>
              <w:spacing w:line="250" w:lineRule="auto"/>
              <w:rPr>
                <w:rFonts w:hint="eastAsia" w:ascii="仿宋" w:hAnsi="仿宋" w:eastAsia="仿宋" w:cs="仿宋"/>
                <w:b w:val="0"/>
                <w:bCs w:val="0"/>
                <w:color w:val="auto"/>
                <w:kern w:val="0"/>
                <w:sz w:val="21"/>
                <w:highlight w:val="none"/>
              </w:rPr>
            </w:pPr>
          </w:p>
          <w:p w14:paraId="77C0EF8F">
            <w:pPr>
              <w:spacing w:line="250" w:lineRule="auto"/>
              <w:rPr>
                <w:rFonts w:hint="eastAsia" w:ascii="仿宋" w:hAnsi="仿宋" w:eastAsia="仿宋" w:cs="仿宋"/>
                <w:b w:val="0"/>
                <w:bCs w:val="0"/>
                <w:color w:val="auto"/>
                <w:kern w:val="0"/>
                <w:sz w:val="21"/>
                <w:highlight w:val="none"/>
              </w:rPr>
            </w:pPr>
          </w:p>
          <w:p w14:paraId="03CB9A86">
            <w:pPr>
              <w:spacing w:line="250" w:lineRule="auto"/>
              <w:rPr>
                <w:rFonts w:hint="eastAsia" w:ascii="仿宋" w:hAnsi="仿宋" w:eastAsia="仿宋" w:cs="仿宋"/>
                <w:b w:val="0"/>
                <w:bCs w:val="0"/>
                <w:color w:val="auto"/>
                <w:kern w:val="0"/>
                <w:sz w:val="21"/>
                <w:highlight w:val="none"/>
              </w:rPr>
            </w:pPr>
          </w:p>
          <w:p w14:paraId="2A126DE0">
            <w:pPr>
              <w:pStyle w:val="25"/>
              <w:spacing w:before="75" w:line="219" w:lineRule="auto"/>
              <w:ind w:left="151"/>
              <w:rPr>
                <w:rFonts w:hint="eastAsia" w:ascii="仿宋" w:hAnsi="仿宋" w:eastAsia="仿宋" w:cs="仿宋"/>
                <w:b w:val="0"/>
                <w:bCs w:val="0"/>
                <w:color w:val="auto"/>
                <w:kern w:val="0"/>
                <w:highlight w:val="none"/>
              </w:rPr>
            </w:pPr>
            <w:r>
              <w:rPr>
                <w:rFonts w:hint="eastAsia" w:ascii="仿宋" w:hAnsi="仿宋" w:eastAsia="仿宋" w:cs="仿宋"/>
                <w:b w:val="0"/>
                <w:bCs w:val="0"/>
                <w:color w:val="auto"/>
                <w:spacing w:val="2"/>
                <w:kern w:val="0"/>
                <w:highlight w:val="none"/>
              </w:rPr>
              <w:t>符合性审查</w:t>
            </w:r>
          </w:p>
        </w:tc>
        <w:tc>
          <w:tcPr>
            <w:tcW w:w="6453" w:type="dxa"/>
            <w:tcBorders>
              <w:top w:val="single" w:color="auto" w:sz="4" w:space="0"/>
              <w:left w:val="single" w:color="auto" w:sz="4" w:space="0"/>
              <w:bottom w:val="single" w:color="auto" w:sz="4" w:space="0"/>
              <w:right w:val="single" w:color="auto" w:sz="4" w:space="0"/>
            </w:tcBorders>
            <w:noWrap w:val="0"/>
            <w:vAlign w:val="top"/>
          </w:tcPr>
          <w:p w14:paraId="41468FA0">
            <w:pPr>
              <w:pStyle w:val="25"/>
              <w:spacing w:before="124" w:line="219" w:lineRule="auto"/>
              <w:ind w:left="133"/>
              <w:rPr>
                <w:rFonts w:hint="eastAsia" w:ascii="仿宋" w:hAnsi="仿宋" w:eastAsia="仿宋" w:cs="仿宋"/>
                <w:b w:val="0"/>
                <w:bCs w:val="0"/>
                <w:color w:val="auto"/>
                <w:kern w:val="0"/>
                <w:highlight w:val="none"/>
              </w:rPr>
            </w:pPr>
            <w:r>
              <w:rPr>
                <w:rFonts w:hint="eastAsia" w:ascii="仿宋" w:hAnsi="仿宋" w:eastAsia="仿宋" w:cs="仿宋"/>
                <w:b w:val="0"/>
                <w:bCs w:val="0"/>
                <w:color w:val="auto"/>
                <w:kern w:val="0"/>
                <w:highlight w:val="none"/>
              </w:rPr>
              <w:t>响应文件格式符合磋商文件要求</w:t>
            </w:r>
          </w:p>
        </w:tc>
      </w:tr>
      <w:tr w14:paraId="28DFE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977" w:type="dxa"/>
            <w:vMerge w:val="continue"/>
            <w:tcBorders>
              <w:top w:val="single" w:color="auto" w:sz="4" w:space="0"/>
              <w:left w:val="single" w:color="auto" w:sz="4" w:space="0"/>
              <w:bottom w:val="single" w:color="auto" w:sz="4" w:space="0"/>
              <w:right w:val="single" w:color="auto" w:sz="4" w:space="0"/>
            </w:tcBorders>
            <w:noWrap w:val="0"/>
            <w:vAlign w:val="top"/>
          </w:tcPr>
          <w:p w14:paraId="6CFE41BB">
            <w:pPr>
              <w:rPr>
                <w:rFonts w:hint="eastAsia" w:ascii="仿宋" w:hAnsi="仿宋" w:eastAsia="仿宋" w:cs="仿宋"/>
                <w:b w:val="0"/>
                <w:bCs w:val="0"/>
                <w:color w:val="auto"/>
                <w:kern w:val="0"/>
                <w:sz w:val="21"/>
                <w:highlight w:val="none"/>
              </w:rPr>
            </w:pPr>
          </w:p>
        </w:tc>
        <w:tc>
          <w:tcPr>
            <w:tcW w:w="874" w:type="dxa"/>
            <w:vMerge w:val="continue"/>
            <w:tcBorders>
              <w:top w:val="single" w:color="auto" w:sz="4" w:space="0"/>
              <w:left w:val="single" w:color="auto" w:sz="4" w:space="0"/>
              <w:bottom w:val="single" w:color="auto" w:sz="4" w:space="0"/>
              <w:right w:val="single" w:color="auto" w:sz="4" w:space="0"/>
            </w:tcBorders>
            <w:noWrap w:val="0"/>
            <w:vAlign w:val="top"/>
          </w:tcPr>
          <w:p w14:paraId="5F4E49DB">
            <w:pPr>
              <w:rPr>
                <w:rFonts w:hint="eastAsia" w:ascii="仿宋" w:hAnsi="仿宋" w:eastAsia="仿宋" w:cs="仿宋"/>
                <w:b w:val="0"/>
                <w:bCs w:val="0"/>
                <w:color w:val="auto"/>
                <w:kern w:val="0"/>
                <w:sz w:val="21"/>
                <w:highlight w:val="none"/>
              </w:rPr>
            </w:pPr>
          </w:p>
        </w:tc>
        <w:tc>
          <w:tcPr>
            <w:tcW w:w="6453" w:type="dxa"/>
            <w:tcBorders>
              <w:top w:val="single" w:color="auto" w:sz="4" w:space="0"/>
              <w:left w:val="single" w:color="auto" w:sz="4" w:space="0"/>
              <w:bottom w:val="single" w:color="auto" w:sz="4" w:space="0"/>
              <w:right w:val="single" w:color="auto" w:sz="4" w:space="0"/>
            </w:tcBorders>
            <w:noWrap w:val="0"/>
            <w:vAlign w:val="top"/>
          </w:tcPr>
          <w:p w14:paraId="74D0EC2C">
            <w:pPr>
              <w:pStyle w:val="25"/>
              <w:spacing w:before="134" w:line="219" w:lineRule="auto"/>
              <w:ind w:left="133"/>
              <w:rPr>
                <w:rFonts w:hint="eastAsia" w:ascii="仿宋" w:hAnsi="仿宋" w:eastAsia="仿宋" w:cs="仿宋"/>
                <w:b w:val="0"/>
                <w:bCs w:val="0"/>
                <w:color w:val="auto"/>
                <w:kern w:val="0"/>
                <w:highlight w:val="none"/>
              </w:rPr>
            </w:pPr>
            <w:r>
              <w:rPr>
                <w:rFonts w:hint="eastAsia" w:ascii="仿宋" w:hAnsi="仿宋" w:eastAsia="仿宋" w:cs="仿宋"/>
                <w:b w:val="0"/>
                <w:bCs w:val="0"/>
                <w:color w:val="auto"/>
                <w:kern w:val="0"/>
                <w:highlight w:val="none"/>
              </w:rPr>
              <w:t>响应文件的签名盖章符合磋商文件要求</w:t>
            </w:r>
          </w:p>
        </w:tc>
      </w:tr>
      <w:tr w14:paraId="04CD9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977" w:type="dxa"/>
            <w:vMerge w:val="continue"/>
            <w:tcBorders>
              <w:top w:val="single" w:color="auto" w:sz="4" w:space="0"/>
              <w:left w:val="single" w:color="auto" w:sz="4" w:space="0"/>
              <w:bottom w:val="single" w:color="auto" w:sz="4" w:space="0"/>
              <w:right w:val="single" w:color="auto" w:sz="4" w:space="0"/>
            </w:tcBorders>
            <w:noWrap w:val="0"/>
            <w:vAlign w:val="top"/>
          </w:tcPr>
          <w:p w14:paraId="4E832EE3">
            <w:pPr>
              <w:rPr>
                <w:rFonts w:hint="eastAsia" w:ascii="仿宋" w:hAnsi="仿宋" w:eastAsia="仿宋" w:cs="仿宋"/>
                <w:b w:val="0"/>
                <w:bCs w:val="0"/>
                <w:color w:val="auto"/>
                <w:kern w:val="0"/>
                <w:sz w:val="21"/>
                <w:highlight w:val="none"/>
              </w:rPr>
            </w:pPr>
          </w:p>
        </w:tc>
        <w:tc>
          <w:tcPr>
            <w:tcW w:w="874" w:type="dxa"/>
            <w:vMerge w:val="continue"/>
            <w:tcBorders>
              <w:top w:val="single" w:color="auto" w:sz="4" w:space="0"/>
              <w:left w:val="single" w:color="auto" w:sz="4" w:space="0"/>
              <w:bottom w:val="single" w:color="auto" w:sz="4" w:space="0"/>
              <w:right w:val="single" w:color="auto" w:sz="4" w:space="0"/>
            </w:tcBorders>
            <w:noWrap w:val="0"/>
            <w:vAlign w:val="top"/>
          </w:tcPr>
          <w:p w14:paraId="0709C97A">
            <w:pPr>
              <w:rPr>
                <w:rFonts w:hint="eastAsia" w:ascii="仿宋" w:hAnsi="仿宋" w:eastAsia="仿宋" w:cs="仿宋"/>
                <w:b w:val="0"/>
                <w:bCs w:val="0"/>
                <w:color w:val="auto"/>
                <w:kern w:val="0"/>
                <w:sz w:val="21"/>
                <w:highlight w:val="none"/>
              </w:rPr>
            </w:pPr>
          </w:p>
        </w:tc>
        <w:tc>
          <w:tcPr>
            <w:tcW w:w="6453" w:type="dxa"/>
            <w:tcBorders>
              <w:top w:val="single" w:color="auto" w:sz="4" w:space="0"/>
              <w:left w:val="single" w:color="auto" w:sz="4" w:space="0"/>
              <w:bottom w:val="single" w:color="auto" w:sz="4" w:space="0"/>
              <w:right w:val="single" w:color="auto" w:sz="4" w:space="0"/>
            </w:tcBorders>
            <w:noWrap w:val="0"/>
            <w:vAlign w:val="top"/>
          </w:tcPr>
          <w:p w14:paraId="69674D82">
            <w:pPr>
              <w:pStyle w:val="25"/>
              <w:spacing w:before="124" w:line="218" w:lineRule="auto"/>
              <w:ind w:left="133"/>
              <w:rPr>
                <w:rFonts w:hint="eastAsia" w:ascii="仿宋" w:hAnsi="仿宋" w:eastAsia="仿宋" w:cs="仿宋"/>
                <w:b w:val="0"/>
                <w:bCs w:val="0"/>
                <w:color w:val="auto"/>
                <w:kern w:val="0"/>
                <w:highlight w:val="none"/>
              </w:rPr>
            </w:pPr>
            <w:r>
              <w:rPr>
                <w:rFonts w:hint="eastAsia" w:ascii="仿宋" w:hAnsi="仿宋" w:eastAsia="仿宋" w:cs="仿宋"/>
                <w:b w:val="0"/>
                <w:bCs w:val="0"/>
                <w:color w:val="auto"/>
                <w:spacing w:val="-1"/>
                <w:kern w:val="0"/>
                <w:highlight w:val="none"/>
              </w:rPr>
              <w:t>报价有效期符合磋商文件要求</w:t>
            </w:r>
          </w:p>
        </w:tc>
      </w:tr>
      <w:tr w14:paraId="5C800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77" w:type="dxa"/>
            <w:vMerge w:val="continue"/>
            <w:tcBorders>
              <w:top w:val="single" w:color="auto" w:sz="4" w:space="0"/>
              <w:left w:val="single" w:color="auto" w:sz="4" w:space="0"/>
              <w:bottom w:val="single" w:color="auto" w:sz="4" w:space="0"/>
              <w:right w:val="single" w:color="auto" w:sz="4" w:space="0"/>
            </w:tcBorders>
            <w:noWrap w:val="0"/>
            <w:vAlign w:val="top"/>
          </w:tcPr>
          <w:p w14:paraId="0105B405">
            <w:pPr>
              <w:rPr>
                <w:rFonts w:hint="eastAsia" w:ascii="仿宋" w:hAnsi="仿宋" w:eastAsia="仿宋" w:cs="仿宋"/>
                <w:b w:val="0"/>
                <w:bCs w:val="0"/>
                <w:color w:val="auto"/>
                <w:kern w:val="0"/>
                <w:sz w:val="21"/>
                <w:highlight w:val="none"/>
              </w:rPr>
            </w:pPr>
          </w:p>
        </w:tc>
        <w:tc>
          <w:tcPr>
            <w:tcW w:w="874" w:type="dxa"/>
            <w:vMerge w:val="continue"/>
            <w:tcBorders>
              <w:top w:val="single" w:color="auto" w:sz="4" w:space="0"/>
              <w:left w:val="single" w:color="auto" w:sz="4" w:space="0"/>
              <w:bottom w:val="single" w:color="auto" w:sz="4" w:space="0"/>
              <w:right w:val="single" w:color="auto" w:sz="4" w:space="0"/>
            </w:tcBorders>
            <w:noWrap w:val="0"/>
            <w:vAlign w:val="top"/>
          </w:tcPr>
          <w:p w14:paraId="71588CB7">
            <w:pPr>
              <w:rPr>
                <w:rFonts w:hint="eastAsia" w:ascii="仿宋" w:hAnsi="仿宋" w:eastAsia="仿宋" w:cs="仿宋"/>
                <w:b w:val="0"/>
                <w:bCs w:val="0"/>
                <w:color w:val="auto"/>
                <w:kern w:val="0"/>
                <w:sz w:val="21"/>
                <w:highlight w:val="none"/>
              </w:rPr>
            </w:pPr>
          </w:p>
        </w:tc>
        <w:tc>
          <w:tcPr>
            <w:tcW w:w="6453" w:type="dxa"/>
            <w:tcBorders>
              <w:top w:val="single" w:color="auto" w:sz="4" w:space="0"/>
              <w:left w:val="single" w:color="auto" w:sz="4" w:space="0"/>
              <w:bottom w:val="single" w:color="auto" w:sz="4" w:space="0"/>
              <w:right w:val="single" w:color="auto" w:sz="4" w:space="0"/>
            </w:tcBorders>
            <w:noWrap w:val="0"/>
            <w:vAlign w:val="top"/>
          </w:tcPr>
          <w:p w14:paraId="7D3E86F2">
            <w:pPr>
              <w:pStyle w:val="25"/>
              <w:spacing w:before="137" w:line="219" w:lineRule="auto"/>
              <w:ind w:left="133"/>
              <w:rPr>
                <w:rFonts w:hint="eastAsia" w:ascii="仿宋" w:hAnsi="仿宋" w:eastAsia="仿宋" w:cs="仿宋"/>
                <w:b w:val="0"/>
                <w:bCs w:val="0"/>
                <w:color w:val="auto"/>
                <w:kern w:val="0"/>
                <w:highlight w:val="none"/>
              </w:rPr>
            </w:pPr>
            <w:r>
              <w:rPr>
                <w:rFonts w:hint="eastAsia" w:ascii="仿宋" w:hAnsi="仿宋" w:eastAsia="仿宋" w:cs="仿宋"/>
                <w:b w:val="0"/>
                <w:bCs w:val="0"/>
                <w:color w:val="auto"/>
                <w:spacing w:val="-1"/>
                <w:kern w:val="0"/>
                <w:highlight w:val="none"/>
              </w:rPr>
              <w:t>服务期符合磋商文件要求</w:t>
            </w:r>
          </w:p>
        </w:tc>
      </w:tr>
      <w:tr w14:paraId="22B9E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977" w:type="dxa"/>
            <w:vMerge w:val="continue"/>
            <w:tcBorders>
              <w:top w:val="single" w:color="auto" w:sz="4" w:space="0"/>
              <w:left w:val="single" w:color="auto" w:sz="4" w:space="0"/>
              <w:bottom w:val="single" w:color="auto" w:sz="4" w:space="0"/>
              <w:right w:val="single" w:color="auto" w:sz="4" w:space="0"/>
            </w:tcBorders>
            <w:noWrap w:val="0"/>
            <w:vAlign w:val="top"/>
          </w:tcPr>
          <w:p w14:paraId="40FD9D46">
            <w:pPr>
              <w:rPr>
                <w:rFonts w:hint="eastAsia" w:ascii="仿宋" w:hAnsi="仿宋" w:eastAsia="仿宋" w:cs="仿宋"/>
                <w:b w:val="0"/>
                <w:bCs w:val="0"/>
                <w:color w:val="auto"/>
                <w:kern w:val="0"/>
                <w:sz w:val="21"/>
                <w:highlight w:val="none"/>
              </w:rPr>
            </w:pPr>
          </w:p>
        </w:tc>
        <w:tc>
          <w:tcPr>
            <w:tcW w:w="874" w:type="dxa"/>
            <w:vMerge w:val="continue"/>
            <w:tcBorders>
              <w:top w:val="single" w:color="auto" w:sz="4" w:space="0"/>
              <w:left w:val="single" w:color="auto" w:sz="4" w:space="0"/>
              <w:bottom w:val="single" w:color="auto" w:sz="4" w:space="0"/>
              <w:right w:val="single" w:color="auto" w:sz="4" w:space="0"/>
            </w:tcBorders>
            <w:noWrap w:val="0"/>
            <w:vAlign w:val="top"/>
          </w:tcPr>
          <w:p w14:paraId="474327FA">
            <w:pPr>
              <w:rPr>
                <w:rFonts w:hint="eastAsia" w:ascii="仿宋" w:hAnsi="仿宋" w:eastAsia="仿宋" w:cs="仿宋"/>
                <w:b w:val="0"/>
                <w:bCs w:val="0"/>
                <w:color w:val="auto"/>
                <w:kern w:val="0"/>
                <w:sz w:val="21"/>
                <w:highlight w:val="none"/>
              </w:rPr>
            </w:pPr>
          </w:p>
        </w:tc>
        <w:tc>
          <w:tcPr>
            <w:tcW w:w="6453" w:type="dxa"/>
            <w:tcBorders>
              <w:top w:val="single" w:color="auto" w:sz="4" w:space="0"/>
              <w:left w:val="single" w:color="auto" w:sz="4" w:space="0"/>
              <w:bottom w:val="single" w:color="auto" w:sz="4" w:space="0"/>
              <w:right w:val="single" w:color="auto" w:sz="4" w:space="0"/>
            </w:tcBorders>
            <w:noWrap w:val="0"/>
            <w:vAlign w:val="top"/>
          </w:tcPr>
          <w:p w14:paraId="5F8CB5BE">
            <w:pPr>
              <w:pStyle w:val="25"/>
              <w:spacing w:before="128" w:line="219" w:lineRule="auto"/>
              <w:ind w:left="133"/>
              <w:rPr>
                <w:rFonts w:hint="eastAsia" w:ascii="仿宋" w:hAnsi="仿宋" w:eastAsia="仿宋" w:cs="仿宋"/>
                <w:b w:val="0"/>
                <w:bCs w:val="0"/>
                <w:color w:val="auto"/>
                <w:kern w:val="0"/>
                <w:highlight w:val="none"/>
              </w:rPr>
            </w:pPr>
            <w:r>
              <w:rPr>
                <w:rFonts w:hint="eastAsia" w:ascii="仿宋" w:hAnsi="仿宋" w:eastAsia="仿宋" w:cs="仿宋"/>
                <w:b w:val="0"/>
                <w:bCs w:val="0"/>
                <w:color w:val="auto"/>
                <w:spacing w:val="-1"/>
                <w:kern w:val="0"/>
                <w:highlight w:val="none"/>
              </w:rPr>
              <w:t>服务质量符合磋商文件要求</w:t>
            </w:r>
          </w:p>
        </w:tc>
      </w:tr>
      <w:tr w14:paraId="76D66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977" w:type="dxa"/>
            <w:vMerge w:val="continue"/>
            <w:tcBorders>
              <w:top w:val="single" w:color="auto" w:sz="4" w:space="0"/>
              <w:left w:val="single" w:color="auto" w:sz="4" w:space="0"/>
              <w:bottom w:val="single" w:color="auto" w:sz="4" w:space="0"/>
              <w:right w:val="single" w:color="auto" w:sz="4" w:space="0"/>
            </w:tcBorders>
            <w:noWrap w:val="0"/>
            <w:vAlign w:val="top"/>
          </w:tcPr>
          <w:p w14:paraId="159B4AB7">
            <w:pPr>
              <w:rPr>
                <w:rFonts w:hint="eastAsia" w:ascii="仿宋" w:hAnsi="仿宋" w:eastAsia="仿宋" w:cs="仿宋"/>
                <w:b w:val="0"/>
                <w:bCs w:val="0"/>
                <w:color w:val="auto"/>
                <w:kern w:val="0"/>
                <w:sz w:val="21"/>
                <w:highlight w:val="none"/>
              </w:rPr>
            </w:pPr>
          </w:p>
        </w:tc>
        <w:tc>
          <w:tcPr>
            <w:tcW w:w="874" w:type="dxa"/>
            <w:vMerge w:val="continue"/>
            <w:tcBorders>
              <w:top w:val="single" w:color="auto" w:sz="4" w:space="0"/>
              <w:left w:val="single" w:color="auto" w:sz="4" w:space="0"/>
              <w:bottom w:val="single" w:color="auto" w:sz="4" w:space="0"/>
              <w:right w:val="single" w:color="auto" w:sz="4" w:space="0"/>
            </w:tcBorders>
            <w:noWrap w:val="0"/>
            <w:vAlign w:val="top"/>
          </w:tcPr>
          <w:p w14:paraId="75E909C4">
            <w:pPr>
              <w:rPr>
                <w:rFonts w:hint="eastAsia" w:ascii="仿宋" w:hAnsi="仿宋" w:eastAsia="仿宋" w:cs="仿宋"/>
                <w:b w:val="0"/>
                <w:bCs w:val="0"/>
                <w:color w:val="auto"/>
                <w:kern w:val="0"/>
                <w:sz w:val="21"/>
                <w:highlight w:val="none"/>
              </w:rPr>
            </w:pPr>
          </w:p>
        </w:tc>
        <w:tc>
          <w:tcPr>
            <w:tcW w:w="6453" w:type="dxa"/>
            <w:tcBorders>
              <w:top w:val="single" w:color="auto" w:sz="4" w:space="0"/>
              <w:left w:val="single" w:color="auto" w:sz="4" w:space="0"/>
              <w:bottom w:val="single" w:color="auto" w:sz="4" w:space="0"/>
              <w:right w:val="single" w:color="auto" w:sz="4" w:space="0"/>
            </w:tcBorders>
            <w:noWrap w:val="0"/>
            <w:vAlign w:val="top"/>
          </w:tcPr>
          <w:p w14:paraId="1333229A">
            <w:pPr>
              <w:pStyle w:val="25"/>
              <w:spacing w:before="136" w:line="218" w:lineRule="auto"/>
              <w:ind w:left="133"/>
              <w:rPr>
                <w:rFonts w:hint="eastAsia" w:ascii="仿宋" w:hAnsi="仿宋" w:eastAsia="仿宋" w:cs="仿宋"/>
                <w:b w:val="0"/>
                <w:bCs w:val="0"/>
                <w:color w:val="auto"/>
                <w:kern w:val="0"/>
                <w:highlight w:val="none"/>
              </w:rPr>
            </w:pPr>
            <w:r>
              <w:rPr>
                <w:rFonts w:hint="eastAsia" w:ascii="仿宋" w:hAnsi="仿宋" w:eastAsia="仿宋" w:cs="仿宋"/>
                <w:b w:val="0"/>
                <w:bCs w:val="0"/>
                <w:color w:val="auto"/>
                <w:kern w:val="0"/>
                <w:highlight w:val="none"/>
              </w:rPr>
              <w:t>按照磋商文件规定报价只有一个有效报价且没有漏项</w:t>
            </w:r>
          </w:p>
        </w:tc>
      </w:tr>
      <w:tr w14:paraId="349DD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977" w:type="dxa"/>
            <w:vMerge w:val="continue"/>
            <w:tcBorders>
              <w:top w:val="single" w:color="auto" w:sz="4" w:space="0"/>
              <w:left w:val="single" w:color="auto" w:sz="4" w:space="0"/>
              <w:bottom w:val="single" w:color="auto" w:sz="4" w:space="0"/>
              <w:right w:val="single" w:color="auto" w:sz="4" w:space="0"/>
            </w:tcBorders>
            <w:noWrap w:val="0"/>
            <w:vAlign w:val="top"/>
          </w:tcPr>
          <w:p w14:paraId="7E8E54D6">
            <w:pPr>
              <w:rPr>
                <w:rFonts w:hint="eastAsia" w:ascii="仿宋" w:hAnsi="仿宋" w:eastAsia="仿宋" w:cs="仿宋"/>
                <w:b w:val="0"/>
                <w:bCs w:val="0"/>
                <w:color w:val="auto"/>
                <w:kern w:val="0"/>
                <w:sz w:val="21"/>
                <w:highlight w:val="none"/>
              </w:rPr>
            </w:pPr>
          </w:p>
        </w:tc>
        <w:tc>
          <w:tcPr>
            <w:tcW w:w="874" w:type="dxa"/>
            <w:vMerge w:val="continue"/>
            <w:tcBorders>
              <w:top w:val="single" w:color="auto" w:sz="4" w:space="0"/>
              <w:left w:val="single" w:color="auto" w:sz="4" w:space="0"/>
              <w:bottom w:val="single" w:color="auto" w:sz="4" w:space="0"/>
              <w:right w:val="single" w:color="auto" w:sz="4" w:space="0"/>
            </w:tcBorders>
            <w:noWrap w:val="0"/>
            <w:vAlign w:val="top"/>
          </w:tcPr>
          <w:p w14:paraId="367F520C">
            <w:pPr>
              <w:rPr>
                <w:rFonts w:hint="eastAsia" w:ascii="仿宋" w:hAnsi="仿宋" w:eastAsia="仿宋" w:cs="仿宋"/>
                <w:b w:val="0"/>
                <w:bCs w:val="0"/>
                <w:color w:val="auto"/>
                <w:kern w:val="0"/>
                <w:sz w:val="21"/>
                <w:highlight w:val="none"/>
              </w:rPr>
            </w:pPr>
          </w:p>
        </w:tc>
        <w:tc>
          <w:tcPr>
            <w:tcW w:w="6453" w:type="dxa"/>
            <w:tcBorders>
              <w:top w:val="single" w:color="auto" w:sz="4" w:space="0"/>
              <w:left w:val="single" w:color="auto" w:sz="4" w:space="0"/>
              <w:bottom w:val="single" w:color="auto" w:sz="4" w:space="0"/>
              <w:right w:val="single" w:color="auto" w:sz="4" w:space="0"/>
            </w:tcBorders>
            <w:noWrap w:val="0"/>
            <w:vAlign w:val="top"/>
          </w:tcPr>
          <w:p w14:paraId="25ABA6F7">
            <w:pPr>
              <w:pStyle w:val="25"/>
              <w:spacing w:before="129" w:line="219" w:lineRule="auto"/>
              <w:ind w:left="133"/>
              <w:rPr>
                <w:rFonts w:hint="eastAsia" w:ascii="仿宋" w:hAnsi="仿宋" w:eastAsia="仿宋" w:cs="仿宋"/>
                <w:b w:val="0"/>
                <w:bCs w:val="0"/>
                <w:color w:val="auto"/>
                <w:kern w:val="0"/>
                <w:highlight w:val="none"/>
              </w:rPr>
            </w:pPr>
            <w:r>
              <w:rPr>
                <w:rFonts w:hint="eastAsia" w:ascii="仿宋" w:hAnsi="仿宋" w:eastAsia="仿宋" w:cs="仿宋"/>
                <w:b w:val="0"/>
                <w:bCs w:val="0"/>
                <w:color w:val="auto"/>
                <w:kern w:val="0"/>
                <w:highlight w:val="none"/>
              </w:rPr>
              <w:t>无其他不符合磋商文件的实质性要求</w:t>
            </w:r>
          </w:p>
        </w:tc>
      </w:tr>
    </w:tbl>
    <w:p w14:paraId="18EB740B">
      <w:pPr>
        <w:rPr>
          <w:color w:val="auto"/>
          <w:highlight w:val="none"/>
        </w:rPr>
        <w:sectPr>
          <w:footerReference r:id="rId10" w:type="default"/>
          <w:pgSz w:w="11900" w:h="16840"/>
          <w:pgMar w:top="1440" w:right="1800" w:bottom="1440" w:left="1800" w:header="0" w:footer="849" w:gutter="0"/>
          <w:pgNumType w:fmt="decimal"/>
          <w:cols w:space="720" w:num="1"/>
        </w:sectPr>
      </w:pPr>
    </w:p>
    <w:p w14:paraId="6C1C4A19">
      <w:pPr>
        <w:spacing w:before="78" w:line="224" w:lineRule="auto"/>
        <w:rPr>
          <w:rFonts w:ascii="楷体" w:hAnsi="楷体" w:eastAsia="楷体" w:cs="楷体"/>
          <w:color w:val="auto"/>
          <w:kern w:val="0"/>
          <w:sz w:val="24"/>
          <w:szCs w:val="24"/>
          <w:highlight w:val="none"/>
        </w:rPr>
      </w:pPr>
      <w:r>
        <w:rPr>
          <w:rFonts w:ascii="楷体" w:hAnsi="楷体" w:eastAsia="楷体" w:cs="楷体"/>
          <w:color w:val="auto"/>
          <w:spacing w:val="4"/>
          <w:kern w:val="0"/>
          <w:sz w:val="24"/>
          <w:szCs w:val="24"/>
          <w:highlight w:val="none"/>
        </w:rPr>
        <w:t>2.3</w:t>
      </w:r>
      <w:r>
        <w:rPr>
          <w:rFonts w:hint="eastAsia" w:ascii="楷体" w:hAnsi="楷体" w:eastAsia="楷体" w:cs="楷体"/>
          <w:color w:val="auto"/>
          <w:spacing w:val="4"/>
          <w:kern w:val="0"/>
          <w:sz w:val="24"/>
          <w:szCs w:val="24"/>
          <w:highlight w:val="none"/>
          <w:lang w:val="en-US" w:eastAsia="zh-CN"/>
        </w:rPr>
        <w:t>报价</w:t>
      </w:r>
      <w:r>
        <w:rPr>
          <w:rFonts w:ascii="楷体" w:hAnsi="楷体" w:eastAsia="楷体" w:cs="楷体"/>
          <w:color w:val="auto"/>
          <w:spacing w:val="4"/>
          <w:kern w:val="0"/>
          <w:sz w:val="24"/>
          <w:szCs w:val="24"/>
          <w:highlight w:val="none"/>
        </w:rPr>
        <w:t>部分</w:t>
      </w:r>
    </w:p>
    <w:p w14:paraId="50649FBA">
      <w:pPr>
        <w:spacing w:line="127" w:lineRule="exact"/>
        <w:rPr>
          <w:rFonts w:ascii="Times New Roman" w:hAnsi="Times New Roman" w:eastAsia="Times New Roman" w:cs="Times New Roman"/>
          <w:color w:val="auto"/>
          <w:kern w:val="0"/>
          <w:sz w:val="24"/>
          <w:highlight w:val="none"/>
        </w:rPr>
      </w:pPr>
    </w:p>
    <w:tbl>
      <w:tblPr>
        <w:tblStyle w:val="26"/>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7"/>
        <w:gridCol w:w="6001"/>
        <w:gridCol w:w="1037"/>
      </w:tblGrid>
      <w:tr w14:paraId="57523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297" w:type="dxa"/>
            <w:vAlign w:val="center"/>
          </w:tcPr>
          <w:p w14:paraId="081523A0">
            <w:pPr>
              <w:widowControl w:val="0"/>
              <w:spacing w:before="273" w:line="219" w:lineRule="auto"/>
              <w:ind w:left="150"/>
              <w:jc w:val="both"/>
              <w:rPr>
                <w:rFonts w:ascii="宋体" w:hAnsi="宋体" w:eastAsia="宋体" w:cs="宋体"/>
                <w:kern w:val="2"/>
                <w:sz w:val="24"/>
                <w:szCs w:val="24"/>
                <w:lang w:val="en-US" w:eastAsia="en-US" w:bidi="ar-SA"/>
              </w:rPr>
            </w:pPr>
            <w:r>
              <w:rPr>
                <w:rFonts w:ascii="宋体" w:hAnsi="宋体" w:eastAsia="宋体" w:cs="宋体"/>
                <w:b/>
                <w:bCs/>
                <w:spacing w:val="-5"/>
                <w:kern w:val="2"/>
                <w:sz w:val="24"/>
                <w:szCs w:val="24"/>
                <w:lang w:val="en-US" w:eastAsia="en-US" w:bidi="ar-SA"/>
              </w:rPr>
              <w:t>评分因素</w:t>
            </w:r>
          </w:p>
        </w:tc>
        <w:tc>
          <w:tcPr>
            <w:tcW w:w="6001" w:type="dxa"/>
            <w:vAlign w:val="center"/>
          </w:tcPr>
          <w:p w14:paraId="379DFB29">
            <w:pPr>
              <w:widowControl w:val="0"/>
              <w:spacing w:before="272" w:line="220" w:lineRule="auto"/>
              <w:ind w:left="2897"/>
              <w:jc w:val="both"/>
              <w:rPr>
                <w:rFonts w:ascii="宋体" w:hAnsi="宋体" w:eastAsia="宋体" w:cs="宋体"/>
                <w:kern w:val="2"/>
                <w:sz w:val="24"/>
                <w:szCs w:val="24"/>
                <w:lang w:val="en-US" w:eastAsia="en-US" w:bidi="ar-SA"/>
              </w:rPr>
            </w:pPr>
            <w:r>
              <w:rPr>
                <w:rFonts w:ascii="宋体" w:hAnsi="宋体" w:eastAsia="宋体" w:cs="宋体"/>
                <w:b/>
                <w:bCs/>
                <w:spacing w:val="-11"/>
                <w:kern w:val="2"/>
                <w:sz w:val="24"/>
                <w:szCs w:val="24"/>
                <w:lang w:val="en-US" w:eastAsia="en-US" w:bidi="ar-SA"/>
              </w:rPr>
              <w:t>评</w:t>
            </w:r>
            <w:r>
              <w:rPr>
                <w:rFonts w:hint="eastAsia" w:ascii="宋体" w:hAnsi="宋体" w:eastAsia="宋体" w:cs="宋体"/>
                <w:b/>
                <w:bCs/>
                <w:spacing w:val="-11"/>
                <w:kern w:val="2"/>
                <w:sz w:val="24"/>
                <w:szCs w:val="24"/>
                <w:lang w:val="en-US" w:eastAsia="zh-CN" w:bidi="ar-SA"/>
              </w:rPr>
              <w:t xml:space="preserve"> </w:t>
            </w:r>
            <w:r>
              <w:rPr>
                <w:rFonts w:ascii="宋体" w:hAnsi="宋体" w:eastAsia="宋体" w:cs="宋体"/>
                <w:b/>
                <w:bCs/>
                <w:spacing w:val="-11"/>
                <w:kern w:val="2"/>
                <w:sz w:val="24"/>
                <w:szCs w:val="24"/>
                <w:lang w:val="en-US" w:eastAsia="en-US" w:bidi="ar-SA"/>
              </w:rPr>
              <w:t>分</w:t>
            </w:r>
            <w:r>
              <w:rPr>
                <w:rFonts w:hint="eastAsia" w:ascii="宋体" w:hAnsi="宋体" w:eastAsia="宋体" w:cs="宋体"/>
                <w:b/>
                <w:bCs/>
                <w:spacing w:val="-11"/>
                <w:kern w:val="2"/>
                <w:sz w:val="24"/>
                <w:szCs w:val="24"/>
                <w:lang w:val="en-US" w:eastAsia="zh-CN" w:bidi="ar-SA"/>
              </w:rPr>
              <w:t xml:space="preserve"> </w:t>
            </w:r>
            <w:r>
              <w:rPr>
                <w:rFonts w:ascii="宋体" w:hAnsi="宋体" w:eastAsia="宋体" w:cs="宋体"/>
                <w:b/>
                <w:bCs/>
                <w:spacing w:val="-11"/>
                <w:kern w:val="2"/>
                <w:sz w:val="24"/>
                <w:szCs w:val="24"/>
                <w:lang w:val="en-US" w:eastAsia="en-US" w:bidi="ar-SA"/>
              </w:rPr>
              <w:t>标</w:t>
            </w:r>
            <w:r>
              <w:rPr>
                <w:rFonts w:hint="eastAsia" w:ascii="宋体" w:hAnsi="宋体" w:eastAsia="宋体" w:cs="宋体"/>
                <w:b/>
                <w:bCs/>
                <w:spacing w:val="-11"/>
                <w:kern w:val="2"/>
                <w:sz w:val="24"/>
                <w:szCs w:val="24"/>
                <w:lang w:val="en-US" w:eastAsia="zh-CN" w:bidi="ar-SA"/>
              </w:rPr>
              <w:t xml:space="preserve"> </w:t>
            </w:r>
            <w:r>
              <w:rPr>
                <w:rFonts w:ascii="宋体" w:hAnsi="宋体" w:eastAsia="宋体" w:cs="宋体"/>
                <w:b/>
                <w:bCs/>
                <w:spacing w:val="-11"/>
                <w:kern w:val="2"/>
                <w:sz w:val="24"/>
                <w:szCs w:val="24"/>
                <w:lang w:val="en-US" w:eastAsia="en-US" w:bidi="ar-SA"/>
              </w:rPr>
              <w:t>准</w:t>
            </w:r>
          </w:p>
        </w:tc>
        <w:tc>
          <w:tcPr>
            <w:tcW w:w="1037" w:type="dxa"/>
            <w:vAlign w:val="center"/>
          </w:tcPr>
          <w:p w14:paraId="32704698">
            <w:pPr>
              <w:widowControl w:val="0"/>
              <w:spacing w:before="40" w:line="219" w:lineRule="auto"/>
              <w:ind w:left="137"/>
              <w:jc w:val="both"/>
              <w:rPr>
                <w:rFonts w:ascii="宋体" w:hAnsi="宋体" w:eastAsia="宋体" w:cs="宋体"/>
                <w:kern w:val="2"/>
                <w:sz w:val="24"/>
                <w:szCs w:val="24"/>
                <w:lang w:val="en-US" w:eastAsia="en-US" w:bidi="ar-SA"/>
              </w:rPr>
            </w:pPr>
            <w:r>
              <w:rPr>
                <w:rFonts w:ascii="宋体" w:hAnsi="宋体" w:eastAsia="宋体" w:cs="宋体"/>
                <w:b/>
                <w:bCs/>
                <w:spacing w:val="-9"/>
                <w:kern w:val="2"/>
                <w:sz w:val="24"/>
                <w:szCs w:val="24"/>
                <w:lang w:val="en-US" w:eastAsia="en-US" w:bidi="ar-SA"/>
              </w:rPr>
              <w:t>最高分值</w:t>
            </w:r>
          </w:p>
        </w:tc>
      </w:tr>
      <w:tr w14:paraId="5AFE8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97" w:type="dxa"/>
            <w:tcBorders>
              <w:bottom w:val="single" w:color="auto" w:sz="4" w:space="0"/>
            </w:tcBorders>
            <w:vAlign w:val="center"/>
          </w:tcPr>
          <w:p w14:paraId="5876EC26">
            <w:pPr>
              <w:widowControl w:val="0"/>
              <w:spacing w:before="37" w:line="219" w:lineRule="auto"/>
              <w:ind w:left="156"/>
              <w:jc w:val="both"/>
              <w:rPr>
                <w:rFonts w:hint="eastAsia" w:ascii="宋体" w:hAnsi="宋体" w:eastAsia="宋体" w:cs="宋体"/>
                <w:b/>
                <w:bCs/>
                <w:spacing w:val="-7"/>
                <w:kern w:val="2"/>
                <w:sz w:val="24"/>
                <w:szCs w:val="24"/>
                <w:lang w:val="en-US" w:eastAsia="zh-CN" w:bidi="ar-SA"/>
              </w:rPr>
            </w:pPr>
            <w:r>
              <w:rPr>
                <w:rFonts w:hint="eastAsia" w:ascii="宋体" w:hAnsi="宋体" w:eastAsia="宋体" w:cs="宋体"/>
                <w:b/>
                <w:bCs/>
                <w:spacing w:val="-7"/>
                <w:kern w:val="2"/>
                <w:sz w:val="24"/>
                <w:szCs w:val="24"/>
                <w:lang w:val="en-US" w:eastAsia="zh-CN" w:bidi="ar-SA"/>
              </w:rPr>
              <w:t>价格部分</w:t>
            </w:r>
          </w:p>
        </w:tc>
        <w:tc>
          <w:tcPr>
            <w:tcW w:w="6001" w:type="dxa"/>
            <w:tcBorders>
              <w:bottom w:val="single" w:color="auto" w:sz="4" w:space="0"/>
            </w:tcBorders>
            <w:vAlign w:val="center"/>
          </w:tcPr>
          <w:p w14:paraId="59596C2F">
            <w:pPr>
              <w:widowControl w:val="0"/>
              <w:spacing w:before="37" w:line="219" w:lineRule="auto"/>
              <w:ind w:left="156"/>
              <w:jc w:val="center"/>
              <w:rPr>
                <w:rFonts w:hint="eastAsia" w:ascii="宋体" w:hAnsi="宋体" w:eastAsia="宋体" w:cs="宋体"/>
                <w:b/>
                <w:bCs/>
                <w:spacing w:val="-7"/>
                <w:kern w:val="2"/>
                <w:sz w:val="24"/>
                <w:szCs w:val="24"/>
                <w:lang w:val="en-US" w:eastAsia="zh-CN" w:bidi="ar-SA"/>
              </w:rPr>
            </w:pPr>
            <w:r>
              <w:rPr>
                <w:rFonts w:hint="eastAsia" w:ascii="宋体" w:hAnsi="宋体" w:eastAsia="宋体" w:cs="宋体"/>
                <w:b w:val="0"/>
                <w:bCs w:val="0"/>
                <w:spacing w:val="-7"/>
                <w:kern w:val="2"/>
                <w:sz w:val="24"/>
                <w:szCs w:val="24"/>
                <w:lang w:val="en-US" w:eastAsia="zh-CN" w:bidi="ar-SA"/>
              </w:rPr>
              <w:t>1</w:t>
            </w:r>
            <w:r>
              <w:rPr>
                <w:rFonts w:ascii="宋体" w:hAnsi="宋体" w:eastAsia="宋体" w:cs="宋体"/>
                <w:b w:val="0"/>
                <w:bCs w:val="0"/>
                <w:spacing w:val="-7"/>
                <w:kern w:val="2"/>
                <w:sz w:val="24"/>
                <w:szCs w:val="24"/>
                <w:lang w:val="en-US" w:eastAsia="en-US" w:bidi="ar-SA"/>
              </w:rPr>
              <w:t>0 分</w:t>
            </w:r>
          </w:p>
        </w:tc>
        <w:tc>
          <w:tcPr>
            <w:tcW w:w="1037" w:type="dxa"/>
            <w:tcBorders>
              <w:bottom w:val="single" w:color="auto" w:sz="4" w:space="0"/>
            </w:tcBorders>
            <w:vAlign w:val="center"/>
          </w:tcPr>
          <w:p w14:paraId="728994F5">
            <w:pPr>
              <w:widowControl w:val="0"/>
              <w:spacing w:before="78" w:line="220" w:lineRule="auto"/>
              <w:jc w:val="center"/>
              <w:rPr>
                <w:rFonts w:hint="eastAsia" w:ascii="宋体" w:hAnsi="宋体" w:eastAsia="宋体" w:cs="宋体"/>
                <w:spacing w:val="-10"/>
                <w:kern w:val="2"/>
                <w:sz w:val="24"/>
                <w:szCs w:val="24"/>
                <w:lang w:val="en-US" w:eastAsia="zh-CN" w:bidi="ar-SA"/>
              </w:rPr>
            </w:pPr>
          </w:p>
        </w:tc>
      </w:tr>
      <w:tr w14:paraId="777CB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297" w:type="dxa"/>
            <w:tcBorders>
              <w:top w:val="single" w:color="auto" w:sz="4" w:space="0"/>
              <w:left w:val="single" w:color="auto" w:sz="4" w:space="0"/>
              <w:bottom w:val="single" w:color="auto" w:sz="4" w:space="0"/>
              <w:right w:val="single" w:color="auto" w:sz="4" w:space="0"/>
            </w:tcBorders>
            <w:vAlign w:val="center"/>
          </w:tcPr>
          <w:p w14:paraId="4F807CE4">
            <w:pPr>
              <w:widowControl w:val="0"/>
              <w:spacing w:before="78" w:line="218" w:lineRule="auto"/>
              <w:jc w:val="center"/>
              <w:rPr>
                <w:rFonts w:ascii="宋体" w:hAnsi="宋体" w:eastAsia="宋体" w:cs="宋体"/>
                <w:kern w:val="2"/>
                <w:sz w:val="24"/>
                <w:szCs w:val="24"/>
                <w:lang w:val="en-US" w:eastAsia="en-US" w:bidi="ar-SA"/>
              </w:rPr>
            </w:pPr>
            <w:r>
              <w:rPr>
                <w:rFonts w:ascii="宋体" w:hAnsi="宋体" w:eastAsia="宋体" w:cs="宋体"/>
                <w:b/>
                <w:bCs/>
                <w:spacing w:val="13"/>
                <w:kern w:val="2"/>
                <w:sz w:val="24"/>
                <w:szCs w:val="24"/>
                <w:lang w:val="en-US" w:eastAsia="en-US" w:bidi="ar-SA"/>
              </w:rPr>
              <w:t>评标价格</w:t>
            </w:r>
          </w:p>
        </w:tc>
        <w:tc>
          <w:tcPr>
            <w:tcW w:w="6001" w:type="dxa"/>
            <w:tcBorders>
              <w:top w:val="single" w:color="auto" w:sz="4" w:space="0"/>
              <w:left w:val="single" w:color="auto" w:sz="4" w:space="0"/>
              <w:bottom w:val="single" w:color="auto" w:sz="4" w:space="0"/>
              <w:right w:val="single" w:color="auto" w:sz="4" w:space="0"/>
            </w:tcBorders>
            <w:vAlign w:val="center"/>
          </w:tcPr>
          <w:p w14:paraId="16FEB195">
            <w:pPr>
              <w:numPr>
                <w:ilvl w:val="0"/>
                <w:numId w:val="0"/>
              </w:numPr>
              <w:snapToGrid w:val="0"/>
              <w:spacing w:after="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用低价优先法计算，即满足本磋商文件要求且报价最低的供应商的价格为磋商基准价，其价格分为满分。其他供应商的价格分统一按照下列公式计算：磋商报价得分=(磋商基准价/最后磋商报价)×价格权值(价格权值为10%)×100。超过了采购项目预算或最高限价的，为无效响应。</w:t>
            </w:r>
          </w:p>
          <w:p w14:paraId="7E12CE78">
            <w:pPr>
              <w:numPr>
                <w:ilvl w:val="0"/>
                <w:numId w:val="0"/>
              </w:numPr>
              <w:snapToGrid w:val="0"/>
              <w:spacing w:after="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强化政府采购异常低价审查</w:t>
            </w:r>
            <w:r>
              <w:rPr>
                <w:rFonts w:hint="eastAsia" w:ascii="仿宋" w:hAnsi="仿宋" w:eastAsia="仿宋" w:cs="仿宋"/>
                <w:color w:val="auto"/>
                <w:sz w:val="24"/>
                <w:szCs w:val="24"/>
                <w:lang w:val="en-US" w:eastAsia="zh-CN"/>
              </w:rPr>
              <w:t>：</w:t>
            </w:r>
          </w:p>
          <w:p w14:paraId="0A882E94">
            <w:pPr>
              <w:numPr>
                <w:ilvl w:val="0"/>
                <w:numId w:val="0"/>
              </w:numPr>
              <w:snapToGrid w:val="0"/>
              <w:spacing w:after="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根据“财库〔2026〕2号关于推动解决政府采购异常低价问题的通知》”第六十条之规定：采购人应当在采购文件中明确，政府采购评审中出现下列情形之一的，评审委员会应当启动异常低价投标（响应）审查程序：</w:t>
            </w:r>
          </w:p>
          <w:p w14:paraId="190789BF">
            <w:pPr>
              <w:numPr>
                <w:ilvl w:val="0"/>
                <w:numId w:val="0"/>
              </w:numPr>
              <w:snapToGrid w:val="0"/>
              <w:spacing w:after="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1.投标（响应）报价低于全部通过符合性审查供应商投标（响应）报价平均值</w:t>
            </w:r>
            <w:r>
              <w:rPr>
                <w:rFonts w:hint="eastAsia" w:ascii="仿宋" w:hAnsi="仿宋" w:eastAsia="仿宋" w:cs="仿宋"/>
                <w:color w:val="auto"/>
                <w:kern w:val="0"/>
                <w:sz w:val="24"/>
                <w:szCs w:val="24"/>
                <w:lang w:val="en-US" w:eastAsia="zh-CN"/>
              </w:rPr>
              <w:t>60</w:t>
            </w:r>
            <w:r>
              <w:rPr>
                <w:rFonts w:hint="eastAsia" w:ascii="仿宋" w:hAnsi="仿宋" w:eastAsia="仿宋" w:cs="仿宋"/>
                <w:color w:val="auto"/>
                <w:kern w:val="0"/>
                <w:sz w:val="24"/>
                <w:szCs w:val="24"/>
              </w:rPr>
              <w:t>%的，即投标（响应）报价&lt;全部通过符合性审查供应商投标（响应）报价平均值×</w:t>
            </w:r>
            <w:r>
              <w:rPr>
                <w:rFonts w:hint="eastAsia" w:ascii="仿宋" w:hAnsi="仿宋" w:eastAsia="仿宋" w:cs="仿宋"/>
                <w:color w:val="auto"/>
                <w:kern w:val="0"/>
                <w:sz w:val="24"/>
                <w:szCs w:val="24"/>
                <w:lang w:val="en-US" w:eastAsia="zh-CN"/>
              </w:rPr>
              <w:t>60</w:t>
            </w:r>
            <w:r>
              <w:rPr>
                <w:rFonts w:hint="eastAsia" w:ascii="仿宋" w:hAnsi="仿宋" w:eastAsia="仿宋" w:cs="仿宋"/>
                <w:color w:val="auto"/>
                <w:kern w:val="0"/>
                <w:sz w:val="24"/>
                <w:szCs w:val="24"/>
              </w:rPr>
              <w:t>%；</w:t>
            </w:r>
          </w:p>
          <w:p w14:paraId="45546846">
            <w:pPr>
              <w:numPr>
                <w:ilvl w:val="0"/>
                <w:numId w:val="0"/>
              </w:numPr>
              <w:snapToGrid w:val="0"/>
              <w:spacing w:after="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2.投标（响应）报价低于通过符合性审查的次低报价供应商投标（响应）报价</w:t>
            </w:r>
            <w:r>
              <w:rPr>
                <w:rFonts w:hint="eastAsia" w:ascii="仿宋" w:hAnsi="仿宋" w:eastAsia="仿宋" w:cs="仿宋"/>
                <w:color w:val="auto"/>
                <w:kern w:val="0"/>
                <w:sz w:val="24"/>
                <w:szCs w:val="24"/>
                <w:lang w:val="en-US" w:eastAsia="zh-CN"/>
              </w:rPr>
              <w:t>60</w:t>
            </w:r>
            <w:r>
              <w:rPr>
                <w:rFonts w:hint="eastAsia" w:ascii="仿宋" w:hAnsi="仿宋" w:eastAsia="仿宋" w:cs="仿宋"/>
                <w:color w:val="auto"/>
                <w:kern w:val="0"/>
                <w:sz w:val="24"/>
                <w:szCs w:val="24"/>
              </w:rPr>
              <w:t>%的，即投标（响应）报价&lt;通过符合性审查的次低报价供应商投标（响应）报价×</w:t>
            </w:r>
            <w:r>
              <w:rPr>
                <w:rFonts w:hint="eastAsia" w:ascii="仿宋" w:hAnsi="仿宋" w:eastAsia="仿宋" w:cs="仿宋"/>
                <w:color w:val="auto"/>
                <w:kern w:val="0"/>
                <w:sz w:val="24"/>
                <w:szCs w:val="24"/>
                <w:lang w:val="en-US" w:eastAsia="zh-CN"/>
              </w:rPr>
              <w:t>60</w:t>
            </w:r>
            <w:r>
              <w:rPr>
                <w:rFonts w:hint="eastAsia" w:ascii="仿宋" w:hAnsi="仿宋" w:eastAsia="仿宋" w:cs="仿宋"/>
                <w:color w:val="auto"/>
                <w:kern w:val="0"/>
                <w:sz w:val="24"/>
                <w:szCs w:val="24"/>
              </w:rPr>
              <w:t>%；</w:t>
            </w:r>
          </w:p>
          <w:p w14:paraId="3B5AB087">
            <w:pPr>
              <w:numPr>
                <w:ilvl w:val="0"/>
                <w:numId w:val="0"/>
              </w:numPr>
              <w:snapToGrid w:val="0"/>
              <w:spacing w:after="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3.投标（响应）报价低于采购项目最高限价</w:t>
            </w:r>
            <w:r>
              <w:rPr>
                <w:rFonts w:hint="eastAsia" w:ascii="仿宋" w:hAnsi="仿宋" w:eastAsia="仿宋" w:cs="仿宋"/>
                <w:color w:val="auto"/>
                <w:kern w:val="0"/>
                <w:sz w:val="24"/>
                <w:szCs w:val="24"/>
                <w:lang w:val="en-US" w:eastAsia="zh-CN"/>
              </w:rPr>
              <w:t>60</w:t>
            </w:r>
            <w:r>
              <w:rPr>
                <w:rFonts w:hint="eastAsia" w:ascii="仿宋" w:hAnsi="仿宋" w:eastAsia="仿宋" w:cs="仿宋"/>
                <w:color w:val="auto"/>
                <w:kern w:val="0"/>
                <w:sz w:val="24"/>
                <w:szCs w:val="24"/>
              </w:rPr>
              <w:t>%的，即投标（响应）报价&lt;采购项目最高限价×</w:t>
            </w:r>
            <w:r>
              <w:rPr>
                <w:rFonts w:hint="eastAsia" w:ascii="仿宋" w:hAnsi="仿宋" w:eastAsia="仿宋" w:cs="仿宋"/>
                <w:color w:val="auto"/>
                <w:kern w:val="0"/>
                <w:sz w:val="24"/>
                <w:szCs w:val="24"/>
                <w:lang w:val="en-US" w:eastAsia="zh-CN"/>
              </w:rPr>
              <w:t>60</w:t>
            </w:r>
            <w:r>
              <w:rPr>
                <w:rFonts w:hint="eastAsia" w:ascii="仿宋" w:hAnsi="仿宋" w:eastAsia="仿宋" w:cs="仿宋"/>
                <w:color w:val="auto"/>
                <w:kern w:val="0"/>
                <w:sz w:val="24"/>
                <w:szCs w:val="24"/>
              </w:rPr>
              <w:t>%；</w:t>
            </w:r>
          </w:p>
          <w:p w14:paraId="652F306C">
            <w:pPr>
              <w:numPr>
                <w:ilvl w:val="0"/>
                <w:numId w:val="0"/>
              </w:numPr>
              <w:snapToGrid w:val="0"/>
              <w:spacing w:after="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4.评审委员会基于专业判断，认为供应商报价过低，有可能影响产品质量或者不能诚信履约的其他情形。</w:t>
            </w:r>
          </w:p>
          <w:p w14:paraId="7453DCC8">
            <w:pPr>
              <w:numPr>
                <w:ilvl w:val="0"/>
                <w:numId w:val="0"/>
              </w:numPr>
              <w:snapToGrid w:val="0"/>
              <w:spacing w:after="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采购人可以结合具体项目实际情况，提高上述第1项至第3项中启动异常低价投标（响应）审查的数值标准，但是最高不得超过6</w:t>
            </w:r>
            <w:r>
              <w:rPr>
                <w:rFonts w:hint="eastAsia" w:ascii="仿宋" w:hAnsi="仿宋" w:eastAsia="仿宋" w:cs="仿宋"/>
                <w:color w:val="auto"/>
                <w:kern w:val="0"/>
                <w:sz w:val="24"/>
                <w:szCs w:val="24"/>
                <w:lang w:val="en-US" w:eastAsia="zh-CN"/>
              </w:rPr>
              <w:t>0</w:t>
            </w:r>
            <w:r>
              <w:rPr>
                <w:rFonts w:hint="eastAsia" w:ascii="仿宋" w:hAnsi="仿宋" w:eastAsia="仿宋" w:cs="仿宋"/>
                <w:color w:val="auto"/>
                <w:kern w:val="0"/>
                <w:sz w:val="24"/>
                <w:szCs w:val="24"/>
              </w:rPr>
              <w:t>%。</w:t>
            </w:r>
          </w:p>
          <w:p w14:paraId="7CA0E2D8">
            <w:pPr>
              <w:pStyle w:val="4"/>
              <w:rPr>
                <w:lang w:val="en-US" w:eastAsia="en-US"/>
              </w:rPr>
            </w:pPr>
            <w:r>
              <w:rPr>
                <w:rFonts w:hint="eastAsia" w:ascii="仿宋" w:hAnsi="仿宋" w:eastAsia="仿宋" w:cs="仿宋"/>
                <w:color w:val="auto"/>
                <w:kern w:val="0"/>
                <w:sz w:val="24"/>
                <w:szCs w:val="24"/>
              </w:rPr>
              <w:t>相关法律法规对供应商报价有规定的，从其规定。</w:t>
            </w:r>
          </w:p>
        </w:tc>
        <w:tc>
          <w:tcPr>
            <w:tcW w:w="1037" w:type="dxa"/>
            <w:tcBorders>
              <w:top w:val="single" w:color="auto" w:sz="4" w:space="0"/>
              <w:left w:val="single" w:color="auto" w:sz="4" w:space="0"/>
              <w:bottom w:val="single" w:color="auto" w:sz="4" w:space="0"/>
              <w:right w:val="single" w:color="auto" w:sz="4" w:space="0"/>
            </w:tcBorders>
            <w:vAlign w:val="center"/>
          </w:tcPr>
          <w:p w14:paraId="60B91C4E">
            <w:pPr>
              <w:keepNext w:val="0"/>
              <w:keepLines w:val="0"/>
              <w:pageBreakBefore w:val="0"/>
              <w:widowControl w:val="0"/>
              <w:kinsoku/>
              <w:wordWrap/>
              <w:overflowPunct/>
              <w:topLinePunct w:val="0"/>
              <w:autoSpaceDE/>
              <w:autoSpaceDN/>
              <w:bidi w:val="0"/>
              <w:adjustRightInd/>
              <w:snapToGrid/>
              <w:spacing w:before="76" w:line="360" w:lineRule="auto"/>
              <w:ind w:left="119" w:right="102" w:hanging="6"/>
              <w:jc w:val="both"/>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10分</w:t>
            </w:r>
          </w:p>
        </w:tc>
      </w:tr>
      <w:tr w14:paraId="20FE5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8335" w:type="dxa"/>
            <w:gridSpan w:val="3"/>
            <w:tcBorders>
              <w:top w:val="single" w:color="auto" w:sz="4" w:space="0"/>
              <w:left w:val="nil"/>
              <w:bottom w:val="single" w:color="auto" w:sz="4" w:space="0"/>
              <w:right w:val="nil"/>
            </w:tcBorders>
            <w:vAlign w:val="center"/>
          </w:tcPr>
          <w:p w14:paraId="1CD0B2B7">
            <w:pPr>
              <w:spacing w:before="78" w:line="224" w:lineRule="auto"/>
              <w:rPr>
                <w:rFonts w:hint="default" w:ascii="楷体" w:hAnsi="楷体" w:eastAsia="楷体" w:cs="楷体"/>
                <w:color w:val="auto"/>
                <w:spacing w:val="4"/>
                <w:kern w:val="0"/>
                <w:sz w:val="24"/>
                <w:szCs w:val="24"/>
                <w:highlight w:val="none"/>
                <w:lang w:val="en-US" w:eastAsia="zh-CN"/>
              </w:rPr>
            </w:pPr>
            <w:r>
              <w:rPr>
                <w:rFonts w:hint="eastAsia" w:ascii="楷体" w:hAnsi="楷体" w:eastAsia="楷体" w:cs="楷体"/>
                <w:color w:val="auto"/>
                <w:spacing w:val="4"/>
                <w:kern w:val="0"/>
                <w:sz w:val="24"/>
                <w:szCs w:val="24"/>
                <w:highlight w:val="none"/>
                <w:lang w:val="en-US" w:eastAsia="zh-CN"/>
              </w:rPr>
              <w:t>2.4</w:t>
            </w:r>
            <w:r>
              <w:rPr>
                <w:rFonts w:ascii="楷体" w:hAnsi="楷体" w:eastAsia="楷体" w:cs="楷体"/>
                <w:color w:val="auto"/>
                <w:spacing w:val="4"/>
                <w:kern w:val="0"/>
                <w:sz w:val="24"/>
                <w:szCs w:val="24"/>
                <w:highlight w:val="none"/>
                <w:lang w:val="en-US" w:eastAsia="en-US"/>
              </w:rPr>
              <w:t>商务</w:t>
            </w:r>
            <w:r>
              <w:rPr>
                <w:rFonts w:hint="eastAsia" w:ascii="楷体" w:hAnsi="楷体" w:eastAsia="楷体" w:cs="楷体"/>
                <w:color w:val="auto"/>
                <w:spacing w:val="4"/>
                <w:kern w:val="0"/>
                <w:sz w:val="24"/>
                <w:szCs w:val="24"/>
                <w:highlight w:val="none"/>
                <w:lang w:val="en-US" w:eastAsia="zh-CN"/>
              </w:rPr>
              <w:t>、技术</w:t>
            </w:r>
            <w:r>
              <w:rPr>
                <w:rFonts w:ascii="楷体" w:hAnsi="楷体" w:eastAsia="楷体" w:cs="楷体"/>
                <w:color w:val="auto"/>
                <w:spacing w:val="4"/>
                <w:kern w:val="0"/>
                <w:sz w:val="24"/>
                <w:szCs w:val="24"/>
                <w:highlight w:val="none"/>
                <w:lang w:val="en-US" w:eastAsia="en-US"/>
              </w:rPr>
              <w:t>部分</w:t>
            </w:r>
            <w:r>
              <w:rPr>
                <w:rFonts w:hint="eastAsia" w:ascii="楷体" w:hAnsi="楷体" w:eastAsia="楷体" w:cs="楷体"/>
                <w:color w:val="auto"/>
                <w:spacing w:val="4"/>
                <w:kern w:val="0"/>
                <w:sz w:val="24"/>
                <w:szCs w:val="24"/>
                <w:highlight w:val="none"/>
                <w:lang w:val="en-US" w:eastAsia="zh-CN"/>
              </w:rPr>
              <w:t>（90分）</w:t>
            </w:r>
          </w:p>
        </w:tc>
      </w:tr>
      <w:tr w14:paraId="6B827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6459E0AC">
            <w:pPr>
              <w:widowControl w:val="0"/>
              <w:spacing w:before="78" w:line="218" w:lineRule="auto"/>
              <w:jc w:val="center"/>
              <w:rPr>
                <w:rFonts w:ascii="宋体" w:hAnsi="宋体" w:eastAsia="宋体" w:cs="宋体"/>
                <w:b/>
                <w:bCs/>
                <w:spacing w:val="13"/>
                <w:kern w:val="2"/>
                <w:sz w:val="24"/>
                <w:szCs w:val="24"/>
                <w:lang w:val="en-US" w:eastAsia="en-US" w:bidi="ar-SA"/>
              </w:rPr>
            </w:pPr>
            <w:r>
              <w:rPr>
                <w:rFonts w:ascii="宋体" w:hAnsi="宋体" w:eastAsia="宋体" w:cs="宋体"/>
                <w:b/>
                <w:bCs/>
                <w:spacing w:val="13"/>
                <w:kern w:val="2"/>
                <w:sz w:val="24"/>
                <w:szCs w:val="24"/>
                <w:lang w:val="en-US" w:eastAsia="en-US" w:bidi="ar-SA"/>
              </w:rPr>
              <w:t>业绩</w:t>
            </w:r>
          </w:p>
        </w:tc>
        <w:tc>
          <w:tcPr>
            <w:tcW w:w="6001" w:type="dxa"/>
            <w:tcBorders>
              <w:top w:val="single" w:color="auto" w:sz="4" w:space="0"/>
              <w:left w:val="single" w:color="auto" w:sz="4" w:space="0"/>
              <w:bottom w:val="single" w:color="auto" w:sz="4" w:space="0"/>
              <w:right w:val="single" w:color="auto" w:sz="4" w:space="0"/>
            </w:tcBorders>
            <w:shd w:val="clear" w:color="auto" w:fill="auto"/>
            <w:vAlign w:val="center"/>
          </w:tcPr>
          <w:p w14:paraId="49F27B11">
            <w:pPr>
              <w:keepNext w:val="0"/>
              <w:keepLines w:val="0"/>
              <w:pageBreakBefore w:val="0"/>
              <w:widowControl w:val="0"/>
              <w:kinsoku/>
              <w:wordWrap/>
              <w:overflowPunct/>
              <w:topLinePunct w:val="0"/>
              <w:autoSpaceDE/>
              <w:autoSpaceDN/>
              <w:bidi w:val="0"/>
              <w:adjustRightInd/>
              <w:snapToGrid/>
              <w:spacing w:before="76" w:line="360" w:lineRule="auto"/>
              <w:ind w:left="119" w:right="102" w:hanging="6"/>
              <w:jc w:val="both"/>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kern w:val="2"/>
                <w:sz w:val="24"/>
                <w:szCs w:val="24"/>
                <w:lang w:val="en-US" w:eastAsia="zh-CN" w:bidi="ar-SA"/>
              </w:rPr>
              <w:t>投标人提供近三年类似项目业绩，每提供一项加1分，满分2分。</w:t>
            </w:r>
          </w:p>
          <w:p w14:paraId="33E722F6">
            <w:pPr>
              <w:keepNext w:val="0"/>
              <w:keepLines w:val="0"/>
              <w:pageBreakBefore w:val="0"/>
              <w:widowControl w:val="0"/>
              <w:kinsoku/>
              <w:wordWrap/>
              <w:overflowPunct/>
              <w:topLinePunct w:val="0"/>
              <w:autoSpaceDE/>
              <w:autoSpaceDN/>
              <w:bidi w:val="0"/>
              <w:adjustRightInd/>
              <w:snapToGrid/>
              <w:spacing w:before="76" w:line="360" w:lineRule="auto"/>
              <w:ind w:left="119" w:right="102" w:hanging="6"/>
              <w:jc w:val="both"/>
              <w:textAlignment w:val="auto"/>
              <w:rPr>
                <w:rFonts w:hint="eastAsia" w:ascii="宋体" w:hAnsi="宋体" w:eastAsia="宋体" w:cs="宋体"/>
                <w:spacing w:val="-2"/>
                <w:kern w:val="2"/>
                <w:sz w:val="24"/>
                <w:szCs w:val="24"/>
                <w:lang w:val="en-US" w:eastAsia="zh-CN" w:bidi="ar-SA"/>
              </w:rPr>
            </w:pPr>
            <w:r>
              <w:rPr>
                <w:rFonts w:hint="eastAsia" w:ascii="仿宋" w:hAnsi="仿宋" w:eastAsia="仿宋" w:cs="仿宋"/>
                <w:spacing w:val="-2"/>
                <w:kern w:val="2"/>
                <w:sz w:val="24"/>
                <w:szCs w:val="24"/>
                <w:lang w:val="en-US" w:eastAsia="zh-CN" w:bidi="ar-SA"/>
              </w:rPr>
              <w:t>注：须提供业绩证明材料，业绩证明材料是指：中标通知书或合同协议书，合同须体现合同关键页，合同须能反映项目名称、服务内容，签订时间和签章清晰可见。（以供货合同签订时间为准）未提供证明材料或证明材料不全不得分</w:t>
            </w:r>
            <w:r>
              <w:rPr>
                <w:rFonts w:hint="eastAsia" w:ascii="宋体" w:hAnsi="宋体" w:eastAsia="宋体" w:cs="宋体"/>
                <w:spacing w:val="-2"/>
                <w:kern w:val="2"/>
                <w:sz w:val="24"/>
                <w:szCs w:val="24"/>
                <w:lang w:val="en-US" w:eastAsia="zh-CN" w:bidi="ar-SA"/>
              </w:rPr>
              <w:t>。</w:t>
            </w:r>
          </w:p>
        </w:tc>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4E442D0B">
            <w:pPr>
              <w:keepNext w:val="0"/>
              <w:keepLines w:val="0"/>
              <w:pageBreakBefore w:val="0"/>
              <w:widowControl w:val="0"/>
              <w:kinsoku/>
              <w:wordWrap/>
              <w:overflowPunct/>
              <w:topLinePunct w:val="0"/>
              <w:autoSpaceDE/>
              <w:autoSpaceDN/>
              <w:bidi w:val="0"/>
              <w:adjustRightInd/>
              <w:snapToGrid/>
              <w:spacing w:before="76" w:line="360" w:lineRule="auto"/>
              <w:ind w:left="119" w:right="102" w:hanging="6"/>
              <w:jc w:val="both"/>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2分</w:t>
            </w:r>
          </w:p>
        </w:tc>
      </w:tr>
      <w:tr w14:paraId="64890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7" w:hRule="atLeast"/>
        </w:trPr>
        <w:tc>
          <w:tcPr>
            <w:tcW w:w="1297" w:type="dxa"/>
            <w:tcBorders>
              <w:top w:val="single" w:color="auto" w:sz="4" w:space="0"/>
            </w:tcBorders>
            <w:vAlign w:val="center"/>
          </w:tcPr>
          <w:p w14:paraId="593F5762">
            <w:pPr>
              <w:widowControl w:val="0"/>
              <w:spacing w:before="78" w:line="218" w:lineRule="auto"/>
              <w:jc w:val="center"/>
              <w:rPr>
                <w:rFonts w:hint="default" w:ascii="宋体" w:hAnsi="宋体" w:eastAsia="宋体" w:cs="宋体"/>
                <w:b/>
                <w:bCs/>
                <w:spacing w:val="13"/>
                <w:kern w:val="2"/>
                <w:sz w:val="24"/>
                <w:szCs w:val="24"/>
                <w:lang w:val="en-US" w:eastAsia="zh-CN" w:bidi="ar-SA"/>
              </w:rPr>
            </w:pPr>
            <w:r>
              <w:rPr>
                <w:rFonts w:hint="eastAsia" w:ascii="宋体" w:hAnsi="宋体" w:eastAsia="宋体" w:cs="宋体"/>
                <w:b/>
                <w:bCs/>
                <w:spacing w:val="13"/>
                <w:kern w:val="2"/>
                <w:sz w:val="24"/>
                <w:szCs w:val="24"/>
                <w:lang w:val="en-US" w:eastAsia="zh-CN" w:bidi="ar-SA"/>
              </w:rPr>
              <w:t>服务能力</w:t>
            </w:r>
          </w:p>
        </w:tc>
        <w:tc>
          <w:tcPr>
            <w:tcW w:w="6001" w:type="dxa"/>
            <w:tcBorders>
              <w:top w:val="single" w:color="auto" w:sz="4" w:space="0"/>
            </w:tcBorders>
            <w:vAlign w:val="center"/>
          </w:tcPr>
          <w:p w14:paraId="1B2DEB4A">
            <w:pPr>
              <w:keepNext w:val="0"/>
              <w:keepLines w:val="0"/>
              <w:pageBreakBefore w:val="0"/>
              <w:widowControl w:val="0"/>
              <w:kinsoku/>
              <w:wordWrap/>
              <w:overflowPunct/>
              <w:topLinePunct w:val="0"/>
              <w:autoSpaceDE/>
              <w:autoSpaceDN/>
              <w:bidi w:val="0"/>
              <w:adjustRightInd/>
              <w:snapToGrid/>
              <w:spacing w:before="76" w:line="360" w:lineRule="auto"/>
              <w:ind w:left="119" w:right="102" w:hanging="6"/>
              <w:jc w:val="both"/>
              <w:textAlignment w:val="auto"/>
              <w:rPr>
                <w:rFonts w:hint="default" w:ascii="仿宋" w:hAnsi="仿宋" w:eastAsia="仿宋" w:cs="仿宋"/>
                <w:spacing w:val="-2"/>
                <w:kern w:val="2"/>
                <w:sz w:val="24"/>
                <w:szCs w:val="24"/>
                <w:lang w:val="en-US" w:eastAsia="zh-CN" w:bidi="ar-SA"/>
              </w:rPr>
            </w:pPr>
            <w:r>
              <w:rPr>
                <w:rFonts w:hint="eastAsia" w:ascii="仿宋" w:hAnsi="仿宋" w:eastAsia="仿宋" w:cs="仿宋"/>
                <w:spacing w:val="-2"/>
                <w:kern w:val="2"/>
                <w:sz w:val="24"/>
                <w:szCs w:val="24"/>
                <w:lang w:val="en-US" w:eastAsia="zh-CN" w:bidi="ar-SA"/>
              </w:rPr>
              <w:t>①服务资质（15分）：提供具备本项目采购需求中5个精密仪器维保能力承诺函，每提供1份佐证材料得3分。（佐证资料为维护保养过同一品牌设备的原厂认证或者合作协议等证明材料，并加供应商盖公章。）。</w:t>
            </w:r>
            <w:r>
              <w:rPr>
                <w:rFonts w:hint="eastAsia" w:ascii="仿宋" w:hAnsi="仿宋" w:eastAsia="仿宋" w:cs="仿宋"/>
                <w:spacing w:val="-2"/>
                <w:kern w:val="2"/>
                <w:sz w:val="24"/>
                <w:szCs w:val="24"/>
                <w:lang w:val="en-US" w:eastAsia="zh-CN" w:bidi="ar-SA"/>
              </w:rPr>
              <w:br w:type="textWrapping"/>
            </w:r>
            <w:r>
              <w:rPr>
                <w:rFonts w:hint="eastAsia" w:ascii="仿宋" w:hAnsi="仿宋" w:eastAsia="仿宋" w:cs="仿宋"/>
                <w:spacing w:val="-2"/>
                <w:kern w:val="2"/>
                <w:sz w:val="24"/>
                <w:szCs w:val="24"/>
                <w:lang w:val="en-US" w:eastAsia="zh-CN" w:bidi="ar-SA"/>
              </w:rPr>
              <w:t>②人员配备（15分）：针对采购需求中5个精密仪器，每个精密仪器至少配备2名服务工程师，每提供2人佐证材料得3分，满分15分。（佐证资料为人员身份证、相关技术证明材料或培训证书。）</w:t>
            </w:r>
          </w:p>
          <w:p w14:paraId="74BF5B51">
            <w:pPr>
              <w:keepNext w:val="0"/>
              <w:keepLines w:val="0"/>
              <w:pageBreakBefore w:val="0"/>
              <w:widowControl w:val="0"/>
              <w:kinsoku/>
              <w:wordWrap/>
              <w:overflowPunct/>
              <w:topLinePunct w:val="0"/>
              <w:autoSpaceDE/>
              <w:autoSpaceDN/>
              <w:bidi w:val="0"/>
              <w:adjustRightInd/>
              <w:snapToGrid/>
              <w:spacing w:before="76" w:line="360" w:lineRule="auto"/>
              <w:ind w:left="119" w:right="102" w:hanging="6"/>
              <w:jc w:val="both"/>
              <w:textAlignment w:val="auto"/>
              <w:rPr>
                <w:rFonts w:hint="eastAsia" w:ascii="宋体" w:hAnsi="宋体" w:eastAsia="宋体" w:cs="宋体"/>
                <w:spacing w:val="-2"/>
                <w:kern w:val="2"/>
                <w:sz w:val="24"/>
                <w:szCs w:val="24"/>
                <w:lang w:val="en-US" w:eastAsia="zh-CN" w:bidi="ar-SA"/>
              </w:rPr>
            </w:pPr>
            <w:r>
              <w:rPr>
                <w:rFonts w:hint="eastAsia" w:ascii="仿宋" w:hAnsi="仿宋" w:eastAsia="仿宋" w:cs="仿宋"/>
                <w:spacing w:val="-2"/>
                <w:kern w:val="2"/>
                <w:sz w:val="24"/>
                <w:szCs w:val="24"/>
                <w:lang w:val="en-US" w:eastAsia="zh-CN" w:bidi="ar-SA"/>
              </w:rPr>
              <w:t>注：佐证材料不全或不清晰的不得分。</w:t>
            </w:r>
          </w:p>
        </w:tc>
        <w:tc>
          <w:tcPr>
            <w:tcW w:w="1037" w:type="dxa"/>
            <w:tcBorders>
              <w:top w:val="single" w:color="auto" w:sz="4" w:space="0"/>
            </w:tcBorders>
            <w:vAlign w:val="center"/>
          </w:tcPr>
          <w:p w14:paraId="4F31969D">
            <w:pPr>
              <w:keepNext w:val="0"/>
              <w:keepLines w:val="0"/>
              <w:pageBreakBefore w:val="0"/>
              <w:widowControl w:val="0"/>
              <w:kinsoku/>
              <w:wordWrap/>
              <w:overflowPunct/>
              <w:topLinePunct w:val="0"/>
              <w:autoSpaceDE/>
              <w:autoSpaceDN/>
              <w:bidi w:val="0"/>
              <w:adjustRightInd/>
              <w:snapToGrid/>
              <w:spacing w:before="76" w:line="360" w:lineRule="auto"/>
              <w:ind w:left="119" w:right="102" w:hanging="6"/>
              <w:jc w:val="both"/>
              <w:textAlignment w:val="auto"/>
              <w:rPr>
                <w:rFonts w:hint="default"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30分</w:t>
            </w:r>
          </w:p>
        </w:tc>
      </w:tr>
      <w:tr w14:paraId="58994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297" w:type="dxa"/>
            <w:shd w:val="clear" w:color="auto" w:fill="auto"/>
            <w:vAlign w:val="center"/>
          </w:tcPr>
          <w:p w14:paraId="49F0410E">
            <w:pPr>
              <w:widowControl w:val="0"/>
              <w:spacing w:before="78" w:line="218" w:lineRule="auto"/>
              <w:jc w:val="center"/>
              <w:rPr>
                <w:rFonts w:ascii="宋体" w:hAnsi="宋体" w:eastAsia="宋体" w:cs="宋体"/>
                <w:b/>
                <w:bCs/>
                <w:spacing w:val="13"/>
                <w:kern w:val="2"/>
                <w:sz w:val="24"/>
                <w:szCs w:val="24"/>
                <w:lang w:val="en-US" w:eastAsia="en-US" w:bidi="ar-SA"/>
              </w:rPr>
            </w:pPr>
            <w:r>
              <w:rPr>
                <w:rFonts w:hint="eastAsia" w:ascii="宋体" w:hAnsi="宋体" w:eastAsia="宋体" w:cs="宋体"/>
                <w:b/>
                <w:bCs/>
                <w:spacing w:val="-7"/>
                <w:kern w:val="2"/>
                <w:sz w:val="24"/>
                <w:szCs w:val="24"/>
                <w:lang w:val="en-US" w:eastAsia="en-US" w:bidi="ar-SA"/>
              </w:rPr>
              <w:t>维保技术方案</w:t>
            </w:r>
          </w:p>
        </w:tc>
        <w:tc>
          <w:tcPr>
            <w:tcW w:w="6001" w:type="dxa"/>
            <w:shd w:val="clear" w:color="auto" w:fill="auto"/>
            <w:vAlign w:val="center"/>
          </w:tcPr>
          <w:p w14:paraId="34935CDD">
            <w:pPr>
              <w:keepNext w:val="0"/>
              <w:keepLines w:val="0"/>
              <w:pageBreakBefore w:val="0"/>
              <w:widowControl w:val="0"/>
              <w:kinsoku/>
              <w:wordWrap/>
              <w:overflowPunct/>
              <w:topLinePunct w:val="0"/>
              <w:autoSpaceDE/>
              <w:autoSpaceDN/>
              <w:bidi w:val="0"/>
              <w:adjustRightInd/>
              <w:snapToGrid/>
              <w:spacing w:before="76" w:line="360" w:lineRule="auto"/>
              <w:ind w:left="119" w:right="102" w:hanging="6"/>
              <w:jc w:val="both"/>
              <w:textAlignment w:val="auto"/>
              <w:rPr>
                <w:rFonts w:hint="default" w:ascii="仿宋" w:hAnsi="仿宋" w:eastAsia="仿宋" w:cs="仿宋"/>
                <w:spacing w:val="-2"/>
                <w:kern w:val="2"/>
                <w:sz w:val="24"/>
                <w:szCs w:val="24"/>
                <w:lang w:val="en-US" w:eastAsia="zh-CN" w:bidi="ar-SA"/>
              </w:rPr>
            </w:pPr>
            <w:r>
              <w:rPr>
                <w:rFonts w:hint="default" w:ascii="仿宋" w:hAnsi="仿宋" w:eastAsia="仿宋" w:cs="仿宋"/>
                <w:spacing w:val="-2"/>
                <w:kern w:val="2"/>
                <w:sz w:val="24"/>
                <w:szCs w:val="24"/>
                <w:lang w:val="en-US" w:eastAsia="zh-CN" w:bidi="ar-SA"/>
              </w:rPr>
              <w:t>投标人所提供的针对本项目的技术方案（包括但不限于）：</w:t>
            </w:r>
          </w:p>
          <w:p w14:paraId="7445952E">
            <w:pPr>
              <w:keepNext w:val="0"/>
              <w:keepLines w:val="0"/>
              <w:pageBreakBefore w:val="0"/>
              <w:widowControl w:val="0"/>
              <w:kinsoku/>
              <w:wordWrap/>
              <w:overflowPunct/>
              <w:topLinePunct w:val="0"/>
              <w:autoSpaceDE/>
              <w:autoSpaceDN/>
              <w:bidi w:val="0"/>
              <w:adjustRightInd/>
              <w:snapToGrid/>
              <w:spacing w:before="76" w:line="360" w:lineRule="auto"/>
              <w:ind w:left="119" w:right="102" w:hanging="6"/>
              <w:jc w:val="both"/>
              <w:textAlignment w:val="auto"/>
              <w:rPr>
                <w:rFonts w:hint="default" w:ascii="仿宋" w:hAnsi="仿宋" w:eastAsia="仿宋" w:cs="仿宋"/>
                <w:spacing w:val="-2"/>
                <w:kern w:val="2"/>
                <w:sz w:val="24"/>
                <w:szCs w:val="24"/>
                <w:lang w:val="en-US" w:eastAsia="zh-CN" w:bidi="ar-SA"/>
              </w:rPr>
            </w:pPr>
            <w:r>
              <w:rPr>
                <w:rFonts w:hint="default" w:ascii="仿宋" w:hAnsi="仿宋" w:eastAsia="仿宋" w:cs="仿宋"/>
                <w:spacing w:val="-2"/>
                <w:kern w:val="2"/>
                <w:sz w:val="24"/>
                <w:szCs w:val="24"/>
                <w:lang w:val="en-US" w:eastAsia="zh-CN" w:bidi="ar-SA"/>
              </w:rPr>
              <w:t>①日常巡检保养、预防性维护、配件更换、设备升级与应急维修方案；</w:t>
            </w:r>
          </w:p>
          <w:p w14:paraId="05E16D69">
            <w:pPr>
              <w:keepNext w:val="0"/>
              <w:keepLines w:val="0"/>
              <w:pageBreakBefore w:val="0"/>
              <w:widowControl w:val="0"/>
              <w:kinsoku/>
              <w:wordWrap/>
              <w:overflowPunct/>
              <w:topLinePunct w:val="0"/>
              <w:autoSpaceDE/>
              <w:autoSpaceDN/>
              <w:bidi w:val="0"/>
              <w:adjustRightInd/>
              <w:snapToGrid/>
              <w:spacing w:before="76" w:line="360" w:lineRule="auto"/>
              <w:ind w:left="119" w:right="102" w:hanging="6"/>
              <w:jc w:val="both"/>
              <w:textAlignment w:val="auto"/>
              <w:rPr>
                <w:rFonts w:hint="default" w:ascii="仿宋" w:hAnsi="仿宋" w:eastAsia="仿宋" w:cs="仿宋"/>
                <w:spacing w:val="-2"/>
                <w:kern w:val="2"/>
                <w:sz w:val="24"/>
                <w:szCs w:val="24"/>
                <w:lang w:val="en-US" w:eastAsia="zh-CN" w:bidi="ar-SA"/>
              </w:rPr>
            </w:pPr>
            <w:r>
              <w:rPr>
                <w:rFonts w:hint="default" w:ascii="仿宋" w:hAnsi="仿宋" w:eastAsia="仿宋" w:cs="仿宋"/>
                <w:spacing w:val="-2"/>
                <w:kern w:val="2"/>
                <w:sz w:val="24"/>
                <w:szCs w:val="24"/>
                <w:lang w:val="en-US" w:eastAsia="zh-CN" w:bidi="ar-SA"/>
              </w:rPr>
              <w:t>②设备运行监控、精细化养护及维修和管理方案流程；</w:t>
            </w:r>
          </w:p>
          <w:p w14:paraId="732FB55F">
            <w:pPr>
              <w:keepNext w:val="0"/>
              <w:keepLines w:val="0"/>
              <w:pageBreakBefore w:val="0"/>
              <w:widowControl w:val="0"/>
              <w:kinsoku/>
              <w:wordWrap/>
              <w:overflowPunct/>
              <w:topLinePunct w:val="0"/>
              <w:autoSpaceDE/>
              <w:autoSpaceDN/>
              <w:bidi w:val="0"/>
              <w:adjustRightInd/>
              <w:snapToGrid/>
              <w:spacing w:before="76" w:line="360" w:lineRule="auto"/>
              <w:ind w:left="119" w:right="102" w:hanging="6"/>
              <w:jc w:val="both"/>
              <w:textAlignment w:val="auto"/>
              <w:rPr>
                <w:rFonts w:hint="default" w:ascii="仿宋" w:hAnsi="仿宋" w:eastAsia="仿宋" w:cs="仿宋"/>
                <w:spacing w:val="-2"/>
                <w:kern w:val="2"/>
                <w:sz w:val="24"/>
                <w:szCs w:val="24"/>
                <w:lang w:val="en-US" w:eastAsia="zh-CN" w:bidi="ar-SA"/>
              </w:rPr>
            </w:pPr>
            <w:r>
              <w:rPr>
                <w:rFonts w:hint="default" w:ascii="仿宋" w:hAnsi="仿宋" w:eastAsia="仿宋" w:cs="仿宋"/>
                <w:spacing w:val="-2"/>
                <w:kern w:val="2"/>
                <w:sz w:val="24"/>
                <w:szCs w:val="24"/>
                <w:lang w:val="en-US" w:eastAsia="zh-CN" w:bidi="ar-SA"/>
              </w:rPr>
              <w:t>③详细的服务进度计划与时间安排；</w:t>
            </w:r>
          </w:p>
          <w:p w14:paraId="3E320870">
            <w:pPr>
              <w:keepNext w:val="0"/>
              <w:keepLines w:val="0"/>
              <w:pageBreakBefore w:val="0"/>
              <w:widowControl w:val="0"/>
              <w:kinsoku/>
              <w:wordWrap/>
              <w:overflowPunct/>
              <w:topLinePunct w:val="0"/>
              <w:autoSpaceDE/>
              <w:autoSpaceDN/>
              <w:bidi w:val="0"/>
              <w:adjustRightInd/>
              <w:snapToGrid/>
              <w:spacing w:before="76" w:line="360" w:lineRule="auto"/>
              <w:ind w:left="119" w:right="102" w:hanging="6"/>
              <w:jc w:val="both"/>
              <w:textAlignment w:val="auto"/>
              <w:rPr>
                <w:rFonts w:hint="default" w:ascii="仿宋" w:hAnsi="仿宋" w:eastAsia="仿宋" w:cs="仿宋"/>
                <w:spacing w:val="-2"/>
                <w:kern w:val="2"/>
                <w:sz w:val="24"/>
                <w:szCs w:val="24"/>
                <w:lang w:val="en-US" w:eastAsia="zh-CN" w:bidi="ar-SA"/>
              </w:rPr>
            </w:pPr>
            <w:r>
              <w:rPr>
                <w:rFonts w:hint="default" w:ascii="仿宋" w:hAnsi="仿宋" w:eastAsia="仿宋" w:cs="仿宋"/>
                <w:spacing w:val="-2"/>
                <w:kern w:val="2"/>
                <w:sz w:val="24"/>
                <w:szCs w:val="24"/>
                <w:lang w:val="en-US" w:eastAsia="zh-CN" w:bidi="ar-SA"/>
              </w:rPr>
              <w:t>④质量管理制度、检查制度与考核标准；</w:t>
            </w:r>
          </w:p>
          <w:p w14:paraId="0C72C768">
            <w:pPr>
              <w:keepNext w:val="0"/>
              <w:keepLines w:val="0"/>
              <w:pageBreakBefore w:val="0"/>
              <w:widowControl w:val="0"/>
              <w:kinsoku/>
              <w:wordWrap/>
              <w:overflowPunct/>
              <w:topLinePunct w:val="0"/>
              <w:autoSpaceDE/>
              <w:autoSpaceDN/>
              <w:bidi w:val="0"/>
              <w:adjustRightInd/>
              <w:snapToGrid/>
              <w:spacing w:before="76" w:line="360" w:lineRule="auto"/>
              <w:ind w:left="119" w:right="102" w:hanging="6"/>
              <w:jc w:val="both"/>
              <w:textAlignment w:val="auto"/>
              <w:rPr>
                <w:rFonts w:hint="default" w:ascii="仿宋" w:hAnsi="仿宋" w:eastAsia="仿宋" w:cs="仿宋"/>
                <w:spacing w:val="-2"/>
                <w:kern w:val="2"/>
                <w:sz w:val="24"/>
                <w:szCs w:val="24"/>
                <w:lang w:val="en-US" w:eastAsia="zh-CN" w:bidi="ar-SA"/>
              </w:rPr>
            </w:pPr>
            <w:r>
              <w:rPr>
                <w:rFonts w:hint="default" w:ascii="仿宋" w:hAnsi="仿宋" w:eastAsia="仿宋" w:cs="仿宋"/>
                <w:spacing w:val="-2"/>
                <w:kern w:val="2"/>
                <w:sz w:val="24"/>
                <w:szCs w:val="24"/>
                <w:lang w:val="en-US" w:eastAsia="zh-CN" w:bidi="ar-SA"/>
              </w:rPr>
              <w:t>⑤服务响应机制、沟通反馈与持续改进措施；</w:t>
            </w:r>
          </w:p>
          <w:p w14:paraId="33F369EB">
            <w:pPr>
              <w:keepNext w:val="0"/>
              <w:keepLines w:val="0"/>
              <w:pageBreakBefore w:val="0"/>
              <w:widowControl w:val="0"/>
              <w:kinsoku/>
              <w:wordWrap/>
              <w:overflowPunct/>
              <w:topLinePunct w:val="0"/>
              <w:autoSpaceDE/>
              <w:autoSpaceDN/>
              <w:bidi w:val="0"/>
              <w:adjustRightInd/>
              <w:snapToGrid/>
              <w:spacing w:before="76" w:line="360" w:lineRule="auto"/>
              <w:ind w:left="119" w:right="102" w:hanging="6"/>
              <w:jc w:val="both"/>
              <w:textAlignment w:val="auto"/>
              <w:rPr>
                <w:rFonts w:hint="default" w:ascii="仿宋" w:hAnsi="仿宋" w:eastAsia="仿宋" w:cs="仿宋"/>
                <w:spacing w:val="-2"/>
                <w:kern w:val="2"/>
                <w:sz w:val="24"/>
                <w:szCs w:val="24"/>
                <w:lang w:val="en-US" w:eastAsia="zh-CN" w:bidi="ar-SA"/>
              </w:rPr>
            </w:pPr>
            <w:r>
              <w:rPr>
                <w:rFonts w:hint="default" w:ascii="仿宋" w:hAnsi="仿宋" w:eastAsia="仿宋" w:cs="仿宋"/>
                <w:spacing w:val="-2"/>
                <w:kern w:val="2"/>
                <w:sz w:val="24"/>
                <w:szCs w:val="24"/>
                <w:lang w:val="en-US" w:eastAsia="zh-CN" w:bidi="ar-SA"/>
              </w:rPr>
              <w:t>1.</w:t>
            </w:r>
            <w:r>
              <w:rPr>
                <w:rFonts w:hint="eastAsia" w:ascii="仿宋" w:hAnsi="仿宋" w:eastAsia="仿宋" w:cs="仿宋"/>
                <w:spacing w:val="-2"/>
                <w:kern w:val="2"/>
                <w:sz w:val="24"/>
                <w:szCs w:val="24"/>
                <w:lang w:val="en-US" w:eastAsia="zh-CN" w:bidi="ar-SA"/>
              </w:rPr>
              <w:t>以上</w:t>
            </w:r>
            <w:r>
              <w:rPr>
                <w:rFonts w:hint="default" w:ascii="仿宋" w:hAnsi="仿宋" w:eastAsia="仿宋" w:cs="仿宋"/>
                <w:spacing w:val="-2"/>
                <w:kern w:val="2"/>
                <w:sz w:val="24"/>
                <w:szCs w:val="24"/>
                <w:lang w:val="en-US" w:eastAsia="zh-CN" w:bidi="ar-SA"/>
              </w:rPr>
              <w:t>每提供一项内容得2.5分，未提供不得分，满分12.5分</w:t>
            </w:r>
          </w:p>
          <w:p w14:paraId="0F1504B7">
            <w:pPr>
              <w:keepNext w:val="0"/>
              <w:keepLines w:val="0"/>
              <w:pageBreakBefore w:val="0"/>
              <w:widowControl w:val="0"/>
              <w:kinsoku/>
              <w:wordWrap/>
              <w:overflowPunct/>
              <w:topLinePunct w:val="0"/>
              <w:autoSpaceDE/>
              <w:autoSpaceDN/>
              <w:bidi w:val="0"/>
              <w:adjustRightInd/>
              <w:snapToGrid/>
              <w:spacing w:before="76" w:line="360" w:lineRule="auto"/>
              <w:ind w:left="119" w:right="102" w:hanging="6"/>
              <w:jc w:val="both"/>
              <w:textAlignment w:val="auto"/>
              <w:rPr>
                <w:rFonts w:hint="default" w:ascii="仿宋" w:hAnsi="仿宋" w:eastAsia="仿宋" w:cs="仿宋"/>
                <w:color w:val="auto"/>
                <w:kern w:val="0"/>
                <w:sz w:val="22"/>
                <w:szCs w:val="24"/>
                <w:highlight w:val="none"/>
                <w:lang w:val="en-US" w:eastAsia="zh-CN" w:bidi="ar-SA"/>
              </w:rPr>
            </w:pPr>
            <w:r>
              <w:rPr>
                <w:rFonts w:hint="default" w:ascii="仿宋" w:hAnsi="仿宋" w:eastAsia="仿宋" w:cs="仿宋"/>
                <w:spacing w:val="-2"/>
                <w:kern w:val="2"/>
                <w:sz w:val="24"/>
                <w:szCs w:val="24"/>
                <w:lang w:val="en-US" w:eastAsia="zh-CN" w:bidi="ar-SA"/>
              </w:rPr>
              <w:t>2.评标委员会根据提供的方案质量（包括但不限于：方案框架完整性、内容针对性、措施可行性等方面）进行分档次综合评审，每项1分，满分5分。</w:t>
            </w:r>
          </w:p>
        </w:tc>
        <w:tc>
          <w:tcPr>
            <w:tcW w:w="1037" w:type="dxa"/>
            <w:shd w:val="clear" w:color="auto" w:fill="auto"/>
            <w:vAlign w:val="center"/>
          </w:tcPr>
          <w:p w14:paraId="2B4BA2D7">
            <w:pPr>
              <w:keepNext w:val="0"/>
              <w:keepLines w:val="0"/>
              <w:pageBreakBefore w:val="0"/>
              <w:widowControl w:val="0"/>
              <w:kinsoku/>
              <w:wordWrap/>
              <w:overflowPunct/>
              <w:topLinePunct w:val="0"/>
              <w:autoSpaceDE/>
              <w:autoSpaceDN/>
              <w:bidi w:val="0"/>
              <w:adjustRightInd/>
              <w:snapToGrid/>
              <w:spacing w:before="76" w:line="360" w:lineRule="auto"/>
              <w:ind w:left="119" w:leftChars="0" w:right="102" w:rightChars="0" w:hanging="6" w:firstLineChars="0"/>
              <w:jc w:val="both"/>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17.5分</w:t>
            </w:r>
          </w:p>
        </w:tc>
      </w:tr>
      <w:tr w14:paraId="1518F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297" w:type="dxa"/>
            <w:shd w:val="clear" w:color="auto" w:fill="auto"/>
            <w:vAlign w:val="center"/>
          </w:tcPr>
          <w:p w14:paraId="2D0DEF5E">
            <w:pPr>
              <w:widowControl w:val="0"/>
              <w:spacing w:before="78" w:line="218" w:lineRule="auto"/>
              <w:jc w:val="center"/>
              <w:rPr>
                <w:rFonts w:hint="eastAsia" w:ascii="宋体" w:hAnsi="宋体" w:eastAsia="宋体" w:cs="宋体"/>
                <w:b/>
                <w:bCs/>
                <w:spacing w:val="-7"/>
                <w:kern w:val="2"/>
                <w:sz w:val="24"/>
                <w:szCs w:val="24"/>
                <w:lang w:val="en-US" w:eastAsia="zh-CN" w:bidi="ar-SA"/>
              </w:rPr>
            </w:pPr>
            <w:r>
              <w:rPr>
                <w:rFonts w:hint="eastAsia" w:ascii="宋体" w:hAnsi="宋体" w:eastAsia="宋体" w:cs="宋体"/>
                <w:b/>
                <w:bCs/>
                <w:spacing w:val="-7"/>
                <w:kern w:val="2"/>
                <w:sz w:val="24"/>
                <w:szCs w:val="24"/>
                <w:lang w:val="en-US" w:eastAsia="zh-CN" w:bidi="ar-SA"/>
              </w:rPr>
              <w:t>售后服务</w:t>
            </w:r>
          </w:p>
        </w:tc>
        <w:tc>
          <w:tcPr>
            <w:tcW w:w="6001" w:type="dxa"/>
            <w:shd w:val="clear" w:color="auto" w:fill="auto"/>
            <w:vAlign w:val="center"/>
          </w:tcPr>
          <w:p w14:paraId="380D8588">
            <w:pPr>
              <w:keepNext w:val="0"/>
              <w:keepLines w:val="0"/>
              <w:pageBreakBefore w:val="0"/>
              <w:widowControl w:val="0"/>
              <w:kinsoku/>
              <w:wordWrap/>
              <w:overflowPunct/>
              <w:topLinePunct w:val="0"/>
              <w:autoSpaceDE/>
              <w:autoSpaceDN/>
              <w:bidi w:val="0"/>
              <w:adjustRightInd/>
              <w:snapToGrid/>
              <w:spacing w:before="76" w:line="360" w:lineRule="auto"/>
              <w:ind w:left="119" w:leftChars="0" w:right="102" w:rightChars="0" w:hanging="6" w:firstLineChars="0"/>
              <w:jc w:val="both"/>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kern w:val="2"/>
                <w:sz w:val="24"/>
                <w:szCs w:val="24"/>
                <w:lang w:val="en-US" w:eastAsia="zh-CN" w:bidi="ar-SA"/>
              </w:rPr>
              <w:t>供应商根据本项目具体情况提供售后服务方案（包括但不限于）：</w:t>
            </w:r>
          </w:p>
          <w:p w14:paraId="053A2727">
            <w:pPr>
              <w:keepNext w:val="0"/>
              <w:keepLines w:val="0"/>
              <w:pageBreakBefore w:val="0"/>
              <w:widowControl w:val="0"/>
              <w:kinsoku/>
              <w:wordWrap/>
              <w:overflowPunct/>
              <w:topLinePunct w:val="0"/>
              <w:autoSpaceDE/>
              <w:autoSpaceDN/>
              <w:bidi w:val="0"/>
              <w:adjustRightInd/>
              <w:snapToGrid/>
              <w:spacing w:before="76" w:line="360" w:lineRule="auto"/>
              <w:ind w:left="119" w:right="102" w:hanging="6"/>
              <w:jc w:val="both"/>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kern w:val="2"/>
                <w:sz w:val="24"/>
                <w:szCs w:val="24"/>
                <w:lang w:val="en-US" w:eastAsia="zh-CN" w:bidi="ar-SA"/>
              </w:rPr>
              <w:t>①售后服务保障措施、服务计划；</w:t>
            </w:r>
          </w:p>
          <w:p w14:paraId="099EE98C">
            <w:pPr>
              <w:keepNext w:val="0"/>
              <w:keepLines w:val="0"/>
              <w:pageBreakBefore w:val="0"/>
              <w:widowControl w:val="0"/>
              <w:kinsoku/>
              <w:wordWrap/>
              <w:overflowPunct/>
              <w:topLinePunct w:val="0"/>
              <w:autoSpaceDE/>
              <w:autoSpaceDN/>
              <w:bidi w:val="0"/>
              <w:adjustRightInd/>
              <w:snapToGrid/>
              <w:spacing w:before="76" w:line="360" w:lineRule="auto"/>
              <w:ind w:left="119" w:leftChars="0" w:right="102" w:rightChars="0" w:hanging="6" w:firstLineChars="0"/>
              <w:jc w:val="both"/>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kern w:val="2"/>
                <w:sz w:val="24"/>
                <w:szCs w:val="24"/>
                <w:lang w:val="en-US" w:eastAsia="zh-CN" w:bidi="ar-SA"/>
              </w:rPr>
              <w:t>②质保（维保）期过后的维护方案；</w:t>
            </w:r>
          </w:p>
          <w:p w14:paraId="3C7F814A">
            <w:pPr>
              <w:keepNext w:val="0"/>
              <w:keepLines w:val="0"/>
              <w:pageBreakBefore w:val="0"/>
              <w:widowControl w:val="0"/>
              <w:kinsoku/>
              <w:wordWrap/>
              <w:overflowPunct/>
              <w:topLinePunct w:val="0"/>
              <w:autoSpaceDE/>
              <w:autoSpaceDN/>
              <w:bidi w:val="0"/>
              <w:adjustRightInd/>
              <w:snapToGrid/>
              <w:spacing w:before="76" w:line="360" w:lineRule="auto"/>
              <w:ind w:left="119" w:leftChars="0" w:right="102" w:rightChars="0" w:hanging="6" w:firstLineChars="0"/>
              <w:jc w:val="both"/>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kern w:val="2"/>
                <w:sz w:val="24"/>
                <w:szCs w:val="24"/>
                <w:lang w:val="en-US" w:eastAsia="zh-CN" w:bidi="ar-SA"/>
              </w:rPr>
              <w:t>③软件、硬件升级服务；</w:t>
            </w:r>
          </w:p>
          <w:p w14:paraId="6932EED6">
            <w:pPr>
              <w:keepNext w:val="0"/>
              <w:keepLines w:val="0"/>
              <w:pageBreakBefore w:val="0"/>
              <w:widowControl w:val="0"/>
              <w:kinsoku/>
              <w:wordWrap/>
              <w:overflowPunct/>
              <w:topLinePunct w:val="0"/>
              <w:autoSpaceDE/>
              <w:autoSpaceDN/>
              <w:bidi w:val="0"/>
              <w:adjustRightInd/>
              <w:snapToGrid/>
              <w:spacing w:before="76" w:line="360" w:lineRule="auto"/>
              <w:ind w:left="119" w:leftChars="0" w:right="102" w:rightChars="0" w:hanging="6" w:firstLineChars="0"/>
              <w:jc w:val="both"/>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kern w:val="2"/>
                <w:sz w:val="24"/>
                <w:szCs w:val="24"/>
                <w:lang w:val="en-US" w:eastAsia="zh-CN" w:bidi="ar-SA"/>
              </w:rPr>
              <w:t>④响应时限、现场服务支持能；</w:t>
            </w:r>
          </w:p>
          <w:p w14:paraId="6DBCDED0">
            <w:pPr>
              <w:keepNext w:val="0"/>
              <w:keepLines w:val="0"/>
              <w:pageBreakBefore w:val="0"/>
              <w:widowControl w:val="0"/>
              <w:kinsoku/>
              <w:wordWrap/>
              <w:overflowPunct/>
              <w:topLinePunct w:val="0"/>
              <w:autoSpaceDE/>
              <w:autoSpaceDN/>
              <w:bidi w:val="0"/>
              <w:adjustRightInd/>
              <w:snapToGrid/>
              <w:spacing w:before="76" w:line="360" w:lineRule="auto"/>
              <w:ind w:left="119" w:leftChars="0" w:right="102" w:rightChars="0" w:hanging="6" w:firstLineChars="0"/>
              <w:jc w:val="both"/>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kern w:val="2"/>
                <w:sz w:val="24"/>
                <w:szCs w:val="24"/>
                <w:lang w:val="en-US" w:eastAsia="zh-CN" w:bidi="ar-SA"/>
              </w:rPr>
              <w:t>⑤售后服务人员及电话等其他有利于项目维保服务的承诺。</w:t>
            </w:r>
          </w:p>
          <w:p w14:paraId="144214A5">
            <w:pPr>
              <w:keepNext w:val="0"/>
              <w:keepLines w:val="0"/>
              <w:pageBreakBefore w:val="0"/>
              <w:widowControl w:val="0"/>
              <w:kinsoku/>
              <w:wordWrap/>
              <w:overflowPunct/>
              <w:topLinePunct w:val="0"/>
              <w:autoSpaceDE/>
              <w:autoSpaceDN/>
              <w:bidi w:val="0"/>
              <w:adjustRightInd/>
              <w:snapToGrid/>
              <w:spacing w:before="76" w:line="360" w:lineRule="auto"/>
              <w:ind w:left="119" w:leftChars="0" w:right="102" w:rightChars="0" w:hanging="6" w:firstLineChars="0"/>
              <w:jc w:val="both"/>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kern w:val="2"/>
                <w:sz w:val="24"/>
                <w:szCs w:val="24"/>
                <w:lang w:val="en-US" w:eastAsia="zh-CN" w:bidi="ar-SA"/>
              </w:rPr>
              <w:t>1.以上每提供一项内容得2.5分，满分12.5分。</w:t>
            </w:r>
          </w:p>
          <w:p w14:paraId="202130E9">
            <w:pPr>
              <w:keepNext w:val="0"/>
              <w:keepLines w:val="0"/>
              <w:pageBreakBefore w:val="0"/>
              <w:widowControl w:val="0"/>
              <w:kinsoku/>
              <w:wordWrap/>
              <w:overflowPunct/>
              <w:topLinePunct w:val="0"/>
              <w:autoSpaceDE/>
              <w:autoSpaceDN/>
              <w:bidi w:val="0"/>
              <w:adjustRightInd/>
              <w:snapToGrid/>
              <w:spacing w:before="76" w:line="360" w:lineRule="auto"/>
              <w:ind w:left="119" w:leftChars="0" w:right="102" w:rightChars="0" w:hanging="6" w:firstLineChars="0"/>
              <w:jc w:val="both"/>
              <w:textAlignment w:val="auto"/>
              <w:rPr>
                <w:rFonts w:hint="eastAsia" w:ascii="宋体" w:hAnsi="宋体" w:eastAsia="宋体" w:cs="宋体"/>
                <w:spacing w:val="-2"/>
                <w:kern w:val="2"/>
                <w:sz w:val="24"/>
                <w:szCs w:val="24"/>
                <w:lang w:val="en-US" w:eastAsia="zh-CN" w:bidi="ar-SA"/>
              </w:rPr>
            </w:pPr>
            <w:r>
              <w:rPr>
                <w:rFonts w:hint="eastAsia" w:ascii="仿宋" w:hAnsi="仿宋" w:eastAsia="仿宋" w:cs="仿宋"/>
                <w:spacing w:val="-2"/>
                <w:kern w:val="2"/>
                <w:sz w:val="24"/>
                <w:szCs w:val="24"/>
                <w:lang w:val="en-US" w:eastAsia="zh-CN" w:bidi="ar-SA"/>
              </w:rPr>
              <w:t>2.评标委员会根据提供的方案质量（包括但不限于：方案框架完整性、内容针对性、措施可行性等方面）进行分档次综合评审，每项1分，满分5分</w:t>
            </w:r>
            <w:r>
              <w:rPr>
                <w:rFonts w:hint="eastAsia" w:ascii="宋体" w:hAnsi="宋体" w:eastAsia="宋体" w:cs="宋体"/>
                <w:spacing w:val="-2"/>
                <w:kern w:val="2"/>
                <w:sz w:val="24"/>
                <w:szCs w:val="24"/>
                <w:lang w:val="en-US" w:eastAsia="zh-CN" w:bidi="ar-SA"/>
              </w:rPr>
              <w:t>。</w:t>
            </w:r>
          </w:p>
        </w:tc>
        <w:tc>
          <w:tcPr>
            <w:tcW w:w="1037" w:type="dxa"/>
            <w:shd w:val="clear" w:color="auto" w:fill="auto"/>
            <w:vAlign w:val="center"/>
          </w:tcPr>
          <w:p w14:paraId="46CE3934">
            <w:pPr>
              <w:keepNext w:val="0"/>
              <w:keepLines w:val="0"/>
              <w:pageBreakBefore w:val="0"/>
              <w:widowControl w:val="0"/>
              <w:kinsoku/>
              <w:wordWrap/>
              <w:overflowPunct/>
              <w:topLinePunct w:val="0"/>
              <w:autoSpaceDE/>
              <w:autoSpaceDN/>
              <w:bidi w:val="0"/>
              <w:adjustRightInd/>
              <w:snapToGrid/>
              <w:spacing w:before="76" w:line="360" w:lineRule="auto"/>
              <w:ind w:left="119" w:leftChars="0" w:right="102" w:rightChars="0" w:hanging="6" w:firstLineChars="0"/>
              <w:jc w:val="both"/>
              <w:textAlignment w:val="auto"/>
              <w:rPr>
                <w:rFonts w:hint="default"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17.5分</w:t>
            </w:r>
          </w:p>
        </w:tc>
      </w:tr>
      <w:tr w14:paraId="44E6D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297" w:type="dxa"/>
            <w:vAlign w:val="center"/>
          </w:tcPr>
          <w:p w14:paraId="59802FF7">
            <w:pPr>
              <w:widowControl w:val="0"/>
              <w:spacing w:before="78" w:line="221" w:lineRule="auto"/>
              <w:jc w:val="center"/>
              <w:rPr>
                <w:rFonts w:ascii="宋体" w:hAnsi="宋体" w:eastAsia="宋体" w:cs="宋体"/>
                <w:b/>
                <w:bCs/>
                <w:spacing w:val="-9"/>
                <w:kern w:val="2"/>
                <w:sz w:val="24"/>
                <w:szCs w:val="24"/>
                <w:lang w:val="en-US" w:eastAsia="en-US" w:bidi="ar-SA"/>
              </w:rPr>
            </w:pPr>
            <w:r>
              <w:rPr>
                <w:rFonts w:hint="eastAsia" w:ascii="宋体" w:hAnsi="宋体" w:eastAsia="宋体" w:cs="宋体"/>
                <w:b/>
                <w:bCs/>
                <w:spacing w:val="-9"/>
                <w:kern w:val="2"/>
                <w:sz w:val="24"/>
                <w:szCs w:val="24"/>
                <w:lang w:val="en-US" w:eastAsia="zh-CN" w:bidi="ar-SA"/>
              </w:rPr>
              <w:t>应急预案</w:t>
            </w:r>
          </w:p>
        </w:tc>
        <w:tc>
          <w:tcPr>
            <w:tcW w:w="6001" w:type="dxa"/>
            <w:vAlign w:val="center"/>
          </w:tcPr>
          <w:p w14:paraId="478C0E09">
            <w:pPr>
              <w:keepNext w:val="0"/>
              <w:keepLines w:val="0"/>
              <w:pageBreakBefore w:val="0"/>
              <w:widowControl w:val="0"/>
              <w:kinsoku/>
              <w:wordWrap/>
              <w:overflowPunct/>
              <w:topLinePunct w:val="0"/>
              <w:autoSpaceDE/>
              <w:autoSpaceDN/>
              <w:bidi w:val="0"/>
              <w:adjustRightInd/>
              <w:snapToGrid/>
              <w:spacing w:before="76" w:line="360" w:lineRule="auto"/>
              <w:ind w:left="119" w:leftChars="0" w:right="102" w:rightChars="0" w:hanging="6" w:firstLineChars="0"/>
              <w:jc w:val="both"/>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kern w:val="2"/>
                <w:sz w:val="24"/>
                <w:szCs w:val="24"/>
                <w:lang w:val="en-US" w:eastAsia="zh-CN" w:bidi="ar-SA"/>
              </w:rPr>
              <w:t>供应商根据本项目具体情况提供应急预案（包括但不限于）：</w:t>
            </w:r>
          </w:p>
          <w:p w14:paraId="4431A31A">
            <w:pPr>
              <w:keepNext w:val="0"/>
              <w:keepLines w:val="0"/>
              <w:pageBreakBefore w:val="0"/>
              <w:widowControl w:val="0"/>
              <w:kinsoku/>
              <w:wordWrap/>
              <w:overflowPunct/>
              <w:topLinePunct w:val="0"/>
              <w:autoSpaceDE/>
              <w:autoSpaceDN/>
              <w:bidi w:val="0"/>
              <w:adjustRightInd/>
              <w:snapToGrid/>
              <w:spacing w:before="76" w:line="360" w:lineRule="auto"/>
              <w:ind w:left="119" w:leftChars="0" w:right="102" w:rightChars="0" w:hanging="6" w:firstLineChars="0"/>
              <w:jc w:val="both"/>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kern w:val="2"/>
                <w:sz w:val="24"/>
                <w:szCs w:val="24"/>
                <w:lang w:val="en-US" w:eastAsia="zh-CN" w:bidi="ar-SA"/>
              </w:rPr>
              <w:t>①维护保养过程中突发事件的应急响应时间；</w:t>
            </w:r>
          </w:p>
          <w:p w14:paraId="69EE2818">
            <w:pPr>
              <w:keepNext w:val="0"/>
              <w:keepLines w:val="0"/>
              <w:pageBreakBefore w:val="0"/>
              <w:widowControl w:val="0"/>
              <w:kinsoku/>
              <w:wordWrap/>
              <w:overflowPunct/>
              <w:topLinePunct w:val="0"/>
              <w:autoSpaceDE/>
              <w:autoSpaceDN/>
              <w:bidi w:val="0"/>
              <w:adjustRightInd/>
              <w:snapToGrid/>
              <w:spacing w:before="76" w:line="360" w:lineRule="auto"/>
              <w:ind w:left="119" w:leftChars="0" w:right="102" w:rightChars="0" w:hanging="6" w:firstLineChars="0"/>
              <w:jc w:val="both"/>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kern w:val="2"/>
                <w:sz w:val="24"/>
                <w:szCs w:val="24"/>
                <w:lang w:val="en-US" w:eastAsia="zh-CN" w:bidi="ar-SA"/>
              </w:rPr>
              <w:t>②应急人员梯队配置与联络方式；</w:t>
            </w:r>
          </w:p>
          <w:p w14:paraId="65B8C8CC">
            <w:pPr>
              <w:keepNext w:val="0"/>
              <w:keepLines w:val="0"/>
              <w:pageBreakBefore w:val="0"/>
              <w:widowControl w:val="0"/>
              <w:kinsoku/>
              <w:wordWrap/>
              <w:overflowPunct/>
              <w:topLinePunct w:val="0"/>
              <w:autoSpaceDE/>
              <w:autoSpaceDN/>
              <w:bidi w:val="0"/>
              <w:adjustRightInd/>
              <w:snapToGrid/>
              <w:spacing w:before="76" w:line="360" w:lineRule="auto"/>
              <w:ind w:left="119" w:leftChars="0" w:right="102" w:rightChars="0" w:hanging="6" w:firstLineChars="0"/>
              <w:jc w:val="both"/>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kern w:val="2"/>
                <w:sz w:val="24"/>
                <w:szCs w:val="24"/>
                <w:lang w:val="en-US" w:eastAsia="zh-CN" w:bidi="ar-SA"/>
              </w:rPr>
              <w:t>③针对典型故障的具体处理流程与措施。</w:t>
            </w:r>
          </w:p>
          <w:p w14:paraId="1A45BEA2">
            <w:pPr>
              <w:keepNext w:val="0"/>
              <w:keepLines w:val="0"/>
              <w:pageBreakBefore w:val="0"/>
              <w:widowControl w:val="0"/>
              <w:kinsoku/>
              <w:wordWrap/>
              <w:overflowPunct/>
              <w:topLinePunct w:val="0"/>
              <w:autoSpaceDE/>
              <w:autoSpaceDN/>
              <w:bidi w:val="0"/>
              <w:adjustRightInd/>
              <w:snapToGrid/>
              <w:spacing w:before="76" w:line="360" w:lineRule="auto"/>
              <w:ind w:left="119" w:leftChars="0" w:right="102" w:rightChars="0" w:hanging="6" w:firstLineChars="0"/>
              <w:jc w:val="both"/>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kern w:val="2"/>
                <w:sz w:val="24"/>
                <w:szCs w:val="24"/>
                <w:lang w:val="en-US" w:eastAsia="zh-CN" w:bidi="ar-SA"/>
              </w:rPr>
              <w:t>④应急备件支持援预案。</w:t>
            </w:r>
          </w:p>
          <w:p w14:paraId="3DD742C6">
            <w:pPr>
              <w:keepNext w:val="0"/>
              <w:keepLines w:val="0"/>
              <w:pageBreakBefore w:val="0"/>
              <w:widowControl w:val="0"/>
              <w:kinsoku/>
              <w:wordWrap/>
              <w:overflowPunct/>
              <w:topLinePunct w:val="0"/>
              <w:autoSpaceDE/>
              <w:autoSpaceDN/>
              <w:bidi w:val="0"/>
              <w:adjustRightInd/>
              <w:snapToGrid/>
              <w:spacing w:before="76" w:line="360" w:lineRule="auto"/>
              <w:ind w:left="119" w:leftChars="0" w:right="102" w:rightChars="0" w:hanging="6" w:firstLineChars="0"/>
              <w:jc w:val="both"/>
              <w:textAlignment w:val="auto"/>
              <w:rPr>
                <w:rFonts w:hint="eastAsia" w:ascii="仿宋" w:hAnsi="仿宋" w:eastAsia="仿宋" w:cs="仿宋"/>
                <w:spacing w:val="-2"/>
                <w:kern w:val="2"/>
                <w:sz w:val="24"/>
                <w:szCs w:val="24"/>
                <w:lang w:val="en-US" w:eastAsia="zh-CN" w:bidi="ar-SA"/>
              </w:rPr>
            </w:pPr>
            <w:r>
              <w:rPr>
                <w:rFonts w:hint="eastAsia" w:ascii="仿宋" w:hAnsi="仿宋" w:eastAsia="仿宋" w:cs="仿宋"/>
                <w:spacing w:val="-2"/>
                <w:kern w:val="2"/>
                <w:sz w:val="24"/>
                <w:szCs w:val="24"/>
                <w:lang w:val="en-US" w:eastAsia="zh-CN" w:bidi="ar-SA"/>
              </w:rPr>
              <w:t>1.以上每提供一项内容得2分，满分8分。</w:t>
            </w:r>
          </w:p>
          <w:p w14:paraId="34864995">
            <w:pPr>
              <w:keepNext w:val="0"/>
              <w:keepLines w:val="0"/>
              <w:pageBreakBefore w:val="0"/>
              <w:widowControl w:val="0"/>
              <w:kinsoku/>
              <w:wordWrap/>
              <w:overflowPunct/>
              <w:topLinePunct w:val="0"/>
              <w:autoSpaceDE/>
              <w:autoSpaceDN/>
              <w:bidi w:val="0"/>
              <w:adjustRightInd/>
              <w:snapToGrid/>
              <w:spacing w:before="76" w:line="360" w:lineRule="auto"/>
              <w:ind w:left="119" w:leftChars="0" w:right="102" w:rightChars="0" w:hanging="6" w:firstLineChars="0"/>
              <w:jc w:val="both"/>
              <w:textAlignment w:val="auto"/>
              <w:rPr>
                <w:rFonts w:hint="eastAsia" w:ascii="宋体" w:hAnsi="宋体" w:eastAsia="宋体" w:cs="宋体"/>
                <w:spacing w:val="-2"/>
                <w:kern w:val="2"/>
                <w:sz w:val="24"/>
                <w:szCs w:val="24"/>
                <w:lang w:val="en-US" w:eastAsia="zh-CN" w:bidi="ar-SA"/>
              </w:rPr>
            </w:pPr>
            <w:r>
              <w:rPr>
                <w:rFonts w:hint="eastAsia" w:ascii="仿宋" w:hAnsi="仿宋" w:eastAsia="仿宋" w:cs="仿宋"/>
                <w:spacing w:val="-2"/>
                <w:kern w:val="2"/>
                <w:sz w:val="24"/>
                <w:szCs w:val="24"/>
                <w:lang w:val="en-US" w:eastAsia="zh-CN" w:bidi="ar-SA"/>
              </w:rPr>
              <w:t>2.评标委员会根据提供的方案质量（包括但不限于：方案框架完整性、内容针对性、措施可行性等方面）进行分档次综合评审，每项0.5分，满分2分。</w:t>
            </w:r>
          </w:p>
        </w:tc>
        <w:tc>
          <w:tcPr>
            <w:tcW w:w="1037" w:type="dxa"/>
            <w:vAlign w:val="center"/>
          </w:tcPr>
          <w:p w14:paraId="1B071A59">
            <w:pPr>
              <w:keepNext w:val="0"/>
              <w:keepLines w:val="0"/>
              <w:pageBreakBefore w:val="0"/>
              <w:widowControl w:val="0"/>
              <w:kinsoku/>
              <w:wordWrap/>
              <w:overflowPunct/>
              <w:topLinePunct w:val="0"/>
              <w:autoSpaceDE/>
              <w:autoSpaceDN/>
              <w:bidi w:val="0"/>
              <w:adjustRightInd/>
              <w:snapToGrid/>
              <w:spacing w:before="76" w:line="360" w:lineRule="auto"/>
              <w:ind w:left="119" w:right="102" w:hanging="6"/>
              <w:jc w:val="both"/>
              <w:textAlignment w:val="auto"/>
              <w:rPr>
                <w:rFonts w:hint="default"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10分</w:t>
            </w:r>
          </w:p>
        </w:tc>
      </w:tr>
      <w:tr w14:paraId="655F0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6" w:hRule="atLeast"/>
        </w:trPr>
        <w:tc>
          <w:tcPr>
            <w:tcW w:w="1297" w:type="dxa"/>
            <w:shd w:val="clear" w:color="auto" w:fill="auto"/>
            <w:vAlign w:val="center"/>
          </w:tcPr>
          <w:p w14:paraId="1B3C0F37">
            <w:pPr>
              <w:widowControl w:val="0"/>
              <w:spacing w:before="78" w:line="218" w:lineRule="auto"/>
              <w:jc w:val="center"/>
              <w:rPr>
                <w:rFonts w:hint="eastAsia" w:ascii="宋体" w:hAnsi="宋体" w:eastAsia="宋体" w:cs="宋体"/>
                <w:b/>
                <w:bCs/>
                <w:color w:val="auto"/>
                <w:spacing w:val="13"/>
                <w:kern w:val="2"/>
                <w:sz w:val="24"/>
                <w:szCs w:val="24"/>
                <w:lang w:val="en-US" w:eastAsia="zh-CN" w:bidi="ar-SA"/>
              </w:rPr>
            </w:pPr>
            <w:r>
              <w:rPr>
                <w:rFonts w:hint="eastAsia" w:ascii="宋体" w:hAnsi="宋体" w:eastAsia="宋体" w:cs="宋体"/>
                <w:b/>
                <w:bCs/>
                <w:color w:val="auto"/>
                <w:spacing w:val="13"/>
                <w:kern w:val="2"/>
                <w:sz w:val="24"/>
                <w:szCs w:val="24"/>
                <w:lang w:val="en-US" w:eastAsia="zh-CN" w:bidi="ar-SA"/>
              </w:rPr>
              <w:t>备品备件  保障</w:t>
            </w:r>
          </w:p>
        </w:tc>
        <w:tc>
          <w:tcPr>
            <w:tcW w:w="6001" w:type="dxa"/>
            <w:shd w:val="clear" w:color="auto" w:fill="auto"/>
            <w:vAlign w:val="center"/>
          </w:tcPr>
          <w:p w14:paraId="38343880">
            <w:pPr>
              <w:keepNext w:val="0"/>
              <w:keepLines w:val="0"/>
              <w:pageBreakBefore w:val="0"/>
              <w:widowControl w:val="0"/>
              <w:kinsoku/>
              <w:wordWrap/>
              <w:overflowPunct/>
              <w:topLinePunct w:val="0"/>
              <w:autoSpaceDE/>
              <w:autoSpaceDN/>
              <w:bidi w:val="0"/>
              <w:adjustRightInd/>
              <w:snapToGrid/>
              <w:spacing w:before="76" w:line="360" w:lineRule="auto"/>
              <w:ind w:left="119" w:leftChars="0" w:right="102" w:rightChars="0" w:hanging="6" w:firstLineChars="0"/>
              <w:jc w:val="both"/>
              <w:textAlignment w:val="auto"/>
              <w:rPr>
                <w:rFonts w:hint="default" w:ascii="仿宋" w:hAnsi="仿宋" w:eastAsia="仿宋" w:cs="仿宋"/>
                <w:color w:val="auto"/>
                <w:spacing w:val="-2"/>
                <w:kern w:val="2"/>
                <w:sz w:val="24"/>
                <w:szCs w:val="24"/>
                <w:lang w:val="en-US" w:eastAsia="zh-CN" w:bidi="ar-SA"/>
              </w:rPr>
            </w:pPr>
            <w:r>
              <w:rPr>
                <w:rFonts w:hint="default" w:ascii="仿宋" w:hAnsi="仿宋" w:eastAsia="仿宋" w:cs="仿宋"/>
                <w:color w:val="auto"/>
                <w:spacing w:val="-2"/>
                <w:kern w:val="2"/>
                <w:sz w:val="24"/>
                <w:szCs w:val="24"/>
                <w:lang w:val="en-US" w:eastAsia="zh-CN" w:bidi="ar-SA"/>
              </w:rPr>
              <w:t>根据投标人提供的设备备品备件情况比较评审打分，必须是本项目维护保养项目内的备品备件，包括但不限于：</w:t>
            </w:r>
          </w:p>
          <w:p w14:paraId="37790313">
            <w:pPr>
              <w:keepNext w:val="0"/>
              <w:keepLines w:val="0"/>
              <w:pageBreakBefore w:val="0"/>
              <w:widowControl w:val="0"/>
              <w:kinsoku/>
              <w:wordWrap/>
              <w:overflowPunct/>
              <w:topLinePunct w:val="0"/>
              <w:autoSpaceDE/>
              <w:autoSpaceDN/>
              <w:bidi w:val="0"/>
              <w:adjustRightInd/>
              <w:snapToGrid/>
              <w:spacing w:before="76" w:line="360" w:lineRule="auto"/>
              <w:ind w:left="119" w:leftChars="0" w:right="102" w:rightChars="0" w:hanging="6" w:firstLineChars="0"/>
              <w:jc w:val="both"/>
              <w:textAlignment w:val="auto"/>
              <w:rPr>
                <w:rFonts w:hint="default" w:ascii="仿宋" w:hAnsi="仿宋" w:eastAsia="仿宋" w:cs="仿宋"/>
                <w:color w:val="auto"/>
                <w:spacing w:val="-2"/>
                <w:kern w:val="2"/>
                <w:sz w:val="24"/>
                <w:szCs w:val="24"/>
                <w:lang w:val="en-US" w:eastAsia="zh-CN" w:bidi="ar-SA"/>
              </w:rPr>
            </w:pPr>
            <w:r>
              <w:rPr>
                <w:rFonts w:hint="default" w:ascii="仿宋" w:hAnsi="仿宋" w:eastAsia="仿宋" w:cs="仿宋"/>
                <w:color w:val="auto"/>
                <w:spacing w:val="-2"/>
                <w:kern w:val="2"/>
                <w:sz w:val="24"/>
                <w:szCs w:val="24"/>
                <w:lang w:val="en-US" w:eastAsia="zh-CN" w:bidi="ar-SA"/>
              </w:rPr>
              <w:t>①供应商承诺提供本项目维护保养设备原厂零配件得4分，不提供不得分，满分4分。（提供承诺函）。</w:t>
            </w:r>
          </w:p>
          <w:p w14:paraId="397CC9A9">
            <w:pPr>
              <w:keepNext w:val="0"/>
              <w:keepLines w:val="0"/>
              <w:pageBreakBefore w:val="0"/>
              <w:widowControl w:val="0"/>
              <w:kinsoku/>
              <w:wordWrap/>
              <w:overflowPunct/>
              <w:topLinePunct w:val="0"/>
              <w:autoSpaceDE/>
              <w:autoSpaceDN/>
              <w:bidi w:val="0"/>
              <w:adjustRightInd/>
              <w:snapToGrid/>
              <w:spacing w:before="76" w:line="360" w:lineRule="auto"/>
              <w:ind w:left="119" w:leftChars="0" w:right="102" w:rightChars="0" w:hanging="6" w:firstLineChars="0"/>
              <w:jc w:val="both"/>
              <w:textAlignment w:val="auto"/>
              <w:rPr>
                <w:rFonts w:hint="default" w:ascii="宋体" w:hAnsi="宋体" w:eastAsia="宋体" w:cs="宋体"/>
                <w:color w:val="auto"/>
                <w:spacing w:val="-2"/>
                <w:kern w:val="2"/>
                <w:sz w:val="24"/>
                <w:szCs w:val="24"/>
                <w:lang w:val="en-US" w:eastAsia="zh-CN" w:bidi="ar-SA"/>
              </w:rPr>
            </w:pPr>
            <w:r>
              <w:rPr>
                <w:rFonts w:hint="default" w:ascii="仿宋" w:hAnsi="仿宋" w:eastAsia="仿宋" w:cs="仿宋"/>
                <w:color w:val="auto"/>
                <w:spacing w:val="-2"/>
                <w:kern w:val="2"/>
                <w:sz w:val="24"/>
                <w:szCs w:val="24"/>
                <w:lang w:val="en-US" w:eastAsia="zh-CN" w:bidi="ar-SA"/>
              </w:rPr>
              <w:t>②供应商有售后服务网点零备件库，提供零配件备品备件清单及仓库图片得4分，不提供不得分，满分4分。</w:t>
            </w:r>
          </w:p>
        </w:tc>
        <w:tc>
          <w:tcPr>
            <w:tcW w:w="1037" w:type="dxa"/>
            <w:shd w:val="clear" w:color="auto" w:fill="auto"/>
            <w:vAlign w:val="center"/>
          </w:tcPr>
          <w:p w14:paraId="2C93F49C">
            <w:pPr>
              <w:keepNext w:val="0"/>
              <w:keepLines w:val="0"/>
              <w:pageBreakBefore w:val="0"/>
              <w:widowControl w:val="0"/>
              <w:kinsoku/>
              <w:wordWrap/>
              <w:overflowPunct/>
              <w:topLinePunct w:val="0"/>
              <w:autoSpaceDE/>
              <w:autoSpaceDN/>
              <w:bidi w:val="0"/>
              <w:adjustRightInd/>
              <w:snapToGrid/>
              <w:spacing w:before="76" w:line="360" w:lineRule="auto"/>
              <w:ind w:left="119" w:leftChars="0" w:right="102" w:rightChars="0" w:hanging="6" w:firstLineChars="0"/>
              <w:jc w:val="both"/>
              <w:textAlignment w:val="auto"/>
              <w:rPr>
                <w:rFonts w:hint="eastAsia"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8</w:t>
            </w:r>
            <w:r>
              <w:rPr>
                <w:rFonts w:hint="eastAsia" w:ascii="宋体" w:hAnsi="宋体" w:eastAsia="宋体" w:cs="宋体"/>
                <w:spacing w:val="-2"/>
                <w:kern w:val="2"/>
                <w:sz w:val="24"/>
                <w:szCs w:val="24"/>
                <w:lang w:val="en-US" w:eastAsia="en-US" w:bidi="ar-SA"/>
              </w:rPr>
              <w:t>分</w:t>
            </w:r>
          </w:p>
        </w:tc>
      </w:tr>
      <w:tr w14:paraId="5CB28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297" w:type="dxa"/>
            <w:tcBorders>
              <w:bottom w:val="single" w:color="auto" w:sz="4" w:space="0"/>
            </w:tcBorders>
            <w:shd w:val="clear" w:color="auto" w:fill="auto"/>
            <w:vAlign w:val="center"/>
          </w:tcPr>
          <w:p w14:paraId="4F0CE254">
            <w:pPr>
              <w:widowControl w:val="0"/>
              <w:spacing w:before="78" w:line="218" w:lineRule="auto"/>
              <w:jc w:val="center"/>
              <w:rPr>
                <w:rFonts w:hint="default" w:ascii="宋体" w:hAnsi="宋体" w:eastAsia="宋体" w:cs="宋体"/>
                <w:b/>
                <w:bCs/>
                <w:spacing w:val="13"/>
                <w:kern w:val="2"/>
                <w:sz w:val="24"/>
                <w:szCs w:val="24"/>
                <w:lang w:val="en-US" w:eastAsia="zh-CN" w:bidi="ar-SA"/>
              </w:rPr>
            </w:pPr>
            <w:r>
              <w:rPr>
                <w:rFonts w:hint="eastAsia" w:ascii="宋体" w:hAnsi="宋体" w:eastAsia="宋体" w:cs="宋体"/>
                <w:b/>
                <w:bCs/>
                <w:spacing w:val="13"/>
                <w:kern w:val="2"/>
                <w:sz w:val="24"/>
                <w:szCs w:val="24"/>
                <w:lang w:val="en-US" w:eastAsia="zh-CN" w:bidi="ar-SA"/>
              </w:rPr>
              <w:t>相关工具证明</w:t>
            </w:r>
          </w:p>
        </w:tc>
        <w:tc>
          <w:tcPr>
            <w:tcW w:w="6001" w:type="dxa"/>
            <w:tcBorders>
              <w:bottom w:val="single" w:color="auto" w:sz="4" w:space="0"/>
            </w:tcBorders>
            <w:shd w:val="clear" w:color="auto" w:fill="auto"/>
            <w:vAlign w:val="center"/>
          </w:tcPr>
          <w:p w14:paraId="3AB20BE6">
            <w:pPr>
              <w:keepNext w:val="0"/>
              <w:keepLines w:val="0"/>
              <w:pageBreakBefore w:val="0"/>
              <w:widowControl w:val="0"/>
              <w:kinsoku/>
              <w:wordWrap/>
              <w:overflowPunct/>
              <w:topLinePunct w:val="0"/>
              <w:autoSpaceDE/>
              <w:autoSpaceDN/>
              <w:bidi w:val="0"/>
              <w:adjustRightInd/>
              <w:snapToGrid/>
              <w:spacing w:before="76" w:line="360" w:lineRule="auto"/>
              <w:ind w:left="119" w:leftChars="0" w:right="102" w:rightChars="0" w:hanging="6" w:firstLineChars="0"/>
              <w:jc w:val="both"/>
              <w:textAlignment w:val="auto"/>
              <w:rPr>
                <w:rFonts w:hint="eastAsia" w:ascii="宋体" w:hAnsi="宋体" w:eastAsia="宋体" w:cs="宋体"/>
                <w:spacing w:val="-2"/>
                <w:kern w:val="2"/>
                <w:sz w:val="24"/>
                <w:szCs w:val="24"/>
                <w:lang w:val="en-US" w:eastAsia="zh-CN" w:bidi="ar-SA"/>
              </w:rPr>
            </w:pPr>
            <w:r>
              <w:rPr>
                <w:rFonts w:hint="eastAsia" w:ascii="仿宋" w:hAnsi="仿宋" w:eastAsia="仿宋" w:cs="仿宋"/>
                <w:spacing w:val="-2"/>
                <w:kern w:val="2"/>
                <w:sz w:val="24"/>
                <w:szCs w:val="24"/>
                <w:lang w:val="en-US" w:eastAsia="zh-CN" w:bidi="ar-SA"/>
              </w:rPr>
              <w:t>供应商需具备仪器品牌的维保服务能力，提供测序仪维护保养相关工具（万用表、激光表）的校准证书以及专业工具等的有效证明文件得 5 分，不提供不得分，满分5分。</w:t>
            </w:r>
          </w:p>
        </w:tc>
        <w:tc>
          <w:tcPr>
            <w:tcW w:w="1037" w:type="dxa"/>
            <w:tcBorders>
              <w:bottom w:val="single" w:color="auto" w:sz="4" w:space="0"/>
            </w:tcBorders>
            <w:shd w:val="clear" w:color="auto" w:fill="auto"/>
            <w:vAlign w:val="center"/>
          </w:tcPr>
          <w:p w14:paraId="1A220EA7">
            <w:pPr>
              <w:keepNext w:val="0"/>
              <w:keepLines w:val="0"/>
              <w:pageBreakBefore w:val="0"/>
              <w:widowControl w:val="0"/>
              <w:kinsoku/>
              <w:wordWrap/>
              <w:overflowPunct/>
              <w:topLinePunct w:val="0"/>
              <w:autoSpaceDE/>
              <w:autoSpaceDN/>
              <w:bidi w:val="0"/>
              <w:adjustRightInd/>
              <w:snapToGrid/>
              <w:spacing w:before="76" w:line="360" w:lineRule="auto"/>
              <w:ind w:left="119" w:leftChars="0" w:right="102" w:rightChars="0" w:hanging="6" w:firstLineChars="0"/>
              <w:jc w:val="both"/>
              <w:textAlignment w:val="auto"/>
              <w:rPr>
                <w:rFonts w:hint="default" w:ascii="宋体" w:hAnsi="宋体" w:eastAsia="宋体" w:cs="宋体"/>
                <w:spacing w:val="-2"/>
                <w:kern w:val="2"/>
                <w:sz w:val="24"/>
                <w:szCs w:val="24"/>
                <w:lang w:val="en-US" w:eastAsia="zh-CN" w:bidi="ar-SA"/>
              </w:rPr>
            </w:pPr>
            <w:r>
              <w:rPr>
                <w:rFonts w:hint="eastAsia" w:ascii="宋体" w:hAnsi="宋体" w:eastAsia="宋体" w:cs="宋体"/>
                <w:spacing w:val="-2"/>
                <w:kern w:val="2"/>
                <w:sz w:val="24"/>
                <w:szCs w:val="24"/>
                <w:lang w:val="en-US" w:eastAsia="zh-CN" w:bidi="ar-SA"/>
              </w:rPr>
              <w:t>5分</w:t>
            </w:r>
          </w:p>
        </w:tc>
      </w:tr>
    </w:tbl>
    <w:p w14:paraId="3DC68B64">
      <w:pPr>
        <w:keepNext w:val="0"/>
        <w:keepLines w:val="0"/>
        <w:pageBreakBefore w:val="0"/>
        <w:widowControl w:val="0"/>
        <w:kinsoku/>
        <w:wordWrap/>
        <w:overflowPunct/>
        <w:topLinePunct w:val="0"/>
        <w:autoSpaceDE/>
        <w:autoSpaceDN/>
        <w:bidi w:val="0"/>
        <w:adjustRightInd/>
        <w:snapToGrid/>
        <w:spacing w:beforeLines="100" w:afterLines="50" w:line="300" w:lineRule="exact"/>
        <w:ind w:firstLine="420" w:firstLineChars="0"/>
        <w:textAlignment w:val="auto"/>
        <w:outlineLvl w:val="1"/>
        <w:rPr>
          <w:rFonts w:hint="eastAsia" w:ascii="楷体" w:hAnsi="楷体" w:eastAsia="楷体" w:cs="Times New Roman"/>
          <w:color w:val="auto"/>
          <w:kern w:val="0"/>
          <w:sz w:val="28"/>
          <w:szCs w:val="28"/>
          <w:highlight w:val="none"/>
          <w:lang w:val="en-US" w:eastAsia="zh-CN"/>
        </w:rPr>
      </w:pPr>
      <w:bookmarkStart w:id="57" w:name="_Toc9828"/>
    </w:p>
    <w:p w14:paraId="5500E13F">
      <w:pPr>
        <w:keepNext w:val="0"/>
        <w:keepLines w:val="0"/>
        <w:pageBreakBefore w:val="0"/>
        <w:widowControl w:val="0"/>
        <w:kinsoku/>
        <w:wordWrap/>
        <w:overflowPunct/>
        <w:topLinePunct w:val="0"/>
        <w:autoSpaceDE/>
        <w:autoSpaceDN/>
        <w:bidi w:val="0"/>
        <w:adjustRightInd/>
        <w:snapToGrid/>
        <w:spacing w:beforeLines="100" w:afterLines="50" w:line="300" w:lineRule="exact"/>
        <w:ind w:firstLine="420" w:firstLineChars="0"/>
        <w:textAlignment w:val="auto"/>
        <w:outlineLvl w:val="1"/>
        <w:rPr>
          <w:rFonts w:ascii="楷体" w:hAnsi="楷体" w:eastAsia="楷体" w:cs="Times New Roman"/>
          <w:color w:val="auto"/>
          <w:kern w:val="0"/>
          <w:sz w:val="28"/>
          <w:szCs w:val="28"/>
          <w:highlight w:val="none"/>
        </w:rPr>
      </w:pPr>
      <w:r>
        <w:rPr>
          <w:rFonts w:hint="eastAsia" w:ascii="楷体" w:hAnsi="楷体" w:eastAsia="楷体" w:cs="Times New Roman"/>
          <w:color w:val="auto"/>
          <w:kern w:val="0"/>
          <w:sz w:val="28"/>
          <w:szCs w:val="28"/>
          <w:highlight w:val="none"/>
          <w:lang w:val="en-US" w:eastAsia="zh-CN"/>
        </w:rPr>
        <w:t>3</w:t>
      </w:r>
      <w:r>
        <w:rPr>
          <w:rFonts w:hint="eastAsia" w:ascii="楷体" w:hAnsi="楷体" w:eastAsia="楷体" w:cs="Times New Roman"/>
          <w:color w:val="auto"/>
          <w:kern w:val="0"/>
          <w:sz w:val="28"/>
          <w:szCs w:val="28"/>
          <w:highlight w:val="none"/>
        </w:rPr>
        <w:t>.</w:t>
      </w:r>
      <w:r>
        <w:rPr>
          <w:rFonts w:hint="eastAsia" w:ascii="楷体" w:hAnsi="楷体" w:eastAsia="楷体" w:cs="Times New Roman"/>
          <w:color w:val="auto"/>
          <w:kern w:val="0"/>
          <w:sz w:val="28"/>
          <w:szCs w:val="28"/>
          <w:highlight w:val="none"/>
          <w:lang w:eastAsia="zh-CN"/>
        </w:rPr>
        <w:t>评审</w:t>
      </w:r>
      <w:r>
        <w:rPr>
          <w:rFonts w:hint="eastAsia" w:ascii="楷体" w:hAnsi="楷体" w:eastAsia="楷体" w:cs="Times New Roman"/>
          <w:color w:val="auto"/>
          <w:kern w:val="0"/>
          <w:sz w:val="28"/>
          <w:szCs w:val="28"/>
          <w:highlight w:val="none"/>
        </w:rPr>
        <w:t>方法</w:t>
      </w:r>
      <w:bookmarkEnd w:id="57"/>
    </w:p>
    <w:p w14:paraId="05B8E309">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本项目</w:t>
      </w:r>
      <w:r>
        <w:rPr>
          <w:rFonts w:hint="eastAsia" w:ascii="仿宋" w:hAnsi="仿宋" w:eastAsia="仿宋" w:cs="Times New Roman"/>
          <w:color w:val="auto"/>
          <w:kern w:val="0"/>
          <w:sz w:val="24"/>
          <w:szCs w:val="24"/>
          <w:highlight w:val="none"/>
          <w:lang w:eastAsia="zh-CN"/>
        </w:rPr>
        <w:t>评审</w:t>
      </w:r>
      <w:r>
        <w:rPr>
          <w:rFonts w:hint="eastAsia" w:ascii="仿宋" w:hAnsi="仿宋" w:eastAsia="仿宋" w:cs="Times New Roman"/>
          <w:color w:val="auto"/>
          <w:kern w:val="0"/>
          <w:sz w:val="24"/>
          <w:szCs w:val="24"/>
          <w:highlight w:val="none"/>
        </w:rPr>
        <w:t>办法为综合评分法。</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对满足</w:t>
      </w:r>
      <w:r>
        <w:rPr>
          <w:rFonts w:hint="eastAsia" w:ascii="仿宋" w:hAnsi="仿宋" w:eastAsia="仿宋" w:cs="Times New Roman"/>
          <w:color w:val="auto"/>
          <w:kern w:val="0"/>
          <w:sz w:val="24"/>
          <w:szCs w:val="24"/>
          <w:highlight w:val="none"/>
          <w:lang w:eastAsia="zh-CN"/>
        </w:rPr>
        <w:t>磋商文件</w:t>
      </w:r>
      <w:r>
        <w:rPr>
          <w:rFonts w:hint="eastAsia" w:ascii="仿宋" w:hAnsi="仿宋" w:eastAsia="仿宋" w:cs="Times New Roman"/>
          <w:color w:val="auto"/>
          <w:kern w:val="0"/>
          <w:sz w:val="24"/>
          <w:szCs w:val="24"/>
          <w:highlight w:val="none"/>
        </w:rPr>
        <w:t>实质性要求的</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，按照本章第2.3、2.4款规定的评分标准进行打分，并按综合得分由高到低顺序推荐中标候选人，或根据</w:t>
      </w:r>
      <w:r>
        <w:rPr>
          <w:rFonts w:hint="eastAsia" w:ascii="仿宋" w:hAnsi="仿宋" w:eastAsia="仿宋" w:cs="Times New Roman"/>
          <w:color w:val="auto"/>
          <w:kern w:val="0"/>
          <w:sz w:val="24"/>
          <w:szCs w:val="24"/>
          <w:highlight w:val="none"/>
          <w:lang w:eastAsia="zh-CN"/>
        </w:rPr>
        <w:t>采购人</w:t>
      </w:r>
      <w:r>
        <w:rPr>
          <w:rFonts w:hint="eastAsia" w:ascii="仿宋" w:hAnsi="仿宋" w:eastAsia="仿宋" w:cs="Times New Roman"/>
          <w:color w:val="auto"/>
          <w:kern w:val="0"/>
          <w:sz w:val="24"/>
          <w:szCs w:val="24"/>
          <w:highlight w:val="none"/>
        </w:rPr>
        <w:t>授权直接确定中标人。综合评分相等时，以</w:t>
      </w:r>
      <w:r>
        <w:rPr>
          <w:rFonts w:hint="eastAsia" w:ascii="仿宋" w:hAnsi="仿宋" w:eastAsia="仿宋" w:cs="Times New Roman"/>
          <w:color w:val="auto"/>
          <w:kern w:val="0"/>
          <w:sz w:val="24"/>
          <w:szCs w:val="24"/>
          <w:highlight w:val="none"/>
          <w:lang w:eastAsia="zh-CN"/>
        </w:rPr>
        <w:t>报价</w:t>
      </w:r>
      <w:r>
        <w:rPr>
          <w:rFonts w:hint="eastAsia" w:ascii="仿宋" w:hAnsi="仿宋" w:eastAsia="仿宋" w:cs="Times New Roman"/>
          <w:color w:val="auto"/>
          <w:kern w:val="0"/>
          <w:sz w:val="24"/>
          <w:szCs w:val="24"/>
          <w:highlight w:val="none"/>
        </w:rPr>
        <w:t>低的优先；</w:t>
      </w:r>
      <w:r>
        <w:rPr>
          <w:rFonts w:hint="eastAsia" w:ascii="仿宋" w:hAnsi="仿宋" w:eastAsia="仿宋" w:cs="Times New Roman"/>
          <w:color w:val="auto"/>
          <w:kern w:val="0"/>
          <w:sz w:val="24"/>
          <w:szCs w:val="24"/>
          <w:highlight w:val="none"/>
          <w:lang w:eastAsia="zh-CN"/>
        </w:rPr>
        <w:t>报价</w:t>
      </w:r>
      <w:r>
        <w:rPr>
          <w:rFonts w:hint="eastAsia" w:ascii="仿宋" w:hAnsi="仿宋" w:eastAsia="仿宋" w:cs="Times New Roman"/>
          <w:color w:val="auto"/>
          <w:kern w:val="0"/>
          <w:sz w:val="24"/>
          <w:szCs w:val="24"/>
          <w:highlight w:val="none"/>
        </w:rPr>
        <w:t>也相等的，由</w:t>
      </w:r>
      <w:r>
        <w:rPr>
          <w:rFonts w:hint="eastAsia" w:ascii="仿宋" w:hAnsi="仿宋" w:eastAsia="仿宋" w:cs="Times New Roman"/>
          <w:color w:val="auto"/>
          <w:kern w:val="0"/>
          <w:sz w:val="24"/>
          <w:szCs w:val="24"/>
          <w:highlight w:val="none"/>
          <w:lang w:eastAsia="zh-CN"/>
        </w:rPr>
        <w:t>采购人</w:t>
      </w:r>
      <w:r>
        <w:rPr>
          <w:rFonts w:hint="eastAsia" w:ascii="仿宋" w:hAnsi="仿宋" w:eastAsia="仿宋" w:cs="Times New Roman"/>
          <w:color w:val="auto"/>
          <w:kern w:val="0"/>
          <w:sz w:val="24"/>
          <w:szCs w:val="24"/>
          <w:highlight w:val="none"/>
        </w:rPr>
        <w:t>自行确定。</w:t>
      </w:r>
    </w:p>
    <w:p w14:paraId="380F0D93">
      <w:pPr>
        <w:keepNext w:val="0"/>
        <w:keepLines w:val="0"/>
        <w:pageBreakBefore w:val="0"/>
        <w:widowControl w:val="0"/>
        <w:kinsoku/>
        <w:wordWrap/>
        <w:overflowPunct/>
        <w:topLinePunct w:val="0"/>
        <w:autoSpaceDE/>
        <w:autoSpaceDN/>
        <w:bidi w:val="0"/>
        <w:adjustRightInd/>
        <w:snapToGrid/>
        <w:spacing w:beforeLines="100" w:afterLines="50" w:line="300" w:lineRule="exact"/>
        <w:ind w:firstLine="560" w:firstLineChars="200"/>
        <w:textAlignment w:val="auto"/>
        <w:outlineLvl w:val="1"/>
        <w:rPr>
          <w:rFonts w:ascii="楷体" w:hAnsi="楷体" w:eastAsia="楷体" w:cs="Times New Roman"/>
          <w:color w:val="auto"/>
          <w:kern w:val="0"/>
          <w:sz w:val="28"/>
          <w:szCs w:val="28"/>
          <w:highlight w:val="none"/>
        </w:rPr>
      </w:pPr>
      <w:bookmarkStart w:id="58" w:name="_Toc5327"/>
      <w:bookmarkStart w:id="59" w:name="_Toc16410"/>
      <w:r>
        <w:rPr>
          <w:rFonts w:hint="eastAsia" w:ascii="楷体" w:hAnsi="楷体" w:eastAsia="楷体" w:cs="Times New Roman"/>
          <w:color w:val="auto"/>
          <w:kern w:val="0"/>
          <w:sz w:val="28"/>
          <w:szCs w:val="28"/>
          <w:highlight w:val="none"/>
          <w:lang w:val="en-US" w:eastAsia="zh-CN"/>
        </w:rPr>
        <w:t>4</w:t>
      </w:r>
      <w:r>
        <w:rPr>
          <w:rFonts w:hint="eastAsia" w:ascii="楷体" w:hAnsi="楷体" w:eastAsia="楷体" w:cs="Times New Roman"/>
          <w:color w:val="auto"/>
          <w:kern w:val="0"/>
          <w:sz w:val="28"/>
          <w:szCs w:val="28"/>
          <w:highlight w:val="none"/>
        </w:rPr>
        <w:t>.评审标准</w:t>
      </w:r>
      <w:bookmarkEnd w:id="58"/>
      <w:bookmarkEnd w:id="59"/>
    </w:p>
    <w:p w14:paraId="6A4A5F34">
      <w:pPr>
        <w:spacing w:line="400" w:lineRule="exact"/>
        <w:ind w:firstLine="480" w:firstLineChars="200"/>
        <w:outlineLvl w:val="2"/>
        <w:rPr>
          <w:rFonts w:ascii="仿宋" w:hAnsi="仿宋" w:eastAsia="仿宋" w:cs="Times New Roman"/>
          <w:color w:val="auto"/>
          <w:kern w:val="0"/>
          <w:sz w:val="24"/>
          <w:szCs w:val="24"/>
          <w:highlight w:val="none"/>
        </w:rPr>
      </w:pPr>
      <w:bookmarkStart w:id="60" w:name="_Toc27688"/>
      <w:r>
        <w:rPr>
          <w:rFonts w:hint="eastAsia" w:ascii="仿宋" w:hAnsi="仿宋" w:eastAsia="仿宋" w:cs="Times New Roman"/>
          <w:color w:val="auto"/>
          <w:kern w:val="0"/>
          <w:sz w:val="24"/>
          <w:szCs w:val="24"/>
          <w:highlight w:val="none"/>
          <w:lang w:val="en-US" w:eastAsia="zh-CN"/>
        </w:rPr>
        <w:t>4</w:t>
      </w:r>
      <w:r>
        <w:rPr>
          <w:rFonts w:hint="eastAsia" w:ascii="仿宋" w:hAnsi="仿宋" w:eastAsia="仿宋" w:cs="Times New Roman"/>
          <w:color w:val="auto"/>
          <w:kern w:val="0"/>
          <w:sz w:val="24"/>
          <w:szCs w:val="24"/>
          <w:highlight w:val="none"/>
        </w:rPr>
        <w:t>.1初步评审标准</w:t>
      </w:r>
      <w:bookmarkEnd w:id="60"/>
    </w:p>
    <w:p w14:paraId="511B1DE4">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4</w:t>
      </w:r>
      <w:r>
        <w:rPr>
          <w:rFonts w:hint="eastAsia" w:ascii="仿宋" w:hAnsi="仿宋" w:eastAsia="仿宋" w:cs="Times New Roman"/>
          <w:color w:val="auto"/>
          <w:kern w:val="0"/>
          <w:sz w:val="24"/>
          <w:szCs w:val="24"/>
          <w:highlight w:val="none"/>
        </w:rPr>
        <w:t>.1.1资格性审查：详见</w:t>
      </w:r>
      <w:r>
        <w:rPr>
          <w:rFonts w:hint="eastAsia" w:ascii="仿宋" w:hAnsi="仿宋" w:eastAsia="仿宋" w:cs="Times New Roman"/>
          <w:color w:val="auto"/>
          <w:kern w:val="0"/>
          <w:sz w:val="24"/>
          <w:szCs w:val="24"/>
          <w:highlight w:val="none"/>
          <w:lang w:eastAsia="zh-CN"/>
        </w:rPr>
        <w:t>评审</w:t>
      </w:r>
      <w:r>
        <w:rPr>
          <w:rFonts w:hint="eastAsia" w:ascii="仿宋" w:hAnsi="仿宋" w:eastAsia="仿宋" w:cs="Times New Roman"/>
          <w:color w:val="auto"/>
          <w:kern w:val="0"/>
          <w:sz w:val="24"/>
          <w:szCs w:val="24"/>
          <w:highlight w:val="none"/>
        </w:rPr>
        <w:t>办法前附表；</w:t>
      </w:r>
    </w:p>
    <w:p w14:paraId="05ACBF23">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4</w:t>
      </w:r>
      <w:r>
        <w:rPr>
          <w:rFonts w:hint="eastAsia" w:ascii="仿宋" w:hAnsi="仿宋" w:eastAsia="仿宋" w:cs="Times New Roman"/>
          <w:color w:val="auto"/>
          <w:kern w:val="0"/>
          <w:sz w:val="24"/>
          <w:szCs w:val="24"/>
          <w:highlight w:val="none"/>
        </w:rPr>
        <w:t>.1.2符合性审查：详见</w:t>
      </w:r>
      <w:r>
        <w:rPr>
          <w:rFonts w:hint="eastAsia" w:ascii="仿宋" w:hAnsi="仿宋" w:eastAsia="仿宋" w:cs="Times New Roman"/>
          <w:color w:val="auto"/>
          <w:kern w:val="0"/>
          <w:sz w:val="24"/>
          <w:szCs w:val="24"/>
          <w:highlight w:val="none"/>
          <w:lang w:eastAsia="zh-CN"/>
        </w:rPr>
        <w:t>评审</w:t>
      </w:r>
      <w:r>
        <w:rPr>
          <w:rFonts w:hint="eastAsia" w:ascii="仿宋" w:hAnsi="仿宋" w:eastAsia="仿宋" w:cs="Times New Roman"/>
          <w:color w:val="auto"/>
          <w:kern w:val="0"/>
          <w:sz w:val="24"/>
          <w:szCs w:val="24"/>
          <w:highlight w:val="none"/>
        </w:rPr>
        <w:t>办法前附表。</w:t>
      </w:r>
    </w:p>
    <w:p w14:paraId="40B3D090">
      <w:pPr>
        <w:spacing w:line="400" w:lineRule="exact"/>
        <w:ind w:firstLine="480" w:firstLineChars="200"/>
        <w:outlineLvl w:val="2"/>
        <w:rPr>
          <w:rFonts w:ascii="仿宋" w:hAnsi="仿宋" w:eastAsia="仿宋" w:cs="Times New Roman"/>
          <w:color w:val="auto"/>
          <w:kern w:val="0"/>
          <w:sz w:val="24"/>
          <w:szCs w:val="24"/>
          <w:highlight w:val="none"/>
        </w:rPr>
      </w:pPr>
      <w:bookmarkStart w:id="61" w:name="_Toc18843"/>
      <w:r>
        <w:rPr>
          <w:rFonts w:hint="eastAsia" w:ascii="仿宋" w:hAnsi="仿宋" w:eastAsia="仿宋" w:cs="Times New Roman"/>
          <w:color w:val="auto"/>
          <w:kern w:val="0"/>
          <w:sz w:val="24"/>
          <w:szCs w:val="24"/>
          <w:highlight w:val="none"/>
          <w:lang w:val="en-US" w:eastAsia="zh-CN"/>
        </w:rPr>
        <w:t>4</w:t>
      </w:r>
      <w:r>
        <w:rPr>
          <w:rFonts w:hint="eastAsia" w:ascii="仿宋" w:hAnsi="仿宋" w:eastAsia="仿宋" w:cs="Times New Roman"/>
          <w:color w:val="auto"/>
          <w:kern w:val="0"/>
          <w:sz w:val="24"/>
          <w:szCs w:val="24"/>
          <w:highlight w:val="none"/>
        </w:rPr>
        <w:t>.2分值构成与评分标准</w:t>
      </w:r>
      <w:bookmarkEnd w:id="61"/>
    </w:p>
    <w:p w14:paraId="21F9FFF1">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4</w:t>
      </w:r>
      <w:r>
        <w:rPr>
          <w:rFonts w:hint="eastAsia" w:ascii="仿宋" w:hAnsi="仿宋" w:eastAsia="仿宋" w:cs="Times New Roman"/>
          <w:color w:val="auto"/>
          <w:kern w:val="0"/>
          <w:sz w:val="24"/>
          <w:szCs w:val="24"/>
          <w:highlight w:val="none"/>
        </w:rPr>
        <w:t>.2.1分值构成：详见</w:t>
      </w:r>
      <w:r>
        <w:rPr>
          <w:rFonts w:hint="eastAsia" w:ascii="仿宋" w:hAnsi="仿宋" w:eastAsia="仿宋" w:cs="Times New Roman"/>
          <w:color w:val="auto"/>
          <w:kern w:val="0"/>
          <w:sz w:val="24"/>
          <w:szCs w:val="24"/>
          <w:highlight w:val="none"/>
          <w:lang w:eastAsia="zh-CN"/>
        </w:rPr>
        <w:t>评审</w:t>
      </w:r>
      <w:r>
        <w:rPr>
          <w:rFonts w:hint="eastAsia" w:ascii="仿宋" w:hAnsi="仿宋" w:eastAsia="仿宋" w:cs="Times New Roman"/>
          <w:color w:val="auto"/>
          <w:kern w:val="0"/>
          <w:sz w:val="24"/>
          <w:szCs w:val="24"/>
          <w:highlight w:val="none"/>
        </w:rPr>
        <w:t>办法前附表。</w:t>
      </w:r>
    </w:p>
    <w:p w14:paraId="2123D9BD">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4</w:t>
      </w:r>
      <w:r>
        <w:rPr>
          <w:rFonts w:hint="eastAsia" w:ascii="仿宋" w:hAnsi="仿宋" w:eastAsia="仿宋" w:cs="Times New Roman"/>
          <w:color w:val="auto"/>
          <w:kern w:val="0"/>
          <w:sz w:val="24"/>
          <w:szCs w:val="24"/>
          <w:highlight w:val="none"/>
        </w:rPr>
        <w:t>.2.2</w:t>
      </w:r>
      <w:r>
        <w:rPr>
          <w:rFonts w:hint="eastAsia" w:ascii="仿宋" w:hAnsi="仿宋" w:eastAsia="仿宋" w:cs="Times New Roman"/>
          <w:color w:val="auto"/>
          <w:kern w:val="0"/>
          <w:sz w:val="24"/>
          <w:szCs w:val="24"/>
          <w:highlight w:val="none"/>
          <w:lang w:eastAsia="zh-CN"/>
        </w:rPr>
        <w:t>评审</w:t>
      </w:r>
      <w:r>
        <w:rPr>
          <w:rFonts w:hint="eastAsia" w:ascii="仿宋" w:hAnsi="仿宋" w:eastAsia="仿宋" w:cs="Times New Roman"/>
          <w:color w:val="auto"/>
          <w:kern w:val="0"/>
          <w:sz w:val="24"/>
          <w:szCs w:val="24"/>
          <w:highlight w:val="none"/>
        </w:rPr>
        <w:t>基准价的确定：</w:t>
      </w:r>
      <w:r>
        <w:rPr>
          <w:rFonts w:hint="eastAsia" w:ascii="仿宋" w:hAnsi="仿宋" w:eastAsia="仿宋" w:cs="仿宋"/>
          <w:color w:val="auto"/>
          <w:kern w:val="0"/>
          <w:sz w:val="24"/>
          <w:szCs w:val="24"/>
          <w:highlight w:val="none"/>
        </w:rPr>
        <w:t>即满足</w:t>
      </w:r>
      <w:r>
        <w:rPr>
          <w:rFonts w:hint="eastAsia" w:ascii="仿宋" w:hAnsi="仿宋" w:eastAsia="仿宋" w:cs="仿宋"/>
          <w:color w:val="auto"/>
          <w:kern w:val="0"/>
          <w:sz w:val="24"/>
          <w:szCs w:val="24"/>
          <w:highlight w:val="none"/>
          <w:lang w:val="en-US" w:eastAsia="zh-CN"/>
        </w:rPr>
        <w:t>采购</w:t>
      </w:r>
      <w:r>
        <w:rPr>
          <w:rFonts w:hint="eastAsia" w:ascii="仿宋" w:hAnsi="仿宋" w:eastAsia="仿宋" w:cs="仿宋"/>
          <w:color w:val="auto"/>
          <w:kern w:val="0"/>
          <w:sz w:val="24"/>
          <w:szCs w:val="24"/>
          <w:highlight w:val="none"/>
        </w:rPr>
        <w:t>要求且</w:t>
      </w:r>
      <w:r>
        <w:rPr>
          <w:rFonts w:hint="eastAsia" w:ascii="仿宋" w:hAnsi="仿宋" w:eastAsia="仿宋" w:cs="仿宋"/>
          <w:color w:val="auto"/>
          <w:kern w:val="0"/>
          <w:sz w:val="24"/>
          <w:szCs w:val="24"/>
          <w:highlight w:val="none"/>
          <w:lang w:val="en-US" w:eastAsia="zh-CN"/>
        </w:rPr>
        <w:t>最终价格</w:t>
      </w:r>
      <w:r>
        <w:rPr>
          <w:rFonts w:hint="eastAsia" w:ascii="仿宋" w:hAnsi="仿宋" w:eastAsia="仿宋" w:cs="仿宋"/>
          <w:color w:val="auto"/>
          <w:kern w:val="0"/>
          <w:sz w:val="24"/>
          <w:szCs w:val="24"/>
          <w:highlight w:val="none"/>
        </w:rPr>
        <w:t>最低的报价为</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基准价，其价格分为满分</w:t>
      </w:r>
      <w:r>
        <w:rPr>
          <w:rFonts w:hint="eastAsia" w:ascii="仿宋" w:hAnsi="仿宋" w:eastAsia="仿宋" w:cs="Times New Roman"/>
          <w:color w:val="auto"/>
          <w:kern w:val="0"/>
          <w:sz w:val="24"/>
          <w:szCs w:val="24"/>
          <w:highlight w:val="none"/>
        </w:rPr>
        <w:t>。</w:t>
      </w:r>
    </w:p>
    <w:p w14:paraId="70C28E8F">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4</w:t>
      </w:r>
      <w:r>
        <w:rPr>
          <w:rFonts w:hint="eastAsia" w:ascii="仿宋" w:hAnsi="仿宋" w:eastAsia="仿宋" w:cs="Times New Roman"/>
          <w:color w:val="auto"/>
          <w:kern w:val="0"/>
          <w:sz w:val="24"/>
          <w:szCs w:val="24"/>
          <w:highlight w:val="none"/>
        </w:rPr>
        <w:t>.2.3报价的得分计算</w:t>
      </w:r>
    </w:p>
    <w:p w14:paraId="3AB45BA3">
      <w:pPr>
        <w:spacing w:before="94" w:line="222" w:lineRule="auto"/>
        <w:ind w:firstLine="488" w:firstLineChars="200"/>
        <w:rPr>
          <w:rFonts w:ascii="仿宋" w:hAnsi="仿宋" w:eastAsia="仿宋" w:cs="仿宋"/>
          <w:color w:val="auto"/>
          <w:kern w:val="0"/>
          <w:sz w:val="24"/>
          <w:szCs w:val="24"/>
          <w:highlight w:val="none"/>
        </w:rPr>
      </w:pPr>
      <w:r>
        <w:rPr>
          <w:rFonts w:ascii="仿宋" w:hAnsi="仿宋" w:eastAsia="仿宋" w:cs="仿宋"/>
          <w:color w:val="auto"/>
          <w:spacing w:val="2"/>
          <w:kern w:val="0"/>
          <w:sz w:val="24"/>
          <w:szCs w:val="24"/>
          <w:highlight w:val="none"/>
        </w:rPr>
        <w:t>报价得分=(评审基准价/最终报价)×价格权值。</w:t>
      </w:r>
    </w:p>
    <w:p w14:paraId="64CE62F4">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4</w:t>
      </w:r>
      <w:r>
        <w:rPr>
          <w:rFonts w:hint="eastAsia" w:ascii="仿宋" w:hAnsi="仿宋" w:eastAsia="仿宋" w:cs="Times New Roman"/>
          <w:color w:val="auto"/>
          <w:kern w:val="0"/>
          <w:sz w:val="24"/>
          <w:szCs w:val="24"/>
          <w:highlight w:val="none"/>
        </w:rPr>
        <w:t>.2.4发包人有权接受或拒绝</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在</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中提出偏离、保留。发包人不接受</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在开标后提出的优惠条件。</w:t>
      </w:r>
    </w:p>
    <w:p w14:paraId="5E8A5DF2">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4</w:t>
      </w:r>
      <w:r>
        <w:rPr>
          <w:rFonts w:hint="eastAsia" w:ascii="仿宋" w:hAnsi="仿宋" w:eastAsia="仿宋" w:cs="Times New Roman"/>
          <w:color w:val="auto"/>
          <w:kern w:val="0"/>
          <w:sz w:val="24"/>
          <w:szCs w:val="24"/>
          <w:highlight w:val="none"/>
        </w:rPr>
        <w:t>.2.5评分标准：详见</w:t>
      </w:r>
      <w:r>
        <w:rPr>
          <w:rFonts w:hint="eastAsia" w:ascii="仿宋" w:hAnsi="仿宋" w:eastAsia="仿宋" w:cs="Times New Roman"/>
          <w:color w:val="auto"/>
          <w:kern w:val="0"/>
          <w:sz w:val="24"/>
          <w:szCs w:val="24"/>
          <w:highlight w:val="none"/>
          <w:lang w:eastAsia="zh-CN"/>
        </w:rPr>
        <w:t>评审</w:t>
      </w:r>
      <w:r>
        <w:rPr>
          <w:rFonts w:hint="eastAsia" w:ascii="仿宋" w:hAnsi="仿宋" w:eastAsia="仿宋" w:cs="Times New Roman"/>
          <w:color w:val="auto"/>
          <w:kern w:val="0"/>
          <w:sz w:val="24"/>
          <w:szCs w:val="24"/>
          <w:highlight w:val="none"/>
        </w:rPr>
        <w:t>附表。</w:t>
      </w:r>
    </w:p>
    <w:p w14:paraId="17274FB3">
      <w:pPr>
        <w:keepNext w:val="0"/>
        <w:keepLines w:val="0"/>
        <w:pageBreakBefore w:val="0"/>
        <w:widowControl w:val="0"/>
        <w:kinsoku/>
        <w:wordWrap/>
        <w:overflowPunct/>
        <w:topLinePunct w:val="0"/>
        <w:autoSpaceDE/>
        <w:autoSpaceDN/>
        <w:bidi w:val="0"/>
        <w:adjustRightInd/>
        <w:snapToGrid/>
        <w:spacing w:beforeLines="100" w:afterLines="50" w:line="300" w:lineRule="exact"/>
        <w:ind w:firstLine="560" w:firstLineChars="200"/>
        <w:textAlignment w:val="auto"/>
        <w:outlineLvl w:val="1"/>
        <w:rPr>
          <w:rFonts w:ascii="楷体" w:hAnsi="楷体" w:eastAsia="楷体" w:cs="Times New Roman"/>
          <w:color w:val="auto"/>
          <w:kern w:val="0"/>
          <w:sz w:val="28"/>
          <w:szCs w:val="28"/>
          <w:highlight w:val="none"/>
        </w:rPr>
      </w:pPr>
      <w:bookmarkStart w:id="62" w:name="_Toc28921"/>
      <w:bookmarkStart w:id="63" w:name="_Toc25825"/>
      <w:r>
        <w:rPr>
          <w:rFonts w:hint="eastAsia" w:ascii="楷体" w:hAnsi="楷体" w:eastAsia="楷体" w:cs="Times New Roman"/>
          <w:color w:val="auto"/>
          <w:kern w:val="0"/>
          <w:sz w:val="28"/>
          <w:szCs w:val="28"/>
          <w:highlight w:val="none"/>
          <w:lang w:val="en-US" w:eastAsia="zh-CN"/>
        </w:rPr>
        <w:t>5</w:t>
      </w:r>
      <w:r>
        <w:rPr>
          <w:rFonts w:hint="eastAsia" w:ascii="楷体" w:hAnsi="楷体" w:eastAsia="楷体" w:cs="Times New Roman"/>
          <w:color w:val="auto"/>
          <w:kern w:val="0"/>
          <w:sz w:val="28"/>
          <w:szCs w:val="28"/>
          <w:highlight w:val="none"/>
        </w:rPr>
        <w:t>.</w:t>
      </w:r>
      <w:r>
        <w:rPr>
          <w:rFonts w:hint="eastAsia" w:ascii="楷体" w:hAnsi="楷体" w:eastAsia="楷体" w:cs="Times New Roman"/>
          <w:color w:val="auto"/>
          <w:kern w:val="0"/>
          <w:sz w:val="28"/>
          <w:szCs w:val="28"/>
          <w:highlight w:val="none"/>
          <w:lang w:eastAsia="zh-CN"/>
        </w:rPr>
        <w:t>评审</w:t>
      </w:r>
      <w:r>
        <w:rPr>
          <w:rFonts w:hint="eastAsia" w:ascii="楷体" w:hAnsi="楷体" w:eastAsia="楷体" w:cs="Times New Roman"/>
          <w:color w:val="auto"/>
          <w:kern w:val="0"/>
          <w:sz w:val="28"/>
          <w:szCs w:val="28"/>
          <w:highlight w:val="none"/>
        </w:rPr>
        <w:t>程序</w:t>
      </w:r>
      <w:bookmarkEnd w:id="62"/>
      <w:bookmarkEnd w:id="63"/>
    </w:p>
    <w:p w14:paraId="5C377105">
      <w:pPr>
        <w:spacing w:line="400" w:lineRule="exact"/>
        <w:ind w:firstLine="480" w:firstLineChars="200"/>
        <w:outlineLvl w:val="2"/>
        <w:rPr>
          <w:rFonts w:ascii="仿宋" w:hAnsi="仿宋" w:eastAsia="仿宋" w:cs="Times New Roman"/>
          <w:color w:val="auto"/>
          <w:kern w:val="0"/>
          <w:sz w:val="24"/>
          <w:szCs w:val="24"/>
          <w:highlight w:val="none"/>
        </w:rPr>
      </w:pPr>
      <w:bookmarkStart w:id="64" w:name="_Toc12004"/>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.1初步评审</w:t>
      </w:r>
      <w:bookmarkEnd w:id="64"/>
    </w:p>
    <w:p w14:paraId="7A2B39CC">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.1.1</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可以要求</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提交第二章“</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须知”第3</w:t>
      </w:r>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.1项规定的有关证明和证件的原件，以便核验。</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依据本章第2.1款规定的标准对</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进行初步评审。有一项不符合评审标准的，作废标处理。</w:t>
      </w:r>
    </w:p>
    <w:p w14:paraId="24D0A857">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.1.2</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有以下情形之一的，其投标作废标处理：</w:t>
      </w:r>
    </w:p>
    <w:p w14:paraId="7DF83DA6">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（1）串通投标或弄虚作假或有其他违法行为的；</w:t>
      </w:r>
    </w:p>
    <w:p w14:paraId="20173832">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（2）不按</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要求澄清、说明或补正的。</w:t>
      </w:r>
    </w:p>
    <w:p w14:paraId="6667BF85">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lang w:eastAsia="zh-CN"/>
        </w:rPr>
        <w:t>报价函</w:t>
      </w:r>
      <w:r>
        <w:rPr>
          <w:rFonts w:hint="eastAsia" w:ascii="仿宋" w:hAnsi="仿宋" w:eastAsia="仿宋" w:cs="Times New Roman"/>
          <w:color w:val="auto"/>
          <w:kern w:val="0"/>
          <w:sz w:val="24"/>
          <w:szCs w:val="24"/>
          <w:highlight w:val="none"/>
        </w:rPr>
        <w:t>中</w:t>
      </w:r>
      <w:r>
        <w:rPr>
          <w:rFonts w:hint="eastAsia" w:ascii="仿宋" w:hAnsi="仿宋" w:eastAsia="仿宋" w:cs="Times New Roman"/>
          <w:color w:val="auto"/>
          <w:kern w:val="0"/>
          <w:sz w:val="24"/>
          <w:szCs w:val="24"/>
          <w:highlight w:val="none"/>
          <w:lang w:eastAsia="zh-CN"/>
        </w:rPr>
        <w:t>报价</w:t>
      </w:r>
      <w:r>
        <w:rPr>
          <w:rFonts w:hint="eastAsia" w:ascii="仿宋" w:hAnsi="仿宋" w:eastAsia="仿宋" w:cs="Times New Roman"/>
          <w:color w:val="auto"/>
          <w:kern w:val="0"/>
          <w:sz w:val="24"/>
          <w:szCs w:val="24"/>
          <w:highlight w:val="none"/>
        </w:rPr>
        <w:t>与采购清单汇总价不一致时</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作废标处理。</w:t>
      </w:r>
    </w:p>
    <w:p w14:paraId="2E689D97">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（4）提供虚假资料的其</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作废标处理。</w:t>
      </w:r>
    </w:p>
    <w:p w14:paraId="79F775F4">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（5）</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在开标时资格审查时递交的法人授权委托书公证件原件，其内容应与资格预审、</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的内容一致，其中委托代理人均为同一人，不一致作废标处理。</w:t>
      </w:r>
    </w:p>
    <w:p w14:paraId="6F820E6B">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（6）</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认定</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以低于成本报价竞标的。</w:t>
      </w:r>
    </w:p>
    <w:p w14:paraId="341A8FA9">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（7）</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附有</w:t>
      </w:r>
      <w:r>
        <w:rPr>
          <w:rFonts w:hint="eastAsia" w:ascii="仿宋" w:hAnsi="仿宋" w:eastAsia="仿宋" w:cs="Times New Roman"/>
          <w:color w:val="auto"/>
          <w:kern w:val="0"/>
          <w:sz w:val="24"/>
          <w:szCs w:val="24"/>
          <w:highlight w:val="none"/>
          <w:lang w:eastAsia="zh-CN"/>
        </w:rPr>
        <w:t>采购人</w:t>
      </w:r>
      <w:r>
        <w:rPr>
          <w:rFonts w:hint="eastAsia" w:ascii="仿宋" w:hAnsi="仿宋" w:eastAsia="仿宋" w:cs="Times New Roman"/>
          <w:color w:val="auto"/>
          <w:kern w:val="0"/>
          <w:sz w:val="24"/>
          <w:szCs w:val="24"/>
          <w:highlight w:val="none"/>
        </w:rPr>
        <w:t>不能接受的条件。</w:t>
      </w:r>
    </w:p>
    <w:p w14:paraId="5D1747D4">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（8）</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偏离</w:t>
      </w:r>
      <w:r>
        <w:rPr>
          <w:rFonts w:hint="eastAsia" w:ascii="仿宋" w:hAnsi="仿宋" w:eastAsia="仿宋" w:cs="Times New Roman"/>
          <w:color w:val="auto"/>
          <w:kern w:val="0"/>
          <w:sz w:val="24"/>
          <w:szCs w:val="24"/>
          <w:highlight w:val="none"/>
          <w:lang w:eastAsia="zh-CN"/>
        </w:rPr>
        <w:t>磋商文件</w:t>
      </w:r>
      <w:r>
        <w:rPr>
          <w:rFonts w:hint="eastAsia" w:ascii="仿宋" w:hAnsi="仿宋" w:eastAsia="仿宋" w:cs="Times New Roman"/>
          <w:color w:val="auto"/>
          <w:kern w:val="0"/>
          <w:sz w:val="24"/>
          <w:szCs w:val="24"/>
          <w:highlight w:val="none"/>
        </w:rPr>
        <w:t>实质性要求和条件的。</w:t>
      </w:r>
    </w:p>
    <w:p w14:paraId="055C2502">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（9）一个</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递交两份或多分内容不同的</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，或在一份</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中对同一招标项目有两个或多个报价，且未声明哪一个报价有效的。</w:t>
      </w:r>
    </w:p>
    <w:p w14:paraId="182188A1">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.1.3</w:t>
      </w:r>
      <w:r>
        <w:rPr>
          <w:rFonts w:hint="eastAsia" w:ascii="仿宋" w:hAnsi="仿宋" w:eastAsia="仿宋" w:cs="Times New Roman"/>
          <w:color w:val="auto"/>
          <w:kern w:val="0"/>
          <w:sz w:val="24"/>
          <w:szCs w:val="24"/>
          <w:highlight w:val="none"/>
          <w:lang w:eastAsia="zh-CN"/>
        </w:rPr>
        <w:t>报价</w:t>
      </w:r>
      <w:r>
        <w:rPr>
          <w:rFonts w:hint="eastAsia" w:ascii="仿宋" w:hAnsi="仿宋" w:eastAsia="仿宋" w:cs="Times New Roman"/>
          <w:color w:val="auto"/>
          <w:kern w:val="0"/>
          <w:sz w:val="24"/>
          <w:szCs w:val="24"/>
          <w:highlight w:val="none"/>
        </w:rPr>
        <w:t>有算术错误的，</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按以下原则对</w:t>
      </w:r>
      <w:r>
        <w:rPr>
          <w:rFonts w:hint="eastAsia" w:ascii="仿宋" w:hAnsi="仿宋" w:eastAsia="仿宋" w:cs="Times New Roman"/>
          <w:color w:val="auto"/>
          <w:kern w:val="0"/>
          <w:sz w:val="24"/>
          <w:szCs w:val="24"/>
          <w:highlight w:val="none"/>
          <w:lang w:eastAsia="zh-CN"/>
        </w:rPr>
        <w:t>报价</w:t>
      </w:r>
      <w:r>
        <w:rPr>
          <w:rFonts w:hint="eastAsia" w:ascii="仿宋" w:hAnsi="仿宋" w:eastAsia="仿宋" w:cs="Times New Roman"/>
          <w:color w:val="auto"/>
          <w:kern w:val="0"/>
          <w:sz w:val="24"/>
          <w:szCs w:val="24"/>
          <w:highlight w:val="none"/>
        </w:rPr>
        <w:t>进行修正，修正的价格经</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书面确认后具有约束力。</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不接受修正价格的，其投标作废标处理。</w:t>
      </w:r>
    </w:p>
    <w:p w14:paraId="651B173C">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中的大写金额与小写金额不一致的，以大写金额为准；</w:t>
      </w:r>
    </w:p>
    <w:p w14:paraId="7F821B45">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（2）总价金额与依据单价计算出的结果不一致的，以单价金额为准修正总价，但单价金额小数点有明显错误的除外。</w:t>
      </w:r>
    </w:p>
    <w:p w14:paraId="6132AB80">
      <w:pPr>
        <w:spacing w:line="400" w:lineRule="exact"/>
        <w:ind w:firstLine="480" w:firstLineChars="200"/>
        <w:outlineLvl w:val="2"/>
        <w:rPr>
          <w:rFonts w:ascii="仿宋" w:hAnsi="仿宋" w:eastAsia="仿宋" w:cs="Times New Roman"/>
          <w:color w:val="auto"/>
          <w:kern w:val="0"/>
          <w:sz w:val="24"/>
          <w:szCs w:val="24"/>
          <w:highlight w:val="none"/>
        </w:rPr>
      </w:pPr>
      <w:bookmarkStart w:id="65" w:name="_Toc6470"/>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.2详细评审</w:t>
      </w:r>
      <w:bookmarkEnd w:id="65"/>
    </w:p>
    <w:p w14:paraId="245952E2">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分别进行技术评审、商务评审和信用与业绩评审，在技术组评委技术评分表提交后，在进行商务评分汇总。</w:t>
      </w:r>
    </w:p>
    <w:p w14:paraId="781B4722">
      <w:pPr>
        <w:spacing w:line="400" w:lineRule="exact"/>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报价部分由磋商小组与供应商进行磋商，供应商进行两轮报价。第一轮报价为响应文件内报价，第二轮报价所有供应商同时报价。以最后一轮的最终报价由低到高进行排序。</w:t>
      </w:r>
    </w:p>
    <w:p w14:paraId="64D226B9">
      <w:pPr>
        <w:spacing w:line="400" w:lineRule="exact"/>
        <w:ind w:firstLine="480" w:firstLineChars="200"/>
        <w:rPr>
          <w:rFonts w:hint="eastAsia" w:ascii="仿宋" w:hAnsi="仿宋" w:eastAsia="仿宋" w:cs="Times New Roman"/>
          <w:color w:val="auto"/>
          <w:kern w:val="0"/>
          <w:sz w:val="24"/>
          <w:szCs w:val="24"/>
          <w:highlight w:val="none"/>
          <w:lang w:val="en-US" w:eastAsia="zh-CN"/>
        </w:rPr>
      </w:pPr>
      <w:r>
        <w:rPr>
          <w:rFonts w:hint="eastAsia" w:ascii="仿宋" w:hAnsi="仿宋" w:eastAsia="仿宋" w:cs="Times New Roman"/>
          <w:color w:val="auto"/>
          <w:kern w:val="0"/>
          <w:sz w:val="24"/>
          <w:szCs w:val="24"/>
          <w:highlight w:val="none"/>
          <w:lang w:val="en-US" w:eastAsia="zh-CN"/>
        </w:rPr>
        <w:t>磋商小组推荐综合得分由高到低的顺序推荐3三名供应商为成交候选人推荐给采购人，由采购人确定第一名供应商为成交供应商。</w:t>
      </w:r>
    </w:p>
    <w:p w14:paraId="757C0C4F">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.2.1</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按照本章第2.2款规定的量化因素和分值进行打分,计算出综合评分得分,</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的总得分等于评委评分的算术和的平均值。</w:t>
      </w:r>
    </w:p>
    <w:p w14:paraId="7F47C8B8">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（1）按本章规定的评审项目及内容对技术因素部分计算出得分∑1；</w:t>
      </w:r>
    </w:p>
    <w:p w14:paraId="3187AA13">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（2）按本章规定的评审项目及内容对</w:t>
      </w:r>
      <w:r>
        <w:rPr>
          <w:rFonts w:hint="eastAsia" w:ascii="仿宋" w:hAnsi="仿宋" w:eastAsia="仿宋" w:cs="Times New Roman"/>
          <w:color w:val="auto"/>
          <w:kern w:val="0"/>
          <w:sz w:val="24"/>
          <w:szCs w:val="24"/>
          <w:highlight w:val="none"/>
          <w:lang w:val="en-US" w:eastAsia="zh-CN"/>
        </w:rPr>
        <w:t>商务</w:t>
      </w:r>
      <w:r>
        <w:rPr>
          <w:rFonts w:hint="eastAsia" w:ascii="仿宋" w:hAnsi="仿宋" w:eastAsia="仿宋" w:cs="Times New Roman"/>
          <w:color w:val="auto"/>
          <w:kern w:val="0"/>
          <w:sz w:val="24"/>
          <w:szCs w:val="24"/>
          <w:highlight w:val="none"/>
        </w:rPr>
        <w:t>因素部分计算出∑2；</w:t>
      </w:r>
    </w:p>
    <w:p w14:paraId="5A439D20">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.2.2评分分值计算保留小数点后两位，小数点后第三位按“四舍五入”;</w:t>
      </w:r>
    </w:p>
    <w:p w14:paraId="7C5476C1">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.2.3</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得分：∑1+∑2</w:t>
      </w:r>
    </w:p>
    <w:p w14:paraId="292B00AE">
      <w:pPr>
        <w:spacing w:line="400" w:lineRule="exact"/>
        <w:ind w:firstLine="480" w:firstLineChars="200"/>
        <w:outlineLvl w:val="2"/>
        <w:rPr>
          <w:rFonts w:ascii="仿宋" w:hAnsi="仿宋" w:eastAsia="仿宋" w:cs="Times New Roman"/>
          <w:color w:val="auto"/>
          <w:kern w:val="0"/>
          <w:sz w:val="24"/>
          <w:szCs w:val="24"/>
          <w:highlight w:val="none"/>
        </w:rPr>
      </w:pPr>
      <w:bookmarkStart w:id="66" w:name="_Toc27913"/>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.3</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的澄清和补正</w:t>
      </w:r>
      <w:bookmarkEnd w:id="66"/>
    </w:p>
    <w:p w14:paraId="1C5F1095">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.3.1在</w:t>
      </w:r>
      <w:r>
        <w:rPr>
          <w:rFonts w:hint="eastAsia" w:ascii="仿宋" w:hAnsi="仿宋" w:eastAsia="仿宋" w:cs="Times New Roman"/>
          <w:color w:val="auto"/>
          <w:kern w:val="0"/>
          <w:sz w:val="24"/>
          <w:szCs w:val="24"/>
          <w:highlight w:val="none"/>
          <w:lang w:eastAsia="zh-CN"/>
        </w:rPr>
        <w:t>评审</w:t>
      </w:r>
      <w:r>
        <w:rPr>
          <w:rFonts w:hint="eastAsia" w:ascii="仿宋" w:hAnsi="仿宋" w:eastAsia="仿宋" w:cs="Times New Roman"/>
          <w:color w:val="auto"/>
          <w:kern w:val="0"/>
          <w:sz w:val="24"/>
          <w:szCs w:val="24"/>
          <w:highlight w:val="none"/>
        </w:rPr>
        <w:t>过程中，</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可以书面形式要求</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对所提交</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中不明确的内容进行书面澄清或说明，或者对细微偏差进行补正。</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不接受</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主动提出的澄清、说明或补正。</w:t>
      </w:r>
    </w:p>
    <w:p w14:paraId="17EECEA7">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.3.2澄清、说明和补正不得改变</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的实质性内容（算术性错误修正的除外）。</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的书面澄清、说明和补正属于</w:t>
      </w:r>
      <w:r>
        <w:rPr>
          <w:rFonts w:hint="eastAsia" w:ascii="仿宋" w:hAnsi="仿宋" w:eastAsia="仿宋" w:cs="Times New Roman"/>
          <w:color w:val="auto"/>
          <w:kern w:val="0"/>
          <w:sz w:val="24"/>
          <w:szCs w:val="24"/>
          <w:highlight w:val="none"/>
          <w:lang w:eastAsia="zh-CN"/>
        </w:rPr>
        <w:t>响应文件</w:t>
      </w:r>
      <w:r>
        <w:rPr>
          <w:rFonts w:hint="eastAsia" w:ascii="仿宋" w:hAnsi="仿宋" w:eastAsia="仿宋" w:cs="Times New Roman"/>
          <w:color w:val="auto"/>
          <w:kern w:val="0"/>
          <w:sz w:val="24"/>
          <w:szCs w:val="24"/>
          <w:highlight w:val="none"/>
        </w:rPr>
        <w:t>的组成部分。</w:t>
      </w:r>
    </w:p>
    <w:p w14:paraId="4F8FCD96">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.3.3</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对</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提交的澄清、说明或补正有疑问的，可以要求</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进一步澄清、说明或补正，直至满足</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的要求。</w:t>
      </w:r>
    </w:p>
    <w:p w14:paraId="6F13DE15">
      <w:pPr>
        <w:spacing w:line="400" w:lineRule="exact"/>
        <w:ind w:firstLine="480" w:firstLineChars="200"/>
        <w:outlineLvl w:val="2"/>
        <w:rPr>
          <w:rFonts w:ascii="仿宋" w:hAnsi="仿宋" w:eastAsia="仿宋" w:cs="Times New Roman"/>
          <w:color w:val="auto"/>
          <w:kern w:val="0"/>
          <w:sz w:val="24"/>
          <w:szCs w:val="24"/>
          <w:highlight w:val="none"/>
        </w:rPr>
      </w:pPr>
      <w:bookmarkStart w:id="67" w:name="_Toc13434"/>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.4</w:t>
      </w:r>
      <w:r>
        <w:rPr>
          <w:rFonts w:hint="eastAsia" w:ascii="仿宋" w:hAnsi="仿宋" w:eastAsia="仿宋" w:cs="Times New Roman"/>
          <w:color w:val="auto"/>
          <w:kern w:val="0"/>
          <w:sz w:val="24"/>
          <w:szCs w:val="24"/>
          <w:highlight w:val="none"/>
          <w:lang w:eastAsia="zh-CN"/>
        </w:rPr>
        <w:t>评审</w:t>
      </w:r>
      <w:r>
        <w:rPr>
          <w:rFonts w:hint="eastAsia" w:ascii="仿宋" w:hAnsi="仿宋" w:eastAsia="仿宋" w:cs="Times New Roman"/>
          <w:color w:val="auto"/>
          <w:kern w:val="0"/>
          <w:sz w:val="24"/>
          <w:szCs w:val="24"/>
          <w:highlight w:val="none"/>
        </w:rPr>
        <w:t>结果</w:t>
      </w:r>
      <w:bookmarkEnd w:id="67"/>
    </w:p>
    <w:p w14:paraId="42E64F92">
      <w:pPr>
        <w:spacing w:line="40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.4.1</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依据本章第评分标准进行评分，按</w:t>
      </w:r>
      <w:r>
        <w:rPr>
          <w:rFonts w:hint="eastAsia" w:ascii="仿宋" w:hAnsi="仿宋" w:eastAsia="仿宋" w:cs="Times New Roman"/>
          <w:color w:val="auto"/>
          <w:kern w:val="0"/>
          <w:sz w:val="24"/>
          <w:szCs w:val="24"/>
          <w:highlight w:val="none"/>
          <w:lang w:eastAsia="zh-CN"/>
        </w:rPr>
        <w:t>评审</w:t>
      </w:r>
      <w:r>
        <w:rPr>
          <w:rFonts w:hint="eastAsia" w:ascii="仿宋" w:hAnsi="仿宋" w:eastAsia="仿宋" w:cs="Times New Roman"/>
          <w:color w:val="auto"/>
          <w:kern w:val="0"/>
          <w:sz w:val="24"/>
          <w:szCs w:val="24"/>
          <w:highlight w:val="none"/>
        </w:rPr>
        <w:t>办法前附表的约定计算</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最终得分，根据得分由高到低的顺序推荐3名中标候选人，并标明推荐顺序。</w:t>
      </w:r>
    </w:p>
    <w:p w14:paraId="713D00DF">
      <w:pPr>
        <w:spacing w:line="42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.4.2</w:t>
      </w:r>
      <w:r>
        <w:rPr>
          <w:rFonts w:hint="eastAsia" w:ascii="仿宋" w:hAnsi="仿宋" w:eastAsia="仿宋" w:cs="Times New Roman"/>
          <w:color w:val="auto"/>
          <w:kern w:val="0"/>
          <w:sz w:val="24"/>
          <w:szCs w:val="24"/>
          <w:highlight w:val="none"/>
          <w:lang w:eastAsia="zh-CN"/>
        </w:rPr>
        <w:t>磋商小组</w:t>
      </w:r>
      <w:r>
        <w:rPr>
          <w:rFonts w:hint="eastAsia" w:ascii="仿宋" w:hAnsi="仿宋" w:eastAsia="仿宋" w:cs="Times New Roman"/>
          <w:color w:val="auto"/>
          <w:kern w:val="0"/>
          <w:sz w:val="24"/>
          <w:szCs w:val="24"/>
          <w:highlight w:val="none"/>
        </w:rPr>
        <w:t>完成</w:t>
      </w:r>
      <w:r>
        <w:rPr>
          <w:rFonts w:hint="eastAsia" w:ascii="仿宋" w:hAnsi="仿宋" w:eastAsia="仿宋" w:cs="Times New Roman"/>
          <w:color w:val="auto"/>
          <w:kern w:val="0"/>
          <w:sz w:val="24"/>
          <w:szCs w:val="24"/>
          <w:highlight w:val="none"/>
          <w:lang w:eastAsia="zh-CN"/>
        </w:rPr>
        <w:t>评审</w:t>
      </w:r>
      <w:r>
        <w:rPr>
          <w:rFonts w:hint="eastAsia" w:ascii="仿宋" w:hAnsi="仿宋" w:eastAsia="仿宋" w:cs="Times New Roman"/>
          <w:color w:val="auto"/>
          <w:kern w:val="0"/>
          <w:sz w:val="24"/>
          <w:szCs w:val="24"/>
          <w:highlight w:val="none"/>
        </w:rPr>
        <w:t>后，应当向</w:t>
      </w:r>
      <w:r>
        <w:rPr>
          <w:rFonts w:hint="eastAsia" w:ascii="仿宋" w:hAnsi="仿宋" w:eastAsia="仿宋" w:cs="Times New Roman"/>
          <w:color w:val="auto"/>
          <w:kern w:val="0"/>
          <w:sz w:val="24"/>
          <w:szCs w:val="24"/>
          <w:highlight w:val="none"/>
          <w:lang w:eastAsia="zh-CN"/>
        </w:rPr>
        <w:t>采购人</w:t>
      </w:r>
      <w:r>
        <w:rPr>
          <w:rFonts w:hint="eastAsia" w:ascii="仿宋" w:hAnsi="仿宋" w:eastAsia="仿宋" w:cs="Times New Roman"/>
          <w:color w:val="auto"/>
          <w:kern w:val="0"/>
          <w:sz w:val="24"/>
          <w:szCs w:val="24"/>
          <w:highlight w:val="none"/>
        </w:rPr>
        <w:t>提交书面</w:t>
      </w:r>
      <w:r>
        <w:rPr>
          <w:rFonts w:hint="eastAsia" w:ascii="仿宋" w:hAnsi="仿宋" w:eastAsia="仿宋" w:cs="Times New Roman"/>
          <w:color w:val="auto"/>
          <w:kern w:val="0"/>
          <w:sz w:val="24"/>
          <w:szCs w:val="24"/>
          <w:highlight w:val="none"/>
          <w:lang w:eastAsia="zh-CN"/>
        </w:rPr>
        <w:t>评审</w:t>
      </w:r>
      <w:r>
        <w:rPr>
          <w:rFonts w:hint="eastAsia" w:ascii="仿宋" w:hAnsi="仿宋" w:eastAsia="仿宋" w:cs="Times New Roman"/>
          <w:color w:val="auto"/>
          <w:kern w:val="0"/>
          <w:sz w:val="24"/>
          <w:szCs w:val="24"/>
          <w:highlight w:val="none"/>
        </w:rPr>
        <w:t>报告。</w:t>
      </w:r>
    </w:p>
    <w:p w14:paraId="2DC82682">
      <w:r>
        <w:br w:type="page"/>
      </w:r>
    </w:p>
    <w:p w14:paraId="18F01DEF">
      <w:pPr>
        <w:widowControl w:val="0"/>
        <w:numPr>
          <w:ilvl w:val="0"/>
          <w:numId w:val="0"/>
        </w:numPr>
        <w:autoSpaceDE w:val="0"/>
        <w:autoSpaceDN w:val="0"/>
        <w:bidi w:val="0"/>
        <w:spacing w:before="0" w:after="0" w:line="240" w:lineRule="auto"/>
        <w:ind w:leftChars="0" w:right="0" w:rightChars="0"/>
        <w:jc w:val="center"/>
        <w:outlineLvl w:val="0"/>
        <w:rPr>
          <w:rFonts w:hint="eastAsia" w:ascii="仿宋" w:hAnsi="仿宋" w:eastAsia="仿宋" w:cs="仿宋"/>
          <w:b/>
          <w:bCs/>
          <w:sz w:val="32"/>
          <w:szCs w:val="32"/>
          <w:highlight w:val="none"/>
          <w:lang w:val="en-US" w:eastAsia="zh-CN" w:bidi="zh-CN"/>
        </w:rPr>
      </w:pPr>
      <w:bookmarkStart w:id="68" w:name="_Toc16279"/>
      <w:bookmarkStart w:id="69" w:name="_Toc8139"/>
      <w:r>
        <w:rPr>
          <w:rFonts w:hint="eastAsia" w:ascii="仿宋" w:hAnsi="仿宋" w:eastAsia="仿宋" w:cs="仿宋"/>
          <w:b/>
          <w:bCs/>
          <w:sz w:val="32"/>
          <w:szCs w:val="32"/>
          <w:highlight w:val="none"/>
          <w:lang w:val="en-US" w:eastAsia="zh-CN" w:bidi="zh-CN"/>
        </w:rPr>
        <w:t>第六章·响应文件格式</w:t>
      </w:r>
      <w:bookmarkEnd w:id="68"/>
      <w:bookmarkEnd w:id="69"/>
    </w:p>
    <w:p w14:paraId="76E8E8C2">
      <w:pPr>
        <w:widowControl w:val="0"/>
        <w:autoSpaceDE w:val="0"/>
        <w:autoSpaceDN w:val="0"/>
        <w:spacing w:before="0" w:after="0" w:line="240" w:lineRule="auto"/>
        <w:ind w:left="0" w:right="0" w:firstLine="240" w:firstLineChars="100"/>
        <w:jc w:val="left"/>
        <w:rPr>
          <w:rFonts w:hint="eastAsia" w:ascii="仿宋" w:hAnsi="仿宋" w:eastAsia="仿宋" w:cs="仿宋"/>
          <w:sz w:val="24"/>
          <w:szCs w:val="24"/>
          <w:highlight w:val="none"/>
          <w:lang w:val="en-US" w:eastAsia="zh-CN" w:bidi="zh-CN"/>
        </w:rPr>
      </w:pPr>
    </w:p>
    <w:p w14:paraId="7C7403B9">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241" w:firstLineChars="100"/>
        <w:jc w:val="left"/>
        <w:textAlignment w:val="auto"/>
        <w:rPr>
          <w:rFonts w:hint="eastAsia" w:ascii="仿宋" w:hAnsi="仿宋" w:eastAsia="仿宋" w:cs="仿宋"/>
          <w:b/>
          <w:bCs/>
          <w:sz w:val="24"/>
          <w:szCs w:val="24"/>
          <w:highlight w:val="none"/>
          <w:lang w:val="en-US" w:eastAsia="zh-CN" w:bidi="zh-CN"/>
        </w:rPr>
      </w:pPr>
      <w:r>
        <w:rPr>
          <w:rFonts w:hint="eastAsia" w:ascii="仿宋" w:hAnsi="仿宋" w:eastAsia="仿宋" w:cs="仿宋"/>
          <w:b/>
          <w:bCs/>
          <w:sz w:val="24"/>
          <w:szCs w:val="24"/>
          <w:highlight w:val="none"/>
          <w:lang w:val="en-US" w:eastAsia="zh-CN" w:bidi="zh-CN"/>
        </w:rPr>
        <w:t>供应商编制文件须知</w:t>
      </w:r>
    </w:p>
    <w:p w14:paraId="68DD1448">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240" w:firstLineChars="100"/>
        <w:jc w:val="left"/>
        <w:textAlignment w:val="auto"/>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1.为保证评标工作的顺利进行，各供应商需参照如下的格式，认真进行响应文件的编写工作。需建立详细的目录。</w:t>
      </w:r>
    </w:p>
    <w:p w14:paraId="11F4A8CD">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240" w:firstLineChars="100"/>
        <w:jc w:val="left"/>
        <w:textAlignment w:val="auto"/>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2.各供应商提交文件中涉及商业机密的，应明确标明，采购人及最终用户将给予保密处理，否则视为公开资料。</w:t>
      </w:r>
    </w:p>
    <w:p w14:paraId="2B55F0DB">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240" w:firstLineChars="100"/>
        <w:jc w:val="left"/>
        <w:textAlignment w:val="auto"/>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3.本采购文件中所要求加盖的供应商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磋商文件规定处加盖个人名章、手签章、印鉴等。</w:t>
      </w:r>
    </w:p>
    <w:p w14:paraId="0526970E">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240" w:firstLineChars="100"/>
        <w:jc w:val="left"/>
        <w:textAlignment w:val="auto"/>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4.“法定代表人（单位负责人）”指供应商营业执照或登记证书载明的“法定代表人”、“负责人”、“执行事务合伙人”、“投资人”等。</w:t>
      </w:r>
    </w:p>
    <w:p w14:paraId="5A2C1A65">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240" w:firstLineChars="100"/>
        <w:jc w:val="left"/>
        <w:textAlignment w:val="auto"/>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5.全部声明和问题的回答及所附材料必须是真实的、准确的和完整的。</w:t>
      </w:r>
    </w:p>
    <w:p w14:paraId="4A9FF093">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240" w:firstLineChars="100"/>
        <w:jc w:val="left"/>
        <w:textAlignment w:val="auto"/>
        <w:rPr>
          <w:rFonts w:hint="eastAsia" w:ascii="仿宋" w:hAnsi="仿宋" w:eastAsia="仿宋" w:cs="仿宋"/>
          <w:sz w:val="24"/>
          <w:szCs w:val="24"/>
          <w:highlight w:val="none"/>
          <w:lang w:val="en-US" w:eastAsia="zh-CN" w:bidi="zh-CN"/>
        </w:rPr>
      </w:pPr>
      <w:r>
        <w:rPr>
          <w:rFonts w:hint="eastAsia" w:ascii="仿宋" w:hAnsi="仿宋" w:eastAsia="仿宋" w:cs="仿宋"/>
          <w:sz w:val="24"/>
          <w:szCs w:val="24"/>
          <w:highlight w:val="none"/>
          <w:lang w:val="en-US" w:eastAsia="zh-CN" w:bidi="zh-CN"/>
        </w:rPr>
        <w:t>6.以联合体参加的，除采购文件格式中要求外，采购文件要求的供应商盖章处应按加盖联合体协议中约定的联合体牵头人公章或所有联合体成员公章。</w:t>
      </w:r>
    </w:p>
    <w:p w14:paraId="4B8AA6CE">
      <w:pPr>
        <w:rPr>
          <w:rFonts w:hint="eastAsia" w:ascii="仿宋" w:hAnsi="仿宋" w:eastAsia="仿宋" w:cs="仿宋"/>
          <w:sz w:val="24"/>
          <w:highlight w:val="none"/>
          <w:lang w:val="en-US" w:eastAsia="zh-CN"/>
        </w:rPr>
      </w:pPr>
    </w:p>
    <w:p w14:paraId="58C0D2A0">
      <w:pPr>
        <w:widowControl w:val="0"/>
        <w:autoSpaceDE w:val="0"/>
        <w:autoSpaceDN w:val="0"/>
        <w:spacing w:before="0" w:after="0" w:line="240" w:lineRule="auto"/>
        <w:ind w:left="0" w:right="0" w:firstLine="240" w:firstLineChars="100"/>
        <w:jc w:val="left"/>
        <w:rPr>
          <w:rFonts w:hint="eastAsia" w:ascii="仿宋" w:hAnsi="仿宋" w:eastAsia="仿宋" w:cs="仿宋"/>
          <w:sz w:val="24"/>
          <w:szCs w:val="24"/>
          <w:highlight w:val="none"/>
          <w:lang w:val="en-US" w:eastAsia="zh-CN" w:bidi="zh-CN"/>
        </w:rPr>
      </w:pPr>
    </w:p>
    <w:p w14:paraId="610A341F">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br w:type="page"/>
      </w:r>
    </w:p>
    <w:p w14:paraId="46CCAE0B">
      <w:pPr>
        <w:keepNext w:val="0"/>
        <w:keepLines w:val="0"/>
        <w:widowControl/>
        <w:suppressLineNumbers w:val="0"/>
        <w:jc w:val="left"/>
        <w:outlineLvl w:val="1"/>
        <w:rPr>
          <w:rFonts w:hint="eastAsia" w:ascii="仿宋" w:hAnsi="仿宋" w:eastAsia="仿宋" w:cs="仿宋"/>
          <w:b/>
          <w:bCs/>
          <w:color w:val="000000"/>
          <w:kern w:val="0"/>
          <w:sz w:val="24"/>
          <w:szCs w:val="24"/>
          <w:highlight w:val="none"/>
          <w:lang w:val="en-US" w:eastAsia="zh-CN" w:bidi="ar"/>
        </w:rPr>
      </w:pPr>
      <w:bookmarkStart w:id="70" w:name="_Toc24875"/>
      <w:bookmarkStart w:id="71" w:name="_Toc14175"/>
      <w:r>
        <w:rPr>
          <w:rFonts w:hint="eastAsia" w:ascii="仿宋" w:hAnsi="仿宋" w:eastAsia="仿宋" w:cs="仿宋"/>
          <w:b/>
          <w:bCs/>
          <w:color w:val="000000"/>
          <w:kern w:val="0"/>
          <w:sz w:val="24"/>
          <w:szCs w:val="24"/>
          <w:highlight w:val="none"/>
          <w:lang w:val="en-US" w:eastAsia="zh-CN" w:bidi="ar"/>
        </w:rPr>
        <w:t>响应文件封面（参考格式）</w:t>
      </w:r>
      <w:bookmarkEnd w:id="70"/>
      <w:bookmarkEnd w:id="71"/>
    </w:p>
    <w:p w14:paraId="4E70AF9B">
      <w:pPr>
        <w:keepNext w:val="0"/>
        <w:keepLines w:val="0"/>
        <w:widowControl/>
        <w:suppressLineNumbers w:val="0"/>
        <w:jc w:val="left"/>
        <w:rPr>
          <w:rFonts w:hint="eastAsia" w:ascii="仿宋" w:hAnsi="仿宋" w:eastAsia="仿宋" w:cs="仿宋"/>
          <w:b/>
          <w:bCs/>
          <w:color w:val="000000"/>
          <w:kern w:val="0"/>
          <w:sz w:val="84"/>
          <w:szCs w:val="84"/>
          <w:highlight w:val="none"/>
          <w:lang w:val="en-US" w:eastAsia="zh-CN" w:bidi="ar"/>
        </w:rPr>
      </w:pPr>
    </w:p>
    <w:p w14:paraId="557127EC">
      <w:pPr>
        <w:widowControl w:val="0"/>
        <w:spacing w:after="120" w:line="360" w:lineRule="auto"/>
        <w:ind w:left="420" w:leftChars="200" w:firstLine="480" w:firstLineChars="200"/>
        <w:jc w:val="both"/>
        <w:rPr>
          <w:rFonts w:hint="eastAsia" w:ascii="仿宋" w:hAnsi="仿宋" w:eastAsia="仿宋" w:cs="仿宋"/>
          <w:kern w:val="0"/>
          <w:sz w:val="24"/>
          <w:szCs w:val="24"/>
          <w:highlight w:val="none"/>
          <w:lang w:val="en-US" w:eastAsia="zh-CN" w:bidi="ar-SA"/>
        </w:rPr>
      </w:pPr>
    </w:p>
    <w:p w14:paraId="760A6ACD">
      <w:pPr>
        <w:keepNext w:val="0"/>
        <w:keepLines w:val="0"/>
        <w:widowControl/>
        <w:suppressLineNumbers w:val="0"/>
        <w:jc w:val="center"/>
        <w:rPr>
          <w:rFonts w:hint="eastAsia" w:ascii="仿宋" w:hAnsi="仿宋" w:eastAsia="仿宋" w:cs="仿宋"/>
          <w:sz w:val="24"/>
          <w:highlight w:val="none"/>
        </w:rPr>
      </w:pPr>
      <w:r>
        <w:rPr>
          <w:rFonts w:hint="eastAsia" w:ascii="仿宋" w:hAnsi="仿宋" w:eastAsia="仿宋" w:cs="仿宋"/>
          <w:b/>
          <w:bCs/>
          <w:color w:val="000000"/>
          <w:kern w:val="0"/>
          <w:sz w:val="84"/>
          <w:szCs w:val="84"/>
          <w:highlight w:val="none"/>
          <w:lang w:val="en-US" w:eastAsia="zh-CN" w:bidi="ar"/>
        </w:rPr>
        <w:t>响应文件</w:t>
      </w:r>
    </w:p>
    <w:p w14:paraId="780F446A">
      <w:pPr>
        <w:keepNext w:val="0"/>
        <w:keepLines w:val="0"/>
        <w:widowControl/>
        <w:suppressLineNumbers w:val="0"/>
        <w:jc w:val="left"/>
        <w:rPr>
          <w:rFonts w:hint="eastAsia" w:ascii="仿宋" w:hAnsi="仿宋" w:eastAsia="仿宋" w:cs="仿宋"/>
          <w:b/>
          <w:bCs/>
          <w:color w:val="000000"/>
          <w:kern w:val="0"/>
          <w:sz w:val="52"/>
          <w:szCs w:val="52"/>
          <w:highlight w:val="none"/>
          <w:lang w:val="en-US" w:eastAsia="zh-CN" w:bidi="ar"/>
        </w:rPr>
      </w:pPr>
    </w:p>
    <w:p w14:paraId="753560B4">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b/>
          <w:bCs/>
          <w:color w:val="000000"/>
          <w:kern w:val="0"/>
          <w:sz w:val="52"/>
          <w:szCs w:val="52"/>
          <w:highlight w:val="none"/>
          <w:lang w:val="en-US" w:eastAsia="zh-CN" w:bidi="ar"/>
        </w:rPr>
        <w:t xml:space="preserve"> </w:t>
      </w:r>
    </w:p>
    <w:p w14:paraId="281E2031">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1ACA2EAC">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177101A5">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20B97C4B">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b/>
          <w:bCs/>
          <w:color w:val="000000"/>
          <w:kern w:val="0"/>
          <w:sz w:val="31"/>
          <w:szCs w:val="31"/>
          <w:highlight w:val="none"/>
          <w:lang w:val="en-US" w:eastAsia="zh-CN" w:bidi="ar"/>
        </w:rPr>
        <w:t xml:space="preserve">项目名称: </w:t>
      </w:r>
    </w:p>
    <w:p w14:paraId="30833A78">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b/>
          <w:bCs/>
          <w:color w:val="000000"/>
          <w:kern w:val="0"/>
          <w:sz w:val="31"/>
          <w:szCs w:val="31"/>
          <w:highlight w:val="none"/>
          <w:lang w:val="en-US" w:eastAsia="zh-CN" w:bidi="ar"/>
        </w:rPr>
        <w:t xml:space="preserve">项目编号： </w:t>
      </w:r>
    </w:p>
    <w:p w14:paraId="7A8C54EE">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供应商名称（盖公章）：</w:t>
      </w:r>
    </w:p>
    <w:p w14:paraId="29CE6C33">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法定代表人或其授权代表（签字或印鉴）：</w:t>
      </w:r>
    </w:p>
    <w:p w14:paraId="2412C74E">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715578FC">
      <w:pPr>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br w:type="page"/>
      </w:r>
    </w:p>
    <w:p w14:paraId="1036710D">
      <w:pPr>
        <w:widowControl/>
        <w:autoSpaceDE w:val="0"/>
        <w:autoSpaceDN w:val="0"/>
        <w:adjustRightInd w:val="0"/>
        <w:spacing w:line="440" w:lineRule="exact"/>
        <w:jc w:val="center"/>
        <w:outlineLvl w:val="1"/>
        <w:rPr>
          <w:rFonts w:hint="eastAsia" w:ascii="仿宋" w:hAnsi="仿宋" w:eastAsia="仿宋" w:cs="仿宋"/>
          <w:color w:val="auto"/>
          <w:kern w:val="0"/>
          <w:sz w:val="32"/>
          <w:szCs w:val="32"/>
          <w:highlight w:val="none"/>
          <w:lang w:val="zh-CN" w:eastAsia="zh-CN" w:bidi="ar-SA"/>
        </w:rPr>
      </w:pPr>
      <w:bookmarkStart w:id="72" w:name="_Toc23153"/>
      <w:r>
        <w:rPr>
          <w:rFonts w:hint="eastAsia" w:ascii="仿宋" w:hAnsi="仿宋" w:eastAsia="仿宋" w:cs="仿宋"/>
          <w:color w:val="auto"/>
          <w:kern w:val="0"/>
          <w:sz w:val="32"/>
          <w:szCs w:val="32"/>
          <w:highlight w:val="none"/>
          <w:lang w:val="zh-CN" w:eastAsia="zh-CN" w:bidi="ar-SA"/>
        </w:rPr>
        <w:t>一、报价函</w:t>
      </w:r>
      <w:bookmarkEnd w:id="72"/>
    </w:p>
    <w:p w14:paraId="2A9A66A1">
      <w:pPr>
        <w:widowControl/>
        <w:autoSpaceDE w:val="0"/>
        <w:autoSpaceDN w:val="0"/>
        <w:adjustRightInd w:val="0"/>
        <w:spacing w:line="440" w:lineRule="exact"/>
        <w:ind w:right="-481"/>
        <w:rPr>
          <w:rFonts w:ascii="仿宋" w:hAnsi="仿宋" w:eastAsia="仿宋" w:cs="Times New Roman"/>
          <w:color w:val="auto"/>
          <w:kern w:val="1"/>
          <w:sz w:val="24"/>
          <w:szCs w:val="24"/>
          <w:highlight w:val="none"/>
          <w:u w:val="single"/>
        </w:rPr>
      </w:pPr>
    </w:p>
    <w:p w14:paraId="2D9B4105">
      <w:pPr>
        <w:widowControl/>
        <w:autoSpaceDE w:val="0"/>
        <w:autoSpaceDN w:val="0"/>
        <w:adjustRightInd w:val="0"/>
        <w:spacing w:line="440" w:lineRule="exact"/>
        <w:rPr>
          <w:rFonts w:ascii="仿宋" w:hAnsi="仿宋" w:eastAsia="仿宋" w:cs="Times New Roman"/>
          <w:color w:val="auto"/>
          <w:kern w:val="1"/>
          <w:sz w:val="24"/>
          <w:szCs w:val="24"/>
          <w:highlight w:val="none"/>
        </w:rPr>
      </w:pPr>
      <w:r>
        <w:rPr>
          <w:rFonts w:hint="eastAsia" w:ascii="仿宋" w:hAnsi="仿宋" w:eastAsia="仿宋" w:cs="仿宋"/>
          <w:color w:val="auto"/>
          <w:kern w:val="1"/>
          <w:sz w:val="24"/>
          <w:szCs w:val="24"/>
          <w:highlight w:val="none"/>
          <w:u w:val="single"/>
        </w:rPr>
        <w:t>（采购人）</w:t>
      </w:r>
      <w:r>
        <w:rPr>
          <w:rStyle w:val="24"/>
          <w:rFonts w:hint="eastAsia" w:cs="Times New Roman"/>
          <w:color w:val="auto"/>
          <w:sz w:val="24"/>
          <w:szCs w:val="24"/>
          <w:highlight w:val="none"/>
        </w:rPr>
        <w:t>：</w:t>
      </w:r>
    </w:p>
    <w:p w14:paraId="28C3A517">
      <w:pPr>
        <w:widowControl/>
        <w:autoSpaceDE w:val="0"/>
        <w:autoSpaceDN w:val="0"/>
        <w:adjustRightInd w:val="0"/>
        <w:spacing w:line="440" w:lineRule="exact"/>
        <w:rPr>
          <w:rFonts w:ascii="仿宋" w:hAnsi="仿宋" w:eastAsia="仿宋" w:cs="Times New Roman"/>
          <w:color w:val="auto"/>
          <w:kern w:val="1"/>
          <w:sz w:val="24"/>
          <w:szCs w:val="24"/>
          <w:highlight w:val="none"/>
        </w:rPr>
      </w:pPr>
    </w:p>
    <w:p w14:paraId="3E6B0A15">
      <w:pPr>
        <w:widowControl/>
        <w:autoSpaceDE w:val="0"/>
        <w:autoSpaceDN w:val="0"/>
        <w:adjustRightInd w:val="0"/>
        <w:spacing w:line="440" w:lineRule="exact"/>
        <w:ind w:firstLine="480"/>
        <w:rPr>
          <w:rFonts w:ascii="仿宋" w:hAnsi="仿宋" w:eastAsia="仿宋" w:cs="Times New Roman"/>
          <w:color w:val="auto"/>
          <w:kern w:val="1"/>
          <w:sz w:val="24"/>
          <w:szCs w:val="24"/>
          <w:highlight w:val="none"/>
        </w:rPr>
      </w:pP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eastAsia="zh-CN"/>
        </w:rPr>
        <w:t>供应商</w:t>
      </w:r>
      <w:r>
        <w:rPr>
          <w:rFonts w:hint="eastAsia" w:ascii="仿宋" w:hAnsi="仿宋" w:eastAsia="仿宋" w:cs="仿宋"/>
          <w:color w:val="auto"/>
          <w:kern w:val="1"/>
          <w:sz w:val="24"/>
          <w:szCs w:val="24"/>
          <w:highlight w:val="none"/>
          <w:u w:val="single"/>
        </w:rPr>
        <w:t>名称）</w:t>
      </w:r>
      <w:r>
        <w:rPr>
          <w:rStyle w:val="24"/>
          <w:rFonts w:hint="eastAsia" w:cs="Times New Roman"/>
          <w:color w:val="auto"/>
          <w:sz w:val="24"/>
          <w:szCs w:val="24"/>
          <w:highlight w:val="none"/>
        </w:rPr>
        <w:t>系中华人民共和国合法企业，经营地址</w:t>
      </w:r>
      <w:r>
        <w:rPr>
          <w:rFonts w:ascii="仿宋" w:hAnsi="仿宋" w:eastAsia="仿宋" w:cs="仿宋"/>
          <w:color w:val="auto"/>
          <w:kern w:val="1"/>
          <w:sz w:val="24"/>
          <w:szCs w:val="24"/>
          <w:highlight w:val="none"/>
          <w:u w:val="single"/>
        </w:rPr>
        <w:t xml:space="preserve">          </w:t>
      </w:r>
      <w:r>
        <w:rPr>
          <w:rStyle w:val="24"/>
          <w:rFonts w:hint="eastAsia" w:cs="Times New Roman"/>
          <w:color w:val="auto"/>
          <w:sz w:val="24"/>
          <w:szCs w:val="24"/>
          <w:highlight w:val="none"/>
        </w:rPr>
        <w:t>。</w:t>
      </w:r>
      <w:r>
        <w:rPr>
          <w:rFonts w:hint="eastAsia" w:ascii="仿宋" w:hAnsi="仿宋" w:eastAsia="仿宋" w:cs="仿宋"/>
          <w:color w:val="auto"/>
          <w:kern w:val="1"/>
          <w:sz w:val="24"/>
          <w:szCs w:val="24"/>
          <w:highlight w:val="none"/>
          <w:u w:val="single"/>
        </w:rPr>
        <w:t>（姓名）</w:t>
      </w:r>
      <w:r>
        <w:rPr>
          <w:rStyle w:val="24"/>
          <w:rFonts w:hint="eastAsia" w:cs="Times New Roman"/>
          <w:color w:val="auto"/>
          <w:sz w:val="24"/>
          <w:szCs w:val="24"/>
          <w:highlight w:val="none"/>
        </w:rPr>
        <w:t>系</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eastAsia="zh-CN"/>
        </w:rPr>
        <w:t>供应商</w:t>
      </w:r>
      <w:r>
        <w:rPr>
          <w:rFonts w:hint="eastAsia" w:ascii="仿宋" w:hAnsi="仿宋" w:eastAsia="仿宋" w:cs="仿宋"/>
          <w:color w:val="auto"/>
          <w:kern w:val="1"/>
          <w:sz w:val="24"/>
          <w:szCs w:val="24"/>
          <w:highlight w:val="none"/>
          <w:u w:val="single"/>
        </w:rPr>
        <w:t>名称）</w:t>
      </w:r>
      <w:r>
        <w:rPr>
          <w:rStyle w:val="24"/>
          <w:rFonts w:hint="eastAsia" w:cs="Times New Roman"/>
          <w:color w:val="auto"/>
          <w:sz w:val="24"/>
          <w:szCs w:val="24"/>
          <w:highlight w:val="none"/>
        </w:rPr>
        <w:t>的法定代表人，我方愿意参加贵方组织的</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eastAsia="zh-CN"/>
        </w:rPr>
        <w:t>项目名称</w:t>
      </w:r>
      <w:r>
        <w:rPr>
          <w:rFonts w:hint="eastAsia" w:ascii="仿宋" w:hAnsi="仿宋" w:eastAsia="仿宋" w:cs="仿宋"/>
          <w:color w:val="auto"/>
          <w:kern w:val="1"/>
          <w:sz w:val="24"/>
          <w:szCs w:val="24"/>
          <w:highlight w:val="none"/>
          <w:u w:val="single"/>
        </w:rPr>
        <w:t>）（编号为</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w:t>
      </w:r>
      <w:r>
        <w:rPr>
          <w:rStyle w:val="24"/>
          <w:rFonts w:hint="eastAsia" w:cs="Times New Roman"/>
          <w:color w:val="auto"/>
          <w:sz w:val="24"/>
          <w:szCs w:val="24"/>
          <w:highlight w:val="none"/>
        </w:rPr>
        <w:t>的投标，为此，我方就本次投标有关事项郑重声明如下：</w:t>
      </w:r>
    </w:p>
    <w:p w14:paraId="3A0BCA27">
      <w:pPr>
        <w:widowControl/>
        <w:autoSpaceDE w:val="0"/>
        <w:autoSpaceDN w:val="0"/>
        <w:adjustRightInd w:val="0"/>
        <w:spacing w:line="440" w:lineRule="exact"/>
        <w:ind w:firstLine="480"/>
        <w:rPr>
          <w:rStyle w:val="24"/>
          <w:rFonts w:ascii="Times New Roman" w:hAnsi="Times New Roman" w:eastAsia="Times New Roman" w:cs="Times New Roman"/>
          <w:color w:val="auto"/>
          <w:kern w:val="0"/>
          <w:sz w:val="24"/>
          <w:szCs w:val="24"/>
          <w:highlight w:val="none"/>
        </w:rPr>
      </w:pPr>
      <w:r>
        <w:rPr>
          <w:rStyle w:val="24"/>
          <w:rFonts w:cs="Times New Roman"/>
          <w:color w:val="auto"/>
          <w:sz w:val="24"/>
          <w:szCs w:val="24"/>
          <w:highlight w:val="none"/>
        </w:rPr>
        <w:t>1</w:t>
      </w:r>
      <w:r>
        <w:rPr>
          <w:rStyle w:val="24"/>
          <w:rFonts w:hint="eastAsia" w:cs="Times New Roman"/>
          <w:color w:val="auto"/>
          <w:sz w:val="24"/>
          <w:szCs w:val="24"/>
          <w:highlight w:val="none"/>
        </w:rPr>
        <w:t>、我方已详细审查全部</w:t>
      </w:r>
      <w:r>
        <w:rPr>
          <w:rStyle w:val="24"/>
          <w:rFonts w:hint="eastAsia" w:eastAsia="仿宋" w:cs="Times New Roman"/>
          <w:color w:val="auto"/>
          <w:sz w:val="24"/>
          <w:szCs w:val="24"/>
          <w:highlight w:val="none"/>
          <w:lang w:eastAsia="zh-CN"/>
        </w:rPr>
        <w:t>磋商文件</w:t>
      </w:r>
      <w:r>
        <w:rPr>
          <w:rStyle w:val="24"/>
          <w:rFonts w:hint="eastAsia" w:cs="Times New Roman"/>
          <w:color w:val="auto"/>
          <w:sz w:val="24"/>
          <w:szCs w:val="24"/>
          <w:highlight w:val="none"/>
        </w:rPr>
        <w:t>，同意</w:t>
      </w:r>
      <w:r>
        <w:rPr>
          <w:rStyle w:val="24"/>
          <w:rFonts w:hint="eastAsia" w:eastAsia="仿宋" w:cs="Times New Roman"/>
          <w:color w:val="auto"/>
          <w:sz w:val="24"/>
          <w:szCs w:val="24"/>
          <w:highlight w:val="none"/>
          <w:lang w:eastAsia="zh-CN"/>
        </w:rPr>
        <w:t>磋商文件</w:t>
      </w:r>
      <w:r>
        <w:rPr>
          <w:rStyle w:val="24"/>
          <w:rFonts w:hint="eastAsia" w:cs="Times New Roman"/>
          <w:color w:val="auto"/>
          <w:sz w:val="24"/>
          <w:szCs w:val="24"/>
          <w:highlight w:val="none"/>
        </w:rPr>
        <w:t>的各项要求。</w:t>
      </w:r>
    </w:p>
    <w:p w14:paraId="7B25BB0B">
      <w:pPr>
        <w:widowControl/>
        <w:autoSpaceDE w:val="0"/>
        <w:autoSpaceDN w:val="0"/>
        <w:adjustRightInd w:val="0"/>
        <w:spacing w:line="440" w:lineRule="exact"/>
        <w:ind w:firstLine="480"/>
        <w:rPr>
          <w:rStyle w:val="24"/>
          <w:rFonts w:ascii="Times New Roman" w:hAnsi="Times New Roman" w:eastAsia="Times New Roman" w:cs="Times New Roman"/>
          <w:color w:val="auto"/>
          <w:kern w:val="0"/>
          <w:sz w:val="24"/>
          <w:szCs w:val="24"/>
          <w:highlight w:val="none"/>
        </w:rPr>
      </w:pPr>
      <w:r>
        <w:rPr>
          <w:rStyle w:val="24"/>
          <w:rFonts w:cs="Times New Roman"/>
          <w:color w:val="auto"/>
          <w:sz w:val="24"/>
          <w:szCs w:val="24"/>
          <w:highlight w:val="none"/>
        </w:rPr>
        <w:t>2</w:t>
      </w:r>
      <w:r>
        <w:rPr>
          <w:rStyle w:val="24"/>
          <w:rFonts w:hint="eastAsia" w:cs="Times New Roman"/>
          <w:color w:val="auto"/>
          <w:sz w:val="24"/>
          <w:szCs w:val="24"/>
          <w:highlight w:val="none"/>
        </w:rPr>
        <w:t>、我方向贵方提交的所有</w:t>
      </w:r>
      <w:r>
        <w:rPr>
          <w:rStyle w:val="24"/>
          <w:rFonts w:hint="eastAsia" w:eastAsia="仿宋" w:cs="Times New Roman"/>
          <w:color w:val="auto"/>
          <w:sz w:val="24"/>
          <w:szCs w:val="24"/>
          <w:highlight w:val="none"/>
          <w:lang w:eastAsia="zh-CN"/>
        </w:rPr>
        <w:t>响应文件</w:t>
      </w:r>
      <w:r>
        <w:rPr>
          <w:rStyle w:val="24"/>
          <w:rFonts w:hint="eastAsia" w:cs="Times New Roman"/>
          <w:color w:val="auto"/>
          <w:sz w:val="24"/>
          <w:szCs w:val="24"/>
          <w:highlight w:val="none"/>
        </w:rPr>
        <w:t>、资料都是准确的和真实的。</w:t>
      </w:r>
    </w:p>
    <w:p w14:paraId="0F6BEFA5">
      <w:pPr>
        <w:widowControl/>
        <w:autoSpaceDE w:val="0"/>
        <w:autoSpaceDN w:val="0"/>
        <w:adjustRightInd w:val="0"/>
        <w:spacing w:line="440" w:lineRule="exact"/>
        <w:ind w:firstLine="480"/>
        <w:rPr>
          <w:rStyle w:val="24"/>
          <w:rFonts w:ascii="Times New Roman" w:hAnsi="Times New Roman" w:eastAsia="Times New Roman" w:cs="Times New Roman"/>
          <w:color w:val="auto"/>
          <w:kern w:val="0"/>
          <w:sz w:val="24"/>
          <w:szCs w:val="24"/>
          <w:highlight w:val="none"/>
        </w:rPr>
      </w:pPr>
      <w:r>
        <w:rPr>
          <w:rStyle w:val="24"/>
          <w:rFonts w:cs="Times New Roman"/>
          <w:color w:val="auto"/>
          <w:sz w:val="24"/>
          <w:szCs w:val="24"/>
          <w:highlight w:val="none"/>
        </w:rPr>
        <w:t>3</w:t>
      </w:r>
      <w:r>
        <w:rPr>
          <w:rStyle w:val="24"/>
          <w:rFonts w:hint="eastAsia" w:cs="Times New Roman"/>
          <w:color w:val="auto"/>
          <w:sz w:val="24"/>
          <w:szCs w:val="24"/>
          <w:highlight w:val="none"/>
        </w:rPr>
        <w:t>、若中标，我方将按照</w:t>
      </w:r>
      <w:r>
        <w:rPr>
          <w:rStyle w:val="24"/>
          <w:rFonts w:hint="eastAsia" w:eastAsia="仿宋" w:cs="Times New Roman"/>
          <w:color w:val="auto"/>
          <w:sz w:val="24"/>
          <w:szCs w:val="24"/>
          <w:highlight w:val="none"/>
          <w:lang w:eastAsia="zh-CN"/>
        </w:rPr>
        <w:t>磋商文件</w:t>
      </w:r>
      <w:r>
        <w:rPr>
          <w:rStyle w:val="24"/>
          <w:rFonts w:hint="eastAsia" w:cs="Times New Roman"/>
          <w:color w:val="auto"/>
          <w:sz w:val="24"/>
          <w:szCs w:val="24"/>
          <w:highlight w:val="none"/>
        </w:rPr>
        <w:t>规定履行合同责任和义务。</w:t>
      </w:r>
    </w:p>
    <w:p w14:paraId="74B75FCE">
      <w:pPr>
        <w:widowControl/>
        <w:autoSpaceDE w:val="0"/>
        <w:autoSpaceDN w:val="0"/>
        <w:adjustRightInd w:val="0"/>
        <w:spacing w:line="440" w:lineRule="exact"/>
        <w:ind w:firstLine="480"/>
        <w:rPr>
          <w:rStyle w:val="24"/>
          <w:rFonts w:ascii="Times New Roman" w:hAnsi="Times New Roman" w:eastAsia="Times New Roman" w:cs="Times New Roman"/>
          <w:color w:val="auto"/>
          <w:kern w:val="0"/>
          <w:sz w:val="24"/>
          <w:szCs w:val="24"/>
          <w:highlight w:val="none"/>
        </w:rPr>
      </w:pPr>
      <w:r>
        <w:rPr>
          <w:rStyle w:val="24"/>
          <w:rFonts w:cs="Times New Roman"/>
          <w:color w:val="auto"/>
          <w:sz w:val="24"/>
          <w:szCs w:val="24"/>
          <w:highlight w:val="none"/>
        </w:rPr>
        <w:t>4</w:t>
      </w:r>
      <w:r>
        <w:rPr>
          <w:rStyle w:val="24"/>
          <w:rFonts w:hint="eastAsia" w:cs="Times New Roman"/>
          <w:color w:val="auto"/>
          <w:sz w:val="24"/>
          <w:szCs w:val="24"/>
          <w:highlight w:val="none"/>
        </w:rPr>
        <w:t>、我方不是采购人的附属机构；在获知本项目采购信息后，与采购人聘请的为此项目提供咨询服务的公司以及其附属机构没有任何联系。</w:t>
      </w:r>
    </w:p>
    <w:p w14:paraId="25BDAD96">
      <w:pPr>
        <w:widowControl/>
        <w:autoSpaceDE w:val="0"/>
        <w:autoSpaceDN w:val="0"/>
        <w:adjustRightInd w:val="0"/>
        <w:spacing w:line="440" w:lineRule="exact"/>
        <w:ind w:firstLine="480"/>
        <w:rPr>
          <w:rFonts w:ascii="仿宋" w:hAnsi="仿宋" w:eastAsia="仿宋" w:cs="Times New Roman"/>
          <w:color w:val="auto"/>
          <w:kern w:val="1"/>
          <w:sz w:val="24"/>
          <w:szCs w:val="24"/>
          <w:highlight w:val="none"/>
        </w:rPr>
      </w:pPr>
      <w:r>
        <w:rPr>
          <w:rStyle w:val="24"/>
          <w:rFonts w:cs="Times New Roman"/>
          <w:color w:val="auto"/>
          <w:sz w:val="24"/>
          <w:szCs w:val="24"/>
          <w:highlight w:val="none"/>
        </w:rPr>
        <w:t>5</w:t>
      </w:r>
      <w:r>
        <w:rPr>
          <w:rStyle w:val="24"/>
          <w:rFonts w:hint="eastAsia" w:cs="Times New Roman"/>
          <w:color w:val="auto"/>
          <w:sz w:val="24"/>
          <w:szCs w:val="24"/>
          <w:highlight w:val="none"/>
        </w:rPr>
        <w:t>、</w:t>
      </w:r>
      <w:r>
        <w:rPr>
          <w:rStyle w:val="24"/>
          <w:rFonts w:hint="eastAsia" w:eastAsia="仿宋" w:cs="Times New Roman"/>
          <w:color w:val="auto"/>
          <w:sz w:val="24"/>
          <w:szCs w:val="24"/>
          <w:highlight w:val="none"/>
          <w:lang w:eastAsia="zh-CN"/>
        </w:rPr>
        <w:t>响应文件</w:t>
      </w:r>
      <w:r>
        <w:rPr>
          <w:rStyle w:val="24"/>
          <w:rFonts w:hint="eastAsia" w:cs="Times New Roman"/>
          <w:color w:val="auto"/>
          <w:sz w:val="24"/>
          <w:szCs w:val="24"/>
          <w:highlight w:val="none"/>
        </w:rPr>
        <w:t>自开标日起有效期为</w:t>
      </w:r>
      <w:r>
        <w:rPr>
          <w:rStyle w:val="24"/>
          <w:rFonts w:hint="eastAsia" w:eastAsia="仿宋" w:cs="Times New Roman"/>
          <w:color w:val="auto"/>
          <w:sz w:val="24"/>
          <w:szCs w:val="24"/>
          <w:highlight w:val="none"/>
          <w:u w:val="single"/>
          <w:lang w:val="en-US" w:eastAsia="zh-CN"/>
        </w:rPr>
        <w:t xml:space="preserve">    </w:t>
      </w:r>
      <w:r>
        <w:rPr>
          <w:rStyle w:val="24"/>
          <w:rFonts w:hint="eastAsia" w:cs="Times New Roman"/>
          <w:color w:val="auto"/>
          <w:sz w:val="24"/>
          <w:szCs w:val="24"/>
          <w:highlight w:val="none"/>
        </w:rPr>
        <w:t>日历日。</w:t>
      </w:r>
    </w:p>
    <w:p w14:paraId="36E966F3">
      <w:pPr>
        <w:widowControl/>
        <w:autoSpaceDE w:val="0"/>
        <w:autoSpaceDN w:val="0"/>
        <w:adjustRightInd w:val="0"/>
        <w:spacing w:line="440" w:lineRule="exact"/>
        <w:ind w:firstLine="480"/>
        <w:rPr>
          <w:rStyle w:val="24"/>
          <w:rFonts w:ascii="Times New Roman" w:hAnsi="Times New Roman" w:eastAsia="Times New Roman" w:cs="Times New Roman"/>
          <w:color w:val="auto"/>
          <w:kern w:val="0"/>
          <w:sz w:val="24"/>
          <w:szCs w:val="24"/>
          <w:highlight w:val="none"/>
        </w:rPr>
      </w:pPr>
      <w:r>
        <w:rPr>
          <w:rStyle w:val="24"/>
          <w:rFonts w:cs="Times New Roman"/>
          <w:color w:val="auto"/>
          <w:sz w:val="24"/>
          <w:szCs w:val="24"/>
          <w:highlight w:val="none"/>
        </w:rPr>
        <w:t>6.</w:t>
      </w:r>
      <w:r>
        <w:rPr>
          <w:rStyle w:val="24"/>
          <w:rFonts w:hint="eastAsia" w:cs="Times New Roman"/>
          <w:color w:val="auto"/>
          <w:sz w:val="24"/>
          <w:szCs w:val="24"/>
          <w:highlight w:val="none"/>
        </w:rPr>
        <w:t>以上事项如有虚假或者隐瞒，我方愿意承担一切后果。</w:t>
      </w:r>
    </w:p>
    <w:p w14:paraId="030F8B0F">
      <w:pPr>
        <w:widowControl/>
        <w:tabs>
          <w:tab w:val="left" w:pos="939"/>
        </w:tabs>
        <w:autoSpaceDE w:val="0"/>
        <w:autoSpaceDN w:val="0"/>
        <w:adjustRightInd w:val="0"/>
        <w:spacing w:line="440" w:lineRule="exact"/>
        <w:ind w:left="773" w:right="-481" w:hanging="458"/>
        <w:rPr>
          <w:rFonts w:ascii="仿宋" w:hAnsi="仿宋" w:eastAsia="仿宋" w:cs="Times New Roman"/>
          <w:color w:val="auto"/>
          <w:kern w:val="1"/>
          <w:sz w:val="24"/>
          <w:szCs w:val="24"/>
          <w:highlight w:val="none"/>
        </w:rPr>
      </w:pPr>
    </w:p>
    <w:p w14:paraId="50D3E791">
      <w:pPr>
        <w:widowControl/>
        <w:tabs>
          <w:tab w:val="left" w:pos="939"/>
        </w:tabs>
        <w:autoSpaceDE w:val="0"/>
        <w:autoSpaceDN w:val="0"/>
        <w:adjustRightInd w:val="0"/>
        <w:spacing w:line="440" w:lineRule="exact"/>
        <w:ind w:left="773" w:right="-481" w:hanging="458"/>
        <w:rPr>
          <w:rFonts w:ascii="仿宋" w:hAnsi="仿宋" w:eastAsia="仿宋" w:cs="Times New Roman"/>
          <w:color w:val="auto"/>
          <w:kern w:val="1"/>
          <w:sz w:val="24"/>
          <w:szCs w:val="24"/>
          <w:highlight w:val="none"/>
        </w:rPr>
      </w:pPr>
    </w:p>
    <w:p w14:paraId="28051617">
      <w:pPr>
        <w:widowControl/>
        <w:tabs>
          <w:tab w:val="left" w:pos="939"/>
        </w:tabs>
        <w:autoSpaceDE w:val="0"/>
        <w:autoSpaceDN w:val="0"/>
        <w:adjustRightInd w:val="0"/>
        <w:spacing w:line="440" w:lineRule="exact"/>
        <w:ind w:left="773" w:right="-481" w:hanging="458"/>
        <w:rPr>
          <w:rFonts w:ascii="仿宋" w:hAnsi="仿宋" w:eastAsia="仿宋" w:cs="Times New Roman"/>
          <w:color w:val="auto"/>
          <w:kern w:val="1"/>
          <w:sz w:val="24"/>
          <w:szCs w:val="24"/>
          <w:highlight w:val="none"/>
        </w:rPr>
      </w:pPr>
    </w:p>
    <w:p w14:paraId="480EDF59">
      <w:pPr>
        <w:spacing w:line="440" w:lineRule="exact"/>
        <w:jc w:val="righ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供  应  商</w:t>
      </w:r>
      <w:r>
        <w:rPr>
          <w:rFonts w:hint="eastAsia" w:ascii="仿宋" w:hAnsi="仿宋" w:eastAsia="仿宋" w:cs="Times New Roman"/>
          <w:color w:val="auto"/>
          <w:kern w:val="0"/>
          <w:sz w:val="24"/>
          <w:szCs w:val="24"/>
          <w:highlight w:val="none"/>
        </w:rPr>
        <w:t>：</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（盖单位公章）</w:t>
      </w:r>
    </w:p>
    <w:p w14:paraId="5BA0F075">
      <w:pPr>
        <w:spacing w:line="440" w:lineRule="exact"/>
        <w:jc w:val="righ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法定代表人：</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（签字或盖章）</w:t>
      </w:r>
    </w:p>
    <w:p w14:paraId="0C936F28">
      <w:pPr>
        <w:spacing w:line="440" w:lineRule="exact"/>
        <w:ind w:firstLine="4108" w:firstLineChars="1712"/>
        <w:jc w:val="righ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日      期：</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年</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月</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日</w:t>
      </w:r>
    </w:p>
    <w:p w14:paraId="50A647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1   满足《中华人民共和国政府采购法》第二十二条规定及法律法规的其他规定 </w:t>
      </w:r>
    </w:p>
    <w:p w14:paraId="0BF7F2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p>
    <w:p w14:paraId="2293A3A7">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附件 1-1 法人或者其他组织的营业执照等证明文件或自然人的身份证明复印件;</w:t>
      </w:r>
    </w:p>
    <w:p w14:paraId="4228967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2376FFD0">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16566B90">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6E65B25D">
      <w:pPr>
        <w:widowControl/>
        <w:autoSpaceDE w:val="0"/>
        <w:autoSpaceDN w:val="0"/>
        <w:adjustRightInd w:val="0"/>
        <w:spacing w:line="440" w:lineRule="exact"/>
        <w:jc w:val="center"/>
        <w:outlineLvl w:val="1"/>
        <w:rPr>
          <w:rFonts w:hint="eastAsia" w:ascii="仿宋" w:hAnsi="仿宋" w:eastAsia="仿宋" w:cs="仿宋"/>
          <w:color w:val="auto"/>
          <w:kern w:val="0"/>
          <w:sz w:val="32"/>
          <w:szCs w:val="32"/>
          <w:highlight w:val="none"/>
          <w:lang w:val="zh-CN" w:eastAsia="zh-CN" w:bidi="ar-SA"/>
        </w:rPr>
      </w:pPr>
      <w:bookmarkStart w:id="73" w:name="_Toc30253"/>
      <w:r>
        <w:rPr>
          <w:rFonts w:hint="eastAsia" w:ascii="仿宋" w:hAnsi="仿宋" w:eastAsia="仿宋" w:cs="仿宋"/>
          <w:color w:val="auto"/>
          <w:kern w:val="0"/>
          <w:sz w:val="32"/>
          <w:szCs w:val="32"/>
          <w:highlight w:val="none"/>
          <w:lang w:val="zh-CN" w:eastAsia="zh-CN" w:bidi="ar-SA"/>
        </w:rPr>
        <w:t>二、</w:t>
      </w:r>
      <w:r>
        <w:rPr>
          <w:rFonts w:hint="eastAsia" w:ascii="仿宋" w:hAnsi="仿宋" w:eastAsia="仿宋" w:cs="仿宋"/>
          <w:color w:val="auto"/>
          <w:kern w:val="0"/>
          <w:sz w:val="32"/>
          <w:szCs w:val="32"/>
          <w:highlight w:val="none"/>
          <w:lang w:val="en-US" w:eastAsia="zh-CN" w:bidi="ar-SA"/>
        </w:rPr>
        <w:t>响应</w:t>
      </w:r>
      <w:r>
        <w:rPr>
          <w:rFonts w:hint="eastAsia" w:ascii="仿宋" w:hAnsi="仿宋" w:eastAsia="仿宋" w:cs="仿宋"/>
          <w:color w:val="auto"/>
          <w:kern w:val="0"/>
          <w:sz w:val="32"/>
          <w:szCs w:val="32"/>
          <w:highlight w:val="none"/>
          <w:lang w:val="zh-CN" w:eastAsia="zh-CN" w:bidi="ar-SA"/>
        </w:rPr>
        <w:t>报价一览表</w:t>
      </w:r>
      <w:bookmarkEnd w:id="73"/>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70CE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noWrap w:val="0"/>
            <w:vAlign w:val="center"/>
          </w:tcPr>
          <w:p w14:paraId="7415CE3B">
            <w:pPr>
              <w:spacing w:line="44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7600" w:type="dxa"/>
            <w:noWrap w:val="0"/>
            <w:vAlign w:val="center"/>
          </w:tcPr>
          <w:p w14:paraId="729BDD15">
            <w:pPr>
              <w:spacing w:line="440" w:lineRule="exact"/>
              <w:jc w:val="center"/>
              <w:rPr>
                <w:rFonts w:ascii="仿宋" w:hAnsi="仿宋" w:eastAsia="仿宋" w:cs="仿宋"/>
                <w:color w:val="auto"/>
                <w:kern w:val="0"/>
                <w:sz w:val="24"/>
                <w:szCs w:val="24"/>
                <w:highlight w:val="none"/>
              </w:rPr>
            </w:pPr>
          </w:p>
        </w:tc>
      </w:tr>
      <w:tr w14:paraId="33E0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14:paraId="380537F9">
            <w:pPr>
              <w:spacing w:line="44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项目编号</w:t>
            </w:r>
          </w:p>
        </w:tc>
        <w:tc>
          <w:tcPr>
            <w:tcW w:w="7600" w:type="dxa"/>
            <w:noWrap w:val="0"/>
            <w:vAlign w:val="top"/>
          </w:tcPr>
          <w:p w14:paraId="3A339A8A">
            <w:pPr>
              <w:spacing w:line="440" w:lineRule="exact"/>
              <w:jc w:val="center"/>
              <w:rPr>
                <w:rFonts w:ascii="仿宋" w:hAnsi="仿宋" w:eastAsia="仿宋" w:cs="仿宋"/>
                <w:color w:val="auto"/>
                <w:kern w:val="0"/>
                <w:sz w:val="24"/>
                <w:szCs w:val="24"/>
                <w:highlight w:val="none"/>
              </w:rPr>
            </w:pPr>
          </w:p>
        </w:tc>
      </w:tr>
      <w:tr w14:paraId="17D7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noWrap w:val="0"/>
            <w:vAlign w:val="center"/>
          </w:tcPr>
          <w:p w14:paraId="295BDCCC">
            <w:pPr>
              <w:spacing w:line="44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采购内容</w:t>
            </w:r>
          </w:p>
        </w:tc>
        <w:tc>
          <w:tcPr>
            <w:tcW w:w="7600" w:type="dxa"/>
            <w:noWrap w:val="0"/>
            <w:vAlign w:val="top"/>
          </w:tcPr>
          <w:p w14:paraId="1FFF180F">
            <w:pPr>
              <w:spacing w:line="440" w:lineRule="exact"/>
              <w:jc w:val="center"/>
              <w:rPr>
                <w:rFonts w:ascii="仿宋" w:hAnsi="仿宋" w:eastAsia="仿宋" w:cs="仿宋"/>
                <w:color w:val="auto"/>
                <w:kern w:val="0"/>
                <w:sz w:val="24"/>
                <w:szCs w:val="24"/>
                <w:highlight w:val="none"/>
              </w:rPr>
            </w:pPr>
          </w:p>
        </w:tc>
      </w:tr>
      <w:tr w14:paraId="4CCA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noWrap w:val="0"/>
            <w:vAlign w:val="center"/>
          </w:tcPr>
          <w:p w14:paraId="03D2B32D">
            <w:pPr>
              <w:spacing w:line="440" w:lineRule="exact"/>
              <w:jc w:val="center"/>
              <w:rPr>
                <w:rFonts w:hint="default"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合同履约期</w:t>
            </w:r>
          </w:p>
        </w:tc>
        <w:tc>
          <w:tcPr>
            <w:tcW w:w="7600" w:type="dxa"/>
            <w:noWrap w:val="0"/>
            <w:vAlign w:val="center"/>
          </w:tcPr>
          <w:p w14:paraId="622B122D">
            <w:pPr>
              <w:spacing w:line="440" w:lineRule="exact"/>
              <w:rPr>
                <w:rFonts w:ascii="仿宋" w:hAnsi="仿宋" w:eastAsia="仿宋" w:cs="仿宋"/>
                <w:color w:val="auto"/>
                <w:kern w:val="0"/>
                <w:sz w:val="24"/>
                <w:szCs w:val="24"/>
                <w:highlight w:val="none"/>
                <w:u w:val="single"/>
              </w:rPr>
            </w:pPr>
          </w:p>
        </w:tc>
      </w:tr>
      <w:tr w14:paraId="3032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14:paraId="5A34354B">
            <w:pPr>
              <w:spacing w:line="44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服务</w:t>
            </w:r>
            <w:r>
              <w:rPr>
                <w:rFonts w:hint="eastAsia" w:ascii="仿宋" w:hAnsi="仿宋" w:eastAsia="仿宋" w:cs="仿宋"/>
                <w:color w:val="auto"/>
                <w:kern w:val="0"/>
                <w:sz w:val="24"/>
                <w:szCs w:val="24"/>
                <w:highlight w:val="none"/>
              </w:rPr>
              <w:t>质量目标</w:t>
            </w:r>
          </w:p>
        </w:tc>
        <w:tc>
          <w:tcPr>
            <w:tcW w:w="7600" w:type="dxa"/>
            <w:noWrap w:val="0"/>
            <w:vAlign w:val="center"/>
          </w:tcPr>
          <w:p w14:paraId="3733D30C">
            <w:pPr>
              <w:spacing w:line="440" w:lineRule="exact"/>
              <w:rPr>
                <w:rFonts w:ascii="仿宋" w:hAnsi="仿宋" w:eastAsia="仿宋" w:cs="仿宋"/>
                <w:color w:val="auto"/>
                <w:kern w:val="0"/>
                <w:sz w:val="24"/>
                <w:szCs w:val="24"/>
                <w:highlight w:val="none"/>
              </w:rPr>
            </w:pPr>
          </w:p>
        </w:tc>
      </w:tr>
      <w:tr w14:paraId="161A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14:paraId="604BCE55">
            <w:pPr>
              <w:spacing w:line="44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投标报价 </w:t>
            </w:r>
          </w:p>
          <w:p w14:paraId="1097FE4A">
            <w:pPr>
              <w:spacing w:line="44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（元）</w:t>
            </w:r>
          </w:p>
        </w:tc>
        <w:tc>
          <w:tcPr>
            <w:tcW w:w="7600" w:type="dxa"/>
            <w:noWrap w:val="0"/>
            <w:vAlign w:val="center"/>
          </w:tcPr>
          <w:p w14:paraId="1D112A3E">
            <w:pPr>
              <w:spacing w:line="440" w:lineRule="exact"/>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（大写）： </w:t>
            </w:r>
          </w:p>
          <w:p w14:paraId="3CC5764F">
            <w:pPr>
              <w:spacing w:line="44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                            </w:t>
            </w:r>
          </w:p>
          <w:p w14:paraId="261F3193">
            <w:pPr>
              <w:spacing w:line="440" w:lineRule="exact"/>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（小写）：                           </w:t>
            </w:r>
          </w:p>
        </w:tc>
      </w:tr>
      <w:tr w14:paraId="4CD5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noWrap w:val="0"/>
            <w:vAlign w:val="center"/>
          </w:tcPr>
          <w:p w14:paraId="791791C0">
            <w:pPr>
              <w:spacing w:line="44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c>
          <w:tcPr>
            <w:tcW w:w="7600" w:type="dxa"/>
            <w:noWrap w:val="0"/>
            <w:vAlign w:val="top"/>
          </w:tcPr>
          <w:p w14:paraId="45568DA4">
            <w:pPr>
              <w:spacing w:line="440" w:lineRule="exact"/>
              <w:jc w:val="center"/>
              <w:rPr>
                <w:rFonts w:ascii="仿宋" w:hAnsi="仿宋" w:eastAsia="仿宋" w:cs="仿宋"/>
                <w:color w:val="auto"/>
                <w:kern w:val="0"/>
                <w:sz w:val="24"/>
                <w:szCs w:val="24"/>
                <w:highlight w:val="none"/>
              </w:rPr>
            </w:pPr>
          </w:p>
        </w:tc>
      </w:tr>
    </w:tbl>
    <w:p w14:paraId="3F142DE9">
      <w:pPr>
        <w:spacing w:line="360" w:lineRule="auto"/>
        <w:rPr>
          <w:rFonts w:hint="eastAsia" w:ascii="仿宋" w:hAnsi="仿宋" w:eastAsia="仿宋" w:cs="Times New Roman"/>
          <w:color w:val="auto"/>
          <w:kern w:val="0"/>
          <w:sz w:val="24"/>
          <w:szCs w:val="24"/>
          <w:highlight w:val="none"/>
          <w:lang w:val="en-US" w:eastAsia="zh-CN"/>
        </w:rPr>
      </w:pPr>
    </w:p>
    <w:p w14:paraId="2FF4A940">
      <w:pPr>
        <w:spacing w:line="360" w:lineRule="auto"/>
        <w:rPr>
          <w:rFonts w:ascii="仿宋" w:hAnsi="仿宋" w:eastAsia="仿宋" w:cs="仿宋"/>
          <w:color w:val="auto"/>
          <w:kern w:val="0"/>
          <w:sz w:val="24"/>
          <w:szCs w:val="24"/>
          <w:highlight w:val="none"/>
        </w:rPr>
      </w:pPr>
      <w:r>
        <w:rPr>
          <w:rFonts w:hint="eastAsia" w:ascii="仿宋" w:hAnsi="仿宋" w:eastAsia="仿宋" w:cs="Times New Roman"/>
          <w:color w:val="auto"/>
          <w:kern w:val="0"/>
          <w:sz w:val="24"/>
          <w:szCs w:val="24"/>
          <w:highlight w:val="none"/>
          <w:lang w:val="en-US" w:eastAsia="zh-CN"/>
        </w:rPr>
        <w:t>报价有效期：</w:t>
      </w:r>
      <w:r>
        <w:rPr>
          <w:rFonts w:hint="eastAsia" w:ascii="仿宋" w:hAnsi="仿宋" w:eastAsia="仿宋" w:cs="Times New Roman"/>
          <w:color w:val="auto"/>
          <w:kern w:val="0"/>
          <w:sz w:val="24"/>
          <w:szCs w:val="24"/>
          <w:highlight w:val="none"/>
        </w:rPr>
        <w:t>自报价截止之日起</w:t>
      </w:r>
      <w:r>
        <w:rPr>
          <w:rFonts w:hint="eastAsia" w:ascii="仿宋" w:hAnsi="仿宋" w:eastAsia="仿宋" w:cs="Times New Roman"/>
          <w:color w:val="auto"/>
          <w:kern w:val="0"/>
          <w:sz w:val="24"/>
          <w:szCs w:val="24"/>
          <w:highlight w:val="none"/>
          <w:lang w:val="en-US" w:eastAsia="zh-CN"/>
        </w:rPr>
        <w:t xml:space="preserve"> </w:t>
      </w:r>
      <w:r>
        <w:rPr>
          <w:rFonts w:hint="eastAsia" w:ascii="仿宋" w:hAnsi="仿宋" w:eastAsia="仿宋" w:cs="Times New Roman"/>
          <w:color w:val="auto"/>
          <w:kern w:val="0"/>
          <w:sz w:val="24"/>
          <w:szCs w:val="24"/>
          <w:highlight w:val="none"/>
          <w:u w:val="single"/>
          <w:lang w:val="en-US" w:eastAsia="zh-CN"/>
        </w:rPr>
        <w:t xml:space="preserve">     </w:t>
      </w:r>
      <w:r>
        <w:rPr>
          <w:rFonts w:hint="eastAsia" w:ascii="仿宋" w:hAnsi="仿宋" w:eastAsia="仿宋" w:cs="Times New Roman"/>
          <w:color w:val="auto"/>
          <w:kern w:val="0"/>
          <w:sz w:val="24"/>
          <w:szCs w:val="24"/>
          <w:highlight w:val="none"/>
          <w:u w:val="none"/>
          <w:lang w:val="en-US" w:eastAsia="zh-CN"/>
        </w:rPr>
        <w:t>个</w:t>
      </w:r>
      <w:r>
        <w:rPr>
          <w:rFonts w:hint="eastAsia" w:ascii="仿宋" w:hAnsi="仿宋" w:eastAsia="仿宋" w:cs="Times New Roman"/>
          <w:color w:val="auto"/>
          <w:kern w:val="0"/>
          <w:sz w:val="24"/>
          <w:szCs w:val="24"/>
          <w:highlight w:val="none"/>
        </w:rPr>
        <w:t>日历天</w:t>
      </w:r>
    </w:p>
    <w:p w14:paraId="3AA981F4">
      <w:pPr>
        <w:spacing w:line="360" w:lineRule="auto"/>
        <w:rPr>
          <w:rFonts w:ascii="仿宋" w:hAnsi="仿宋" w:eastAsia="仿宋" w:cs="仿宋"/>
          <w:color w:val="auto"/>
          <w:kern w:val="0"/>
          <w:sz w:val="24"/>
          <w:szCs w:val="24"/>
          <w:highlight w:val="none"/>
        </w:rPr>
      </w:pPr>
    </w:p>
    <w:p w14:paraId="534B0D77">
      <w:pPr>
        <w:spacing w:line="360" w:lineRule="auto"/>
        <w:rPr>
          <w:rFonts w:ascii="仿宋" w:hAnsi="仿宋" w:eastAsia="仿宋" w:cs="仿宋"/>
          <w:color w:val="auto"/>
          <w:kern w:val="0"/>
          <w:sz w:val="24"/>
          <w:szCs w:val="24"/>
          <w:highlight w:val="none"/>
        </w:rPr>
      </w:pPr>
    </w:p>
    <w:p w14:paraId="323D36C7">
      <w:pPr>
        <w:spacing w:line="440" w:lineRule="exact"/>
        <w:jc w:val="righ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供  应  商</w:t>
      </w:r>
      <w:r>
        <w:rPr>
          <w:rFonts w:hint="eastAsia" w:ascii="仿宋" w:hAnsi="仿宋" w:eastAsia="仿宋" w:cs="Times New Roman"/>
          <w:color w:val="auto"/>
          <w:kern w:val="0"/>
          <w:sz w:val="24"/>
          <w:szCs w:val="24"/>
          <w:highlight w:val="none"/>
        </w:rPr>
        <w:t>：</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（盖单位公章）</w:t>
      </w:r>
    </w:p>
    <w:p w14:paraId="51F021D1">
      <w:pPr>
        <w:spacing w:line="440" w:lineRule="exact"/>
        <w:jc w:val="righ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法定代表人：</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（签字或盖章）</w:t>
      </w:r>
    </w:p>
    <w:p w14:paraId="4BCEAB6C">
      <w:pPr>
        <w:spacing w:line="440" w:lineRule="exact"/>
        <w:ind w:firstLine="4108" w:firstLineChars="1712"/>
        <w:jc w:val="right"/>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日      期：</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年</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月</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日</w:t>
      </w:r>
    </w:p>
    <w:p w14:paraId="2BCC76F5">
      <w:pPr>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br w:type="page"/>
      </w:r>
    </w:p>
    <w:p w14:paraId="3F90390B">
      <w:pPr>
        <w:widowControl/>
        <w:autoSpaceDE w:val="0"/>
        <w:autoSpaceDN w:val="0"/>
        <w:adjustRightInd w:val="0"/>
        <w:spacing w:line="440" w:lineRule="exact"/>
        <w:jc w:val="center"/>
        <w:outlineLvl w:val="1"/>
        <w:rPr>
          <w:rFonts w:hint="eastAsia" w:ascii="仿宋" w:hAnsi="仿宋" w:eastAsia="仿宋" w:cs="仿宋"/>
          <w:color w:val="auto"/>
          <w:kern w:val="0"/>
          <w:sz w:val="32"/>
          <w:szCs w:val="32"/>
          <w:highlight w:val="none"/>
          <w:lang w:val="zh-CN" w:eastAsia="zh-CN" w:bidi="ar-SA"/>
        </w:rPr>
      </w:pPr>
      <w:bookmarkStart w:id="74" w:name="_Toc16143"/>
      <w:r>
        <w:rPr>
          <w:rFonts w:hint="eastAsia" w:ascii="仿宋" w:hAnsi="仿宋" w:eastAsia="仿宋" w:cs="仿宋"/>
          <w:color w:val="auto"/>
          <w:kern w:val="0"/>
          <w:sz w:val="32"/>
          <w:szCs w:val="32"/>
          <w:highlight w:val="none"/>
          <w:lang w:val="en-US" w:eastAsia="zh-CN" w:bidi="ar-SA"/>
        </w:rPr>
        <w:t>三</w:t>
      </w:r>
      <w:r>
        <w:rPr>
          <w:rFonts w:hint="eastAsia" w:ascii="仿宋" w:hAnsi="仿宋" w:eastAsia="仿宋" w:cs="仿宋"/>
          <w:color w:val="auto"/>
          <w:kern w:val="0"/>
          <w:sz w:val="32"/>
          <w:szCs w:val="32"/>
          <w:highlight w:val="none"/>
          <w:lang w:val="zh-CN" w:eastAsia="zh-CN" w:bidi="ar-SA"/>
        </w:rPr>
        <w:t>、法定代表人身份证明</w:t>
      </w:r>
      <w:bookmarkEnd w:id="74"/>
    </w:p>
    <w:p w14:paraId="0E53AFA9">
      <w:pPr>
        <w:spacing w:line="440" w:lineRule="exac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供应商</w:t>
      </w:r>
      <w:r>
        <w:rPr>
          <w:rFonts w:ascii="仿宋" w:hAnsi="仿宋" w:eastAsia="仿宋" w:cs="Times New Roman"/>
          <w:color w:val="auto"/>
          <w:kern w:val="0"/>
          <w:sz w:val="24"/>
          <w:szCs w:val="24"/>
          <w:highlight w:val="none"/>
        </w:rPr>
        <w:t>名称：</w:t>
      </w:r>
      <w:r>
        <w:rPr>
          <w:rFonts w:ascii="仿宋" w:hAnsi="仿宋" w:eastAsia="仿宋" w:cs="Times New Roman"/>
          <w:color w:val="auto"/>
          <w:kern w:val="0"/>
          <w:sz w:val="24"/>
          <w:szCs w:val="24"/>
          <w:highlight w:val="none"/>
          <w:u w:val="single"/>
        </w:rPr>
        <w:t xml:space="preserve">                            </w:t>
      </w:r>
      <w:r>
        <w:rPr>
          <w:rFonts w:ascii="仿宋" w:hAnsi="仿宋" w:eastAsia="仿宋" w:cs="Times New Roman"/>
          <w:color w:val="auto"/>
          <w:kern w:val="0"/>
          <w:sz w:val="24"/>
          <w:szCs w:val="24"/>
          <w:highlight w:val="none"/>
        </w:rPr>
        <w:t xml:space="preserve"> </w:t>
      </w:r>
    </w:p>
    <w:p w14:paraId="22A1567E">
      <w:pPr>
        <w:spacing w:line="440" w:lineRule="exac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单位性质：</w:t>
      </w:r>
      <w:r>
        <w:rPr>
          <w:rFonts w:ascii="仿宋" w:hAnsi="仿宋" w:eastAsia="仿宋" w:cs="Times New Roman"/>
          <w:color w:val="auto"/>
          <w:kern w:val="0"/>
          <w:sz w:val="24"/>
          <w:szCs w:val="24"/>
          <w:highlight w:val="none"/>
          <w:u w:val="single"/>
        </w:rPr>
        <w:t xml:space="preserve">                               </w:t>
      </w:r>
      <w:r>
        <w:rPr>
          <w:rFonts w:ascii="仿宋" w:hAnsi="仿宋" w:eastAsia="仿宋" w:cs="Times New Roman"/>
          <w:color w:val="auto"/>
          <w:kern w:val="0"/>
          <w:sz w:val="24"/>
          <w:szCs w:val="24"/>
          <w:highlight w:val="none"/>
        </w:rPr>
        <w:t xml:space="preserve"> </w:t>
      </w:r>
    </w:p>
    <w:p w14:paraId="0AFA9ED3">
      <w:pPr>
        <w:spacing w:line="440" w:lineRule="exac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地址：</w:t>
      </w:r>
      <w:r>
        <w:rPr>
          <w:rFonts w:ascii="仿宋" w:hAnsi="仿宋" w:eastAsia="仿宋" w:cs="Times New Roman"/>
          <w:color w:val="auto"/>
          <w:kern w:val="0"/>
          <w:sz w:val="24"/>
          <w:szCs w:val="24"/>
          <w:highlight w:val="none"/>
          <w:u w:val="single"/>
        </w:rPr>
        <w:t xml:space="preserve">                                   </w:t>
      </w:r>
    </w:p>
    <w:p w14:paraId="4508ADE3">
      <w:pPr>
        <w:spacing w:line="440" w:lineRule="exac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成立时间：</w:t>
      </w:r>
      <w:r>
        <w:rPr>
          <w:rFonts w:ascii="仿宋" w:hAnsi="仿宋" w:eastAsia="仿宋" w:cs="Times New Roman"/>
          <w:color w:val="auto"/>
          <w:kern w:val="0"/>
          <w:sz w:val="24"/>
          <w:szCs w:val="24"/>
          <w:highlight w:val="none"/>
          <w:u w:val="single"/>
        </w:rPr>
        <w:t xml:space="preserve">         </w:t>
      </w:r>
      <w:r>
        <w:rPr>
          <w:rFonts w:ascii="仿宋" w:hAnsi="仿宋" w:eastAsia="仿宋" w:cs="Times New Roman"/>
          <w:color w:val="auto"/>
          <w:kern w:val="0"/>
          <w:sz w:val="24"/>
          <w:szCs w:val="24"/>
          <w:highlight w:val="none"/>
        </w:rPr>
        <w:t>年</w:t>
      </w:r>
      <w:r>
        <w:rPr>
          <w:rFonts w:ascii="仿宋" w:hAnsi="仿宋" w:eastAsia="仿宋" w:cs="Times New Roman"/>
          <w:color w:val="auto"/>
          <w:kern w:val="0"/>
          <w:sz w:val="24"/>
          <w:szCs w:val="24"/>
          <w:highlight w:val="none"/>
          <w:u w:val="single"/>
        </w:rPr>
        <w:t xml:space="preserve">       </w:t>
      </w:r>
      <w:r>
        <w:rPr>
          <w:rFonts w:ascii="仿宋" w:hAnsi="仿宋" w:eastAsia="仿宋" w:cs="Times New Roman"/>
          <w:color w:val="auto"/>
          <w:kern w:val="0"/>
          <w:sz w:val="24"/>
          <w:szCs w:val="24"/>
          <w:highlight w:val="none"/>
        </w:rPr>
        <w:t>月</w:t>
      </w:r>
      <w:r>
        <w:rPr>
          <w:rFonts w:ascii="仿宋" w:hAnsi="仿宋" w:eastAsia="仿宋" w:cs="Times New Roman"/>
          <w:color w:val="auto"/>
          <w:kern w:val="0"/>
          <w:sz w:val="24"/>
          <w:szCs w:val="24"/>
          <w:highlight w:val="none"/>
          <w:u w:val="single"/>
        </w:rPr>
        <w:t xml:space="preserve">       </w:t>
      </w:r>
      <w:r>
        <w:rPr>
          <w:rFonts w:ascii="仿宋" w:hAnsi="仿宋" w:eastAsia="仿宋" w:cs="Times New Roman"/>
          <w:color w:val="auto"/>
          <w:kern w:val="0"/>
          <w:sz w:val="24"/>
          <w:szCs w:val="24"/>
          <w:highlight w:val="none"/>
        </w:rPr>
        <w:t>日</w:t>
      </w:r>
    </w:p>
    <w:p w14:paraId="18FE6998">
      <w:pPr>
        <w:spacing w:line="440" w:lineRule="exac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经营期限：</w:t>
      </w:r>
      <w:r>
        <w:rPr>
          <w:rFonts w:ascii="仿宋" w:hAnsi="仿宋" w:eastAsia="仿宋" w:cs="Times New Roman"/>
          <w:color w:val="auto"/>
          <w:kern w:val="0"/>
          <w:sz w:val="24"/>
          <w:szCs w:val="24"/>
          <w:highlight w:val="none"/>
          <w:u w:val="single"/>
        </w:rPr>
        <w:t xml:space="preserve">                               </w:t>
      </w:r>
    </w:p>
    <w:p w14:paraId="17101063">
      <w:pPr>
        <w:spacing w:line="440" w:lineRule="exact"/>
        <w:rPr>
          <w:rFonts w:ascii="仿宋" w:hAnsi="仿宋" w:eastAsia="仿宋" w:cs="Times New Roman"/>
          <w:color w:val="auto"/>
          <w:kern w:val="0"/>
          <w:sz w:val="24"/>
          <w:szCs w:val="24"/>
          <w:highlight w:val="none"/>
        </w:rPr>
      </w:pPr>
    </w:p>
    <w:p w14:paraId="0EF774A3">
      <w:pPr>
        <w:spacing w:line="440" w:lineRule="exac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姓名：</w:t>
      </w:r>
      <w:r>
        <w:rPr>
          <w:rFonts w:ascii="仿宋" w:hAnsi="仿宋" w:eastAsia="仿宋" w:cs="Times New Roman"/>
          <w:color w:val="auto"/>
          <w:kern w:val="0"/>
          <w:sz w:val="24"/>
          <w:szCs w:val="24"/>
          <w:highlight w:val="none"/>
          <w:u w:val="single"/>
        </w:rPr>
        <w:t xml:space="preserve">        </w:t>
      </w:r>
      <w:r>
        <w:rPr>
          <w:rFonts w:ascii="仿宋" w:hAnsi="仿宋" w:eastAsia="仿宋" w:cs="Times New Roman"/>
          <w:color w:val="auto"/>
          <w:kern w:val="0"/>
          <w:sz w:val="24"/>
          <w:szCs w:val="24"/>
          <w:highlight w:val="none"/>
        </w:rPr>
        <w:t xml:space="preserve"> 性别：</w:t>
      </w:r>
      <w:r>
        <w:rPr>
          <w:rFonts w:ascii="仿宋" w:hAnsi="仿宋" w:eastAsia="仿宋" w:cs="Times New Roman"/>
          <w:color w:val="auto"/>
          <w:kern w:val="0"/>
          <w:sz w:val="24"/>
          <w:szCs w:val="24"/>
          <w:highlight w:val="none"/>
          <w:u w:val="single"/>
        </w:rPr>
        <w:t xml:space="preserve">         </w:t>
      </w:r>
      <w:r>
        <w:rPr>
          <w:rFonts w:ascii="仿宋" w:hAnsi="仿宋" w:eastAsia="仿宋" w:cs="Times New Roman"/>
          <w:color w:val="auto"/>
          <w:kern w:val="0"/>
          <w:sz w:val="24"/>
          <w:szCs w:val="24"/>
          <w:highlight w:val="none"/>
        </w:rPr>
        <w:t xml:space="preserve"> 年龄：</w:t>
      </w:r>
      <w:r>
        <w:rPr>
          <w:rFonts w:ascii="仿宋" w:hAnsi="仿宋" w:eastAsia="仿宋" w:cs="Times New Roman"/>
          <w:color w:val="auto"/>
          <w:kern w:val="0"/>
          <w:sz w:val="24"/>
          <w:szCs w:val="24"/>
          <w:highlight w:val="none"/>
          <w:u w:val="single"/>
        </w:rPr>
        <w:t xml:space="preserve">        </w:t>
      </w:r>
      <w:r>
        <w:rPr>
          <w:rFonts w:ascii="仿宋" w:hAnsi="仿宋" w:eastAsia="仿宋" w:cs="Times New Roman"/>
          <w:color w:val="auto"/>
          <w:kern w:val="0"/>
          <w:sz w:val="24"/>
          <w:szCs w:val="24"/>
          <w:highlight w:val="none"/>
        </w:rPr>
        <w:t>职务：</w:t>
      </w:r>
      <w:r>
        <w:rPr>
          <w:rFonts w:ascii="仿宋" w:hAnsi="仿宋" w:eastAsia="仿宋" w:cs="Times New Roman"/>
          <w:color w:val="auto"/>
          <w:kern w:val="0"/>
          <w:sz w:val="24"/>
          <w:szCs w:val="24"/>
          <w:highlight w:val="none"/>
          <w:u w:val="single"/>
        </w:rPr>
        <w:t xml:space="preserve">        </w:t>
      </w:r>
    </w:p>
    <w:p w14:paraId="09586A68">
      <w:pPr>
        <w:spacing w:line="440" w:lineRule="exac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系</w:t>
      </w:r>
      <w:r>
        <w:rPr>
          <w:rFonts w:ascii="仿宋" w:hAnsi="仿宋" w:eastAsia="仿宋" w:cs="Times New Roman"/>
          <w:color w:val="auto"/>
          <w:kern w:val="0"/>
          <w:sz w:val="24"/>
          <w:szCs w:val="24"/>
          <w:highlight w:val="none"/>
          <w:u w:val="single"/>
        </w:rPr>
        <w:t xml:space="preserve">                             </w:t>
      </w:r>
      <w:r>
        <w:rPr>
          <w:rFonts w:ascii="仿宋" w:hAnsi="仿宋" w:eastAsia="仿宋" w:cs="Times New Roman"/>
          <w:color w:val="auto"/>
          <w:kern w:val="0"/>
          <w:sz w:val="24"/>
          <w:szCs w:val="24"/>
          <w:highlight w:val="none"/>
        </w:rPr>
        <w:t xml:space="preserve"> </w:t>
      </w:r>
      <w:r>
        <w:rPr>
          <w:rFonts w:hint="eastAsia" w:ascii="仿宋" w:hAnsi="仿宋" w:eastAsia="仿宋" w:cs="Times New Roman"/>
          <w:color w:val="auto"/>
          <w:kern w:val="0"/>
          <w:sz w:val="24"/>
          <w:szCs w:val="24"/>
          <w:highlight w:val="none"/>
        </w:rPr>
        <w:t>（</w:t>
      </w:r>
      <w:r>
        <w:rPr>
          <w:rFonts w:hint="eastAsia" w:ascii="仿宋" w:hAnsi="仿宋" w:eastAsia="仿宋" w:cs="Times New Roman"/>
          <w:color w:val="auto"/>
          <w:kern w:val="0"/>
          <w:sz w:val="24"/>
          <w:szCs w:val="24"/>
          <w:highlight w:val="none"/>
          <w:lang w:eastAsia="zh-CN"/>
        </w:rPr>
        <w:t>供应商</w:t>
      </w:r>
      <w:r>
        <w:rPr>
          <w:rFonts w:ascii="仿宋" w:hAnsi="仿宋" w:eastAsia="仿宋" w:cs="Times New Roman"/>
          <w:color w:val="auto"/>
          <w:kern w:val="0"/>
          <w:sz w:val="24"/>
          <w:szCs w:val="24"/>
          <w:highlight w:val="none"/>
        </w:rPr>
        <w:t>名称</w:t>
      </w:r>
      <w:r>
        <w:rPr>
          <w:rFonts w:hint="eastAsia"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rPr>
        <w:t>的法定代表人。</w:t>
      </w:r>
    </w:p>
    <w:p w14:paraId="6364AC83">
      <w:pPr>
        <w:spacing w:line="440" w:lineRule="exact"/>
        <w:ind w:firstLine="480" w:firstLineChars="200"/>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特此证明。</w:t>
      </w:r>
    </w:p>
    <w:p w14:paraId="3D56A40C">
      <w:pPr>
        <w:spacing w:line="440" w:lineRule="exact"/>
        <w:rPr>
          <w:rFonts w:ascii="仿宋" w:hAnsi="仿宋" w:eastAsia="仿宋" w:cs="Times New Roman"/>
          <w:color w:val="auto"/>
          <w:kern w:val="0"/>
          <w:sz w:val="24"/>
          <w:szCs w:val="24"/>
          <w:highlight w:val="none"/>
        </w:rPr>
      </w:pPr>
    </w:p>
    <w:p w14:paraId="17EB3E93">
      <w:pPr>
        <w:spacing w:line="440" w:lineRule="exac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附：法定代表人身份证复印件。</w:t>
      </w:r>
    </w:p>
    <w:p w14:paraId="1ABA57E7">
      <w:pPr>
        <w:spacing w:line="440" w:lineRule="exact"/>
        <w:rPr>
          <w:rFonts w:ascii="仿宋" w:hAnsi="仿宋" w:eastAsia="仿宋" w:cs="Times New Roman"/>
          <w:color w:val="auto"/>
          <w:kern w:val="0"/>
          <w:sz w:val="24"/>
          <w:szCs w:val="24"/>
          <w:highlight w:val="none"/>
        </w:rPr>
      </w:pPr>
    </w:p>
    <w:p w14:paraId="096B31E3">
      <w:pPr>
        <w:spacing w:line="440" w:lineRule="exact"/>
        <w:rPr>
          <w:rFonts w:ascii="仿宋" w:hAnsi="仿宋" w:eastAsia="仿宋" w:cs="Times New Roman"/>
          <w:color w:val="auto"/>
          <w:kern w:val="0"/>
          <w:sz w:val="24"/>
          <w:szCs w:val="24"/>
          <w:highlight w:val="none"/>
        </w:rPr>
      </w:pPr>
    </w:p>
    <w:p w14:paraId="157BD4EB">
      <w:pPr>
        <w:spacing w:line="440" w:lineRule="exact"/>
        <w:rPr>
          <w:rFonts w:ascii="仿宋" w:hAnsi="仿宋" w:eastAsia="仿宋" w:cs="Times New Roman"/>
          <w:color w:val="auto"/>
          <w:kern w:val="0"/>
          <w:sz w:val="24"/>
          <w:szCs w:val="24"/>
          <w:highlight w:val="none"/>
        </w:rPr>
      </w:pPr>
    </w:p>
    <w:p w14:paraId="59BF6422">
      <w:pPr>
        <w:spacing w:line="440" w:lineRule="exact"/>
        <w:rPr>
          <w:rFonts w:ascii="仿宋" w:hAnsi="仿宋" w:eastAsia="仿宋" w:cs="Times New Roman"/>
          <w:color w:val="auto"/>
          <w:kern w:val="0"/>
          <w:sz w:val="24"/>
          <w:szCs w:val="24"/>
          <w:highlight w:val="none"/>
        </w:rPr>
      </w:pPr>
    </w:p>
    <w:p w14:paraId="20B92D4A">
      <w:pPr>
        <w:spacing w:line="440" w:lineRule="exact"/>
        <w:rPr>
          <w:rFonts w:ascii="仿宋" w:hAnsi="仿宋" w:eastAsia="仿宋" w:cs="Times New Roman"/>
          <w:color w:val="auto"/>
          <w:kern w:val="0"/>
          <w:sz w:val="24"/>
          <w:szCs w:val="24"/>
          <w:highlight w:val="none"/>
        </w:rPr>
      </w:pPr>
    </w:p>
    <w:p w14:paraId="4D080FF1">
      <w:pPr>
        <w:spacing w:line="440" w:lineRule="exact"/>
        <w:rPr>
          <w:rFonts w:ascii="仿宋" w:hAnsi="仿宋" w:eastAsia="仿宋" w:cs="Times New Roman"/>
          <w:color w:val="auto"/>
          <w:kern w:val="0"/>
          <w:sz w:val="24"/>
          <w:szCs w:val="24"/>
          <w:highlight w:val="none"/>
        </w:rPr>
      </w:pPr>
    </w:p>
    <w:p w14:paraId="033768BD">
      <w:pPr>
        <w:spacing w:line="440" w:lineRule="exac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 xml:space="preserve">                          </w:t>
      </w:r>
      <w:r>
        <w:rPr>
          <w:rFonts w:hint="eastAsia" w:ascii="仿宋" w:hAnsi="仿宋" w:eastAsia="仿宋" w:cs="Times New Roman"/>
          <w:color w:val="auto"/>
          <w:kern w:val="0"/>
          <w:sz w:val="24"/>
          <w:szCs w:val="24"/>
          <w:highlight w:val="none"/>
          <w:lang w:eastAsia="zh-CN"/>
        </w:rPr>
        <w:t>供应商</w:t>
      </w:r>
      <w:r>
        <w:rPr>
          <w:rFonts w:ascii="仿宋" w:hAnsi="仿宋" w:eastAsia="仿宋" w:cs="Times New Roman"/>
          <w:color w:val="auto"/>
          <w:kern w:val="0"/>
          <w:sz w:val="24"/>
          <w:szCs w:val="24"/>
          <w:highlight w:val="none"/>
        </w:rPr>
        <w:t>：</w:t>
      </w:r>
      <w:r>
        <w:rPr>
          <w:rFonts w:ascii="仿宋" w:hAnsi="仿宋" w:eastAsia="仿宋" w:cs="Times New Roman"/>
          <w:color w:val="auto"/>
          <w:kern w:val="0"/>
          <w:sz w:val="24"/>
          <w:szCs w:val="24"/>
          <w:highlight w:val="none"/>
          <w:u w:val="single"/>
        </w:rPr>
        <w:t xml:space="preserve">                 </w:t>
      </w:r>
      <w:r>
        <w:rPr>
          <w:rFonts w:ascii="仿宋" w:hAnsi="仿宋" w:eastAsia="仿宋" w:cs="Times New Roman"/>
          <w:color w:val="auto"/>
          <w:kern w:val="0"/>
          <w:sz w:val="24"/>
          <w:szCs w:val="24"/>
          <w:highlight w:val="none"/>
        </w:rPr>
        <w:t>（</w:t>
      </w:r>
      <w:r>
        <w:rPr>
          <w:rFonts w:hint="eastAsia" w:ascii="仿宋" w:hAnsi="仿宋" w:eastAsia="仿宋" w:cs="Times New Roman"/>
          <w:color w:val="auto"/>
          <w:kern w:val="0"/>
          <w:sz w:val="24"/>
          <w:szCs w:val="24"/>
          <w:highlight w:val="none"/>
        </w:rPr>
        <w:t>公章</w:t>
      </w:r>
      <w:r>
        <w:rPr>
          <w:rFonts w:ascii="仿宋" w:hAnsi="仿宋" w:eastAsia="仿宋" w:cs="Times New Roman"/>
          <w:color w:val="auto"/>
          <w:kern w:val="0"/>
          <w:sz w:val="24"/>
          <w:szCs w:val="24"/>
          <w:highlight w:val="none"/>
        </w:rPr>
        <w:t>）</w:t>
      </w:r>
    </w:p>
    <w:p w14:paraId="020B7EF7">
      <w:pPr>
        <w:widowControl/>
        <w:autoSpaceDE w:val="0"/>
        <w:autoSpaceDN w:val="0"/>
        <w:adjustRightInd w:val="0"/>
        <w:spacing w:line="440" w:lineRule="exact"/>
        <w:rPr>
          <w:rFonts w:ascii="仿宋" w:hAnsi="仿宋" w:eastAsia="仿宋" w:cs="Times New Roman"/>
          <w:color w:val="auto"/>
          <w:kern w:val="1"/>
          <w:sz w:val="24"/>
          <w:szCs w:val="24"/>
          <w:highlight w:val="none"/>
        </w:rPr>
      </w:pPr>
      <w:r>
        <w:rPr>
          <w:rFonts w:ascii="仿宋" w:hAnsi="仿宋" w:eastAsia="仿宋" w:cs="Times New Roman"/>
          <w:color w:val="auto"/>
          <w:kern w:val="0"/>
          <w:sz w:val="24"/>
          <w:szCs w:val="24"/>
          <w:highlight w:val="none"/>
        </w:rPr>
        <w:t xml:space="preserve">                                </w:t>
      </w:r>
      <w:r>
        <w:rPr>
          <w:rFonts w:ascii="仿宋" w:hAnsi="仿宋" w:eastAsia="仿宋" w:cs="Times New Roman"/>
          <w:color w:val="auto"/>
          <w:kern w:val="0"/>
          <w:sz w:val="24"/>
          <w:szCs w:val="24"/>
          <w:highlight w:val="none"/>
          <w:u w:val="single"/>
        </w:rPr>
        <w:t xml:space="preserve">         </w:t>
      </w:r>
      <w:r>
        <w:rPr>
          <w:rFonts w:ascii="仿宋" w:hAnsi="仿宋" w:eastAsia="仿宋" w:cs="Times New Roman"/>
          <w:color w:val="auto"/>
          <w:kern w:val="0"/>
          <w:sz w:val="24"/>
          <w:szCs w:val="24"/>
          <w:highlight w:val="none"/>
        </w:rPr>
        <w:t>年</w:t>
      </w:r>
      <w:r>
        <w:rPr>
          <w:rFonts w:ascii="仿宋" w:hAnsi="仿宋" w:eastAsia="仿宋" w:cs="Times New Roman"/>
          <w:color w:val="auto"/>
          <w:kern w:val="0"/>
          <w:sz w:val="24"/>
          <w:szCs w:val="24"/>
          <w:highlight w:val="none"/>
          <w:u w:val="single"/>
        </w:rPr>
        <w:t xml:space="preserve">      </w:t>
      </w:r>
      <w:r>
        <w:rPr>
          <w:rFonts w:ascii="仿宋" w:hAnsi="仿宋" w:eastAsia="仿宋" w:cs="Times New Roman"/>
          <w:color w:val="auto"/>
          <w:kern w:val="0"/>
          <w:sz w:val="24"/>
          <w:szCs w:val="24"/>
          <w:highlight w:val="none"/>
        </w:rPr>
        <w:t>月</w:t>
      </w:r>
      <w:r>
        <w:rPr>
          <w:rFonts w:ascii="仿宋" w:hAnsi="仿宋" w:eastAsia="仿宋" w:cs="Times New Roman"/>
          <w:color w:val="auto"/>
          <w:kern w:val="0"/>
          <w:sz w:val="24"/>
          <w:szCs w:val="24"/>
          <w:highlight w:val="none"/>
          <w:u w:val="single"/>
        </w:rPr>
        <w:t xml:space="preserve">   </w:t>
      </w:r>
      <w:r>
        <w:rPr>
          <w:rFonts w:ascii="仿宋" w:hAnsi="仿宋" w:eastAsia="仿宋" w:cs="Times New Roman"/>
          <w:color w:val="auto"/>
          <w:kern w:val="0"/>
          <w:sz w:val="24"/>
          <w:szCs w:val="24"/>
          <w:highlight w:val="none"/>
        </w:rPr>
        <w:t xml:space="preserve"> 日</w:t>
      </w:r>
    </w:p>
    <w:p w14:paraId="384E8E36">
      <w:pPr>
        <w:spacing w:before="100" w:beforeAutospacing="1" w:after="100" w:afterAutospacing="1" w:line="440" w:lineRule="exact"/>
        <w:jc w:val="left"/>
        <w:rPr>
          <w:rFonts w:ascii="仿宋" w:hAnsi="仿宋" w:eastAsia="仿宋" w:cs="仿宋"/>
          <w:color w:val="auto"/>
          <w:kern w:val="1"/>
          <w:sz w:val="24"/>
          <w:szCs w:val="24"/>
          <w:highlight w:val="none"/>
        </w:rPr>
      </w:pPr>
    </w:p>
    <w:p w14:paraId="3BE12DF6">
      <w:pPr>
        <w:spacing w:line="360" w:lineRule="auto"/>
        <w:rPr>
          <w:rFonts w:ascii="宋体" w:hAnsi="宋体" w:eastAsia="Times New Roman" w:cs="宋体"/>
          <w:b/>
          <w:bCs/>
          <w:color w:val="auto"/>
          <w:kern w:val="0"/>
          <w:sz w:val="24"/>
          <w:szCs w:val="21"/>
          <w:highlight w:val="none"/>
        </w:rPr>
      </w:pPr>
      <w:r>
        <w:rPr>
          <w:rFonts w:hint="eastAsia" w:ascii="宋体" w:hAnsi="宋体" w:eastAsia="Times New Roman" w:cs="宋体"/>
          <w:b/>
          <w:bCs/>
          <w:color w:val="auto"/>
          <w:kern w:val="0"/>
          <w:sz w:val="24"/>
          <w:szCs w:val="21"/>
          <w:highlight w:val="none"/>
        </w:rPr>
        <w:t>注：1、法定代表人参加本次投标的应签署本文件并附本人身份证复印件；</w:t>
      </w:r>
    </w:p>
    <w:p w14:paraId="50A09320">
      <w:pPr>
        <w:spacing w:line="360" w:lineRule="auto"/>
        <w:ind w:firstLine="480" w:firstLineChars="200"/>
        <w:rPr>
          <w:rFonts w:ascii="宋体" w:hAnsi="宋体" w:eastAsia="Times New Roman" w:cs="宋体"/>
          <w:b/>
          <w:bCs/>
          <w:color w:val="auto"/>
          <w:kern w:val="0"/>
          <w:sz w:val="24"/>
          <w:szCs w:val="21"/>
          <w:highlight w:val="none"/>
        </w:rPr>
      </w:pPr>
      <w:r>
        <w:rPr>
          <w:rFonts w:hint="eastAsia" w:ascii="宋体" w:hAnsi="宋体" w:eastAsia="Times New Roman" w:cs="宋体"/>
          <w:b/>
          <w:bCs/>
          <w:color w:val="auto"/>
          <w:kern w:val="0"/>
          <w:sz w:val="24"/>
          <w:szCs w:val="21"/>
          <w:highlight w:val="none"/>
        </w:rPr>
        <w:t>2、如法定代表人不参加本次投标，应签署《法定代表人授权委托书</w:t>
      </w:r>
      <w:r>
        <w:rPr>
          <w:rFonts w:hint="eastAsia" w:ascii="宋体" w:hAnsi="宋体" w:eastAsia="Times New Roman" w:cs="宋体"/>
          <w:b/>
          <w:bCs/>
          <w:color w:val="auto"/>
          <w:kern w:val="0"/>
          <w:sz w:val="24"/>
          <w:szCs w:val="21"/>
          <w:highlight w:val="none"/>
          <w:lang w:eastAsia="zh-CN"/>
        </w:rPr>
        <w:t>及法人身份证明</w:t>
      </w:r>
      <w:r>
        <w:rPr>
          <w:rFonts w:hint="eastAsia" w:ascii="宋体" w:hAnsi="宋体" w:eastAsia="Times New Roman" w:cs="宋体"/>
          <w:b/>
          <w:bCs/>
          <w:color w:val="auto"/>
          <w:kern w:val="0"/>
          <w:sz w:val="24"/>
          <w:szCs w:val="21"/>
          <w:highlight w:val="none"/>
        </w:rPr>
        <w:t>》。</w:t>
      </w:r>
    </w:p>
    <w:p w14:paraId="25E6AB1F">
      <w:pPr>
        <w:spacing w:before="100" w:beforeAutospacing="1" w:after="100" w:afterAutospacing="1" w:line="440" w:lineRule="exact"/>
        <w:jc w:val="left"/>
        <w:rPr>
          <w:rFonts w:ascii="仿宋" w:hAnsi="仿宋" w:eastAsia="仿宋" w:cs="仿宋"/>
          <w:color w:val="auto"/>
          <w:kern w:val="1"/>
          <w:sz w:val="24"/>
          <w:szCs w:val="24"/>
          <w:highlight w:val="none"/>
        </w:rPr>
      </w:pPr>
    </w:p>
    <w:p w14:paraId="3140943F">
      <w:pPr>
        <w:widowControl/>
        <w:autoSpaceDE w:val="0"/>
        <w:autoSpaceDN w:val="0"/>
        <w:adjustRightInd w:val="0"/>
        <w:spacing w:line="440" w:lineRule="exact"/>
        <w:jc w:val="both"/>
        <w:rPr>
          <w:rFonts w:ascii="Times New Roman" w:hAnsi="Times New Roman" w:eastAsia="Times New Roman" w:cs="Times New Roman"/>
          <w:color w:val="auto"/>
          <w:kern w:val="0"/>
          <w:sz w:val="24"/>
          <w:highlight w:val="none"/>
        </w:rPr>
      </w:pPr>
    </w:p>
    <w:p w14:paraId="589F43F4">
      <w:pPr>
        <w:pStyle w:val="5"/>
        <w:rPr>
          <w:color w:val="auto"/>
          <w:kern w:val="0"/>
          <w:highlight w:val="none"/>
        </w:rPr>
      </w:pPr>
    </w:p>
    <w:p w14:paraId="14DCA0D4">
      <w:pPr>
        <w:pStyle w:val="5"/>
        <w:rPr>
          <w:color w:val="auto"/>
          <w:kern w:val="0"/>
          <w:highlight w:val="none"/>
        </w:rPr>
      </w:pPr>
    </w:p>
    <w:p w14:paraId="21970DB3">
      <w:pPr>
        <w:pStyle w:val="5"/>
        <w:ind w:left="0" w:leftChars="0" w:firstLine="0" w:firstLineChars="0"/>
        <w:rPr>
          <w:color w:val="auto"/>
          <w:kern w:val="0"/>
          <w:highlight w:val="none"/>
        </w:rPr>
      </w:pPr>
    </w:p>
    <w:p w14:paraId="7C6A56C0">
      <w:pPr>
        <w:widowControl/>
        <w:autoSpaceDE w:val="0"/>
        <w:autoSpaceDN w:val="0"/>
        <w:adjustRightInd w:val="0"/>
        <w:spacing w:line="440" w:lineRule="exact"/>
        <w:jc w:val="center"/>
        <w:rPr>
          <w:rFonts w:ascii="仿宋" w:hAnsi="仿宋" w:eastAsia="仿宋" w:cs="Times New Roman"/>
          <w:color w:val="auto"/>
          <w:kern w:val="1"/>
          <w:sz w:val="28"/>
          <w:szCs w:val="28"/>
          <w:highlight w:val="none"/>
        </w:rPr>
      </w:pPr>
      <w:r>
        <w:rPr>
          <w:rFonts w:hint="eastAsia" w:ascii="仿宋" w:hAnsi="仿宋" w:eastAsia="仿宋" w:cs="宋体"/>
          <w:color w:val="auto"/>
          <w:kern w:val="1"/>
          <w:sz w:val="28"/>
          <w:szCs w:val="28"/>
          <w:highlight w:val="none"/>
        </w:rPr>
        <w:t>法定代表人授权委托书</w:t>
      </w:r>
    </w:p>
    <w:p w14:paraId="0B49BD25">
      <w:pPr>
        <w:widowControl/>
        <w:autoSpaceDE w:val="0"/>
        <w:autoSpaceDN w:val="0"/>
        <w:adjustRightInd w:val="0"/>
        <w:spacing w:line="440" w:lineRule="exact"/>
        <w:rPr>
          <w:rFonts w:ascii="仿宋" w:hAnsi="仿宋" w:eastAsia="仿宋" w:cs="Times New Roman"/>
          <w:color w:val="auto"/>
          <w:kern w:val="1"/>
          <w:sz w:val="24"/>
          <w:szCs w:val="24"/>
          <w:highlight w:val="none"/>
        </w:rPr>
      </w:pPr>
    </w:p>
    <w:p w14:paraId="2A81B5E6">
      <w:pPr>
        <w:widowControl/>
        <w:autoSpaceDE w:val="0"/>
        <w:autoSpaceDN w:val="0"/>
        <w:adjustRightInd w:val="0"/>
        <w:spacing w:line="440" w:lineRule="exact"/>
        <w:rPr>
          <w:rFonts w:ascii="仿宋" w:hAnsi="仿宋" w:eastAsia="仿宋" w:cs="Times New Roman"/>
          <w:color w:val="auto"/>
          <w:kern w:val="1"/>
          <w:sz w:val="24"/>
          <w:szCs w:val="24"/>
          <w:highlight w:val="none"/>
        </w:rPr>
      </w:pP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（采购人）</w:t>
      </w:r>
      <w:r>
        <w:rPr>
          <w:rFonts w:ascii="仿宋" w:hAnsi="仿宋" w:eastAsia="仿宋" w:cs="仿宋"/>
          <w:color w:val="auto"/>
          <w:kern w:val="1"/>
          <w:sz w:val="24"/>
          <w:szCs w:val="24"/>
          <w:highlight w:val="none"/>
          <w:u w:val="single"/>
        </w:rPr>
        <w:t xml:space="preserve">  </w:t>
      </w:r>
      <w:r>
        <w:rPr>
          <w:rStyle w:val="24"/>
          <w:rFonts w:hint="eastAsia" w:cs="Times New Roman"/>
          <w:color w:val="auto"/>
          <w:sz w:val="24"/>
          <w:szCs w:val="24"/>
          <w:highlight w:val="none"/>
        </w:rPr>
        <w:t>：</w:t>
      </w:r>
    </w:p>
    <w:p w14:paraId="1A89D8CD">
      <w:pPr>
        <w:widowControl/>
        <w:autoSpaceDE w:val="0"/>
        <w:autoSpaceDN w:val="0"/>
        <w:adjustRightInd w:val="0"/>
        <w:spacing w:line="440" w:lineRule="exact"/>
        <w:ind w:firstLine="480"/>
        <w:rPr>
          <w:rFonts w:ascii="仿宋" w:hAnsi="仿宋" w:eastAsia="仿宋" w:cs="Times New Roman"/>
          <w:color w:val="auto"/>
          <w:kern w:val="1"/>
          <w:sz w:val="24"/>
          <w:szCs w:val="24"/>
          <w:highlight w:val="none"/>
        </w:rPr>
      </w:pPr>
      <w:r>
        <w:rPr>
          <w:rStyle w:val="24"/>
          <w:rFonts w:hint="eastAsia" w:cs="Times New Roman"/>
          <w:color w:val="auto"/>
          <w:sz w:val="24"/>
          <w:szCs w:val="24"/>
          <w:highlight w:val="none"/>
        </w:rPr>
        <w:t>我</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（姓名）</w:t>
      </w:r>
      <w:r>
        <w:rPr>
          <w:rFonts w:ascii="仿宋" w:hAnsi="仿宋" w:eastAsia="仿宋" w:cs="仿宋"/>
          <w:color w:val="auto"/>
          <w:kern w:val="1"/>
          <w:sz w:val="24"/>
          <w:szCs w:val="24"/>
          <w:highlight w:val="none"/>
          <w:u w:val="single"/>
        </w:rPr>
        <w:t xml:space="preserve"> </w:t>
      </w:r>
      <w:r>
        <w:rPr>
          <w:rStyle w:val="24"/>
          <w:rFonts w:hint="eastAsia" w:cs="Times New Roman"/>
          <w:color w:val="auto"/>
          <w:sz w:val="24"/>
          <w:szCs w:val="24"/>
          <w:highlight w:val="none"/>
        </w:rPr>
        <w:t>系</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w:t>
      </w:r>
      <w:r>
        <w:rPr>
          <w:rFonts w:hint="eastAsia" w:ascii="仿宋" w:hAnsi="仿宋" w:eastAsia="仿宋" w:cs="仿宋"/>
          <w:color w:val="auto"/>
          <w:kern w:val="1"/>
          <w:sz w:val="24"/>
          <w:szCs w:val="24"/>
          <w:highlight w:val="none"/>
          <w:u w:val="single"/>
          <w:lang w:eastAsia="zh-CN"/>
        </w:rPr>
        <w:t>供应商</w:t>
      </w:r>
      <w:r>
        <w:rPr>
          <w:rFonts w:hint="eastAsia" w:ascii="仿宋" w:hAnsi="仿宋" w:eastAsia="仿宋" w:cs="仿宋"/>
          <w:color w:val="auto"/>
          <w:kern w:val="1"/>
          <w:sz w:val="24"/>
          <w:szCs w:val="24"/>
          <w:highlight w:val="none"/>
          <w:u w:val="single"/>
        </w:rPr>
        <w:t>名称）</w:t>
      </w:r>
      <w:r>
        <w:rPr>
          <w:rStyle w:val="24"/>
          <w:rFonts w:hint="eastAsia" w:cs="Times New Roman"/>
          <w:color w:val="auto"/>
          <w:sz w:val="24"/>
          <w:szCs w:val="24"/>
          <w:highlight w:val="none"/>
        </w:rPr>
        <w:t>法定代表人，现授权委托我公司的</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（姓名、职务或者职称）</w:t>
      </w:r>
      <w:r>
        <w:rPr>
          <w:rStyle w:val="24"/>
          <w:rFonts w:hint="eastAsia" w:cs="Times New Roman"/>
          <w:color w:val="auto"/>
          <w:sz w:val="24"/>
          <w:szCs w:val="24"/>
          <w:highlight w:val="none"/>
        </w:rPr>
        <w:t>为我公司本次</w:t>
      </w:r>
      <w:r>
        <w:rPr>
          <w:rFonts w:ascii="仿宋" w:hAnsi="仿宋" w:eastAsia="仿宋" w:cs="仿宋"/>
          <w:color w:val="auto"/>
          <w:kern w:val="1"/>
          <w:sz w:val="24"/>
          <w:szCs w:val="24"/>
          <w:highlight w:val="none"/>
          <w:u w:val="single"/>
        </w:rPr>
        <w:t xml:space="preserve">             </w:t>
      </w:r>
      <w:r>
        <w:rPr>
          <w:rStyle w:val="24"/>
          <w:rFonts w:hint="eastAsia" w:cs="Times New Roman"/>
          <w:color w:val="auto"/>
          <w:sz w:val="24"/>
          <w:szCs w:val="24"/>
          <w:highlight w:val="none"/>
        </w:rPr>
        <w:t>项目的授权代表，代表我方办理本次投标、签约等相关事宜，签署全部有关的文件、协议、合同并具有法律效力。</w:t>
      </w:r>
    </w:p>
    <w:p w14:paraId="11F6DC9B">
      <w:pPr>
        <w:widowControl/>
        <w:autoSpaceDE w:val="0"/>
        <w:autoSpaceDN w:val="0"/>
        <w:adjustRightInd w:val="0"/>
        <w:spacing w:line="440" w:lineRule="exact"/>
        <w:ind w:firstLine="480"/>
        <w:rPr>
          <w:rStyle w:val="24"/>
          <w:rFonts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rPr>
        <w:t>在我方未发出撤销授权委托书的书面通知以前，本授权委托书一直有效。被授权人签署的所有文件（在授权书有效期内签署的）不因授权撤销而失效。</w:t>
      </w:r>
    </w:p>
    <w:p w14:paraId="28B56497">
      <w:pPr>
        <w:widowControl/>
        <w:autoSpaceDE w:val="0"/>
        <w:autoSpaceDN w:val="0"/>
        <w:adjustRightInd w:val="0"/>
        <w:spacing w:line="440" w:lineRule="exact"/>
        <w:ind w:firstLine="480"/>
        <w:rPr>
          <w:rStyle w:val="24"/>
          <w:rFonts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rPr>
        <w:t>被授权代表无权转让委托权。特此授权。</w:t>
      </w:r>
    </w:p>
    <w:p w14:paraId="2015E709">
      <w:pPr>
        <w:widowControl/>
        <w:autoSpaceDE w:val="0"/>
        <w:autoSpaceDN w:val="0"/>
        <w:adjustRightInd w:val="0"/>
        <w:spacing w:line="440" w:lineRule="exact"/>
        <w:ind w:firstLine="480"/>
        <w:rPr>
          <w:rFonts w:ascii="仿宋" w:hAnsi="仿宋" w:eastAsia="仿宋" w:cs="Times New Roman"/>
          <w:color w:val="auto"/>
          <w:kern w:val="1"/>
          <w:sz w:val="24"/>
          <w:szCs w:val="24"/>
          <w:highlight w:val="none"/>
        </w:rPr>
      </w:pPr>
      <w:r>
        <w:rPr>
          <w:rStyle w:val="24"/>
          <w:rFonts w:hint="eastAsia" w:cs="Times New Roman"/>
          <w:color w:val="auto"/>
          <w:sz w:val="24"/>
          <w:szCs w:val="24"/>
          <w:highlight w:val="none"/>
        </w:rPr>
        <w:t>本授权委托书于</w:t>
      </w:r>
      <w:r>
        <w:rPr>
          <w:rFonts w:ascii="仿宋" w:hAnsi="仿宋" w:eastAsia="仿宋" w:cs="仿宋"/>
          <w:color w:val="auto"/>
          <w:kern w:val="1"/>
          <w:sz w:val="24"/>
          <w:szCs w:val="24"/>
          <w:highlight w:val="none"/>
          <w:u w:val="single"/>
        </w:rPr>
        <w:t xml:space="preserve">        </w:t>
      </w:r>
      <w:r>
        <w:rPr>
          <w:rStyle w:val="24"/>
          <w:rFonts w:hint="eastAsia" w:cs="Times New Roman"/>
          <w:color w:val="auto"/>
          <w:sz w:val="24"/>
          <w:szCs w:val="24"/>
          <w:highlight w:val="none"/>
        </w:rPr>
        <w:t>年</w:t>
      </w:r>
      <w:r>
        <w:rPr>
          <w:rFonts w:ascii="仿宋" w:hAnsi="仿宋" w:eastAsia="仿宋" w:cs="仿宋"/>
          <w:color w:val="auto"/>
          <w:kern w:val="1"/>
          <w:sz w:val="24"/>
          <w:szCs w:val="24"/>
          <w:highlight w:val="none"/>
          <w:u w:val="single"/>
        </w:rPr>
        <w:t xml:space="preserve">        </w:t>
      </w:r>
      <w:r>
        <w:rPr>
          <w:rStyle w:val="24"/>
          <w:rFonts w:hint="eastAsia" w:cs="Times New Roman"/>
          <w:color w:val="auto"/>
          <w:sz w:val="24"/>
          <w:szCs w:val="24"/>
          <w:highlight w:val="none"/>
        </w:rPr>
        <w:t>月</w:t>
      </w:r>
      <w:r>
        <w:rPr>
          <w:rFonts w:ascii="仿宋" w:hAnsi="仿宋" w:eastAsia="仿宋" w:cs="仿宋"/>
          <w:color w:val="auto"/>
          <w:kern w:val="1"/>
          <w:sz w:val="24"/>
          <w:szCs w:val="24"/>
          <w:highlight w:val="none"/>
          <w:u w:val="single"/>
        </w:rPr>
        <w:t xml:space="preserve">        </w:t>
      </w:r>
      <w:r>
        <w:rPr>
          <w:rStyle w:val="24"/>
          <w:rFonts w:hint="eastAsia" w:cs="Times New Roman"/>
          <w:color w:val="auto"/>
          <w:sz w:val="24"/>
          <w:szCs w:val="24"/>
          <w:highlight w:val="none"/>
        </w:rPr>
        <w:t>日签字生效</w:t>
      </w:r>
      <w:r>
        <w:rPr>
          <w:rStyle w:val="24"/>
          <w:rFonts w:cs="Times New Roman"/>
          <w:color w:val="auto"/>
          <w:sz w:val="24"/>
          <w:szCs w:val="24"/>
          <w:highlight w:val="none"/>
        </w:rPr>
        <w:t>,</w:t>
      </w:r>
      <w:r>
        <w:rPr>
          <w:rStyle w:val="24"/>
          <w:rFonts w:hint="eastAsia" w:cs="Times New Roman"/>
          <w:color w:val="auto"/>
          <w:sz w:val="24"/>
          <w:szCs w:val="24"/>
          <w:highlight w:val="none"/>
        </w:rPr>
        <w:t>特此声明。</w:t>
      </w:r>
    </w:p>
    <w:p w14:paraId="498AE913">
      <w:pPr>
        <w:widowControl/>
        <w:autoSpaceDE w:val="0"/>
        <w:autoSpaceDN w:val="0"/>
        <w:adjustRightInd w:val="0"/>
        <w:spacing w:line="440" w:lineRule="exact"/>
        <w:rPr>
          <w:rFonts w:ascii="仿宋" w:hAnsi="仿宋" w:eastAsia="仿宋" w:cs="Times New Roman"/>
          <w:color w:val="auto"/>
          <w:kern w:val="1"/>
          <w:sz w:val="24"/>
          <w:szCs w:val="24"/>
          <w:highlight w:val="none"/>
        </w:rPr>
      </w:pPr>
    </w:p>
    <w:p w14:paraId="1E361A4E">
      <w:pPr>
        <w:widowControl/>
        <w:autoSpaceDE w:val="0"/>
        <w:autoSpaceDN w:val="0"/>
        <w:adjustRightInd w:val="0"/>
        <w:spacing w:line="440" w:lineRule="exact"/>
        <w:ind w:right="-481"/>
        <w:jc w:val="center"/>
        <w:rPr>
          <w:rFonts w:ascii="仿宋" w:hAnsi="仿宋" w:eastAsia="仿宋" w:cs="仿宋"/>
          <w:color w:val="auto"/>
          <w:kern w:val="1"/>
          <w:sz w:val="24"/>
          <w:szCs w:val="24"/>
          <w:highlight w:val="none"/>
        </w:rPr>
      </w:pPr>
      <w:r>
        <w:rPr>
          <w:rFonts w:ascii="仿宋" w:hAnsi="仿宋" w:eastAsia="仿宋" w:cs="仿宋"/>
          <w:color w:val="auto"/>
          <w:kern w:val="1"/>
          <w:sz w:val="24"/>
          <w:szCs w:val="24"/>
          <w:highlight w:val="none"/>
        </w:rPr>
        <w:t>(</w:t>
      </w:r>
      <w:r>
        <w:rPr>
          <w:rFonts w:hint="eastAsia" w:ascii="仿宋" w:hAnsi="仿宋" w:eastAsia="仿宋" w:cs="仿宋"/>
          <w:color w:val="auto"/>
          <w:kern w:val="1"/>
          <w:sz w:val="24"/>
          <w:szCs w:val="24"/>
          <w:highlight w:val="none"/>
        </w:rPr>
        <w:t>附法人代表身份证以及被授权代表身份证复印件</w:t>
      </w:r>
      <w:r>
        <w:rPr>
          <w:rFonts w:ascii="仿宋" w:hAnsi="仿宋" w:eastAsia="仿宋" w:cs="仿宋"/>
          <w:color w:val="auto"/>
          <w:kern w:val="1"/>
          <w:sz w:val="24"/>
          <w:szCs w:val="24"/>
          <w:highlight w:val="none"/>
        </w:rPr>
        <w:t>)</w:t>
      </w:r>
    </w:p>
    <w:p w14:paraId="51FA91A3">
      <w:pPr>
        <w:widowControl/>
        <w:autoSpaceDE w:val="0"/>
        <w:autoSpaceDN w:val="0"/>
        <w:adjustRightInd w:val="0"/>
        <w:spacing w:line="440" w:lineRule="exact"/>
        <w:ind w:right="-481"/>
        <w:jc w:val="center"/>
        <w:rPr>
          <w:rFonts w:ascii="仿宋" w:hAnsi="仿宋" w:eastAsia="仿宋" w:cs="仿宋"/>
          <w:color w:val="auto"/>
          <w:kern w:val="1"/>
          <w:sz w:val="24"/>
          <w:szCs w:val="24"/>
          <w:highlight w:val="none"/>
        </w:rPr>
      </w:pPr>
    </w:p>
    <w:p w14:paraId="3D44B25C">
      <w:pPr>
        <w:widowControl/>
        <w:autoSpaceDE w:val="0"/>
        <w:autoSpaceDN w:val="0"/>
        <w:adjustRightInd w:val="0"/>
        <w:spacing w:line="440" w:lineRule="exact"/>
        <w:ind w:right="-481"/>
        <w:jc w:val="center"/>
        <w:rPr>
          <w:rFonts w:ascii="仿宋" w:hAnsi="仿宋" w:eastAsia="仿宋" w:cs="Times New Roman"/>
          <w:color w:val="auto"/>
          <w:kern w:val="1"/>
          <w:sz w:val="24"/>
          <w:szCs w:val="24"/>
          <w:highlight w:val="none"/>
        </w:rPr>
      </w:pPr>
    </w:p>
    <w:p w14:paraId="7A29271E">
      <w:pPr>
        <w:widowControl/>
        <w:autoSpaceDE w:val="0"/>
        <w:autoSpaceDN w:val="0"/>
        <w:adjustRightInd w:val="0"/>
        <w:spacing w:line="440" w:lineRule="exact"/>
        <w:ind w:right="-481"/>
        <w:rPr>
          <w:rStyle w:val="24"/>
          <w:rFonts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rPr>
        <w:t>被授权代表姓名：</w:t>
      </w:r>
      <w:r>
        <w:rPr>
          <w:rStyle w:val="24"/>
          <w:rFonts w:cs="Times New Roman"/>
          <w:color w:val="auto"/>
          <w:sz w:val="24"/>
          <w:szCs w:val="24"/>
          <w:highlight w:val="none"/>
        </w:rPr>
        <w:t xml:space="preserve">             </w:t>
      </w:r>
      <w:r>
        <w:rPr>
          <w:rStyle w:val="24"/>
          <w:rFonts w:hint="eastAsia" w:cs="Times New Roman"/>
          <w:color w:val="auto"/>
          <w:sz w:val="24"/>
          <w:szCs w:val="24"/>
          <w:highlight w:val="none"/>
        </w:rPr>
        <w:t>性</w:t>
      </w:r>
      <w:r>
        <w:rPr>
          <w:rStyle w:val="24"/>
          <w:rFonts w:cs="Times New Roman"/>
          <w:color w:val="auto"/>
          <w:sz w:val="24"/>
          <w:szCs w:val="24"/>
          <w:highlight w:val="none"/>
        </w:rPr>
        <w:t xml:space="preserve"> </w:t>
      </w:r>
      <w:r>
        <w:rPr>
          <w:rStyle w:val="24"/>
          <w:rFonts w:hint="eastAsia" w:cs="Times New Roman"/>
          <w:color w:val="auto"/>
          <w:sz w:val="24"/>
          <w:szCs w:val="24"/>
          <w:highlight w:val="none"/>
        </w:rPr>
        <w:t>别：</w:t>
      </w:r>
      <w:r>
        <w:rPr>
          <w:rStyle w:val="24"/>
          <w:rFonts w:cs="Times New Roman"/>
          <w:color w:val="auto"/>
          <w:sz w:val="24"/>
          <w:szCs w:val="24"/>
          <w:highlight w:val="none"/>
        </w:rPr>
        <w:t xml:space="preserve">              </w:t>
      </w:r>
      <w:r>
        <w:rPr>
          <w:rStyle w:val="24"/>
          <w:rFonts w:hint="eastAsia" w:cs="Times New Roman"/>
          <w:color w:val="auto"/>
          <w:sz w:val="24"/>
          <w:szCs w:val="24"/>
          <w:highlight w:val="none"/>
        </w:rPr>
        <w:t>年</w:t>
      </w:r>
      <w:r>
        <w:rPr>
          <w:rStyle w:val="24"/>
          <w:rFonts w:cs="Times New Roman"/>
          <w:color w:val="auto"/>
          <w:sz w:val="24"/>
          <w:szCs w:val="24"/>
          <w:highlight w:val="none"/>
        </w:rPr>
        <w:t xml:space="preserve"> </w:t>
      </w:r>
      <w:r>
        <w:rPr>
          <w:rStyle w:val="24"/>
          <w:rFonts w:hint="eastAsia" w:cs="Times New Roman"/>
          <w:color w:val="auto"/>
          <w:sz w:val="24"/>
          <w:szCs w:val="24"/>
          <w:highlight w:val="none"/>
        </w:rPr>
        <w:t>龄：</w:t>
      </w:r>
    </w:p>
    <w:p w14:paraId="6E784905">
      <w:pPr>
        <w:widowControl/>
        <w:autoSpaceDE w:val="0"/>
        <w:autoSpaceDN w:val="0"/>
        <w:adjustRightInd w:val="0"/>
        <w:spacing w:line="440" w:lineRule="exact"/>
        <w:ind w:right="-481"/>
        <w:rPr>
          <w:rStyle w:val="24"/>
          <w:rFonts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rPr>
        <w:t>单</w:t>
      </w:r>
      <w:r>
        <w:rPr>
          <w:rStyle w:val="24"/>
          <w:rFonts w:cs="Times New Roman"/>
          <w:color w:val="auto"/>
          <w:sz w:val="24"/>
          <w:szCs w:val="24"/>
          <w:highlight w:val="none"/>
        </w:rPr>
        <w:t xml:space="preserve">  </w:t>
      </w:r>
      <w:r>
        <w:rPr>
          <w:rStyle w:val="24"/>
          <w:rFonts w:hint="eastAsia" w:cs="Times New Roman"/>
          <w:color w:val="auto"/>
          <w:sz w:val="24"/>
          <w:szCs w:val="24"/>
          <w:highlight w:val="none"/>
        </w:rPr>
        <w:t>位：</w:t>
      </w:r>
      <w:r>
        <w:rPr>
          <w:rStyle w:val="24"/>
          <w:rFonts w:cs="Times New Roman"/>
          <w:color w:val="auto"/>
          <w:sz w:val="24"/>
          <w:szCs w:val="24"/>
          <w:highlight w:val="none"/>
        </w:rPr>
        <w:t xml:space="preserve">                     </w:t>
      </w:r>
      <w:r>
        <w:rPr>
          <w:rStyle w:val="24"/>
          <w:rFonts w:hint="eastAsia" w:cs="Times New Roman"/>
          <w:color w:val="auto"/>
          <w:sz w:val="24"/>
          <w:szCs w:val="24"/>
          <w:highlight w:val="none"/>
        </w:rPr>
        <w:t>部</w:t>
      </w:r>
      <w:r>
        <w:rPr>
          <w:rStyle w:val="24"/>
          <w:rFonts w:cs="Times New Roman"/>
          <w:color w:val="auto"/>
          <w:sz w:val="24"/>
          <w:szCs w:val="24"/>
          <w:highlight w:val="none"/>
        </w:rPr>
        <w:t xml:space="preserve"> </w:t>
      </w:r>
      <w:r>
        <w:rPr>
          <w:rStyle w:val="24"/>
          <w:rFonts w:hint="eastAsia" w:cs="Times New Roman"/>
          <w:color w:val="auto"/>
          <w:sz w:val="24"/>
          <w:szCs w:val="24"/>
          <w:highlight w:val="none"/>
        </w:rPr>
        <w:t>门：</w:t>
      </w:r>
      <w:r>
        <w:rPr>
          <w:rStyle w:val="24"/>
          <w:rFonts w:cs="Times New Roman"/>
          <w:color w:val="auto"/>
          <w:sz w:val="24"/>
          <w:szCs w:val="24"/>
          <w:highlight w:val="none"/>
        </w:rPr>
        <w:t xml:space="preserve">              </w:t>
      </w:r>
      <w:r>
        <w:rPr>
          <w:rStyle w:val="24"/>
          <w:rFonts w:hint="eastAsia" w:cs="Times New Roman"/>
          <w:color w:val="auto"/>
          <w:sz w:val="24"/>
          <w:szCs w:val="24"/>
          <w:highlight w:val="none"/>
        </w:rPr>
        <w:t>职</w:t>
      </w:r>
      <w:r>
        <w:rPr>
          <w:rStyle w:val="24"/>
          <w:rFonts w:cs="Times New Roman"/>
          <w:color w:val="auto"/>
          <w:sz w:val="24"/>
          <w:szCs w:val="24"/>
          <w:highlight w:val="none"/>
        </w:rPr>
        <w:t xml:space="preserve"> </w:t>
      </w:r>
      <w:r>
        <w:rPr>
          <w:rStyle w:val="24"/>
          <w:rFonts w:hint="eastAsia" w:cs="Times New Roman"/>
          <w:color w:val="auto"/>
          <w:sz w:val="24"/>
          <w:szCs w:val="24"/>
          <w:highlight w:val="none"/>
        </w:rPr>
        <w:t>务：</w:t>
      </w:r>
    </w:p>
    <w:p w14:paraId="3679E4FF">
      <w:pPr>
        <w:widowControl/>
        <w:autoSpaceDE w:val="0"/>
        <w:autoSpaceDN w:val="0"/>
        <w:adjustRightInd w:val="0"/>
        <w:spacing w:line="440" w:lineRule="exact"/>
        <w:ind w:right="-481"/>
        <w:rPr>
          <w:rFonts w:ascii="仿宋" w:hAnsi="仿宋" w:eastAsia="仿宋" w:cs="Times New Roman"/>
          <w:color w:val="auto"/>
          <w:kern w:val="1"/>
          <w:sz w:val="24"/>
          <w:szCs w:val="24"/>
          <w:highlight w:val="none"/>
        </w:rPr>
      </w:pPr>
    </w:p>
    <w:p w14:paraId="372BCCC9">
      <w:pPr>
        <w:spacing w:line="440" w:lineRule="exact"/>
        <w:ind w:firstLine="3120" w:firstLineChars="13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供  应  商</w:t>
      </w:r>
      <w:r>
        <w:rPr>
          <w:rFonts w:hint="eastAsia" w:ascii="仿宋" w:hAnsi="仿宋" w:eastAsia="仿宋" w:cs="Times New Roman"/>
          <w:color w:val="auto"/>
          <w:kern w:val="0"/>
          <w:sz w:val="24"/>
          <w:szCs w:val="24"/>
          <w:highlight w:val="none"/>
        </w:rPr>
        <w:t>：</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（盖单位公章）</w:t>
      </w:r>
    </w:p>
    <w:p w14:paraId="1CC93FF9">
      <w:pPr>
        <w:spacing w:line="440" w:lineRule="exact"/>
        <w:ind w:firstLine="3120" w:firstLineChars="13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法定代表人：</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（签字或盖章）</w:t>
      </w:r>
    </w:p>
    <w:p w14:paraId="1EA53D48">
      <w:pPr>
        <w:spacing w:before="100" w:beforeAutospacing="1" w:after="100" w:afterAutospacing="1" w:line="440" w:lineRule="exact"/>
        <w:ind w:firstLine="4080" w:firstLineChars="1700"/>
        <w:jc w:val="lef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日      期：</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年</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月</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日</w:t>
      </w:r>
    </w:p>
    <w:p w14:paraId="6AEE5648">
      <w:pPr>
        <w:spacing w:before="100" w:beforeAutospacing="1" w:after="100" w:afterAutospacing="1" w:line="440" w:lineRule="exact"/>
        <w:jc w:val="both"/>
        <w:rPr>
          <w:rFonts w:ascii="仿宋" w:hAnsi="仿宋" w:eastAsia="仿宋" w:cs="仿宋"/>
          <w:color w:val="auto"/>
          <w:kern w:val="1"/>
          <w:sz w:val="24"/>
          <w:szCs w:val="24"/>
          <w:highlight w:val="none"/>
        </w:rPr>
      </w:pPr>
    </w:p>
    <w:p w14:paraId="3A1AA47A">
      <w:pPr>
        <w:pStyle w:val="5"/>
        <w:ind w:left="0" w:leftChars="0" w:firstLine="0" w:firstLineChars="0"/>
        <w:rPr>
          <w:rFonts w:ascii="仿宋" w:hAnsi="仿宋" w:eastAsia="仿宋" w:cs="仿宋"/>
          <w:color w:val="auto"/>
          <w:kern w:val="1"/>
          <w:sz w:val="28"/>
          <w:szCs w:val="28"/>
          <w:highlight w:val="none"/>
        </w:rPr>
      </w:pPr>
    </w:p>
    <w:p w14:paraId="488D2C65">
      <w:pPr>
        <w:pStyle w:val="5"/>
        <w:ind w:left="0" w:leftChars="0" w:firstLine="0" w:firstLineChars="0"/>
        <w:rPr>
          <w:rFonts w:ascii="仿宋" w:hAnsi="仿宋" w:eastAsia="仿宋" w:cs="仿宋"/>
          <w:color w:val="auto"/>
          <w:kern w:val="1"/>
          <w:sz w:val="28"/>
          <w:szCs w:val="28"/>
          <w:highlight w:val="none"/>
        </w:rPr>
      </w:pPr>
    </w:p>
    <w:p w14:paraId="22DAFC41">
      <w:pPr>
        <w:pStyle w:val="5"/>
        <w:ind w:left="0" w:leftChars="0" w:firstLine="0" w:firstLineChars="0"/>
        <w:rPr>
          <w:rFonts w:ascii="仿宋" w:hAnsi="仿宋" w:eastAsia="仿宋" w:cs="仿宋"/>
          <w:color w:val="auto"/>
          <w:kern w:val="1"/>
          <w:sz w:val="28"/>
          <w:szCs w:val="28"/>
          <w:highlight w:val="none"/>
        </w:rPr>
      </w:pPr>
    </w:p>
    <w:p w14:paraId="0CC679A4">
      <w:pPr>
        <w:spacing w:afterLines="100" w:line="360" w:lineRule="auto"/>
        <w:jc w:val="both"/>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 xml:space="preserve"> </w:t>
      </w:r>
    </w:p>
    <w:p w14:paraId="1634CABA">
      <w:pPr>
        <w:widowControl/>
        <w:autoSpaceDE w:val="0"/>
        <w:autoSpaceDN w:val="0"/>
        <w:adjustRightInd w:val="0"/>
        <w:spacing w:line="440" w:lineRule="exact"/>
        <w:jc w:val="center"/>
        <w:outlineLvl w:val="1"/>
        <w:rPr>
          <w:rFonts w:hint="eastAsia" w:ascii="仿宋" w:hAnsi="仿宋" w:eastAsia="仿宋" w:cs="仿宋"/>
          <w:color w:val="auto"/>
          <w:kern w:val="0"/>
          <w:sz w:val="32"/>
          <w:szCs w:val="32"/>
          <w:highlight w:val="none"/>
          <w:lang w:val="en-US" w:eastAsia="zh-CN" w:bidi="ar-SA"/>
        </w:rPr>
      </w:pPr>
      <w:bookmarkStart w:id="75" w:name="_Toc1098"/>
    </w:p>
    <w:p w14:paraId="134D5B83">
      <w:pPr>
        <w:widowControl/>
        <w:autoSpaceDE w:val="0"/>
        <w:autoSpaceDN w:val="0"/>
        <w:adjustRightInd w:val="0"/>
        <w:spacing w:line="440" w:lineRule="exact"/>
        <w:jc w:val="center"/>
        <w:outlineLvl w:val="1"/>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四、供应商基本情况介绍（附营业执照等）</w:t>
      </w:r>
      <w:bookmarkEnd w:id="75"/>
    </w:p>
    <w:p w14:paraId="0A47D7F7">
      <w:pPr>
        <w:pStyle w:val="5"/>
        <w:jc w:val="cente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供应商基本情况表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0582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57B62121">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名称</w:t>
            </w:r>
          </w:p>
        </w:tc>
        <w:tc>
          <w:tcPr>
            <w:tcW w:w="7947" w:type="dxa"/>
            <w:gridSpan w:val="6"/>
            <w:noWrap w:val="0"/>
            <w:vAlign w:val="center"/>
          </w:tcPr>
          <w:p w14:paraId="2CBCB86A">
            <w:pPr>
              <w:jc w:val="center"/>
              <w:rPr>
                <w:rFonts w:hint="eastAsia" w:ascii="仿宋" w:hAnsi="仿宋" w:eastAsia="仿宋" w:cs="仿宋"/>
                <w:color w:val="auto"/>
                <w:kern w:val="0"/>
                <w:sz w:val="24"/>
                <w:szCs w:val="24"/>
                <w:highlight w:val="none"/>
              </w:rPr>
            </w:pPr>
          </w:p>
        </w:tc>
      </w:tr>
      <w:tr w14:paraId="4CB2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4BF1C5BF">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注册地址</w:t>
            </w:r>
          </w:p>
        </w:tc>
        <w:tc>
          <w:tcPr>
            <w:tcW w:w="3894" w:type="dxa"/>
            <w:gridSpan w:val="3"/>
            <w:noWrap w:val="0"/>
            <w:vAlign w:val="center"/>
          </w:tcPr>
          <w:p w14:paraId="2525556D">
            <w:pPr>
              <w:jc w:val="center"/>
              <w:rPr>
                <w:rFonts w:hint="eastAsia" w:ascii="仿宋" w:hAnsi="仿宋" w:eastAsia="仿宋" w:cs="仿宋"/>
                <w:color w:val="auto"/>
                <w:kern w:val="0"/>
                <w:sz w:val="24"/>
                <w:szCs w:val="24"/>
                <w:highlight w:val="none"/>
              </w:rPr>
            </w:pPr>
          </w:p>
        </w:tc>
        <w:tc>
          <w:tcPr>
            <w:tcW w:w="1426" w:type="dxa"/>
            <w:noWrap w:val="0"/>
            <w:vAlign w:val="center"/>
          </w:tcPr>
          <w:p w14:paraId="505CA0BD">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邮政编码</w:t>
            </w:r>
          </w:p>
        </w:tc>
        <w:tc>
          <w:tcPr>
            <w:tcW w:w="2627" w:type="dxa"/>
            <w:gridSpan w:val="2"/>
            <w:noWrap w:val="0"/>
            <w:vAlign w:val="center"/>
          </w:tcPr>
          <w:p w14:paraId="5C4CEA04">
            <w:pPr>
              <w:jc w:val="center"/>
              <w:rPr>
                <w:rFonts w:hint="eastAsia" w:ascii="仿宋" w:hAnsi="仿宋" w:eastAsia="仿宋" w:cs="仿宋"/>
                <w:color w:val="auto"/>
                <w:kern w:val="0"/>
                <w:sz w:val="24"/>
                <w:szCs w:val="24"/>
                <w:highlight w:val="none"/>
              </w:rPr>
            </w:pPr>
          </w:p>
        </w:tc>
      </w:tr>
      <w:tr w14:paraId="6BCB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noWrap w:val="0"/>
            <w:vAlign w:val="center"/>
          </w:tcPr>
          <w:p w14:paraId="4E36BA1E">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联系方式</w:t>
            </w:r>
          </w:p>
        </w:tc>
        <w:tc>
          <w:tcPr>
            <w:tcW w:w="1350" w:type="dxa"/>
            <w:noWrap w:val="0"/>
            <w:vAlign w:val="center"/>
          </w:tcPr>
          <w:p w14:paraId="07488ABE">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联系人</w:t>
            </w:r>
          </w:p>
        </w:tc>
        <w:tc>
          <w:tcPr>
            <w:tcW w:w="2544" w:type="dxa"/>
            <w:gridSpan w:val="2"/>
            <w:noWrap w:val="0"/>
            <w:vAlign w:val="center"/>
          </w:tcPr>
          <w:p w14:paraId="7B45913D">
            <w:pPr>
              <w:jc w:val="center"/>
              <w:rPr>
                <w:rFonts w:hint="eastAsia" w:ascii="仿宋" w:hAnsi="仿宋" w:eastAsia="仿宋" w:cs="仿宋"/>
                <w:color w:val="auto"/>
                <w:kern w:val="0"/>
                <w:sz w:val="24"/>
                <w:szCs w:val="24"/>
                <w:highlight w:val="none"/>
              </w:rPr>
            </w:pPr>
          </w:p>
        </w:tc>
        <w:tc>
          <w:tcPr>
            <w:tcW w:w="1426" w:type="dxa"/>
            <w:noWrap w:val="0"/>
            <w:vAlign w:val="center"/>
          </w:tcPr>
          <w:p w14:paraId="652129BA">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  话</w:t>
            </w:r>
          </w:p>
        </w:tc>
        <w:tc>
          <w:tcPr>
            <w:tcW w:w="2627" w:type="dxa"/>
            <w:gridSpan w:val="2"/>
            <w:noWrap w:val="0"/>
            <w:vAlign w:val="center"/>
          </w:tcPr>
          <w:p w14:paraId="5D9EF6AD">
            <w:pPr>
              <w:jc w:val="center"/>
              <w:rPr>
                <w:rFonts w:hint="eastAsia" w:ascii="仿宋" w:hAnsi="仿宋" w:eastAsia="仿宋" w:cs="仿宋"/>
                <w:color w:val="auto"/>
                <w:kern w:val="0"/>
                <w:sz w:val="24"/>
                <w:szCs w:val="24"/>
                <w:highlight w:val="none"/>
              </w:rPr>
            </w:pPr>
          </w:p>
        </w:tc>
      </w:tr>
      <w:tr w14:paraId="0F44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noWrap w:val="0"/>
            <w:vAlign w:val="center"/>
          </w:tcPr>
          <w:p w14:paraId="5701C633">
            <w:pPr>
              <w:jc w:val="center"/>
              <w:rPr>
                <w:rFonts w:hint="eastAsia" w:ascii="仿宋" w:hAnsi="仿宋" w:eastAsia="仿宋" w:cs="仿宋"/>
                <w:color w:val="auto"/>
                <w:kern w:val="0"/>
                <w:sz w:val="24"/>
                <w:szCs w:val="24"/>
                <w:highlight w:val="none"/>
              </w:rPr>
            </w:pPr>
          </w:p>
        </w:tc>
        <w:tc>
          <w:tcPr>
            <w:tcW w:w="1350" w:type="dxa"/>
            <w:noWrap w:val="0"/>
            <w:vAlign w:val="center"/>
          </w:tcPr>
          <w:p w14:paraId="3C6CDA81">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传  真</w:t>
            </w:r>
          </w:p>
        </w:tc>
        <w:tc>
          <w:tcPr>
            <w:tcW w:w="2544" w:type="dxa"/>
            <w:gridSpan w:val="2"/>
            <w:noWrap w:val="0"/>
            <w:vAlign w:val="center"/>
          </w:tcPr>
          <w:p w14:paraId="10DA6929">
            <w:pPr>
              <w:jc w:val="center"/>
              <w:rPr>
                <w:rFonts w:hint="eastAsia" w:ascii="仿宋" w:hAnsi="仿宋" w:eastAsia="仿宋" w:cs="仿宋"/>
                <w:color w:val="auto"/>
                <w:kern w:val="0"/>
                <w:sz w:val="24"/>
                <w:szCs w:val="24"/>
                <w:highlight w:val="none"/>
              </w:rPr>
            </w:pPr>
          </w:p>
        </w:tc>
        <w:tc>
          <w:tcPr>
            <w:tcW w:w="1426" w:type="dxa"/>
            <w:noWrap w:val="0"/>
            <w:vAlign w:val="center"/>
          </w:tcPr>
          <w:p w14:paraId="66D32B35">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网  址</w:t>
            </w:r>
          </w:p>
        </w:tc>
        <w:tc>
          <w:tcPr>
            <w:tcW w:w="2627" w:type="dxa"/>
            <w:gridSpan w:val="2"/>
            <w:noWrap w:val="0"/>
            <w:vAlign w:val="center"/>
          </w:tcPr>
          <w:p w14:paraId="27371E0E">
            <w:pPr>
              <w:jc w:val="center"/>
              <w:rPr>
                <w:rFonts w:hint="eastAsia" w:ascii="仿宋" w:hAnsi="仿宋" w:eastAsia="仿宋" w:cs="仿宋"/>
                <w:color w:val="auto"/>
                <w:kern w:val="0"/>
                <w:sz w:val="24"/>
                <w:szCs w:val="24"/>
                <w:highlight w:val="none"/>
              </w:rPr>
            </w:pPr>
          </w:p>
        </w:tc>
      </w:tr>
      <w:tr w14:paraId="1692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296FADE3">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p>
        </w:tc>
        <w:tc>
          <w:tcPr>
            <w:tcW w:w="1350" w:type="dxa"/>
            <w:noWrap w:val="0"/>
            <w:vAlign w:val="center"/>
          </w:tcPr>
          <w:p w14:paraId="2CE9F1E8">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p>
        </w:tc>
        <w:tc>
          <w:tcPr>
            <w:tcW w:w="1138" w:type="dxa"/>
            <w:noWrap w:val="0"/>
            <w:vAlign w:val="center"/>
          </w:tcPr>
          <w:p w14:paraId="0B0E89FD">
            <w:pPr>
              <w:jc w:val="center"/>
              <w:rPr>
                <w:rFonts w:hint="eastAsia" w:ascii="仿宋" w:hAnsi="仿宋" w:eastAsia="仿宋" w:cs="仿宋"/>
                <w:color w:val="auto"/>
                <w:kern w:val="0"/>
                <w:sz w:val="24"/>
                <w:szCs w:val="24"/>
                <w:highlight w:val="none"/>
              </w:rPr>
            </w:pPr>
          </w:p>
        </w:tc>
        <w:tc>
          <w:tcPr>
            <w:tcW w:w="1406" w:type="dxa"/>
            <w:noWrap w:val="0"/>
            <w:vAlign w:val="center"/>
          </w:tcPr>
          <w:p w14:paraId="5A10C103">
            <w:pPr>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性别</w:t>
            </w:r>
          </w:p>
        </w:tc>
        <w:tc>
          <w:tcPr>
            <w:tcW w:w="1426" w:type="dxa"/>
            <w:noWrap w:val="0"/>
            <w:vAlign w:val="center"/>
          </w:tcPr>
          <w:p w14:paraId="5AF1DA8F">
            <w:pPr>
              <w:jc w:val="center"/>
              <w:rPr>
                <w:rFonts w:hint="eastAsia" w:ascii="仿宋" w:hAnsi="仿宋" w:eastAsia="仿宋" w:cs="仿宋"/>
                <w:color w:val="auto"/>
                <w:kern w:val="0"/>
                <w:sz w:val="24"/>
                <w:szCs w:val="24"/>
                <w:highlight w:val="none"/>
              </w:rPr>
            </w:pPr>
          </w:p>
        </w:tc>
        <w:tc>
          <w:tcPr>
            <w:tcW w:w="1059" w:type="dxa"/>
            <w:noWrap w:val="0"/>
            <w:vAlign w:val="center"/>
          </w:tcPr>
          <w:p w14:paraId="21D7D070">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电话</w:t>
            </w:r>
          </w:p>
        </w:tc>
        <w:tc>
          <w:tcPr>
            <w:tcW w:w="1568" w:type="dxa"/>
            <w:noWrap w:val="0"/>
            <w:vAlign w:val="center"/>
          </w:tcPr>
          <w:p w14:paraId="4B66CBE6">
            <w:pPr>
              <w:jc w:val="center"/>
              <w:rPr>
                <w:rFonts w:hint="eastAsia" w:ascii="仿宋" w:hAnsi="仿宋" w:eastAsia="仿宋" w:cs="仿宋"/>
                <w:color w:val="auto"/>
                <w:kern w:val="0"/>
                <w:sz w:val="24"/>
                <w:szCs w:val="24"/>
                <w:highlight w:val="none"/>
              </w:rPr>
            </w:pPr>
          </w:p>
        </w:tc>
      </w:tr>
      <w:tr w14:paraId="3CB7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42FFC058">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p>
        </w:tc>
        <w:tc>
          <w:tcPr>
            <w:tcW w:w="7947" w:type="dxa"/>
            <w:gridSpan w:val="6"/>
            <w:noWrap w:val="0"/>
            <w:vAlign w:val="center"/>
          </w:tcPr>
          <w:p w14:paraId="6CBC711D">
            <w:pPr>
              <w:jc w:val="center"/>
              <w:rPr>
                <w:rFonts w:hint="eastAsia" w:ascii="仿宋" w:hAnsi="仿宋" w:eastAsia="仿宋" w:cs="仿宋"/>
                <w:color w:val="auto"/>
                <w:kern w:val="0"/>
                <w:sz w:val="24"/>
                <w:szCs w:val="24"/>
                <w:highlight w:val="none"/>
              </w:rPr>
            </w:pPr>
          </w:p>
        </w:tc>
      </w:tr>
      <w:tr w14:paraId="3527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01218158">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营业执照号</w:t>
            </w:r>
          </w:p>
        </w:tc>
        <w:tc>
          <w:tcPr>
            <w:tcW w:w="2488" w:type="dxa"/>
            <w:gridSpan w:val="2"/>
            <w:noWrap w:val="0"/>
            <w:vAlign w:val="center"/>
          </w:tcPr>
          <w:p w14:paraId="06C24555">
            <w:pPr>
              <w:jc w:val="center"/>
              <w:rPr>
                <w:rFonts w:hint="eastAsia" w:ascii="仿宋" w:hAnsi="仿宋" w:eastAsia="仿宋" w:cs="仿宋"/>
                <w:color w:val="auto"/>
                <w:kern w:val="0"/>
                <w:sz w:val="24"/>
                <w:szCs w:val="24"/>
                <w:highlight w:val="none"/>
              </w:rPr>
            </w:pPr>
          </w:p>
        </w:tc>
        <w:tc>
          <w:tcPr>
            <w:tcW w:w="1406" w:type="dxa"/>
            <w:vMerge w:val="restart"/>
            <w:noWrap w:val="0"/>
            <w:vAlign w:val="center"/>
          </w:tcPr>
          <w:p w14:paraId="60B4BDDC">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企业人员</w:t>
            </w:r>
          </w:p>
        </w:tc>
        <w:tc>
          <w:tcPr>
            <w:tcW w:w="1426" w:type="dxa"/>
            <w:noWrap w:val="0"/>
            <w:vAlign w:val="center"/>
          </w:tcPr>
          <w:p w14:paraId="4FA25494">
            <w:pPr>
              <w:jc w:val="center"/>
              <w:rPr>
                <w:rFonts w:hint="eastAsia" w:ascii="仿宋" w:hAnsi="仿宋" w:eastAsia="仿宋" w:cs="仿宋"/>
                <w:color w:val="auto"/>
                <w:kern w:val="0"/>
                <w:sz w:val="24"/>
                <w:szCs w:val="24"/>
                <w:highlight w:val="none"/>
              </w:rPr>
            </w:pPr>
          </w:p>
        </w:tc>
        <w:tc>
          <w:tcPr>
            <w:tcW w:w="2627" w:type="dxa"/>
            <w:gridSpan w:val="2"/>
            <w:noWrap w:val="0"/>
            <w:vAlign w:val="center"/>
          </w:tcPr>
          <w:p w14:paraId="02DDD6EF">
            <w:pPr>
              <w:jc w:val="center"/>
              <w:rPr>
                <w:rFonts w:hint="eastAsia" w:ascii="仿宋" w:hAnsi="仿宋" w:eastAsia="仿宋" w:cs="仿宋"/>
                <w:color w:val="auto"/>
                <w:kern w:val="0"/>
                <w:sz w:val="24"/>
                <w:szCs w:val="24"/>
                <w:highlight w:val="none"/>
              </w:rPr>
            </w:pPr>
          </w:p>
        </w:tc>
      </w:tr>
      <w:tr w14:paraId="392D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6D2D0721">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注册资金</w:t>
            </w:r>
          </w:p>
        </w:tc>
        <w:tc>
          <w:tcPr>
            <w:tcW w:w="2488" w:type="dxa"/>
            <w:gridSpan w:val="2"/>
            <w:noWrap w:val="0"/>
            <w:vAlign w:val="center"/>
          </w:tcPr>
          <w:p w14:paraId="7A409EFD">
            <w:pPr>
              <w:jc w:val="center"/>
              <w:rPr>
                <w:rFonts w:hint="eastAsia" w:ascii="仿宋" w:hAnsi="仿宋" w:eastAsia="仿宋" w:cs="仿宋"/>
                <w:color w:val="auto"/>
                <w:kern w:val="0"/>
                <w:sz w:val="24"/>
                <w:szCs w:val="24"/>
                <w:highlight w:val="none"/>
              </w:rPr>
            </w:pPr>
          </w:p>
        </w:tc>
        <w:tc>
          <w:tcPr>
            <w:tcW w:w="1406" w:type="dxa"/>
            <w:vMerge w:val="continue"/>
            <w:noWrap w:val="0"/>
            <w:vAlign w:val="center"/>
          </w:tcPr>
          <w:p w14:paraId="49EA3F25">
            <w:pPr>
              <w:jc w:val="center"/>
              <w:rPr>
                <w:rFonts w:hint="eastAsia" w:ascii="仿宋" w:hAnsi="仿宋" w:eastAsia="仿宋" w:cs="仿宋"/>
                <w:color w:val="auto"/>
                <w:kern w:val="0"/>
                <w:sz w:val="24"/>
                <w:szCs w:val="24"/>
                <w:highlight w:val="none"/>
              </w:rPr>
            </w:pPr>
          </w:p>
        </w:tc>
        <w:tc>
          <w:tcPr>
            <w:tcW w:w="1426" w:type="dxa"/>
            <w:noWrap w:val="0"/>
            <w:vAlign w:val="center"/>
          </w:tcPr>
          <w:p w14:paraId="537D39EF">
            <w:pPr>
              <w:jc w:val="center"/>
              <w:rPr>
                <w:rFonts w:hint="eastAsia" w:ascii="仿宋" w:hAnsi="仿宋" w:eastAsia="仿宋" w:cs="仿宋"/>
                <w:color w:val="auto"/>
                <w:kern w:val="0"/>
                <w:sz w:val="24"/>
                <w:szCs w:val="24"/>
                <w:highlight w:val="none"/>
              </w:rPr>
            </w:pPr>
          </w:p>
        </w:tc>
        <w:tc>
          <w:tcPr>
            <w:tcW w:w="2627" w:type="dxa"/>
            <w:gridSpan w:val="2"/>
            <w:noWrap w:val="0"/>
            <w:vAlign w:val="center"/>
          </w:tcPr>
          <w:p w14:paraId="39A804BE">
            <w:pPr>
              <w:jc w:val="center"/>
              <w:rPr>
                <w:rFonts w:hint="eastAsia" w:ascii="仿宋" w:hAnsi="仿宋" w:eastAsia="仿宋" w:cs="仿宋"/>
                <w:color w:val="auto"/>
                <w:kern w:val="0"/>
                <w:sz w:val="24"/>
                <w:szCs w:val="24"/>
                <w:highlight w:val="none"/>
              </w:rPr>
            </w:pPr>
          </w:p>
        </w:tc>
      </w:tr>
      <w:tr w14:paraId="6E4F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0043F602">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开户银行</w:t>
            </w:r>
          </w:p>
        </w:tc>
        <w:tc>
          <w:tcPr>
            <w:tcW w:w="2488" w:type="dxa"/>
            <w:gridSpan w:val="2"/>
            <w:noWrap w:val="0"/>
            <w:vAlign w:val="center"/>
          </w:tcPr>
          <w:p w14:paraId="5C585062">
            <w:pPr>
              <w:jc w:val="center"/>
              <w:rPr>
                <w:rFonts w:hint="eastAsia" w:ascii="仿宋" w:hAnsi="仿宋" w:eastAsia="仿宋" w:cs="仿宋"/>
                <w:color w:val="auto"/>
                <w:kern w:val="0"/>
                <w:sz w:val="24"/>
                <w:szCs w:val="24"/>
                <w:highlight w:val="none"/>
              </w:rPr>
            </w:pPr>
          </w:p>
        </w:tc>
        <w:tc>
          <w:tcPr>
            <w:tcW w:w="1406" w:type="dxa"/>
            <w:vMerge w:val="continue"/>
            <w:noWrap w:val="0"/>
            <w:vAlign w:val="center"/>
          </w:tcPr>
          <w:p w14:paraId="0199E4F9">
            <w:pPr>
              <w:jc w:val="center"/>
              <w:rPr>
                <w:rFonts w:hint="eastAsia" w:ascii="仿宋" w:hAnsi="仿宋" w:eastAsia="仿宋" w:cs="仿宋"/>
                <w:color w:val="auto"/>
                <w:kern w:val="0"/>
                <w:sz w:val="24"/>
                <w:szCs w:val="24"/>
                <w:highlight w:val="none"/>
              </w:rPr>
            </w:pPr>
          </w:p>
        </w:tc>
        <w:tc>
          <w:tcPr>
            <w:tcW w:w="1426" w:type="dxa"/>
            <w:noWrap w:val="0"/>
            <w:vAlign w:val="center"/>
          </w:tcPr>
          <w:p w14:paraId="1706C7C1">
            <w:pPr>
              <w:jc w:val="center"/>
              <w:rPr>
                <w:rFonts w:hint="eastAsia" w:ascii="仿宋" w:hAnsi="仿宋" w:eastAsia="仿宋" w:cs="仿宋"/>
                <w:color w:val="auto"/>
                <w:kern w:val="0"/>
                <w:sz w:val="24"/>
                <w:szCs w:val="24"/>
                <w:highlight w:val="none"/>
              </w:rPr>
            </w:pPr>
          </w:p>
        </w:tc>
        <w:tc>
          <w:tcPr>
            <w:tcW w:w="2627" w:type="dxa"/>
            <w:gridSpan w:val="2"/>
            <w:noWrap w:val="0"/>
            <w:vAlign w:val="center"/>
          </w:tcPr>
          <w:p w14:paraId="1D64D62D">
            <w:pPr>
              <w:jc w:val="center"/>
              <w:rPr>
                <w:rFonts w:hint="eastAsia" w:ascii="仿宋" w:hAnsi="仿宋" w:eastAsia="仿宋" w:cs="仿宋"/>
                <w:color w:val="auto"/>
                <w:kern w:val="0"/>
                <w:sz w:val="24"/>
                <w:szCs w:val="24"/>
                <w:highlight w:val="none"/>
              </w:rPr>
            </w:pPr>
          </w:p>
        </w:tc>
      </w:tr>
      <w:tr w14:paraId="764A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2A1C343C">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账   号</w:t>
            </w:r>
          </w:p>
        </w:tc>
        <w:tc>
          <w:tcPr>
            <w:tcW w:w="2488" w:type="dxa"/>
            <w:gridSpan w:val="2"/>
            <w:noWrap w:val="0"/>
            <w:vAlign w:val="center"/>
          </w:tcPr>
          <w:p w14:paraId="1195840C">
            <w:pPr>
              <w:jc w:val="center"/>
              <w:rPr>
                <w:rFonts w:hint="eastAsia" w:ascii="仿宋" w:hAnsi="仿宋" w:eastAsia="仿宋" w:cs="仿宋"/>
                <w:color w:val="auto"/>
                <w:kern w:val="0"/>
                <w:sz w:val="24"/>
                <w:szCs w:val="24"/>
                <w:highlight w:val="none"/>
              </w:rPr>
            </w:pPr>
          </w:p>
        </w:tc>
        <w:tc>
          <w:tcPr>
            <w:tcW w:w="1406" w:type="dxa"/>
            <w:vMerge w:val="continue"/>
            <w:noWrap w:val="0"/>
            <w:vAlign w:val="center"/>
          </w:tcPr>
          <w:p w14:paraId="77CD7648">
            <w:pPr>
              <w:jc w:val="center"/>
              <w:rPr>
                <w:rFonts w:hint="eastAsia" w:ascii="仿宋" w:hAnsi="仿宋" w:eastAsia="仿宋" w:cs="仿宋"/>
                <w:color w:val="auto"/>
                <w:kern w:val="0"/>
                <w:sz w:val="24"/>
                <w:szCs w:val="24"/>
                <w:highlight w:val="none"/>
              </w:rPr>
            </w:pPr>
          </w:p>
        </w:tc>
        <w:tc>
          <w:tcPr>
            <w:tcW w:w="1426" w:type="dxa"/>
            <w:noWrap w:val="0"/>
            <w:vAlign w:val="center"/>
          </w:tcPr>
          <w:p w14:paraId="5FD14230">
            <w:pPr>
              <w:jc w:val="center"/>
              <w:rPr>
                <w:rFonts w:hint="eastAsia" w:ascii="仿宋" w:hAnsi="仿宋" w:eastAsia="仿宋" w:cs="仿宋"/>
                <w:color w:val="auto"/>
                <w:kern w:val="0"/>
                <w:sz w:val="24"/>
                <w:szCs w:val="24"/>
                <w:highlight w:val="none"/>
              </w:rPr>
            </w:pPr>
          </w:p>
        </w:tc>
        <w:tc>
          <w:tcPr>
            <w:tcW w:w="2627" w:type="dxa"/>
            <w:gridSpan w:val="2"/>
            <w:noWrap w:val="0"/>
            <w:vAlign w:val="center"/>
          </w:tcPr>
          <w:p w14:paraId="0FDA0F0C">
            <w:pPr>
              <w:jc w:val="center"/>
              <w:rPr>
                <w:rFonts w:hint="eastAsia" w:ascii="仿宋" w:hAnsi="仿宋" w:eastAsia="仿宋" w:cs="仿宋"/>
                <w:color w:val="auto"/>
                <w:kern w:val="0"/>
                <w:sz w:val="24"/>
                <w:szCs w:val="24"/>
                <w:highlight w:val="none"/>
              </w:rPr>
            </w:pPr>
          </w:p>
        </w:tc>
      </w:tr>
      <w:tr w14:paraId="4C9B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3" w:type="dxa"/>
            <w:noWrap w:val="0"/>
            <w:vAlign w:val="center"/>
          </w:tcPr>
          <w:p w14:paraId="3020BF87">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经营范围</w:t>
            </w:r>
          </w:p>
        </w:tc>
        <w:tc>
          <w:tcPr>
            <w:tcW w:w="7947" w:type="dxa"/>
            <w:gridSpan w:val="6"/>
            <w:noWrap w:val="0"/>
            <w:vAlign w:val="center"/>
          </w:tcPr>
          <w:p w14:paraId="2E2FE8C8">
            <w:pPr>
              <w:jc w:val="center"/>
              <w:rPr>
                <w:rFonts w:hint="eastAsia" w:ascii="仿宋" w:hAnsi="仿宋" w:eastAsia="仿宋" w:cs="仿宋"/>
                <w:color w:val="auto"/>
                <w:kern w:val="0"/>
                <w:sz w:val="24"/>
                <w:szCs w:val="24"/>
                <w:highlight w:val="none"/>
              </w:rPr>
            </w:pPr>
          </w:p>
        </w:tc>
      </w:tr>
      <w:tr w14:paraId="7A80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noWrap w:val="0"/>
            <w:vAlign w:val="center"/>
          </w:tcPr>
          <w:p w14:paraId="62D7CB3F">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   注</w:t>
            </w:r>
          </w:p>
        </w:tc>
        <w:tc>
          <w:tcPr>
            <w:tcW w:w="7947" w:type="dxa"/>
            <w:gridSpan w:val="6"/>
            <w:noWrap w:val="0"/>
            <w:vAlign w:val="center"/>
          </w:tcPr>
          <w:p w14:paraId="6701B9EE">
            <w:pPr>
              <w:jc w:val="center"/>
              <w:rPr>
                <w:rFonts w:hint="eastAsia" w:ascii="仿宋" w:hAnsi="仿宋" w:eastAsia="仿宋" w:cs="仿宋"/>
                <w:color w:val="auto"/>
                <w:kern w:val="0"/>
                <w:sz w:val="24"/>
                <w:szCs w:val="24"/>
                <w:highlight w:val="none"/>
              </w:rPr>
            </w:pPr>
          </w:p>
        </w:tc>
      </w:tr>
    </w:tbl>
    <w:p w14:paraId="345D4909">
      <w:pPr>
        <w:spacing w:line="440" w:lineRule="exact"/>
        <w:ind w:firstLine="4108" w:firstLineChars="1712"/>
        <w:jc w:val="right"/>
        <w:rPr>
          <w:rFonts w:hint="eastAsia" w:ascii="仿宋" w:hAnsi="仿宋" w:eastAsia="仿宋" w:cs="Times New Roman"/>
          <w:color w:val="auto"/>
          <w:kern w:val="0"/>
          <w:sz w:val="24"/>
          <w:szCs w:val="24"/>
          <w:highlight w:val="none"/>
        </w:rPr>
      </w:pPr>
    </w:p>
    <w:p w14:paraId="2E9329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79813200">
      <w:pPr>
        <w:widowControl/>
        <w:autoSpaceDE w:val="0"/>
        <w:autoSpaceDN w:val="0"/>
        <w:adjustRightInd w:val="0"/>
        <w:spacing w:line="440" w:lineRule="exact"/>
        <w:jc w:val="center"/>
        <w:outlineLvl w:val="1"/>
        <w:rPr>
          <w:rFonts w:hint="eastAsia" w:ascii="仿宋" w:hAnsi="仿宋" w:eastAsia="仿宋" w:cs="仿宋"/>
          <w:color w:val="auto"/>
          <w:kern w:val="0"/>
          <w:sz w:val="32"/>
          <w:szCs w:val="32"/>
          <w:highlight w:val="none"/>
          <w:lang w:val="en-US" w:eastAsia="zh-CN" w:bidi="ar-SA"/>
        </w:rPr>
      </w:pPr>
      <w:bookmarkStart w:id="76" w:name="_Toc12879"/>
      <w:r>
        <w:rPr>
          <w:rFonts w:hint="eastAsia" w:ascii="仿宋" w:hAnsi="仿宋" w:eastAsia="仿宋" w:cs="仿宋"/>
          <w:color w:val="auto"/>
          <w:kern w:val="0"/>
          <w:sz w:val="32"/>
          <w:szCs w:val="32"/>
          <w:highlight w:val="none"/>
          <w:lang w:val="en-US" w:eastAsia="zh-CN" w:bidi="ar-SA"/>
        </w:rPr>
        <w:t>五、在经营活动中没有重大违法记录的书面声明</w:t>
      </w:r>
      <w:bookmarkEnd w:id="76"/>
    </w:p>
    <w:p w14:paraId="3C30783F">
      <w:pPr>
        <w:spacing w:line="440" w:lineRule="exact"/>
        <w:jc w:val="center"/>
        <w:rPr>
          <w:rFonts w:ascii="仿宋" w:hAnsi="仿宋" w:eastAsia="仿宋" w:cs="Times New Roman"/>
          <w:color w:val="auto"/>
          <w:kern w:val="0"/>
          <w:sz w:val="24"/>
          <w:szCs w:val="24"/>
          <w:highlight w:val="none"/>
        </w:rPr>
      </w:pPr>
    </w:p>
    <w:p w14:paraId="4541034B">
      <w:pPr>
        <w:spacing w:line="440" w:lineRule="exact"/>
        <w:ind w:firstLine="480" w:firstLineChars="200"/>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我方在参加</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（项目名称）政府采购活动前3年内，我方被公开披露或查处的违法违规行为有：</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，但在经营活动中没有重大违法记录（重大违法记录指</w:t>
      </w:r>
      <w:r>
        <w:rPr>
          <w:rFonts w:hint="eastAsia" w:ascii="仿宋" w:hAnsi="仿宋" w:eastAsia="仿宋" w:cs="宋体"/>
          <w:color w:val="auto"/>
          <w:kern w:val="0"/>
          <w:sz w:val="24"/>
          <w:szCs w:val="24"/>
          <w:highlight w:val="none"/>
          <w:lang w:eastAsia="zh-CN"/>
        </w:rPr>
        <w:t>供应商</w:t>
      </w:r>
      <w:r>
        <w:rPr>
          <w:rFonts w:hint="eastAsia" w:ascii="仿宋" w:hAnsi="仿宋" w:eastAsia="仿宋" w:cs="宋体"/>
          <w:color w:val="auto"/>
          <w:kern w:val="0"/>
          <w:sz w:val="24"/>
          <w:szCs w:val="24"/>
          <w:highlight w:val="none"/>
        </w:rPr>
        <w:t>因违法经营受到刑事处罚或者责令停产停业、吊销许可证或者执照、较大数额罚款等行政处罚）</w:t>
      </w:r>
      <w:r>
        <w:rPr>
          <w:rFonts w:hint="eastAsia" w:ascii="仿宋" w:hAnsi="仿宋" w:eastAsia="仿宋" w:cs="Times New Roman"/>
          <w:color w:val="auto"/>
          <w:kern w:val="0"/>
          <w:sz w:val="24"/>
          <w:szCs w:val="24"/>
          <w:highlight w:val="none"/>
        </w:rPr>
        <w:t>。</w:t>
      </w:r>
    </w:p>
    <w:p w14:paraId="4862C8A3">
      <w:pPr>
        <w:spacing w:line="440" w:lineRule="exact"/>
        <w:ind w:firstLine="480" w:firstLineChars="200"/>
        <w:rPr>
          <w:rFonts w:ascii="仿宋" w:hAnsi="仿宋" w:eastAsia="仿宋" w:cs="Times New Roman"/>
          <w:color w:val="auto"/>
          <w:kern w:val="0"/>
          <w:sz w:val="24"/>
          <w:szCs w:val="24"/>
          <w:highlight w:val="none"/>
        </w:rPr>
      </w:pPr>
    </w:p>
    <w:p w14:paraId="0E48106F">
      <w:pPr>
        <w:spacing w:line="440" w:lineRule="exact"/>
        <w:ind w:firstLine="480" w:firstLineChars="200"/>
        <w:rPr>
          <w:rFonts w:ascii="仿宋" w:hAnsi="仿宋" w:eastAsia="仿宋" w:cs="Times New Roman"/>
          <w:color w:val="auto"/>
          <w:kern w:val="0"/>
          <w:sz w:val="24"/>
          <w:szCs w:val="24"/>
          <w:highlight w:val="none"/>
        </w:rPr>
      </w:pPr>
    </w:p>
    <w:p w14:paraId="003EA4C7">
      <w:pPr>
        <w:spacing w:line="440" w:lineRule="exact"/>
        <w:jc w:val="righ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供  应  商</w:t>
      </w:r>
      <w:r>
        <w:rPr>
          <w:rFonts w:hint="eastAsia" w:ascii="仿宋" w:hAnsi="仿宋" w:eastAsia="仿宋" w:cs="Times New Roman"/>
          <w:color w:val="auto"/>
          <w:kern w:val="0"/>
          <w:sz w:val="24"/>
          <w:szCs w:val="24"/>
          <w:highlight w:val="none"/>
        </w:rPr>
        <w:t>：</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（盖单位公章）</w:t>
      </w:r>
    </w:p>
    <w:p w14:paraId="35B0F53F">
      <w:pPr>
        <w:spacing w:line="440" w:lineRule="exact"/>
        <w:jc w:val="righ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法定代表人：</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（签字或盖章）</w:t>
      </w:r>
    </w:p>
    <w:p w14:paraId="62D64C65">
      <w:pPr>
        <w:spacing w:line="440" w:lineRule="exact"/>
        <w:ind w:firstLine="4108" w:firstLineChars="1712"/>
        <w:jc w:val="righ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日      期：</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年</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月</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日</w:t>
      </w:r>
    </w:p>
    <w:p w14:paraId="441FDD82">
      <w:pPr>
        <w:spacing w:line="440" w:lineRule="exact"/>
        <w:ind w:firstLine="480" w:firstLineChars="200"/>
        <w:rPr>
          <w:rFonts w:ascii="仿宋" w:hAnsi="仿宋" w:eastAsia="仿宋" w:cs="Times New Roman"/>
          <w:color w:val="auto"/>
          <w:kern w:val="0"/>
          <w:sz w:val="24"/>
          <w:szCs w:val="24"/>
          <w:highlight w:val="none"/>
        </w:rPr>
      </w:pPr>
    </w:p>
    <w:p w14:paraId="3E7264DB">
      <w:pPr>
        <w:spacing w:line="440" w:lineRule="exact"/>
        <w:ind w:firstLine="480" w:firstLineChars="200"/>
        <w:rPr>
          <w:rFonts w:ascii="仿宋" w:hAnsi="仿宋" w:eastAsia="仿宋" w:cs="Times New Roman"/>
          <w:color w:val="auto"/>
          <w:kern w:val="0"/>
          <w:sz w:val="24"/>
          <w:szCs w:val="24"/>
          <w:highlight w:val="none"/>
        </w:rPr>
      </w:pPr>
    </w:p>
    <w:p w14:paraId="3CB9CBE2">
      <w:pPr>
        <w:spacing w:line="440" w:lineRule="exact"/>
        <w:ind w:firstLine="480" w:firstLineChars="200"/>
        <w:rPr>
          <w:rFonts w:ascii="仿宋" w:hAnsi="仿宋" w:eastAsia="仿宋" w:cs="Times New Roman"/>
          <w:color w:val="auto"/>
          <w:kern w:val="0"/>
          <w:sz w:val="24"/>
          <w:szCs w:val="24"/>
          <w:highlight w:val="none"/>
        </w:rPr>
      </w:pPr>
    </w:p>
    <w:p w14:paraId="52C56C19">
      <w:pPr>
        <w:spacing w:line="440" w:lineRule="exact"/>
        <w:ind w:firstLine="480" w:firstLineChars="200"/>
        <w:rPr>
          <w:rFonts w:ascii="仿宋" w:hAnsi="仿宋" w:eastAsia="仿宋" w:cs="Times New Roman"/>
          <w:color w:val="auto"/>
          <w:kern w:val="0"/>
          <w:sz w:val="24"/>
          <w:szCs w:val="24"/>
          <w:highlight w:val="none"/>
          <w:u w:val="single"/>
        </w:rPr>
      </w:pPr>
      <w:r>
        <w:rPr>
          <w:rFonts w:hint="eastAsia" w:ascii="仿宋" w:hAnsi="仿宋" w:eastAsia="仿宋" w:cs="Times New Roman"/>
          <w:color w:val="auto"/>
          <w:kern w:val="0"/>
          <w:sz w:val="24"/>
          <w:szCs w:val="24"/>
          <w:highlight w:val="none"/>
        </w:rPr>
        <w:t>备注：</w:t>
      </w:r>
      <w:r>
        <w:rPr>
          <w:rFonts w:hint="eastAsia" w:ascii="仿宋" w:hAnsi="仿宋" w:eastAsia="仿宋" w:cs="Times New Roman"/>
          <w:color w:val="auto"/>
          <w:kern w:val="0"/>
          <w:sz w:val="24"/>
          <w:szCs w:val="24"/>
          <w:highlight w:val="none"/>
          <w:lang w:eastAsia="zh-CN"/>
        </w:rPr>
        <w:t>供应商</w:t>
      </w:r>
      <w:r>
        <w:rPr>
          <w:rFonts w:hint="eastAsia" w:ascii="仿宋" w:hAnsi="仿宋" w:eastAsia="仿宋" w:cs="Times New Roman"/>
          <w:color w:val="auto"/>
          <w:kern w:val="0"/>
          <w:sz w:val="24"/>
          <w:szCs w:val="24"/>
          <w:highlight w:val="none"/>
        </w:rPr>
        <w:t>没有被公开披露或查处违法违规行为的，注明“无”即可。</w:t>
      </w:r>
    </w:p>
    <w:p w14:paraId="1609AD86">
      <w:pPr>
        <w:widowControl/>
        <w:autoSpaceDE w:val="0"/>
        <w:autoSpaceDN w:val="0"/>
        <w:adjustRightInd w:val="0"/>
        <w:spacing w:line="440" w:lineRule="exact"/>
        <w:ind w:right="-481"/>
        <w:jc w:val="left"/>
        <w:rPr>
          <w:rStyle w:val="24"/>
          <w:rFonts w:ascii="Times New Roman" w:hAnsi="Times New Roman" w:eastAsia="Times New Roman" w:cs="Times New Roman"/>
          <w:color w:val="auto"/>
          <w:kern w:val="0"/>
          <w:sz w:val="24"/>
          <w:szCs w:val="24"/>
          <w:highlight w:val="none"/>
        </w:rPr>
      </w:pPr>
    </w:p>
    <w:p w14:paraId="2C413A6F">
      <w:pPr>
        <w:widowControl/>
        <w:autoSpaceDE w:val="0"/>
        <w:autoSpaceDN w:val="0"/>
        <w:adjustRightInd w:val="0"/>
        <w:spacing w:line="440" w:lineRule="exact"/>
        <w:jc w:val="center"/>
        <w:outlineLvl w:val="1"/>
        <w:rPr>
          <w:rFonts w:ascii="仿宋" w:hAnsi="仿宋" w:eastAsia="仿宋" w:cs="Arial"/>
          <w:b/>
          <w:bCs/>
          <w:color w:val="auto"/>
          <w:kern w:val="1"/>
          <w:sz w:val="24"/>
          <w:szCs w:val="24"/>
          <w:highlight w:val="none"/>
        </w:rPr>
      </w:pPr>
      <w:r>
        <w:rPr>
          <w:rFonts w:ascii="仿宋" w:hAnsi="仿宋" w:eastAsia="仿宋" w:cs="Times New Roman"/>
          <w:color w:val="auto"/>
          <w:kern w:val="1"/>
          <w:sz w:val="24"/>
          <w:szCs w:val="24"/>
          <w:highlight w:val="none"/>
        </w:rPr>
        <w:br w:type="page"/>
      </w:r>
      <w:bookmarkStart w:id="77" w:name="_Toc7878"/>
      <w:r>
        <w:rPr>
          <w:rFonts w:hint="eastAsia" w:ascii="仿宋" w:hAnsi="仿宋" w:eastAsia="仿宋" w:cs="仿宋"/>
          <w:color w:val="auto"/>
          <w:kern w:val="0"/>
          <w:sz w:val="32"/>
          <w:szCs w:val="32"/>
          <w:highlight w:val="none"/>
          <w:lang w:val="en-US" w:eastAsia="zh-CN" w:bidi="ar-SA"/>
        </w:rPr>
        <w:t>六、政府采购诚信承诺书</w:t>
      </w:r>
      <w:bookmarkEnd w:id="77"/>
    </w:p>
    <w:p w14:paraId="1F24BB6A">
      <w:pPr>
        <w:widowControl/>
        <w:autoSpaceDE w:val="0"/>
        <w:autoSpaceDN w:val="0"/>
        <w:adjustRightInd w:val="0"/>
        <w:spacing w:line="440" w:lineRule="exact"/>
        <w:ind w:firstLine="480"/>
        <w:rPr>
          <w:rStyle w:val="24"/>
          <w:rFonts w:hint="eastAsia"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rPr>
        <w:t>本企业郑重承诺：</w:t>
      </w:r>
    </w:p>
    <w:p w14:paraId="3BBEE655">
      <w:pPr>
        <w:widowControl/>
        <w:autoSpaceDE w:val="0"/>
        <w:autoSpaceDN w:val="0"/>
        <w:adjustRightInd w:val="0"/>
        <w:spacing w:line="440" w:lineRule="exact"/>
        <w:ind w:firstLine="480"/>
        <w:rPr>
          <w:rStyle w:val="24"/>
          <w:rFonts w:hint="eastAsia"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rPr>
        <w:t>为了积极配合采购人组织的</w:t>
      </w:r>
      <w:r>
        <w:rPr>
          <w:rStyle w:val="24"/>
          <w:rFonts w:hint="eastAsia" w:cs="Times New Roman"/>
          <w:color w:val="auto"/>
          <w:sz w:val="24"/>
          <w:szCs w:val="24"/>
          <w:highlight w:val="none"/>
          <w:lang w:val="en-US" w:eastAsia="zh-CN"/>
        </w:rPr>
        <w:t xml:space="preserve">  项目名称   的</w:t>
      </w:r>
      <w:r>
        <w:rPr>
          <w:rStyle w:val="24"/>
          <w:rFonts w:hint="eastAsia" w:cs="Times New Roman"/>
          <w:color w:val="auto"/>
          <w:sz w:val="24"/>
          <w:szCs w:val="24"/>
          <w:highlight w:val="none"/>
        </w:rPr>
        <w:t>招标</w:t>
      </w:r>
      <w:r>
        <w:rPr>
          <w:rStyle w:val="24"/>
          <w:rFonts w:hint="eastAsia" w:cs="Times New Roman"/>
          <w:color w:val="auto"/>
          <w:sz w:val="24"/>
          <w:szCs w:val="24"/>
          <w:highlight w:val="none"/>
          <w:lang w:val="en-US" w:eastAsia="zh-CN"/>
        </w:rPr>
        <w:t>采购</w:t>
      </w:r>
      <w:r>
        <w:rPr>
          <w:rStyle w:val="24"/>
          <w:rFonts w:hint="eastAsia" w:cs="Times New Roman"/>
          <w:color w:val="auto"/>
          <w:sz w:val="24"/>
          <w:szCs w:val="24"/>
          <w:highlight w:val="none"/>
        </w:rPr>
        <w:t>工作，有效遏制不公平竞争和违</w:t>
      </w:r>
      <w:r>
        <w:rPr>
          <w:rStyle w:val="24"/>
          <w:rFonts w:hint="eastAsia" w:cs="Times New Roman"/>
          <w:color w:val="auto"/>
          <w:sz w:val="24"/>
          <w:szCs w:val="24"/>
          <w:highlight w:val="none"/>
          <w:lang w:val="en-US" w:eastAsia="zh-CN"/>
        </w:rPr>
        <w:t>法</w:t>
      </w:r>
      <w:r>
        <w:rPr>
          <w:rStyle w:val="24"/>
          <w:rFonts w:hint="eastAsia" w:cs="Times New Roman"/>
          <w:color w:val="auto"/>
          <w:sz w:val="24"/>
          <w:szCs w:val="24"/>
          <w:highlight w:val="none"/>
        </w:rPr>
        <w:t>违纪问题的发生，确保招标工作的公平、公正、公开，我</w:t>
      </w:r>
      <w:r>
        <w:rPr>
          <w:rStyle w:val="24"/>
          <w:rFonts w:hint="eastAsia" w:cs="Times New Roman"/>
          <w:color w:val="auto"/>
          <w:sz w:val="24"/>
          <w:szCs w:val="24"/>
          <w:highlight w:val="none"/>
          <w:lang w:val="en-US" w:eastAsia="zh-CN"/>
        </w:rPr>
        <w:t>方</w:t>
      </w:r>
      <w:r>
        <w:rPr>
          <w:rStyle w:val="24"/>
          <w:rFonts w:hint="eastAsia" w:cs="Times New Roman"/>
          <w:color w:val="auto"/>
          <w:sz w:val="24"/>
          <w:szCs w:val="24"/>
          <w:highlight w:val="none"/>
        </w:rPr>
        <w:t>保证认真贯彻《中华人民共和国政府采购法》、《政府采购货物和服务招标投标管理办法》和《关于进一步规范政府采购活动的若干意见》等法律法规相关规定以及有关要求，特承诺如下事项：</w:t>
      </w:r>
    </w:p>
    <w:p w14:paraId="122852CB">
      <w:pPr>
        <w:widowControl/>
        <w:autoSpaceDE w:val="0"/>
        <w:autoSpaceDN w:val="0"/>
        <w:adjustRightInd w:val="0"/>
        <w:spacing w:line="440" w:lineRule="exact"/>
        <w:ind w:firstLine="480"/>
        <w:rPr>
          <w:rStyle w:val="24"/>
          <w:rFonts w:hint="eastAsia"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rPr>
        <w:t>一、遵循公开、公平、公正和诚实信用的原则参加</w:t>
      </w:r>
      <w:r>
        <w:rPr>
          <w:rStyle w:val="24"/>
          <w:rFonts w:hint="eastAsia" w:cs="Times New Roman"/>
          <w:color w:val="auto"/>
          <w:sz w:val="24"/>
          <w:szCs w:val="24"/>
          <w:highlight w:val="none"/>
          <w:lang w:val="en-US" w:eastAsia="zh-CN"/>
        </w:rPr>
        <w:t>本项目</w:t>
      </w:r>
      <w:r>
        <w:rPr>
          <w:rStyle w:val="24"/>
          <w:rFonts w:hint="eastAsia" w:cs="Times New Roman"/>
          <w:color w:val="auto"/>
          <w:sz w:val="24"/>
          <w:szCs w:val="24"/>
          <w:highlight w:val="none"/>
        </w:rPr>
        <w:t>投标；</w:t>
      </w:r>
    </w:p>
    <w:p w14:paraId="1D803286">
      <w:pPr>
        <w:widowControl/>
        <w:autoSpaceDE w:val="0"/>
        <w:autoSpaceDN w:val="0"/>
        <w:adjustRightInd w:val="0"/>
        <w:spacing w:line="440" w:lineRule="exact"/>
        <w:ind w:firstLine="480"/>
        <w:rPr>
          <w:rStyle w:val="24"/>
          <w:rFonts w:hint="eastAsia"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rPr>
        <w:t>二、所提供的一切材料都是真实、有效、合法的；</w:t>
      </w:r>
    </w:p>
    <w:p w14:paraId="670D916D">
      <w:pPr>
        <w:widowControl/>
        <w:autoSpaceDE w:val="0"/>
        <w:autoSpaceDN w:val="0"/>
        <w:adjustRightInd w:val="0"/>
        <w:spacing w:line="440" w:lineRule="exact"/>
        <w:ind w:firstLine="480"/>
        <w:rPr>
          <w:rStyle w:val="24"/>
          <w:rFonts w:hint="eastAsia"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rPr>
        <w:t>三、不与其他</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相互串通投标报价</w:t>
      </w:r>
      <w:r>
        <w:rPr>
          <w:rStyle w:val="24"/>
          <w:rFonts w:hint="eastAsia" w:cs="Times New Roman"/>
          <w:color w:val="auto"/>
          <w:sz w:val="24"/>
          <w:szCs w:val="24"/>
          <w:highlight w:val="none"/>
          <w:lang w:eastAsia="zh-CN"/>
        </w:rPr>
        <w:t>；</w:t>
      </w:r>
      <w:r>
        <w:rPr>
          <w:rStyle w:val="24"/>
          <w:rFonts w:hint="eastAsia" w:cs="Times New Roman"/>
          <w:color w:val="auto"/>
          <w:sz w:val="24"/>
          <w:szCs w:val="24"/>
          <w:highlight w:val="none"/>
        </w:rPr>
        <w:t>不使用不正当手段妨碍、排挤其它供应商的公平竞争，损害</w:t>
      </w:r>
      <w:r>
        <w:rPr>
          <w:rStyle w:val="24"/>
          <w:rFonts w:hint="eastAsia" w:cs="Times New Roman"/>
          <w:color w:val="auto"/>
          <w:sz w:val="24"/>
          <w:szCs w:val="24"/>
          <w:highlight w:val="none"/>
          <w:lang w:eastAsia="zh-CN"/>
        </w:rPr>
        <w:t>采购人、采购</w:t>
      </w:r>
      <w:r>
        <w:rPr>
          <w:rStyle w:val="24"/>
          <w:rFonts w:hint="eastAsia" w:cs="Times New Roman"/>
          <w:color w:val="auto"/>
          <w:sz w:val="24"/>
          <w:szCs w:val="24"/>
          <w:highlight w:val="none"/>
          <w:lang w:val="en-US" w:eastAsia="zh-CN"/>
        </w:rPr>
        <w:t>代理机构</w:t>
      </w:r>
      <w:r>
        <w:rPr>
          <w:rStyle w:val="24"/>
          <w:rFonts w:hint="eastAsia" w:cs="Times New Roman"/>
          <w:color w:val="auto"/>
          <w:sz w:val="24"/>
          <w:szCs w:val="24"/>
          <w:highlight w:val="none"/>
        </w:rPr>
        <w:t>或其他</w:t>
      </w:r>
      <w:r>
        <w:rPr>
          <w:rStyle w:val="24"/>
          <w:rFonts w:hint="eastAsia" w:eastAsia="仿宋" w:cs="Times New Roman"/>
          <w:color w:val="auto"/>
          <w:sz w:val="24"/>
          <w:szCs w:val="24"/>
          <w:highlight w:val="none"/>
          <w:lang w:eastAsia="zh-CN"/>
        </w:rPr>
        <w:t>供应商</w:t>
      </w:r>
      <w:r>
        <w:rPr>
          <w:rStyle w:val="24"/>
          <w:rFonts w:hint="eastAsia" w:cs="Times New Roman"/>
          <w:color w:val="auto"/>
          <w:sz w:val="24"/>
          <w:szCs w:val="24"/>
          <w:highlight w:val="none"/>
        </w:rPr>
        <w:t>的合法权益；</w:t>
      </w:r>
    </w:p>
    <w:p w14:paraId="03F5B397">
      <w:pPr>
        <w:widowControl/>
        <w:autoSpaceDE w:val="0"/>
        <w:autoSpaceDN w:val="0"/>
        <w:adjustRightInd w:val="0"/>
        <w:spacing w:line="440" w:lineRule="exact"/>
        <w:ind w:firstLine="480"/>
        <w:rPr>
          <w:rStyle w:val="24"/>
          <w:rFonts w:hint="eastAsia"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rPr>
        <w:t>四、不与</w:t>
      </w:r>
      <w:r>
        <w:rPr>
          <w:rStyle w:val="24"/>
          <w:rFonts w:hint="eastAsia" w:cs="Times New Roman"/>
          <w:color w:val="auto"/>
          <w:sz w:val="24"/>
          <w:szCs w:val="24"/>
          <w:highlight w:val="none"/>
          <w:lang w:eastAsia="zh-CN"/>
        </w:rPr>
        <w:t>采购人</w:t>
      </w:r>
      <w:r>
        <w:rPr>
          <w:rStyle w:val="24"/>
          <w:rFonts w:hint="eastAsia" w:cs="Times New Roman"/>
          <w:color w:val="auto"/>
          <w:sz w:val="24"/>
          <w:szCs w:val="24"/>
          <w:highlight w:val="none"/>
        </w:rPr>
        <w:t>或</w:t>
      </w:r>
      <w:r>
        <w:rPr>
          <w:rStyle w:val="24"/>
          <w:rFonts w:hint="eastAsia" w:cs="Times New Roman"/>
          <w:color w:val="auto"/>
          <w:sz w:val="24"/>
          <w:szCs w:val="24"/>
          <w:highlight w:val="none"/>
          <w:lang w:eastAsia="zh-CN"/>
        </w:rPr>
        <w:t>采购</w:t>
      </w:r>
      <w:r>
        <w:rPr>
          <w:rStyle w:val="24"/>
          <w:rFonts w:hint="eastAsia" w:cs="Times New Roman"/>
          <w:color w:val="auto"/>
          <w:sz w:val="24"/>
          <w:szCs w:val="24"/>
          <w:highlight w:val="none"/>
        </w:rPr>
        <w:t>代理机构串通投标，损害国家利益、社会公共利益或者他人的合法权益；</w:t>
      </w:r>
    </w:p>
    <w:p w14:paraId="045ED698">
      <w:pPr>
        <w:widowControl/>
        <w:autoSpaceDE w:val="0"/>
        <w:autoSpaceDN w:val="0"/>
        <w:adjustRightInd w:val="0"/>
        <w:spacing w:line="440" w:lineRule="exact"/>
        <w:ind w:firstLine="480"/>
        <w:rPr>
          <w:rStyle w:val="24"/>
          <w:rFonts w:hint="eastAsia"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rPr>
        <w:t>五、不向</w:t>
      </w:r>
      <w:r>
        <w:rPr>
          <w:rStyle w:val="24"/>
          <w:rFonts w:hint="eastAsia" w:cs="Times New Roman"/>
          <w:color w:val="auto"/>
          <w:sz w:val="24"/>
          <w:szCs w:val="24"/>
          <w:highlight w:val="none"/>
          <w:lang w:eastAsia="zh-CN"/>
        </w:rPr>
        <w:t>采购人</w:t>
      </w:r>
      <w:r>
        <w:rPr>
          <w:rStyle w:val="24"/>
          <w:rFonts w:hint="eastAsia" w:cs="Times New Roman"/>
          <w:color w:val="auto"/>
          <w:sz w:val="24"/>
          <w:szCs w:val="24"/>
          <w:highlight w:val="none"/>
        </w:rPr>
        <w:t>、评标委员会成员或其他有关人员行贿以牟取中标；</w:t>
      </w:r>
    </w:p>
    <w:p w14:paraId="0B1C82CE">
      <w:pPr>
        <w:widowControl/>
        <w:autoSpaceDE w:val="0"/>
        <w:autoSpaceDN w:val="0"/>
        <w:adjustRightInd w:val="0"/>
        <w:spacing w:line="440" w:lineRule="exact"/>
        <w:ind w:firstLine="480"/>
        <w:rPr>
          <w:rStyle w:val="24"/>
          <w:rFonts w:hint="eastAsia"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rPr>
        <w:t>六、不以他人名义投标或者以其他方式弄虚作假，骗取中标；</w:t>
      </w:r>
    </w:p>
    <w:p w14:paraId="1B96103E">
      <w:pPr>
        <w:widowControl/>
        <w:autoSpaceDE w:val="0"/>
        <w:autoSpaceDN w:val="0"/>
        <w:adjustRightInd w:val="0"/>
        <w:spacing w:line="440" w:lineRule="exact"/>
        <w:ind w:firstLine="480"/>
        <w:rPr>
          <w:rStyle w:val="24"/>
          <w:rFonts w:hint="eastAsia"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rPr>
        <w:t>七、不出卖、出借资质，让他人挂靠投标；</w:t>
      </w:r>
    </w:p>
    <w:p w14:paraId="3E309062">
      <w:pPr>
        <w:widowControl/>
        <w:autoSpaceDE w:val="0"/>
        <w:autoSpaceDN w:val="0"/>
        <w:adjustRightInd w:val="0"/>
        <w:spacing w:line="440" w:lineRule="exact"/>
        <w:ind w:firstLine="480"/>
        <w:rPr>
          <w:rStyle w:val="24"/>
          <w:rFonts w:hint="eastAsia"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rPr>
        <w:t>八、不恶意压低或抬高投标报价；</w:t>
      </w:r>
    </w:p>
    <w:p w14:paraId="117342D6">
      <w:pPr>
        <w:widowControl/>
        <w:autoSpaceDE w:val="0"/>
        <w:autoSpaceDN w:val="0"/>
        <w:adjustRightInd w:val="0"/>
        <w:spacing w:line="440" w:lineRule="exact"/>
        <w:ind w:firstLine="480"/>
        <w:rPr>
          <w:rStyle w:val="24"/>
          <w:rFonts w:hint="eastAsia"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rPr>
        <w:t>九、</w:t>
      </w:r>
      <w:r>
        <w:rPr>
          <w:rStyle w:val="24"/>
          <w:rFonts w:hint="eastAsia" w:cs="Times New Roman"/>
          <w:color w:val="auto"/>
          <w:sz w:val="24"/>
          <w:szCs w:val="24"/>
          <w:highlight w:val="none"/>
          <w:lang w:val="en-US" w:eastAsia="zh-CN"/>
        </w:rPr>
        <w:t>不向任何单位和个人分包此次项目</w:t>
      </w:r>
      <w:r>
        <w:rPr>
          <w:rStyle w:val="24"/>
          <w:rFonts w:hint="eastAsia" w:cs="Times New Roman"/>
          <w:color w:val="auto"/>
          <w:sz w:val="24"/>
          <w:szCs w:val="24"/>
          <w:highlight w:val="none"/>
        </w:rPr>
        <w:t>；</w:t>
      </w:r>
    </w:p>
    <w:p w14:paraId="12C63B03">
      <w:pPr>
        <w:widowControl/>
        <w:autoSpaceDE w:val="0"/>
        <w:autoSpaceDN w:val="0"/>
        <w:adjustRightInd w:val="0"/>
        <w:spacing w:line="440" w:lineRule="exact"/>
        <w:ind w:firstLine="480"/>
        <w:rPr>
          <w:rStyle w:val="24"/>
          <w:rFonts w:hint="eastAsia" w:ascii="Times New Roman" w:hAnsi="Times New Roman" w:eastAsia="Times New Roman" w:cs="Times New Roman"/>
          <w:color w:val="auto"/>
          <w:kern w:val="0"/>
          <w:sz w:val="24"/>
          <w:szCs w:val="24"/>
          <w:highlight w:val="none"/>
          <w:lang w:val="en-US" w:eastAsia="zh-CN"/>
        </w:rPr>
      </w:pPr>
      <w:r>
        <w:rPr>
          <w:rStyle w:val="24"/>
          <w:rFonts w:hint="eastAsia" w:cs="Times New Roman"/>
          <w:color w:val="auto"/>
          <w:sz w:val="24"/>
          <w:szCs w:val="24"/>
          <w:highlight w:val="none"/>
          <w:lang w:val="en-US" w:eastAsia="zh-CN"/>
        </w:rPr>
        <w:t>十、</w:t>
      </w:r>
      <w:r>
        <w:rPr>
          <w:rStyle w:val="24"/>
          <w:rFonts w:hint="eastAsia" w:cs="Times New Roman"/>
          <w:color w:val="auto"/>
          <w:sz w:val="24"/>
          <w:szCs w:val="24"/>
          <w:highlight w:val="none"/>
        </w:rPr>
        <w:t>不在开标后进行虚假恶意投诉；</w:t>
      </w:r>
    </w:p>
    <w:p w14:paraId="7873BC0A">
      <w:pPr>
        <w:widowControl/>
        <w:autoSpaceDE w:val="0"/>
        <w:autoSpaceDN w:val="0"/>
        <w:adjustRightInd w:val="0"/>
        <w:spacing w:line="440" w:lineRule="exact"/>
        <w:ind w:firstLine="480"/>
        <w:rPr>
          <w:rStyle w:val="24"/>
          <w:rFonts w:hint="eastAsia"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rPr>
        <w:t>十</w:t>
      </w:r>
      <w:r>
        <w:rPr>
          <w:rStyle w:val="24"/>
          <w:rFonts w:hint="eastAsia" w:cs="Times New Roman"/>
          <w:color w:val="auto"/>
          <w:sz w:val="24"/>
          <w:szCs w:val="24"/>
          <w:highlight w:val="none"/>
          <w:lang w:val="en-US" w:eastAsia="zh-CN"/>
        </w:rPr>
        <w:t>一</w:t>
      </w:r>
      <w:r>
        <w:rPr>
          <w:rStyle w:val="24"/>
          <w:rFonts w:hint="eastAsia" w:cs="Times New Roman"/>
          <w:color w:val="auto"/>
          <w:sz w:val="24"/>
          <w:szCs w:val="24"/>
          <w:highlight w:val="none"/>
        </w:rPr>
        <w:t>、</w:t>
      </w:r>
      <w:r>
        <w:rPr>
          <w:rStyle w:val="24"/>
          <w:rFonts w:hint="eastAsia" w:cs="Times New Roman"/>
          <w:color w:val="auto"/>
          <w:sz w:val="24"/>
          <w:szCs w:val="24"/>
          <w:highlight w:val="none"/>
          <w:lang w:val="en-US" w:eastAsia="zh-CN"/>
        </w:rPr>
        <w:t>开标后</w:t>
      </w:r>
      <w:r>
        <w:rPr>
          <w:rStyle w:val="24"/>
          <w:rFonts w:hint="eastAsia" w:cs="Times New Roman"/>
          <w:color w:val="auto"/>
          <w:sz w:val="24"/>
          <w:szCs w:val="24"/>
          <w:highlight w:val="none"/>
        </w:rPr>
        <w:t>配合采购人</w:t>
      </w:r>
      <w:r>
        <w:rPr>
          <w:rStyle w:val="24"/>
          <w:rFonts w:hint="eastAsia" w:cs="Times New Roman"/>
          <w:color w:val="auto"/>
          <w:sz w:val="24"/>
          <w:szCs w:val="24"/>
          <w:highlight w:val="none"/>
          <w:lang w:val="en-US" w:eastAsia="zh-CN"/>
        </w:rPr>
        <w:t>对人员、车辆、经营场所及实体配送中心等内容进行现场核实；</w:t>
      </w:r>
    </w:p>
    <w:p w14:paraId="7067A8D7">
      <w:pPr>
        <w:widowControl/>
        <w:autoSpaceDE w:val="0"/>
        <w:autoSpaceDN w:val="0"/>
        <w:adjustRightInd w:val="0"/>
        <w:spacing w:line="440" w:lineRule="exact"/>
        <w:ind w:firstLine="480"/>
        <w:rPr>
          <w:rStyle w:val="24"/>
          <w:rFonts w:hint="eastAsia" w:ascii="Times New Roman" w:hAnsi="Times New Roman" w:eastAsia="Times New Roman" w:cs="Times New Roman"/>
          <w:color w:val="auto"/>
          <w:kern w:val="0"/>
          <w:sz w:val="24"/>
          <w:szCs w:val="24"/>
          <w:highlight w:val="none"/>
        </w:rPr>
      </w:pPr>
      <w:r>
        <w:rPr>
          <w:rStyle w:val="24"/>
          <w:rFonts w:hint="eastAsia" w:cs="Times New Roman"/>
          <w:color w:val="auto"/>
          <w:sz w:val="24"/>
          <w:szCs w:val="24"/>
          <w:highlight w:val="none"/>
        </w:rPr>
        <w:t>本公司若有违反本承诺</w:t>
      </w:r>
      <w:r>
        <w:rPr>
          <w:rStyle w:val="24"/>
          <w:rFonts w:hint="eastAsia" w:cs="Times New Roman"/>
          <w:color w:val="auto"/>
          <w:sz w:val="24"/>
          <w:szCs w:val="24"/>
          <w:highlight w:val="none"/>
          <w:lang w:val="en-US" w:eastAsia="zh-CN"/>
        </w:rPr>
        <w:t>书</w:t>
      </w:r>
      <w:r>
        <w:rPr>
          <w:rStyle w:val="24"/>
          <w:rFonts w:hint="eastAsia" w:cs="Times New Roman"/>
          <w:color w:val="auto"/>
          <w:sz w:val="24"/>
          <w:szCs w:val="24"/>
          <w:highlight w:val="none"/>
        </w:rPr>
        <w:t>内容的行为，</w:t>
      </w:r>
      <w:r>
        <w:rPr>
          <w:rStyle w:val="24"/>
          <w:rFonts w:hint="eastAsia" w:cs="Times New Roman"/>
          <w:color w:val="auto"/>
          <w:sz w:val="24"/>
          <w:szCs w:val="24"/>
          <w:highlight w:val="none"/>
          <w:lang w:val="en-US" w:eastAsia="zh-CN"/>
        </w:rPr>
        <w:t>自愿取消中标资格，</w:t>
      </w:r>
      <w:r>
        <w:rPr>
          <w:rStyle w:val="24"/>
          <w:rFonts w:hint="eastAsia" w:cs="Times New Roman"/>
          <w:color w:val="auto"/>
          <w:sz w:val="24"/>
          <w:szCs w:val="24"/>
          <w:highlight w:val="none"/>
        </w:rPr>
        <w:t>接受行政主管部门作出的</w:t>
      </w:r>
      <w:r>
        <w:rPr>
          <w:rStyle w:val="24"/>
          <w:rFonts w:hint="eastAsia" w:cs="Times New Roman"/>
          <w:color w:val="auto"/>
          <w:sz w:val="24"/>
          <w:szCs w:val="24"/>
          <w:highlight w:val="none"/>
          <w:lang w:val="en-US" w:eastAsia="zh-CN"/>
        </w:rPr>
        <w:t>任何</w:t>
      </w:r>
      <w:r>
        <w:rPr>
          <w:rStyle w:val="24"/>
          <w:rFonts w:hint="eastAsia" w:cs="Times New Roman"/>
          <w:color w:val="auto"/>
          <w:sz w:val="24"/>
          <w:szCs w:val="24"/>
          <w:highlight w:val="none"/>
        </w:rPr>
        <w:t>处罚</w:t>
      </w:r>
      <w:r>
        <w:rPr>
          <w:rStyle w:val="24"/>
          <w:rFonts w:hint="eastAsia" w:cs="Times New Roman"/>
          <w:color w:val="auto"/>
          <w:sz w:val="24"/>
          <w:szCs w:val="24"/>
          <w:highlight w:val="none"/>
          <w:lang w:eastAsia="zh-CN"/>
        </w:rPr>
        <w:t>，</w:t>
      </w:r>
      <w:r>
        <w:rPr>
          <w:rStyle w:val="24"/>
          <w:rFonts w:hint="eastAsia" w:cs="Times New Roman"/>
          <w:color w:val="auto"/>
          <w:sz w:val="24"/>
          <w:szCs w:val="24"/>
          <w:highlight w:val="none"/>
          <w:lang w:val="en-US" w:eastAsia="zh-CN"/>
        </w:rPr>
        <w:t>并</w:t>
      </w:r>
      <w:r>
        <w:rPr>
          <w:rStyle w:val="24"/>
          <w:rFonts w:hint="eastAsia" w:cs="Times New Roman"/>
          <w:color w:val="auto"/>
          <w:sz w:val="24"/>
          <w:szCs w:val="24"/>
          <w:highlight w:val="none"/>
        </w:rPr>
        <w:t>愿意承担法律责任</w:t>
      </w:r>
      <w:r>
        <w:rPr>
          <w:rStyle w:val="24"/>
          <w:rFonts w:hint="eastAsia" w:cs="Times New Roman"/>
          <w:color w:val="auto"/>
          <w:sz w:val="24"/>
          <w:szCs w:val="24"/>
          <w:highlight w:val="none"/>
          <w:lang w:eastAsia="zh-CN"/>
        </w:rPr>
        <w:t>！</w:t>
      </w:r>
    </w:p>
    <w:p w14:paraId="456DD54D">
      <w:pPr>
        <w:widowControl/>
        <w:autoSpaceDE w:val="0"/>
        <w:autoSpaceDN w:val="0"/>
        <w:adjustRightInd w:val="0"/>
        <w:spacing w:line="440" w:lineRule="exact"/>
        <w:ind w:right="-481"/>
        <w:rPr>
          <w:rFonts w:ascii="仿宋" w:hAnsi="仿宋" w:eastAsia="仿宋" w:cs="Times New Roman"/>
          <w:color w:val="auto"/>
          <w:kern w:val="1"/>
          <w:sz w:val="24"/>
          <w:szCs w:val="24"/>
          <w:highlight w:val="none"/>
        </w:rPr>
      </w:pPr>
    </w:p>
    <w:p w14:paraId="6BF4AD85">
      <w:pPr>
        <w:widowControl/>
        <w:autoSpaceDE w:val="0"/>
        <w:autoSpaceDN w:val="0"/>
        <w:adjustRightInd w:val="0"/>
        <w:spacing w:line="440" w:lineRule="exact"/>
        <w:ind w:right="-481"/>
        <w:rPr>
          <w:rFonts w:ascii="仿宋" w:hAnsi="仿宋" w:eastAsia="仿宋" w:cs="Times New Roman"/>
          <w:color w:val="auto"/>
          <w:kern w:val="1"/>
          <w:sz w:val="24"/>
          <w:szCs w:val="24"/>
          <w:highlight w:val="none"/>
        </w:rPr>
      </w:pPr>
    </w:p>
    <w:p w14:paraId="370F513C">
      <w:pPr>
        <w:spacing w:line="440" w:lineRule="exact"/>
        <w:jc w:val="righ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lang w:eastAsia="zh-CN"/>
        </w:rPr>
        <w:t>供  应  商</w:t>
      </w:r>
      <w:r>
        <w:rPr>
          <w:rFonts w:hint="eastAsia" w:ascii="仿宋" w:hAnsi="仿宋" w:eastAsia="仿宋" w:cs="Times New Roman"/>
          <w:color w:val="auto"/>
          <w:kern w:val="0"/>
          <w:sz w:val="24"/>
          <w:szCs w:val="24"/>
          <w:highlight w:val="none"/>
        </w:rPr>
        <w:t>：</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（盖单位公章）</w:t>
      </w:r>
    </w:p>
    <w:p w14:paraId="2D1D5B7D">
      <w:pPr>
        <w:spacing w:line="440" w:lineRule="exact"/>
        <w:jc w:val="righ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法定代表人：</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（签字或盖章）</w:t>
      </w:r>
    </w:p>
    <w:p w14:paraId="42BA0612">
      <w:pPr>
        <w:spacing w:line="440" w:lineRule="exact"/>
        <w:jc w:val="right"/>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日      期：</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年</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月</w:t>
      </w:r>
      <w:r>
        <w:rPr>
          <w:rFonts w:hint="eastAsia" w:ascii="仿宋" w:hAnsi="仿宋" w:eastAsia="仿宋" w:cs="Times New Roman"/>
          <w:color w:val="auto"/>
          <w:kern w:val="0"/>
          <w:sz w:val="24"/>
          <w:szCs w:val="24"/>
          <w:highlight w:val="none"/>
          <w:u w:val="single"/>
        </w:rPr>
        <w:t xml:space="preserve">   </w:t>
      </w:r>
      <w:r>
        <w:rPr>
          <w:rFonts w:hint="eastAsia" w:ascii="仿宋" w:hAnsi="仿宋" w:eastAsia="仿宋" w:cs="Times New Roman"/>
          <w:color w:val="auto"/>
          <w:kern w:val="0"/>
          <w:sz w:val="24"/>
          <w:szCs w:val="24"/>
          <w:highlight w:val="none"/>
        </w:rPr>
        <w:t>日</w:t>
      </w:r>
    </w:p>
    <w:p w14:paraId="603E9DA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14:paraId="12073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14:paraId="528DAE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14:paraId="401636A0">
      <w:pPr>
        <w:pStyle w:val="27"/>
        <w:numPr>
          <w:ilvl w:val="0"/>
          <w:numId w:val="0"/>
        </w:numPr>
        <w:jc w:val="center"/>
        <w:outlineLvl w:val="1"/>
        <w:rPr>
          <w:rFonts w:hint="eastAsia" w:ascii="仿宋" w:hAnsi="仿宋" w:eastAsia="仿宋" w:cs="仿宋"/>
          <w:color w:val="auto"/>
          <w:kern w:val="0"/>
          <w:sz w:val="32"/>
          <w:szCs w:val="32"/>
          <w:highlight w:val="none"/>
          <w:lang w:val="en-US" w:eastAsia="zh-CN" w:bidi="ar-SA"/>
        </w:rPr>
      </w:pPr>
      <w:bookmarkStart w:id="78" w:name="_Toc14014"/>
      <w:bookmarkStart w:id="79" w:name="_Toc21978"/>
      <w:r>
        <w:rPr>
          <w:rFonts w:hint="eastAsia" w:ascii="仿宋" w:hAnsi="仿宋" w:eastAsia="仿宋" w:cs="仿宋"/>
          <w:color w:val="auto"/>
          <w:kern w:val="0"/>
          <w:sz w:val="32"/>
          <w:szCs w:val="32"/>
          <w:highlight w:val="none"/>
          <w:lang w:val="en-US" w:eastAsia="zh-CN" w:bidi="ar-SA"/>
        </w:rPr>
        <w:t>七、落实政府采购政策需满足的资格要求</w:t>
      </w:r>
      <w:bookmarkEnd w:id="78"/>
      <w:bookmarkEnd w:id="79"/>
    </w:p>
    <w:p w14:paraId="4DC1EA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中小企业声明函（服务）</w:t>
      </w:r>
    </w:p>
    <w:p w14:paraId="17EB6D2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B1FEFB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本公司（联合体）郑重声明，根据《政府采购促进中小企业发展管理办法》 </w:t>
      </w:r>
    </w:p>
    <w:p w14:paraId="5F233AD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（财库﹝2020﹞46号）的规定，本公司（联合体）参加</w:t>
      </w:r>
      <w:r>
        <w:rPr>
          <w:rFonts w:hint="eastAsia" w:ascii="仿宋" w:hAnsi="仿宋" w:eastAsia="仿宋" w:cs="仿宋"/>
          <w:i/>
          <w:iCs/>
          <w:color w:val="000000"/>
          <w:kern w:val="0"/>
          <w:sz w:val="24"/>
          <w:szCs w:val="24"/>
          <w:highlight w:val="none"/>
          <w:u w:val="single"/>
          <w:lang w:val="en-US" w:eastAsia="zh-CN" w:bidi="ar"/>
        </w:rPr>
        <w:t>（单位名称）</w:t>
      </w:r>
      <w:r>
        <w:rPr>
          <w:rFonts w:hint="eastAsia" w:ascii="仿宋" w:hAnsi="仿宋" w:eastAsia="仿宋" w:cs="仿宋"/>
          <w:color w:val="000000"/>
          <w:kern w:val="0"/>
          <w:sz w:val="24"/>
          <w:szCs w:val="24"/>
          <w:highlight w:val="none"/>
          <w:lang w:val="en-US" w:eastAsia="zh-CN" w:bidi="ar"/>
        </w:rPr>
        <w:t>的</w:t>
      </w:r>
      <w:r>
        <w:rPr>
          <w:rFonts w:hint="eastAsia" w:ascii="仿宋" w:hAnsi="仿宋" w:eastAsia="仿宋" w:cs="仿宋"/>
          <w:i/>
          <w:iCs/>
          <w:color w:val="000000"/>
          <w:kern w:val="0"/>
          <w:sz w:val="24"/>
          <w:szCs w:val="24"/>
          <w:highlight w:val="none"/>
          <w:u w:val="single"/>
          <w:lang w:val="en-US" w:eastAsia="zh-CN" w:bidi="ar"/>
        </w:rPr>
        <w:t>（项目名称）</w:t>
      </w:r>
      <w:r>
        <w:rPr>
          <w:rFonts w:hint="eastAsia" w:ascii="仿宋" w:hAnsi="仿宋" w:eastAsia="仿宋" w:cs="仿宋"/>
          <w:color w:val="000000"/>
          <w:kern w:val="0"/>
          <w:sz w:val="24"/>
          <w:szCs w:val="24"/>
          <w:highlight w:val="none"/>
          <w:lang w:val="en-US" w:eastAsia="zh-CN"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12E676A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 </w:t>
      </w:r>
      <w:r>
        <w:rPr>
          <w:rFonts w:hint="eastAsia" w:ascii="仿宋" w:hAnsi="仿宋" w:eastAsia="仿宋" w:cs="仿宋"/>
          <w:i/>
          <w:iCs/>
          <w:color w:val="000000"/>
          <w:kern w:val="0"/>
          <w:sz w:val="24"/>
          <w:szCs w:val="24"/>
          <w:highlight w:val="none"/>
          <w:u w:val="single"/>
          <w:lang w:val="en-US" w:eastAsia="zh-CN" w:bidi="ar"/>
        </w:rPr>
        <w:t>（标的名称）</w:t>
      </w:r>
      <w:r>
        <w:rPr>
          <w:rFonts w:hint="eastAsia" w:ascii="仿宋" w:hAnsi="仿宋" w:eastAsia="仿宋" w:cs="仿宋"/>
          <w:color w:val="000000"/>
          <w:kern w:val="0"/>
          <w:sz w:val="24"/>
          <w:szCs w:val="24"/>
          <w:highlight w:val="none"/>
          <w:lang w:val="en-US" w:eastAsia="zh-CN" w:bidi="ar"/>
        </w:rPr>
        <w:t>，属于</w:t>
      </w:r>
      <w:r>
        <w:rPr>
          <w:rFonts w:hint="eastAsia" w:ascii="仿宋" w:hAnsi="仿宋" w:eastAsia="仿宋" w:cs="仿宋"/>
          <w:i/>
          <w:iCs/>
          <w:color w:val="000000"/>
          <w:kern w:val="0"/>
          <w:sz w:val="24"/>
          <w:szCs w:val="24"/>
          <w:highlight w:val="none"/>
          <w:u w:val="single"/>
          <w:lang w:val="en-US" w:eastAsia="zh-CN" w:bidi="ar"/>
        </w:rPr>
        <w:t>（其他未列明行业）</w:t>
      </w:r>
      <w:r>
        <w:rPr>
          <w:rFonts w:hint="eastAsia" w:ascii="仿宋" w:hAnsi="仿宋" w:eastAsia="仿宋" w:cs="仿宋"/>
          <w:color w:val="000000"/>
          <w:kern w:val="0"/>
          <w:sz w:val="24"/>
          <w:szCs w:val="24"/>
          <w:highlight w:val="none"/>
          <w:lang w:val="en-US" w:eastAsia="zh-CN" w:bidi="ar"/>
        </w:rPr>
        <w:t>；承建（承接）企业为</w:t>
      </w:r>
      <w:r>
        <w:rPr>
          <w:rFonts w:hint="eastAsia" w:ascii="仿宋" w:hAnsi="仿宋" w:eastAsia="仿宋" w:cs="仿宋"/>
          <w:i/>
          <w:iCs/>
          <w:color w:val="000000"/>
          <w:kern w:val="0"/>
          <w:sz w:val="24"/>
          <w:szCs w:val="24"/>
          <w:highlight w:val="none"/>
          <w:u w:val="single"/>
          <w:lang w:val="en-US" w:eastAsia="zh-CN" w:bidi="ar"/>
        </w:rPr>
        <w:t>（企业名称）</w:t>
      </w:r>
      <w:r>
        <w:rPr>
          <w:rFonts w:hint="eastAsia" w:ascii="仿宋" w:hAnsi="仿宋" w:eastAsia="仿宋" w:cs="仿宋"/>
          <w:color w:val="000000"/>
          <w:kern w:val="0"/>
          <w:sz w:val="24"/>
          <w:szCs w:val="24"/>
          <w:highlight w:val="none"/>
          <w:lang w:val="en-US" w:eastAsia="zh-CN"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为万元，属于</w:t>
      </w:r>
      <w:r>
        <w:rPr>
          <w:rFonts w:hint="eastAsia" w:ascii="仿宋" w:hAnsi="仿宋" w:eastAsia="仿宋" w:cs="仿宋"/>
          <w:i/>
          <w:iCs/>
          <w:color w:val="000000"/>
          <w:kern w:val="0"/>
          <w:sz w:val="24"/>
          <w:szCs w:val="24"/>
          <w:highlight w:val="none"/>
          <w:u w:val="single"/>
          <w:lang w:val="en-US" w:eastAsia="zh-CN" w:bidi="ar"/>
        </w:rPr>
        <w:t>（中型企业、小型企业、微型企业）</w:t>
      </w:r>
      <w:r>
        <w:rPr>
          <w:rFonts w:hint="eastAsia" w:ascii="仿宋" w:hAnsi="仿宋" w:eastAsia="仿宋" w:cs="仿宋"/>
          <w:color w:val="000000"/>
          <w:kern w:val="0"/>
          <w:sz w:val="24"/>
          <w:szCs w:val="24"/>
          <w:highlight w:val="none"/>
          <w:lang w:val="en-US" w:eastAsia="zh-CN" w:bidi="ar"/>
        </w:rPr>
        <w:t xml:space="preserve">； </w:t>
      </w:r>
    </w:p>
    <w:p w14:paraId="12D3366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 </w:t>
      </w:r>
      <w:r>
        <w:rPr>
          <w:rFonts w:hint="eastAsia" w:ascii="仿宋" w:hAnsi="仿宋" w:eastAsia="仿宋" w:cs="仿宋"/>
          <w:i/>
          <w:iCs/>
          <w:color w:val="000000"/>
          <w:kern w:val="0"/>
          <w:sz w:val="24"/>
          <w:szCs w:val="24"/>
          <w:highlight w:val="none"/>
          <w:u w:val="single"/>
          <w:lang w:val="en-US" w:eastAsia="zh-CN" w:bidi="ar"/>
        </w:rPr>
        <w:t>（标的名称）</w:t>
      </w:r>
      <w:r>
        <w:rPr>
          <w:rFonts w:hint="eastAsia" w:ascii="仿宋" w:hAnsi="仿宋" w:eastAsia="仿宋" w:cs="仿宋"/>
          <w:color w:val="000000"/>
          <w:kern w:val="0"/>
          <w:sz w:val="24"/>
          <w:szCs w:val="24"/>
          <w:highlight w:val="none"/>
          <w:lang w:val="en-US" w:eastAsia="zh-CN" w:bidi="ar"/>
        </w:rPr>
        <w:t>，属于</w:t>
      </w:r>
      <w:r>
        <w:rPr>
          <w:rFonts w:hint="eastAsia" w:ascii="仿宋" w:hAnsi="仿宋" w:eastAsia="仿宋" w:cs="仿宋"/>
          <w:i/>
          <w:iCs/>
          <w:color w:val="000000"/>
          <w:kern w:val="0"/>
          <w:sz w:val="24"/>
          <w:szCs w:val="24"/>
          <w:highlight w:val="none"/>
          <w:u w:val="single"/>
          <w:lang w:val="en-US" w:eastAsia="zh-CN" w:bidi="ar"/>
        </w:rPr>
        <w:t>（采购文件中明确的所属行业）</w:t>
      </w:r>
      <w:r>
        <w:rPr>
          <w:rFonts w:hint="eastAsia" w:ascii="仿宋" w:hAnsi="仿宋" w:eastAsia="仿宋" w:cs="仿宋"/>
          <w:color w:val="000000"/>
          <w:kern w:val="0"/>
          <w:sz w:val="24"/>
          <w:szCs w:val="24"/>
          <w:highlight w:val="none"/>
          <w:lang w:val="en-US" w:eastAsia="zh-CN" w:bidi="ar"/>
        </w:rPr>
        <w:t>；承建（承接）企业</w:t>
      </w:r>
    </w:p>
    <w:p w14:paraId="44FFAF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为</w:t>
      </w:r>
      <w:r>
        <w:rPr>
          <w:rFonts w:hint="eastAsia" w:ascii="仿宋" w:hAnsi="仿宋" w:eastAsia="仿宋" w:cs="仿宋"/>
          <w:i/>
          <w:iCs/>
          <w:color w:val="000000"/>
          <w:kern w:val="0"/>
          <w:sz w:val="24"/>
          <w:szCs w:val="24"/>
          <w:highlight w:val="none"/>
          <w:u w:val="single"/>
          <w:lang w:val="en-US" w:eastAsia="zh-CN" w:bidi="ar"/>
        </w:rPr>
        <w:t>（企业名称）</w:t>
      </w:r>
      <w:r>
        <w:rPr>
          <w:rFonts w:hint="eastAsia" w:ascii="仿宋" w:hAnsi="仿宋" w:eastAsia="仿宋" w:cs="仿宋"/>
          <w:color w:val="000000"/>
          <w:kern w:val="0"/>
          <w:sz w:val="24"/>
          <w:szCs w:val="24"/>
          <w:highlight w:val="none"/>
          <w:lang w:val="en-US" w:eastAsia="zh-CN"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为万元，属于</w:t>
      </w:r>
      <w:r>
        <w:rPr>
          <w:rFonts w:hint="eastAsia" w:ascii="仿宋" w:hAnsi="仿宋" w:eastAsia="仿宋" w:cs="仿宋"/>
          <w:i/>
          <w:iCs/>
          <w:color w:val="000000"/>
          <w:kern w:val="0"/>
          <w:sz w:val="24"/>
          <w:szCs w:val="24"/>
          <w:highlight w:val="none"/>
          <w:u w:val="single"/>
          <w:lang w:val="en-US" w:eastAsia="zh-CN" w:bidi="ar"/>
        </w:rPr>
        <w:t>（中型企业、小型企业、微型企业）</w:t>
      </w:r>
      <w:r>
        <w:rPr>
          <w:rFonts w:hint="eastAsia" w:ascii="仿宋" w:hAnsi="仿宋" w:eastAsia="仿宋" w:cs="仿宋"/>
          <w:color w:val="000000"/>
          <w:kern w:val="0"/>
          <w:sz w:val="24"/>
          <w:szCs w:val="24"/>
          <w:highlight w:val="none"/>
          <w:lang w:val="en-US" w:eastAsia="zh-CN" w:bidi="ar"/>
        </w:rPr>
        <w:t xml:space="preserve">；； </w:t>
      </w:r>
    </w:p>
    <w:p w14:paraId="328F2C5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w:t>
      </w:r>
    </w:p>
    <w:p w14:paraId="19F6E00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以上企业，不属于大企业的分支机构，不存在控股股东为大企业的情形， </w:t>
      </w:r>
    </w:p>
    <w:p w14:paraId="5964BB8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也不存在与大企业的负责人为同一人的情形。 </w:t>
      </w:r>
    </w:p>
    <w:p w14:paraId="196889C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本企业对上述声明内容的真实性负责。如有虚假，将依法承担相应责任。</w:t>
      </w:r>
    </w:p>
    <w:p w14:paraId="117FA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center"/>
        <w:textAlignment w:val="auto"/>
        <w:rPr>
          <w:rFonts w:hint="eastAsia" w:ascii="仿宋" w:hAnsi="仿宋" w:eastAsia="仿宋" w:cs="仿宋"/>
          <w:i w:val="0"/>
          <w:iCs w:val="0"/>
          <w:caps w:val="0"/>
          <w:color w:val="000000"/>
          <w:spacing w:val="0"/>
          <w:kern w:val="0"/>
          <w:sz w:val="24"/>
          <w:szCs w:val="24"/>
          <w:highlight w:val="none"/>
          <w:lang w:val="en-US" w:eastAsia="zh-CN" w:bidi="ar"/>
        </w:rPr>
      </w:pPr>
      <w:r>
        <w:rPr>
          <w:rFonts w:hint="eastAsia" w:ascii="仿宋" w:hAnsi="仿宋" w:eastAsia="仿宋" w:cs="仿宋"/>
          <w:i w:val="0"/>
          <w:iCs w:val="0"/>
          <w:caps w:val="0"/>
          <w:color w:val="000000"/>
          <w:spacing w:val="0"/>
          <w:kern w:val="0"/>
          <w:sz w:val="24"/>
          <w:szCs w:val="24"/>
          <w:highlight w:val="none"/>
          <w:lang w:val="en-US" w:eastAsia="zh-CN" w:bidi="ar"/>
        </w:rPr>
        <w:t xml:space="preserve"> </w:t>
      </w:r>
    </w:p>
    <w:p w14:paraId="2B7584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jc w:val="center"/>
        <w:textAlignment w:val="auto"/>
        <w:rPr>
          <w:rFonts w:hint="eastAsia" w:ascii="仿宋" w:hAnsi="仿宋" w:eastAsia="仿宋" w:cs="仿宋"/>
          <w:i w:val="0"/>
          <w:iCs w:val="0"/>
          <w:caps w:val="0"/>
          <w:color w:val="000000"/>
          <w:spacing w:val="0"/>
          <w:kern w:val="0"/>
          <w:sz w:val="24"/>
          <w:szCs w:val="24"/>
          <w:highlight w:val="none"/>
          <w:u w:val="single"/>
          <w:lang w:val="en-US" w:eastAsia="zh-CN" w:bidi="ar"/>
        </w:rPr>
      </w:pPr>
      <w:r>
        <w:rPr>
          <w:rFonts w:hint="eastAsia" w:ascii="仿宋" w:hAnsi="仿宋" w:eastAsia="仿宋" w:cs="仿宋"/>
          <w:i w:val="0"/>
          <w:iCs w:val="0"/>
          <w:caps w:val="0"/>
          <w:color w:val="000000"/>
          <w:spacing w:val="0"/>
          <w:kern w:val="0"/>
          <w:sz w:val="24"/>
          <w:szCs w:val="24"/>
          <w:highlight w:val="none"/>
          <w:lang w:val="en-US" w:eastAsia="zh-CN" w:bidi="ar"/>
        </w:rPr>
        <w:t xml:space="preserve">             企业名称（盖章）：</w:t>
      </w:r>
      <w:r>
        <w:rPr>
          <w:rFonts w:hint="eastAsia" w:ascii="仿宋" w:hAnsi="仿宋" w:eastAsia="仿宋" w:cs="仿宋"/>
          <w:i w:val="0"/>
          <w:iCs w:val="0"/>
          <w:caps w:val="0"/>
          <w:color w:val="000000"/>
          <w:spacing w:val="0"/>
          <w:kern w:val="0"/>
          <w:sz w:val="24"/>
          <w:szCs w:val="24"/>
          <w:highlight w:val="none"/>
          <w:u w:val="single"/>
          <w:lang w:val="en-US" w:eastAsia="zh-CN" w:bidi="ar"/>
        </w:rPr>
        <w:t xml:space="preserve">          </w:t>
      </w:r>
    </w:p>
    <w:p w14:paraId="2E95F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520" w:firstLineChars="2300"/>
        <w:jc w:val="both"/>
        <w:textAlignment w:val="auto"/>
        <w:rPr>
          <w:rFonts w:hint="eastAsia" w:ascii="仿宋" w:hAnsi="仿宋" w:eastAsia="仿宋" w:cs="仿宋"/>
          <w:i w:val="0"/>
          <w:iCs w:val="0"/>
          <w:caps w:val="0"/>
          <w:color w:val="000000"/>
          <w:spacing w:val="0"/>
          <w:kern w:val="0"/>
          <w:sz w:val="27"/>
          <w:szCs w:val="27"/>
          <w:highlight w:val="none"/>
          <w:u w:val="single"/>
          <w:lang w:val="en-US" w:eastAsia="zh-CN" w:bidi="ar"/>
        </w:rPr>
      </w:pPr>
      <w:r>
        <w:rPr>
          <w:rFonts w:hint="eastAsia" w:ascii="仿宋" w:hAnsi="仿宋" w:eastAsia="仿宋" w:cs="仿宋"/>
          <w:i w:val="0"/>
          <w:iCs w:val="0"/>
          <w:caps w:val="0"/>
          <w:color w:val="000000"/>
          <w:spacing w:val="0"/>
          <w:kern w:val="0"/>
          <w:sz w:val="24"/>
          <w:szCs w:val="24"/>
          <w:highlight w:val="none"/>
          <w:lang w:val="en-US" w:eastAsia="zh-CN" w:bidi="ar"/>
        </w:rPr>
        <w:t>日期：</w:t>
      </w:r>
      <w:r>
        <w:rPr>
          <w:rFonts w:hint="eastAsia" w:ascii="仿宋" w:hAnsi="仿宋" w:eastAsia="仿宋" w:cs="仿宋"/>
          <w:i w:val="0"/>
          <w:iCs w:val="0"/>
          <w:caps w:val="0"/>
          <w:color w:val="000000"/>
          <w:spacing w:val="0"/>
          <w:kern w:val="0"/>
          <w:sz w:val="24"/>
          <w:szCs w:val="24"/>
          <w:highlight w:val="none"/>
          <w:u w:val="single"/>
          <w:lang w:val="en-US" w:eastAsia="zh-CN" w:bidi="ar"/>
        </w:rPr>
        <w:t xml:space="preserve">         </w:t>
      </w:r>
    </w:p>
    <w:p w14:paraId="68FDB2F0">
      <w:pPr>
        <w:rPr>
          <w:rFonts w:hint="eastAsia" w:ascii="仿宋" w:hAnsi="仿宋" w:eastAsia="仿宋" w:cs="仿宋"/>
          <w:b w:val="0"/>
          <w:bCs w:val="0"/>
          <w:color w:val="000000"/>
          <w:kern w:val="0"/>
          <w:sz w:val="21"/>
          <w:szCs w:val="21"/>
          <w:highlight w:val="none"/>
          <w:lang w:val="en-US" w:eastAsia="zh-CN" w:bidi="ar"/>
        </w:rPr>
      </w:pPr>
    </w:p>
    <w:p w14:paraId="79EA4A95">
      <w:pPr>
        <w:rPr>
          <w:rFonts w:hint="eastAsia" w:ascii="仿宋" w:hAnsi="仿宋" w:eastAsia="仿宋" w:cs="仿宋"/>
          <w:b w:val="0"/>
          <w:bCs w:val="0"/>
          <w:color w:val="000000"/>
          <w:kern w:val="0"/>
          <w:sz w:val="21"/>
          <w:szCs w:val="21"/>
          <w:highlight w:val="none"/>
          <w:lang w:val="en-US" w:eastAsia="zh-CN" w:bidi="ar"/>
        </w:rPr>
      </w:pPr>
    </w:p>
    <w:p w14:paraId="2C5709A3">
      <w:pPr>
        <w:rPr>
          <w:rFonts w:hint="eastAsia" w:ascii="仿宋" w:hAnsi="仿宋" w:eastAsia="仿宋" w:cs="仿宋"/>
          <w:b w:val="0"/>
          <w:bCs w:val="0"/>
          <w:color w:val="000000"/>
          <w:kern w:val="0"/>
          <w:sz w:val="21"/>
          <w:szCs w:val="21"/>
          <w:highlight w:val="none"/>
          <w:lang w:val="en-US" w:eastAsia="zh-CN" w:bidi="ar"/>
        </w:rPr>
      </w:pPr>
    </w:p>
    <w:p w14:paraId="7054ACAB">
      <w:pPr>
        <w:rPr>
          <w:rFonts w:hint="eastAsia" w:ascii="仿宋" w:hAnsi="仿宋" w:eastAsia="仿宋" w:cs="仿宋"/>
          <w:b w:val="0"/>
          <w:bCs w:val="0"/>
          <w:color w:val="000000"/>
          <w:kern w:val="0"/>
          <w:sz w:val="21"/>
          <w:szCs w:val="21"/>
          <w:highlight w:val="none"/>
          <w:lang w:val="en-US" w:eastAsia="zh-CN" w:bidi="ar"/>
        </w:rPr>
      </w:pPr>
    </w:p>
    <w:p w14:paraId="3587C514">
      <w:pPr>
        <w:rPr>
          <w:rFonts w:hint="eastAsia" w:ascii="仿宋" w:hAnsi="仿宋" w:eastAsia="仿宋" w:cs="仿宋"/>
          <w:b w:val="0"/>
          <w:bCs w:val="0"/>
          <w:color w:val="000000"/>
          <w:kern w:val="0"/>
          <w:sz w:val="21"/>
          <w:szCs w:val="21"/>
          <w:highlight w:val="none"/>
          <w:lang w:val="en-US" w:eastAsia="zh-CN" w:bidi="ar"/>
        </w:rPr>
      </w:pPr>
    </w:p>
    <w:p w14:paraId="0A8A9347">
      <w:pPr>
        <w:rPr>
          <w:rFonts w:hint="eastAsia" w:ascii="仿宋" w:hAnsi="仿宋" w:eastAsia="仿宋" w:cs="仿宋"/>
          <w:b w:val="0"/>
          <w:bCs w:val="0"/>
          <w:color w:val="000000"/>
          <w:kern w:val="0"/>
          <w:sz w:val="21"/>
          <w:szCs w:val="21"/>
          <w:highlight w:val="none"/>
          <w:lang w:val="en-US" w:eastAsia="zh-CN" w:bidi="ar"/>
        </w:rPr>
      </w:pPr>
    </w:p>
    <w:p w14:paraId="1C6923B4">
      <w:pPr>
        <w:rPr>
          <w:rFonts w:hint="eastAsia" w:ascii="仿宋" w:hAnsi="仿宋" w:eastAsia="仿宋" w:cs="仿宋"/>
          <w:b w:val="0"/>
          <w:bCs w:val="0"/>
          <w:color w:val="000000"/>
          <w:kern w:val="0"/>
          <w:sz w:val="21"/>
          <w:szCs w:val="21"/>
          <w:highlight w:val="none"/>
          <w:lang w:val="en-US" w:eastAsia="zh-CN" w:bidi="ar"/>
        </w:rPr>
      </w:pPr>
    </w:p>
    <w:p w14:paraId="4ED6FE7C">
      <w:pPr>
        <w:rPr>
          <w:rFonts w:hint="eastAsia" w:ascii="仿宋" w:hAnsi="仿宋" w:eastAsia="仿宋" w:cs="仿宋"/>
          <w:b w:val="0"/>
          <w:bCs w:val="0"/>
          <w:color w:val="000000"/>
          <w:kern w:val="0"/>
          <w:sz w:val="21"/>
          <w:szCs w:val="21"/>
          <w:highlight w:val="none"/>
          <w:lang w:val="en-US" w:eastAsia="zh-CN" w:bidi="ar"/>
        </w:rPr>
      </w:pPr>
      <w:r>
        <w:rPr>
          <w:rFonts w:hint="eastAsia" w:ascii="仿宋" w:hAnsi="仿宋" w:eastAsia="仿宋" w:cs="仿宋"/>
          <w:b w:val="0"/>
          <w:bCs w:val="0"/>
          <w:color w:val="000000"/>
          <w:kern w:val="0"/>
          <w:sz w:val="21"/>
          <w:szCs w:val="21"/>
          <w:highlight w:val="none"/>
          <w:lang w:val="en-US" w:eastAsia="zh-CN" w:bidi="ar"/>
        </w:rPr>
        <w:t>从业人员、营业收入、资产总额填报上一年度数据，无上一年度数据的新成立企业可不填报。</w:t>
      </w:r>
    </w:p>
    <w:p w14:paraId="4A50FBD5">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3BD2FF5">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残疾人福利性单位声明函格式</w:t>
      </w:r>
    </w:p>
    <w:p w14:paraId="6ADD5423">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p>
    <w:p w14:paraId="3626DA9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szCs w:val="24"/>
          <w:highlight w:val="none"/>
          <w:lang w:val="en-US" w:eastAsia="zh-CN" w:bidi="ar"/>
        </w:rPr>
        <w:t>（请进行勾选）</w:t>
      </w:r>
      <w:r>
        <w:rPr>
          <w:rFonts w:hint="eastAsia" w:ascii="仿宋" w:hAnsi="仿宋" w:eastAsia="仿宋" w:cs="仿宋"/>
          <w:color w:val="000000"/>
          <w:kern w:val="0"/>
          <w:sz w:val="24"/>
          <w:szCs w:val="24"/>
          <w:highlight w:val="none"/>
          <w:lang w:val="en-US" w:eastAsia="zh-CN" w:bidi="ar"/>
        </w:rPr>
        <w:t xml:space="preserve">： </w:t>
      </w:r>
    </w:p>
    <w:p w14:paraId="5D6A64FA">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□不属于符合条件的残疾人福利性单位。 </w:t>
      </w:r>
    </w:p>
    <w:p w14:paraId="624045D6">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□属于符合条件的残疾人福利性单位，</w:t>
      </w:r>
      <w:r>
        <w:rPr>
          <w:rFonts w:hint="eastAsia" w:ascii="仿宋" w:hAnsi="仿宋" w:eastAsia="仿宋" w:cs="仿宋"/>
          <w:color w:val="000000"/>
          <w:kern w:val="0"/>
          <w:sz w:val="24"/>
          <w:szCs w:val="24"/>
          <w:highlight w:val="none"/>
          <w:lang w:val="en-US" w:eastAsia="zh-CN" w:bidi="ar"/>
        </w:rPr>
        <w:t>且本单位参加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单位的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584922B0">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本单位对上述声明的真实性负责。如有虚假，将依法承担相应责任。 </w:t>
      </w:r>
    </w:p>
    <w:p w14:paraId="2B182F5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02EA3E4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1DD239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单位名称（盖章）：</w:t>
      </w:r>
    </w:p>
    <w:p w14:paraId="727795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日期：</w:t>
      </w:r>
    </w:p>
    <w:p w14:paraId="74576E01">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7BA27001">
      <w:pPr>
        <w:jc w:val="center"/>
        <w:rPr>
          <w:rFonts w:hint="eastAsia" w:ascii="仿宋" w:hAnsi="仿宋" w:eastAsia="仿宋" w:cs="仿宋"/>
          <w:b/>
          <w:bCs/>
          <w:kern w:val="2"/>
          <w:sz w:val="32"/>
          <w:szCs w:val="28"/>
          <w:highlight w:val="none"/>
          <w:lang w:val="en-US" w:eastAsia="zh-CN" w:bidi="ar-SA"/>
        </w:rPr>
      </w:pPr>
      <w:r>
        <w:rPr>
          <w:rFonts w:hint="eastAsia" w:ascii="仿宋" w:hAnsi="仿宋" w:eastAsia="仿宋" w:cs="仿宋"/>
          <w:color w:val="auto"/>
          <w:kern w:val="0"/>
          <w:sz w:val="32"/>
          <w:szCs w:val="32"/>
          <w:highlight w:val="none"/>
          <w:lang w:val="en-US" w:eastAsia="zh-CN" w:bidi="ar-SA"/>
        </w:rPr>
        <w:t>八、供应商无直接控股、管理关系书面声明函</w:t>
      </w:r>
    </w:p>
    <w:p w14:paraId="78EC6A54">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一、下述公司负责人与我公司单位负责人为同一人：（如无则本项填写“无”）  </w:t>
      </w:r>
    </w:p>
    <w:p w14:paraId="01AB03A2">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104A8B59">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23D2CB51">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6041AB9F">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3A6B5378">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二、我公司与下述公司存在直接控股关系：（如无则本项填写“无”） </w:t>
      </w:r>
    </w:p>
    <w:p w14:paraId="3FAEFF99">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72DB522F">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5941C994">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6C6690F4">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7E5331E7">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三、我公司与下述公司存在直接管理关系：（如无则本项填写“无”） </w:t>
      </w:r>
    </w:p>
    <w:p w14:paraId="309AC1FE">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6F1C5783">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795831CD">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61295775">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345E29A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我单位郑重声明：与本单位负责人为同一人或者与本单位存在直接控股关系、管理关系的供应商未参加</w:t>
      </w:r>
      <w:r>
        <w:rPr>
          <w:rFonts w:hint="eastAsia" w:ascii="仿宋" w:hAnsi="仿宋" w:eastAsia="仿宋" w:cs="仿宋"/>
          <w:sz w:val="24"/>
          <w:szCs w:val="24"/>
          <w:highlight w:val="none"/>
          <w:u w:val="single"/>
        </w:rPr>
        <w:t xml:space="preserve">  （项目名称、项目编号、包/标段号）    </w:t>
      </w:r>
      <w:r>
        <w:rPr>
          <w:rFonts w:hint="eastAsia" w:ascii="仿宋" w:hAnsi="仿宋" w:eastAsia="仿宋" w:cs="仿宋"/>
          <w:sz w:val="24"/>
          <w:szCs w:val="24"/>
          <w:highlight w:val="none"/>
        </w:rPr>
        <w:t>同一合同项下的投标。</w:t>
      </w:r>
    </w:p>
    <w:p w14:paraId="32F8898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我单位保证上述声明真实、有效、可查。</w:t>
      </w:r>
    </w:p>
    <w:p w14:paraId="24AC5E3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特此声明。 </w:t>
      </w:r>
    </w:p>
    <w:p w14:paraId="3590EA2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rPr>
      </w:pPr>
    </w:p>
    <w:p w14:paraId="05C21B2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供应商名称：</w:t>
      </w:r>
      <w:r>
        <w:rPr>
          <w:rFonts w:hint="eastAsia" w:ascii="仿宋" w:hAnsi="仿宋" w:eastAsia="仿宋" w:cs="仿宋"/>
          <w:sz w:val="24"/>
          <w:szCs w:val="24"/>
          <w:highlight w:val="none"/>
          <w:u w:val="single"/>
          <w:lang w:val="en-US" w:eastAsia="zh-CN"/>
        </w:rPr>
        <w:t xml:space="preserve">               （加盖单位公章）</w:t>
      </w:r>
    </w:p>
    <w:p w14:paraId="4B0BA6A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r>
        <w:rPr>
          <w:rFonts w:hint="eastAsia" w:ascii="仿宋" w:hAnsi="仿宋" w:eastAsia="仿宋" w:cs="仿宋"/>
          <w:sz w:val="24"/>
          <w:szCs w:val="24"/>
          <w:highlight w:val="none"/>
          <w:u w:val="single"/>
          <w:lang w:val="en-US" w:eastAsia="zh-CN"/>
        </w:rPr>
        <w:t xml:space="preserve">             （签字或印鉴）</w:t>
      </w:r>
    </w:p>
    <w:p w14:paraId="7242267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p>
    <w:p w14:paraId="32DC4E2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p>
    <w:p w14:paraId="2C6D7CF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注：1、单位负责人，是指单位法定代表人或者法律、行政法规规定代表单位行使职权的主要负责人。</w:t>
      </w:r>
    </w:p>
    <w:p w14:paraId="2AC1FBB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直接控股关系，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4CF3581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3、直接管理关系，是指不具有出资持股关系的其他单位之间存在的直接管理与被管理关系，如上下级关系的事业单位和团体组织。</w:t>
      </w:r>
    </w:p>
    <w:p w14:paraId="7666E196">
      <w:pPr>
        <w:rPr>
          <w:rFonts w:hint="eastAsia" w:ascii="仿宋" w:hAnsi="仿宋" w:eastAsia="仿宋" w:cs="仿宋"/>
          <w:b w:val="0"/>
          <w:bCs w:val="0"/>
          <w:color w:val="000000"/>
          <w:kern w:val="0"/>
          <w:sz w:val="24"/>
          <w:szCs w:val="24"/>
          <w:highlight w:val="none"/>
          <w:lang w:val="en-US" w:eastAsia="zh-CN" w:bidi="ar"/>
        </w:rPr>
      </w:pPr>
    </w:p>
    <w:p w14:paraId="52C6F5D3">
      <w:pPr>
        <w:rPr>
          <w:rFonts w:hint="eastAsia" w:ascii="仿宋" w:hAnsi="仿宋" w:eastAsia="仿宋" w:cs="仿宋"/>
          <w:b w:val="0"/>
          <w:bCs w:val="0"/>
          <w:color w:val="000000"/>
          <w:kern w:val="0"/>
          <w:sz w:val="24"/>
          <w:szCs w:val="24"/>
          <w:highlight w:val="none"/>
          <w:lang w:val="en-US" w:eastAsia="zh-CN" w:bidi="ar"/>
        </w:rPr>
      </w:pPr>
    </w:p>
    <w:p w14:paraId="36B85302">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5F8226AA">
      <w:pPr>
        <w:pStyle w:val="27"/>
        <w:numPr>
          <w:ilvl w:val="0"/>
          <w:numId w:val="0"/>
        </w:numPr>
        <w:jc w:val="center"/>
        <w:outlineLvl w:val="1"/>
        <w:rPr>
          <w:rFonts w:hint="eastAsia" w:ascii="仿宋" w:hAnsi="仿宋" w:eastAsia="仿宋" w:cs="仿宋"/>
          <w:b/>
          <w:bCs/>
          <w:kern w:val="2"/>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九、业绩一览表（格式）</w:t>
      </w:r>
    </w:p>
    <w:p w14:paraId="44C9C318">
      <w:pPr>
        <w:widowControl w:val="0"/>
        <w:numPr>
          <w:ilvl w:val="0"/>
          <w:numId w:val="0"/>
        </w:numPr>
        <w:spacing w:line="360" w:lineRule="auto"/>
        <w:ind w:leftChars="0" w:firstLine="240" w:firstLineChars="100"/>
        <w:jc w:val="both"/>
        <w:rPr>
          <w:rFonts w:hint="eastAsia" w:ascii="仿宋" w:hAnsi="仿宋" w:eastAsia="仿宋" w:cs="仿宋"/>
          <w:kern w:val="2"/>
          <w:sz w:val="24"/>
          <w:szCs w:val="24"/>
          <w:highlight w:val="none"/>
          <w:vertAlign w:val="baseline"/>
          <w:lang w:val="en-US" w:eastAsia="zh-CN" w:bidi="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656"/>
        <w:gridCol w:w="1645"/>
        <w:gridCol w:w="1219"/>
        <w:gridCol w:w="1824"/>
        <w:gridCol w:w="1117"/>
      </w:tblGrid>
      <w:tr w14:paraId="4B53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jc w:val="center"/>
        </w:trPr>
        <w:tc>
          <w:tcPr>
            <w:tcW w:w="857" w:type="dxa"/>
            <w:vAlign w:val="center"/>
          </w:tcPr>
          <w:p w14:paraId="47F386D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序号</w:t>
            </w:r>
          </w:p>
        </w:tc>
        <w:tc>
          <w:tcPr>
            <w:tcW w:w="1656" w:type="dxa"/>
            <w:vAlign w:val="center"/>
          </w:tcPr>
          <w:p w14:paraId="35503A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合同签订时间</w:t>
            </w:r>
          </w:p>
        </w:tc>
        <w:tc>
          <w:tcPr>
            <w:tcW w:w="1645" w:type="dxa"/>
            <w:vAlign w:val="center"/>
          </w:tcPr>
          <w:p w14:paraId="52FD39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服务主要内容</w:t>
            </w:r>
          </w:p>
        </w:tc>
        <w:tc>
          <w:tcPr>
            <w:tcW w:w="1219" w:type="dxa"/>
            <w:vAlign w:val="center"/>
          </w:tcPr>
          <w:p w14:paraId="6467EB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采购单位</w:t>
            </w:r>
          </w:p>
        </w:tc>
        <w:tc>
          <w:tcPr>
            <w:tcW w:w="1824" w:type="dxa"/>
            <w:vAlign w:val="center"/>
          </w:tcPr>
          <w:p w14:paraId="475A495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联系人及电话</w:t>
            </w:r>
          </w:p>
        </w:tc>
        <w:tc>
          <w:tcPr>
            <w:tcW w:w="1117" w:type="dxa"/>
            <w:vAlign w:val="center"/>
          </w:tcPr>
          <w:p w14:paraId="5EBEE5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highlight w:val="none"/>
                <w:vertAlign w:val="baseline"/>
                <w:lang w:val="en-US" w:eastAsia="zh-CN" w:bidi="zh-CN"/>
              </w:rPr>
            </w:pPr>
            <w:r>
              <w:rPr>
                <w:rFonts w:hint="eastAsia" w:ascii="仿宋" w:hAnsi="仿宋" w:eastAsia="仿宋" w:cs="仿宋"/>
                <w:kern w:val="2"/>
                <w:sz w:val="21"/>
                <w:szCs w:val="21"/>
                <w:highlight w:val="none"/>
                <w:vertAlign w:val="baseline"/>
                <w:lang w:val="en-US" w:eastAsia="zh-CN" w:bidi="zh-CN"/>
              </w:rPr>
              <w:t>履约情况</w:t>
            </w:r>
          </w:p>
        </w:tc>
      </w:tr>
      <w:tr w14:paraId="1967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7" w:type="dxa"/>
          </w:tcPr>
          <w:p w14:paraId="5E7AF5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56" w:type="dxa"/>
          </w:tcPr>
          <w:p w14:paraId="413996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45" w:type="dxa"/>
          </w:tcPr>
          <w:p w14:paraId="6AE8F5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219" w:type="dxa"/>
          </w:tcPr>
          <w:p w14:paraId="060E46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824" w:type="dxa"/>
          </w:tcPr>
          <w:p w14:paraId="4CE243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117" w:type="dxa"/>
          </w:tcPr>
          <w:p w14:paraId="10DC30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r>
      <w:tr w14:paraId="73B5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57" w:type="dxa"/>
          </w:tcPr>
          <w:p w14:paraId="6B0C80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56" w:type="dxa"/>
          </w:tcPr>
          <w:p w14:paraId="245FBA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45" w:type="dxa"/>
          </w:tcPr>
          <w:p w14:paraId="64686D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219" w:type="dxa"/>
          </w:tcPr>
          <w:p w14:paraId="60F0C3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824" w:type="dxa"/>
          </w:tcPr>
          <w:p w14:paraId="684A81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117" w:type="dxa"/>
          </w:tcPr>
          <w:p w14:paraId="3FDFFF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r>
      <w:tr w14:paraId="16AD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57" w:type="dxa"/>
          </w:tcPr>
          <w:p w14:paraId="72C207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56" w:type="dxa"/>
          </w:tcPr>
          <w:p w14:paraId="0BB4B9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645" w:type="dxa"/>
          </w:tcPr>
          <w:p w14:paraId="434C67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219" w:type="dxa"/>
          </w:tcPr>
          <w:p w14:paraId="6DE5B7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824" w:type="dxa"/>
          </w:tcPr>
          <w:p w14:paraId="6DA70D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c>
          <w:tcPr>
            <w:tcW w:w="1117" w:type="dxa"/>
          </w:tcPr>
          <w:p w14:paraId="42D5ED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highlight w:val="none"/>
                <w:vertAlign w:val="baseline"/>
                <w:lang w:val="en-US" w:eastAsia="zh-CN" w:bidi="zh-CN"/>
              </w:rPr>
            </w:pPr>
          </w:p>
        </w:tc>
      </w:tr>
    </w:tbl>
    <w:p w14:paraId="05F6FF6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240" w:firstLineChars="100"/>
        <w:jc w:val="both"/>
        <w:textAlignment w:val="auto"/>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 xml:space="preserve">  </w:t>
      </w:r>
    </w:p>
    <w:p w14:paraId="4BD457A9">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注： </w:t>
      </w:r>
    </w:p>
    <w:p w14:paraId="0079B945">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1.供应商应如实列出以上情况，如有虚假，一经查实将导致其</w:t>
      </w:r>
      <w:r>
        <w:rPr>
          <w:rFonts w:hint="eastAsia" w:ascii="仿宋" w:hAnsi="仿宋" w:eastAsia="仿宋" w:cs="仿宋"/>
          <w:b/>
          <w:bCs/>
          <w:kern w:val="2"/>
          <w:sz w:val="24"/>
          <w:szCs w:val="24"/>
          <w:highlight w:val="none"/>
          <w:lang w:val="en-US" w:eastAsia="zh-CN" w:bidi="ar-SA"/>
        </w:rPr>
        <w:t>响应无效</w:t>
      </w:r>
      <w:r>
        <w:rPr>
          <w:rFonts w:hint="eastAsia" w:ascii="仿宋" w:hAnsi="仿宋" w:eastAsia="仿宋" w:cs="仿宋"/>
          <w:kern w:val="2"/>
          <w:sz w:val="24"/>
          <w:szCs w:val="24"/>
          <w:highlight w:val="none"/>
          <w:lang w:val="en-US" w:eastAsia="zh-CN" w:bidi="ar-SA"/>
        </w:rPr>
        <w:t>并被拒绝。 2.供应商应按照采购文件第六章评标程序、评标方法和评标标准中的要求提供业绩证明材料。</w:t>
      </w:r>
    </w:p>
    <w:p w14:paraId="2FFA81F1">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kern w:val="2"/>
          <w:sz w:val="24"/>
          <w:szCs w:val="24"/>
          <w:highlight w:val="none"/>
          <w:lang w:val="en-US" w:eastAsia="zh-CN" w:bidi="zh-CN"/>
        </w:rPr>
      </w:pPr>
    </w:p>
    <w:p w14:paraId="0E90FC33">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供应商名称</w:t>
      </w:r>
      <w:r>
        <w:rPr>
          <w:rFonts w:hint="eastAsia" w:ascii="仿宋" w:hAnsi="仿宋" w:eastAsia="仿宋" w:cs="仿宋"/>
          <w:sz w:val="24"/>
          <w:szCs w:val="24"/>
          <w:highlight w:val="none"/>
          <w:u w:val="none"/>
          <w:lang w:val="en-US" w:eastAsia="zh-CN"/>
        </w:rPr>
        <w:t>：</w:t>
      </w:r>
      <w:r>
        <w:rPr>
          <w:rFonts w:hint="eastAsia" w:ascii="仿宋" w:hAnsi="仿宋" w:eastAsia="仿宋" w:cs="仿宋"/>
          <w:sz w:val="24"/>
          <w:szCs w:val="24"/>
          <w:highlight w:val="none"/>
          <w:u w:val="single"/>
          <w:lang w:val="en-US" w:eastAsia="zh-CN"/>
        </w:rPr>
        <w:t xml:space="preserve">                    （加盖单位公章）</w:t>
      </w:r>
    </w:p>
    <w:p w14:paraId="448C924A">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r>
        <w:rPr>
          <w:rFonts w:hint="eastAsia" w:ascii="仿宋" w:hAnsi="仿宋" w:eastAsia="仿宋" w:cs="仿宋"/>
          <w:sz w:val="24"/>
          <w:szCs w:val="24"/>
          <w:highlight w:val="none"/>
          <w:u w:val="single"/>
          <w:lang w:val="en-US" w:eastAsia="zh-CN"/>
        </w:rPr>
        <w:t xml:space="preserve">           （签字或签章）</w:t>
      </w:r>
    </w:p>
    <w:p w14:paraId="3385B5D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w:t>
      </w:r>
    </w:p>
    <w:p w14:paraId="1CE4B262">
      <w:pPr>
        <w:widowControl w:val="0"/>
        <w:spacing w:after="120" w:line="360" w:lineRule="auto"/>
        <w:ind w:left="420" w:leftChars="200" w:firstLine="420" w:firstLineChars="200"/>
        <w:jc w:val="both"/>
        <w:rPr>
          <w:rFonts w:hint="eastAsia" w:ascii="仿宋" w:hAnsi="仿宋" w:eastAsia="仿宋" w:cs="仿宋"/>
          <w:kern w:val="0"/>
          <w:sz w:val="21"/>
          <w:szCs w:val="24"/>
          <w:highlight w:val="none"/>
          <w:lang w:val="en-US" w:eastAsia="zh-CN" w:bidi="ar-SA"/>
        </w:rPr>
      </w:pPr>
    </w:p>
    <w:p w14:paraId="4B7DBE15">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6A69CF">
      <w:pPr>
        <w:pStyle w:val="27"/>
        <w:numPr>
          <w:ilvl w:val="0"/>
          <w:numId w:val="0"/>
        </w:numPr>
        <w:jc w:val="center"/>
        <w:outlineLvl w:val="1"/>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bidi="ar-SA"/>
        </w:rPr>
        <w:t>十、</w:t>
      </w:r>
      <w:r>
        <w:rPr>
          <w:rFonts w:hint="eastAsia" w:ascii="仿宋" w:hAnsi="仿宋" w:eastAsia="仿宋" w:cs="仿宋"/>
          <w:color w:val="auto"/>
          <w:kern w:val="0"/>
          <w:sz w:val="32"/>
          <w:szCs w:val="32"/>
          <w:highlight w:val="none"/>
          <w:lang w:val="en-US" w:eastAsia="zh-CN"/>
        </w:rPr>
        <w:t>技术文件</w:t>
      </w:r>
    </w:p>
    <w:p w14:paraId="66DE759E">
      <w:pPr>
        <w:pStyle w:val="27"/>
        <w:numPr>
          <w:ilvl w:val="0"/>
          <w:numId w:val="0"/>
        </w:numPr>
        <w:jc w:val="center"/>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（可根据评审办法自行补充，格式自拟）</w:t>
      </w:r>
    </w:p>
    <w:p w14:paraId="36D161B6">
      <w:pPr>
        <w:pStyle w:val="27"/>
        <w:numPr>
          <w:ilvl w:val="0"/>
          <w:numId w:val="0"/>
        </w:numPr>
        <w:jc w:val="both"/>
        <w:rPr>
          <w:rFonts w:hint="default" w:ascii="仿宋" w:hAnsi="仿宋" w:eastAsia="仿宋" w:cs="仿宋"/>
          <w:color w:val="auto"/>
          <w:kern w:val="0"/>
          <w:sz w:val="28"/>
          <w:szCs w:val="28"/>
          <w:highlight w:val="none"/>
          <w:lang w:val="en-US" w:eastAsia="zh-CN"/>
        </w:rPr>
      </w:pPr>
    </w:p>
    <w:p w14:paraId="217D6943">
      <w:pPr>
        <w:pStyle w:val="27"/>
        <w:numPr>
          <w:ilvl w:val="0"/>
          <w:numId w:val="0"/>
        </w:numPr>
        <w:jc w:val="both"/>
        <w:rPr>
          <w:rFonts w:hint="default" w:ascii="仿宋" w:hAnsi="仿宋" w:eastAsia="仿宋" w:cs="仿宋"/>
          <w:color w:val="auto"/>
          <w:kern w:val="0"/>
          <w:sz w:val="28"/>
          <w:szCs w:val="28"/>
          <w:highlight w:val="none"/>
          <w:lang w:val="en-US" w:eastAsia="zh-CN"/>
        </w:rPr>
      </w:pPr>
    </w:p>
    <w:p w14:paraId="48286FDC">
      <w:pPr>
        <w:pStyle w:val="27"/>
        <w:widowControl w:val="0"/>
        <w:numPr>
          <w:ilvl w:val="0"/>
          <w:numId w:val="0"/>
        </w:numPr>
        <w:spacing w:beforeLines="0" w:afterLines="0"/>
        <w:jc w:val="both"/>
        <w:rPr>
          <w:rFonts w:hint="default" w:ascii="仿宋" w:hAnsi="仿宋" w:eastAsia="仿宋" w:cs="仿宋"/>
          <w:color w:val="auto"/>
          <w:kern w:val="0"/>
          <w:sz w:val="28"/>
          <w:szCs w:val="28"/>
          <w:highlight w:val="none"/>
          <w:lang w:val="en-US" w:eastAsia="zh-CN"/>
        </w:rPr>
      </w:pPr>
    </w:p>
    <w:p w14:paraId="2152BBEF">
      <w:pPr>
        <w:pStyle w:val="27"/>
        <w:widowControl w:val="0"/>
        <w:numPr>
          <w:ilvl w:val="0"/>
          <w:numId w:val="0"/>
        </w:numPr>
        <w:spacing w:beforeLines="0" w:afterLines="0"/>
        <w:jc w:val="both"/>
        <w:rPr>
          <w:rFonts w:hint="default" w:ascii="仿宋" w:hAnsi="仿宋" w:eastAsia="仿宋" w:cs="仿宋"/>
          <w:color w:val="auto"/>
          <w:kern w:val="0"/>
          <w:sz w:val="28"/>
          <w:szCs w:val="28"/>
          <w:highlight w:val="none"/>
          <w:lang w:val="en-US" w:eastAsia="zh-CN"/>
        </w:rPr>
      </w:pPr>
    </w:p>
    <w:p w14:paraId="5B18DA79">
      <w:pPr>
        <w:pStyle w:val="27"/>
        <w:widowControl w:val="0"/>
        <w:numPr>
          <w:ilvl w:val="0"/>
          <w:numId w:val="0"/>
        </w:numPr>
        <w:spacing w:beforeLines="0" w:afterLines="0"/>
        <w:jc w:val="both"/>
        <w:rPr>
          <w:rFonts w:hint="default" w:ascii="仿宋" w:hAnsi="仿宋" w:eastAsia="仿宋" w:cs="仿宋"/>
          <w:color w:val="auto"/>
          <w:kern w:val="0"/>
          <w:sz w:val="28"/>
          <w:szCs w:val="28"/>
          <w:highlight w:val="none"/>
          <w:lang w:val="en-US" w:eastAsia="zh-CN"/>
        </w:rPr>
      </w:pPr>
    </w:p>
    <w:p w14:paraId="550AB9C9">
      <w:pPr>
        <w:pStyle w:val="27"/>
        <w:widowControl w:val="0"/>
        <w:numPr>
          <w:ilvl w:val="0"/>
          <w:numId w:val="0"/>
        </w:numPr>
        <w:spacing w:beforeLines="0" w:afterLines="0"/>
        <w:jc w:val="both"/>
        <w:rPr>
          <w:rFonts w:hint="default" w:ascii="仿宋" w:hAnsi="仿宋" w:eastAsia="仿宋" w:cs="仿宋"/>
          <w:color w:val="auto"/>
          <w:kern w:val="0"/>
          <w:sz w:val="28"/>
          <w:szCs w:val="28"/>
          <w:highlight w:val="none"/>
          <w:lang w:val="en-US" w:eastAsia="zh-CN"/>
        </w:rPr>
      </w:pPr>
    </w:p>
    <w:p w14:paraId="46C7DC33">
      <w:pPr>
        <w:pStyle w:val="27"/>
        <w:widowControl w:val="0"/>
        <w:numPr>
          <w:ilvl w:val="0"/>
          <w:numId w:val="0"/>
        </w:numPr>
        <w:spacing w:beforeLines="0" w:afterLines="0"/>
        <w:jc w:val="both"/>
        <w:rPr>
          <w:rFonts w:hint="default" w:ascii="仿宋" w:hAnsi="仿宋" w:eastAsia="仿宋" w:cs="仿宋"/>
          <w:color w:val="auto"/>
          <w:kern w:val="0"/>
          <w:sz w:val="28"/>
          <w:szCs w:val="28"/>
          <w:highlight w:val="none"/>
          <w:lang w:val="en-US" w:eastAsia="zh-CN"/>
        </w:rPr>
      </w:pPr>
    </w:p>
    <w:p w14:paraId="45FE6861">
      <w:pPr>
        <w:pStyle w:val="27"/>
        <w:widowControl w:val="0"/>
        <w:numPr>
          <w:ilvl w:val="0"/>
          <w:numId w:val="0"/>
        </w:numPr>
        <w:spacing w:beforeLines="0" w:afterLines="0"/>
        <w:jc w:val="both"/>
        <w:rPr>
          <w:rFonts w:hint="default" w:ascii="仿宋" w:hAnsi="仿宋" w:eastAsia="仿宋" w:cs="仿宋"/>
          <w:color w:val="auto"/>
          <w:kern w:val="0"/>
          <w:sz w:val="28"/>
          <w:szCs w:val="28"/>
          <w:highlight w:val="none"/>
          <w:lang w:val="en-US" w:eastAsia="zh-CN"/>
        </w:rPr>
      </w:pPr>
    </w:p>
    <w:p w14:paraId="5930786D">
      <w:pPr>
        <w:pStyle w:val="27"/>
        <w:widowControl w:val="0"/>
        <w:numPr>
          <w:ilvl w:val="0"/>
          <w:numId w:val="0"/>
        </w:numPr>
        <w:spacing w:beforeLines="0" w:afterLines="0"/>
        <w:jc w:val="both"/>
        <w:rPr>
          <w:rFonts w:hint="default" w:ascii="仿宋" w:hAnsi="仿宋" w:eastAsia="仿宋" w:cs="仿宋"/>
          <w:color w:val="auto"/>
          <w:kern w:val="0"/>
          <w:sz w:val="28"/>
          <w:szCs w:val="28"/>
          <w:highlight w:val="none"/>
          <w:lang w:val="en-US" w:eastAsia="zh-CN"/>
        </w:rPr>
      </w:pPr>
    </w:p>
    <w:p w14:paraId="2B591EAD">
      <w:pPr>
        <w:pStyle w:val="27"/>
        <w:widowControl w:val="0"/>
        <w:numPr>
          <w:ilvl w:val="0"/>
          <w:numId w:val="0"/>
        </w:numPr>
        <w:spacing w:beforeLines="0" w:afterLines="0"/>
        <w:jc w:val="both"/>
        <w:rPr>
          <w:rFonts w:hint="default" w:ascii="仿宋" w:hAnsi="仿宋" w:eastAsia="仿宋" w:cs="仿宋"/>
          <w:color w:val="auto"/>
          <w:kern w:val="0"/>
          <w:sz w:val="28"/>
          <w:szCs w:val="28"/>
          <w:highlight w:val="none"/>
          <w:lang w:val="en-US" w:eastAsia="zh-CN"/>
        </w:rPr>
      </w:pPr>
    </w:p>
    <w:p w14:paraId="2DA9102B">
      <w:pPr>
        <w:pStyle w:val="27"/>
        <w:widowControl w:val="0"/>
        <w:numPr>
          <w:ilvl w:val="0"/>
          <w:numId w:val="0"/>
        </w:numPr>
        <w:spacing w:beforeLines="0" w:afterLines="0"/>
        <w:jc w:val="both"/>
        <w:rPr>
          <w:rFonts w:hint="default" w:ascii="仿宋" w:hAnsi="仿宋" w:eastAsia="仿宋" w:cs="仿宋"/>
          <w:color w:val="auto"/>
          <w:kern w:val="0"/>
          <w:sz w:val="28"/>
          <w:szCs w:val="28"/>
          <w:highlight w:val="none"/>
          <w:lang w:val="en-US" w:eastAsia="zh-CN"/>
        </w:rPr>
      </w:pPr>
    </w:p>
    <w:p w14:paraId="13956657">
      <w:pPr>
        <w:pStyle w:val="27"/>
        <w:widowControl w:val="0"/>
        <w:numPr>
          <w:ilvl w:val="0"/>
          <w:numId w:val="0"/>
        </w:numPr>
        <w:spacing w:beforeLines="0" w:afterLines="0"/>
        <w:jc w:val="both"/>
        <w:rPr>
          <w:rFonts w:hint="default" w:ascii="仿宋" w:hAnsi="仿宋" w:eastAsia="仿宋" w:cs="仿宋"/>
          <w:color w:val="auto"/>
          <w:kern w:val="0"/>
          <w:sz w:val="28"/>
          <w:szCs w:val="28"/>
          <w:highlight w:val="none"/>
          <w:lang w:val="en-US" w:eastAsia="zh-CN"/>
        </w:rPr>
      </w:pPr>
    </w:p>
    <w:p w14:paraId="1BAA5199">
      <w:pPr>
        <w:pStyle w:val="27"/>
        <w:widowControl w:val="0"/>
        <w:numPr>
          <w:ilvl w:val="0"/>
          <w:numId w:val="0"/>
        </w:numPr>
        <w:spacing w:beforeLines="0" w:afterLines="0"/>
        <w:jc w:val="both"/>
        <w:rPr>
          <w:rFonts w:hint="default" w:ascii="仿宋" w:hAnsi="仿宋" w:eastAsia="仿宋" w:cs="仿宋"/>
          <w:color w:val="auto"/>
          <w:kern w:val="0"/>
          <w:sz w:val="28"/>
          <w:szCs w:val="28"/>
          <w:highlight w:val="none"/>
          <w:lang w:val="en-US" w:eastAsia="zh-CN"/>
        </w:rPr>
      </w:pPr>
    </w:p>
    <w:p w14:paraId="6E7BF26F">
      <w:pPr>
        <w:pStyle w:val="14"/>
        <w:ind w:firstLine="480" w:firstLineChars="200"/>
        <w:rPr>
          <w:rFonts w:hint="eastAsia" w:ascii="仿宋" w:hAnsi="仿宋" w:eastAsia="仿宋"/>
          <w:b w:val="0"/>
          <w:bCs w:val="0"/>
          <w:color w:val="auto"/>
          <w:kern w:val="1"/>
          <w:sz w:val="24"/>
          <w:szCs w:val="24"/>
          <w:highlight w:val="none"/>
          <w:lang w:val="en-US" w:eastAsia="zh-CN" w:bidi="ar-SA"/>
        </w:rPr>
      </w:pPr>
    </w:p>
    <w:p w14:paraId="23C28A7C">
      <w:pPr>
        <w:pStyle w:val="27"/>
        <w:numPr>
          <w:ilvl w:val="0"/>
          <w:numId w:val="0"/>
        </w:numPr>
        <w:jc w:val="center"/>
        <w:outlineLvl w:val="1"/>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br w:type="page"/>
      </w:r>
      <w:bookmarkStart w:id="80" w:name="_Toc17443"/>
      <w:r>
        <w:rPr>
          <w:rFonts w:hint="eastAsia" w:ascii="仿宋" w:hAnsi="仿宋" w:eastAsia="仿宋" w:cs="仿宋"/>
          <w:color w:val="auto"/>
          <w:kern w:val="0"/>
          <w:sz w:val="32"/>
          <w:szCs w:val="32"/>
          <w:highlight w:val="none"/>
          <w:lang w:val="en-US" w:eastAsia="zh-CN"/>
        </w:rPr>
        <w:t>十一、供应商认为有必要提供的其他相关文件</w:t>
      </w:r>
      <w:bookmarkEnd w:id="80"/>
    </w:p>
    <w:p w14:paraId="2C448F67">
      <w:pPr>
        <w:pStyle w:val="27"/>
        <w:numPr>
          <w:ilvl w:val="0"/>
          <w:numId w:val="0"/>
        </w:numPr>
        <w:jc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（格式自拟）</w:t>
      </w:r>
    </w:p>
    <w:p w14:paraId="08607B54">
      <w:pPr>
        <w:widowControl w:val="0"/>
        <w:spacing w:line="240" w:lineRule="auto"/>
        <w:ind w:left="2100" w:leftChars="1000"/>
        <w:jc w:val="both"/>
        <w:rPr>
          <w:rFonts w:hint="eastAsia" w:ascii="仿宋" w:hAnsi="仿宋" w:eastAsia="仿宋" w:cs="仿宋"/>
          <w:kern w:val="2"/>
          <w:sz w:val="21"/>
          <w:szCs w:val="22"/>
          <w:highlight w:val="none"/>
          <w:lang w:val="en-US" w:eastAsia="zh-CN" w:bidi="ar-SA"/>
        </w:rPr>
      </w:pPr>
    </w:p>
    <w:p w14:paraId="1B6C17B4">
      <w:bookmarkStart w:id="81" w:name="_Hlt520273973"/>
      <w:bookmarkEnd w:id="81"/>
      <w:bookmarkStart w:id="82" w:name="_Hlt520350918"/>
      <w:bookmarkEnd w:id="82"/>
      <w:bookmarkStart w:id="83" w:name="_Hlt520274407"/>
      <w:bookmarkEnd w:id="83"/>
      <w:bookmarkStart w:id="84" w:name="_Hlt520343000"/>
      <w:bookmarkEnd w:id="84"/>
      <w:bookmarkStart w:id="85" w:name="_Hlt520350957"/>
      <w:bookmarkEnd w:id="85"/>
      <w:bookmarkStart w:id="86" w:name="_Hlt520274065"/>
      <w:bookmarkEnd w:id="86"/>
      <w:bookmarkStart w:id="87" w:name="_Hlt520274911"/>
      <w:bookmarkEnd w:id="87"/>
      <w:bookmarkStart w:id="88" w:name="_Hlt520271212"/>
      <w:bookmarkEnd w:id="88"/>
      <w:bookmarkStart w:id="89" w:name="_Hlt520343392"/>
      <w:bookmarkEnd w:id="89"/>
      <w:bookmarkStart w:id="90" w:name="_Hlt520274393"/>
      <w:bookmarkEnd w:id="90"/>
      <w:bookmarkStart w:id="91" w:name="_Hlt520273711"/>
      <w:bookmarkEnd w:id="91"/>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E187B">
    <w:pPr>
      <w:widowControl w:val="0"/>
      <w:snapToGrid w:val="0"/>
      <w:ind w:right="360"/>
      <w:jc w:val="center"/>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5C4E1">
    <w:pPr>
      <w:framePr w:wrap="around" w:vAnchor="text" w:hAnchor="margin" w:xAlign="center" w:y="1"/>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21"/>
        <w:szCs w:val="24"/>
        <w:lang w:val="en-US" w:eastAsia="zh-CN" w:bidi="ar-SA"/>
      </w:rPr>
      <w:t>27</w:t>
    </w:r>
    <w:r>
      <w:rPr>
        <w:rFonts w:ascii="Times New Roman" w:hAnsi="Times New Roman" w:eastAsia="宋体" w:cs="Times New Roman"/>
        <w:kern w:val="2"/>
        <w:sz w:val="18"/>
        <w:szCs w:val="18"/>
        <w:lang w:val="en-US" w:eastAsia="zh-CN" w:bidi="ar-SA"/>
      </w:rPr>
      <w:fldChar w:fldCharType="end"/>
    </w:r>
  </w:p>
  <w:p w14:paraId="341F7A5A">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B639B">
    <w:pPr>
      <w:widowControl w:val="0"/>
      <w:snapToGrid w:val="0"/>
      <w:ind w:right="360"/>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692AC">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09692AC">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165C6">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1EF4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AC1EF4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723AE">
    <w:pPr>
      <w:widowControl w:val="0"/>
      <w:tabs>
        <w:tab w:val="center" w:pos="4153"/>
        <w:tab w:val="right" w:pos="8306"/>
      </w:tabs>
      <w:autoSpaceDE w:val="0"/>
      <w:autoSpaceDN w:val="0"/>
      <w:snapToGrid w:val="0"/>
      <w:spacing w:before="0" w:after="0" w:line="240" w:lineRule="auto"/>
      <w:ind w:left="0" w:right="0"/>
      <w:jc w:val="left"/>
      <w:rPr>
        <w:rFonts w:ascii="楷体" w:hAnsi="楷体" w:eastAsia="楷体" w:cs="楷体"/>
        <w:kern w:val="2"/>
        <w:sz w:val="18"/>
        <w:szCs w:val="18"/>
        <w:lang w:val="zh-CN" w:eastAsia="zh-CN" w:bidi="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C0D55">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74C0D55">
                    <w:pPr>
                      <w:pStyle w:val="9"/>
                    </w:pPr>
                    <w:r>
                      <w:fldChar w:fldCharType="begin"/>
                    </w:r>
                    <w:r>
                      <w:instrText xml:space="preserve"> PAGE  \* MERGEFORMAT </w:instrText>
                    </w:r>
                    <w:r>
                      <w:fldChar w:fldCharType="separate"/>
                    </w:r>
                    <w:r>
                      <w:t>2</w:t>
                    </w:r>
                    <w:r>
                      <w:fldChar w:fldCharType="end"/>
                    </w:r>
                  </w:p>
                </w:txbxContent>
              </v:textbox>
            </v:shape>
          </w:pict>
        </mc:Fallback>
      </mc:AlternateContent>
    </w:r>
    <w:r>
      <w:rPr>
        <w:rFonts w:ascii="楷体" w:hAnsi="楷体" w:eastAsia="楷体" w:cs="楷体"/>
        <w:kern w:val="2"/>
        <w:sz w:val="18"/>
        <w:szCs w:val="18"/>
        <w:lang w:val="zh-CN" w:eastAsia="zh-CN" w:bidi="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D9B8CC">
                          <w:pPr>
                            <w:widowControl w:val="0"/>
                            <w:tabs>
                              <w:tab w:val="center" w:pos="4153"/>
                              <w:tab w:val="right" w:pos="8306"/>
                            </w:tabs>
                            <w:autoSpaceDE w:val="0"/>
                            <w:autoSpaceDN w:val="0"/>
                            <w:snapToGrid w:val="0"/>
                            <w:spacing w:before="0" w:after="0" w:line="240" w:lineRule="auto"/>
                            <w:ind w:left="0" w:right="0"/>
                            <w:jc w:val="left"/>
                            <w:rPr>
                              <w:rFonts w:ascii="楷体" w:hAnsi="楷体" w:eastAsia="楷体" w:cs="楷体"/>
                              <w:kern w:val="2"/>
                              <w:sz w:val="18"/>
                              <w:szCs w:val="18"/>
                              <w:lang w:val="zh-CN" w:eastAsia="zh-CN" w:bidi="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6D9B8CC">
                    <w:pPr>
                      <w:widowControl w:val="0"/>
                      <w:tabs>
                        <w:tab w:val="center" w:pos="4153"/>
                        <w:tab w:val="right" w:pos="8306"/>
                      </w:tabs>
                      <w:autoSpaceDE w:val="0"/>
                      <w:autoSpaceDN w:val="0"/>
                      <w:snapToGrid w:val="0"/>
                      <w:spacing w:before="0" w:after="0" w:line="240" w:lineRule="auto"/>
                      <w:ind w:left="0" w:right="0"/>
                      <w:jc w:val="left"/>
                      <w:rPr>
                        <w:rFonts w:ascii="楷体" w:hAnsi="楷体" w:eastAsia="楷体" w:cs="楷体"/>
                        <w:kern w:val="2"/>
                        <w:sz w:val="18"/>
                        <w:szCs w:val="18"/>
                        <w:lang w:val="zh-CN" w:eastAsia="zh-CN" w:bidi="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FE267">
    <w:pPr>
      <w:pStyle w:val="9"/>
      <w:rPr>
        <w:kern w:val="0"/>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B689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23B689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2BF6A">
    <w:pPr>
      <w:spacing w:line="169" w:lineRule="auto"/>
      <w:ind w:left="4165"/>
      <w:rPr>
        <w:rFonts w:ascii="宋体" w:hAnsi="宋体" w:eastAsia="宋体" w:cs="宋体"/>
        <w:kern w:val="0"/>
        <w:sz w:val="14"/>
        <w:szCs w:val="14"/>
      </w:rPr>
    </w:pPr>
    <w:r>
      <w:rPr>
        <w:sz w:val="1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58C21">
                          <w:pPr>
                            <w:pStyle w:val="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3658C21">
                    <w:pPr>
                      <w:pStyle w:val="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65249">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13"/>
      <w:lvlText w:val="%1."/>
      <w:lvlJc w:val="left"/>
      <w:pPr>
        <w:tabs>
          <w:tab w:val="left" w:pos="780"/>
        </w:tabs>
        <w:ind w:left="121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1">
    <w:nsid w:val="32F6D8CD"/>
    <w:multiLevelType w:val="singleLevel"/>
    <w:tmpl w:val="32F6D8CD"/>
    <w:lvl w:ilvl="0" w:tentative="0">
      <w:start w:val="1"/>
      <w:numFmt w:val="chineseCounting"/>
      <w:suff w:val="space"/>
      <w:lvlText w:val="第%1章"/>
      <w:lvlJc w:val="left"/>
      <w:rPr>
        <w:rFonts w:hint="eastAsia"/>
      </w:rPr>
    </w:lvl>
  </w:abstractNum>
  <w:abstractNum w:abstractNumId="2">
    <w:nsid w:val="73E6972B"/>
    <w:multiLevelType w:val="singleLevel"/>
    <w:tmpl w:val="73E6972B"/>
    <w:lvl w:ilvl="0" w:tentative="0">
      <w:start w:val="1"/>
      <w:numFmt w:val="chineseCounting"/>
      <w:suff w:val="space"/>
      <w:lvlText w:val="%1、"/>
      <w:lvlJc w:val="left"/>
      <w:rPr>
        <w:rFonts w:hint="eastAsia"/>
      </w:rPr>
    </w:lvl>
  </w:abstractNum>
  <w:abstractNum w:abstractNumId="3">
    <w:nsid w:val="7633D9B6"/>
    <w:multiLevelType w:val="multilevel"/>
    <w:tmpl w:val="7633D9B6"/>
    <w:lvl w:ilvl="0" w:tentative="0">
      <w:start w:val="3"/>
      <w:numFmt w:val="chineseCounting"/>
      <w:suff w:val="space"/>
      <w:lvlText w:val="第%1章"/>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86D4C"/>
    <w:rsid w:val="018334C5"/>
    <w:rsid w:val="041C26B0"/>
    <w:rsid w:val="0C086D4C"/>
    <w:rsid w:val="0C8E2713"/>
    <w:rsid w:val="0CA830A9"/>
    <w:rsid w:val="12E861E1"/>
    <w:rsid w:val="14F716EC"/>
    <w:rsid w:val="165522F6"/>
    <w:rsid w:val="180F0A2A"/>
    <w:rsid w:val="18342A18"/>
    <w:rsid w:val="1A79545D"/>
    <w:rsid w:val="1DD322A6"/>
    <w:rsid w:val="28F00D1D"/>
    <w:rsid w:val="2A4D256D"/>
    <w:rsid w:val="30E6356F"/>
    <w:rsid w:val="31D245A1"/>
    <w:rsid w:val="32E67D68"/>
    <w:rsid w:val="33717E62"/>
    <w:rsid w:val="38CD054C"/>
    <w:rsid w:val="39644AC3"/>
    <w:rsid w:val="39A4027D"/>
    <w:rsid w:val="3A9F2D8C"/>
    <w:rsid w:val="3B4611A7"/>
    <w:rsid w:val="3F4C5850"/>
    <w:rsid w:val="40B65B9D"/>
    <w:rsid w:val="46C10E37"/>
    <w:rsid w:val="475A1EAA"/>
    <w:rsid w:val="49723B43"/>
    <w:rsid w:val="4B18716F"/>
    <w:rsid w:val="4CEA299E"/>
    <w:rsid w:val="4E330365"/>
    <w:rsid w:val="4F080C3E"/>
    <w:rsid w:val="4F1A33B7"/>
    <w:rsid w:val="50D32C76"/>
    <w:rsid w:val="5645161A"/>
    <w:rsid w:val="57753FAB"/>
    <w:rsid w:val="5F9879CE"/>
    <w:rsid w:val="60067040"/>
    <w:rsid w:val="6235020A"/>
    <w:rsid w:val="675512AF"/>
    <w:rsid w:val="68A96DDC"/>
    <w:rsid w:val="6A390384"/>
    <w:rsid w:val="6B0C2B73"/>
    <w:rsid w:val="6B465D4D"/>
    <w:rsid w:val="6E217E67"/>
    <w:rsid w:val="6F062253"/>
    <w:rsid w:val="71A67D1A"/>
    <w:rsid w:val="722C35FC"/>
    <w:rsid w:val="75464BD2"/>
    <w:rsid w:val="75554E36"/>
    <w:rsid w:val="79102FB2"/>
    <w:rsid w:val="7BE0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widowControl w:val="0"/>
      <w:spacing w:before="340" w:after="330" w:line="578" w:lineRule="auto"/>
      <w:jc w:val="both"/>
      <w:outlineLvl w:val="0"/>
    </w:pPr>
    <w:rPr>
      <w:rFonts w:ascii="Times New Roman" w:hAnsi="Times New Roman" w:eastAsia="Times New Roman" w:cs="Times New Roman"/>
      <w:b/>
      <w:bCs/>
      <w:kern w:val="44"/>
      <w:sz w:val="44"/>
      <w:szCs w:val="44"/>
      <w:lang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index 8"/>
    <w:next w:val="1"/>
    <w:unhideWhenUsed/>
    <w:qFormat/>
    <w:uiPriority w:val="99"/>
    <w:pPr>
      <w:widowControl w:val="0"/>
      <w:ind w:left="1400" w:leftChars="1400"/>
      <w:jc w:val="both"/>
    </w:pPr>
    <w:rPr>
      <w:rFonts w:ascii="Times New Roman" w:hAnsi="Times New Roman" w:eastAsia="Times New Roman" w:cs="Times New Roman"/>
      <w:sz w:val="24"/>
      <w:szCs w:val="24"/>
      <w:lang w:bidi="ar-SA"/>
    </w:rPr>
  </w:style>
  <w:style w:type="paragraph" w:styleId="4">
    <w:name w:val="toa heading"/>
    <w:next w:val="1"/>
    <w:semiHidden/>
    <w:qFormat/>
    <w:uiPriority w:val="0"/>
    <w:pPr>
      <w:widowControl w:val="0"/>
      <w:spacing w:before="120"/>
      <w:jc w:val="both"/>
    </w:pPr>
    <w:rPr>
      <w:rFonts w:ascii="Arial" w:hAnsi="Arial" w:eastAsia="Times New Roman" w:cs="Arial"/>
      <w:sz w:val="24"/>
      <w:szCs w:val="24"/>
      <w:lang w:bidi="ar-SA"/>
    </w:rPr>
  </w:style>
  <w:style w:type="paragraph" w:styleId="5">
    <w:name w:val="Body Text"/>
    <w:basedOn w:val="1"/>
    <w:next w:val="1"/>
    <w:semiHidden/>
    <w:qFormat/>
    <w:uiPriority w:val="0"/>
    <w:pPr>
      <w:widowControl w:val="0"/>
      <w:autoSpaceDE w:val="0"/>
      <w:autoSpaceDN w:val="0"/>
      <w:adjustRightInd w:val="0"/>
      <w:spacing w:before="40" w:after="40" w:line="320" w:lineRule="atLeast"/>
      <w:ind w:firstLine="357"/>
      <w:jc w:val="both"/>
      <w:textAlignment w:val="baseline"/>
    </w:pPr>
    <w:rPr>
      <w:rFonts w:ascii="Times New Roman" w:hAnsi="Times New Roman" w:eastAsia="宋体" w:cs="Times New Roman"/>
      <w:sz w:val="18"/>
      <w:szCs w:val="24"/>
      <w:lang w:bidi="ar-SA"/>
    </w:rPr>
  </w:style>
  <w:style w:type="paragraph" w:styleId="6">
    <w:name w:val="Body Text Indent"/>
    <w:next w:val="7"/>
    <w:qFormat/>
    <w:uiPriority w:val="0"/>
    <w:pPr>
      <w:widowControl w:val="0"/>
      <w:spacing w:after="120"/>
      <w:ind w:left="420" w:leftChars="200"/>
      <w:jc w:val="both"/>
    </w:pPr>
    <w:rPr>
      <w:rFonts w:ascii="Times New Roman" w:hAnsi="Times New Roman" w:eastAsia="Times New Roman" w:cs="Times New Roman"/>
      <w:kern w:val="0"/>
      <w:sz w:val="20"/>
      <w:szCs w:val="21"/>
      <w:lang w:bidi="ar-SA"/>
    </w:rPr>
  </w:style>
  <w:style w:type="paragraph" w:styleId="7">
    <w:name w:val="Normal (Web)"/>
    <w:qFormat/>
    <w:uiPriority w:val="99"/>
    <w:pPr>
      <w:widowControl w:val="0"/>
      <w:adjustRightInd w:val="0"/>
      <w:snapToGrid w:val="0"/>
      <w:spacing w:beforeAutospacing="1" w:afterAutospacing="1" w:line="360" w:lineRule="auto"/>
      <w:ind w:firstLine="480" w:firstLineChars="200"/>
      <w:jc w:val="left"/>
    </w:pPr>
    <w:rPr>
      <w:rFonts w:ascii="Times New Roman" w:hAnsi="Times New Roman" w:eastAsia="仿宋" w:cs="Times New Roman"/>
      <w:kern w:val="0"/>
      <w:sz w:val="24"/>
      <w:szCs w:val="24"/>
      <w:lang w:bidi="ar-SA"/>
    </w:rPr>
  </w:style>
  <w:style w:type="paragraph" w:styleId="8">
    <w:name w:val="toc 3"/>
    <w:next w:val="1"/>
    <w:qFormat/>
    <w:uiPriority w:val="39"/>
    <w:pPr>
      <w:widowControl w:val="0"/>
      <w:tabs>
        <w:tab w:val="left" w:pos="900"/>
        <w:tab w:val="right" w:leader="dot" w:pos="8494"/>
      </w:tabs>
      <w:spacing w:line="360" w:lineRule="auto"/>
      <w:ind w:left="539" w:leftChars="86" w:hanging="358" w:hangingChars="149"/>
      <w:jc w:val="both"/>
    </w:pPr>
    <w:rPr>
      <w:rFonts w:ascii="Times New Roman" w:hAnsi="Times New Roman" w:eastAsia="宋体" w:cs="Times New Roman"/>
      <w:kern w:val="2"/>
      <w:sz w:val="21"/>
      <w:szCs w:val="24"/>
      <w:lang w:val="en-US" w:eastAsia="zh-CN" w:bidi="ar-SA"/>
    </w:rPr>
  </w:style>
  <w:style w:type="paragraph" w:styleId="9">
    <w:name w:val="footer"/>
    <w:unhideWhenUsed/>
    <w:qFormat/>
    <w:uiPriority w:val="99"/>
    <w:pPr>
      <w:widowControl w:val="0"/>
      <w:tabs>
        <w:tab w:val="center" w:pos="4153"/>
        <w:tab w:val="right" w:pos="8306"/>
      </w:tabs>
      <w:snapToGrid w:val="0"/>
      <w:jc w:val="left"/>
    </w:pPr>
    <w:rPr>
      <w:rFonts w:ascii="Times New Roman" w:hAnsi="Times New Roman" w:eastAsia="Times New Roman" w:cs="Times New Roman"/>
      <w:sz w:val="18"/>
      <w:szCs w:val="18"/>
      <w:lang w:bidi="ar-SA"/>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Body Text 2"/>
    <w:qFormat/>
    <w:uiPriority w:val="0"/>
    <w:pPr>
      <w:widowControl w:val="0"/>
      <w:spacing w:after="120" w:line="480" w:lineRule="auto"/>
      <w:jc w:val="both"/>
    </w:pPr>
    <w:rPr>
      <w:rFonts w:ascii="Calibri" w:hAnsi="Calibri" w:eastAsia="Times New Roman" w:cs="Times New Roman"/>
      <w:sz w:val="24"/>
      <w:szCs w:val="24"/>
      <w:lang w:bidi="ar-SA"/>
    </w:rPr>
  </w:style>
  <w:style w:type="paragraph" w:styleId="13">
    <w:name w:val="Body Text First Indent"/>
    <w:basedOn w:val="5"/>
    <w:next w:val="1"/>
    <w:qFormat/>
    <w:uiPriority w:val="0"/>
    <w:pPr>
      <w:widowControl w:val="0"/>
      <w:numPr>
        <w:ilvl w:val="0"/>
        <w:numId w:val="1"/>
      </w:numPr>
      <w:ind w:left="0" w:firstLine="420" w:firstLineChars="100"/>
      <w:jc w:val="both"/>
    </w:pPr>
    <w:rPr>
      <w:rFonts w:ascii="Times New Roman" w:hAnsi="Times New Roman" w:eastAsia="宋体" w:cs="Times New Roman"/>
      <w:kern w:val="2"/>
      <w:sz w:val="22"/>
      <w:szCs w:val="24"/>
      <w:lang w:val="en-US" w:eastAsia="zh-CN" w:bidi="ar-SA"/>
    </w:rPr>
  </w:style>
  <w:style w:type="paragraph" w:styleId="14">
    <w:name w:val="Body Text First Indent 2"/>
    <w:next w:val="1"/>
    <w:qFormat/>
    <w:uiPriority w:val="0"/>
    <w:pPr>
      <w:widowControl w:val="0"/>
      <w:spacing w:after="120"/>
      <w:ind w:left="0" w:leftChars="0" w:firstLine="210"/>
      <w:jc w:val="both"/>
    </w:pPr>
    <w:rPr>
      <w:rFonts w:ascii="Times New Roman" w:hAnsi="Times New Roman" w:eastAsia="Times New Roman" w:cs="Times New Roman"/>
      <w:kern w:val="0"/>
      <w:sz w:val="20"/>
      <w:szCs w:val="20"/>
      <w:lang w:bidi="ar-SA"/>
    </w:rPr>
  </w:style>
  <w:style w:type="table" w:styleId="16">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Hyperlink"/>
    <w:unhideWhenUsed/>
    <w:qFormat/>
    <w:uiPriority w:val="99"/>
    <w:rPr>
      <w:color w:val="0563C1"/>
      <w:u w:val="single"/>
    </w:rPr>
  </w:style>
  <w:style w:type="paragraph" w:customStyle="1" w:styleId="20">
    <w:name w:val=" Char"/>
    <w:qFormat/>
    <w:uiPriority w:val="0"/>
    <w:pPr>
      <w:widowControl w:val="0"/>
      <w:tabs>
        <w:tab w:val="left" w:pos="432"/>
      </w:tabs>
      <w:spacing w:before="156" w:beforeLines="50" w:after="156" w:afterLines="50"/>
      <w:ind w:left="432" w:hanging="432"/>
      <w:jc w:val="both"/>
    </w:pPr>
    <w:rPr>
      <w:rFonts w:ascii="Times New Roman" w:hAnsi="Times New Roman" w:eastAsia="Times New Roman" w:cs="Times New Roman"/>
      <w:sz w:val="24"/>
      <w:szCs w:val="24"/>
      <w:lang w:bidi="ar-SA"/>
    </w:rPr>
  </w:style>
  <w:style w:type="paragraph" w:styleId="21">
    <w:name w:val="No Spacing"/>
    <w:qFormat/>
    <w:uiPriority w:val="0"/>
    <w:pPr>
      <w:widowControl w:val="0"/>
      <w:jc w:val="both"/>
    </w:pPr>
    <w:rPr>
      <w:rFonts w:ascii="Times New Roman" w:hAnsi="Times New Roman" w:eastAsia="Times New Roman" w:cs="Times New Roman"/>
      <w:sz w:val="24"/>
      <w:szCs w:val="22"/>
      <w:lang w:bidi="ar-SA"/>
    </w:rPr>
  </w:style>
  <w:style w:type="paragraph" w:customStyle="1" w:styleId="22">
    <w:name w:val="Normal_5"/>
    <w:next w:val="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Body Text"/>
    <w:next w:val="22"/>
    <w:qFormat/>
    <w:uiPriority w:val="0"/>
    <w:pPr>
      <w:widowControl/>
      <w:spacing w:line="533" w:lineRule="auto"/>
      <w:ind w:left="840" w:right="-120"/>
      <w:jc w:val="left"/>
    </w:pPr>
    <w:rPr>
      <w:rFonts w:ascii="宋体" w:hAnsi="宋体" w:eastAsia="宋体" w:cs="宋体"/>
      <w:kern w:val="0"/>
      <w:sz w:val="24"/>
      <w:szCs w:val="20"/>
      <w:lang w:val="en-US" w:eastAsia="zh-CN" w:bidi="ar-SA"/>
    </w:rPr>
  </w:style>
  <w:style w:type="character" w:customStyle="1" w:styleId="24">
    <w:name w:val="样式 仿宋"/>
    <w:qFormat/>
    <w:uiPriority w:val="0"/>
    <w:rPr>
      <w:rFonts w:ascii="仿宋" w:hAnsi="仿宋" w:eastAsia="仿宋"/>
      <w:kern w:val="1"/>
    </w:rPr>
  </w:style>
  <w:style w:type="paragraph" w:customStyle="1" w:styleId="25">
    <w:name w:val="Table Text"/>
    <w:semiHidden/>
    <w:qFormat/>
    <w:uiPriority w:val="0"/>
    <w:pPr>
      <w:widowControl w:val="0"/>
      <w:jc w:val="both"/>
    </w:pPr>
    <w:rPr>
      <w:rFonts w:ascii="宋体" w:hAnsi="宋体" w:eastAsia="宋体" w:cs="宋体"/>
      <w:sz w:val="23"/>
      <w:szCs w:val="23"/>
      <w:lang w:val="en-US" w:eastAsia="en-US" w:bidi="ar-SA"/>
    </w:rPr>
  </w:style>
  <w:style w:type="table" w:customStyle="1" w:styleId="26">
    <w:name w:val="Table Normal"/>
    <w:unhideWhenUsed/>
    <w:qFormat/>
    <w:uiPriority w:val="0"/>
    <w:tblPr>
      <w:tblCellMar>
        <w:top w:w="0" w:type="dxa"/>
        <w:left w:w="0" w:type="dxa"/>
        <w:bottom w:w="0" w:type="dxa"/>
        <w:right w:w="0" w:type="dxa"/>
      </w:tblCellMar>
    </w:tblPr>
  </w:style>
  <w:style w:type="paragraph" w:customStyle="1" w:styleId="27">
    <w:name w:val="Normal Indent1"/>
    <w:unhideWhenUsed/>
    <w:qFormat/>
    <w:uiPriority w:val="99"/>
    <w:pPr>
      <w:widowControl w:val="0"/>
      <w:spacing w:beforeLines="0" w:afterLines="0"/>
      <w:ind w:firstLine="420" w:firstLineChars="200"/>
      <w:jc w:val="both"/>
    </w:pPr>
    <w:rPr>
      <w:rFonts w:hint="default" w:ascii="Times New Roman" w:hAnsi="Times New Roman" w:eastAsia="Times New Roman" w:cs="Times New Roman"/>
      <w:sz w:val="21"/>
      <w:szCs w:val="24"/>
      <w:lang w:bidi="ar-SA"/>
    </w:rPr>
  </w:style>
  <w:style w:type="character" w:customStyle="1" w:styleId="28">
    <w:name w:val="NormalCharacter"/>
    <w:link w:val="29"/>
    <w:qFormat/>
    <w:uiPriority w:val="0"/>
    <w:rPr>
      <w:rFonts w:ascii="Times New Roman" w:hAnsi="Times New Roman" w:eastAsia="宋体" w:cs="Times New Roman"/>
      <w:kern w:val="0"/>
      <w:sz w:val="20"/>
      <w:szCs w:val="24"/>
      <w:lang w:val="en-US" w:eastAsia="zh-CN" w:bidi="ar-SA"/>
    </w:rPr>
  </w:style>
  <w:style w:type="paragraph" w:customStyle="1" w:styleId="29">
    <w:name w:val="UserStyle_2"/>
    <w:link w:val="28"/>
    <w:qFormat/>
    <w:uiPriority w:val="0"/>
    <w:pPr>
      <w:widowControl w:val="0"/>
      <w:jc w:val="both"/>
      <w:textAlignment w:val="baseline"/>
    </w:pPr>
    <w:rPr>
      <w:rFonts w:ascii="Times New Roman" w:hAnsi="Times New Roman" w:eastAsia="宋体" w:cs="Times New Roman"/>
      <w:kern w:val="0"/>
      <w:sz w:val="2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11515</Words>
  <Characters>12462</Characters>
  <Lines>0</Lines>
  <Paragraphs>0</Paragraphs>
  <TotalTime>3</TotalTime>
  <ScaleCrop>false</ScaleCrop>
  <LinksUpToDate>false</LinksUpToDate>
  <CharactersWithSpaces>12724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2026-03-26T09:10:00Z</dcterms:created>
  <dc:creator>Administrator</dc:creator>
  <cp:lastModifiedBy>Administrator</cp:lastModifiedBy>
  <dcterms:modified xsi:type="dcterms:W3CDTF">2026-06-04T11:49:02Z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8EBCCCE8022E4F6E81137F30EE4B7EBC_11</vt:lpwstr>
  </property>
  <property fmtid="{D5CDD505-2E9C-101B-9397-08002B2CF9AE}" pid="4" name="KSOTemplateDocerSaveRecord">
    <vt:lpwstr>eyJoZGlkIjoiYjY2MWJlMTJhNTQ4MDEzNzM2MzU3OGNiYjc4NzRhMTciLCJ1c2VySWQiOiI0NzcwNjcxMTcifQ==</vt:lpwstr>
  </property>
</Properties>
</file>