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5C787854">
      <w:pPr>
        <w:jc w:val="center"/>
        <w:rPr>
          <w:rFonts w:hint="eastAsia" w:ascii="黑体" w:hAnsi="黑体" w:eastAsia="黑体"/>
          <w:color w:val="auto"/>
          <w:spacing w:val="5760"/>
          <w:w w:val="100"/>
          <w:kern w:val="0"/>
          <w:sz w:val="36"/>
          <w:szCs w:val="36"/>
          <w:highlight w:val="none"/>
          <w:fitText w:val="6120" w:id="-1002138880"/>
          <w:lang w:val="en-US" w:eastAsia="zh-CN"/>
        </w:rPr>
      </w:pPr>
    </w:p>
    <w:p w14:paraId="3A6C10AE">
      <w:pPr>
        <w:jc w:val="center"/>
        <w:rPr>
          <w:rFonts w:hint="eastAsia" w:ascii="宋体" w:hAnsi="宋体" w:eastAsia="宋体" w:cs="宋体"/>
          <w:b/>
          <w:bCs/>
          <w:color w:val="auto"/>
          <w:sz w:val="60"/>
          <w:szCs w:val="60"/>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1930400</wp:posOffset>
            </wp:positionH>
            <wp:positionV relativeFrom="paragraph">
              <wp:posOffset>8890</wp:posOffset>
            </wp:positionV>
            <wp:extent cx="1350010" cy="1701165"/>
            <wp:effectExtent l="0" t="0" r="6350" b="571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4B71B61F">
      <w:pPr>
        <w:jc w:val="center"/>
        <w:rPr>
          <w:rFonts w:hint="eastAsia" w:ascii="宋体" w:hAnsi="宋体" w:eastAsia="宋体" w:cs="宋体"/>
          <w:b/>
          <w:bCs/>
          <w:color w:val="auto"/>
          <w:sz w:val="60"/>
          <w:szCs w:val="60"/>
          <w:highlight w:val="none"/>
        </w:rPr>
      </w:pPr>
    </w:p>
    <w:p w14:paraId="5A87E0D4">
      <w:pPr>
        <w:jc w:val="both"/>
        <w:rPr>
          <w:rFonts w:hint="eastAsia" w:ascii="宋体" w:hAnsi="宋体" w:eastAsia="宋体" w:cs="宋体"/>
          <w:b/>
          <w:bCs/>
          <w:color w:val="auto"/>
          <w:sz w:val="60"/>
          <w:szCs w:val="60"/>
          <w:highlight w:val="none"/>
        </w:rPr>
      </w:pPr>
    </w:p>
    <w:p w14:paraId="1B00BC94">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竞争性</w:t>
      </w:r>
      <w:r>
        <w:rPr>
          <w:rFonts w:hint="eastAsia" w:cs="宋体"/>
          <w:b/>
          <w:bCs/>
          <w:color w:val="auto"/>
          <w:sz w:val="60"/>
          <w:szCs w:val="60"/>
          <w:highlight w:val="none"/>
          <w:lang w:val="en-US" w:eastAsia="zh-CN"/>
        </w:rPr>
        <w:t>谈判</w:t>
      </w:r>
      <w:r>
        <w:rPr>
          <w:rFonts w:hint="eastAsia" w:ascii="宋体" w:hAnsi="宋体" w:eastAsia="宋体" w:cs="宋体"/>
          <w:b/>
          <w:bCs/>
          <w:color w:val="auto"/>
          <w:sz w:val="60"/>
          <w:szCs w:val="60"/>
          <w:highlight w:val="none"/>
        </w:rPr>
        <w:t>文件</w:t>
      </w:r>
    </w:p>
    <w:p w14:paraId="08B3A613">
      <w:pPr>
        <w:jc w:val="center"/>
        <w:rPr>
          <w:rFonts w:hint="eastAsia" w:ascii="宋体" w:hAnsi="宋体" w:eastAsia="宋体" w:cs="宋体"/>
          <w:b/>
          <w:bCs/>
          <w:color w:val="auto"/>
          <w:sz w:val="60"/>
          <w:szCs w:val="60"/>
          <w:highlight w:val="none"/>
        </w:rPr>
      </w:pPr>
    </w:p>
    <w:p w14:paraId="450CD3A6">
      <w:pPr>
        <w:jc w:val="center"/>
        <w:rPr>
          <w:rFonts w:ascii="黑体" w:hAnsi="黑体" w:eastAsia="黑体"/>
          <w:color w:val="auto"/>
          <w:sz w:val="72"/>
          <w:szCs w:val="72"/>
          <w:highlight w:val="none"/>
        </w:rPr>
      </w:pPr>
    </w:p>
    <w:p w14:paraId="7A2B588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TC269H0HA</w:t>
      </w:r>
      <w:r>
        <w:rPr>
          <w:rFonts w:hint="eastAsia" w:ascii="宋体" w:hAnsi="宋体" w:eastAsia="宋体" w:cs="宋体"/>
          <w:color w:val="auto"/>
          <w:sz w:val="36"/>
          <w:szCs w:val="36"/>
          <w:highlight w:val="none"/>
          <w:u w:val="single"/>
        </w:rPr>
        <w:t xml:space="preserve"> </w:t>
      </w:r>
    </w:p>
    <w:p w14:paraId="4ED656F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eastAsia="zh-CN"/>
        </w:rPr>
        <w:t>新疆医科大学第一附属医院喷雾干燥机采购项目（二次）</w:t>
      </w:r>
      <w:r>
        <w:rPr>
          <w:rFonts w:hint="eastAsia" w:ascii="宋体" w:hAnsi="宋体" w:eastAsia="宋体" w:cs="宋体"/>
          <w:color w:val="auto"/>
          <w:sz w:val="36"/>
          <w:szCs w:val="36"/>
          <w:highlight w:val="none"/>
          <w:u w:val="single"/>
        </w:rPr>
        <w:t xml:space="preserve"> </w:t>
      </w:r>
    </w:p>
    <w:p w14:paraId="728E52F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新疆医科大学第一附属医院 </w:t>
      </w:r>
    </w:p>
    <w:p w14:paraId="4B180FD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 xml:space="preserve"> 中招国际招标有限公司 </w:t>
      </w:r>
    </w:p>
    <w:p w14:paraId="2C93F193">
      <w:pPr>
        <w:rPr>
          <w:rFonts w:ascii="黑体" w:hAnsi="黑体" w:eastAsia="黑体"/>
          <w:color w:val="auto"/>
          <w:highlight w:val="none"/>
        </w:rPr>
      </w:pPr>
    </w:p>
    <w:p w14:paraId="02F7A154">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p>
    <w:p w14:paraId="27E04485">
      <w:pPr>
        <w:rPr>
          <w:rFonts w:ascii="黑体" w:hAnsi="黑体" w:eastAsia="黑体"/>
          <w:color w:val="auto"/>
          <w:sz w:val="32"/>
          <w:szCs w:val="32"/>
          <w:highlight w:val="none"/>
        </w:rPr>
      </w:pPr>
    </w:p>
    <w:p w14:paraId="07CC1862">
      <w:pPr>
        <w:jc w:val="center"/>
        <w:rPr>
          <w:rFonts w:hint="eastAsia" w:ascii="黑体" w:hAnsi="黑体" w:eastAsia="黑体"/>
          <w:color w:val="auto"/>
          <w:sz w:val="48"/>
          <w:szCs w:val="48"/>
          <w:highlight w:val="none"/>
        </w:rPr>
      </w:pPr>
    </w:p>
    <w:p w14:paraId="1F37BEF8">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jc w:val="center"/>
        <w:rPr>
          <w:rFonts w:hint="eastAsia" w:ascii="宋体" w:hAnsi="宋体" w:eastAsia="宋体" w:cs="宋体"/>
          <w:b/>
          <w:bCs/>
          <w:color w:val="auto"/>
          <w:sz w:val="36"/>
          <w:szCs w:val="36"/>
          <w:highlight w:val="none"/>
        </w:rPr>
      </w:pPr>
    </w:p>
    <w:p w14:paraId="61C88D2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rPr>
        <w:t>竞争性</w:t>
      </w:r>
      <w:r>
        <w:rPr>
          <w:rFonts w:hint="eastAsia"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_Toc23362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576A3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_Toc23798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项目概况：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_Toc23798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B32A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_Toc13827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7885E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二、申请人的</w:t>
      </w:r>
      <w:r>
        <w:rPr>
          <w:rFonts w:hint="eastAsia" w:ascii="宋体" w:hAnsi="宋体" w:eastAsia="宋体" w:cs="宋体"/>
          <w:bCs/>
          <w:color w:val="auto"/>
          <w:kern w:val="2"/>
          <w:sz w:val="24"/>
          <w:szCs w:val="24"/>
          <w:highlight w:val="none"/>
          <w:lang w:val="hr-HR" w:eastAsia="zh-CN" w:bidi="ar-SA"/>
        </w:rPr>
        <w:t>资格要求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_Toc21076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56A77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kern w:val="2"/>
          <w:sz w:val="24"/>
          <w:szCs w:val="24"/>
          <w:highlight w:val="none"/>
          <w:lang w:val="hr-HR" w:eastAsia="zh-CN" w:bidi="ar-SA"/>
        </w:rPr>
        <w:t>获取</w:t>
      </w:r>
      <w:r>
        <w:rPr>
          <w:rFonts w:hint="eastAsia" w:ascii="宋体" w:hAnsi="宋体" w:eastAsia="宋体" w:cs="宋体"/>
          <w:bCs/>
          <w:color w:val="auto"/>
          <w:kern w:val="2"/>
          <w:sz w:val="24"/>
          <w:szCs w:val="24"/>
          <w:highlight w:val="none"/>
          <w:lang w:val="en-US" w:eastAsia="zh-CN" w:bidi="ar-SA"/>
        </w:rPr>
        <w:t>采购</w:t>
      </w:r>
      <w:r>
        <w:rPr>
          <w:rFonts w:hint="eastAsia" w:ascii="宋体" w:hAnsi="宋体" w:eastAsia="宋体" w:cs="宋体"/>
          <w:bCs/>
          <w:color w:val="auto"/>
          <w:kern w:val="2"/>
          <w:sz w:val="24"/>
          <w:szCs w:val="24"/>
          <w:highlight w:val="none"/>
          <w:lang w:val="hr-HR" w:eastAsia="zh-CN" w:bidi="ar-SA"/>
        </w:rPr>
        <w:t>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_Toc293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CFD0B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spacing w:val="-6"/>
          <w:kern w:val="2"/>
          <w:sz w:val="24"/>
          <w:szCs w:val="24"/>
          <w:highlight w:val="none"/>
          <w:lang w:val="hr-HR" w:eastAsia="zh-CN" w:bidi="ar-SA"/>
        </w:rPr>
        <w:t>响应文件提交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_Toc15058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7B2EF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五、开启</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_Toc1822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5EE92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hr-HR" w:eastAsia="zh-CN" w:bidi="ar-SA"/>
        </w:rPr>
        <w:t>公告期限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_Toc4915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A515A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八、</w:t>
      </w:r>
      <w:r>
        <w:rPr>
          <w:rFonts w:hint="eastAsia" w:ascii="宋体" w:hAnsi="宋体" w:eastAsia="宋体" w:cs="宋体"/>
          <w:bCs/>
          <w:color w:val="auto"/>
          <w:kern w:val="2"/>
          <w:sz w:val="24"/>
          <w:szCs w:val="24"/>
          <w:highlight w:val="none"/>
          <w:lang w:val="hr-HR" w:eastAsia="zh-CN" w:bidi="ar-SA"/>
        </w:rPr>
        <w:t>凡对本次采购提出询问，请按以下方式联系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_Toc17723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26E7A5">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_Toc28863 \h </w:instrText>
      </w:r>
      <w:r>
        <w:rPr>
          <w:color w:val="auto"/>
          <w:sz w:val="24"/>
          <w:szCs w:val="24"/>
          <w:highlight w:val="none"/>
        </w:rPr>
        <w:fldChar w:fldCharType="separate"/>
      </w:r>
      <w:r>
        <w:rPr>
          <w:color w:val="auto"/>
          <w:sz w:val="24"/>
          <w:szCs w:val="24"/>
          <w:highlight w:val="none"/>
        </w:rPr>
        <w:t>- 5 -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52BE7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_Toc7178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_Toc7178 \h </w:instrText>
      </w:r>
      <w:r>
        <w:rPr>
          <w:color w:val="auto"/>
          <w:sz w:val="24"/>
          <w:szCs w:val="24"/>
          <w:highlight w:val="none"/>
        </w:rPr>
        <w:fldChar w:fldCharType="separate"/>
      </w:r>
      <w:r>
        <w:rPr>
          <w:color w:val="auto"/>
          <w:sz w:val="24"/>
          <w:szCs w:val="24"/>
          <w:highlight w:val="none"/>
        </w:rPr>
        <w:t>- 5 -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B1211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_Toc30862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_Toc30862 \h </w:instrText>
      </w:r>
      <w:r>
        <w:rPr>
          <w:color w:val="auto"/>
          <w:sz w:val="24"/>
          <w:szCs w:val="24"/>
          <w:highlight w:val="none"/>
        </w:rPr>
        <w:fldChar w:fldCharType="separate"/>
      </w:r>
      <w:r>
        <w:rPr>
          <w:color w:val="auto"/>
          <w:sz w:val="24"/>
          <w:szCs w:val="24"/>
          <w:highlight w:val="none"/>
        </w:rPr>
        <w:t>- 10 -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B8928A">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项目采购需求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_Toc20486 \h </w:instrText>
      </w:r>
      <w:r>
        <w:rPr>
          <w:color w:val="auto"/>
          <w:sz w:val="24"/>
          <w:szCs w:val="24"/>
          <w:highlight w:val="none"/>
        </w:rPr>
        <w:fldChar w:fldCharType="separate"/>
      </w:r>
      <w:r>
        <w:rPr>
          <w:color w:val="auto"/>
          <w:sz w:val="24"/>
          <w:szCs w:val="24"/>
          <w:highlight w:val="none"/>
        </w:rPr>
        <w:t>- 37 -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39A622">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评审方法及标准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_Toc10757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764AA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eastAsia="zh-CN"/>
        </w:rPr>
        <w:t>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_Toc17539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9506C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评审程序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_Toc24199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99A32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eastAsia="zh-CN"/>
        </w:rPr>
        <w:t>评审</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_Toc27446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B5BE3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_Toc12134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808D24">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第五章 </w:t>
      </w:r>
      <w:r>
        <w:rPr>
          <w:rFonts w:hint="eastAsia" w:ascii="宋体" w:hAnsi="宋体" w:eastAsia="宋体" w:cs="宋体"/>
          <w:bCs/>
          <w:color w:val="auto"/>
          <w:kern w:val="44"/>
          <w:sz w:val="24"/>
          <w:szCs w:val="24"/>
          <w:highlight w:val="none"/>
          <w:lang w:val="zh-CN" w:eastAsia="zh-CN" w:bidi="ar-SA"/>
        </w:rPr>
        <w:t>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_Toc29904 \h </w:instrText>
      </w:r>
      <w:r>
        <w:rPr>
          <w:color w:val="auto"/>
          <w:sz w:val="24"/>
          <w:szCs w:val="24"/>
          <w:highlight w:val="none"/>
        </w:rPr>
        <w:fldChar w:fldCharType="separate"/>
      </w:r>
      <w:r>
        <w:rPr>
          <w:color w:val="auto"/>
          <w:sz w:val="24"/>
          <w:szCs w:val="24"/>
          <w:highlight w:val="none"/>
        </w:rPr>
        <w:t>- 53 -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514B36">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_Toc26172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第六章 </w:t>
      </w:r>
      <w:r>
        <w:rPr>
          <w:rFonts w:hint="eastAsia" w:ascii="宋体" w:hAnsi="宋体" w:eastAsia="宋体" w:cs="宋体"/>
          <w:color w:val="auto"/>
          <w:sz w:val="24"/>
          <w:szCs w:val="24"/>
          <w:highlight w:val="none"/>
        </w:rPr>
        <w:t>响应文件的格式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_Toc26172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67DE46">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_Toc5152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响应</w:t>
      </w:r>
      <w:r>
        <w:rPr>
          <w:rFonts w:hint="eastAsia"/>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_Toc7318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1E793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_Toc15682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_Toc15682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4DD33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联合体协议书</w:t>
      </w:r>
      <w:r>
        <w:rPr>
          <w:rFonts w:hint="eastAsia" w:ascii="宋体" w:hAnsi="宋体" w:eastAsia="宋体" w:cstheme="minorBidi"/>
          <w:bCs w:val="0"/>
          <w:color w:val="auto"/>
          <w:kern w:val="2"/>
          <w:sz w:val="24"/>
          <w:szCs w:val="24"/>
          <w:highlight w:val="none"/>
          <w:lang w:val="zh-CN" w:eastAsia="zh-CN" w:bidi="ar-SA"/>
        </w:rPr>
        <w:t>【如适用】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_Toc7114 \h </w:instrText>
      </w:r>
      <w:r>
        <w:rPr>
          <w:color w:val="auto"/>
          <w:sz w:val="24"/>
          <w:szCs w:val="24"/>
          <w:highlight w:val="none"/>
        </w:rPr>
        <w:fldChar w:fldCharType="separate"/>
      </w:r>
      <w:r>
        <w:rPr>
          <w:color w:val="auto"/>
          <w:sz w:val="24"/>
          <w:szCs w:val="24"/>
          <w:highlight w:val="none"/>
        </w:rPr>
        <w:t>- 82 -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9A8F3C">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_Toc12924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_Toc12924 \h </w:instrText>
      </w:r>
      <w:r>
        <w:rPr>
          <w:color w:val="auto"/>
          <w:sz w:val="24"/>
          <w:szCs w:val="24"/>
          <w:highlight w:val="none"/>
        </w:rPr>
        <w:fldChar w:fldCharType="separate"/>
      </w:r>
      <w:r>
        <w:rPr>
          <w:color w:val="auto"/>
          <w:sz w:val="24"/>
          <w:szCs w:val="24"/>
          <w:highlight w:val="none"/>
        </w:rPr>
        <w:t>- 82 -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D8593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_Toc15286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分包意向协议书</w:t>
      </w:r>
      <w:r>
        <w:rPr>
          <w:rFonts w:hint="eastAsia" w:ascii="宋体" w:hAnsi="宋体" w:eastAsia="宋体" w:cstheme="minorBidi"/>
          <w:bCs w:val="0"/>
          <w:color w:val="auto"/>
          <w:kern w:val="2"/>
          <w:sz w:val="24"/>
          <w:szCs w:val="24"/>
          <w:highlight w:val="none"/>
          <w:lang w:val="zh-CN" w:eastAsia="zh-CN" w:bidi="ar-SA"/>
        </w:rPr>
        <w:t>【如适用】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_Toc15286 \h </w:instrText>
      </w:r>
      <w:r>
        <w:rPr>
          <w:color w:val="auto"/>
          <w:sz w:val="24"/>
          <w:szCs w:val="24"/>
          <w:highlight w:val="none"/>
        </w:rPr>
        <w:fldChar w:fldCharType="separate"/>
      </w:r>
      <w:r>
        <w:rPr>
          <w:color w:val="auto"/>
          <w:sz w:val="24"/>
          <w:szCs w:val="24"/>
          <w:highlight w:val="none"/>
        </w:rPr>
        <w:t>- 84 -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AA58E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_Toc7973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_Toc7973 \h </w:instrText>
      </w:r>
      <w:r>
        <w:rPr>
          <w:color w:val="auto"/>
          <w:sz w:val="24"/>
          <w:szCs w:val="24"/>
          <w:highlight w:val="none"/>
        </w:rPr>
        <w:fldChar w:fldCharType="separate"/>
      </w:r>
      <w:r>
        <w:rPr>
          <w:color w:val="auto"/>
          <w:sz w:val="24"/>
          <w:szCs w:val="24"/>
          <w:highlight w:val="none"/>
        </w:rPr>
        <w:t>- 84 -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B35D8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_Toc18930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en-US" w:eastAsia="zh-CN" w:bidi="ar-SA"/>
        </w:rPr>
        <w:t>、落实政府采购政策相关证明文件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_Toc18930 \h </w:instrText>
      </w:r>
      <w:r>
        <w:rPr>
          <w:color w:val="auto"/>
          <w:sz w:val="24"/>
          <w:szCs w:val="24"/>
          <w:highlight w:val="none"/>
        </w:rPr>
        <w:fldChar w:fldCharType="separate"/>
      </w:r>
      <w:r>
        <w:rPr>
          <w:color w:val="auto"/>
          <w:sz w:val="24"/>
          <w:szCs w:val="24"/>
          <w:highlight w:val="none"/>
        </w:rPr>
        <w:t>- 86 -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2EC9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_Toc3073 \h </w:instrText>
      </w:r>
      <w:r>
        <w:rPr>
          <w:color w:val="auto"/>
          <w:sz w:val="24"/>
          <w:szCs w:val="24"/>
          <w:highlight w:val="none"/>
        </w:rPr>
        <w:fldChar w:fldCharType="separate"/>
      </w:r>
      <w:r>
        <w:rPr>
          <w:color w:val="auto"/>
          <w:sz w:val="24"/>
          <w:szCs w:val="24"/>
          <w:highlight w:val="none"/>
        </w:rPr>
        <w:t>- 99 -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428CA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_Toc9438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_Toc9438 \h </w:instrText>
      </w:r>
      <w:r>
        <w:rPr>
          <w:color w:val="auto"/>
          <w:sz w:val="24"/>
          <w:szCs w:val="24"/>
          <w:highlight w:val="none"/>
        </w:rPr>
        <w:fldChar w:fldCharType="separate"/>
      </w:r>
      <w:r>
        <w:rPr>
          <w:color w:val="auto"/>
          <w:sz w:val="24"/>
          <w:szCs w:val="24"/>
          <w:highlight w:val="none"/>
        </w:rPr>
        <w:t>- 101 -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335EE9">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_Toc2518 </w:instrText>
      </w:r>
      <w:r>
        <w:rPr>
          <w:rFonts w:hint="eastAsia" w:ascii="宋体" w:hAnsi="宋体" w:eastAsia="宋体" w:cs="宋体"/>
          <w:color w:val="auto"/>
          <w:sz w:val="24"/>
          <w:szCs w:val="24"/>
          <w:highlight w:val="none"/>
        </w:rPr>
        <w:fldChar w:fldCharType="separate"/>
      </w:r>
      <w:r>
        <w:rPr>
          <w:rFonts w:hint="eastAsia" w:ascii="黑体" w:hAnsi="黑体" w:eastAsia="黑体" w:cs="黑体"/>
          <w:color w:val="auto"/>
          <w:sz w:val="24"/>
          <w:szCs w:val="24"/>
          <w:highlight w:val="none"/>
          <w:lang w:val="en-US" w:eastAsia="zh-CN"/>
        </w:rPr>
        <w:t>响应</w:t>
      </w:r>
      <w:r>
        <w:rPr>
          <w:rFonts w:hint="eastAsia" w:ascii="黑体" w:hAnsi="黑体" w:eastAsia="黑体" w:cs="黑体"/>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_Toc9782 </w:instrText>
      </w:r>
      <w:r>
        <w:rPr>
          <w:rFonts w:hint="eastAsia" w:ascii="宋体" w:hAnsi="宋体" w:eastAsia="宋体" w:cs="宋体"/>
          <w:color w:val="auto"/>
          <w:sz w:val="24"/>
          <w:szCs w:val="24"/>
          <w:highlight w:val="none"/>
        </w:rPr>
        <w:fldChar w:fldCharType="separate"/>
      </w:r>
      <w:r>
        <w:rPr>
          <w:rFonts w:hint="eastAsia" w:ascii="黑体" w:hAnsi="黑体" w:eastAsia="黑体" w:cs="黑体"/>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_Toc9782 \h </w:instrText>
      </w:r>
      <w:r>
        <w:rPr>
          <w:color w:val="auto"/>
          <w:sz w:val="24"/>
          <w:szCs w:val="24"/>
          <w:highlight w:val="none"/>
        </w:rPr>
        <w:fldChar w:fldCharType="separate"/>
      </w:r>
      <w:r>
        <w:rPr>
          <w:color w:val="auto"/>
          <w:sz w:val="24"/>
          <w:szCs w:val="24"/>
          <w:highlight w:val="none"/>
        </w:rPr>
        <w:t>- 102 -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EC9D3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_Toc8562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一、报价一览表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_Toc8562 \h </w:instrText>
      </w:r>
      <w:r>
        <w:rPr>
          <w:color w:val="auto"/>
          <w:sz w:val="24"/>
          <w:szCs w:val="24"/>
          <w:highlight w:val="none"/>
        </w:rPr>
        <w:fldChar w:fldCharType="separate"/>
      </w:r>
      <w:r>
        <w:rPr>
          <w:color w:val="auto"/>
          <w:sz w:val="24"/>
          <w:szCs w:val="24"/>
          <w:highlight w:val="none"/>
        </w:rPr>
        <w:t>- 103 -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34DF1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_Toc26650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_Toc26650 \h </w:instrText>
      </w:r>
      <w:r>
        <w:rPr>
          <w:color w:val="auto"/>
          <w:sz w:val="24"/>
          <w:szCs w:val="24"/>
          <w:highlight w:val="none"/>
        </w:rPr>
        <w:fldChar w:fldCharType="separate"/>
      </w:r>
      <w:r>
        <w:rPr>
          <w:color w:val="auto"/>
          <w:sz w:val="24"/>
          <w:szCs w:val="24"/>
          <w:highlight w:val="none"/>
        </w:rPr>
        <w:t>- 105 -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25B00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_Toc11961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_Toc3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证明文件</w:t>
      </w:r>
      <w:r>
        <w:rPr>
          <w:rFonts w:hint="eastAsia" w:cstheme="majorBidi"/>
          <w:bCs/>
          <w:color w:val="auto"/>
          <w:kern w:val="2"/>
          <w:sz w:val="24"/>
          <w:szCs w:val="24"/>
          <w:highlight w:val="none"/>
          <w:lang w:val="en-US" w:eastAsia="zh-CN" w:bidi="ar-SA"/>
        </w:rPr>
        <w:tab/>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PAGEREF _Toc3 \h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- 107 -</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end"/>
      </w:r>
    </w:p>
    <w:p w14:paraId="0F982CF7">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_Toc32227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响应</w:t>
      </w:r>
      <w:r>
        <w:rPr>
          <w:rFonts w:hint="eastAsia"/>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_Toc19324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_Toc19324 \h </w:instrText>
      </w:r>
      <w:r>
        <w:rPr>
          <w:color w:val="auto"/>
          <w:sz w:val="24"/>
          <w:szCs w:val="24"/>
          <w:highlight w:val="none"/>
        </w:rPr>
        <w:fldChar w:fldCharType="separate"/>
      </w:r>
      <w:r>
        <w:rPr>
          <w:color w:val="auto"/>
          <w:sz w:val="24"/>
          <w:szCs w:val="24"/>
          <w:highlight w:val="none"/>
        </w:rPr>
        <w:t>- 109 -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CB1D3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_Toc30642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w:t>
      </w:r>
      <w:r>
        <w:rPr>
          <w:rFonts w:hint="eastAsia" w:cstheme="majorBidi"/>
          <w:bCs/>
          <w:color w:val="auto"/>
          <w:kern w:val="2"/>
          <w:sz w:val="24"/>
          <w:szCs w:val="24"/>
          <w:highlight w:val="none"/>
          <w:lang w:val="en-US" w:eastAsia="zh-CN" w:bidi="ar-SA"/>
        </w:rPr>
        <w:t>响应</w:t>
      </w:r>
      <w:r>
        <w:rPr>
          <w:rFonts w:hint="eastAsia" w:eastAsia="宋体" w:asciiTheme="majorHAnsi" w:hAnsiTheme="majorHAnsi" w:cstheme="majorBidi"/>
          <w:bCs/>
          <w:color w:val="auto"/>
          <w:kern w:val="2"/>
          <w:sz w:val="24"/>
          <w:szCs w:val="24"/>
          <w:highlight w:val="none"/>
          <w:lang w:val="en-US" w:eastAsia="zh-CN" w:bidi="ar-SA"/>
        </w:rPr>
        <w:t>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_Toc30642 \h </w:instrText>
      </w:r>
      <w:r>
        <w:rPr>
          <w:color w:val="auto"/>
          <w:sz w:val="24"/>
          <w:szCs w:val="24"/>
          <w:highlight w:val="none"/>
        </w:rPr>
        <w:fldChar w:fldCharType="separate"/>
      </w:r>
      <w:r>
        <w:rPr>
          <w:color w:val="auto"/>
          <w:sz w:val="24"/>
          <w:szCs w:val="24"/>
          <w:highlight w:val="none"/>
        </w:rPr>
        <w:t>- 110 -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3EE5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_Toc13314 \h </w:instrText>
      </w:r>
      <w:r>
        <w:rPr>
          <w:color w:val="auto"/>
          <w:sz w:val="24"/>
          <w:szCs w:val="24"/>
          <w:highlight w:val="none"/>
        </w:rPr>
        <w:fldChar w:fldCharType="separate"/>
      </w:r>
      <w:r>
        <w:rPr>
          <w:color w:val="auto"/>
          <w:sz w:val="24"/>
          <w:szCs w:val="24"/>
          <w:highlight w:val="none"/>
        </w:rPr>
        <w:t>- 112 -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1339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_Toc31851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_Toc31851 \h </w:instrText>
      </w:r>
      <w:r>
        <w:rPr>
          <w:color w:val="auto"/>
          <w:sz w:val="24"/>
          <w:szCs w:val="24"/>
          <w:highlight w:val="none"/>
        </w:rPr>
        <w:fldChar w:fldCharType="separate"/>
      </w:r>
      <w:r>
        <w:rPr>
          <w:color w:val="auto"/>
          <w:sz w:val="24"/>
          <w:szCs w:val="24"/>
          <w:highlight w:val="none"/>
        </w:rPr>
        <w:t>- 113 -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68BF2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_Toc10900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政府采购供应商廉洁自律承诺书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_Toc10900 \h </w:instrText>
      </w:r>
      <w:r>
        <w:rPr>
          <w:color w:val="auto"/>
          <w:sz w:val="24"/>
          <w:szCs w:val="24"/>
          <w:highlight w:val="none"/>
        </w:rPr>
        <w:fldChar w:fldCharType="separate"/>
      </w:r>
      <w:r>
        <w:rPr>
          <w:color w:val="auto"/>
          <w:sz w:val="24"/>
          <w:szCs w:val="24"/>
          <w:highlight w:val="none"/>
        </w:rPr>
        <w:t>- 114 -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F11FA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_Toc19356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五、实质性响应一览表</w:t>
      </w:r>
      <w:r>
        <w:rPr>
          <w:rFonts w:hint="eastAsia" w:eastAsia="宋体" w:asciiTheme="majorHAnsi" w:hAnsiTheme="majorHAnsi" w:cstheme="majorBidi"/>
          <w:bCs/>
          <w:color w:val="auto"/>
          <w:kern w:val="2"/>
          <w:sz w:val="24"/>
          <w:szCs w:val="24"/>
          <w:highlight w:val="none"/>
          <w:lang w:val="zh-CN" w:eastAsia="zh-CN" w:bidi="ar-SA"/>
        </w:rPr>
        <w:t>【</w:t>
      </w:r>
      <w:r>
        <w:rPr>
          <w:rFonts w:hint="eastAsia" w:eastAsia="宋体" w:asciiTheme="majorHAnsi" w:hAnsiTheme="majorHAnsi" w:cstheme="majorBidi"/>
          <w:bCs/>
          <w:color w:val="auto"/>
          <w:kern w:val="2"/>
          <w:sz w:val="24"/>
          <w:szCs w:val="24"/>
          <w:highlight w:val="none"/>
          <w:lang w:val="en-US" w:eastAsia="zh-CN" w:bidi="ar-SA"/>
        </w:rPr>
        <w:t>本表须与第四章的一致】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_Toc19356 \h </w:instrText>
      </w:r>
      <w:r>
        <w:rPr>
          <w:color w:val="auto"/>
          <w:sz w:val="24"/>
          <w:szCs w:val="24"/>
          <w:highlight w:val="none"/>
        </w:rPr>
        <w:fldChar w:fldCharType="separate"/>
      </w:r>
      <w:r>
        <w:rPr>
          <w:color w:val="auto"/>
          <w:sz w:val="24"/>
          <w:szCs w:val="24"/>
          <w:highlight w:val="none"/>
        </w:rPr>
        <w:t>- 115 -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6304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_Toc24814 \h </w:instrText>
      </w:r>
      <w:r>
        <w:rPr>
          <w:color w:val="auto"/>
          <w:sz w:val="24"/>
          <w:szCs w:val="24"/>
          <w:highlight w:val="none"/>
        </w:rPr>
        <w:fldChar w:fldCharType="separate"/>
      </w:r>
      <w:r>
        <w:rPr>
          <w:color w:val="auto"/>
          <w:sz w:val="24"/>
          <w:szCs w:val="24"/>
          <w:highlight w:val="none"/>
        </w:rPr>
        <w:t>- 116 -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5BF01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_Toc1770 \h </w:instrText>
      </w:r>
      <w:r>
        <w:rPr>
          <w:color w:val="auto"/>
          <w:sz w:val="24"/>
          <w:szCs w:val="24"/>
          <w:highlight w:val="none"/>
        </w:rPr>
        <w:fldChar w:fldCharType="separate"/>
      </w:r>
      <w:r>
        <w:rPr>
          <w:color w:val="auto"/>
          <w:sz w:val="24"/>
          <w:szCs w:val="24"/>
          <w:highlight w:val="none"/>
        </w:rPr>
        <w:t>- 117 -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FAF00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_Toc13711 \h </w:instrText>
      </w:r>
      <w:r>
        <w:rPr>
          <w:color w:val="auto"/>
          <w:sz w:val="24"/>
          <w:szCs w:val="24"/>
          <w:highlight w:val="none"/>
        </w:rPr>
        <w:fldChar w:fldCharType="separate"/>
      </w:r>
      <w:r>
        <w:rPr>
          <w:color w:val="auto"/>
          <w:sz w:val="24"/>
          <w:szCs w:val="24"/>
          <w:highlight w:val="none"/>
        </w:rPr>
        <w:t>- 118 -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1D80D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_Toc4226 \h </w:instrText>
      </w:r>
      <w:r>
        <w:rPr>
          <w:color w:val="auto"/>
          <w:sz w:val="24"/>
          <w:szCs w:val="24"/>
          <w:highlight w:val="none"/>
        </w:rPr>
        <w:fldChar w:fldCharType="separate"/>
      </w:r>
      <w:r>
        <w:rPr>
          <w:color w:val="auto"/>
          <w:sz w:val="24"/>
          <w:szCs w:val="24"/>
          <w:highlight w:val="none"/>
        </w:rPr>
        <w:t>- 119 -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72208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_Toc12534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_Toc12534 \h </w:instrText>
      </w:r>
      <w:r>
        <w:rPr>
          <w:color w:val="auto"/>
          <w:sz w:val="24"/>
          <w:szCs w:val="24"/>
          <w:highlight w:val="none"/>
        </w:rPr>
        <w:fldChar w:fldCharType="separate"/>
      </w:r>
      <w:r>
        <w:rPr>
          <w:color w:val="auto"/>
          <w:sz w:val="24"/>
          <w:szCs w:val="24"/>
          <w:highlight w:val="none"/>
        </w:rPr>
        <w:t>- 120 -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1DD8A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_Toc18914 \h </w:instrText>
      </w:r>
      <w:r>
        <w:rPr>
          <w:color w:val="auto"/>
          <w:sz w:val="24"/>
          <w:szCs w:val="24"/>
          <w:highlight w:val="none"/>
        </w:rPr>
        <w:fldChar w:fldCharType="separate"/>
      </w:r>
      <w:r>
        <w:rPr>
          <w:color w:val="auto"/>
          <w:sz w:val="24"/>
          <w:szCs w:val="24"/>
          <w:highlight w:val="none"/>
        </w:rPr>
        <w:t>- 121 -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0D7D4">
      <w:pPr>
        <w:spacing w:line="360" w:lineRule="auto"/>
        <w:rPr>
          <w:rFonts w:ascii="黑体" w:hAnsi="黑体" w:eastAsia="黑体"/>
          <w:color w:val="auto"/>
          <w:sz w:val="32"/>
          <w:szCs w:val="32"/>
          <w:highlight w:val="none"/>
        </w:rPr>
      </w:pPr>
      <w:r>
        <w:rPr>
          <w:rFonts w:hint="eastAsia" w:ascii="宋体" w:hAnsi="宋体" w:eastAsia="宋体" w:cs="宋体"/>
          <w:color w:val="auto"/>
          <w:szCs w:val="24"/>
          <w:highlight w:val="none"/>
        </w:rPr>
        <w:fldChar w:fldCharType="end"/>
      </w:r>
    </w:p>
    <w:p w14:paraId="3C614A7D">
      <w:pPr>
        <w:jc w:val="center"/>
        <w:rPr>
          <w:rFonts w:ascii="黑体" w:hAnsi="黑体" w:eastAsia="黑体"/>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color w:val="auto"/>
          <w:highlight w:val="none"/>
        </w:rPr>
      </w:pPr>
      <w:bookmarkStart w:id="0" w:name="_Toc23362"/>
      <w:bookmarkStart w:id="1" w:name="_Toc27583"/>
      <w:r>
        <w:rPr>
          <w:rFonts w:hint="eastAsia" w:ascii="宋体" w:hAnsi="宋体" w:eastAsia="宋体" w:cs="宋体"/>
          <w:b/>
          <w:bCs/>
          <w:color w:val="auto"/>
          <w:kern w:val="44"/>
          <w:sz w:val="36"/>
          <w:szCs w:val="36"/>
          <w:highlight w:val="none"/>
          <w:lang w:val="en-US" w:eastAsia="zh-CN" w:bidi="ar-SA"/>
        </w:rPr>
        <w:t xml:space="preserve">第一章 </w:t>
      </w:r>
      <w:r>
        <w:rPr>
          <w:rFonts w:hint="eastAsia" w:ascii="宋体" w:hAnsi="宋体" w:eastAsia="宋体" w:cs="宋体"/>
          <w:color w:val="auto"/>
          <w:sz w:val="36"/>
          <w:szCs w:val="36"/>
          <w:highlight w:val="none"/>
        </w:rPr>
        <w:t>竞争性</w:t>
      </w:r>
      <w:r>
        <w:rPr>
          <w:rFonts w:hint="eastAsia" w:eastAsia="宋体" w:cs="宋体"/>
          <w:color w:val="auto"/>
          <w:sz w:val="36"/>
          <w:szCs w:val="36"/>
          <w:highlight w:val="none"/>
          <w:lang w:val="en-US" w:eastAsia="zh-CN"/>
        </w:rPr>
        <w:t>谈判</w:t>
      </w:r>
      <w:r>
        <w:rPr>
          <w:rFonts w:hint="eastAsia" w:ascii="宋体" w:hAnsi="宋体" w:eastAsia="宋体" w:cs="宋体"/>
          <w:color w:val="auto"/>
          <w:sz w:val="36"/>
          <w:szCs w:val="36"/>
          <w:highlight w:val="none"/>
          <w:lang w:val="en-US" w:eastAsia="zh-CN"/>
        </w:rPr>
        <w:t>公告</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70E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2" w:name="_Toc23798"/>
            <w:bookmarkStart w:id="3" w:name="_Toc19242"/>
            <w:bookmarkStart w:id="4" w:name="_Toc10432"/>
            <w:bookmarkStart w:id="5" w:name="_Toc163492812"/>
            <w:bookmarkStart w:id="6" w:name="_Toc44583628"/>
            <w:bookmarkStart w:id="7" w:name="_Toc35393629"/>
            <w:bookmarkStart w:id="8" w:name="_Toc109899829"/>
            <w:bookmarkStart w:id="9" w:name="_Toc109899410"/>
            <w:bookmarkStart w:id="10" w:name="_Toc28359089"/>
            <w:bookmarkStart w:id="11" w:name="_Toc140132745"/>
            <w:bookmarkStart w:id="12" w:name="_Toc28359012"/>
            <w:bookmarkStart w:id="13" w:name="_Toc35393798"/>
            <w:bookmarkStart w:id="14" w:name="_Toc155185860"/>
            <w:bookmarkStart w:id="15" w:name="_Toc109900248"/>
            <w:r>
              <w:rPr>
                <w:rFonts w:hint="eastAsia"/>
                <w:color w:val="auto"/>
                <w:sz w:val="24"/>
                <w:szCs w:val="24"/>
                <w:highlight w:val="none"/>
                <w:lang w:val="en-US" w:eastAsia="zh-CN"/>
              </w:rPr>
              <w:t>项目概况：</w:t>
            </w:r>
            <w:bookmarkEnd w:id="2"/>
            <w:bookmarkEnd w:id="3"/>
            <w:bookmarkEnd w:id="4"/>
          </w:p>
          <w:p w14:paraId="6E3F83A4">
            <w:pPr>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新疆医科大学第一附属医院喷雾干燥机采购项目（二次）</w:t>
            </w:r>
            <w:r>
              <w:rPr>
                <w:rFonts w:hint="eastAsia" w:cstheme="minorBidi"/>
                <w:iCs/>
                <w:color w:val="auto"/>
                <w:kern w:val="2"/>
                <w:sz w:val="24"/>
                <w:szCs w:val="24"/>
                <w:highlight w:val="none"/>
                <w:u w:val="single"/>
                <w:shd w:val="clear" w:color="auto" w:fill="FFFFFF" w:themeFill="background1"/>
                <w:lang w:val="en-US"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的潜在供应商</w:t>
            </w:r>
            <w:r>
              <w:rPr>
                <w:rFonts w:hint="eastAsia" w:cstheme="minorBidi"/>
                <w:i w:val="0"/>
                <w:iCs w:val="0"/>
                <w:color w:val="auto"/>
                <w:kern w:val="2"/>
                <w:sz w:val="24"/>
                <w:szCs w:val="22"/>
                <w:highlight w:val="none"/>
                <w:u w:val="none"/>
                <w:lang w:val="en-US" w:eastAsia="zh-CN" w:bidi="ar-SA"/>
              </w:rPr>
              <w:t>应</w:t>
            </w:r>
            <w:r>
              <w:rPr>
                <w:rFonts w:hint="default" w:ascii="宋体" w:hAnsi="宋体" w:eastAsia="宋体" w:cstheme="minorBidi"/>
                <w:i w:val="0"/>
                <w:iCs w:val="0"/>
                <w:color w:val="auto"/>
                <w:kern w:val="2"/>
                <w:sz w:val="24"/>
                <w:szCs w:val="22"/>
                <w:highlight w:val="none"/>
                <w:u w:val="none"/>
                <w:lang w:val="en-US" w:eastAsia="zh-CN" w:bidi="ar-SA"/>
              </w:rPr>
              <w:t>在政采云平台线上（网址：https://www.zcygov.cn/）获取采购文件，并于</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6</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18</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10时30</w:t>
            </w:r>
            <w:r>
              <w:rPr>
                <w:rFonts w:hint="default" w:ascii="宋体" w:hAnsi="宋体" w:eastAsia="宋体" w:cstheme="minorBidi"/>
                <w:i w:val="0"/>
                <w:iCs w:val="0"/>
                <w:color w:val="auto"/>
                <w:kern w:val="2"/>
                <w:sz w:val="24"/>
                <w:szCs w:val="22"/>
                <w:highlight w:val="none"/>
                <w:u w:val="single"/>
                <w:lang w:val="en-US"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13827"/>
      <w:bookmarkStart w:id="17" w:name="_Toc12894"/>
      <w:bookmarkStart w:id="18" w:name="_Toc7440"/>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5E3A1EB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1.项目编号</w:t>
      </w:r>
      <w:r>
        <w:rPr>
          <w:rFonts w:hint="eastAsia" w:ascii="宋体" w:hAnsi="宋体" w:eastAsia="宋体" w:cs="宋体"/>
          <w:color w:val="auto"/>
          <w:sz w:val="24"/>
          <w:szCs w:val="24"/>
          <w:highlight w:val="none"/>
          <w:lang w:val="hr-HR" w:eastAsia="zh-CN"/>
        </w:rPr>
        <w:t>/包号</w:t>
      </w:r>
      <w:r>
        <w:rPr>
          <w:rFonts w:hint="eastAsia" w:ascii="宋体" w:hAnsi="宋体" w:eastAsia="宋体" w:cs="宋体"/>
          <w:color w:val="auto"/>
          <w:sz w:val="24"/>
          <w:szCs w:val="24"/>
          <w:highlight w:val="none"/>
          <w:lang w:val="hr-HR"/>
        </w:rPr>
        <w:t>：</w:t>
      </w:r>
      <w:r>
        <w:rPr>
          <w:rFonts w:hint="eastAsia" w:cs="宋体"/>
          <w:i w:val="0"/>
          <w:iCs w:val="0"/>
          <w:color w:val="auto"/>
          <w:kern w:val="2"/>
          <w:sz w:val="24"/>
          <w:szCs w:val="24"/>
          <w:highlight w:val="none"/>
          <w:u w:val="single"/>
          <w:lang w:val="en-US" w:eastAsia="zh-CN" w:bidi="ar-SA"/>
        </w:rPr>
        <w:t>TC269H0HA</w:t>
      </w:r>
    </w:p>
    <w:p w14:paraId="544AA4B7">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u w:val="single"/>
          <w:lang w:eastAsia="zh-CN"/>
        </w:rPr>
        <w:t>新疆医科大学第一附属医院喷雾干燥机采购项目（二次）</w:t>
      </w:r>
    </w:p>
    <w:p w14:paraId="3CE35A7E">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p>
    <w:p w14:paraId="78A90596">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138000元</w:t>
      </w:r>
      <w:r>
        <w:rPr>
          <w:rFonts w:hint="eastAsia" w:ascii="宋体" w:hAnsi="宋体" w:eastAsia="宋体" w:cs="宋体"/>
          <w:color w:val="auto"/>
          <w:sz w:val="24"/>
          <w:szCs w:val="24"/>
          <w:highlight w:val="none"/>
          <w:u w:val="single"/>
        </w:rPr>
        <w:t xml:space="preserve"> </w:t>
      </w:r>
    </w:p>
    <w:p w14:paraId="7851BE2C">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138000元  </w:t>
      </w:r>
    </w:p>
    <w:p w14:paraId="601A9C8F">
      <w:pPr>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i w:val="0"/>
          <w:iCs w:val="0"/>
          <w:color w:val="auto"/>
          <w:kern w:val="2"/>
          <w:sz w:val="24"/>
          <w:szCs w:val="24"/>
          <w:highlight w:val="none"/>
          <w:u w:val="single"/>
          <w:lang w:val="en-US" w:eastAsia="zh-CN" w:bidi="ar-SA"/>
        </w:rPr>
        <w:t>采购喷雾干燥机1套，技术参数清单详见采购需求</w:t>
      </w:r>
    </w:p>
    <w:p w14:paraId="56FBF6DA">
      <w:pPr>
        <w:pStyle w:val="34"/>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u w:val="single"/>
        </w:rPr>
        <w:t xml:space="preserve">  详见</w:t>
      </w:r>
      <w:r>
        <w:rPr>
          <w:rFonts w:hint="eastAsia" w:cs="宋体"/>
          <w:color w:val="auto"/>
          <w:sz w:val="24"/>
          <w:szCs w:val="24"/>
          <w:highlight w:val="none"/>
          <w:u w:val="single"/>
          <w:lang w:val="en-US" w:eastAsia="zh-CN"/>
        </w:rPr>
        <w:t>采购</w:t>
      </w:r>
      <w:r>
        <w:rPr>
          <w:rFonts w:hint="eastAsia" w:ascii="宋体" w:hAnsi="宋体" w:eastAsia="宋体" w:cs="宋体"/>
          <w:color w:val="auto"/>
          <w:sz w:val="24"/>
          <w:szCs w:val="24"/>
          <w:highlight w:val="none"/>
          <w:u w:val="single"/>
        </w:rPr>
        <w:t xml:space="preserve">文件 </w:t>
      </w:r>
      <w:r>
        <w:rPr>
          <w:rFonts w:hint="eastAsia" w:ascii="宋体" w:hAnsi="宋体" w:eastAsia="宋体" w:cs="宋体"/>
          <w:color w:val="auto"/>
          <w:sz w:val="24"/>
          <w:szCs w:val="24"/>
          <w:highlight w:val="none"/>
          <w:u w:val="single"/>
          <w:lang w:val="hr-HR"/>
        </w:rPr>
        <w:t xml:space="preserve"> </w:t>
      </w:r>
    </w:p>
    <w:p w14:paraId="4B098642">
      <w:pPr>
        <w:pStyle w:val="34"/>
        <w:rPr>
          <w:rFonts w:hint="eastAsia" w:ascii="宋体" w:hAnsi="宋体" w:eastAsia="宋体" w:cs="宋体"/>
          <w:color w:val="auto"/>
          <w:sz w:val="24"/>
          <w:szCs w:val="24"/>
          <w:highlight w:val="none"/>
          <w:lang w:val="en-US" w:eastAsia="zh-CN"/>
        </w:rPr>
      </w:pPr>
      <w:bookmarkStart w:id="19" w:name="_Toc35393799"/>
      <w:bookmarkStart w:id="20" w:name="_Toc44583629"/>
      <w:bookmarkStart w:id="21" w:name="_Toc28359013"/>
      <w:bookmarkStart w:id="22" w:name="_Toc28359090"/>
      <w:bookmarkStart w:id="23" w:name="_Toc35393630"/>
      <w:r>
        <w:rPr>
          <w:rFonts w:hint="eastAsia" w:ascii="宋体" w:hAnsi="宋体" w:eastAsia="宋体" w:cs="宋体"/>
          <w:color w:val="auto"/>
          <w:sz w:val="24"/>
          <w:szCs w:val="24"/>
          <w:highlight w:val="none"/>
          <w:lang w:val="en-US" w:eastAsia="zh-CN"/>
        </w:rPr>
        <w:t>8.</w:t>
      </w:r>
      <w:bookmarkStart w:id="24" w:name="_Hlk162011358"/>
      <w:r>
        <w:rPr>
          <w:rFonts w:hint="eastAsia" w:ascii="宋体" w:hAnsi="宋体" w:eastAsia="宋体" w:cs="宋体"/>
          <w:color w:val="auto"/>
          <w:sz w:val="24"/>
          <w:szCs w:val="24"/>
          <w:highlight w:val="none"/>
          <w:lang w:val="en-US" w:eastAsia="zh-CN"/>
        </w:rPr>
        <w:t>本项目是否接受联合体：□是</w:t>
      </w:r>
      <w:bookmarkEnd w:id="24"/>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5" w:name="_Toc109899411"/>
      <w:bookmarkStart w:id="26" w:name="_Toc109900249"/>
      <w:bookmarkStart w:id="27" w:name="_Toc140132746"/>
      <w:bookmarkStart w:id="28" w:name="_Toc109899830"/>
      <w:bookmarkStart w:id="29" w:name="_Toc5661"/>
      <w:bookmarkStart w:id="30" w:name="_Toc18424"/>
      <w:bookmarkStart w:id="31" w:name="_Toc155185861"/>
      <w:bookmarkStart w:id="32" w:name="_Toc163492813"/>
      <w:bookmarkStart w:id="33" w:name="_Toc21076"/>
      <w:r>
        <w:rPr>
          <w:rFonts w:hint="eastAsia" w:ascii="宋体" w:hAnsi="宋体" w:eastAsia="宋体" w:cs="宋体"/>
          <w:b/>
          <w:bCs/>
          <w:color w:val="auto"/>
          <w:kern w:val="2"/>
          <w:sz w:val="24"/>
          <w:szCs w:val="24"/>
          <w:highlight w:val="none"/>
          <w:lang w:val="en-US" w:eastAsia="zh-CN" w:bidi="ar-SA"/>
        </w:rPr>
        <w:t>二、申请人的</w:t>
      </w:r>
      <w:r>
        <w:rPr>
          <w:rFonts w:hint="eastAsia" w:ascii="宋体" w:hAnsi="宋体" w:eastAsia="宋体" w:cs="宋体"/>
          <w:b/>
          <w:bCs/>
          <w:color w:val="auto"/>
          <w:kern w:val="2"/>
          <w:sz w:val="24"/>
          <w:szCs w:val="24"/>
          <w:highlight w:val="none"/>
          <w:lang w:val="hr-HR" w:eastAsia="zh-CN" w:bidi="ar-SA"/>
        </w:rPr>
        <w:t>资格要求</w:t>
      </w:r>
      <w:bookmarkEnd w:id="19"/>
      <w:bookmarkEnd w:id="20"/>
      <w:bookmarkEnd w:id="21"/>
      <w:bookmarkEnd w:id="22"/>
      <w:bookmarkEnd w:id="23"/>
      <w:bookmarkEnd w:id="25"/>
      <w:bookmarkEnd w:id="26"/>
      <w:bookmarkEnd w:id="27"/>
      <w:bookmarkEnd w:id="28"/>
      <w:bookmarkEnd w:id="29"/>
      <w:bookmarkEnd w:id="30"/>
      <w:bookmarkEnd w:id="31"/>
      <w:bookmarkEnd w:id="32"/>
      <w:bookmarkEnd w:id="33"/>
    </w:p>
    <w:p w14:paraId="5384018C">
      <w:pPr>
        <w:ind w:firstLine="480" w:firstLineChars="200"/>
        <w:rPr>
          <w:rFonts w:hint="eastAsia" w:ascii="宋体" w:hAnsi="宋体" w:eastAsia="宋体" w:cs="宋体"/>
          <w:strike/>
          <w:dstrike w:val="0"/>
          <w:color w:val="auto"/>
          <w:sz w:val="24"/>
          <w:szCs w:val="24"/>
          <w:highlight w:val="none"/>
          <w:lang w:val="en-US" w:eastAsia="zh-CN"/>
        </w:rPr>
      </w:pPr>
      <w:bookmarkStart w:id="34" w:name="_Toc35393631"/>
      <w:bookmarkStart w:id="35" w:name="_Toc35393800"/>
      <w:bookmarkStart w:id="36" w:name="_Toc28359014"/>
      <w:bookmarkStart w:id="37" w:name="_Toc28359091"/>
      <w:bookmarkStart w:id="38" w:name="_Toc44583630"/>
      <w:r>
        <w:rPr>
          <w:rFonts w:hint="eastAsia" w:ascii="宋体" w:hAnsi="宋体" w:eastAsia="宋体" w:cs="宋体"/>
          <w:color w:val="auto"/>
          <w:sz w:val="24"/>
          <w:szCs w:val="24"/>
          <w:highlight w:val="none"/>
          <w:lang w:val="en-US" w:eastAsia="zh-CN"/>
        </w:rPr>
        <w:t>1. 满足《中华人民共和国政府采购法》第二十二条规定；</w:t>
      </w:r>
    </w:p>
    <w:p w14:paraId="07998FA8">
      <w:pPr>
        <w:ind w:firstLine="480" w:firstLineChars="200"/>
        <w:rPr>
          <w:rFonts w:hint="eastAsia" w:ascii="宋体" w:hAnsi="宋体" w:eastAsia="宋体" w:cs="宋体"/>
          <w:color w:val="auto"/>
          <w:sz w:val="24"/>
          <w:szCs w:val="24"/>
          <w:highlight w:val="none"/>
          <w:u w:val="none"/>
          <w:lang w:val="en-US" w:eastAsia="zh-CN"/>
        </w:rPr>
      </w:pPr>
      <w:bookmarkStart w:id="39" w:name="_Hlk89807755"/>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.落实政府采购政策需满足的资格要求：本项目专门面向中小企业采购，供应商须按照采购文件要求提供《中小企业声明函》</w:t>
      </w:r>
      <w:r>
        <w:rPr>
          <w:rFonts w:hint="eastAsia" w:ascii="宋体" w:hAnsi="宋体" w:eastAsia="宋体" w:cs="宋体"/>
          <w:color w:val="auto"/>
          <w:sz w:val="24"/>
          <w:szCs w:val="24"/>
          <w:highlight w:val="none"/>
          <w:u w:val="none"/>
          <w:lang w:val="en-US" w:eastAsia="zh-CN"/>
        </w:rPr>
        <w:t>。</w:t>
      </w:r>
    </w:p>
    <w:p w14:paraId="263D7A53">
      <w:pPr>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w:t>
      </w:r>
    </w:p>
    <w:p w14:paraId="10AA83E0">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1）属于医疗器械管理的产品需根据《医疗器械监督管理条例》（国务院令第650号）有关内容办理医疗器械产品注册或备案。</w:t>
      </w:r>
    </w:p>
    <w:p w14:paraId="7684BE0D">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（2）法定代表人或单位负责人为同一人或者存在直接控股、管理关系的不同投标人，不得参加同一合同项下的政府采购活动。</w:t>
      </w:r>
    </w:p>
    <w:p w14:paraId="0F2FB056">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（3）除单一来源采购项目外，为采购项目提供整体设计、规范编制或者项目管理、监理、检测等服务的投标人，不得再参加该采购项目的其他采购活动。</w:t>
      </w:r>
    </w:p>
    <w:p w14:paraId="6B3ECAEB">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（4）投标人的信用行为：在资格审查阶段经查询，未被列入“失信被执行人”、“重大税收违法失信主体”、“政府采购严重违法失信行为记录名单”其中之一。如有以上不良信用记录之一的，其投标无效。</w:t>
      </w:r>
    </w:p>
    <w:bookmarkEnd w:id="39"/>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0" w:name="_Toc109899831"/>
      <w:bookmarkStart w:id="41" w:name="_Toc109899412"/>
      <w:bookmarkStart w:id="42" w:name="_Toc109900250"/>
      <w:bookmarkStart w:id="43" w:name="_Toc24875"/>
      <w:bookmarkStart w:id="44" w:name="_Toc163492814"/>
      <w:bookmarkStart w:id="45" w:name="_Toc155185862"/>
      <w:bookmarkStart w:id="46" w:name="_Toc17020"/>
      <w:bookmarkStart w:id="47" w:name="_Toc293"/>
      <w:bookmarkStart w:id="48"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w:t>
      </w:r>
      <w:r>
        <w:rPr>
          <w:rFonts w:hint="eastAsia" w:ascii="宋体" w:hAnsi="宋体" w:eastAsia="宋体" w:cs="宋体"/>
          <w:b/>
          <w:bCs/>
          <w:color w:val="auto"/>
          <w:kern w:val="2"/>
          <w:sz w:val="24"/>
          <w:szCs w:val="24"/>
          <w:highlight w:val="none"/>
          <w:lang w:val="en-US" w:eastAsia="zh-CN" w:bidi="ar-SA"/>
        </w:rPr>
        <w:t>采购</w:t>
      </w:r>
      <w:r>
        <w:rPr>
          <w:rFonts w:hint="eastAsia" w:ascii="宋体" w:hAnsi="宋体" w:eastAsia="宋体" w:cs="宋体"/>
          <w:b/>
          <w:bCs/>
          <w:color w:val="auto"/>
          <w:kern w:val="2"/>
          <w:sz w:val="24"/>
          <w:szCs w:val="24"/>
          <w:highlight w:val="none"/>
          <w:lang w:val="hr-HR" w:eastAsia="zh-CN" w:bidi="ar-SA"/>
        </w:rPr>
        <w:t>文件</w:t>
      </w:r>
      <w:bookmarkEnd w:id="34"/>
      <w:bookmarkEnd w:id="35"/>
      <w:bookmarkEnd w:id="36"/>
      <w:bookmarkEnd w:id="37"/>
      <w:bookmarkEnd w:id="38"/>
      <w:bookmarkEnd w:id="40"/>
      <w:bookmarkEnd w:id="41"/>
      <w:bookmarkEnd w:id="42"/>
      <w:bookmarkEnd w:id="43"/>
      <w:bookmarkEnd w:id="44"/>
      <w:bookmarkEnd w:id="45"/>
      <w:bookmarkEnd w:id="46"/>
      <w:bookmarkEnd w:id="47"/>
      <w:bookmarkEnd w:id="48"/>
      <w:r>
        <w:rPr>
          <w:rFonts w:hint="eastAsia" w:ascii="宋体" w:hAnsi="宋体" w:eastAsia="宋体" w:cs="宋体"/>
          <w:b/>
          <w:bCs/>
          <w:color w:val="auto"/>
          <w:kern w:val="2"/>
          <w:sz w:val="24"/>
          <w:szCs w:val="24"/>
          <w:highlight w:val="none"/>
          <w:lang w:val="hr-HR" w:eastAsia="zh-CN" w:bidi="ar-SA"/>
        </w:rPr>
        <w:t xml:space="preserve"> </w:t>
      </w:r>
    </w:p>
    <w:p w14:paraId="7F0135DE">
      <w:pPr>
        <w:spacing w:line="360" w:lineRule="auto"/>
        <w:ind w:firstLine="540"/>
        <w:rPr>
          <w:rFonts w:hint="eastAsia" w:ascii="宋体" w:hAnsi="宋体" w:eastAsia="宋体" w:cs="宋体"/>
          <w:i w:val="0"/>
          <w:iCs w:val="0"/>
          <w:color w:val="auto"/>
          <w:sz w:val="24"/>
          <w:szCs w:val="24"/>
          <w:highlight w:val="none"/>
          <w:lang w:val="hr-HR" w:eastAsia="zh-CN"/>
        </w:rPr>
      </w:pPr>
      <w:bookmarkStart w:id="49" w:name="_Hlk130457234"/>
      <w:bookmarkStart w:id="50" w:name="_Toc35393632"/>
      <w:bookmarkStart w:id="51" w:name="_Toc35393801"/>
      <w:bookmarkStart w:id="52" w:name="_Toc28359015"/>
      <w:bookmarkStart w:id="53" w:name="_Hlk130457261"/>
      <w:bookmarkStart w:id="54" w:name="_Hlk130457327"/>
      <w:bookmarkStart w:id="55" w:name="_Toc28359092"/>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i w:val="0"/>
          <w:iCs w:val="0"/>
          <w:color w:val="auto"/>
          <w:sz w:val="24"/>
          <w:szCs w:val="24"/>
          <w:highlight w:val="none"/>
          <w:u w:val="single"/>
        </w:rPr>
        <w:t>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17</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，每天上午00:00至14:00，下午14:00至23:59（北京时间，法定节假日除外）</w:t>
      </w:r>
      <w:r>
        <w:rPr>
          <w:rFonts w:hint="eastAsia" w:ascii="宋体" w:hAnsi="宋体" w:eastAsia="宋体" w:cs="宋体"/>
          <w:i w:val="0"/>
          <w:iCs w:val="0"/>
          <w:color w:val="auto"/>
          <w:sz w:val="24"/>
          <w:szCs w:val="24"/>
          <w:highlight w:val="none"/>
          <w:lang w:eastAsia="zh-CN"/>
        </w:rPr>
        <w:t>。</w:t>
      </w:r>
    </w:p>
    <w:bookmarkEnd w:id="49"/>
    <w:p w14:paraId="34FD69CE">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6" w:name="_Hlk89807779"/>
      <w:r>
        <w:rPr>
          <w:rFonts w:hint="eastAsia" w:ascii="宋体" w:hAnsi="宋体" w:eastAsia="宋体" w:cs="宋体"/>
          <w:color w:val="auto"/>
          <w:sz w:val="24"/>
          <w:szCs w:val="24"/>
          <w:highlight w:val="none"/>
          <w:lang w:val="hr-HR"/>
        </w:rPr>
        <w:t>政采云平台线上（网址：https://www.zcygov.cn/）</w:t>
      </w:r>
      <w:r>
        <w:rPr>
          <w:rFonts w:hint="eastAsia" w:ascii="宋体" w:hAnsi="宋体" w:eastAsia="宋体" w:cs="宋体"/>
          <w:color w:val="auto"/>
          <w:sz w:val="24"/>
          <w:szCs w:val="24"/>
          <w:highlight w:val="none"/>
        </w:rPr>
        <w:t>。</w:t>
      </w:r>
      <w:bookmarkEnd w:id="56"/>
    </w:p>
    <w:p w14:paraId="42A40251">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供应商登录政采云平台</w:t>
      </w:r>
      <w:r>
        <w:rPr>
          <w:rFonts w:hint="eastAsia" w:ascii="宋体" w:hAnsi="宋体" w:eastAsia="宋体" w:cs="宋体"/>
          <w:color w:val="auto"/>
          <w:sz w:val="24"/>
          <w:szCs w:val="24"/>
          <w:highlight w:val="none"/>
          <w:lang w:val="hr-HR"/>
        </w:rPr>
        <w:t>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hr-HR"/>
        </w:rPr>
        <w:t>//www.zcygov.cn/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hr-HR"/>
        </w:rPr>
        <w:t xml:space="preserve"> </w:t>
      </w:r>
    </w:p>
    <w:p w14:paraId="6565D40F">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售价：</w:t>
      </w:r>
      <w:r>
        <w:rPr>
          <w:rFonts w:hint="eastAsia" w:ascii="宋体" w:hAnsi="宋体" w:eastAsia="宋体" w:cs="宋体"/>
          <w:color w:val="auto"/>
          <w:sz w:val="24"/>
          <w:szCs w:val="24"/>
          <w:highlight w:val="none"/>
          <w:lang w:val="en-US" w:eastAsia="zh-CN"/>
        </w:rPr>
        <w:t>0元。</w:t>
      </w:r>
    </w:p>
    <w:bookmarkEnd w:id="50"/>
    <w:bookmarkEnd w:id="51"/>
    <w:bookmarkEnd w:id="52"/>
    <w:bookmarkEnd w:id="53"/>
    <w:bookmarkEnd w:id="54"/>
    <w:bookmarkEnd w:id="55"/>
    <w:p w14:paraId="66DADC5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7" w:name="_Toc155185863"/>
      <w:bookmarkStart w:id="58" w:name="_Toc109899413"/>
      <w:bookmarkStart w:id="59" w:name="_Toc109900251"/>
      <w:bookmarkStart w:id="60" w:name="_Toc109899832"/>
      <w:bookmarkStart w:id="61" w:name="_Toc140132748"/>
      <w:bookmarkStart w:id="62" w:name="_Toc163492815"/>
      <w:bookmarkStart w:id="63" w:name="_Toc15058"/>
      <w:bookmarkStart w:id="64" w:name="_Toc26860"/>
      <w:bookmarkStart w:id="65" w:name="_Toc5645"/>
      <w:r>
        <w:rPr>
          <w:rFonts w:hint="eastAsia" w:ascii="宋体" w:hAnsi="宋体" w:eastAsia="宋体" w:cs="宋体"/>
          <w:b/>
          <w:bCs/>
          <w:color w:val="auto"/>
          <w:kern w:val="2"/>
          <w:sz w:val="24"/>
          <w:szCs w:val="24"/>
          <w:highlight w:val="none"/>
          <w:lang w:val="en-US" w:eastAsia="zh-CN" w:bidi="ar-SA"/>
        </w:rPr>
        <w:t>四、</w:t>
      </w:r>
      <w:bookmarkEnd w:id="57"/>
      <w:bookmarkEnd w:id="58"/>
      <w:bookmarkEnd w:id="59"/>
      <w:bookmarkEnd w:id="60"/>
      <w:bookmarkEnd w:id="61"/>
      <w:bookmarkEnd w:id="62"/>
      <w:r>
        <w:rPr>
          <w:rFonts w:hint="eastAsia" w:ascii="宋体" w:hAnsi="宋体" w:eastAsia="宋体" w:cs="宋体"/>
          <w:b/>
          <w:bCs/>
          <w:color w:val="auto"/>
          <w:spacing w:val="-6"/>
          <w:kern w:val="2"/>
          <w:sz w:val="24"/>
          <w:szCs w:val="24"/>
          <w:highlight w:val="none"/>
          <w:lang w:val="hr-HR" w:eastAsia="zh-CN" w:bidi="ar-SA"/>
        </w:rPr>
        <w:t>响应文件提交</w:t>
      </w:r>
      <w:bookmarkEnd w:id="63"/>
      <w:bookmarkEnd w:id="64"/>
      <w:bookmarkEnd w:id="65"/>
    </w:p>
    <w:p w14:paraId="2D110B47">
      <w:pPr>
        <w:pStyle w:val="34"/>
        <w:rPr>
          <w:rFonts w:hint="eastAsia" w:ascii="宋体" w:hAnsi="宋体" w:eastAsia="宋体" w:cs="宋体"/>
          <w:color w:val="auto"/>
          <w:sz w:val="24"/>
          <w:szCs w:val="24"/>
          <w:highlight w:val="none"/>
        </w:rPr>
      </w:pPr>
      <w:bookmarkStart w:id="66" w:name="_Hlk130457395"/>
      <w:bookmarkStart w:id="67" w:name="_Toc28359094"/>
      <w:bookmarkStart w:id="68" w:name="_Toc44583633"/>
      <w:bookmarkStart w:id="69" w:name="_Toc35393803"/>
      <w:bookmarkStart w:id="70" w:name="_Toc28359017"/>
      <w:bookmarkStart w:id="71" w:name="_Toc35393634"/>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（北京时间）。</w:t>
      </w:r>
    </w:p>
    <w:p w14:paraId="63FC81BC">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rPr>
        <w:t>政采云平台</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rPr>
        <w:t>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选择项目分包文件递交页面进行递交（上传）。</w:t>
      </w:r>
    </w:p>
    <w:bookmarkEnd w:id="66"/>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72" w:name="_Toc19249"/>
      <w:bookmarkStart w:id="73" w:name="_Toc7125"/>
      <w:bookmarkStart w:id="74" w:name="_Toc1822"/>
      <w:bookmarkStart w:id="75" w:name="_Toc109899833"/>
      <w:bookmarkStart w:id="76" w:name="_Toc163492816"/>
      <w:bookmarkStart w:id="77" w:name="_Toc140132749"/>
      <w:bookmarkStart w:id="78" w:name="_Toc109900252"/>
      <w:bookmarkStart w:id="79" w:name="_Toc109899414"/>
      <w:bookmarkStart w:id="80" w:name="_Toc155185864"/>
      <w:r>
        <w:rPr>
          <w:rFonts w:hint="eastAsia" w:ascii="宋体" w:hAnsi="宋体" w:eastAsia="宋体" w:cs="宋体"/>
          <w:b/>
          <w:bCs/>
          <w:color w:val="auto"/>
          <w:kern w:val="2"/>
          <w:sz w:val="24"/>
          <w:szCs w:val="24"/>
          <w:highlight w:val="none"/>
          <w:lang w:val="en-US" w:eastAsia="zh-CN" w:bidi="ar-SA"/>
        </w:rPr>
        <w:t>五、开启</w:t>
      </w:r>
      <w:bookmarkEnd w:id="72"/>
      <w:bookmarkEnd w:id="73"/>
      <w:bookmarkEnd w:id="74"/>
    </w:p>
    <w:p w14:paraId="508C6E16">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（北京时间）。</w:t>
      </w:r>
    </w:p>
    <w:p w14:paraId="71EF07E7">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供应商登录政采云平台https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rPr>
        <w:t>//www.zcygov.cn/，进入“项目采购-开评标管理-右边选择对应项目点击“进入项目”进入开标大厅</w:t>
      </w:r>
      <w:r>
        <w:rPr>
          <w:rFonts w:hint="eastAsia" w:ascii="宋体" w:hAnsi="宋体" w:eastAsia="宋体" w:cs="宋体"/>
          <w:color w:val="auto"/>
          <w:sz w:val="24"/>
          <w:szCs w:val="24"/>
          <w:highlight w:val="none"/>
        </w:rPr>
        <w:t>。</w:t>
      </w:r>
    </w:p>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1" w:name="_Toc4915"/>
      <w:bookmarkStart w:id="82" w:name="_Toc6105"/>
      <w:bookmarkStart w:id="83" w:name="_Toc11928"/>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公告期限</w:t>
      </w:r>
      <w:bookmarkEnd w:id="67"/>
      <w:bookmarkEnd w:id="68"/>
      <w:bookmarkEnd w:id="69"/>
      <w:bookmarkEnd w:id="70"/>
      <w:bookmarkEnd w:id="71"/>
      <w:bookmarkEnd w:id="75"/>
      <w:bookmarkEnd w:id="76"/>
      <w:bookmarkEnd w:id="77"/>
      <w:bookmarkEnd w:id="78"/>
      <w:bookmarkEnd w:id="79"/>
      <w:bookmarkEnd w:id="80"/>
      <w:bookmarkEnd w:id="81"/>
      <w:bookmarkEnd w:id="82"/>
      <w:bookmarkEnd w:id="83"/>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bookmarkStart w:id="84" w:name="_Toc109900253"/>
      <w:bookmarkStart w:id="85" w:name="_Toc163492817"/>
      <w:bookmarkStart w:id="86" w:name="_Toc109899834"/>
      <w:bookmarkStart w:id="87" w:name="_Toc35393804"/>
      <w:bookmarkStart w:id="88" w:name="_Toc109899415"/>
      <w:bookmarkStart w:id="89" w:name="_Toc44583634"/>
      <w:bookmarkStart w:id="90" w:name="_Toc35393635"/>
      <w:bookmarkStart w:id="91" w:name="_Toc155185865"/>
      <w:bookmarkStart w:id="92" w:name="_Toc140132750"/>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hr-HR" w:eastAsia="zh-CN" w:bidi="ar-SA"/>
        </w:rPr>
        <w:t>七、其他补充事宜</w:t>
      </w:r>
      <w:bookmarkEnd w:id="84"/>
      <w:bookmarkEnd w:id="85"/>
      <w:bookmarkEnd w:id="86"/>
      <w:bookmarkEnd w:id="87"/>
      <w:bookmarkEnd w:id="88"/>
      <w:bookmarkEnd w:id="89"/>
      <w:bookmarkEnd w:id="90"/>
      <w:bookmarkEnd w:id="91"/>
      <w:bookmarkEnd w:id="92"/>
    </w:p>
    <w:p w14:paraId="5FE33768">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1、本项目实行网上投标，采用电子投标文件。</w:t>
      </w:r>
    </w:p>
    <w:p w14:paraId="121B9D2A">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D10B9B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3、供应商将政采云电子交易客户端下载、安装完成后，可通过账号密码或CA登录客户端进行投标文件的制作。在使用政采云投标客户端时，建议使用WIN7及以上操作系统。</w:t>
      </w:r>
    </w:p>
    <w:p w14:paraId="5BD8E2D5">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4、其他事项：①如需咨询，可联系新疆CA服务热线 0991-2819290；②投标人须注意事项：1)本项目实行电子招投标，投标人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采购代理机构不予异常处理，视为供应商自动弃标。  </w:t>
      </w:r>
    </w:p>
    <w:p w14:paraId="5FBD1DD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特别提示：</w:t>
      </w:r>
    </w:p>
    <w:p w14:paraId="1E7829CB">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1、采购限额标准以上，200万元以下的货物和服务采购项目、400万元以下的工程采购项目，适宜由中小企业提供的，采购人应当专门面向中小企业采购。</w:t>
      </w:r>
    </w:p>
    <w:p w14:paraId="64CB3D8F">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2、超过200万元的货物和服务采购项目，预留该部分采购项目预算总额的30%以上专门面向中小企业采购，其中预留给小微企业的比例不低于60%。</w:t>
      </w:r>
    </w:p>
    <w:p w14:paraId="54D6B3C7">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3、超过400万元的工程采购项目中适宜由中小企业提供的，预留该部分采购项目预算总额的40%以上专门面向中小企业采购，其中预留给小微企业的比例不低于60%。</w:t>
      </w:r>
    </w:p>
    <w:p w14:paraId="26C0CA51">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02550E">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eastAsia="zh-CN"/>
        </w:rPr>
      </w:pPr>
      <w:bookmarkStart w:id="93" w:name="_Toc17723"/>
      <w:bookmarkStart w:id="94" w:name="_Toc16732"/>
      <w:bookmarkStart w:id="95" w:name="_Toc3905"/>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hr-HR" w:eastAsia="zh-CN" w:bidi="ar-SA"/>
        </w:rPr>
        <w:t>凡对本次采购提出询问，请按以下方式联系</w:t>
      </w:r>
      <w:bookmarkEnd w:id="93"/>
      <w:bookmarkEnd w:id="94"/>
      <w:bookmarkEnd w:id="95"/>
    </w:p>
    <w:p w14:paraId="7D729986">
      <w:pPr>
        <w:ind w:left="0" w:leftChars="0" w:firstLine="480" w:firstLineChars="200"/>
        <w:rPr>
          <w:rFonts w:hint="eastAsia"/>
          <w:color w:val="auto"/>
          <w:highlight w:val="none"/>
        </w:rPr>
      </w:pPr>
      <w:r>
        <w:rPr>
          <w:rFonts w:hint="eastAsia"/>
          <w:color w:val="auto"/>
          <w:highlight w:val="none"/>
        </w:rPr>
        <w:t>1.采购人信息</w:t>
      </w:r>
    </w:p>
    <w:p w14:paraId="585FE8B5">
      <w:pPr>
        <w:ind w:left="0" w:leftChars="0" w:firstLine="480" w:firstLineChars="200"/>
        <w:rPr>
          <w:rFonts w:hint="eastAsia"/>
          <w:color w:val="auto"/>
          <w:highlight w:val="none"/>
        </w:rPr>
      </w:pPr>
      <w:r>
        <w:rPr>
          <w:rFonts w:hint="eastAsia"/>
          <w:color w:val="auto"/>
          <w:highlight w:val="none"/>
        </w:rPr>
        <w:t>名 称：新疆医科大学第一附属医院</w:t>
      </w:r>
    </w:p>
    <w:p w14:paraId="209D8B0C">
      <w:pPr>
        <w:ind w:left="0" w:leftChars="0" w:firstLine="480" w:firstLineChars="200"/>
        <w:rPr>
          <w:rFonts w:hint="eastAsia"/>
          <w:color w:val="auto"/>
          <w:highlight w:val="none"/>
        </w:rPr>
      </w:pPr>
      <w:r>
        <w:rPr>
          <w:rFonts w:hint="eastAsia"/>
          <w:color w:val="auto"/>
          <w:highlight w:val="none"/>
        </w:rPr>
        <w:t>地 址：乌鲁木齐市新医路393号</w:t>
      </w:r>
    </w:p>
    <w:p w14:paraId="143A5F01">
      <w:pPr>
        <w:ind w:left="0" w:leftChars="0" w:firstLine="480" w:firstLineChars="200"/>
        <w:rPr>
          <w:rFonts w:hint="eastAsia"/>
          <w:color w:val="auto"/>
          <w:highlight w:val="none"/>
        </w:rPr>
      </w:pPr>
      <w:r>
        <w:rPr>
          <w:rFonts w:hint="eastAsia"/>
          <w:color w:val="auto"/>
          <w:highlight w:val="none"/>
        </w:rPr>
        <w:t>联系方式：0991-4362391</w:t>
      </w:r>
    </w:p>
    <w:p w14:paraId="1C6B8A42">
      <w:pPr>
        <w:ind w:left="0" w:leftChars="0" w:firstLine="480" w:firstLineChars="200"/>
        <w:rPr>
          <w:rFonts w:hint="eastAsia"/>
          <w:color w:val="auto"/>
          <w:highlight w:val="none"/>
        </w:rPr>
      </w:pPr>
      <w:r>
        <w:rPr>
          <w:rFonts w:hint="eastAsia"/>
          <w:color w:val="auto"/>
          <w:highlight w:val="none"/>
        </w:rPr>
        <w:t>2.采购代理机构信息</w:t>
      </w:r>
    </w:p>
    <w:p w14:paraId="6175D701">
      <w:pPr>
        <w:ind w:left="0" w:leftChars="0" w:firstLine="480" w:firstLineChars="200"/>
        <w:rPr>
          <w:rFonts w:hint="eastAsia"/>
          <w:color w:val="auto"/>
          <w:highlight w:val="none"/>
        </w:rPr>
      </w:pPr>
      <w:r>
        <w:rPr>
          <w:rFonts w:hint="eastAsia"/>
          <w:color w:val="auto"/>
          <w:highlight w:val="none"/>
        </w:rPr>
        <w:t>名 称：中招国际招标有限公司</w:t>
      </w:r>
    </w:p>
    <w:p w14:paraId="0F86B2BD">
      <w:pPr>
        <w:ind w:left="0" w:leftChars="0" w:firstLine="480" w:firstLineChars="200"/>
        <w:rPr>
          <w:rFonts w:hint="eastAsia"/>
          <w:color w:val="auto"/>
          <w:highlight w:val="none"/>
        </w:rPr>
      </w:pPr>
      <w:r>
        <w:rPr>
          <w:rFonts w:hint="eastAsia"/>
          <w:color w:val="auto"/>
          <w:highlight w:val="none"/>
        </w:rPr>
        <w:t>地 址：新疆乌鲁木齐市486号南湖明珠二期十四栋商业写字楼8楼</w:t>
      </w:r>
    </w:p>
    <w:p w14:paraId="69D4004D">
      <w:pPr>
        <w:ind w:left="0" w:leftChars="0" w:firstLine="480" w:firstLineChars="200"/>
        <w:rPr>
          <w:rFonts w:hint="eastAsia"/>
          <w:color w:val="auto"/>
          <w:highlight w:val="none"/>
        </w:rPr>
      </w:pPr>
      <w:r>
        <w:rPr>
          <w:rFonts w:hint="eastAsia"/>
          <w:color w:val="auto"/>
          <w:highlight w:val="none"/>
        </w:rPr>
        <w:t xml:space="preserve">联系方式：18099259977、17716905655  </w:t>
      </w:r>
    </w:p>
    <w:p w14:paraId="2D3CBF69">
      <w:pPr>
        <w:ind w:left="0" w:leftChars="0" w:firstLine="480" w:firstLineChars="200"/>
        <w:rPr>
          <w:rFonts w:hint="eastAsia"/>
          <w:color w:val="auto"/>
          <w:highlight w:val="none"/>
        </w:rPr>
      </w:pPr>
      <w:r>
        <w:rPr>
          <w:rFonts w:hint="eastAsia"/>
          <w:color w:val="auto"/>
          <w:highlight w:val="none"/>
        </w:rPr>
        <w:t>3.项目联系方式</w:t>
      </w:r>
    </w:p>
    <w:p w14:paraId="2E1F2A97">
      <w:pPr>
        <w:ind w:left="0" w:leftChars="0" w:firstLine="480" w:firstLineChars="200"/>
        <w:rPr>
          <w:rFonts w:hint="eastAsia"/>
          <w:color w:val="auto"/>
          <w:highlight w:val="none"/>
        </w:rPr>
      </w:pPr>
      <w:r>
        <w:rPr>
          <w:rFonts w:hint="eastAsia"/>
          <w:color w:val="auto"/>
          <w:highlight w:val="none"/>
        </w:rPr>
        <w:t>项目联系人：徐中凤、罗燕、</w:t>
      </w:r>
      <w:r>
        <w:rPr>
          <w:rFonts w:hint="eastAsia"/>
          <w:color w:val="auto"/>
          <w:highlight w:val="none"/>
          <w:lang w:eastAsia="zh-CN"/>
        </w:rPr>
        <w:t>张辉</w:t>
      </w:r>
      <w:r>
        <w:rPr>
          <w:rFonts w:hint="eastAsia"/>
          <w:color w:val="auto"/>
          <w:highlight w:val="none"/>
        </w:rPr>
        <w:t>、程建军、陈海云</w:t>
      </w:r>
    </w:p>
    <w:p w14:paraId="7D96615F">
      <w:pPr>
        <w:ind w:left="0" w:leftChars="0" w:firstLine="480" w:firstLineChars="200"/>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color w:val="auto"/>
          <w:highlight w:val="none"/>
        </w:rPr>
        <w:t>电 话：18099259977、17716905655</w:t>
      </w: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28863"/>
      <w:bookmarkStart w:id="97" w:name="_Toc16855"/>
      <w:r>
        <w:rPr>
          <w:rFonts w:hint="eastAsia" w:ascii="宋体" w:hAnsi="宋体" w:eastAsia="宋体" w:cs="宋体"/>
          <w:b/>
          <w:bCs/>
          <w:color w:val="auto"/>
          <w:kern w:val="44"/>
          <w:sz w:val="36"/>
          <w:szCs w:val="36"/>
          <w:highlight w:val="none"/>
          <w:lang w:val="en-US" w:eastAsia="zh-CN" w:bidi="ar-SA"/>
        </w:rPr>
        <w:t>第二章 供应商须知</w:t>
      </w:r>
      <w:bookmarkEnd w:id="96"/>
      <w:bookmarkEnd w:id="97"/>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7178"/>
      <w:bookmarkStart w:id="99" w:name="_Toc1792"/>
      <w:r>
        <w:rPr>
          <w:rFonts w:hint="eastAsia" w:eastAsia="宋体" w:asciiTheme="majorHAnsi" w:hAnsiTheme="majorHAnsi" w:cstheme="majorBidi"/>
          <w:b/>
          <w:bCs/>
          <w:color w:val="auto"/>
          <w:kern w:val="2"/>
          <w:sz w:val="28"/>
          <w:szCs w:val="28"/>
          <w:highlight w:val="none"/>
          <w:lang w:val="en-US" w:eastAsia="zh-CN" w:bidi="ar-SA"/>
        </w:rPr>
        <w:t>一、供应商须知前附表</w:t>
      </w:r>
      <w:bookmarkEnd w:id="98"/>
      <w:bookmarkEnd w:id="99"/>
    </w:p>
    <w:p w14:paraId="016068EF">
      <w:pPr>
        <w:pStyle w:val="34"/>
        <w:ind w:firstLine="480"/>
        <w:rPr>
          <w:color w:val="auto"/>
          <w:highlight w:val="none"/>
        </w:rPr>
      </w:pPr>
      <w:r>
        <w:rPr>
          <w:rFonts w:hint="eastAsia"/>
          <w:color w:val="auto"/>
          <w:highlight w:val="none"/>
          <w:lang w:val="en-US" w:eastAsia="zh-CN"/>
        </w:rPr>
        <w:t>谈判</w:t>
      </w:r>
      <w:r>
        <w:rPr>
          <w:rFonts w:hint="eastAsia"/>
          <w:color w:val="auto"/>
          <w:highlight w:val="none"/>
        </w:rPr>
        <w:t>供应商应仔细阅读本</w:t>
      </w:r>
      <w:r>
        <w:rPr>
          <w:rFonts w:hint="eastAsia"/>
          <w:color w:val="auto"/>
          <w:highlight w:val="none"/>
          <w:lang w:val="en-US" w:eastAsia="zh-CN"/>
        </w:rPr>
        <w:t>谈判</w:t>
      </w:r>
      <w:r>
        <w:rPr>
          <w:rFonts w:hint="eastAsia"/>
          <w:color w:val="auto"/>
          <w:highlight w:val="none"/>
        </w:rPr>
        <w:t>文件的第二章“供应商须知”，下面所列资料是对“供应商须知”的具体补充和说明。如有矛盾，应以本表为准。</w:t>
      </w:r>
      <w:r>
        <w:rPr>
          <w:rFonts w:hint="eastAsia"/>
          <w:color w:val="auto"/>
          <w:highlight w:val="none"/>
          <w:lang w:val="en-US" w:eastAsia="zh-CN"/>
        </w:rPr>
        <w:t>标记“</w:t>
      </w:r>
      <w:r>
        <w:rPr>
          <w:rFonts w:hint="eastAsia" w:ascii="宋体" w:hAnsi="宋体" w:eastAsia="宋体"/>
          <w:color w:val="auto"/>
          <w:highlight w:val="none"/>
          <w:lang w:val="en-US" w:eastAsia="zh-CN"/>
        </w:rPr>
        <w:t>☑”的选项意为适用于本项目，标记“</w:t>
      </w:r>
      <w:r>
        <w:rPr>
          <w:rFonts w:hint="eastAsia" w:cs="宋体"/>
          <w:color w:val="auto"/>
          <w:sz w:val="24"/>
          <w:szCs w:val="24"/>
          <w:highlight w:val="none"/>
        </w:rPr>
        <w:sym w:font="Wingdings" w:char="00A8"/>
      </w:r>
      <w:r>
        <w:rPr>
          <w:rFonts w:hint="eastAsia" w:ascii="宋体" w:hAnsi="宋体" w:eastAsia="宋体"/>
          <w:color w:val="auto"/>
          <w:highlight w:val="none"/>
          <w:lang w:val="en-US" w:eastAsia="zh-CN"/>
        </w:rPr>
        <w:t>”的选项意为不适用于本项目。</w:t>
      </w:r>
    </w:p>
    <w:tbl>
      <w:tblPr>
        <w:tblStyle w:val="28"/>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70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2"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5"/>
              <w:jc w:val="center"/>
              <w:rPr>
                <w:rFonts w:hint="eastAsia" w:ascii="宋体" w:hAnsi="宋体" w:eastAsia="宋体" w:cs="宋体"/>
                <w:b/>
                <w:bCs/>
                <w:color w:val="auto"/>
                <w:sz w:val="24"/>
                <w:szCs w:val="24"/>
                <w:highlight w:val="none"/>
              </w:rPr>
            </w:pPr>
            <w:bookmarkStart w:id="100" w:name="_Hlk161703381"/>
            <w:r>
              <w:rPr>
                <w:rFonts w:hint="eastAsia" w:ascii="宋体" w:hAnsi="宋体" w:eastAsia="宋体" w:cs="宋体"/>
                <w:b/>
                <w:bCs/>
                <w:color w:val="auto"/>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21" w:type="dxa"/>
            <w:tcBorders>
              <w:top w:val="single" w:color="auto" w:sz="2" w:space="0"/>
              <w:left w:val="single" w:color="auto" w:sz="2" w:space="0"/>
              <w:bottom w:val="single" w:color="auto" w:sz="2" w:space="0"/>
              <w:right w:val="single" w:color="auto" w:sz="2" w:space="0"/>
            </w:tcBorders>
            <w:vAlign w:val="center"/>
          </w:tcPr>
          <w:p w14:paraId="551BCB8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tcBorders>
              <w:top w:val="single" w:color="auto" w:sz="2" w:space="0"/>
              <w:left w:val="single" w:color="auto" w:sz="2" w:space="0"/>
              <w:bottom w:val="single" w:color="auto" w:sz="2" w:space="0"/>
              <w:right w:val="single" w:color="auto" w:sz="2" w:space="0"/>
            </w:tcBorders>
            <w:vAlign w:val="center"/>
          </w:tcPr>
          <w:p w14:paraId="0A60E33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本项目不适用。 </w:t>
            </w:r>
          </w:p>
          <w:p w14:paraId="603E08B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 xml:space="preserve">本项目为单一产品采购项目。 </w:t>
            </w:r>
          </w:p>
          <w:p w14:paraId="61FC74A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本项目为非单一产品采购项目，其中核心产品为：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1D8B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8EF93E">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84D5D8B">
            <w:pPr>
              <w:keepNext w:val="0"/>
              <w:keepLines w:val="0"/>
              <w:widowControl/>
              <w:suppressLineNumbers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科研仪器设备</w:t>
            </w:r>
          </w:p>
        </w:tc>
        <w:tc>
          <w:tcPr>
            <w:tcW w:w="6700" w:type="dxa"/>
            <w:tcBorders>
              <w:top w:val="single" w:color="auto" w:sz="2" w:space="0"/>
              <w:left w:val="single" w:color="auto" w:sz="2" w:space="0"/>
              <w:bottom w:val="single" w:color="auto" w:sz="2" w:space="0"/>
              <w:right w:val="single" w:color="auto" w:sz="2" w:space="0"/>
            </w:tcBorders>
            <w:vAlign w:val="center"/>
          </w:tcPr>
          <w:p w14:paraId="19FDECD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341E776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2C80CB22">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EE4073">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1CF8DC6">
            <w:pPr>
              <w:pStyle w:val="45"/>
              <w:rPr>
                <w:rFonts w:hint="eastAsia" w:ascii="宋体" w:hAnsi="宋体" w:eastAsia="宋体" w:cs="宋体"/>
                <w:color w:val="auto"/>
                <w:sz w:val="24"/>
                <w:szCs w:val="24"/>
                <w:highlight w:val="none"/>
              </w:rPr>
            </w:pPr>
            <w:bookmarkStart w:id="101" w:name="_Hlk143529175"/>
            <w:r>
              <w:rPr>
                <w:rFonts w:hint="eastAsia" w:ascii="宋体" w:hAnsi="宋体" w:eastAsia="宋体" w:cs="宋体"/>
                <w:color w:val="auto"/>
                <w:sz w:val="24"/>
                <w:szCs w:val="24"/>
                <w:highlight w:val="none"/>
              </w:rPr>
              <w:t>现场考察</w:t>
            </w:r>
            <w:bookmarkEnd w:id="101"/>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5E2B3EE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不组织，供应商自行前往</w:t>
            </w:r>
            <w:r>
              <w:rPr>
                <w:rFonts w:hint="eastAsia" w:ascii="宋体" w:hAnsi="宋体" w:eastAsia="宋体" w:cs="宋体"/>
                <w:color w:val="auto"/>
                <w:sz w:val="24"/>
                <w:szCs w:val="24"/>
                <w:highlight w:val="none"/>
                <w:lang w:eastAsia="zh-CN"/>
              </w:rPr>
              <w:t>。</w:t>
            </w:r>
          </w:p>
          <w:p w14:paraId="2238EF6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7A7004">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20FC15">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85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AA490D3">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6B687F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答疑会</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311FEB9">
            <w:pPr>
              <w:pStyle w:val="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0460CD8F">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85F5E8">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1C6642">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6700" w:type="dxa"/>
            <w:tcBorders>
              <w:top w:val="single" w:color="auto" w:sz="2" w:space="0"/>
              <w:left w:val="single" w:color="auto" w:sz="2" w:space="0"/>
              <w:bottom w:val="single" w:color="auto" w:sz="2" w:space="0"/>
              <w:right w:val="single" w:color="auto" w:sz="2" w:space="0"/>
            </w:tcBorders>
            <w:vAlign w:val="center"/>
          </w:tcPr>
          <w:p w14:paraId="6E50E7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r>
              <w:rPr>
                <w:rFonts w:hint="eastAsia" w:ascii="宋体" w:hAnsi="宋体" w:eastAsia="宋体" w:cs="宋体"/>
                <w:color w:val="auto"/>
                <w:sz w:val="24"/>
                <w:szCs w:val="24"/>
                <w:highlight w:val="none"/>
                <w:u w:val="single"/>
              </w:rPr>
              <w:t>在供应商客户端中按照格式填写询问函，并在生成询问函后加盖电子印章提交；其他询问方式：电话咨询。</w:t>
            </w:r>
          </w:p>
          <w:p w14:paraId="3653C81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2.时间要求：</w:t>
            </w:r>
            <w:r>
              <w:rPr>
                <w:rFonts w:hint="eastAsia" w:ascii="宋体" w:hAnsi="宋体" w:eastAsia="宋体" w:cs="宋体"/>
                <w:color w:val="auto"/>
                <w:sz w:val="24"/>
                <w:szCs w:val="24"/>
                <w:highlight w:val="none"/>
                <w:u w:val="single"/>
              </w:rPr>
              <w:t>每天上午10:00 至13:30，下午15:30至19:00（北京时间，法定节假日除外）</w:t>
            </w:r>
            <w:r>
              <w:rPr>
                <w:rFonts w:hint="eastAsia" w:ascii="宋体" w:hAnsi="宋体" w:eastAsia="宋体" w:cs="宋体"/>
                <w:color w:val="auto"/>
                <w:sz w:val="24"/>
                <w:szCs w:val="24"/>
                <w:highlight w:val="none"/>
              </w:rPr>
              <w:t xml:space="preserve"> 。</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6E4A3E9">
            <w:pPr>
              <w:pStyle w:val="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响应文件有效期</w:t>
            </w:r>
          </w:p>
        </w:tc>
        <w:tc>
          <w:tcPr>
            <w:tcW w:w="6700" w:type="dxa"/>
            <w:tcBorders>
              <w:top w:val="single" w:color="auto" w:sz="2" w:space="0"/>
              <w:left w:val="single" w:color="auto" w:sz="2" w:space="0"/>
              <w:bottom w:val="single" w:color="auto" w:sz="2" w:space="0"/>
              <w:right w:val="single" w:color="auto" w:sz="2" w:space="0"/>
            </w:tcBorders>
            <w:vAlign w:val="center"/>
          </w:tcPr>
          <w:p w14:paraId="7A8404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响应文件递交截止日期后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w:t>
            </w:r>
          </w:p>
        </w:tc>
        <w:tc>
          <w:tcPr>
            <w:tcW w:w="6700" w:type="dxa"/>
            <w:tcBorders>
              <w:top w:val="single" w:color="auto" w:sz="2" w:space="0"/>
              <w:left w:val="single" w:color="auto" w:sz="2" w:space="0"/>
              <w:bottom w:val="single" w:color="auto" w:sz="2" w:space="0"/>
              <w:right w:val="single" w:color="auto" w:sz="2" w:space="0"/>
            </w:tcBorders>
            <w:vAlign w:val="center"/>
          </w:tcPr>
          <w:p w14:paraId="6A5BD78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1F705AC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033BC8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14:paraId="31FDD90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1" w:firstLineChars="1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定额收取：</w:t>
            </w:r>
            <w:r>
              <w:rPr>
                <w:rFonts w:hint="eastAsia" w:ascii="宋体" w:hAnsi="宋体" w:eastAsia="宋体" w:cs="宋体"/>
                <w:b/>
                <w:bCs/>
                <w:color w:val="auto"/>
                <w:sz w:val="24"/>
                <w:szCs w:val="24"/>
                <w:highlight w:val="none"/>
                <w:u w:val="single"/>
              </w:rPr>
              <w:t>人民币</w:t>
            </w:r>
            <w:r>
              <w:rPr>
                <w:rFonts w:hint="eastAsia" w:ascii="宋体" w:hAnsi="宋体" w:cs="宋体"/>
                <w:b/>
                <w:bCs/>
                <w:color w:val="auto"/>
                <w:sz w:val="24"/>
                <w:szCs w:val="24"/>
                <w:highlight w:val="none"/>
                <w:u w:val="single"/>
                <w:lang w:val="en-US" w:eastAsia="zh-CN"/>
              </w:rPr>
              <w:t>1500</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lang w:eastAsia="zh-CN"/>
              </w:rPr>
              <w:t>。</w:t>
            </w:r>
          </w:p>
          <w:p w14:paraId="73F0928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4077D0C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5854E07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3.收取单位：中招国际招标有限公司新疆分公司                            </w:t>
            </w:r>
          </w:p>
          <w:p w14:paraId="13A4AD83">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4.收取账号：3002012819100057504</w:t>
            </w:r>
          </w:p>
          <w:p w14:paraId="044550F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5.开户银行：中国工商银行股份有限公司乌鲁木齐南湖北路支行</w:t>
            </w:r>
          </w:p>
          <w:p w14:paraId="1ECAF4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6.行号：102881001281</w:t>
            </w:r>
          </w:p>
          <w:p w14:paraId="1F174A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退还时间：中标结果发布后5个工作日内。                </w:t>
            </w:r>
          </w:p>
          <w:p w14:paraId="0C79EF6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7CEAD36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1E0176B">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以担保函、保证保险形式缴纳保证金的，受益人和收取单位须为采购人。</w:t>
            </w:r>
          </w:p>
          <w:p w14:paraId="71C33EF5">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以保证金形式缴纳投标保证金的时请在汇款时注明“</w:t>
            </w:r>
            <w:r>
              <w:rPr>
                <w:rFonts w:hint="eastAsia" w:ascii="宋体" w:hAnsi="宋体" w:cs="宋体"/>
                <w:b/>
                <w:bCs/>
                <w:color w:val="auto"/>
                <w:sz w:val="24"/>
                <w:szCs w:val="24"/>
                <w:highlight w:val="none"/>
                <w:lang w:eastAsia="zh-CN"/>
              </w:rPr>
              <w:t>TC269H0HA</w:t>
            </w:r>
            <w:r>
              <w:rPr>
                <w:rFonts w:hint="eastAsia" w:ascii="宋体" w:hAnsi="宋体" w:eastAsia="宋体" w:cs="宋体"/>
                <w:b/>
                <w:bCs/>
                <w:color w:val="auto"/>
                <w:sz w:val="24"/>
                <w:szCs w:val="24"/>
                <w:highlight w:val="none"/>
              </w:rPr>
              <w:t>保证金”，对因未注明项目简称及汇款事由而造成保证金不能及时到账的，后果由供应商自负。</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44"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DF0914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tcBorders>
              <w:top w:val="single" w:color="auto" w:sz="2" w:space="0"/>
              <w:left w:val="single" w:color="auto" w:sz="2" w:space="0"/>
              <w:bottom w:val="single" w:color="auto" w:sz="2" w:space="0"/>
              <w:right w:val="single" w:color="auto" w:sz="2" w:space="0"/>
            </w:tcBorders>
            <w:vAlign w:val="center"/>
          </w:tcPr>
          <w:p w14:paraId="1A755E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样品递交： </w:t>
            </w:r>
          </w:p>
          <w:p w14:paraId="2DA6B3DD">
            <w:pPr>
              <w:pStyle w:val="45"/>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CF1D977">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057180A3">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23BD1F4B">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1C722A75">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12E9C11">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140A7E83">
            <w:pPr>
              <w:pStyle w:val="45"/>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163503B2">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405BE77E">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66E8902D">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1DDB2E5">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985B4A7">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53"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ABD3E0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tcBorders>
              <w:top w:val="single" w:color="auto" w:sz="2" w:space="0"/>
              <w:left w:val="single" w:color="auto" w:sz="2" w:space="0"/>
              <w:bottom w:val="single" w:color="auto" w:sz="2" w:space="0"/>
              <w:right w:val="single" w:color="auto" w:sz="2" w:space="0"/>
            </w:tcBorders>
            <w:vAlign w:val="center"/>
          </w:tcPr>
          <w:p w14:paraId="2F1279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3E1D547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78D358FD">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4FF9BE53">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727E4770">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解密响应文件的时限</w:t>
            </w:r>
          </w:p>
        </w:tc>
        <w:tc>
          <w:tcPr>
            <w:tcW w:w="6700" w:type="dxa"/>
            <w:tcBorders>
              <w:top w:val="single" w:color="auto" w:sz="2" w:space="0"/>
              <w:left w:val="single" w:color="auto" w:sz="2" w:space="0"/>
              <w:bottom w:val="single" w:color="auto" w:sz="2" w:space="0"/>
              <w:right w:val="single" w:color="auto" w:sz="2" w:space="0"/>
            </w:tcBorders>
            <w:vAlign w:val="center"/>
          </w:tcPr>
          <w:p w14:paraId="023E6148">
            <w:pPr>
              <w:pStyle w:val="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不见面开标默认解密时长：</w:t>
            </w:r>
            <w:r>
              <w:rPr>
                <w:rFonts w:hint="eastAsia" w:ascii="宋体" w:hAnsi="宋体" w:eastAsia="宋体" w:cs="宋体"/>
                <w:b/>
                <w:bCs/>
                <w:color w:val="auto"/>
                <w:sz w:val="24"/>
                <w:szCs w:val="24"/>
                <w:highlight w:val="none"/>
                <w:u w:val="single"/>
              </w:rPr>
              <w:t xml:space="preserve"> </w:t>
            </w:r>
            <w:r>
              <w:rPr>
                <w:rFonts w:hint="eastAsia"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608EF5D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color w:val="auto"/>
                <w:sz w:val="24"/>
                <w:szCs w:val="24"/>
                <w:highlight w:val="none"/>
                <w:lang w:eastAsia="zh-CN"/>
              </w:rPr>
              <w:t>，响应无效。</w:t>
            </w:r>
          </w:p>
        </w:tc>
      </w:tr>
      <w:tr w14:paraId="5504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5CEBC2C">
            <w:pPr>
              <w:pStyle w:val="45"/>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9CB7E8C">
            <w:pPr>
              <w:pStyle w:val="45"/>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谈判轮次及谈判顺序</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BBE5A5D">
            <w:pPr>
              <w:pStyle w:val="4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谈判轮次：</w:t>
            </w:r>
          </w:p>
          <w:p w14:paraId="74F5ED1C">
            <w:pPr>
              <w:pStyle w:val="45"/>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2 </w:t>
            </w:r>
            <w:r>
              <w:rPr>
                <w:rFonts w:hint="eastAsia" w:cs="宋体"/>
                <w:color w:val="auto"/>
                <w:sz w:val="24"/>
                <w:szCs w:val="24"/>
                <w:highlight w:val="none"/>
                <w:lang w:val="en-US" w:eastAsia="zh-CN"/>
              </w:rPr>
              <w:t>轮谈判。</w:t>
            </w:r>
          </w:p>
          <w:p w14:paraId="204972B3">
            <w:pPr>
              <w:pStyle w:val="45"/>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5231539D">
            <w:pPr>
              <w:pStyle w:val="45"/>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谈判顺序：</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推荐成交候选供应商</w:t>
            </w:r>
          </w:p>
        </w:tc>
        <w:tc>
          <w:tcPr>
            <w:tcW w:w="6700" w:type="dxa"/>
            <w:tcBorders>
              <w:top w:val="single" w:color="auto" w:sz="2" w:space="0"/>
              <w:left w:val="single" w:color="auto" w:sz="2" w:space="0"/>
              <w:bottom w:val="single" w:color="auto" w:sz="2" w:space="0"/>
              <w:right w:val="single" w:color="auto" w:sz="2" w:space="0"/>
            </w:tcBorders>
            <w:vAlign w:val="center"/>
          </w:tcPr>
          <w:p w14:paraId="67201373">
            <w:pPr>
              <w:pStyle w:val="45"/>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推荐</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家</w:t>
            </w:r>
            <w:r>
              <w:rPr>
                <w:rFonts w:hint="eastAsia" w:cs="宋体"/>
                <w:color w:val="auto"/>
                <w:sz w:val="24"/>
                <w:szCs w:val="24"/>
                <w:highlight w:val="none"/>
                <w:u w:val="none"/>
                <w:lang w:val="en-US" w:eastAsia="zh-CN"/>
              </w:rPr>
              <w:t>。</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0"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确定成交供应商</w:t>
            </w:r>
          </w:p>
        </w:tc>
        <w:tc>
          <w:tcPr>
            <w:tcW w:w="6700" w:type="dxa"/>
            <w:tcBorders>
              <w:top w:val="single" w:color="auto" w:sz="2" w:space="0"/>
              <w:left w:val="single" w:color="auto" w:sz="2" w:space="0"/>
              <w:bottom w:val="single" w:color="auto" w:sz="2" w:space="0"/>
              <w:right w:val="single" w:color="auto" w:sz="2" w:space="0"/>
            </w:tcBorders>
            <w:vAlign w:val="center"/>
          </w:tcPr>
          <w:p w14:paraId="77284D4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收到评审报告后5个工作日内，按评审报告中推荐的成交候选人排序确定成交供应商。</w:t>
            </w:r>
          </w:p>
          <w:p w14:paraId="20F6D2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小组直接确定成交供应商。</w:t>
            </w:r>
          </w:p>
          <w:p w14:paraId="7CD921DD">
            <w:pPr>
              <w:pStyle w:val="45"/>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成交候选人并列的，按照以下方式确定成交供应商：</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tcBorders>
              <w:top w:val="single" w:color="auto" w:sz="2" w:space="0"/>
              <w:left w:val="single" w:color="auto" w:sz="2" w:space="0"/>
              <w:bottom w:val="single" w:color="auto" w:sz="2" w:space="0"/>
              <w:right w:val="single" w:color="auto" w:sz="2" w:space="0"/>
            </w:tcBorders>
            <w:vAlign w:val="center"/>
          </w:tcPr>
          <w:p w14:paraId="790E0B4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1157547">
            <w:pPr>
              <w:pStyle w:val="45"/>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B5A19AA">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B6D208">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人民币           元</w:t>
            </w:r>
          </w:p>
          <w:p w14:paraId="52DC4B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63ACCF2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412117C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                            </w:t>
            </w:r>
          </w:p>
          <w:p w14:paraId="2664878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sz w:val="24"/>
                <w:szCs w:val="24"/>
                <w:highlight w:val="none"/>
              </w:rPr>
              <w:t xml:space="preserve">              </w:t>
            </w:r>
          </w:p>
          <w:p w14:paraId="70C3B21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退还时间：              </w:t>
            </w:r>
          </w:p>
          <w:p w14:paraId="22C7C956">
            <w:pPr>
              <w:pStyle w:val="45"/>
              <w:rPr>
                <w:rFonts w:hint="eastAsia" w:ascii="宋体" w:hAnsi="宋体" w:eastAsia="宋体" w:cs="宋体"/>
                <w:b/>
                <w:bCs/>
                <w:color w:val="auto"/>
                <w:sz w:val="24"/>
                <w:szCs w:val="24"/>
                <w:highlight w:val="none"/>
              </w:rPr>
            </w:pPr>
          </w:p>
          <w:p w14:paraId="151176AB">
            <w:pPr>
              <w:pStyle w:val="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4BE45E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8DC084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合同分包</w:t>
            </w:r>
          </w:p>
        </w:tc>
        <w:tc>
          <w:tcPr>
            <w:tcW w:w="6700" w:type="dxa"/>
            <w:tcBorders>
              <w:top w:val="single" w:color="auto" w:sz="2" w:space="0"/>
              <w:left w:val="single" w:color="auto" w:sz="2" w:space="0"/>
              <w:bottom w:val="single" w:color="auto" w:sz="2" w:space="0"/>
              <w:right w:val="single" w:color="auto" w:sz="2" w:space="0"/>
            </w:tcBorders>
            <w:vAlign w:val="center"/>
          </w:tcPr>
          <w:p w14:paraId="4344EC45">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71BE067E">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3628979B">
            <w:pPr>
              <w:pStyle w:val="4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3.其他要求：</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质疑</w:t>
            </w:r>
          </w:p>
        </w:tc>
        <w:tc>
          <w:tcPr>
            <w:tcW w:w="6700" w:type="dxa"/>
            <w:tcBorders>
              <w:top w:val="single" w:color="auto" w:sz="2" w:space="0"/>
              <w:left w:val="single" w:color="auto" w:sz="2" w:space="0"/>
              <w:bottom w:val="single" w:color="auto" w:sz="2" w:space="0"/>
              <w:right w:val="single" w:color="auto" w:sz="2" w:space="0"/>
            </w:tcBorders>
            <w:vAlign w:val="center"/>
          </w:tcPr>
          <w:p w14:paraId="5C8DCEE3">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eastAsia="宋体" w:cs="宋体"/>
                <w:color w:val="auto"/>
                <w:kern w:val="2"/>
                <w:sz w:val="24"/>
                <w:szCs w:val="24"/>
                <w:highlight w:val="none"/>
                <w:u w:val="single"/>
                <w:lang w:val="zh-CN" w:eastAsia="zh-CN" w:bidi="ar-SA"/>
              </w:rPr>
              <w:t xml:space="preserve">纸质版盖章质疑函原件递交至采购代理公司 </w:t>
            </w:r>
            <w:r>
              <w:rPr>
                <w:rFonts w:hint="eastAsia" w:ascii="宋体" w:hAnsi="宋体" w:eastAsia="宋体" w:cs="宋体"/>
                <w:color w:val="auto"/>
                <w:kern w:val="2"/>
                <w:sz w:val="24"/>
                <w:szCs w:val="24"/>
                <w:highlight w:val="none"/>
                <w:lang w:val="zh-CN" w:eastAsia="zh-CN" w:bidi="ar-SA"/>
              </w:rPr>
              <w:t xml:space="preserve">             </w:t>
            </w:r>
          </w:p>
          <w:p w14:paraId="43B844CC">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eastAsia="宋体" w:cs="宋体"/>
                <w:color w:val="auto"/>
                <w:kern w:val="2"/>
                <w:sz w:val="24"/>
                <w:szCs w:val="24"/>
                <w:highlight w:val="none"/>
                <w:u w:val="single"/>
                <w:lang w:val="zh-CN" w:eastAsia="zh-CN" w:bidi="ar-SA"/>
              </w:rPr>
              <w:t>中招国际招标有限公司新疆分公司</w:t>
            </w:r>
            <w:r>
              <w:rPr>
                <w:rFonts w:hint="eastAsia" w:ascii="宋体" w:hAnsi="宋体" w:eastAsia="宋体" w:cs="宋体"/>
                <w:color w:val="auto"/>
                <w:kern w:val="2"/>
                <w:sz w:val="24"/>
                <w:szCs w:val="24"/>
                <w:highlight w:val="none"/>
                <w:lang w:val="zh-CN" w:eastAsia="zh-CN" w:bidi="ar-SA"/>
              </w:rPr>
              <w:t xml:space="preserve">              </w:t>
            </w:r>
          </w:p>
          <w:p w14:paraId="138F3152">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kern w:val="2"/>
                <w:sz w:val="24"/>
                <w:szCs w:val="24"/>
                <w:highlight w:val="none"/>
                <w:u w:val="single"/>
                <w:lang w:val="zh-CN" w:eastAsia="zh-CN" w:bidi="ar-SA"/>
              </w:rPr>
              <w:t xml:space="preserve">：18099259977,17716905655 </w:t>
            </w:r>
            <w:r>
              <w:rPr>
                <w:rFonts w:hint="eastAsia" w:ascii="宋体" w:hAnsi="宋体" w:eastAsia="宋体" w:cs="宋体"/>
                <w:color w:val="auto"/>
                <w:kern w:val="2"/>
                <w:sz w:val="24"/>
                <w:szCs w:val="24"/>
                <w:highlight w:val="none"/>
                <w:lang w:val="zh-CN" w:eastAsia="zh-CN" w:bidi="ar-SA"/>
              </w:rPr>
              <w:t xml:space="preserve">              </w:t>
            </w:r>
          </w:p>
          <w:p w14:paraId="180411E4">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eastAsia="宋体" w:cs="宋体"/>
                <w:color w:val="auto"/>
                <w:kern w:val="2"/>
                <w:sz w:val="24"/>
                <w:szCs w:val="24"/>
                <w:highlight w:val="none"/>
                <w:u w:val="single"/>
                <w:lang w:val="zh-CN" w:eastAsia="zh-CN" w:bidi="ar-SA"/>
              </w:rPr>
              <w:t xml:space="preserve">新疆乌鲁木齐市486号南湖明珠二期十四栋商业写字楼8楼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65"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采购代理服务费收取方式和标准</w:t>
            </w:r>
          </w:p>
        </w:tc>
        <w:tc>
          <w:tcPr>
            <w:tcW w:w="6700" w:type="dxa"/>
            <w:tcBorders>
              <w:top w:val="single" w:color="auto" w:sz="2" w:space="0"/>
              <w:left w:val="single" w:color="auto" w:sz="2" w:space="0"/>
              <w:bottom w:val="single" w:color="auto" w:sz="2" w:space="0"/>
              <w:right w:val="single" w:color="auto" w:sz="2" w:space="0"/>
            </w:tcBorders>
            <w:vAlign w:val="center"/>
          </w:tcPr>
          <w:p w14:paraId="5048158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 xml:space="preserve">人支付 </w:t>
            </w:r>
          </w:p>
          <w:p w14:paraId="27D03C2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 xml:space="preserve">发改价格[2011]534号及计价格[2002]1980号文件计算的招标代理服务收费标准下浮40%计取。 </w:t>
            </w:r>
          </w:p>
          <w:p w14:paraId="1DA8D9D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成交人</w:t>
            </w:r>
            <w:r>
              <w:rPr>
                <w:rFonts w:hint="eastAsia" w:ascii="宋体" w:hAnsi="宋体" w:eastAsia="宋体" w:cs="宋体"/>
                <w:color w:val="auto"/>
                <w:szCs w:val="28"/>
                <w:highlight w:val="none"/>
                <w:u w:val="single"/>
              </w:rPr>
              <w:t>应按本</w:t>
            </w:r>
            <w:r>
              <w:rPr>
                <w:rFonts w:hint="eastAsia" w:ascii="宋体" w:hAnsi="宋体" w:eastAsia="宋体" w:cs="宋体"/>
                <w:color w:val="auto"/>
                <w:szCs w:val="28"/>
                <w:highlight w:val="none"/>
                <w:u w:val="single"/>
                <w:lang w:val="en-US" w:eastAsia="zh-CN"/>
              </w:rPr>
              <w:t>采购</w:t>
            </w:r>
            <w:r>
              <w:rPr>
                <w:rFonts w:hint="eastAsia" w:ascii="宋体" w:hAnsi="宋体" w:eastAsia="宋体" w:cs="宋体"/>
                <w:color w:val="auto"/>
                <w:szCs w:val="28"/>
                <w:highlight w:val="none"/>
                <w:u w:val="single"/>
              </w:rPr>
              <w:t>文件的规定，在《成交通知书》核发时至核发后3天内，向采购代理机构支付服务费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4990F299">
            <w:pPr>
              <w:pStyle w:val="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ascii="宋体" w:hAnsi="宋体" w:eastAsia="宋体" w:cs="宋体"/>
                <w:color w:val="auto"/>
                <w:szCs w:val="28"/>
                <w:highlight w:val="none"/>
                <w:u w:val="single"/>
                <w:lang w:val="en-US" w:eastAsia="zh-CN"/>
              </w:rPr>
              <w:t>成交人</w:t>
            </w:r>
            <w:r>
              <w:rPr>
                <w:rFonts w:hint="eastAsia" w:ascii="宋体" w:hAnsi="宋体" w:eastAsia="宋体" w:cs="宋体"/>
                <w:color w:val="auto"/>
                <w:sz w:val="24"/>
                <w:szCs w:val="24"/>
                <w:highlight w:val="none"/>
                <w:u w:val="single"/>
              </w:rPr>
              <w:t>一次性支付</w:t>
            </w:r>
          </w:p>
          <w:p w14:paraId="0C201517">
            <w:pPr>
              <w:pStyle w:val="45"/>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5.收取单位：中招国际招标有限公司新疆分公司</w:t>
            </w:r>
          </w:p>
          <w:p w14:paraId="4BE5E443">
            <w:pPr>
              <w:pStyle w:val="45"/>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2A4FC947">
            <w:pPr>
              <w:pStyle w:val="45"/>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开户银行：</w:t>
            </w:r>
            <w:r>
              <w:rPr>
                <w:rFonts w:hint="eastAsia" w:cs="宋体"/>
                <w:color w:val="auto"/>
                <w:sz w:val="24"/>
                <w:szCs w:val="24"/>
                <w:highlight w:val="none"/>
                <w:u w:val="single"/>
                <w:lang w:val="en-US" w:eastAsia="zh-CN"/>
              </w:rPr>
              <w:t>中国工商银行股份有限公司南湖北路支行</w:t>
            </w:r>
          </w:p>
        </w:tc>
      </w:tr>
      <w:tr w14:paraId="01AD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C62DB7D">
            <w:pPr>
              <w:pStyle w:val="45"/>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246287AB">
            <w:pPr>
              <w:pStyle w:val="45"/>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064293A1">
            <w:pPr>
              <w:pStyle w:val="58"/>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1785FF1B">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tcBorders>
              <w:top w:val="single" w:color="auto" w:sz="2" w:space="0"/>
              <w:left w:val="single" w:color="auto" w:sz="2" w:space="0"/>
              <w:bottom w:val="single" w:color="auto" w:sz="2" w:space="0"/>
              <w:right w:val="single" w:color="auto" w:sz="2" w:space="0"/>
            </w:tcBorders>
            <w:vAlign w:val="center"/>
          </w:tcPr>
          <w:p w14:paraId="3B4D5E1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77F5BF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Fonts w:hint="eastAsia" w:ascii="宋体" w:hAnsi="宋体" w:eastAsia="宋体" w:cs="宋体"/>
                <w:b w:val="0"/>
                <w:bCs/>
                <w:i w:val="0"/>
                <w:iCs/>
                <w:color w:val="auto"/>
                <w:kern w:val="0"/>
                <w:sz w:val="24"/>
                <w:szCs w:val="24"/>
                <w:highlight w:val="none"/>
                <w:lang w:val="en-US" w:eastAsia="zh-CN" w:bidi="ar-SA"/>
              </w:rPr>
              <w:t>（非专门面向中小企业采购项目适用）</w:t>
            </w:r>
          </w:p>
        </w:tc>
        <w:tc>
          <w:tcPr>
            <w:tcW w:w="6700" w:type="dxa"/>
            <w:tcBorders>
              <w:top w:val="single" w:color="auto" w:sz="2" w:space="0"/>
              <w:left w:val="single" w:color="auto" w:sz="2" w:space="0"/>
              <w:bottom w:val="single" w:color="auto" w:sz="2" w:space="0"/>
              <w:right w:val="single" w:color="auto" w:sz="2" w:space="0"/>
            </w:tcBorders>
            <w:vAlign w:val="center"/>
          </w:tcPr>
          <w:p w14:paraId="494A9BAF">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EC73829">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8559E5">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6AB8547">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83F702C">
            <w:pPr>
              <w:pStyle w:val="58"/>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42.9</w:t>
            </w:r>
          </w:p>
        </w:tc>
        <w:tc>
          <w:tcPr>
            <w:tcW w:w="1721" w:type="dxa"/>
            <w:tcBorders>
              <w:top w:val="single" w:color="auto" w:sz="2" w:space="0"/>
              <w:left w:val="single" w:color="auto" w:sz="2" w:space="0"/>
              <w:bottom w:val="single" w:color="auto" w:sz="2" w:space="0"/>
              <w:right w:val="single" w:color="auto" w:sz="2" w:space="0"/>
            </w:tcBorders>
            <w:vAlign w:val="center"/>
          </w:tcPr>
          <w:p w14:paraId="46C03D6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10DBCCB6">
            <w:pPr>
              <w:pStyle w:val="45"/>
              <w:rPr>
                <w:rFonts w:hint="eastAsia" w:ascii="宋体" w:hAnsi="宋体" w:eastAsia="宋体" w:cs="宋体"/>
                <w:color w:val="auto"/>
                <w:sz w:val="24"/>
                <w:szCs w:val="24"/>
                <w:highlight w:val="none"/>
              </w:rPr>
            </w:pPr>
            <w:r>
              <w:rPr>
                <w:rFonts w:hint="eastAsia" w:ascii="宋体" w:hAnsi="宋体" w:eastAsia="宋体" w:cs="宋体"/>
                <w:b w:val="0"/>
                <w:bCs/>
                <w:i w:val="0"/>
                <w:iCs/>
                <w:color w:val="auto"/>
                <w:kern w:val="0"/>
                <w:sz w:val="24"/>
                <w:szCs w:val="24"/>
                <w:highlight w:val="none"/>
                <w:lang w:val="en-US" w:eastAsia="zh-CN" w:bidi="ar-SA"/>
              </w:rPr>
              <w:t>（参照后附《工信部联企业〔2011〕300号》文件规定）</w:t>
            </w:r>
          </w:p>
        </w:tc>
        <w:tc>
          <w:tcPr>
            <w:tcW w:w="670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29"/>
              <w:tblW w:w="6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40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74" w:type="dxa"/>
                  <w:vAlign w:val="center"/>
                </w:tcPr>
                <w:p w14:paraId="0AD3681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4045" w:type="dxa"/>
                  <w:vAlign w:val="center"/>
                </w:tcPr>
                <w:p w14:paraId="2C78D772">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74" w:type="dxa"/>
                  <w:vAlign w:val="center"/>
                </w:tcPr>
                <w:p w14:paraId="7B94C3FE">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喷雾干燥机</w:t>
                  </w:r>
                </w:p>
              </w:tc>
              <w:tc>
                <w:tcPr>
                  <w:tcW w:w="4045" w:type="dxa"/>
                  <w:vAlign w:val="center"/>
                </w:tcPr>
                <w:p w14:paraId="33535D95">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4176FC14">
            <w:pPr>
              <w:pStyle w:val="45"/>
              <w:rPr>
                <w:rFonts w:hint="eastAsia" w:ascii="宋体" w:hAnsi="宋体" w:eastAsia="宋体" w:cs="宋体"/>
                <w:color w:val="auto"/>
                <w:sz w:val="24"/>
                <w:szCs w:val="24"/>
                <w:highlight w:val="none"/>
              </w:rPr>
            </w:pPr>
          </w:p>
        </w:tc>
      </w:tr>
      <w:tr w14:paraId="05BF2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69A7B1B">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43.5</w:t>
            </w:r>
          </w:p>
        </w:tc>
        <w:tc>
          <w:tcPr>
            <w:tcW w:w="1721" w:type="dxa"/>
            <w:tcBorders>
              <w:top w:val="single" w:color="auto" w:sz="2" w:space="0"/>
              <w:left w:val="single" w:color="auto" w:sz="2" w:space="0"/>
              <w:bottom w:val="single" w:color="auto" w:sz="2" w:space="0"/>
              <w:right w:val="single" w:color="auto" w:sz="2" w:space="0"/>
            </w:tcBorders>
            <w:vAlign w:val="center"/>
          </w:tcPr>
          <w:p w14:paraId="7250B4B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优先采购创新节能环保产品</w:t>
            </w:r>
          </w:p>
        </w:tc>
        <w:tc>
          <w:tcPr>
            <w:tcW w:w="6700" w:type="dxa"/>
            <w:tcBorders>
              <w:top w:val="single" w:color="auto" w:sz="2" w:space="0"/>
              <w:left w:val="single" w:color="auto" w:sz="2" w:space="0"/>
              <w:bottom w:val="single" w:color="auto" w:sz="2" w:space="0"/>
              <w:right w:val="single" w:color="auto" w:sz="2" w:space="0"/>
            </w:tcBorders>
            <w:vAlign w:val="center"/>
          </w:tcPr>
          <w:p w14:paraId="0993029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7B747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21C72458">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合同融资政策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6591D21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073C66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渠道和方式：详见新疆政府采购网。</w:t>
            </w:r>
          </w:p>
          <w:p w14:paraId="4FBEC518">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r>
              <w:rPr>
                <w:rFonts w:hint="eastAsia" w:ascii="宋体" w:hAnsi="宋体" w:eastAsia="宋体" w:cs="宋体"/>
                <w:color w:val="auto"/>
                <w:sz w:val="24"/>
                <w:szCs w:val="24"/>
                <w:highlight w:val="none"/>
              </w:rPr>
              <w:t>。</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2"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top w:val="single" w:color="auto" w:sz="2" w:space="0"/>
              <w:left w:val="single" w:color="auto" w:sz="4" w:space="0"/>
              <w:bottom w:val="single" w:color="auto" w:sz="2" w:space="0"/>
              <w:right w:val="single" w:color="auto" w:sz="2" w:space="0"/>
            </w:tcBorders>
            <w:vAlign w:val="center"/>
          </w:tcPr>
          <w:p w14:paraId="3B3CBF5F">
            <w:pPr>
              <w:pStyle w:val="63"/>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21C73E3C">
            <w:pPr>
              <w:pStyle w:val="63"/>
              <w:numPr>
                <w:ilvl w:val="0"/>
                <w:numId w:val="1"/>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237F6800">
            <w:pPr>
              <w:pStyle w:val="45"/>
              <w:numPr>
                <w:ilvl w:val="0"/>
                <w:numId w:val="1"/>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p w14:paraId="10E38F5D">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3、数量调整：投标总价的±10%；</w:t>
            </w:r>
          </w:p>
          <w:p w14:paraId="60136571">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4、保修服务期：自验收合格之日起计保修期，提供整机（包含附件，如稳压电源、脚踏、推车等）原厂保修服务≥3年，承担保修期内设备任何故障产生的费用。</w:t>
            </w:r>
          </w:p>
          <w:p w14:paraId="22EEAC7B">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5、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45"/>
              <w:widowControl w:val="0"/>
              <w:numPr>
                <w:ilvl w:val="0"/>
                <w:numId w:val="0"/>
              </w:numPr>
              <w:spacing w:line="240" w:lineRule="auto"/>
              <w:rPr>
                <w:rFonts w:hint="default"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6、所投产品须为当年生产出厂产品。</w:t>
            </w:r>
          </w:p>
          <w:p w14:paraId="5B42CF4D">
            <w:pPr>
              <w:pStyle w:val="45"/>
              <w:rPr>
                <w:rFonts w:hint="eastAsia" w:ascii="宋体" w:hAnsi="宋体" w:eastAsia="宋体" w:cs="宋体"/>
                <w:color w:val="auto"/>
                <w:sz w:val="24"/>
                <w:szCs w:val="24"/>
                <w:highlight w:val="none"/>
              </w:rPr>
            </w:pPr>
            <w:r>
              <w:rPr>
                <w:rFonts w:hint="eastAsia" w:cs="宋体"/>
                <w:b/>
                <w:bCs/>
                <w:color w:val="auto"/>
                <w:kern w:val="2"/>
                <w:sz w:val="24"/>
                <w:szCs w:val="24"/>
                <w:highlight w:val="none"/>
                <w:lang w:val="en-US" w:eastAsia="zh-CN"/>
              </w:rPr>
              <w:t>7、本标针对每种货物只接受一个报价，不接受备选方案，但不拒绝优惠声明，优惠声明需在《开标一览表》备注中填写。</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 xml:space="preserve">文件中出现的类似于“近三年”或“前三年”、“近五年”或“前五年”均指递交响应文件时间以前三年或前五年，以此类推。如：递交响应文件时间为 </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日至 </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7269E5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文件所称的“以上”、“以下”、“内”、“以内”，包括本数；所称的“不足”，不包括本数。</w:t>
            </w:r>
          </w:p>
        </w:tc>
      </w:tr>
      <w:bookmarkEnd w:id="100"/>
    </w:tbl>
    <w:p w14:paraId="131AFDDB">
      <w:pPr>
        <w:rPr>
          <w:color w:val="auto"/>
          <w:highlight w:val="none"/>
        </w:rPr>
      </w:pPr>
    </w:p>
    <w:p w14:paraId="3C80B303">
      <w:pPr>
        <w:rPr>
          <w:rFonts w:hint="eastAsia" w:eastAsia="宋体" w:asciiTheme="majorHAnsi" w:hAnsiTheme="majorHAnsi" w:cstheme="majorBidi"/>
          <w:b/>
          <w:bCs/>
          <w:color w:val="auto"/>
          <w:kern w:val="2"/>
          <w:sz w:val="28"/>
          <w:szCs w:val="28"/>
          <w:highlight w:val="none"/>
          <w:lang w:val="en-US" w:eastAsia="zh-CN" w:bidi="ar-SA"/>
        </w:rPr>
      </w:pPr>
      <w:bookmarkStart w:id="102" w:name="_Toc20713"/>
      <w:r>
        <w:rPr>
          <w:rFonts w:hint="eastAsia" w:eastAsia="宋体" w:asciiTheme="majorHAnsi" w:hAnsiTheme="majorHAnsi" w:cstheme="majorBidi"/>
          <w:b/>
          <w:bCs/>
          <w:color w:val="auto"/>
          <w:kern w:val="2"/>
          <w:sz w:val="28"/>
          <w:szCs w:val="28"/>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3" w:name="_Toc30862"/>
      <w:r>
        <w:rPr>
          <w:rFonts w:hint="eastAsia" w:eastAsia="宋体" w:asciiTheme="majorHAnsi" w:hAnsiTheme="majorHAnsi" w:cstheme="majorBidi"/>
          <w:b/>
          <w:bCs/>
          <w:color w:val="auto"/>
          <w:kern w:val="2"/>
          <w:sz w:val="28"/>
          <w:szCs w:val="28"/>
          <w:highlight w:val="none"/>
          <w:lang w:val="en-US" w:eastAsia="zh-CN" w:bidi="ar-SA"/>
        </w:rPr>
        <w:t>二、供应商须知</w:t>
      </w:r>
      <w:bookmarkEnd w:id="102"/>
      <w:bookmarkEnd w:id="103"/>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4" w:name="_Toc109899532"/>
      <w:bookmarkStart w:id="105" w:name="_Toc109899951"/>
      <w:bookmarkStart w:id="106" w:name="_Toc163493611"/>
      <w:bookmarkStart w:id="107" w:name="_Toc109897433"/>
      <w:bookmarkStart w:id="108" w:name="_Toc8053"/>
      <w:bookmarkStart w:id="109" w:name="_Toc109900370"/>
      <w:bookmarkStart w:id="110" w:name="_Toc46771638"/>
      <w:bookmarkStart w:id="111" w:name="_Toc470172694"/>
      <w:r>
        <w:rPr>
          <w:rFonts w:hint="eastAsia" w:ascii="宋体" w:hAnsi="宋体" w:eastAsia="宋体" w:cs="宋体"/>
          <w:b/>
          <w:bCs/>
          <w:color w:val="auto"/>
          <w:kern w:val="2"/>
          <w:sz w:val="24"/>
          <w:szCs w:val="24"/>
          <w:highlight w:val="none"/>
          <w:lang w:val="en-US" w:eastAsia="zh-CN" w:bidi="ar-SA"/>
        </w:rPr>
        <w:t>（一）总则</w:t>
      </w:r>
      <w:bookmarkEnd w:id="104"/>
      <w:bookmarkEnd w:id="105"/>
      <w:bookmarkEnd w:id="106"/>
      <w:bookmarkEnd w:id="107"/>
      <w:bookmarkEnd w:id="108"/>
      <w:bookmarkEnd w:id="109"/>
      <w:bookmarkEnd w:id="110"/>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2" w:name="_Toc27243"/>
      <w:bookmarkStart w:id="113" w:name="_Toc109900371"/>
      <w:bookmarkStart w:id="114" w:name="_Toc109899952"/>
      <w:bookmarkStart w:id="115" w:name="_Toc470172664"/>
      <w:bookmarkStart w:id="116" w:name="_Toc51674210"/>
      <w:bookmarkStart w:id="117" w:name="_Toc48846108"/>
      <w:bookmarkStart w:id="118" w:name="_Toc46772240"/>
      <w:bookmarkStart w:id="119" w:name="_Toc46771639"/>
      <w:bookmarkStart w:id="120" w:name="_Toc109899533"/>
      <w:bookmarkStart w:id="121" w:name="_Toc48688788"/>
      <w:bookmarkStart w:id="122" w:name="_Toc52962726"/>
      <w:bookmarkStart w:id="123" w:name="_Toc109897434"/>
      <w:bookmarkStart w:id="124" w:name="_Toc52960552"/>
      <w:r>
        <w:rPr>
          <w:rFonts w:hint="eastAsia" w:ascii="宋体" w:hAnsi="宋体" w:eastAsia="宋体" w:cs="宋体"/>
          <w:b/>
          <w:bCs/>
          <w:color w:val="auto"/>
          <w:kern w:val="2"/>
          <w:sz w:val="24"/>
          <w:szCs w:val="24"/>
          <w:highlight w:val="none"/>
          <w:lang w:val="en-US" w:eastAsia="zh-CN" w:bidi="ar-SA"/>
        </w:rPr>
        <w:t>1.适用范围</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3FAC17D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文件（也称</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文件或采购文件）仅适用于本次竞争性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5" w:name="_Toc163492824"/>
      <w:r>
        <w:rPr>
          <w:rFonts w:hint="eastAsia" w:ascii="宋体" w:hAnsi="宋体" w:eastAsia="宋体" w:cs="宋体"/>
          <w:b/>
          <w:bCs/>
          <w:color w:val="auto"/>
          <w:kern w:val="2"/>
          <w:sz w:val="24"/>
          <w:szCs w:val="24"/>
          <w:highlight w:val="none"/>
          <w:lang w:val="en-US" w:eastAsia="zh-CN" w:bidi="ar-SA"/>
        </w:rPr>
        <w:t>2.基本定义</w:t>
      </w:r>
      <w:bookmarkEnd w:id="125"/>
    </w:p>
    <w:p w14:paraId="768D70C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2.5核心产品见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57BF3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2.6是否属于</w:t>
      </w:r>
      <w:r>
        <w:rPr>
          <w:rFonts w:hint="eastAsia" w:ascii="宋体" w:hAnsi="宋体" w:eastAsia="宋体" w:cs="宋体"/>
          <w:color w:val="auto"/>
          <w:kern w:val="0"/>
          <w:sz w:val="24"/>
          <w:szCs w:val="24"/>
          <w:highlight w:val="none"/>
          <w:lang w:val="en-US" w:eastAsia="zh-CN" w:bidi="ar"/>
        </w:rPr>
        <w:t>科研仪器设备采购</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E6A6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2.7供应商（也称“申请人”）：指向采购人提供货物、工程或者服务的法人、其他组织或者自然人。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须满足以下条件：</w:t>
      </w:r>
    </w:p>
    <w:p w14:paraId="211E9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具备《中华人民共和国政府采购法》第二十二条规定的</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rPr>
        <w:t>，遵守本项目采购人本级和上级财政部门政府采购的有关规定。</w:t>
      </w:r>
    </w:p>
    <w:p w14:paraId="323DC0B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公告中发布</w:t>
      </w:r>
      <w:r>
        <w:rPr>
          <w:rFonts w:hint="eastAsia" w:ascii="宋体" w:hAnsi="宋体" w:eastAsia="宋体" w:cs="宋体"/>
          <w:color w:val="auto"/>
          <w:sz w:val="24"/>
          <w:szCs w:val="24"/>
          <w:highlight w:val="none"/>
        </w:rPr>
        <w:t>的方式</w:t>
      </w:r>
      <w:r>
        <w:rPr>
          <w:rFonts w:hint="eastAsia" w:ascii="宋体" w:hAnsi="宋体" w:eastAsia="宋体" w:cs="宋体"/>
          <w:color w:val="auto"/>
          <w:sz w:val="24"/>
          <w:szCs w:val="24"/>
          <w:highlight w:val="none"/>
          <w:lang w:eastAsia="zh-CN"/>
        </w:rPr>
        <w:t>依法</w:t>
      </w:r>
      <w:r>
        <w:rPr>
          <w:rFonts w:hint="eastAsia" w:ascii="宋体" w:hAnsi="宋体" w:eastAsia="宋体" w:cs="宋体"/>
          <w:color w:val="auto"/>
          <w:sz w:val="24"/>
          <w:szCs w:val="24"/>
          <w:highlight w:val="none"/>
        </w:rPr>
        <w:t>获得了本项目的</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07B8363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文件规定并参加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的供应商。</w:t>
      </w:r>
    </w:p>
    <w:p w14:paraId="3098B7A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iCs/>
          <w:color w:val="auto"/>
          <w:sz w:val="24"/>
          <w:szCs w:val="24"/>
          <w:highlight w:val="none"/>
          <w:shd w:val="clear" w:color="auto" w:fill="FFFFFF" w:themeFill="background1"/>
        </w:rPr>
        <w:t>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文件规定的供应商</w:t>
      </w:r>
      <w:r>
        <w:rPr>
          <w:rFonts w:hint="eastAsia" w:ascii="宋体" w:hAnsi="宋体" w:eastAsia="宋体" w:cs="宋体"/>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6" w:name="_Toc52960555"/>
      <w:bookmarkStart w:id="127" w:name="_Toc109897437"/>
      <w:bookmarkStart w:id="128" w:name="_Toc46772243"/>
      <w:bookmarkStart w:id="129" w:name="_Toc109900374"/>
      <w:bookmarkStart w:id="130" w:name="_Toc109899536"/>
      <w:bookmarkStart w:id="131" w:name="_Toc48846111"/>
      <w:bookmarkStart w:id="132" w:name="_Toc470172667"/>
      <w:bookmarkStart w:id="133" w:name="_Toc109899955"/>
      <w:bookmarkStart w:id="134" w:name="_Toc9974"/>
      <w:bookmarkStart w:id="135" w:name="_Toc51674213"/>
      <w:bookmarkStart w:id="136" w:name="_Toc52962729"/>
      <w:bookmarkStart w:id="137" w:name="_Toc46771642"/>
      <w:bookmarkStart w:id="138" w:name="_Toc48688791"/>
      <w:r>
        <w:rPr>
          <w:rFonts w:hint="eastAsia" w:ascii="宋体" w:hAnsi="宋体" w:eastAsia="宋体" w:cs="宋体"/>
          <w:b/>
          <w:bCs/>
          <w:color w:val="auto"/>
          <w:kern w:val="2"/>
          <w:sz w:val="24"/>
          <w:szCs w:val="24"/>
          <w:highlight w:val="none"/>
          <w:lang w:val="en-US" w:eastAsia="zh-CN" w:bidi="ar-SA"/>
        </w:rPr>
        <w:t>3.资金来源</w:t>
      </w:r>
    </w:p>
    <w:p w14:paraId="7E10FE0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522AD9C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3B57853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lang w:val="zh-CN" w:eastAsia="zh-CN"/>
        </w:rPr>
        <w:t>”规定接受联合体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的，还应遵守以下规定：</w:t>
      </w:r>
    </w:p>
    <w:p w14:paraId="512308F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w:t>
      </w:r>
      <w:r>
        <w:rPr>
          <w:rFonts w:hint="eastAsia" w:ascii="宋体" w:hAnsi="宋体" w:eastAsia="宋体" w:cs="宋体"/>
          <w:iCs/>
          <w:color w:val="auto"/>
          <w:kern w:val="2"/>
          <w:sz w:val="24"/>
          <w:szCs w:val="24"/>
          <w:highlight w:val="none"/>
          <w:shd w:val="clear" w:color="auto" w:fill="FFFFFF" w:themeFill="background1"/>
          <w:lang w:val="en-US" w:eastAsia="zh-CN" w:bidi="ar-SA"/>
        </w:rPr>
        <w:t>成交的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的全部相关规定。</w:t>
      </w:r>
    </w:p>
    <w:p w14:paraId="1C0E489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olor w:val="auto"/>
          <w:kern w:val="2"/>
          <w:sz w:val="24"/>
          <w:szCs w:val="24"/>
          <w:highlight w:val="none"/>
          <w:shd w:val="clear" w:color="auto" w:fill="FFFFFF" w:themeFill="background1"/>
          <w:lang w:val="en-US" w:eastAsia="zh-CN" w:bidi="ar-SA"/>
        </w:rPr>
        <w:t>第一章 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公告</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eastAsia="宋体" w:cs="宋体"/>
          <w:b/>
          <w:bCs/>
          <w:color w:val="auto"/>
          <w:kern w:val="2"/>
          <w:sz w:val="24"/>
          <w:szCs w:val="24"/>
          <w:highlight w:val="none"/>
          <w:lang w:val="en-US" w:eastAsia="zh-CN" w:bidi="ar-SA"/>
        </w:rPr>
        <w:t>承担</w:t>
      </w:r>
    </w:p>
    <w:p w14:paraId="3C6741E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5.1</w:t>
      </w:r>
      <w:r>
        <w:rPr>
          <w:rFonts w:hint="eastAsia" w:ascii="宋体" w:hAnsi="宋体" w:eastAsia="宋体" w:cs="宋体"/>
          <w:snapToGrid w:val="0"/>
          <w:color w:val="auto"/>
          <w:sz w:val="24"/>
          <w:szCs w:val="24"/>
          <w:highlight w:val="none"/>
          <w:lang w:val="zh-CN" w:eastAsia="zh-CN"/>
        </w:rPr>
        <w:t>不论</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的结果如何，</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eastAsia="zh-CN"/>
        </w:rPr>
        <w:t>应承担所有与准备和参加</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40132761"/>
      <w:bookmarkStart w:id="140" w:name="_Toc161600293"/>
      <w:r>
        <w:rPr>
          <w:rFonts w:hint="eastAsia" w:ascii="宋体" w:hAnsi="宋体" w:eastAsia="宋体" w:cs="宋体"/>
          <w:b/>
          <w:bCs/>
          <w:color w:val="auto"/>
          <w:kern w:val="2"/>
          <w:sz w:val="24"/>
          <w:szCs w:val="24"/>
          <w:highlight w:val="none"/>
          <w:lang w:val="en-US" w:eastAsia="zh-CN" w:bidi="ar-SA"/>
        </w:rPr>
        <w:t>6.保密</w:t>
      </w:r>
      <w:bookmarkEnd w:id="139"/>
      <w:bookmarkEnd w:id="140"/>
    </w:p>
    <w:p w14:paraId="1361C43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活动的各方应对竞争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文件和响应文件中的商业和技术等秘密保密，否则应承担相应的法律责任。</w:t>
      </w:r>
    </w:p>
    <w:p w14:paraId="0F89755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 供应商</w:t>
      </w:r>
      <w:r>
        <w:rPr>
          <w:rFonts w:hint="eastAsia" w:ascii="宋体" w:hAnsi="宋体" w:eastAsia="宋体" w:cs="宋体"/>
          <w:color w:val="auto"/>
          <w:kern w:val="2"/>
          <w:sz w:val="24"/>
          <w:szCs w:val="24"/>
          <w:highlight w:val="none"/>
        </w:rPr>
        <w:t>自领取竞争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文件之日起，须承担本竞争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项目保密义务，不得将因本次竞争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获得的信息向第三人外传。由采购人向</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结束后，应采购人要求，</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应归还所有从采购人处获得的保密资料。</w:t>
      </w:r>
    </w:p>
    <w:p w14:paraId="67E49FD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提供的所有资料向有关政府部门或竞争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的有关人员披露。</w:t>
      </w:r>
    </w:p>
    <w:p w14:paraId="232A1AD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61600294"/>
      <w:bookmarkStart w:id="142" w:name="_Toc140132762"/>
      <w:r>
        <w:rPr>
          <w:rFonts w:hint="eastAsia" w:ascii="宋体" w:hAnsi="宋体" w:eastAsia="宋体" w:cs="宋体"/>
          <w:b/>
          <w:bCs/>
          <w:color w:val="auto"/>
          <w:kern w:val="2"/>
          <w:sz w:val="24"/>
          <w:szCs w:val="24"/>
          <w:highlight w:val="none"/>
          <w:lang w:val="en-US" w:eastAsia="zh-CN" w:bidi="ar-SA"/>
        </w:rPr>
        <w:t>7.语言文字</w:t>
      </w:r>
      <w:bookmarkEnd w:id="141"/>
      <w:bookmarkEnd w:id="142"/>
    </w:p>
    <w:p w14:paraId="3121AAF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文件及响应</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3" w:name="_Toc140132763"/>
      <w:bookmarkStart w:id="144" w:name="_Toc161600295"/>
      <w:r>
        <w:rPr>
          <w:rFonts w:hint="eastAsia" w:ascii="宋体" w:hAnsi="宋体" w:eastAsia="宋体" w:cs="宋体"/>
          <w:b/>
          <w:bCs/>
          <w:color w:val="auto"/>
          <w:kern w:val="2"/>
          <w:sz w:val="24"/>
          <w:szCs w:val="24"/>
          <w:highlight w:val="none"/>
          <w:lang w:val="en-US" w:eastAsia="zh-CN" w:bidi="ar-SA"/>
        </w:rPr>
        <w:t>8.计量单位</w:t>
      </w:r>
      <w:bookmarkEnd w:id="143"/>
      <w:bookmarkEnd w:id="144"/>
    </w:p>
    <w:p w14:paraId="0DC441D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61600296"/>
      <w:bookmarkStart w:id="146" w:name="_Toc140132764"/>
      <w:r>
        <w:rPr>
          <w:rFonts w:hint="eastAsia" w:ascii="宋体" w:hAnsi="宋体" w:eastAsia="宋体" w:cs="宋体"/>
          <w:b/>
          <w:bCs/>
          <w:color w:val="auto"/>
          <w:kern w:val="2"/>
          <w:sz w:val="24"/>
          <w:szCs w:val="24"/>
          <w:highlight w:val="none"/>
          <w:lang w:val="en-US" w:eastAsia="zh-CN" w:bidi="ar-SA"/>
        </w:rPr>
        <w:t>9.现场考察和答疑会</w:t>
      </w:r>
      <w:bookmarkEnd w:id="145"/>
      <w:bookmarkEnd w:id="146"/>
    </w:p>
    <w:p w14:paraId="70E7733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147" w:name="_Hlk143529198"/>
      <w:r>
        <w:rPr>
          <w:rFonts w:hint="eastAsia" w:ascii="宋体" w:hAnsi="宋体" w:eastAsia="宋体" w:cs="宋体"/>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供应商现场考察发生的费用自理。</w:t>
      </w:r>
    </w:p>
    <w:p w14:paraId="417B1E0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在现场考察中，因供应商自身原因发生的人员伤亡和财产损失，由供应商自行负责。</w:t>
      </w:r>
    </w:p>
    <w:p w14:paraId="2BF7B5CD">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由于未参加现场考察或未参加答疑会而导致对项目实际情况不了解，影响响应文件编制、</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报价准确性、综合因素响应不全面等问题的，由供应商自行承担不利评审后果。</w:t>
      </w:r>
    </w:p>
    <w:bookmarkEnd w:id="147"/>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61600298"/>
      <w:bookmarkStart w:id="149" w:name="_Toc155185858"/>
      <w:r>
        <w:rPr>
          <w:rFonts w:hint="eastAsia" w:ascii="宋体" w:hAnsi="宋体" w:eastAsia="宋体" w:cs="宋体"/>
          <w:b/>
          <w:bCs/>
          <w:color w:val="auto"/>
          <w:kern w:val="2"/>
          <w:sz w:val="24"/>
          <w:szCs w:val="24"/>
          <w:highlight w:val="none"/>
          <w:lang w:val="en-US" w:eastAsia="zh-CN" w:bidi="ar-SA"/>
        </w:rPr>
        <w:t>10.电子标说明</w:t>
      </w:r>
      <w:bookmarkEnd w:id="148"/>
      <w:bookmarkEnd w:id="149"/>
    </w:p>
    <w:p w14:paraId="111A156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政府采购电子交易云平台（网址：https://www.zcygov.cn/）。供应商参与本项目电子交易活动前，</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失败等后果由供应商自行承担。供应商登录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政府采购网“供应商注册”—“新疆政府采购供应商入驻登记”—“立即登记”进行自助注册绑定。</w:t>
      </w:r>
    </w:p>
    <w:p w14:paraId="18ECC26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供应商将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政府采购网“下载专区”—“电子招投标客户端下载”下载相关客户端，如有问题可拨打政采云客户服务热线95763进行咨询。</w:t>
      </w:r>
    </w:p>
    <w:p w14:paraId="1E16A3EF">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 供应商在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前须提前配置好电脑及浏览器，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时请使用制作加密电子响应文件的CA锁进行解密及报价确认。本项目响应文件解密时间详“供应商须知前附表”，如因自身原因导致无法正常解密，后果由供应商自行承担。</w:t>
      </w:r>
    </w:p>
    <w:p w14:paraId="469768F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 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政府采购电子交易云平台（网址：https://www.zcygov.cn/）”电子交易规则调整，以最新要求为准。</w:t>
      </w:r>
    </w:p>
    <w:p w14:paraId="08AA0AB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电子交易系统咨询：供应商应当充分考虑到电子响应可能会发生的各种问题和风险，特别是响应文件签署、提交等问题，可按照“第一章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公告”的联系方式咨询相关人员。</w:t>
      </w:r>
    </w:p>
    <w:p w14:paraId="39CA103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方式，潜在供应商的名单将在递交响应文件截止时间后才会解密。因此，采购人或采购代理机构无法通过传统的传真或邮件方式，将竞争性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文件的澄清或修改内容逐一通知到每位已获取竞争性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109900375"/>
      <w:bookmarkStart w:id="151" w:name="_Toc109899537"/>
      <w:bookmarkStart w:id="152" w:name="_Toc109899956"/>
      <w:bookmarkStart w:id="153" w:name="_Toc470172668"/>
      <w:bookmarkStart w:id="154" w:name="_Toc1455"/>
      <w:bookmarkStart w:id="155" w:name="_Toc46771643"/>
      <w:bookmarkStart w:id="156" w:name="_Toc109897438"/>
      <w:bookmarkStart w:id="157" w:name="_Toc163493612"/>
      <w:r>
        <w:rPr>
          <w:rFonts w:hint="eastAsia" w:ascii="宋体" w:hAnsi="宋体" w:eastAsia="宋体" w:cs="宋体"/>
          <w:b/>
          <w:bCs/>
          <w:color w:val="auto"/>
          <w:kern w:val="2"/>
          <w:sz w:val="24"/>
          <w:szCs w:val="24"/>
          <w:highlight w:val="none"/>
          <w:lang w:val="en-US" w:eastAsia="zh-CN" w:bidi="ar-SA"/>
        </w:rPr>
        <w:t>（二）谈判文件</w:t>
      </w:r>
      <w:bookmarkEnd w:id="150"/>
      <w:bookmarkEnd w:id="151"/>
      <w:bookmarkEnd w:id="152"/>
      <w:bookmarkEnd w:id="153"/>
      <w:bookmarkEnd w:id="154"/>
      <w:bookmarkEnd w:id="155"/>
      <w:bookmarkEnd w:id="156"/>
      <w:bookmarkEnd w:id="157"/>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48688793"/>
      <w:bookmarkStart w:id="159" w:name="_Toc46771644"/>
      <w:bookmarkStart w:id="160" w:name="_Toc4547"/>
      <w:bookmarkStart w:id="161" w:name="_Toc46772245"/>
      <w:bookmarkStart w:id="162" w:name="_Toc109897439"/>
      <w:bookmarkStart w:id="163" w:name="_Toc52960557"/>
      <w:bookmarkStart w:id="164" w:name="_Toc48846113"/>
      <w:bookmarkStart w:id="165" w:name="_Toc51674215"/>
      <w:bookmarkStart w:id="166" w:name="_Toc109900376"/>
      <w:bookmarkStart w:id="167" w:name="_Toc109899957"/>
      <w:bookmarkStart w:id="168" w:name="_Toc109899538"/>
      <w:bookmarkStart w:id="169" w:name="_Toc470172669"/>
      <w:bookmarkStart w:id="170" w:name="_Toc52962731"/>
      <w:r>
        <w:rPr>
          <w:rFonts w:hint="eastAsia" w:ascii="宋体" w:hAnsi="宋体" w:eastAsia="宋体" w:cs="宋体"/>
          <w:b/>
          <w:bCs/>
          <w:color w:val="auto"/>
          <w:kern w:val="2"/>
          <w:sz w:val="24"/>
          <w:szCs w:val="24"/>
          <w:highlight w:val="none"/>
          <w:lang w:val="en-US" w:eastAsia="zh-CN" w:bidi="ar-SA"/>
        </w:rPr>
        <w:t>11.谈判文件的构成</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lang w:eastAsia="zh-CN"/>
        </w:rPr>
      </w:pPr>
      <w:bookmarkStart w:id="171" w:name="_Toc109899539"/>
      <w:bookmarkStart w:id="172" w:name="_Toc51674216"/>
      <w:bookmarkStart w:id="173" w:name="_Toc109897440"/>
      <w:bookmarkStart w:id="174" w:name="_Toc48846114"/>
      <w:bookmarkStart w:id="175" w:name="_Toc46772246"/>
      <w:bookmarkStart w:id="176" w:name="_Toc52962732"/>
      <w:bookmarkStart w:id="177" w:name="_Toc52960558"/>
      <w:bookmarkStart w:id="178" w:name="_Toc109899958"/>
      <w:bookmarkStart w:id="179" w:name="_Toc109900377"/>
      <w:bookmarkStart w:id="180" w:name="_Toc478415174"/>
      <w:bookmarkStart w:id="181" w:name="_Toc48688794"/>
      <w:bookmarkStart w:id="182" w:name="_Toc46771645"/>
      <w:r>
        <w:rPr>
          <w:rFonts w:hint="eastAsia" w:ascii="宋体" w:hAnsi="宋体" w:eastAsia="宋体" w:cs="宋体"/>
          <w:color w:val="auto"/>
          <w:sz w:val="24"/>
          <w:szCs w:val="24"/>
          <w:highlight w:val="none"/>
        </w:rPr>
        <w:t>第一章 竞争性</w:t>
      </w:r>
      <w:r>
        <w:rPr>
          <w:rFonts w:hint="eastAsia" w:ascii="宋体" w:hAnsi="宋体" w:eastAsia="宋体" w:cs="宋体"/>
          <w:color w:val="auto"/>
          <w:sz w:val="24"/>
          <w:szCs w:val="24"/>
          <w:highlight w:val="none"/>
          <w:lang w:val="en-US" w:eastAsia="zh-CN"/>
        </w:rPr>
        <w:t>谈判公告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12.谈判文件的澄清或修改</w:t>
      </w:r>
      <w:bookmarkEnd w:id="171"/>
      <w:bookmarkEnd w:id="172"/>
      <w:bookmarkEnd w:id="173"/>
      <w:bookmarkEnd w:id="174"/>
      <w:bookmarkEnd w:id="175"/>
      <w:bookmarkEnd w:id="176"/>
      <w:bookmarkEnd w:id="177"/>
      <w:bookmarkEnd w:id="178"/>
      <w:bookmarkEnd w:id="179"/>
      <w:bookmarkEnd w:id="180"/>
      <w:bookmarkEnd w:id="181"/>
      <w:bookmarkEnd w:id="182"/>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color w:val="auto"/>
          <w:sz w:val="24"/>
          <w:szCs w:val="24"/>
          <w:highlight w:val="none"/>
          <w:lang w:val="en-US" w:eastAsia="zh-CN"/>
        </w:rPr>
      </w:pPr>
      <w:r>
        <w:rPr>
          <w:rFonts w:hint="eastAsia" w:cs="仿宋_GB2312"/>
          <w:color w:val="auto"/>
          <w:sz w:val="24"/>
          <w:szCs w:val="24"/>
          <w:highlight w:val="none"/>
          <w:lang w:val="en-US" w:eastAsia="zh-CN"/>
        </w:rPr>
        <w:t xml:space="preserve">12.3 </w:t>
      </w:r>
      <w:r>
        <w:rPr>
          <w:rFonts w:hint="eastAsia" w:cs="仿宋_GB2312"/>
          <w:color w:val="auto"/>
          <w:sz w:val="24"/>
          <w:szCs w:val="24"/>
          <w:highlight w:val="none"/>
          <w:lang w:val="zh-CN" w:eastAsia="zh-CN"/>
        </w:rPr>
        <w:t>对</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文件澄清或者修改的内容可能影响响应文件编制的，采购人、采购代理机构或者</w:t>
      </w:r>
      <w:r>
        <w:rPr>
          <w:rFonts w:hint="eastAsia" w:cs="仿宋_GB2312"/>
          <w:color w:val="auto"/>
          <w:sz w:val="24"/>
          <w:szCs w:val="24"/>
          <w:highlight w:val="none"/>
          <w:lang w:val="en-US" w:eastAsia="zh-CN"/>
        </w:rPr>
        <w:t>谈判</w:t>
      </w:r>
      <w:r>
        <w:rPr>
          <w:rFonts w:hint="eastAsia" w:cs="仿宋_GB2312"/>
          <w:color w:val="auto"/>
          <w:sz w:val="24"/>
          <w:szCs w:val="24"/>
          <w:highlight w:val="none"/>
          <w:lang w:val="zh-CN" w:eastAsia="zh-CN"/>
        </w:rPr>
        <w:t>小组应当在提交首次响应文件截止之日</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日前，以书面形式通知所有接收</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文件的供应商，不足</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日的，应当顺延提交首次响应文件</w:t>
      </w:r>
      <w:r>
        <w:rPr>
          <w:rFonts w:hint="eastAsia" w:cs="仿宋_GB2312"/>
          <w:color w:val="auto"/>
          <w:sz w:val="24"/>
          <w:szCs w:val="24"/>
          <w:highlight w:val="none"/>
          <w:lang w:val="en-US" w:eastAsia="zh-CN"/>
        </w:rPr>
        <w:t>的</w:t>
      </w:r>
      <w:r>
        <w:rPr>
          <w:rFonts w:hint="eastAsia" w:cs="仿宋_GB2312"/>
          <w:color w:val="auto"/>
          <w:sz w:val="24"/>
          <w:szCs w:val="24"/>
          <w:highlight w:val="none"/>
          <w:lang w:val="zh-CN" w:eastAsia="zh-CN"/>
        </w:rPr>
        <w:t>截止时间</w:t>
      </w:r>
      <w:r>
        <w:rPr>
          <w:rFonts w:hint="eastAsia" w:cs="仿宋_GB2312"/>
          <w:color w:val="auto"/>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谈判</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571CE51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cs="仿宋_GB2312"/>
          <w:color w:val="auto"/>
          <w:sz w:val="24"/>
          <w:szCs w:val="24"/>
          <w:highlight w:val="none"/>
          <w:lang w:val="en-US" w:eastAsia="zh-CN"/>
        </w:rPr>
        <w:t>谈判</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3" w:name="_Toc6486"/>
      <w:bookmarkStart w:id="184" w:name="_Toc470172672"/>
      <w:bookmarkStart w:id="185" w:name="_Toc163493613"/>
      <w:bookmarkStart w:id="186" w:name="_Toc109900379"/>
      <w:bookmarkStart w:id="187" w:name="_Toc109899960"/>
      <w:bookmarkStart w:id="188" w:name="_Toc109897442"/>
      <w:bookmarkStart w:id="189" w:name="_Toc109899541"/>
      <w:bookmarkStart w:id="190" w:name="_Toc46771647"/>
      <w:r>
        <w:rPr>
          <w:rFonts w:hint="eastAsia" w:ascii="宋体" w:hAnsi="宋体" w:eastAsia="宋体" w:cs="宋体"/>
          <w:b/>
          <w:bCs/>
          <w:color w:val="auto"/>
          <w:kern w:val="2"/>
          <w:sz w:val="24"/>
          <w:szCs w:val="24"/>
          <w:highlight w:val="none"/>
          <w:lang w:val="en-US" w:eastAsia="zh-CN" w:bidi="ar-SA"/>
        </w:rPr>
        <w:t>（三）响应文件</w:t>
      </w:r>
      <w:bookmarkEnd w:id="183"/>
      <w:bookmarkEnd w:id="184"/>
      <w:bookmarkEnd w:id="185"/>
      <w:bookmarkEnd w:id="186"/>
      <w:bookmarkEnd w:id="187"/>
      <w:bookmarkEnd w:id="188"/>
      <w:bookmarkEnd w:id="189"/>
      <w:bookmarkEnd w:id="190"/>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32272"/>
      <w:bookmarkStart w:id="192" w:name="_Toc109897444"/>
      <w:bookmarkStart w:id="193" w:name="_Toc52960562"/>
      <w:bookmarkStart w:id="194" w:name="_Toc51674220"/>
      <w:bookmarkStart w:id="195" w:name="_Toc109899962"/>
      <w:bookmarkStart w:id="196" w:name="_Toc52962736"/>
      <w:bookmarkStart w:id="197" w:name="_Toc46772250"/>
      <w:bookmarkStart w:id="198" w:name="_Toc48846118"/>
      <w:bookmarkStart w:id="199" w:name="_Toc46771649"/>
      <w:bookmarkStart w:id="200" w:name="_Toc109899543"/>
      <w:bookmarkStart w:id="201" w:name="_Toc470172674"/>
      <w:bookmarkStart w:id="202" w:name="_Toc109900381"/>
      <w:bookmarkStart w:id="203" w:name="_Toc48688798"/>
      <w:r>
        <w:rPr>
          <w:rFonts w:hint="eastAsia" w:ascii="宋体" w:hAnsi="宋体" w:eastAsia="宋体" w:cs="宋体"/>
          <w:b/>
          <w:bCs/>
          <w:color w:val="auto"/>
          <w:kern w:val="2"/>
          <w:sz w:val="24"/>
          <w:szCs w:val="24"/>
          <w:highlight w:val="none"/>
          <w:lang w:val="en-US" w:eastAsia="zh-CN" w:bidi="ar-SA"/>
        </w:rPr>
        <w:t>13.响应文件的</w:t>
      </w:r>
      <w:bookmarkEnd w:id="191"/>
      <w:bookmarkEnd w:id="192"/>
      <w:bookmarkEnd w:id="193"/>
      <w:bookmarkEnd w:id="194"/>
      <w:bookmarkEnd w:id="195"/>
      <w:bookmarkEnd w:id="196"/>
      <w:bookmarkEnd w:id="197"/>
      <w:bookmarkEnd w:id="198"/>
      <w:bookmarkEnd w:id="199"/>
      <w:bookmarkEnd w:id="200"/>
      <w:bookmarkEnd w:id="201"/>
      <w:bookmarkEnd w:id="202"/>
      <w:bookmarkEnd w:id="203"/>
      <w:r>
        <w:rPr>
          <w:rFonts w:hint="eastAsia" w:ascii="宋体" w:hAnsi="宋体" w:eastAsia="宋体" w:cs="宋体"/>
          <w:b/>
          <w:bCs/>
          <w:color w:val="auto"/>
          <w:kern w:val="2"/>
          <w:sz w:val="24"/>
          <w:szCs w:val="24"/>
          <w:highlight w:val="none"/>
          <w:lang w:val="en-US" w:eastAsia="zh-CN" w:bidi="ar-SA"/>
        </w:rPr>
        <w:t>组成</w:t>
      </w:r>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应完整地按竞争性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文件提供的</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文件格式及要求编写</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第六章 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13.2供应商</w:t>
      </w:r>
      <w:r>
        <w:rPr>
          <w:rFonts w:hint="eastAsia" w:ascii="宋体" w:hAnsi="宋体" w:eastAsia="宋体" w:cs="宋体"/>
          <w:color w:val="auto"/>
          <w:kern w:val="2"/>
          <w:sz w:val="24"/>
          <w:szCs w:val="24"/>
          <w:highlight w:val="none"/>
        </w:rPr>
        <w:t>应提交竞争性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文件要求的证明文件，证明其</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内容符合竞争性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204" w:name="_Hlk11703583"/>
      <w:r>
        <w:rPr>
          <w:rFonts w:hint="eastAsia" w:ascii="宋体" w:hAnsi="宋体" w:eastAsia="宋体" w:cs="宋体"/>
          <w:color w:val="auto"/>
          <w:kern w:val="2"/>
          <w:sz w:val="24"/>
          <w:szCs w:val="24"/>
          <w:highlight w:val="none"/>
          <w:lang w:val="en-US" w:eastAsia="zh-CN"/>
        </w:rPr>
        <w:t>等。</w:t>
      </w:r>
    </w:p>
    <w:bookmarkEnd w:id="20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w:t>
      </w:r>
      <w:r>
        <w:rPr>
          <w:rFonts w:hint="eastAsia" w:ascii="宋体" w:hAnsi="宋体" w:eastAsia="宋体" w:cs="宋体"/>
          <w:color w:val="auto"/>
          <w:kern w:val="2"/>
          <w:sz w:val="24"/>
          <w:szCs w:val="24"/>
          <w:highlight w:val="none"/>
        </w:rPr>
        <w:t>另有规定或说明，</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对同一项目</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时，不得同时提供备选</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5" w:name="_Toc470172676"/>
      <w:bookmarkStart w:id="206" w:name="_Toc46772252"/>
      <w:bookmarkStart w:id="207" w:name="_Toc48688800"/>
      <w:bookmarkStart w:id="208" w:name="_Toc109899964"/>
      <w:bookmarkStart w:id="209" w:name="_Toc52962738"/>
      <w:bookmarkStart w:id="210" w:name="_Toc109900383"/>
      <w:bookmarkStart w:id="211" w:name="_Toc24544"/>
      <w:bookmarkStart w:id="212" w:name="_Toc52960564"/>
      <w:bookmarkStart w:id="213" w:name="_Toc46771651"/>
      <w:bookmarkStart w:id="214" w:name="_Toc109899545"/>
      <w:bookmarkStart w:id="215" w:name="_Toc48846120"/>
      <w:bookmarkStart w:id="216" w:name="_Toc109897446"/>
      <w:bookmarkStart w:id="217" w:name="_Toc51674222"/>
      <w:bookmarkStart w:id="218" w:name="_Toc109900382"/>
      <w:bookmarkStart w:id="219" w:name="_Toc46771650"/>
      <w:bookmarkStart w:id="220" w:name="_Toc48846119"/>
      <w:bookmarkStart w:id="221" w:name="_Toc109899963"/>
      <w:bookmarkStart w:id="222" w:name="_Toc109897445"/>
      <w:bookmarkStart w:id="223" w:name="_Toc25217"/>
      <w:bookmarkStart w:id="224" w:name="_Toc51674221"/>
      <w:bookmarkStart w:id="225" w:name="_Toc52960563"/>
      <w:bookmarkStart w:id="226" w:name="_Toc46772251"/>
      <w:bookmarkStart w:id="227" w:name="_Toc109899544"/>
      <w:bookmarkStart w:id="228" w:name="_Toc52962737"/>
      <w:bookmarkStart w:id="229" w:name="_Toc470172675"/>
      <w:bookmarkStart w:id="230" w:name="_Toc48688799"/>
      <w:r>
        <w:rPr>
          <w:rFonts w:hint="eastAsia" w:ascii="宋体" w:hAnsi="宋体" w:eastAsia="宋体" w:cs="宋体"/>
          <w:b/>
          <w:bCs/>
          <w:color w:val="auto"/>
          <w:kern w:val="2"/>
          <w:sz w:val="24"/>
          <w:szCs w:val="24"/>
          <w:highlight w:val="none"/>
          <w:lang w:val="en-US" w:eastAsia="zh-CN" w:bidi="ar-SA"/>
        </w:rPr>
        <w:t>14.谈判报价</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0640D6E7">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供应商的报价均应以人民币报价。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报价包括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供应商在首次提交的响应文件中的报价、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过程中的报价和最后报价，</w:t>
      </w:r>
      <w:r>
        <w:rPr>
          <w:rFonts w:hint="eastAsia" w:ascii="宋体" w:hAnsi="宋体" w:eastAsia="宋体" w:cs="宋体"/>
          <w:snapToGrid w:val="0"/>
          <w:color w:val="auto"/>
          <w:sz w:val="24"/>
          <w:szCs w:val="24"/>
          <w:highlight w:val="none"/>
          <w:lang w:val="en-US" w:eastAsia="zh-CN"/>
        </w:rPr>
        <w:t>且均</w:t>
      </w:r>
      <w:r>
        <w:rPr>
          <w:rFonts w:hint="eastAsia" w:ascii="宋体" w:hAnsi="宋体" w:eastAsia="宋体" w:cs="宋体"/>
          <w:color w:val="auto"/>
          <w:sz w:val="24"/>
          <w:szCs w:val="24"/>
          <w:highlight w:val="none"/>
        </w:rPr>
        <w:t>不得超过</w:t>
      </w:r>
      <w:bookmarkStart w:id="231" w:name="_Hlk1617036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”中规定</w:t>
      </w:r>
      <w:bookmarkEnd w:id="231"/>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否则其响应文件将被视为</w:t>
      </w:r>
      <w:r>
        <w:rPr>
          <w:rFonts w:hint="eastAsia" w:ascii="宋体" w:hAnsi="宋体" w:eastAsia="宋体" w:cs="宋体"/>
          <w:b/>
          <w:bCs/>
          <w:snapToGrid w:val="0"/>
          <w:color w:val="auto"/>
          <w:sz w:val="24"/>
          <w:szCs w:val="24"/>
          <w:highlight w:val="none"/>
          <w:lang w:val="zh-CN"/>
        </w:rPr>
        <w:t>无效文件</w:t>
      </w:r>
      <w:r>
        <w:rPr>
          <w:rFonts w:hint="eastAsia" w:ascii="宋体" w:hAnsi="宋体" w:eastAsia="宋体" w:cs="宋体"/>
          <w:snapToGrid w:val="0"/>
          <w:color w:val="auto"/>
          <w:sz w:val="24"/>
          <w:szCs w:val="24"/>
          <w:highlight w:val="none"/>
          <w:lang w:val="zh-CN"/>
        </w:rPr>
        <w:t>。</w:t>
      </w:r>
    </w:p>
    <w:p w14:paraId="300639D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.2供应商应按照本</w:t>
      </w:r>
      <w:r>
        <w:rPr>
          <w:rFonts w:hint="eastAsia" w:ascii="宋体" w:hAnsi="宋体" w:eastAsia="宋体" w:cs="宋体"/>
          <w:snapToGrid w:val="0"/>
          <w:color w:val="auto"/>
          <w:sz w:val="24"/>
          <w:szCs w:val="24"/>
          <w:highlight w:val="none"/>
          <w:lang w:val="zh-CN" w:eastAsia="zh-CN"/>
        </w:rPr>
        <w:t>谈判</w:t>
      </w:r>
      <w:r>
        <w:rPr>
          <w:rFonts w:hint="eastAsia" w:ascii="宋体" w:hAnsi="宋体" w:eastAsia="宋体" w:cs="宋体"/>
          <w:snapToGrid w:val="0"/>
          <w:color w:val="auto"/>
          <w:sz w:val="24"/>
          <w:szCs w:val="24"/>
          <w:highlight w:val="none"/>
          <w:lang w:val="zh-CN"/>
        </w:rPr>
        <w:t>文件</w:t>
      </w:r>
      <w:r>
        <w:rPr>
          <w:rFonts w:hint="eastAsia" w:cs="宋体"/>
          <w:snapToGrid w:val="0"/>
          <w:color w:val="auto"/>
          <w:sz w:val="24"/>
          <w:szCs w:val="24"/>
          <w:highlight w:val="none"/>
          <w:lang w:val="en-US" w:eastAsia="zh-CN"/>
        </w:rPr>
        <w:t>所载明</w:t>
      </w:r>
      <w:r>
        <w:rPr>
          <w:rFonts w:hint="eastAsia" w:ascii="宋体" w:hAnsi="宋体" w:eastAsia="宋体" w:cs="宋体"/>
          <w:snapToGrid w:val="0"/>
          <w:color w:val="auto"/>
          <w:sz w:val="24"/>
          <w:szCs w:val="24"/>
          <w:highlight w:val="none"/>
          <w:lang w:val="zh-CN"/>
        </w:rPr>
        <w:t>的采购需求及合同条款进行报价，并按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文件确定的格式报</w:t>
      </w:r>
      <w:r>
        <w:rPr>
          <w:rFonts w:hint="eastAsia" w:cs="宋体"/>
          <w:snapToGrid w:val="0"/>
          <w:color w:val="auto"/>
          <w:sz w:val="24"/>
          <w:szCs w:val="24"/>
          <w:highlight w:val="none"/>
          <w:lang w:val="en-US" w:eastAsia="zh-CN"/>
        </w:rPr>
        <w:t>价</w:t>
      </w:r>
      <w:r>
        <w:rPr>
          <w:rFonts w:hint="eastAsia" w:ascii="宋体" w:hAnsi="宋体" w:eastAsia="宋体" w:cs="宋体"/>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color w:val="auto"/>
          <w:kern w:val="2"/>
          <w:sz w:val="24"/>
          <w:szCs w:val="24"/>
          <w:highlight w:val="none"/>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rPr>
        <w:t>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谈判货物及标准附件、备品备件、专用工具等的出厂价（包括已在中国国内的进口货物完税后的仓库交货价、展室交货价或货架交货价）和运至最终</w:t>
      </w:r>
      <w:r>
        <w:rPr>
          <w:rFonts w:hint="eastAsia" w:ascii="宋体" w:hAnsi="宋体" w:eastAsia="宋体" w:cs="宋体"/>
          <w:color w:val="auto"/>
          <w:kern w:val="2"/>
          <w:sz w:val="24"/>
          <w:szCs w:val="24"/>
          <w:highlight w:val="none"/>
          <w:lang w:val="en-US" w:eastAsia="zh-CN"/>
        </w:rPr>
        <w:t xml:space="preserve">目的地的运输费和保险费，安装调试、检验、技术服务、培训、质量保证、售后服务、税费等； </w:t>
      </w:r>
    </w:p>
    <w:p w14:paraId="2ACD190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rPr>
        <w:t>14.2.2 按照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文件要求完成本项目的全部相关费用。</w:t>
      </w:r>
    </w:p>
    <w:p w14:paraId="11C9B78F">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rPr>
        <w:t>须严格按照报价明细表规定的内容填写货物单价以及其他事项。供应商应根据本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文件的规定和要求、市场价格水平及其走势、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供应商的管理水平、</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供应商的方案和由这些因素决定的</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供应商之于本项目的成本水平等提出自己的报价。报价应合理，并包含完成本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w:t>
      </w:r>
      <w:r>
        <w:rPr>
          <w:rFonts w:hint="eastAsia" w:ascii="宋体" w:hAnsi="宋体" w:eastAsia="宋体" w:cs="宋体"/>
          <w:snapToGrid w:val="0"/>
          <w:color w:val="auto"/>
          <w:sz w:val="24"/>
          <w:szCs w:val="24"/>
          <w:highlight w:val="none"/>
          <w:lang w:val="en-US" w:eastAsia="zh-CN"/>
        </w:rPr>
        <w:t>项目</w:t>
      </w:r>
      <w:r>
        <w:rPr>
          <w:rFonts w:hint="eastAsia" w:ascii="宋体" w:hAnsi="宋体" w:eastAsia="宋体" w:cs="宋体"/>
          <w:snapToGrid w:val="0"/>
          <w:color w:val="auto"/>
          <w:sz w:val="24"/>
          <w:szCs w:val="24"/>
          <w:highlight w:val="none"/>
          <w:lang w:val="zh-CN"/>
        </w:rPr>
        <w:t>采购需求全部内容的所有费用，所有根据本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文件或其它原因应由</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供应商支付的税款和其他应交纳的费用都应包括在报价中。</w:t>
      </w:r>
    </w:p>
    <w:p w14:paraId="3DB7F19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.4供应商在响应文件中注明免费的项目将视为包含在报价中。</w:t>
      </w:r>
    </w:p>
    <w:p w14:paraId="2D8474D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5 </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en-US" w:eastAsia="zh-CN"/>
        </w:rPr>
        <w:t>对</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报价若有说明应在</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文件中显著处注明。</w:t>
      </w:r>
    </w:p>
    <w:p w14:paraId="1719007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所报价格在合同实施期间不因市场变化因素而变动。</w:t>
      </w:r>
    </w:p>
    <w:p w14:paraId="749D37C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6 </w:t>
      </w:r>
      <w:r>
        <w:rPr>
          <w:rFonts w:hint="eastAsia" w:ascii="宋体" w:hAnsi="宋体" w:eastAsia="宋体" w:cs="宋体"/>
          <w:color w:val="auto"/>
          <w:kern w:val="2"/>
          <w:sz w:val="24"/>
          <w:szCs w:val="24"/>
          <w:highlight w:val="none"/>
        </w:rPr>
        <w:t>对于有配件、耗材、选件、备件和特殊工具的货物，还应填报</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货物配件、耗材、选件表和备件及特殊工具清单，注明品牌、型号、产地、功能、单价、批量折扣等内容，该表格格式由</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自行设计。</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按照上述要求分类报价，其目的是便于评</w:t>
      </w:r>
      <w:r>
        <w:rPr>
          <w:rFonts w:hint="eastAsia" w:ascii="宋体" w:hAnsi="宋体" w:eastAsia="宋体" w:cs="宋体"/>
          <w:color w:val="auto"/>
          <w:kern w:val="2"/>
          <w:sz w:val="24"/>
          <w:szCs w:val="24"/>
          <w:highlight w:val="none"/>
          <w:lang w:val="en-US" w:eastAsia="zh-CN"/>
        </w:rPr>
        <w:t>审</w:t>
      </w:r>
      <w:r>
        <w:rPr>
          <w:rFonts w:hint="eastAsia" w:ascii="宋体" w:hAnsi="宋体" w:eastAsia="宋体" w:cs="宋体"/>
          <w:color w:val="auto"/>
          <w:kern w:val="2"/>
          <w:sz w:val="24"/>
          <w:szCs w:val="24"/>
          <w:highlight w:val="none"/>
        </w:rPr>
        <w:t>，但在任何情况下并不限制采购人以其他条款签订合同的权利。</w:t>
      </w:r>
    </w:p>
    <w:p w14:paraId="2AA144B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14.</w:t>
      </w:r>
      <w:r>
        <w:rPr>
          <w:rFonts w:hint="eastAsia" w:cs="宋体"/>
          <w:color w:val="auto"/>
          <w:kern w:val="2"/>
          <w:sz w:val="24"/>
          <w:szCs w:val="24"/>
          <w:highlight w:val="none"/>
          <w:lang w:val="en-US" w:eastAsia="zh-CN"/>
        </w:rPr>
        <w:t>7</w:t>
      </w:r>
      <w:r>
        <w:rPr>
          <w:rFonts w:hint="eastAsia" w:ascii="宋体" w:hAnsi="宋体" w:eastAsia="宋体" w:cs="宋体"/>
          <w:color w:val="auto"/>
          <w:kern w:val="0"/>
          <w:sz w:val="24"/>
          <w:szCs w:val="24"/>
          <w:highlight w:val="none"/>
          <w:lang w:val="en-US" w:eastAsia="zh-CN" w:bidi="ar"/>
        </w:rPr>
        <w:t>采购人不得向供应商索要或者接受其给予的赠品、回扣或者与采购无关的其他商品、服务。</w:t>
      </w:r>
    </w:p>
    <w:p w14:paraId="4E58D7F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供应商不能提供任何有选择性或可调整的报价（</w:t>
      </w:r>
      <w:r>
        <w:rPr>
          <w:rFonts w:hint="eastAsia" w:cs="宋体"/>
          <w:color w:val="auto"/>
          <w:sz w:val="24"/>
          <w:szCs w:val="24"/>
          <w:highlight w:val="none"/>
          <w:lang w:val="en-US" w:eastAsia="zh-CN"/>
        </w:rPr>
        <w:t>谈判</w:t>
      </w:r>
      <w:r>
        <w:rPr>
          <w:rFonts w:hint="eastAsia" w:ascii="宋体" w:hAnsi="宋体" w:eastAsia="宋体" w:cs="宋体"/>
          <w:color w:val="auto"/>
          <w:kern w:val="0"/>
          <w:sz w:val="24"/>
          <w:szCs w:val="24"/>
          <w:highlight w:val="none"/>
          <w:lang w:val="en-US" w:eastAsia="zh-CN" w:bidi="ar"/>
        </w:rPr>
        <w:t>文件另有规定的除外），否则其</w:t>
      </w:r>
      <w:r>
        <w:rPr>
          <w:rFonts w:hint="eastAsia" w:ascii="宋体" w:hAnsi="宋体" w:eastAsia="宋体" w:cs="宋体"/>
          <w:b/>
          <w:bCs/>
          <w:color w:val="auto"/>
          <w:kern w:val="0"/>
          <w:sz w:val="24"/>
          <w:szCs w:val="24"/>
          <w:highlight w:val="none"/>
          <w:lang w:val="en-US" w:eastAsia="zh-CN" w:bidi="ar"/>
        </w:rPr>
        <w:t>响应无效</w:t>
      </w:r>
      <w:r>
        <w:rPr>
          <w:rFonts w:hint="eastAsia" w:ascii="宋体" w:hAnsi="宋体" w:eastAsia="宋体" w:cs="宋体"/>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2" w:name="_Toc46772258"/>
      <w:bookmarkStart w:id="233" w:name="_Toc109897451"/>
      <w:bookmarkStart w:id="234" w:name="_Toc109900388"/>
      <w:bookmarkStart w:id="235" w:name="_Toc109899550"/>
      <w:bookmarkStart w:id="236" w:name="_Toc48846126"/>
      <w:bookmarkStart w:id="237" w:name="_Toc52962744"/>
      <w:bookmarkStart w:id="238" w:name="_Toc109899969"/>
      <w:bookmarkStart w:id="239" w:name="_Toc470172682"/>
      <w:bookmarkStart w:id="240" w:name="_Toc51674228"/>
      <w:bookmarkStart w:id="241" w:name="_Toc48688806"/>
      <w:bookmarkStart w:id="242" w:name="_Toc46771657"/>
      <w:bookmarkStart w:id="243" w:name="_Toc52960570"/>
      <w:bookmarkStart w:id="244" w:name="_Toc5668"/>
      <w:bookmarkStart w:id="245" w:name="_Toc52962740"/>
      <w:bookmarkStart w:id="246" w:name="_Toc109899966"/>
      <w:bookmarkStart w:id="247" w:name="_Toc51674224"/>
      <w:bookmarkStart w:id="248" w:name="_Toc3324"/>
      <w:bookmarkStart w:id="249" w:name="_Toc46772254"/>
      <w:bookmarkStart w:id="250" w:name="_Toc470172678"/>
      <w:bookmarkStart w:id="251" w:name="_Toc48688802"/>
      <w:bookmarkStart w:id="252" w:name="_Toc46771653"/>
      <w:bookmarkStart w:id="253" w:name="_Toc109897448"/>
      <w:bookmarkStart w:id="254" w:name="_Toc48846122"/>
      <w:bookmarkStart w:id="255" w:name="_Toc52960566"/>
      <w:bookmarkStart w:id="256" w:name="_Toc109899547"/>
      <w:bookmarkStart w:id="257" w:name="_Toc109900385"/>
      <w:r>
        <w:rPr>
          <w:rFonts w:hint="eastAsia" w:ascii="宋体" w:hAnsi="宋体" w:eastAsia="宋体" w:cs="宋体"/>
          <w:b/>
          <w:bCs/>
          <w:color w:val="auto"/>
          <w:kern w:val="2"/>
          <w:sz w:val="24"/>
          <w:szCs w:val="24"/>
          <w:highlight w:val="none"/>
          <w:lang w:val="en-US" w:eastAsia="zh-CN" w:bidi="ar-SA"/>
        </w:rPr>
        <w:t>15.响应文件有效期</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6C3E470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供应商提交的</w:t>
      </w:r>
      <w:r>
        <w:rPr>
          <w:rFonts w:hint="eastAsia" w:ascii="宋体" w:hAnsi="宋体" w:eastAsia="宋体" w:cs="宋体"/>
          <w:snapToGrid w:val="0"/>
          <w:color w:val="auto"/>
          <w:sz w:val="24"/>
          <w:szCs w:val="24"/>
          <w:highlight w:val="none"/>
          <w:lang w:val="zh-CN"/>
        </w:rPr>
        <w:t>响应文件有效期见“供应商须知前附表”，</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供应商承诺的响应文件</w:t>
      </w:r>
      <w:r>
        <w:rPr>
          <w:rFonts w:hint="eastAsia" w:ascii="宋体" w:hAnsi="宋体" w:eastAsia="宋体" w:cs="宋体"/>
          <w:snapToGrid w:val="0"/>
          <w:color w:val="auto"/>
          <w:sz w:val="24"/>
          <w:szCs w:val="24"/>
          <w:highlight w:val="none"/>
          <w:lang w:val="zh-CN" w:eastAsia="zh-CN"/>
        </w:rPr>
        <w:t>有效期少于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响应</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15.2 响应文件有效期从递交响应文件的截止之日起算。响应文件中承诺的有效期应当不少于竞争性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保证金。</w:t>
      </w:r>
    </w:p>
    <w:p w14:paraId="414B33F5">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2"/>
          <w:sz w:val="24"/>
          <w:szCs w:val="24"/>
          <w:highlight w:val="none"/>
          <w:lang w:val="zh-CN" w:eastAsia="zh-CN" w:bidi="ar-SA"/>
        </w:rPr>
        <w:t>1</w:t>
      </w:r>
      <w:r>
        <w:rPr>
          <w:rFonts w:hint="eastAsia" w:ascii="宋体" w:hAnsi="宋体" w:eastAsia="宋体" w:cs="宋体"/>
          <w:snapToGrid w:val="0"/>
          <w:color w:val="auto"/>
          <w:kern w:val="2"/>
          <w:sz w:val="24"/>
          <w:szCs w:val="24"/>
          <w:highlight w:val="none"/>
          <w:lang w:val="en-US" w:eastAsia="zh-CN" w:bidi="ar-SA"/>
        </w:rPr>
        <w:t>5</w:t>
      </w:r>
      <w:r>
        <w:rPr>
          <w:rFonts w:hint="eastAsia" w:ascii="宋体" w:hAnsi="宋体" w:eastAsia="宋体" w:cs="宋体"/>
          <w:snapToGrid w:val="0"/>
          <w:color w:val="auto"/>
          <w:kern w:val="2"/>
          <w:sz w:val="24"/>
          <w:szCs w:val="24"/>
          <w:highlight w:val="none"/>
          <w:lang w:val="zh-CN" w:eastAsia="zh-CN" w:bidi="ar-SA"/>
        </w:rPr>
        <w:t>.</w:t>
      </w:r>
      <w:r>
        <w:rPr>
          <w:rFonts w:hint="eastAsia" w:ascii="宋体" w:hAnsi="宋体" w:eastAsia="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snapToGrid w:val="0"/>
          <w:color w:val="auto"/>
          <w:sz w:val="24"/>
          <w:szCs w:val="24"/>
          <w:highlight w:val="none"/>
          <w:lang w:val="zh-CN"/>
        </w:rPr>
        <w:t>可要求供应商延长响应文件有效期。需要延长响应文件有效期时，采购代理机构或采购人将以书面形式通知所有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供应商同意延长的，</w:t>
      </w:r>
      <w:r>
        <w:rPr>
          <w:rFonts w:hint="eastAsia" w:ascii="宋体" w:hAnsi="宋体" w:eastAsia="宋体" w:cs="宋体"/>
          <w:snapToGrid w:val="0"/>
          <w:color w:val="auto"/>
          <w:sz w:val="24"/>
          <w:szCs w:val="24"/>
          <w:highlight w:val="none"/>
          <w:lang w:val="en-US" w:eastAsia="zh-CN"/>
        </w:rPr>
        <w:t>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保证金的有效期也相应延长</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r>
        <w:rPr>
          <w:rFonts w:hint="eastAsia" w:ascii="宋体" w:hAnsi="宋体" w:eastAsia="宋体" w:cs="宋体"/>
          <w:snapToGrid w:val="0"/>
          <w:color w:val="auto"/>
          <w:sz w:val="24"/>
          <w:szCs w:val="24"/>
          <w:highlight w:val="none"/>
          <w:lang w:val="zh-CN"/>
        </w:rPr>
        <w:t>。</w:t>
      </w:r>
    </w:p>
    <w:bookmarkEnd w:id="245"/>
    <w:bookmarkEnd w:id="246"/>
    <w:bookmarkEnd w:id="247"/>
    <w:bookmarkEnd w:id="248"/>
    <w:bookmarkEnd w:id="249"/>
    <w:bookmarkEnd w:id="250"/>
    <w:bookmarkEnd w:id="251"/>
    <w:bookmarkEnd w:id="252"/>
    <w:bookmarkEnd w:id="253"/>
    <w:bookmarkEnd w:id="254"/>
    <w:bookmarkEnd w:id="255"/>
    <w:bookmarkEnd w:id="256"/>
    <w:bookmarkEnd w:id="257"/>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6FD5FFC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须按照</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文件的要求对要求加盖印章的部分逐一进行签章。</w:t>
      </w:r>
    </w:p>
    <w:p w14:paraId="4BB9824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3供应商</w:t>
      </w:r>
      <w:r>
        <w:rPr>
          <w:rFonts w:hint="eastAsia" w:ascii="宋体" w:hAnsi="宋体" w:eastAsia="宋体" w:cs="宋体"/>
          <w:color w:val="auto"/>
          <w:sz w:val="24"/>
          <w:szCs w:val="24"/>
          <w:highlight w:val="none"/>
        </w:rPr>
        <w:t>应详细阅读</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文件须对</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文件中的内容作出实质性和完整的响应，如果</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文件填报的内容不详，或没有提供</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文件中所要求的全部资料及数据，</w:t>
      </w:r>
      <w:r>
        <w:rPr>
          <w:rFonts w:hint="eastAsia" w:ascii="宋体" w:hAnsi="宋体" w:eastAsia="宋体" w:cs="宋体"/>
          <w:b w:val="0"/>
          <w:bCs w:val="0"/>
          <w:color w:val="auto"/>
          <w:sz w:val="24"/>
          <w:szCs w:val="24"/>
          <w:highlight w:val="none"/>
        </w:rPr>
        <w:t>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2D3AC26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4响应</w:t>
      </w:r>
      <w:r>
        <w:rPr>
          <w:rFonts w:hint="eastAsia" w:ascii="宋体" w:hAnsi="宋体" w:eastAsia="宋体" w:cs="宋体"/>
          <w:color w:val="auto"/>
          <w:sz w:val="24"/>
          <w:szCs w:val="24"/>
          <w:highlight w:val="none"/>
        </w:rPr>
        <w:t>文件须严格按照</w:t>
      </w:r>
      <w:r>
        <w:rPr>
          <w:rFonts w:hint="eastAsia" w:ascii="宋体" w:hAnsi="宋体" w:eastAsia="宋体" w:cs="宋体"/>
          <w:color w:val="auto"/>
          <w:sz w:val="24"/>
          <w:szCs w:val="24"/>
          <w:highlight w:val="none"/>
          <w:lang w:val="en-US" w:eastAsia="zh-CN"/>
        </w:rPr>
        <w:t>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六章</w:t>
      </w:r>
      <w:r>
        <w:rPr>
          <w:rFonts w:hint="eastAsia" w:ascii="宋体" w:hAnsi="宋体" w:eastAsia="宋体" w:cs="宋体"/>
          <w:color w:val="auto"/>
          <w:sz w:val="24"/>
          <w:szCs w:val="24"/>
          <w:highlight w:val="none"/>
        </w:rPr>
        <w:t>规定的格式提交，并按规定的统一格式逐项填写，不准有空项；无相应内容可填</w:t>
      </w:r>
      <w:r>
        <w:rPr>
          <w:rFonts w:hint="eastAsia" w:ascii="宋体" w:hAnsi="宋体" w:eastAsia="宋体" w:cs="宋体"/>
          <w:color w:val="auto"/>
          <w:sz w:val="24"/>
          <w:szCs w:val="24"/>
          <w:highlight w:val="none"/>
          <w:lang w:eastAsia="zh-CN"/>
        </w:rPr>
        <w:t>写的部分</w:t>
      </w:r>
      <w:r>
        <w:rPr>
          <w:rFonts w:hint="eastAsia" w:ascii="宋体" w:hAnsi="宋体" w:eastAsia="宋体" w:cs="宋体"/>
          <w:color w:val="auto"/>
          <w:sz w:val="24"/>
          <w:szCs w:val="24"/>
          <w:highlight w:val="none"/>
        </w:rPr>
        <w:t>，应填写“无”、“未测试”、“没有相应指标”等明确的文字回答。由于编排混乱导致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文件被误读或查找不到，其责任由</w:t>
      </w:r>
      <w:r>
        <w:rPr>
          <w:rFonts w:hint="eastAsia" w:ascii="宋体" w:hAnsi="宋体" w:eastAsia="宋体" w:cs="宋体"/>
          <w:color w:val="auto"/>
          <w:sz w:val="24"/>
          <w:szCs w:val="24"/>
          <w:highlight w:val="none"/>
          <w:lang w:val="en-US" w:eastAsia="zh-CN"/>
        </w:rPr>
        <w:t>供应商自行</w:t>
      </w:r>
      <w:r>
        <w:rPr>
          <w:rFonts w:hint="eastAsia" w:ascii="宋体" w:hAnsi="宋体" w:eastAsia="宋体" w:cs="宋体"/>
          <w:color w:val="auto"/>
          <w:sz w:val="24"/>
          <w:szCs w:val="24"/>
          <w:highlight w:val="none"/>
        </w:rPr>
        <w:t>承担。</w:t>
      </w:r>
    </w:p>
    <w:p w14:paraId="0AB47C8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须注意：为合理节约政府采购评审成本，提倡诚实信用的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行为，特别要求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应本着诚信精神，在本次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文件的偏离表中，均以审慎的态度明确、清楚地披露各项偏离。若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没有在偏离表中明确、清楚地披露的事项，包括可能属于被</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在偏离表中遗漏披露的事项，一旦在评审中被发现存在偏离或被认定为属于偏离，则评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委员会有权视具体情形评审时予以处理，</w:t>
      </w:r>
      <w:r>
        <w:rPr>
          <w:rFonts w:hint="eastAsia" w:ascii="宋体" w:hAnsi="宋体" w:eastAsia="宋体" w:cs="宋体"/>
          <w:b/>
          <w:bCs/>
          <w:color w:val="auto"/>
          <w:sz w:val="24"/>
          <w:szCs w:val="24"/>
          <w:highlight w:val="none"/>
        </w:rPr>
        <w:t>将可能导致</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54FCBEF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文件所提供的全部资料</w:t>
      </w:r>
      <w:r>
        <w:rPr>
          <w:rFonts w:hint="eastAsia" w:ascii="宋体" w:hAnsi="宋体" w:eastAsia="宋体" w:cs="宋体"/>
          <w:color w:val="auto"/>
          <w:sz w:val="24"/>
          <w:szCs w:val="24"/>
          <w:highlight w:val="none"/>
          <w:lang w:eastAsia="zh-CN"/>
        </w:rPr>
        <w:t>合法、</w:t>
      </w:r>
      <w:r>
        <w:rPr>
          <w:rFonts w:hint="eastAsia" w:ascii="宋体" w:hAnsi="宋体" w:eastAsia="宋体" w:cs="宋体"/>
          <w:color w:val="auto"/>
          <w:sz w:val="24"/>
          <w:szCs w:val="24"/>
          <w:highlight w:val="none"/>
        </w:rPr>
        <w:t>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委员会对其中任何资料进一步审查的要求。</w:t>
      </w:r>
    </w:p>
    <w:p w14:paraId="7064EC3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071B61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16.8电子响应文件的编制</w:t>
      </w:r>
    </w:p>
    <w:p w14:paraId="4A87E24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16.8.1电子响应文件需按竞争性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16.8.2电子</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文件及响应文件具有法律效力，与其他形式的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文件及响应文件在内容和格式上等同，若响应文件与竞争性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b/>
          <w:bCs/>
          <w:color w:val="auto"/>
          <w:sz w:val="24"/>
          <w:szCs w:val="24"/>
          <w:highlight w:val="none"/>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8" w:name="_Toc109900390"/>
      <w:bookmarkStart w:id="259" w:name="_Toc109899552"/>
      <w:bookmarkStart w:id="260" w:name="_Toc470172684"/>
      <w:bookmarkStart w:id="261" w:name="_Toc109897453"/>
      <w:bookmarkStart w:id="262" w:name="_Toc46771659"/>
      <w:bookmarkStart w:id="263" w:name="_Toc109899971"/>
      <w:bookmarkStart w:id="264" w:name="_Toc163493614"/>
      <w:bookmarkStart w:id="265" w:name="_Toc6033"/>
      <w:r>
        <w:rPr>
          <w:rFonts w:hint="eastAsia" w:ascii="宋体" w:hAnsi="宋体" w:eastAsia="宋体" w:cs="宋体"/>
          <w:b/>
          <w:bCs/>
          <w:color w:val="auto"/>
          <w:kern w:val="2"/>
          <w:sz w:val="24"/>
          <w:szCs w:val="24"/>
          <w:highlight w:val="none"/>
          <w:lang w:val="en-US" w:eastAsia="zh-CN" w:bidi="ar-SA"/>
        </w:rPr>
        <w:t>（四）响应文件的</w:t>
      </w:r>
      <w:bookmarkEnd w:id="258"/>
      <w:bookmarkEnd w:id="259"/>
      <w:bookmarkEnd w:id="260"/>
      <w:bookmarkEnd w:id="261"/>
      <w:bookmarkEnd w:id="262"/>
      <w:bookmarkEnd w:id="263"/>
      <w:r>
        <w:rPr>
          <w:rFonts w:hint="eastAsia" w:ascii="宋体" w:hAnsi="宋体" w:eastAsia="宋体" w:cs="宋体"/>
          <w:b/>
          <w:bCs/>
          <w:color w:val="auto"/>
          <w:kern w:val="2"/>
          <w:sz w:val="24"/>
          <w:szCs w:val="24"/>
          <w:highlight w:val="none"/>
          <w:lang w:val="en-US" w:eastAsia="zh-CN" w:bidi="ar-SA"/>
        </w:rPr>
        <w:t>递交</w:t>
      </w:r>
      <w:bookmarkEnd w:id="264"/>
      <w:bookmarkEnd w:id="265"/>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6" w:name="_Toc109897552"/>
      <w:bookmarkStart w:id="267" w:name="_Toc109900070"/>
      <w:bookmarkStart w:id="268" w:name="_Toc109899651"/>
      <w:bookmarkStart w:id="269" w:name="_Toc109900489"/>
      <w:bookmarkStart w:id="270" w:name="_Toc156490296"/>
      <w:bookmarkStart w:id="271" w:name="_Toc155095707"/>
      <w:bookmarkStart w:id="272" w:name="_Toc109897553"/>
      <w:bookmarkStart w:id="273" w:name="_Toc109900490"/>
      <w:bookmarkStart w:id="274" w:name="_Toc109899652"/>
      <w:bookmarkStart w:id="275" w:name="_Toc109900071"/>
      <w:bookmarkStart w:id="276" w:name="_Toc156490297"/>
      <w:bookmarkStart w:id="277" w:name="_Toc155095708"/>
      <w:r>
        <w:rPr>
          <w:rFonts w:hint="eastAsia" w:ascii="宋体" w:hAnsi="宋体" w:eastAsia="宋体" w:cs="宋体"/>
          <w:b/>
          <w:bCs/>
          <w:color w:val="auto"/>
          <w:kern w:val="2"/>
          <w:sz w:val="24"/>
          <w:szCs w:val="24"/>
          <w:highlight w:val="none"/>
          <w:lang w:val="en-US" w:eastAsia="zh-CN" w:bidi="ar-SA"/>
        </w:rPr>
        <w:t>17.谈判保证金</w:t>
      </w:r>
    </w:p>
    <w:p w14:paraId="4DEF946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17.1供应商应按照竞争性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文件“供应商须知前附表”规定的金额及要求交纳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保证金。供应商自愿超额缴纳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响应无效。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保证金有效期同响应文件有效期。</w:t>
      </w:r>
    </w:p>
    <w:p w14:paraId="0C3CACC6">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17.3</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保证金的，应在响应文件递交截止时间前将</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p>
    <w:p w14:paraId="4AA52D7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保证金，其交纳的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保证金对联合体各方均具有约束力。</w:t>
      </w:r>
    </w:p>
    <w:p w14:paraId="1E93F92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保证金，采用银行保函、担保机构担保函等形式递交的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保证金应当自采购合同签订之日起 5 个工作日内退还。 </w:t>
      </w:r>
    </w:p>
    <w:p w14:paraId="48C6EAF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保证金，但因供应商自身原因导致无法及时退还的除外。 </w:t>
      </w:r>
    </w:p>
    <w:p w14:paraId="6C0BF0B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的项目已经收取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保证金的，自终止采购活动后5个工作日内退还已收取的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保证金及其在银行产生的孳息。</w:t>
      </w:r>
    </w:p>
    <w:p w14:paraId="59CC77A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17.8有下列情形之一的，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保证金不予退还,</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55B83B7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17.8.3除因不可抗力或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17.8.5</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文件规定的其他情形。</w:t>
      </w:r>
    </w:p>
    <w:p w14:paraId="2A9B7E6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17.9如开启时供应商对本单位</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金融服务支撑热线：95763     </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66"/>
      <w:bookmarkEnd w:id="267"/>
      <w:bookmarkEnd w:id="268"/>
      <w:bookmarkEnd w:id="269"/>
      <w:r>
        <w:rPr>
          <w:rFonts w:hint="eastAsia" w:ascii="宋体" w:hAnsi="宋体" w:eastAsia="宋体" w:cs="宋体"/>
          <w:b/>
          <w:bCs/>
          <w:color w:val="auto"/>
          <w:kern w:val="2"/>
          <w:sz w:val="24"/>
          <w:szCs w:val="24"/>
          <w:highlight w:val="none"/>
          <w:lang w:val="en-US" w:eastAsia="zh-CN" w:bidi="ar-SA"/>
        </w:rPr>
        <w:t>加密</w:t>
      </w:r>
      <w:bookmarkEnd w:id="270"/>
      <w:bookmarkEnd w:id="271"/>
    </w:p>
    <w:p w14:paraId="105C769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中对响应文件进行加密。</w:t>
      </w:r>
    </w:p>
    <w:p w14:paraId="0AE412D5">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中对加密的响应文件进行解密验证，以防止响应文件加密异常，在开启时无法解密。</w:t>
      </w:r>
    </w:p>
    <w:p w14:paraId="79A877BA">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政府采购网（http://ccgp-bingtuan.gov.cn/）的”政采云登录入口”登录后，将加密电子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认为有必要提交的其他资料请于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文件，采购代理机构有权予以拒绝，并退回</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54A4931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方式，无需提供电子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272"/>
      <w:bookmarkEnd w:id="273"/>
      <w:bookmarkEnd w:id="274"/>
      <w:bookmarkEnd w:id="275"/>
      <w:r>
        <w:rPr>
          <w:rFonts w:hint="eastAsia" w:ascii="宋体" w:hAnsi="宋体" w:eastAsia="宋体" w:cs="宋体"/>
          <w:b/>
          <w:bCs/>
          <w:color w:val="auto"/>
          <w:kern w:val="2"/>
          <w:sz w:val="24"/>
          <w:szCs w:val="24"/>
          <w:highlight w:val="none"/>
          <w:lang w:val="en-US" w:eastAsia="zh-CN" w:bidi="ar-SA"/>
        </w:rPr>
        <w:t>递交</w:t>
      </w:r>
      <w:bookmarkEnd w:id="276"/>
      <w:bookmarkEnd w:id="277"/>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供应商应在“</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供应商递交（上传）响应文件的地点见“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8" w:name="_Toc156490298"/>
      <w:bookmarkStart w:id="279" w:name="_Toc155095709"/>
      <w:r>
        <w:rPr>
          <w:rFonts w:hint="eastAsia" w:ascii="宋体" w:hAnsi="宋体" w:eastAsia="宋体" w:cs="宋体"/>
          <w:b/>
          <w:bCs/>
          <w:color w:val="auto"/>
          <w:kern w:val="2"/>
          <w:sz w:val="24"/>
          <w:szCs w:val="24"/>
          <w:highlight w:val="none"/>
          <w:lang w:val="en-US" w:eastAsia="zh-CN" w:bidi="ar-SA"/>
        </w:rPr>
        <w:t>20.拒收</w:t>
      </w:r>
      <w:bookmarkEnd w:id="278"/>
      <w:bookmarkEnd w:id="279"/>
    </w:p>
    <w:p w14:paraId="6764A5C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09899654"/>
      <w:bookmarkStart w:id="281" w:name="_Toc109900073"/>
      <w:bookmarkStart w:id="282" w:name="_Toc109897555"/>
      <w:bookmarkStart w:id="283" w:name="_Toc156490299"/>
      <w:bookmarkStart w:id="284" w:name="_Toc109900492"/>
      <w:bookmarkStart w:id="285" w:name="_Toc155095710"/>
      <w:r>
        <w:rPr>
          <w:rFonts w:hint="eastAsia" w:ascii="宋体" w:hAnsi="宋体" w:eastAsia="宋体" w:cs="宋体"/>
          <w:b/>
          <w:bCs/>
          <w:color w:val="auto"/>
          <w:kern w:val="2"/>
          <w:sz w:val="24"/>
          <w:szCs w:val="24"/>
          <w:highlight w:val="none"/>
          <w:lang w:val="en-US" w:eastAsia="zh-CN" w:bidi="ar-SA"/>
        </w:rPr>
        <w:t>21.响应文件的修改与撤回</w:t>
      </w:r>
      <w:bookmarkEnd w:id="280"/>
      <w:bookmarkEnd w:id="281"/>
      <w:bookmarkEnd w:id="282"/>
      <w:bookmarkEnd w:id="283"/>
      <w:bookmarkEnd w:id="284"/>
      <w:bookmarkEnd w:id="285"/>
    </w:p>
    <w:p w14:paraId="059E1BF2">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zh-CN" w:eastAsia="zh-CN"/>
        </w:rPr>
        <w:t>1</w:t>
      </w:r>
      <w:r>
        <w:rPr>
          <w:rFonts w:hint="eastAsia" w:ascii="宋体" w:hAnsi="宋体" w:eastAsia="宋体" w:cs="宋体"/>
          <w:snapToGrid w:val="0"/>
          <w:color w:val="auto"/>
          <w:sz w:val="24"/>
          <w:szCs w:val="24"/>
          <w:highlight w:val="none"/>
          <w:lang w:val="zh-CN"/>
        </w:rPr>
        <w:t>.1</w:t>
      </w:r>
      <w:bookmarkStart w:id="286" w:name="_Hlk143532466"/>
      <w:r>
        <w:rPr>
          <w:rFonts w:hint="eastAsia" w:ascii="宋体" w:hAnsi="宋体" w:eastAsia="宋体" w:cs="宋体"/>
          <w:snapToGrid w:val="0"/>
          <w:color w:val="auto"/>
          <w:sz w:val="24"/>
          <w:szCs w:val="24"/>
          <w:highlight w:val="none"/>
          <w:lang w:val="zh-CN" w:eastAsia="zh-CN"/>
        </w:rPr>
        <w:t>供应商</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规定的</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递交截止时间之前，可在</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政府采购电子交易云平台上随时撤回已上传的电子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，将修改好的电子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递交截止时间前重新上传到</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政府采购电子交易云平台的</w:t>
      </w:r>
      <w:r>
        <w:rPr>
          <w:rFonts w:hint="eastAsia" w:ascii="宋体" w:hAnsi="宋体" w:eastAsia="宋体" w:cs="宋体"/>
          <w:snapToGrid w:val="0"/>
          <w:color w:val="auto"/>
          <w:sz w:val="24"/>
          <w:szCs w:val="24"/>
          <w:highlight w:val="none"/>
          <w:lang w:val="zh-CN" w:eastAsia="zh-CN"/>
        </w:rPr>
        <w:t>指</w:t>
      </w:r>
      <w:r>
        <w:rPr>
          <w:rFonts w:hint="eastAsia" w:ascii="宋体" w:hAnsi="宋体" w:eastAsia="宋体" w:cs="宋体"/>
          <w:snapToGrid w:val="0"/>
          <w:color w:val="auto"/>
          <w:sz w:val="24"/>
          <w:szCs w:val="24"/>
          <w:highlight w:val="none"/>
          <w:lang w:val="zh-CN"/>
        </w:rPr>
        <w:t>定位置。</w:t>
      </w:r>
    </w:p>
    <w:bookmarkEnd w:id="286"/>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55185874"/>
      <w:bookmarkStart w:id="288" w:name="_Toc155185973"/>
      <w:bookmarkStart w:id="289" w:name="_Toc158888664"/>
      <w:r>
        <w:rPr>
          <w:rFonts w:hint="eastAsia" w:ascii="宋体" w:hAnsi="宋体" w:eastAsia="宋体" w:cs="宋体"/>
          <w:b/>
          <w:bCs/>
          <w:color w:val="auto"/>
          <w:kern w:val="2"/>
          <w:sz w:val="24"/>
          <w:szCs w:val="24"/>
          <w:highlight w:val="none"/>
          <w:lang w:val="en-US" w:eastAsia="zh-CN" w:bidi="ar-SA"/>
        </w:rPr>
        <w:t>22.实物样品</w:t>
      </w:r>
      <w:bookmarkEnd w:id="287"/>
      <w:bookmarkEnd w:id="288"/>
      <w:bookmarkEnd w:id="289"/>
    </w:p>
    <w:p w14:paraId="3015EA9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22.1“供应商须知前附表”要求提供样品的，样品的具体要求及评审详见“第三章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3F84A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22.2样品退还：未成交的供应商应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自行联系采购人取回递交样品；成交供应商的样品由采购人进行保管、封存，并作为履约验收的参考（竞争性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55185974"/>
      <w:bookmarkStart w:id="291" w:name="_Toc155185875"/>
      <w:bookmarkStart w:id="292" w:name="_Toc158888665"/>
      <w:r>
        <w:rPr>
          <w:rFonts w:hint="eastAsia" w:ascii="宋体" w:hAnsi="宋体" w:eastAsia="宋体" w:cs="宋体"/>
          <w:b/>
          <w:bCs/>
          <w:color w:val="auto"/>
          <w:kern w:val="2"/>
          <w:sz w:val="24"/>
          <w:szCs w:val="24"/>
          <w:highlight w:val="none"/>
          <w:lang w:val="en-US" w:eastAsia="zh-CN" w:bidi="ar-SA"/>
        </w:rPr>
        <w:t>23.项目演示</w:t>
      </w:r>
      <w:bookmarkEnd w:id="290"/>
      <w:bookmarkEnd w:id="291"/>
      <w:bookmarkEnd w:id="292"/>
    </w:p>
    <w:p w14:paraId="3C48391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23.1要求供应商进行演示的，演示要求详见“供应商须知前附表”。</w:t>
      </w:r>
    </w:p>
    <w:p w14:paraId="22102C81">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23.2演示的评审详见“第三章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3" w:name="_Toc163493615"/>
      <w:bookmarkStart w:id="294" w:name="_Toc3263"/>
      <w:bookmarkStart w:id="295" w:name="_Toc46771664"/>
      <w:bookmarkStart w:id="296" w:name="_Toc470172689"/>
      <w:bookmarkStart w:id="297" w:name="_Toc109900395"/>
      <w:bookmarkStart w:id="298" w:name="_Toc109899557"/>
      <w:bookmarkStart w:id="299" w:name="_Toc109899976"/>
      <w:bookmarkStart w:id="300" w:name="_Toc109897458"/>
      <w:r>
        <w:rPr>
          <w:rFonts w:hint="eastAsia" w:ascii="宋体" w:hAnsi="宋体" w:eastAsia="宋体" w:cs="宋体"/>
          <w:b/>
          <w:bCs/>
          <w:color w:val="auto"/>
          <w:kern w:val="2"/>
          <w:sz w:val="24"/>
          <w:szCs w:val="24"/>
          <w:highlight w:val="none"/>
          <w:lang w:val="en-US" w:eastAsia="zh-CN" w:bidi="ar-SA"/>
        </w:rPr>
        <w:t>（五）</w:t>
      </w:r>
      <w:bookmarkEnd w:id="293"/>
      <w:r>
        <w:rPr>
          <w:rFonts w:hint="eastAsia" w:ascii="宋体" w:hAnsi="宋体" w:eastAsia="宋体" w:cs="宋体"/>
          <w:b/>
          <w:bCs/>
          <w:color w:val="auto"/>
          <w:kern w:val="2"/>
          <w:sz w:val="24"/>
          <w:szCs w:val="24"/>
          <w:highlight w:val="none"/>
          <w:lang w:val="en-US" w:eastAsia="zh-CN" w:bidi="ar-SA"/>
        </w:rPr>
        <w:t>响应文件开启</w:t>
      </w:r>
      <w:bookmarkEnd w:id="294"/>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Hlk161704700"/>
      <w:r>
        <w:rPr>
          <w:rFonts w:hint="eastAsia" w:ascii="宋体" w:hAnsi="宋体" w:eastAsia="宋体" w:cs="宋体"/>
          <w:b/>
          <w:bCs/>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color w:val="auto"/>
          <w:sz w:val="24"/>
          <w:szCs w:val="24"/>
          <w:highlight w:val="none"/>
        </w:rPr>
      </w:pPr>
      <w:bookmarkStart w:id="302" w:name="_Toc140132781"/>
      <w:r>
        <w:rPr>
          <w:rFonts w:hint="eastAsia" w:ascii="宋体" w:hAnsi="宋体" w:eastAsia="宋体" w:cs="宋体"/>
          <w:color w:val="auto"/>
          <w:sz w:val="24"/>
          <w:szCs w:val="24"/>
          <w:highlight w:val="none"/>
        </w:rPr>
        <w:t>24.1供应商应按照“</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”中的要求参与开启。</w:t>
      </w:r>
      <w:bookmarkEnd w:id="302"/>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140132782"/>
      <w:bookmarkStart w:id="304" w:name="_Toc161600316"/>
      <w:r>
        <w:rPr>
          <w:rFonts w:hint="eastAsia" w:ascii="宋体" w:hAnsi="宋体" w:eastAsia="宋体" w:cs="宋体"/>
          <w:b/>
          <w:bCs/>
          <w:color w:val="auto"/>
          <w:kern w:val="2"/>
          <w:sz w:val="24"/>
          <w:szCs w:val="24"/>
          <w:highlight w:val="none"/>
          <w:lang w:val="en-US" w:eastAsia="zh-CN" w:bidi="ar-SA"/>
        </w:rPr>
        <w:t>25.开启时间和地点</w:t>
      </w:r>
      <w:bookmarkEnd w:id="303"/>
      <w:bookmarkEnd w:id="304"/>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规</w:t>
      </w:r>
      <w:r>
        <w:rPr>
          <w:rFonts w:hint="eastAsia" w:ascii="宋体" w:hAnsi="宋体" w:eastAsia="宋体" w:cs="宋体"/>
          <w:color w:val="auto"/>
          <w:sz w:val="24"/>
          <w:szCs w:val="24"/>
          <w:highlight w:val="none"/>
          <w:lang w:val="zh-CN"/>
        </w:rPr>
        <w:t>定的</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lang w:val="zh-CN"/>
        </w:rPr>
        <w:t>响应文件截止时间、开启时间及地点，采购代理机构通过</w:t>
      </w:r>
      <w:r>
        <w:rPr>
          <w:rFonts w:hint="eastAsia" w:cs="宋体"/>
          <w:color w:val="auto"/>
          <w:sz w:val="24"/>
          <w:szCs w:val="24"/>
          <w:highlight w:val="none"/>
          <w:lang w:val="zh-CN"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kern w:val="2"/>
          <w:sz w:val="24"/>
          <w:szCs w:val="24"/>
          <w:highlight w:val="none"/>
        </w:rPr>
        <w:t>的“政采云远程开标大厅”</w:t>
      </w:r>
      <w:r>
        <w:rPr>
          <w:rFonts w:hint="eastAsia" w:ascii="宋体" w:hAnsi="宋体" w:eastAsia="宋体" w:cs="宋体"/>
          <w:color w:val="auto"/>
          <w:sz w:val="24"/>
          <w:szCs w:val="24"/>
          <w:highlight w:val="none"/>
          <w:lang w:val="zh-CN"/>
        </w:rPr>
        <w:t>组织响应文件开启工作。</w:t>
      </w:r>
    </w:p>
    <w:p w14:paraId="66534CB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25.2响应文件开启：</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25.3规定的时间内，非因</w:t>
      </w:r>
      <w:r>
        <w:rPr>
          <w:rFonts w:hint="eastAsia" w:cs="宋体"/>
          <w:color w:val="auto"/>
          <w:sz w:val="24"/>
          <w:szCs w:val="24"/>
          <w:highlight w:val="none"/>
          <w:lang w:val="zh-CN"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sz w:val="24"/>
          <w:szCs w:val="24"/>
          <w:highlight w:val="none"/>
        </w:rPr>
        <w:t>原因造成响应文件未解密的，视为供应商撤回响应文件。</w:t>
      </w:r>
      <w:r>
        <w:rPr>
          <w:rFonts w:hint="eastAsia" w:ascii="宋体" w:hAnsi="宋体" w:eastAsia="宋体" w:cs="宋体"/>
          <w:color w:val="auto"/>
          <w:sz w:val="24"/>
          <w:szCs w:val="24"/>
          <w:highlight w:val="none"/>
          <w:lang w:val="en-US" w:eastAsia="zh-CN"/>
        </w:rPr>
        <w:t>供应商不足3家的，不予解密；</w:t>
      </w:r>
      <w:r>
        <w:rPr>
          <w:rFonts w:hint="eastAsia" w:ascii="宋体" w:hAnsi="宋体" w:eastAsia="宋体" w:cs="宋体"/>
          <w:color w:val="auto"/>
          <w:sz w:val="24"/>
          <w:szCs w:val="24"/>
          <w:highlight w:val="none"/>
        </w:rPr>
        <w:t>停止解密后，已解密开启的响应文件不足3家的，应当终止采购活动。公开招标的货物和服务项目，招标过程中提交投标文件或者经评审实质性响应招标文件要求的供应商只有2家时，经本级财政部门批准后采用竞争性谈判方式采购的可以为2家</w:t>
      </w:r>
      <w:r>
        <w:rPr>
          <w:rFonts w:hint="eastAsia" w:cs="宋体"/>
          <w:color w:val="auto"/>
          <w:sz w:val="24"/>
          <w:szCs w:val="24"/>
          <w:highlight w:val="none"/>
          <w:lang w:eastAsia="zh-CN"/>
        </w:rPr>
        <w:t>。</w:t>
      </w:r>
    </w:p>
    <w:p w14:paraId="4607536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会议中提出询问或者回避申请。采购人、采购代理机构对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授权代表提出的询问或者回避申请应当及时处理。</w:t>
      </w:r>
    </w:p>
    <w:p w14:paraId="0486AA5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未参加开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的，视同认可开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结果。</w:t>
      </w:r>
    </w:p>
    <w:bookmarkEnd w:id="295"/>
    <w:bookmarkEnd w:id="296"/>
    <w:bookmarkEnd w:id="297"/>
    <w:bookmarkEnd w:id="298"/>
    <w:bookmarkEnd w:id="299"/>
    <w:bookmarkEnd w:id="300"/>
    <w:bookmarkEnd w:id="301"/>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55185877"/>
      <w:bookmarkStart w:id="306" w:name="_Toc163492854"/>
      <w:bookmarkStart w:id="307" w:name="_Toc140132785"/>
      <w:bookmarkStart w:id="308" w:name="_Toc19270"/>
      <w:r>
        <w:rPr>
          <w:rFonts w:hint="eastAsia" w:ascii="宋体" w:hAnsi="宋体" w:eastAsia="宋体" w:cs="宋体"/>
          <w:b/>
          <w:bCs/>
          <w:color w:val="auto"/>
          <w:kern w:val="2"/>
          <w:sz w:val="24"/>
          <w:szCs w:val="24"/>
          <w:highlight w:val="none"/>
          <w:lang w:val="en-US" w:eastAsia="zh-CN" w:bidi="ar-SA"/>
        </w:rPr>
        <w:t>（六）资格审查</w:t>
      </w:r>
      <w:bookmarkEnd w:id="305"/>
      <w:bookmarkEnd w:id="306"/>
      <w:bookmarkEnd w:id="307"/>
      <w:bookmarkEnd w:id="3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9" w:name="_Toc163492855"/>
      <w:r>
        <w:rPr>
          <w:rFonts w:hint="eastAsia" w:ascii="宋体" w:hAnsi="宋体" w:eastAsia="宋体" w:cs="宋体"/>
          <w:b/>
          <w:bCs/>
          <w:color w:val="auto"/>
          <w:kern w:val="2"/>
          <w:sz w:val="24"/>
          <w:szCs w:val="24"/>
          <w:highlight w:val="none"/>
          <w:lang w:val="en-US" w:eastAsia="zh-CN" w:bidi="ar-SA"/>
        </w:rPr>
        <w:t>26.资格审查及审查主体</w:t>
      </w:r>
      <w:bookmarkEnd w:id="309"/>
    </w:p>
    <w:p w14:paraId="3F6E8AD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0"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依据法律法规和本</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文件的规定，依法对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资格进行审查，以确定</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是否具备</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资格。</w:t>
      </w:r>
      <w:bookmarkEnd w:id="310"/>
    </w:p>
    <w:p w14:paraId="6F7626D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1"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val="zh-CN"/>
        </w:rPr>
        <w:t>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r>
        <w:rPr>
          <w:rFonts w:hint="eastAsia" w:ascii="宋体" w:hAnsi="宋体" w:eastAsia="宋体" w:cs="宋体"/>
          <w:color w:val="auto"/>
          <w:sz w:val="24"/>
          <w:szCs w:val="24"/>
          <w:highlight w:val="none"/>
        </w:rPr>
        <w:t>”的规定进行。</w:t>
      </w:r>
      <w:bookmarkEnd w:id="311"/>
    </w:p>
    <w:p w14:paraId="44D43B82">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2"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312"/>
    </w:p>
    <w:p w14:paraId="272F167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26.4</w:t>
      </w:r>
      <w:r>
        <w:rPr>
          <w:rFonts w:hint="eastAsia" w:ascii="宋体" w:hAnsi="宋体" w:eastAsia="宋体" w:cs="宋体"/>
          <w:color w:val="auto"/>
          <w:sz w:val="24"/>
          <w:szCs w:val="24"/>
          <w:highlight w:val="none"/>
        </w:rPr>
        <w:t>资格审查合格</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不足3家的，不得评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3" w:name="_Toc163492856"/>
      <w:bookmarkStart w:id="314" w:name="_Toc155185878"/>
      <w:bookmarkStart w:id="315" w:name="_Toc140132789"/>
      <w:bookmarkStart w:id="316" w:name="_Toc11374"/>
      <w:r>
        <w:rPr>
          <w:rFonts w:hint="eastAsia" w:ascii="宋体" w:hAnsi="宋体" w:eastAsia="宋体" w:cs="宋体"/>
          <w:b/>
          <w:bCs/>
          <w:color w:val="auto"/>
          <w:kern w:val="2"/>
          <w:sz w:val="24"/>
          <w:szCs w:val="24"/>
          <w:highlight w:val="none"/>
          <w:lang w:val="en-US" w:eastAsia="zh-CN" w:bidi="ar-SA"/>
        </w:rPr>
        <w:t>（七）项目评</w:t>
      </w:r>
      <w:bookmarkEnd w:id="313"/>
      <w:bookmarkEnd w:id="314"/>
      <w:bookmarkEnd w:id="315"/>
      <w:r>
        <w:rPr>
          <w:rFonts w:hint="eastAsia" w:ascii="宋体" w:hAnsi="宋体" w:eastAsia="宋体" w:cs="宋体"/>
          <w:b/>
          <w:bCs/>
          <w:color w:val="auto"/>
          <w:kern w:val="2"/>
          <w:sz w:val="24"/>
          <w:szCs w:val="24"/>
          <w:highlight w:val="none"/>
          <w:lang w:val="en-US" w:eastAsia="zh-CN" w:bidi="ar-SA"/>
        </w:rPr>
        <w:t>审</w:t>
      </w:r>
      <w:bookmarkEnd w:id="316"/>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本</w:t>
      </w:r>
      <w:r>
        <w:rPr>
          <w:rFonts w:hint="eastAsia" w:ascii="宋体" w:hAnsi="宋体" w:eastAsia="宋体" w:cs="宋体"/>
          <w:snapToGrid w:val="0"/>
          <w:color w:val="auto"/>
          <w:sz w:val="24"/>
          <w:szCs w:val="24"/>
          <w:highlight w:val="none"/>
          <w:lang w:val="zh-CN"/>
        </w:rPr>
        <w:t>项目评审方法、程序及标准详见“第</w:t>
      </w:r>
      <w:r>
        <w:rPr>
          <w:rFonts w:hint="eastAsia" w:ascii="宋体" w:hAnsi="宋体" w:eastAsia="宋体" w:cs="宋体"/>
          <w:snapToGrid w:val="0"/>
          <w:color w:val="auto"/>
          <w:sz w:val="24"/>
          <w:szCs w:val="24"/>
          <w:highlight w:val="none"/>
          <w:lang w:val="en-US" w:eastAsia="zh-CN"/>
        </w:rPr>
        <w:t>四</w:t>
      </w:r>
      <w:r>
        <w:rPr>
          <w:rFonts w:hint="eastAsia" w:ascii="宋体" w:hAnsi="宋体" w:eastAsia="宋体" w:cs="宋体"/>
          <w:snapToGrid w:val="0"/>
          <w:color w:val="auto"/>
          <w:sz w:val="24"/>
          <w:szCs w:val="24"/>
          <w:highlight w:val="none"/>
          <w:lang w:val="zh-CN"/>
        </w:rPr>
        <w:t>章 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.2</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准备：供应商应当按照“</w:t>
      </w:r>
      <w:r>
        <w:rPr>
          <w:rFonts w:hint="eastAsia" w:ascii="宋体" w:hAnsi="宋体" w:eastAsia="宋体" w:cs="宋体"/>
          <w:snapToGrid w:val="0"/>
          <w:color w:val="auto"/>
          <w:sz w:val="24"/>
          <w:szCs w:val="24"/>
          <w:highlight w:val="none"/>
          <w:lang w:val="zh-CN" w:eastAsia="zh-CN"/>
        </w:rPr>
        <w:t>第</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lang w:val="zh-CN" w:eastAsia="zh-CN"/>
        </w:rPr>
        <w:t xml:space="preserve">章 </w:t>
      </w:r>
      <w:r>
        <w:rPr>
          <w:rFonts w:hint="eastAsia" w:ascii="宋体" w:hAnsi="宋体" w:eastAsia="宋体" w:cs="宋体"/>
          <w:snapToGrid w:val="0"/>
          <w:color w:val="auto"/>
          <w:sz w:val="24"/>
          <w:szCs w:val="24"/>
          <w:highlight w:val="none"/>
          <w:lang w:val="en-US" w:eastAsia="zh-CN"/>
        </w:rPr>
        <w:t>供应商须知</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的</w:t>
      </w:r>
      <w:r>
        <w:rPr>
          <w:rFonts w:hint="eastAsia" w:ascii="宋体" w:hAnsi="宋体" w:eastAsia="宋体" w:cs="宋体"/>
          <w:snapToGrid w:val="0"/>
          <w:color w:val="auto"/>
          <w:sz w:val="24"/>
          <w:szCs w:val="24"/>
          <w:highlight w:val="none"/>
          <w:lang w:val="zh-CN"/>
        </w:rPr>
        <w:t>要求提前准备好</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所需的设备，确保设备稳定可靠、互联网畅通。</w:t>
      </w:r>
      <w:r>
        <w:rPr>
          <w:rFonts w:hint="eastAsia" w:ascii="宋体" w:hAnsi="宋体" w:eastAsia="宋体" w:cs="宋体"/>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snapToGrid w:val="0"/>
          <w:color w:val="auto"/>
          <w:sz w:val="24"/>
          <w:szCs w:val="24"/>
          <w:highlight w:val="none"/>
          <w:lang w:val="en-US" w:eastAsia="zh-CN"/>
        </w:rPr>
        <w:t>开</w:t>
      </w:r>
      <w:r>
        <w:rPr>
          <w:rFonts w:hint="eastAsia" w:ascii="宋体" w:hAnsi="宋体" w:eastAsia="宋体" w:cs="宋体"/>
          <w:snapToGrid w:val="0"/>
          <w:color w:val="auto"/>
          <w:sz w:val="24"/>
          <w:szCs w:val="24"/>
          <w:highlight w:val="none"/>
          <w:lang w:val="zh-CN"/>
        </w:rPr>
        <w:t>标大厅”，准时参加在线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7" w:name="_Toc140132790"/>
      <w:bookmarkStart w:id="318" w:name="_Toc163492857"/>
      <w:r>
        <w:rPr>
          <w:rFonts w:hint="eastAsia" w:ascii="宋体" w:hAnsi="宋体" w:eastAsia="宋体" w:cs="宋体"/>
          <w:b/>
          <w:bCs/>
          <w:color w:val="auto"/>
          <w:kern w:val="2"/>
          <w:sz w:val="24"/>
          <w:szCs w:val="24"/>
          <w:highlight w:val="none"/>
          <w:lang w:val="en-US" w:eastAsia="zh-CN" w:bidi="ar-SA"/>
        </w:rPr>
        <w:t>28.</w:t>
      </w:r>
      <w:bookmarkEnd w:id="317"/>
      <w:bookmarkEnd w:id="318"/>
      <w:r>
        <w:rPr>
          <w:rFonts w:hint="eastAsia" w:ascii="宋体" w:hAnsi="宋体" w:eastAsia="宋体" w:cs="宋体"/>
          <w:b/>
          <w:bCs/>
          <w:color w:val="auto"/>
          <w:kern w:val="2"/>
          <w:sz w:val="24"/>
          <w:szCs w:val="24"/>
          <w:highlight w:val="none"/>
          <w:lang w:val="en-US" w:eastAsia="zh-CN" w:bidi="ar-SA"/>
        </w:rPr>
        <w:t>谈判小组</w:t>
      </w:r>
    </w:p>
    <w:p w14:paraId="6C1089B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小组由采购人代表和评审专家共3人以上单数组成，其中评审专家人数不得少于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小组成员总数的2/3。采购人代表不得以评审专家身份参加本部门或本单位采购项目的评审。采购代理机构人员不得参加本机构代理的采购项目的评审。</w:t>
      </w:r>
    </w:p>
    <w:p w14:paraId="301CAD8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小组成员有下列情形之一的，应当回避：</w:t>
      </w:r>
    </w:p>
    <w:p w14:paraId="0656AC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存在劳动关系；</w:t>
      </w:r>
    </w:p>
    <w:p w14:paraId="55B6A1B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的董事、监事；</w:t>
      </w:r>
    </w:p>
    <w:p w14:paraId="61A1D2B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的控股股东或者实际控制人；</w:t>
      </w:r>
    </w:p>
    <w:p w14:paraId="2961D58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的法定代表人或者负责人有夫妻、直系血亲、三代以内旁系血亲或者近姻亲关系；</w:t>
      </w:r>
    </w:p>
    <w:p w14:paraId="20FB9B7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9" w:name="_Toc140132791"/>
      <w:bookmarkStart w:id="320" w:name="_Toc163492858"/>
      <w:r>
        <w:rPr>
          <w:rFonts w:hint="eastAsia" w:ascii="宋体" w:hAnsi="宋体" w:eastAsia="宋体" w:cs="宋体"/>
          <w:b/>
          <w:bCs/>
          <w:color w:val="auto"/>
          <w:kern w:val="2"/>
          <w:sz w:val="24"/>
          <w:szCs w:val="24"/>
          <w:highlight w:val="none"/>
          <w:lang w:val="en-US" w:eastAsia="zh-CN" w:bidi="ar-SA"/>
        </w:rPr>
        <w:t>29.</w:t>
      </w:r>
      <w:bookmarkEnd w:id="319"/>
      <w:bookmarkEnd w:id="320"/>
      <w:r>
        <w:rPr>
          <w:rFonts w:hint="eastAsia" w:ascii="宋体" w:hAnsi="宋体" w:eastAsia="宋体" w:cs="宋体"/>
          <w:b/>
          <w:bCs/>
          <w:color w:val="auto"/>
          <w:kern w:val="2"/>
          <w:sz w:val="24"/>
          <w:szCs w:val="24"/>
          <w:highlight w:val="none"/>
          <w:lang w:val="en-US" w:eastAsia="zh-CN" w:bidi="ar-SA"/>
        </w:rPr>
        <w:t>评审</w:t>
      </w:r>
    </w:p>
    <w:p w14:paraId="418DE4C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 谈判</w:t>
      </w:r>
      <w:r>
        <w:rPr>
          <w:rFonts w:hint="eastAsia" w:ascii="宋体" w:hAnsi="宋体" w:eastAsia="宋体" w:cs="宋体"/>
          <w:color w:val="auto"/>
          <w:sz w:val="24"/>
          <w:szCs w:val="24"/>
          <w:highlight w:val="none"/>
        </w:rPr>
        <w:t>小组按照“第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文件进行评审。“第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方法及标准”没有规定的方法、评审因素和标准，不作为评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依据。</w:t>
      </w:r>
      <w:r>
        <w:rPr>
          <w:rFonts w:hint="eastAsia" w:cs="宋体"/>
          <w:color w:val="auto"/>
          <w:sz w:val="24"/>
          <w:szCs w:val="24"/>
          <w:highlight w:val="none"/>
          <w:lang w:val="en-US" w:eastAsia="zh-CN"/>
        </w:rPr>
        <w:t>本项目谈判轮次及谈判顺序详“供应商须知前附表”。</w:t>
      </w:r>
    </w:p>
    <w:p w14:paraId="1A9007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候选人数量在评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报告中向采购人推荐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1E6345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 开启之后，直到签订合同止，凡是属于审查、澄清、评价和比较</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的有关资料以及确定成交意向等，均不得向供应商或者其他与评审无关的人员透露。</w:t>
      </w:r>
    </w:p>
    <w:p w14:paraId="57927CB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在确定成交人之前，供应商试图在响应文件审查、澄清、比较和评审时对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en-US" w:eastAsia="zh-CN"/>
        </w:rPr>
        <w:t>、采购人和采购代理机构施加任何影响都可能导致其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en-US" w:eastAsia="zh-CN"/>
        </w:rPr>
        <w:t>。</w:t>
      </w:r>
    </w:p>
    <w:p w14:paraId="32A3200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电子招投标的应急措施</w:t>
      </w:r>
    </w:p>
    <w:p w14:paraId="52525CD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29.5.1电子开启、评审如出现下列原因，导致系统无法正常运行或无法正常评审时，应采取应急措施。</w:t>
      </w:r>
    </w:p>
    <w:p w14:paraId="3D99F5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供应商瑕疵滞后发现的处理规则</w:t>
      </w:r>
    </w:p>
    <w:p w14:paraId="11E85EA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1" w:name="_Toc163493616"/>
      <w:bookmarkStart w:id="322" w:name="_Toc470172692"/>
      <w:bookmarkStart w:id="323" w:name="_Toc109900401"/>
      <w:bookmarkStart w:id="324" w:name="_Toc109897464"/>
      <w:bookmarkStart w:id="325" w:name="_Toc109899563"/>
      <w:bookmarkStart w:id="326" w:name="_Toc109899982"/>
      <w:bookmarkStart w:id="327" w:name="_Toc3567"/>
      <w:bookmarkStart w:id="328" w:name="_Toc46771670"/>
      <w:r>
        <w:rPr>
          <w:rFonts w:hint="eastAsia" w:ascii="宋体" w:hAnsi="宋体" w:eastAsia="宋体" w:cs="宋体"/>
          <w:b/>
          <w:bCs/>
          <w:color w:val="auto"/>
          <w:kern w:val="2"/>
          <w:sz w:val="24"/>
          <w:szCs w:val="24"/>
          <w:highlight w:val="none"/>
          <w:lang w:val="en-US" w:eastAsia="zh-CN" w:bidi="ar-SA"/>
        </w:rPr>
        <w:t>（八）成交</w:t>
      </w:r>
      <w:bookmarkEnd w:id="321"/>
      <w:bookmarkEnd w:id="322"/>
      <w:bookmarkEnd w:id="323"/>
      <w:bookmarkEnd w:id="324"/>
      <w:bookmarkEnd w:id="325"/>
      <w:bookmarkEnd w:id="326"/>
      <w:bookmarkEnd w:id="327"/>
      <w:bookmarkEnd w:id="328"/>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9" w:name="_Toc48846140"/>
      <w:bookmarkStart w:id="330" w:name="_Toc109900402"/>
      <w:bookmarkStart w:id="331" w:name="_Toc109899564"/>
      <w:bookmarkStart w:id="332" w:name="_Toc109897465"/>
      <w:bookmarkStart w:id="333" w:name="_Toc46772272"/>
      <w:bookmarkStart w:id="334" w:name="_Toc46771671"/>
      <w:bookmarkStart w:id="335" w:name="_Toc52962758"/>
      <w:bookmarkStart w:id="336" w:name="_Toc109899983"/>
      <w:bookmarkStart w:id="337" w:name="_Toc48688820"/>
      <w:bookmarkStart w:id="338" w:name="_Toc52960584"/>
      <w:bookmarkStart w:id="339" w:name="_Toc51674242"/>
      <w:bookmarkStart w:id="340" w:name="_Hlk143533953"/>
      <w:r>
        <w:rPr>
          <w:rFonts w:hint="eastAsia" w:ascii="宋体" w:hAnsi="宋体" w:eastAsia="宋体" w:cs="宋体"/>
          <w:b/>
          <w:bCs/>
          <w:color w:val="auto"/>
          <w:kern w:val="2"/>
          <w:sz w:val="24"/>
          <w:szCs w:val="24"/>
          <w:highlight w:val="none"/>
          <w:lang w:val="en-US" w:eastAsia="zh-CN" w:bidi="ar-SA"/>
        </w:rPr>
        <w:t>30.确定成交供应商</w:t>
      </w:r>
      <w:bookmarkEnd w:id="329"/>
      <w:bookmarkEnd w:id="330"/>
      <w:bookmarkEnd w:id="331"/>
      <w:bookmarkEnd w:id="332"/>
      <w:bookmarkEnd w:id="333"/>
      <w:bookmarkEnd w:id="334"/>
      <w:bookmarkEnd w:id="335"/>
      <w:bookmarkEnd w:id="336"/>
      <w:bookmarkEnd w:id="337"/>
      <w:bookmarkEnd w:id="338"/>
      <w:bookmarkEnd w:id="339"/>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30</w:t>
      </w:r>
      <w:r>
        <w:rPr>
          <w:rFonts w:hint="eastAsia" w:ascii="宋体" w:hAnsi="宋体" w:eastAsia="宋体" w:cs="宋体"/>
          <w:snapToGrid w:val="0"/>
          <w:color w:val="auto"/>
          <w:sz w:val="24"/>
          <w:szCs w:val="24"/>
          <w:highlight w:val="none"/>
          <w:lang w:val="zh-CN"/>
        </w:rPr>
        <w:t>.1确定成交供应商详见“供应商须知前附表”。</w:t>
      </w:r>
      <w:r>
        <w:rPr>
          <w:rFonts w:hint="eastAsia" w:cs="宋体"/>
          <w:snapToGrid w:val="0"/>
          <w:color w:val="auto"/>
          <w:sz w:val="24"/>
          <w:szCs w:val="24"/>
          <w:highlight w:val="none"/>
          <w:lang w:val="en-US" w:eastAsia="zh-CN"/>
        </w:rPr>
        <w:t>成交候选人并列的，按照</w:t>
      </w:r>
      <w:r>
        <w:rPr>
          <w:rFonts w:hint="eastAsia" w:ascii="宋体" w:hAnsi="宋体" w:eastAsia="宋体" w:cs="宋体"/>
          <w:snapToGrid w:val="0"/>
          <w:color w:val="auto"/>
          <w:sz w:val="24"/>
          <w:szCs w:val="24"/>
          <w:highlight w:val="none"/>
          <w:lang w:val="zh-CN"/>
        </w:rPr>
        <w:t>“供应商须知前附表”</w:t>
      </w:r>
      <w:r>
        <w:rPr>
          <w:rFonts w:hint="eastAsia" w:cs="宋体"/>
          <w:snapToGrid w:val="0"/>
          <w:color w:val="auto"/>
          <w:sz w:val="24"/>
          <w:szCs w:val="24"/>
          <w:highlight w:val="none"/>
          <w:lang w:val="en-US" w:eastAsia="zh-CN"/>
        </w:rPr>
        <w:t>要求确定成交供应商。</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31.成交结果公告</w:t>
      </w:r>
    </w:p>
    <w:p w14:paraId="32E98E3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snapToGrid w:val="0"/>
          <w:color w:val="auto"/>
          <w:sz w:val="24"/>
          <w:szCs w:val="24"/>
          <w:highlight w:val="none"/>
          <w:lang w:val="en-US" w:eastAsia="zh-CN"/>
        </w:rPr>
        <w:t>31</w:t>
      </w:r>
      <w:r>
        <w:rPr>
          <w:rFonts w:hint="eastAsia" w:ascii="宋体" w:hAnsi="宋体" w:eastAsia="宋体" w:cs="宋体"/>
          <w:snapToGrid w:val="0"/>
          <w:color w:val="auto"/>
          <w:sz w:val="24"/>
          <w:szCs w:val="24"/>
          <w:highlight w:val="none"/>
          <w:lang w:val="zh-CN"/>
        </w:rPr>
        <w:t>.1</w:t>
      </w:r>
      <w:r>
        <w:rPr>
          <w:rFonts w:hint="eastAsia" w:ascii="宋体" w:hAnsi="宋体" w:eastAsia="宋体" w:cs="宋体"/>
          <w:color w:val="auto"/>
          <w:sz w:val="24"/>
          <w:szCs w:val="24"/>
          <w:highlight w:val="none"/>
          <w:lang w:bidi="ar"/>
        </w:rPr>
        <w:t>采购人或者采购代理机构应当在成交供应商确定后2个工作日内，在省级以上财政部门指定的政府采购信息发布媒体上公告成交结果，</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bidi="ar"/>
        </w:rPr>
        <w:t>文件</w:t>
      </w:r>
      <w:r>
        <w:rPr>
          <w:rFonts w:hint="eastAsia" w:ascii="宋体" w:hAnsi="宋体" w:eastAsia="宋体" w:cs="宋体"/>
          <w:color w:val="auto"/>
          <w:sz w:val="24"/>
          <w:szCs w:val="24"/>
          <w:highlight w:val="none"/>
          <w:lang w:eastAsia="zh-CN" w:bidi="ar"/>
        </w:rPr>
        <w:t>、</w:t>
      </w:r>
      <w:r>
        <w:rPr>
          <w:rFonts w:hint="eastAsia" w:ascii="宋体" w:hAnsi="宋体" w:eastAsia="宋体" w:cs="宋体"/>
          <w:bCs/>
          <w:color w:val="auto"/>
          <w:sz w:val="24"/>
          <w:szCs w:val="24"/>
          <w:highlight w:val="none"/>
          <w:lang w:val="en-US" w:eastAsia="zh-CN"/>
        </w:rPr>
        <w:t>因落实政府采购政策等原因进行价格扣除后成交供应商的评审报价</w:t>
      </w:r>
      <w:r>
        <w:rPr>
          <w:rFonts w:hint="eastAsia" w:ascii="宋体" w:hAnsi="宋体" w:eastAsia="宋体" w:cs="宋体"/>
          <w:color w:val="auto"/>
          <w:sz w:val="24"/>
          <w:szCs w:val="24"/>
          <w:highlight w:val="none"/>
          <w:lang w:bidi="ar"/>
        </w:rPr>
        <w:t>随成交结果同时公告。</w:t>
      </w:r>
    </w:p>
    <w:p w14:paraId="5352A1F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，其“中小企业声明函”随成交结果同时公告。成交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32.成交通知书</w:t>
      </w:r>
    </w:p>
    <w:p w14:paraId="3F3AC502">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32</w:t>
      </w:r>
      <w:r>
        <w:rPr>
          <w:rFonts w:hint="eastAsia" w:ascii="宋体" w:hAnsi="宋体" w:eastAsia="宋体" w:cs="宋体"/>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1" w:name="_Toc163493617"/>
      <w:bookmarkStart w:id="342" w:name="_Toc2288"/>
      <w:r>
        <w:rPr>
          <w:rFonts w:hint="eastAsia" w:ascii="宋体" w:hAnsi="宋体" w:eastAsia="宋体" w:cs="宋体"/>
          <w:b/>
          <w:bCs/>
          <w:color w:val="auto"/>
          <w:kern w:val="2"/>
          <w:sz w:val="24"/>
          <w:szCs w:val="24"/>
          <w:highlight w:val="none"/>
          <w:lang w:val="en-US" w:eastAsia="zh-CN" w:bidi="ar-SA"/>
        </w:rPr>
        <w:t>（九）签订合同</w:t>
      </w:r>
      <w:bookmarkEnd w:id="341"/>
      <w:bookmarkEnd w:id="342"/>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3" w:name="_Toc109900403"/>
      <w:bookmarkStart w:id="344" w:name="_Toc48688821"/>
      <w:bookmarkStart w:id="345" w:name="_Toc109897466"/>
      <w:bookmarkStart w:id="346" w:name="_Toc52962759"/>
      <w:bookmarkStart w:id="347" w:name="_Toc52960585"/>
      <w:bookmarkStart w:id="348" w:name="_Toc109899565"/>
      <w:bookmarkStart w:id="349" w:name="_Toc46771672"/>
      <w:bookmarkStart w:id="350" w:name="_Toc46772273"/>
      <w:bookmarkStart w:id="351" w:name="_Toc48846141"/>
      <w:bookmarkStart w:id="352" w:name="_Toc51674243"/>
      <w:bookmarkStart w:id="353" w:name="_Toc109899984"/>
      <w:r>
        <w:rPr>
          <w:rFonts w:hint="eastAsia" w:ascii="宋体" w:hAnsi="宋体" w:eastAsia="宋体" w:cs="宋体"/>
          <w:b/>
          <w:bCs/>
          <w:color w:val="auto"/>
          <w:kern w:val="2"/>
          <w:sz w:val="24"/>
          <w:szCs w:val="24"/>
          <w:highlight w:val="none"/>
          <w:lang w:val="en-US" w:eastAsia="zh-CN" w:bidi="ar-SA"/>
        </w:rPr>
        <w:t>33.履约保证金</w:t>
      </w:r>
    </w:p>
    <w:p w14:paraId="2934878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.1在签订合同前，成交供应商应按“供应商须知前附表”规定的金额、担保形式和采购人认可的履约担保格式向采购人提交履约保证金。</w:t>
      </w:r>
    </w:p>
    <w:p w14:paraId="429BB4A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.2成交供应商不能按本章第3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34.签订合同</w:t>
      </w:r>
      <w:bookmarkEnd w:id="343"/>
      <w:bookmarkEnd w:id="344"/>
      <w:bookmarkEnd w:id="345"/>
      <w:bookmarkEnd w:id="346"/>
      <w:bookmarkEnd w:id="347"/>
      <w:bookmarkEnd w:id="348"/>
      <w:bookmarkEnd w:id="349"/>
      <w:bookmarkEnd w:id="350"/>
      <w:bookmarkEnd w:id="351"/>
      <w:bookmarkEnd w:id="352"/>
      <w:bookmarkEnd w:id="353"/>
    </w:p>
    <w:p w14:paraId="343B0C1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.1采购人与成交供应商应当在成交通知书发出之日起</w:t>
      </w:r>
      <w:r>
        <w:rPr>
          <w:rFonts w:hint="eastAsia" w:ascii="宋体" w:hAnsi="宋体" w:eastAsia="宋体" w:cs="宋体"/>
          <w:snapToGrid w:val="0"/>
          <w:color w:val="auto"/>
          <w:sz w:val="24"/>
          <w:szCs w:val="24"/>
          <w:highlight w:val="none"/>
          <w:lang w:val="en-US" w:eastAsia="zh-CN"/>
        </w:rPr>
        <w:t>25</w:t>
      </w:r>
      <w:r>
        <w:rPr>
          <w:rFonts w:hint="eastAsia" w:ascii="宋体" w:hAnsi="宋体" w:eastAsia="宋体" w:cs="宋体"/>
          <w:snapToGrid w:val="0"/>
          <w:color w:val="auto"/>
          <w:sz w:val="24"/>
          <w:szCs w:val="24"/>
          <w:highlight w:val="none"/>
          <w:lang w:val="zh-CN"/>
        </w:rPr>
        <w:t>日内，按照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olor w:val="auto"/>
          <w:sz w:val="24"/>
          <w:szCs w:val="24"/>
          <w:highlight w:val="none"/>
        </w:rPr>
        <w:t>采购人因不可抗力原因迟延签订合同的，应当自不可抗力事由消除之日起7日内完成合同签订事宜。所签订的合同不得对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成交供应商响应</w:t>
      </w:r>
      <w:r>
        <w:rPr>
          <w:rFonts w:hint="eastAsia" w:ascii="宋体" w:hAnsi="宋体" w:eastAsia="宋体" w:cs="宋体"/>
          <w:color w:val="auto"/>
          <w:sz w:val="24"/>
          <w:szCs w:val="24"/>
          <w:highlight w:val="none"/>
        </w:rPr>
        <w:t>文件作实质性修改。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人无正当理由拒签合同，给采购人造成损失的，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人还应当承担民事责任。</w:t>
      </w:r>
    </w:p>
    <w:p w14:paraId="1C3196D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成交供应商拒绝签订政府采购合同的，采购人可以</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lang w:val="zh-CN"/>
        </w:rPr>
        <w:t>《政府采购</w:t>
      </w:r>
      <w:r>
        <w:rPr>
          <w:rFonts w:hint="eastAsia" w:cs="宋体"/>
          <w:color w:val="auto"/>
          <w:sz w:val="24"/>
          <w:szCs w:val="24"/>
          <w:highlight w:val="none"/>
          <w:lang w:val="en-US" w:eastAsia="zh-CN"/>
        </w:rPr>
        <w:t>非招标采购方式</w:t>
      </w:r>
      <w:r>
        <w:rPr>
          <w:rFonts w:hint="eastAsia" w:ascii="宋体" w:hAnsi="宋体" w:eastAsia="宋体" w:cs="宋体"/>
          <w:color w:val="auto"/>
          <w:sz w:val="24"/>
          <w:szCs w:val="24"/>
          <w:highlight w:val="none"/>
          <w:lang w:val="zh-CN"/>
        </w:rPr>
        <w:t>管理办法》（</w:t>
      </w:r>
      <w:r>
        <w:rPr>
          <w:rFonts w:hint="eastAsia" w:cs="宋体"/>
          <w:color w:val="auto"/>
          <w:sz w:val="24"/>
          <w:szCs w:val="24"/>
          <w:highlight w:val="none"/>
          <w:lang w:val="en-US" w:eastAsia="zh-CN"/>
        </w:rPr>
        <w:t>财政部令7</w:t>
      </w:r>
      <w:r>
        <w:rPr>
          <w:rFonts w:hint="eastAsia" w:ascii="宋体" w:hAnsi="宋体" w:eastAsia="宋体" w:cs="宋体"/>
          <w:color w:val="auto"/>
          <w:sz w:val="24"/>
          <w:szCs w:val="24"/>
          <w:highlight w:val="none"/>
          <w:lang w:val="zh-CN"/>
        </w:rPr>
        <w:t>4号）第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条</w:t>
      </w:r>
      <w:r>
        <w:rPr>
          <w:rFonts w:hint="eastAsia" w:cs="宋体"/>
          <w:color w:val="auto"/>
          <w:sz w:val="24"/>
          <w:szCs w:val="24"/>
          <w:highlight w:val="none"/>
          <w:lang w:val="en-US" w:eastAsia="zh-CN"/>
        </w:rPr>
        <w:t>第二款</w:t>
      </w:r>
      <w:r>
        <w:rPr>
          <w:rFonts w:hint="eastAsia" w:ascii="宋体" w:hAnsi="宋体" w:eastAsia="宋体" w:cs="宋体"/>
          <w:color w:val="auto"/>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采购人和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供应商不得向对方提出任何不合理的要求，作为签订合同的条件，双方不得私下订立背离合同实质性内容的协议。</w:t>
      </w:r>
    </w:p>
    <w:p w14:paraId="26D222D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34.4联合体成交的，联合体各方应当共同与采购人签订合同，就采购合同约定的事项向采购人承担连带责任。</w:t>
      </w:r>
    </w:p>
    <w:p w14:paraId="7F760399">
      <w:pPr>
        <w:pStyle w:val="34"/>
        <w:keepNext w:val="0"/>
        <w:keepLines w:val="0"/>
        <w:pageBreakBefore w:val="0"/>
        <w:widowControl w:val="0"/>
        <w:kinsoku/>
        <w:overflowPunct/>
        <w:topLinePunct w:val="0"/>
        <w:bidi w:val="0"/>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34.5本项目的非主体、非关键性工作是否允许分包，见“供应商须知前附表”。</w:t>
      </w:r>
      <w:r>
        <w:rPr>
          <w:rFonts w:hint="eastAsia" w:ascii="宋体" w:hAnsi="宋体" w:eastAsia="宋体" w:cs="宋体"/>
          <w:color w:val="auto"/>
          <w:sz w:val="24"/>
          <w:szCs w:val="24"/>
          <w:highlight w:val="none"/>
        </w:rPr>
        <w:t>供应商未遵守竞争性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文件分包规定的，其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成交无效</w:t>
      </w:r>
      <w:r>
        <w:rPr>
          <w:rFonts w:hint="eastAsia" w:ascii="宋体" w:hAnsi="宋体" w:eastAsia="宋体" w:cs="宋体"/>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0ABFD58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34.7采购人应于签订合同之日起2个工作日内在政采云平台备案公示。</w:t>
      </w:r>
    </w:p>
    <w:bookmarkEnd w:id="340"/>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4" w:name="_Toc109897467"/>
      <w:bookmarkStart w:id="355" w:name="_Toc46771673"/>
      <w:bookmarkStart w:id="356" w:name="_Toc28173"/>
      <w:bookmarkStart w:id="357" w:name="_Toc109900404"/>
      <w:bookmarkStart w:id="358" w:name="_Toc109899985"/>
      <w:bookmarkStart w:id="359" w:name="_Toc163493618"/>
      <w:bookmarkStart w:id="360" w:name="_Toc109899566"/>
      <w:bookmarkStart w:id="361" w:name="_Toc470172693"/>
      <w:r>
        <w:rPr>
          <w:rFonts w:hint="eastAsia" w:ascii="宋体" w:hAnsi="宋体" w:eastAsia="宋体" w:cs="宋体"/>
          <w:b/>
          <w:bCs/>
          <w:color w:val="auto"/>
          <w:kern w:val="2"/>
          <w:sz w:val="24"/>
          <w:szCs w:val="24"/>
          <w:highlight w:val="none"/>
          <w:lang w:val="en-US" w:eastAsia="zh-CN" w:bidi="ar-SA"/>
        </w:rPr>
        <w:t>（十）质疑和投诉</w:t>
      </w:r>
      <w:bookmarkEnd w:id="354"/>
      <w:bookmarkEnd w:id="355"/>
      <w:bookmarkEnd w:id="356"/>
      <w:bookmarkEnd w:id="357"/>
      <w:bookmarkEnd w:id="358"/>
      <w:bookmarkEnd w:id="359"/>
      <w:bookmarkEnd w:id="360"/>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2" w:name="_Toc109900405"/>
      <w:bookmarkStart w:id="363" w:name="_Toc52960587"/>
      <w:bookmarkStart w:id="364" w:name="_Toc46772275"/>
      <w:bookmarkStart w:id="365" w:name="_Toc109899986"/>
      <w:bookmarkStart w:id="366" w:name="_Toc51674245"/>
      <w:bookmarkStart w:id="367" w:name="_Toc52962761"/>
      <w:bookmarkStart w:id="368" w:name="_Toc48846143"/>
      <w:bookmarkStart w:id="369" w:name="_Toc48688823"/>
      <w:bookmarkStart w:id="370" w:name="_Toc46771674"/>
      <w:bookmarkStart w:id="371" w:name="_Toc109899567"/>
      <w:bookmarkStart w:id="372" w:name="_Toc109897468"/>
      <w:r>
        <w:rPr>
          <w:rFonts w:hint="eastAsia" w:ascii="宋体" w:hAnsi="宋体" w:eastAsia="宋体" w:cs="宋体"/>
          <w:b/>
          <w:bCs/>
          <w:color w:val="auto"/>
          <w:kern w:val="2"/>
          <w:sz w:val="24"/>
          <w:szCs w:val="24"/>
          <w:highlight w:val="none"/>
          <w:lang w:val="en-US" w:eastAsia="zh-CN" w:bidi="ar-SA"/>
        </w:rPr>
        <w:t>35.质疑</w:t>
      </w:r>
      <w:bookmarkEnd w:id="362"/>
      <w:bookmarkEnd w:id="363"/>
      <w:bookmarkEnd w:id="364"/>
      <w:bookmarkEnd w:id="365"/>
      <w:bookmarkEnd w:id="366"/>
      <w:bookmarkEnd w:id="367"/>
      <w:bookmarkEnd w:id="368"/>
      <w:bookmarkEnd w:id="369"/>
      <w:bookmarkEnd w:id="370"/>
      <w:bookmarkEnd w:id="371"/>
      <w:bookmarkEnd w:id="372"/>
    </w:p>
    <w:p w14:paraId="097AA1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bookmarkStart w:id="373" w:name="_Toc109899987"/>
      <w:bookmarkStart w:id="374" w:name="_Toc46771675"/>
      <w:bookmarkStart w:id="375" w:name="_Toc46772276"/>
      <w:bookmarkStart w:id="376" w:name="_Toc51674246"/>
      <w:bookmarkStart w:id="377" w:name="_Toc52962762"/>
      <w:bookmarkStart w:id="378" w:name="_Toc48846144"/>
      <w:bookmarkStart w:id="379" w:name="_Toc109897469"/>
      <w:bookmarkStart w:id="380" w:name="_Toc52960588"/>
      <w:bookmarkStart w:id="381" w:name="_Toc48688824"/>
      <w:bookmarkStart w:id="382" w:name="_Toc109899568"/>
      <w:bookmarkStart w:id="383" w:name="_Toc109900406"/>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.1供应商认为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详见“供应商须知前附表”</w:t>
      </w:r>
      <w:r>
        <w:rPr>
          <w:rFonts w:hint="eastAsia" w:ascii="宋体" w:hAnsi="宋体" w:eastAsia="宋体" w:cs="宋体"/>
          <w:color w:val="auto"/>
          <w:sz w:val="24"/>
          <w:szCs w:val="24"/>
          <w:highlight w:val="none"/>
        </w:rPr>
        <w:t>。供应商在法定质疑期内一次性提出针对同一采购程序环节的质疑。</w:t>
      </w:r>
    </w:p>
    <w:p w14:paraId="35972B9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文件的，可以对该文件提出质疑。对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文件提出质疑的，应当在获取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文件公告期限届满之日起7个工作日内提出。</w:t>
      </w:r>
    </w:p>
    <w:p w14:paraId="7A916D6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57C1F48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2B1F4E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1AA8BB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6456E8B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D032AB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76BD2AC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6供应商</w:t>
      </w:r>
      <w:r>
        <w:rPr>
          <w:rFonts w:hint="eastAsia" w:ascii="宋体" w:hAnsi="宋体" w:eastAsia="宋体" w:cs="宋体"/>
          <w:snapToGrid w:val="0"/>
          <w:color w:val="auto"/>
          <w:sz w:val="24"/>
          <w:szCs w:val="24"/>
          <w:highlight w:val="none"/>
        </w:rPr>
        <w:t>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36.质疑答复</w:t>
      </w:r>
      <w:bookmarkEnd w:id="373"/>
      <w:bookmarkEnd w:id="374"/>
      <w:bookmarkEnd w:id="375"/>
      <w:bookmarkEnd w:id="376"/>
      <w:bookmarkEnd w:id="377"/>
      <w:bookmarkEnd w:id="378"/>
      <w:bookmarkEnd w:id="379"/>
      <w:bookmarkEnd w:id="380"/>
      <w:bookmarkEnd w:id="381"/>
      <w:bookmarkEnd w:id="382"/>
      <w:bookmarkEnd w:id="383"/>
    </w:p>
    <w:p w14:paraId="43D7F91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84" w:name="_Toc109897470"/>
      <w:bookmarkStart w:id="385" w:name="_Toc48688825"/>
      <w:bookmarkStart w:id="386" w:name="_Toc109900407"/>
      <w:bookmarkStart w:id="387" w:name="_Toc46771676"/>
      <w:bookmarkStart w:id="388" w:name="_Toc52962763"/>
      <w:bookmarkStart w:id="389" w:name="_Toc48846145"/>
      <w:bookmarkStart w:id="390" w:name="_Toc109899569"/>
      <w:bookmarkStart w:id="391" w:name="_Toc52960589"/>
      <w:bookmarkStart w:id="392" w:name="_Toc109899988"/>
      <w:bookmarkStart w:id="393" w:name="_Toc51674247"/>
      <w:bookmarkStart w:id="394" w:name="_Toc46772277"/>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36.2供应商对评审过程、成交结果提出质疑的，采购人、采购代理机构可以组织原竞争性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小组协助答复质疑。</w:t>
      </w:r>
    </w:p>
    <w:p w14:paraId="14E02A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457CAA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462FCFC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编号/包号；</w:t>
      </w:r>
    </w:p>
    <w:p w14:paraId="18D721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416368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36EE79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7E632C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lang w:val="zh-CN" w:eastAsia="zh-CN"/>
        </w:rPr>
        <w:t>质疑答复的内容不得涉及商业秘密。</w:t>
      </w:r>
    </w:p>
    <w:p w14:paraId="6100606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37.投诉</w:t>
      </w:r>
      <w:bookmarkEnd w:id="384"/>
      <w:bookmarkEnd w:id="385"/>
      <w:bookmarkEnd w:id="386"/>
      <w:bookmarkEnd w:id="387"/>
      <w:bookmarkEnd w:id="388"/>
      <w:bookmarkEnd w:id="389"/>
      <w:bookmarkEnd w:id="390"/>
      <w:bookmarkEnd w:id="391"/>
      <w:bookmarkEnd w:id="392"/>
      <w:bookmarkEnd w:id="393"/>
      <w:bookmarkEnd w:id="394"/>
    </w:p>
    <w:bookmarkEnd w:id="111"/>
    <w:bookmarkEnd w:id="361"/>
    <w:p w14:paraId="34C5EA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95" w:name="_Toc163493619"/>
      <w:bookmarkStart w:id="396" w:name="_Toc109899989"/>
      <w:bookmarkStart w:id="397" w:name="_Toc109899570"/>
      <w:bookmarkStart w:id="398" w:name="_Toc109900408"/>
      <w:bookmarkStart w:id="399" w:name="_Toc109897471"/>
      <w:bookmarkStart w:id="400" w:name="_Hlk60570485"/>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4A2CC2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1" w:name="_Toc24137"/>
      <w:r>
        <w:rPr>
          <w:rFonts w:hint="eastAsia" w:ascii="宋体" w:hAnsi="宋体" w:eastAsia="宋体" w:cs="宋体"/>
          <w:b/>
          <w:bCs/>
          <w:color w:val="auto"/>
          <w:kern w:val="2"/>
          <w:sz w:val="24"/>
          <w:szCs w:val="24"/>
          <w:highlight w:val="none"/>
          <w:lang w:val="en-US" w:eastAsia="zh-CN" w:bidi="ar-SA"/>
        </w:rPr>
        <w:t>（十一）采购代理服务费</w:t>
      </w:r>
      <w:bookmarkEnd w:id="395"/>
      <w:bookmarkEnd w:id="401"/>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38.收取方式和标准</w:t>
      </w:r>
    </w:p>
    <w:p w14:paraId="0F0CA96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2" w:name="_Toc163493620"/>
      <w:bookmarkStart w:id="403" w:name="_Toc2322"/>
      <w:r>
        <w:rPr>
          <w:rFonts w:hint="eastAsia" w:ascii="宋体" w:hAnsi="宋体" w:eastAsia="宋体" w:cs="宋体"/>
          <w:b/>
          <w:bCs/>
          <w:color w:val="auto"/>
          <w:kern w:val="2"/>
          <w:sz w:val="24"/>
          <w:szCs w:val="24"/>
          <w:highlight w:val="none"/>
          <w:lang w:val="en-US" w:eastAsia="zh-CN" w:bidi="ar-SA"/>
        </w:rPr>
        <w:t>（十二）无效响应和终止采购活动</w:t>
      </w:r>
      <w:bookmarkEnd w:id="402"/>
      <w:bookmarkEnd w:id="403"/>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4" w:name="_Toc140132806"/>
      <w:bookmarkStart w:id="405" w:name="_Toc161600338"/>
      <w:r>
        <w:rPr>
          <w:rFonts w:hint="eastAsia" w:ascii="宋体" w:hAnsi="宋体" w:eastAsia="宋体" w:cs="宋体"/>
          <w:b/>
          <w:bCs/>
          <w:color w:val="auto"/>
          <w:kern w:val="2"/>
          <w:sz w:val="24"/>
          <w:szCs w:val="24"/>
          <w:highlight w:val="none"/>
          <w:lang w:val="en-US" w:eastAsia="zh-CN" w:bidi="ar-SA"/>
        </w:rPr>
        <w:t>39.无效</w:t>
      </w:r>
      <w:bookmarkEnd w:id="404"/>
      <w:bookmarkEnd w:id="405"/>
      <w:r>
        <w:rPr>
          <w:rFonts w:hint="eastAsia" w:ascii="宋体" w:hAnsi="宋体" w:eastAsia="宋体" w:cs="宋体"/>
          <w:b/>
          <w:bCs/>
          <w:color w:val="auto"/>
          <w:kern w:val="2"/>
          <w:sz w:val="24"/>
          <w:szCs w:val="24"/>
          <w:highlight w:val="none"/>
          <w:lang w:val="en-US" w:eastAsia="zh-CN" w:bidi="ar-SA"/>
        </w:rPr>
        <w:t>响应</w:t>
      </w:r>
    </w:p>
    <w:p w14:paraId="132D1B41">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.1响应文件存在“第四章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评审方法及标准”规定的</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情形的，做</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40.终止采购活动</w:t>
      </w:r>
    </w:p>
    <w:p w14:paraId="65CAB1F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.1出现下列情形之一的，应当终止竞争性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采购活动，发布项目终止公告并说明原因，重新开展采购活动：</w:t>
      </w:r>
    </w:p>
    <w:p w14:paraId="3F03AB9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采购方式适用情形的；</w:t>
      </w:r>
    </w:p>
    <w:p w14:paraId="34F0BDE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EDE2978">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18EA97F2">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40.2在采购活动中因重大变故，采购任务取消的，采购人或者采购代理机构应当终止采购活动，通知所有参加采购活动的供应商</w:t>
      </w:r>
      <w:r>
        <w:rPr>
          <w:rFonts w:hint="eastAsia" w:cs="宋体"/>
          <w:color w:val="auto"/>
          <w:sz w:val="24"/>
          <w:szCs w:val="24"/>
          <w:highlight w:val="none"/>
          <w:lang w:val="en-US" w:eastAsia="zh-CN"/>
        </w:rPr>
        <w:t>并告知终止理由</w:t>
      </w:r>
      <w:r>
        <w:rPr>
          <w:rFonts w:hint="eastAsia" w:ascii="宋体" w:hAnsi="宋体" w:eastAsia="宋体" w:cs="宋体"/>
          <w:color w:val="auto"/>
          <w:sz w:val="24"/>
          <w:szCs w:val="24"/>
          <w:highlight w:val="none"/>
          <w:lang w:val="en-US" w:eastAsia="zh-CN"/>
        </w:rPr>
        <w:t>，并将项目实施情况和采购任务取消原因报送本级财政部门。</w:t>
      </w:r>
    </w:p>
    <w:p w14:paraId="56C7680B">
      <w:pPr>
        <w:keepNext w:val="0"/>
        <w:keepLines w:val="0"/>
        <w:widowControl/>
        <w:suppressLineNumbers w:val="0"/>
        <w:jc w:val="left"/>
        <w:rPr>
          <w:rFonts w:hint="eastAsia" w:ascii="宋体" w:hAnsi="宋体" w:eastAsia="宋体" w:cs="宋体"/>
          <w:color w:val="auto"/>
          <w:sz w:val="24"/>
          <w:szCs w:val="24"/>
          <w:highlight w:val="none"/>
        </w:rPr>
      </w:pPr>
      <w:bookmarkStart w:id="406" w:name="_Toc161600340"/>
      <w:bookmarkStart w:id="407" w:name="_Toc163493621"/>
      <w:bookmarkStart w:id="408" w:name="_Toc140132766"/>
      <w:r>
        <w:rPr>
          <w:rFonts w:hint="eastAsia" w:ascii="宋体" w:hAnsi="宋体" w:eastAsia="宋体" w:cs="宋体"/>
          <w:b/>
          <w:bCs/>
          <w:color w:val="auto"/>
          <w:kern w:val="2"/>
          <w:sz w:val="24"/>
          <w:szCs w:val="24"/>
          <w:highlight w:val="none"/>
          <w:lang w:val="en-US" w:eastAsia="zh-CN" w:bidi="ar-SA"/>
        </w:rPr>
        <w:t>（十三）落实政府采购政策</w:t>
      </w:r>
      <w:bookmarkEnd w:id="406"/>
      <w:bookmarkEnd w:id="407"/>
      <w:bookmarkEnd w:id="408"/>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9"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409"/>
    </w:p>
    <w:p w14:paraId="59F3A45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6CA72A3">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BB43BBF">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F1C4F81">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41.1.8对于仅有本国产品参与竞争的政府采购项目，本国产品不享受价格扣除评审优惠。</w:t>
      </w:r>
    </w:p>
    <w:p w14:paraId="2B40C7E8">
      <w:pPr>
        <w:pStyle w:val="34"/>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2进口产品指通过中国海关报关验放进入中国境内且产自关境外的产品，包括已经进入中国境内的进口产品。</w:t>
      </w:r>
    </w:p>
    <w:p w14:paraId="0C404CE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3若采购需求中写明允许采购进口产品，供应商应保证所响应产品可履行合法报通关手续进入中国关境内。</w:t>
      </w:r>
    </w:p>
    <w:p w14:paraId="25B118D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0" w:name="_Toc161600342"/>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410"/>
    </w:p>
    <w:p w14:paraId="6CF3C24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小组将依据</w:t>
      </w:r>
      <w:r>
        <w:rPr>
          <w:rFonts w:hint="eastAsia" w:ascii="宋体" w:hAnsi="宋体" w:eastAsia="宋体" w:cs="宋体"/>
          <w:snapToGrid w:val="0"/>
          <w:color w:val="auto"/>
          <w:sz w:val="24"/>
          <w:szCs w:val="24"/>
          <w:highlight w:val="none"/>
          <w:lang w:eastAsia="zh-CN"/>
        </w:rPr>
        <w:t>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须按本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p>
    <w:p w14:paraId="5BE3F99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42.3供应商提供的货物、工程或者服务符合下列情形的，享受中小企业扶持政策： </w:t>
      </w:r>
    </w:p>
    <w:p w14:paraId="7C4E60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9BB74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42.3.2在工程采购项目中，工程由中小企业承建，即工程施工单位为中小企业； </w:t>
      </w:r>
    </w:p>
    <w:p w14:paraId="194B49D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09AD49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6B88E2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23C32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4DA9DC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7828A46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33AEDD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07E8110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50FF700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15268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6313DD1">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42.8 本项目是否专门面向中小企业预留采购份额见“第一章 竞争性</w:t>
      </w:r>
      <w:r>
        <w:rPr>
          <w:rFonts w:hint="eastAsia" w:cs="宋体"/>
          <w:color w:val="auto"/>
          <w:sz w:val="24"/>
          <w:szCs w:val="24"/>
          <w:highlight w:val="none"/>
          <w:lang w:val="en-US" w:eastAsia="zh-CN"/>
        </w:rPr>
        <w:t>谈判</w:t>
      </w:r>
      <w:r>
        <w:rPr>
          <w:rFonts w:hint="eastAsia" w:cs="宋体"/>
          <w:snapToGrid w:val="0"/>
          <w:color w:val="auto"/>
          <w:sz w:val="24"/>
          <w:szCs w:val="24"/>
          <w:highlight w:val="none"/>
          <w:lang w:val="en-US" w:eastAsia="zh-CN"/>
        </w:rPr>
        <w:t>公告</w:t>
      </w:r>
      <w:r>
        <w:rPr>
          <w:rFonts w:hint="eastAsia" w:ascii="宋体" w:hAnsi="宋体" w:eastAsia="宋体" w:cs="宋体"/>
          <w:snapToGrid w:val="0"/>
          <w:color w:val="auto"/>
          <w:sz w:val="24"/>
          <w:szCs w:val="24"/>
          <w:highlight w:val="none"/>
          <w:lang w:val="en-US" w:eastAsia="zh-CN"/>
        </w:rPr>
        <w:t>”。</w:t>
      </w:r>
    </w:p>
    <w:p w14:paraId="5A70CB6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1" w:name="_Toc161600343"/>
      <w:r>
        <w:rPr>
          <w:rFonts w:hint="eastAsia" w:ascii="宋体" w:hAnsi="宋体" w:eastAsia="宋体" w:cs="宋体"/>
          <w:b/>
          <w:bCs/>
          <w:color w:val="auto"/>
          <w:kern w:val="2"/>
          <w:sz w:val="24"/>
          <w:szCs w:val="24"/>
          <w:highlight w:val="none"/>
          <w:lang w:val="en-US" w:eastAsia="zh-CN" w:bidi="ar-SA"/>
        </w:rPr>
        <w:t>43.政府采购节能产品、环境标志产品</w:t>
      </w:r>
      <w:bookmarkEnd w:id="411"/>
    </w:p>
    <w:p w14:paraId="0A420FD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强制采购或优先采购。 </w:t>
      </w:r>
    </w:p>
    <w:p w14:paraId="1379730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 xml:space="preserve"> </w:t>
      </w:r>
    </w:p>
    <w:p w14:paraId="57389A7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43.5 供应商</w:t>
      </w:r>
      <w:r>
        <w:rPr>
          <w:rFonts w:hint="eastAsia" w:ascii="宋体" w:hAnsi="宋体" w:eastAsia="宋体" w:cs="宋体"/>
          <w:snapToGrid w:val="0"/>
          <w:color w:val="auto"/>
          <w:sz w:val="24"/>
          <w:szCs w:val="24"/>
          <w:highlight w:val="none"/>
        </w:rPr>
        <w:t>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产品不一致的，视为未提供。属于政府强制采购产品的，已作为</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rPr>
        <w:t>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rPr>
        <w:t>无效响应</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snapToGrid w:val="0"/>
          <w:color w:val="auto"/>
          <w:sz w:val="24"/>
          <w:szCs w:val="24"/>
          <w:highlight w:val="none"/>
          <w:lang w:val="en-US" w:eastAsia="zh-CN"/>
        </w:rPr>
        <w:t>第四章 评审方法及标准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在评审时给予优惠，具体详见</w:t>
      </w:r>
      <w:r>
        <w:rPr>
          <w:rFonts w:hint="eastAsia" w:ascii="宋体" w:hAnsi="宋体" w:eastAsia="宋体" w:cs="宋体"/>
          <w:snapToGrid w:val="0"/>
          <w:color w:val="auto"/>
          <w:sz w:val="24"/>
          <w:szCs w:val="24"/>
          <w:highlight w:val="none"/>
          <w:lang w:val="en-US" w:eastAsia="zh-CN"/>
        </w:rPr>
        <w:t>“供应商须知前附表”及</w:t>
      </w:r>
      <w:r>
        <w:rPr>
          <w:rFonts w:hint="eastAsia" w:ascii="宋体" w:hAnsi="宋体" w:eastAsia="宋体" w:cs="宋体"/>
          <w:color w:val="auto"/>
          <w:sz w:val="24"/>
          <w:szCs w:val="24"/>
          <w:highlight w:val="none"/>
          <w:lang w:val="en-US" w:eastAsia="zh-CN"/>
        </w:rPr>
        <w:t>“第四章 评审方法及标准”</w:t>
      </w:r>
      <w:r>
        <w:rPr>
          <w:rFonts w:hint="eastAsia" w:ascii="宋体" w:hAnsi="宋体" w:eastAsia="宋体" w:cs="宋体"/>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44.正版软件</w:t>
      </w:r>
    </w:p>
    <w:p w14:paraId="348063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506098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45.网络安全专用产品 </w:t>
      </w:r>
    </w:p>
    <w:p w14:paraId="13C0877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46.采购需求标准 </w:t>
      </w:r>
    </w:p>
    <w:bookmarkEnd w:id="396"/>
    <w:bookmarkEnd w:id="397"/>
    <w:bookmarkEnd w:id="398"/>
    <w:bookmarkEnd w:id="399"/>
    <w:bookmarkEnd w:id="400"/>
    <w:p w14:paraId="1251808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bookmarkStart w:id="412" w:name="_Toc109900412"/>
      <w:bookmarkStart w:id="413" w:name="_Toc109899574"/>
      <w:bookmarkStart w:id="414" w:name="_Toc109899993"/>
      <w:bookmarkStart w:id="415" w:name="_Toc163493622"/>
      <w:bookmarkStart w:id="416" w:name="_Toc109897475"/>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527BC2D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2BAD254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7FE94F3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56D621A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7A06F60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401E483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6FE6FE7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71E7085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096E2F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7" w:name="_Toc18350"/>
      <w:r>
        <w:rPr>
          <w:rFonts w:hint="eastAsia" w:ascii="宋体" w:hAnsi="宋体" w:eastAsia="宋体" w:cs="宋体"/>
          <w:b/>
          <w:bCs/>
          <w:color w:val="auto"/>
          <w:kern w:val="2"/>
          <w:sz w:val="24"/>
          <w:szCs w:val="24"/>
          <w:highlight w:val="none"/>
          <w:lang w:val="en-US" w:eastAsia="zh-CN" w:bidi="ar-SA"/>
        </w:rPr>
        <w:t>（十四）政府采购合同融资政策</w:t>
      </w:r>
      <w:bookmarkEnd w:id="412"/>
      <w:bookmarkEnd w:id="413"/>
      <w:bookmarkEnd w:id="414"/>
      <w:bookmarkEnd w:id="415"/>
      <w:bookmarkEnd w:id="416"/>
      <w:bookmarkEnd w:id="417"/>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8" w:name="_Toc161600345"/>
      <w:bookmarkStart w:id="419" w:name="_Toc109897476"/>
      <w:r>
        <w:rPr>
          <w:rFonts w:hint="eastAsia" w:ascii="宋体" w:hAnsi="宋体" w:eastAsia="宋体" w:cs="宋体"/>
          <w:b/>
          <w:bCs/>
          <w:color w:val="auto"/>
          <w:kern w:val="2"/>
          <w:sz w:val="24"/>
          <w:szCs w:val="24"/>
          <w:highlight w:val="none"/>
          <w:lang w:val="en-US" w:eastAsia="zh-CN" w:bidi="ar-SA"/>
        </w:rPr>
        <w:t>47.政府采购合同融资政策</w:t>
      </w:r>
      <w:bookmarkEnd w:id="418"/>
    </w:p>
    <w:p w14:paraId="59269D3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0" w:name="_Toc163493623"/>
      <w:bookmarkStart w:id="421" w:name="_Toc31397"/>
      <w:bookmarkStart w:id="422" w:name="_Toc109899994"/>
      <w:bookmarkStart w:id="423" w:name="_Toc109899575"/>
      <w:bookmarkStart w:id="424" w:name="_Toc109900413"/>
      <w:r>
        <w:rPr>
          <w:rFonts w:hint="eastAsia" w:ascii="宋体" w:hAnsi="宋体" w:eastAsia="宋体" w:cs="宋体"/>
          <w:b/>
          <w:bCs/>
          <w:color w:val="auto"/>
          <w:kern w:val="2"/>
          <w:sz w:val="24"/>
          <w:szCs w:val="24"/>
          <w:highlight w:val="none"/>
          <w:lang w:val="en-US" w:eastAsia="zh-CN" w:bidi="ar-SA"/>
        </w:rPr>
        <w:t>（十五）其他</w:t>
      </w:r>
      <w:bookmarkEnd w:id="419"/>
      <w:bookmarkEnd w:id="420"/>
      <w:bookmarkEnd w:id="421"/>
      <w:bookmarkEnd w:id="422"/>
      <w:bookmarkEnd w:id="423"/>
      <w:bookmarkEnd w:id="424"/>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5" w:name="_Toc161600347"/>
      <w:r>
        <w:rPr>
          <w:rFonts w:hint="eastAsia" w:ascii="宋体" w:hAnsi="宋体" w:eastAsia="宋体" w:cs="宋体"/>
          <w:b/>
          <w:bCs/>
          <w:color w:val="auto"/>
          <w:kern w:val="2"/>
          <w:sz w:val="24"/>
          <w:szCs w:val="24"/>
          <w:highlight w:val="none"/>
          <w:lang w:val="en-US" w:eastAsia="zh-CN" w:bidi="ar-SA"/>
        </w:rPr>
        <w:t>48.需要补充的其他内容</w:t>
      </w:r>
      <w:bookmarkEnd w:id="425"/>
    </w:p>
    <w:p w14:paraId="3957C99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6" w:name="_Toc109897477"/>
      <w:bookmarkStart w:id="427" w:name="_Toc109900414"/>
      <w:bookmarkStart w:id="428" w:name="_Toc109899576"/>
      <w:bookmarkStart w:id="429" w:name="_Toc109899995"/>
      <w:r>
        <w:rPr>
          <w:rFonts w:hint="eastAsia" w:ascii="宋体" w:hAnsi="宋体" w:eastAsia="宋体" w:cs="宋体"/>
          <w:b/>
          <w:bCs/>
          <w:color w:val="auto"/>
          <w:kern w:val="2"/>
          <w:sz w:val="24"/>
          <w:szCs w:val="24"/>
          <w:highlight w:val="none"/>
          <w:lang w:val="en-US" w:eastAsia="zh-CN" w:bidi="ar-SA"/>
        </w:rPr>
        <w:t>49.适用法律</w:t>
      </w:r>
      <w:bookmarkEnd w:id="426"/>
      <w:bookmarkEnd w:id="427"/>
      <w:bookmarkEnd w:id="428"/>
      <w:bookmarkEnd w:id="429"/>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.1采购人、采购代理机构及供应商的一切采购活动均适用《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政府采购法实施条例》、</w:t>
      </w:r>
      <w:r>
        <w:rPr>
          <w:rFonts w:hint="eastAsia" w:ascii="宋体" w:hAnsi="宋体" w:eastAsia="宋体" w:cs="宋体"/>
          <w:color w:val="auto"/>
          <w:sz w:val="24"/>
          <w:szCs w:val="24"/>
          <w:highlight w:val="none"/>
        </w:rPr>
        <w:t>《政府采购</w:t>
      </w:r>
      <w:r>
        <w:rPr>
          <w:rFonts w:hint="eastAsia" w:cs="宋体"/>
          <w:color w:val="auto"/>
          <w:sz w:val="24"/>
          <w:szCs w:val="24"/>
          <w:highlight w:val="none"/>
          <w:lang w:val="en-US" w:eastAsia="zh-CN"/>
        </w:rPr>
        <w:t>非招标采购方式管理</w:t>
      </w:r>
      <w:r>
        <w:rPr>
          <w:rFonts w:hint="eastAsia" w:ascii="宋体" w:hAnsi="宋体" w:eastAsia="宋体" w:cs="宋体"/>
          <w:color w:val="auto"/>
          <w:sz w:val="24"/>
          <w:szCs w:val="24"/>
          <w:highlight w:val="none"/>
        </w:rPr>
        <w:t>办法》（财</w:t>
      </w:r>
      <w:r>
        <w:rPr>
          <w:rFonts w:hint="eastAsia" w:cs="宋体"/>
          <w:color w:val="auto"/>
          <w:sz w:val="24"/>
          <w:szCs w:val="24"/>
          <w:highlight w:val="none"/>
          <w:lang w:val="en-US" w:eastAsia="zh-CN"/>
        </w:rPr>
        <w:t>政部令第7</w:t>
      </w:r>
      <w:r>
        <w:rPr>
          <w:rFonts w:hint="eastAsia" w:ascii="宋体" w:hAnsi="宋体" w:eastAsia="宋体" w:cs="宋体"/>
          <w:color w:val="auto"/>
          <w:sz w:val="24"/>
          <w:szCs w:val="24"/>
          <w:highlight w:val="none"/>
        </w:rPr>
        <w:t>4号）</w:t>
      </w:r>
      <w:r>
        <w:rPr>
          <w:rFonts w:hint="eastAsia" w:ascii="宋体" w:hAnsi="宋体" w:eastAsia="宋体" w:cs="宋体"/>
          <w:snapToGrid w:val="0"/>
          <w:color w:val="auto"/>
          <w:sz w:val="24"/>
          <w:szCs w:val="24"/>
          <w:highlight w:val="none"/>
          <w:lang w:val="zh-CN"/>
        </w:rPr>
        <w:t>及相关法律法规。</w:t>
      </w:r>
    </w:p>
    <w:p w14:paraId="7EF83039">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.2政府采购合同的履行、违约责任和解决争议的方法等适用《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0" w:name="_Toc155185887"/>
      <w:bookmarkStart w:id="431" w:name="_Toc161600349"/>
      <w:r>
        <w:rPr>
          <w:rFonts w:hint="eastAsia" w:ascii="宋体" w:hAnsi="宋体" w:eastAsia="宋体" w:cs="宋体"/>
          <w:b/>
          <w:bCs/>
          <w:color w:val="auto"/>
          <w:kern w:val="2"/>
          <w:sz w:val="24"/>
          <w:szCs w:val="24"/>
          <w:highlight w:val="none"/>
          <w:lang w:val="en-US" w:eastAsia="zh-CN" w:bidi="ar-SA"/>
        </w:rPr>
        <w:t>50.解释权</w:t>
      </w:r>
      <w:bookmarkEnd w:id="430"/>
      <w:bookmarkEnd w:id="431"/>
    </w:p>
    <w:p w14:paraId="5C6D27F8">
      <w:pPr>
        <w:pStyle w:val="3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文件最终解释权归采购人</w:t>
      </w:r>
      <w:r>
        <w:rPr>
          <w:rFonts w:hint="eastAsia" w:eastAsia="宋体"/>
          <w:snapToGrid w:val="0"/>
          <w:color w:val="auto"/>
          <w:sz w:val="24"/>
          <w:highlight w:val="none"/>
        </w:rPr>
        <w:t>或采购代理机构所有。</w:t>
      </w:r>
    </w:p>
    <w:p w14:paraId="0F169FC7">
      <w:pPr>
        <w:pStyle w:val="3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32" w:name="_Toc20486"/>
      <w:bookmarkStart w:id="631" w:name="_GoBack"/>
      <w:bookmarkEnd w:id="631"/>
      <w:r>
        <w:rPr>
          <w:rFonts w:hint="eastAsia" w:ascii="宋体" w:hAnsi="宋体" w:eastAsia="宋体" w:cs="宋体"/>
          <w:b/>
          <w:bCs/>
          <w:color w:val="auto"/>
          <w:kern w:val="44"/>
          <w:sz w:val="36"/>
          <w:szCs w:val="36"/>
          <w:highlight w:val="none"/>
          <w:lang w:val="en-US" w:eastAsia="zh-CN" w:bidi="ar-SA"/>
        </w:rPr>
        <w:t>第三章 项目采购需求</w:t>
      </w:r>
      <w:bookmarkEnd w:id="432"/>
    </w:p>
    <w:p w14:paraId="2C43F922">
      <w:pPr>
        <w:pStyle w:val="34"/>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433" w:name="_Toc140132812"/>
      <w:bookmarkStart w:id="434" w:name="_Toc155185889"/>
      <w:bookmarkStart w:id="435" w:name="_Toc163492886"/>
      <w:r>
        <w:rPr>
          <w:rFonts w:hint="eastAsia"/>
          <w:b/>
          <w:bCs/>
          <w:snapToGrid w:val="0"/>
          <w:color w:val="auto"/>
          <w:sz w:val="24"/>
          <w:szCs w:val="24"/>
          <w:highlight w:val="none"/>
          <w:lang w:val="en-US" w:eastAsia="zh-CN"/>
        </w:rPr>
        <w:t xml:space="preserve">说明： </w:t>
      </w:r>
    </w:p>
    <w:p w14:paraId="04A97FB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3E57EDE4">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 xml:space="preserve">采购标的（货物需求一览表或简要服务内容及数量） </w:t>
      </w:r>
    </w:p>
    <w:tbl>
      <w:tblPr>
        <w:tblStyle w:val="28"/>
        <w:tblpPr w:leftFromText="180" w:rightFromText="180" w:vertAnchor="text" w:horzAnchor="page" w:tblpX="1671" w:tblpY="250"/>
        <w:tblOverlap w:val="never"/>
        <w:tblW w:w="537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66"/>
        <w:gridCol w:w="1589"/>
        <w:gridCol w:w="1367"/>
        <w:gridCol w:w="1382"/>
        <w:gridCol w:w="1376"/>
      </w:tblGrid>
      <w:tr w14:paraId="63D0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425" w:type="pct"/>
            <w:vMerge w:val="restart"/>
            <w:noWrap w:val="0"/>
            <w:vAlign w:val="center"/>
          </w:tcPr>
          <w:p w14:paraId="2DD364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55" w:type="pct"/>
            <w:vMerge w:val="restart"/>
            <w:noWrap w:val="0"/>
            <w:vAlign w:val="center"/>
          </w:tcPr>
          <w:p w14:paraId="39A57729">
            <w:pPr>
              <w:jc w:val="center"/>
              <w:rPr>
                <w:rFonts w:hint="default" w:ascii="宋体" w:hAnsi="宋体" w:eastAsia="宋体" w:cs="宋体"/>
                <w:color w:val="auto"/>
                <w:sz w:val="21"/>
                <w:szCs w:val="21"/>
                <w:highlight w:val="none"/>
                <w:lang w:val="en-US" w:eastAsia="zh-CN"/>
              </w:rPr>
            </w:pPr>
            <w:r>
              <w:rPr>
                <w:rFonts w:hint="eastAsia" w:cs="宋体"/>
                <w:snapToGrid w:val="0"/>
                <w:color w:val="auto"/>
                <w:sz w:val="21"/>
                <w:szCs w:val="21"/>
                <w:highlight w:val="none"/>
                <w:lang w:val="en-US" w:eastAsia="zh-CN"/>
              </w:rPr>
              <w:t>产品名称</w:t>
            </w:r>
          </w:p>
        </w:tc>
        <w:tc>
          <w:tcPr>
            <w:tcW w:w="867" w:type="pct"/>
            <w:vMerge w:val="restart"/>
            <w:noWrap w:val="0"/>
            <w:vAlign w:val="center"/>
          </w:tcPr>
          <w:p w14:paraId="4237FC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00" w:type="pct"/>
            <w:gridSpan w:val="2"/>
            <w:noWrap w:val="0"/>
            <w:vAlign w:val="center"/>
          </w:tcPr>
          <w:p w14:paraId="0FC38AB7">
            <w:pPr>
              <w:jc w:val="center"/>
              <w:rPr>
                <w:rFonts w:hint="eastAsia" w:ascii="宋体" w:hAnsi="宋体" w:eastAsia="宋体" w:cs="宋体"/>
                <w:snapToGrid w:val="0"/>
                <w:color w:val="auto"/>
                <w:sz w:val="21"/>
                <w:szCs w:val="21"/>
                <w:highlight w:val="none"/>
                <w:lang w:val="en-US" w:eastAsia="zh-CN"/>
              </w:rPr>
            </w:pPr>
            <w:r>
              <w:rPr>
                <w:rFonts w:hint="eastAsia" w:cs="宋体"/>
                <w:color w:val="auto"/>
                <w:sz w:val="21"/>
                <w:szCs w:val="21"/>
                <w:highlight w:val="none"/>
                <w:lang w:val="en-US" w:eastAsia="zh-CN"/>
              </w:rPr>
              <w:t>最高限价（万元）</w:t>
            </w:r>
          </w:p>
        </w:tc>
        <w:tc>
          <w:tcPr>
            <w:tcW w:w="751" w:type="pct"/>
            <w:vMerge w:val="restart"/>
            <w:shd w:val="clear" w:color="auto" w:fill="auto"/>
            <w:noWrap w:val="0"/>
            <w:vAlign w:val="center"/>
          </w:tcPr>
          <w:p w14:paraId="5EC6AD2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是否接受进口产品</w:t>
            </w:r>
          </w:p>
        </w:tc>
      </w:tr>
      <w:tr w14:paraId="5982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425" w:type="pct"/>
            <w:vMerge w:val="continue"/>
            <w:noWrap w:val="0"/>
            <w:vAlign w:val="center"/>
          </w:tcPr>
          <w:p w14:paraId="3BC21492">
            <w:pPr>
              <w:jc w:val="center"/>
              <w:rPr>
                <w:rFonts w:hint="eastAsia" w:ascii="宋体" w:hAnsi="宋体" w:eastAsia="宋体" w:cs="宋体"/>
                <w:color w:val="auto"/>
                <w:sz w:val="21"/>
                <w:szCs w:val="21"/>
                <w:highlight w:val="none"/>
                <w:lang w:eastAsia="zh-CN"/>
              </w:rPr>
            </w:pPr>
          </w:p>
        </w:tc>
        <w:tc>
          <w:tcPr>
            <w:tcW w:w="1455" w:type="pct"/>
            <w:vMerge w:val="continue"/>
            <w:noWrap w:val="0"/>
            <w:vAlign w:val="center"/>
          </w:tcPr>
          <w:p w14:paraId="0887B902">
            <w:pPr>
              <w:jc w:val="center"/>
              <w:rPr>
                <w:rFonts w:hint="default" w:ascii="宋体" w:hAnsi="宋体" w:eastAsia="宋体" w:cs="宋体"/>
                <w:color w:val="auto"/>
                <w:sz w:val="21"/>
                <w:szCs w:val="21"/>
                <w:highlight w:val="none"/>
                <w:lang w:val="en-US" w:eastAsia="zh-CN"/>
              </w:rPr>
            </w:pPr>
          </w:p>
        </w:tc>
        <w:tc>
          <w:tcPr>
            <w:tcW w:w="867" w:type="pct"/>
            <w:vMerge w:val="continue"/>
            <w:noWrap w:val="0"/>
            <w:vAlign w:val="center"/>
          </w:tcPr>
          <w:p w14:paraId="67AA001C">
            <w:pPr>
              <w:jc w:val="center"/>
              <w:rPr>
                <w:rFonts w:hint="default" w:ascii="宋体" w:hAnsi="宋体" w:eastAsia="宋体" w:cs="宋体"/>
                <w:color w:val="auto"/>
                <w:sz w:val="21"/>
                <w:szCs w:val="21"/>
                <w:highlight w:val="none"/>
                <w:lang w:val="en-US" w:eastAsia="zh-CN"/>
              </w:rPr>
            </w:pPr>
          </w:p>
        </w:tc>
        <w:tc>
          <w:tcPr>
            <w:tcW w:w="746" w:type="pct"/>
            <w:noWrap w:val="0"/>
            <w:vAlign w:val="center"/>
          </w:tcPr>
          <w:p w14:paraId="7A95D9BF">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单价</w:t>
            </w:r>
          </w:p>
        </w:tc>
        <w:tc>
          <w:tcPr>
            <w:tcW w:w="753" w:type="pct"/>
            <w:noWrap w:val="0"/>
            <w:vAlign w:val="center"/>
          </w:tcPr>
          <w:p w14:paraId="0F60333B">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总价</w:t>
            </w:r>
          </w:p>
        </w:tc>
        <w:tc>
          <w:tcPr>
            <w:tcW w:w="751" w:type="pct"/>
            <w:vMerge w:val="continue"/>
            <w:shd w:val="clear" w:color="auto" w:fill="auto"/>
            <w:noWrap w:val="0"/>
            <w:vAlign w:val="center"/>
          </w:tcPr>
          <w:p w14:paraId="3C243273">
            <w:pPr>
              <w:jc w:val="center"/>
              <w:rPr>
                <w:rFonts w:hint="eastAsia" w:ascii="宋体" w:hAnsi="宋体" w:eastAsia="宋体" w:cs="宋体"/>
                <w:color w:val="auto"/>
                <w:kern w:val="2"/>
                <w:sz w:val="21"/>
                <w:szCs w:val="21"/>
                <w:highlight w:val="none"/>
                <w:lang w:val="en-US" w:eastAsia="zh-CN" w:bidi="ar-SA"/>
              </w:rPr>
            </w:pPr>
          </w:p>
        </w:tc>
      </w:tr>
      <w:tr w14:paraId="1A2F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25" w:type="pct"/>
            <w:noWrap w:val="0"/>
            <w:vAlign w:val="center"/>
          </w:tcPr>
          <w:p w14:paraId="4147756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55" w:type="pct"/>
            <w:shd w:val="clear" w:color="auto" w:fill="auto"/>
            <w:noWrap w:val="0"/>
            <w:vAlign w:val="center"/>
          </w:tcPr>
          <w:p w14:paraId="15057E27">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喷雾干燥机</w:t>
            </w:r>
          </w:p>
        </w:tc>
        <w:tc>
          <w:tcPr>
            <w:tcW w:w="867" w:type="pct"/>
            <w:shd w:val="clear" w:color="auto" w:fill="auto"/>
            <w:noWrap w:val="0"/>
            <w:vAlign w:val="center"/>
          </w:tcPr>
          <w:p w14:paraId="23F3DCB9">
            <w:pPr>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1套</w:t>
            </w:r>
          </w:p>
        </w:tc>
        <w:tc>
          <w:tcPr>
            <w:tcW w:w="746" w:type="pct"/>
            <w:noWrap w:val="0"/>
            <w:vAlign w:val="center"/>
          </w:tcPr>
          <w:p w14:paraId="35AC5AD1">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13.8</w:t>
            </w:r>
          </w:p>
        </w:tc>
        <w:tc>
          <w:tcPr>
            <w:tcW w:w="753" w:type="pct"/>
            <w:noWrap w:val="0"/>
            <w:vAlign w:val="center"/>
          </w:tcPr>
          <w:p w14:paraId="4DAFF079">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13.8</w:t>
            </w:r>
          </w:p>
        </w:tc>
        <w:tc>
          <w:tcPr>
            <w:tcW w:w="751" w:type="pct"/>
            <w:noWrap w:val="0"/>
            <w:vAlign w:val="center"/>
          </w:tcPr>
          <w:p w14:paraId="242D496E">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r>
    </w:tbl>
    <w:p w14:paraId="7F5D9D61">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p>
    <w:p w14:paraId="0AB507AA">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b/>
          <w:bCs/>
          <w:i w:val="0"/>
          <w:iCs w:val="0"/>
          <w:snapToGrid w:val="0"/>
          <w:color w:val="auto"/>
          <w:sz w:val="24"/>
          <w:szCs w:val="24"/>
          <w:highlight w:val="none"/>
          <w:lang w:val="en-US" w:eastAsia="zh-CN"/>
        </w:rPr>
      </w:pPr>
      <w:r>
        <w:rPr>
          <w:rFonts w:hint="eastAsia" w:ascii="宋体" w:hAnsi="宋体" w:eastAsia="宋体"/>
          <w:b/>
          <w:bCs/>
          <w:i w:val="0"/>
          <w:iCs w:val="0"/>
          <w:snapToGrid w:val="0"/>
          <w:color w:val="auto"/>
          <w:sz w:val="24"/>
          <w:szCs w:val="24"/>
          <w:highlight w:val="none"/>
          <w:lang w:val="en-US" w:eastAsia="zh-CN"/>
        </w:rPr>
        <w:t xml:space="preserve">二、商务要求 </w:t>
      </w:r>
    </w:p>
    <w:p w14:paraId="6852D0AC">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291B2016">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w:t>
      </w:r>
      <w:r>
        <w:rPr>
          <w:rFonts w:hint="eastAsia"/>
          <w:snapToGrid w:val="0"/>
          <w:color w:val="auto"/>
          <w:sz w:val="24"/>
          <w:szCs w:val="24"/>
          <w:highlight w:val="none"/>
          <w:lang w:val="en-US" w:eastAsia="zh-CN"/>
        </w:rPr>
        <w:t>自收到成交通知书之日起10日内，将标的物运送至甲方指定地点，并负责完成安装调试，配合甲方完成验收</w:t>
      </w:r>
      <w:r>
        <w:rPr>
          <w:rFonts w:hint="default"/>
          <w:snapToGrid w:val="0"/>
          <w:color w:val="auto"/>
          <w:sz w:val="24"/>
          <w:szCs w:val="24"/>
          <w:highlight w:val="none"/>
          <w:lang w:val="en-US" w:eastAsia="zh-CN"/>
        </w:rPr>
        <w:t>。</w:t>
      </w:r>
    </w:p>
    <w:p w14:paraId="0F726C9A">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b）交货地点：甲方指定。</w:t>
      </w:r>
    </w:p>
    <w:p w14:paraId="16A32218">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C10D9C4">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a）</w:t>
      </w:r>
      <w:r>
        <w:rPr>
          <w:rFonts w:hint="eastAsia"/>
          <w:snapToGrid w:val="0"/>
          <w:color w:val="auto"/>
          <w:sz w:val="24"/>
          <w:szCs w:val="24"/>
          <w:highlight w:val="none"/>
          <w:lang w:val="en-US" w:eastAsia="zh-CN"/>
        </w:rPr>
        <w:t>合同签订后完成设备的到货、安装、调试，经甲方确认达到试运行标准后支付合同总金额的90%，达到验收标准后无息支付合同总金额10%。</w:t>
      </w:r>
    </w:p>
    <w:p w14:paraId="1ABD305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b）</w:t>
      </w:r>
      <w:r>
        <w:rPr>
          <w:rFonts w:hint="eastAsia"/>
          <w:snapToGrid w:val="0"/>
          <w:color w:val="auto"/>
          <w:sz w:val="24"/>
          <w:szCs w:val="24"/>
          <w:highlight w:val="none"/>
          <w:lang w:val="en-US" w:eastAsia="zh-CN"/>
        </w:rPr>
        <w:t>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7B3B5E9B">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11F0136F">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4. 保修服务期：</w:t>
      </w:r>
      <w:r>
        <w:rPr>
          <w:rFonts w:hint="eastAsia"/>
          <w:snapToGrid w:val="0"/>
          <w:color w:val="auto"/>
          <w:sz w:val="24"/>
          <w:szCs w:val="24"/>
          <w:highlight w:val="none"/>
          <w:lang w:val="en-US" w:eastAsia="zh-CN"/>
        </w:rPr>
        <w:t>自验收合格之日起计保修期，提供整机（包含附件，如稳压电源、脚踏、推车等）原厂保修服务≥3年，承担保修期内设备任何故障产生的费用。</w:t>
      </w:r>
    </w:p>
    <w:p w14:paraId="24AEA6EC">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r>
        <w:rPr>
          <w:rFonts w:hint="eastAsia" w:ascii="宋体" w:hAnsi="宋体" w:eastAsia="宋体"/>
          <w:b/>
          <w:bCs/>
          <w:i w:val="0"/>
          <w:iCs w:val="0"/>
          <w:snapToGrid w:val="0"/>
          <w:color w:val="FF0000"/>
          <w:sz w:val="24"/>
          <w:szCs w:val="24"/>
          <w:highlight w:val="none"/>
          <w:lang w:val="en-US" w:eastAsia="zh-CN"/>
        </w:rPr>
        <w:t>【</w:t>
      </w:r>
      <w:r>
        <w:rPr>
          <w:rFonts w:hint="eastAsia"/>
          <w:b/>
          <w:bCs/>
          <w:i w:val="0"/>
          <w:iCs w:val="0"/>
          <w:snapToGrid w:val="0"/>
          <w:color w:val="FF0000"/>
          <w:sz w:val="24"/>
          <w:szCs w:val="24"/>
          <w:highlight w:val="none"/>
          <w:lang w:val="en-US" w:eastAsia="zh-CN"/>
        </w:rPr>
        <w:t>标</w:t>
      </w:r>
      <w:r>
        <w:rPr>
          <w:rFonts w:hint="eastAsia" w:ascii="宋体" w:hAnsi="宋体" w:eastAsia="宋体"/>
          <w:b/>
          <w:bCs/>
          <w:i w:val="0"/>
          <w:iCs w:val="0"/>
          <w:snapToGrid w:val="0"/>
          <w:color w:val="FF0000"/>
          <w:sz w:val="24"/>
          <w:szCs w:val="24"/>
          <w:highlight w:val="none"/>
          <w:lang w:val="en-US" w:eastAsia="zh-CN"/>
        </w:rPr>
        <w:t>“★”号</w:t>
      </w:r>
      <w:r>
        <w:rPr>
          <w:rFonts w:hint="eastAsia"/>
          <w:b/>
          <w:bCs/>
          <w:i w:val="0"/>
          <w:iCs w:val="0"/>
          <w:snapToGrid w:val="0"/>
          <w:color w:val="FF0000"/>
          <w:sz w:val="24"/>
          <w:szCs w:val="24"/>
          <w:highlight w:val="none"/>
          <w:lang w:val="en-US" w:eastAsia="zh-CN"/>
        </w:rPr>
        <w:t>为</w:t>
      </w:r>
      <w:r>
        <w:rPr>
          <w:rFonts w:hint="eastAsia" w:ascii="宋体" w:hAnsi="宋体" w:eastAsia="宋体"/>
          <w:b/>
          <w:bCs/>
          <w:i w:val="0"/>
          <w:iCs w:val="0"/>
          <w:snapToGrid w:val="0"/>
          <w:color w:val="FF0000"/>
          <w:sz w:val="24"/>
          <w:szCs w:val="24"/>
          <w:highlight w:val="none"/>
          <w:lang w:val="en-US" w:eastAsia="zh-CN"/>
        </w:rPr>
        <w:t>实质性响应条款，未能实质性响应的供应商，其响应无效</w:t>
      </w:r>
      <w:r>
        <w:rPr>
          <w:rFonts w:hint="eastAsia"/>
          <w:b/>
          <w:bCs/>
          <w:i w:val="0"/>
          <w:iCs w:val="0"/>
          <w:snapToGrid w:val="0"/>
          <w:color w:val="FF0000"/>
          <w:sz w:val="24"/>
          <w:szCs w:val="24"/>
          <w:highlight w:val="none"/>
          <w:lang w:val="en-US" w:eastAsia="zh-CN"/>
        </w:rPr>
        <w:t>；其余参数负偏离＞3条，其响应无效。</w:t>
      </w:r>
      <w:r>
        <w:rPr>
          <w:rFonts w:hint="eastAsia" w:ascii="宋体" w:hAnsi="宋体" w:eastAsia="宋体"/>
          <w:b/>
          <w:bCs/>
          <w:i w:val="0"/>
          <w:iCs w:val="0"/>
          <w:snapToGrid w:val="0"/>
          <w:color w:val="FF0000"/>
          <w:sz w:val="24"/>
          <w:szCs w:val="24"/>
          <w:highlight w:val="none"/>
          <w:lang w:val="en-US" w:eastAsia="zh-CN"/>
        </w:rPr>
        <w:t xml:space="preserve">】 </w:t>
      </w:r>
    </w:p>
    <w:p w14:paraId="7E7DC091">
      <w:pPr>
        <w:pStyle w:val="34"/>
        <w:keepNext w:val="0"/>
        <w:keepLines w:val="0"/>
        <w:pageBreakBefore w:val="0"/>
        <w:widowControl w:val="0"/>
        <w:kinsoku/>
        <w:overflowPunct/>
        <w:topLinePunct w:val="0"/>
        <w:autoSpaceDE/>
        <w:autoSpaceDN/>
        <w:bidi w:val="0"/>
        <w:adjustRightInd/>
        <w:jc w:val="center"/>
        <w:textAlignment w:val="auto"/>
        <w:rPr>
          <w:rFonts w:hint="eastAsia" w:ascii="宋体" w:hAnsi="宋体" w:eastAsia="宋体" w:cs="宋体"/>
          <w:b/>
          <w:bCs/>
          <w:snapToGrid w:val="0"/>
          <w:color w:val="auto"/>
          <w:sz w:val="32"/>
          <w:szCs w:val="32"/>
          <w:highlight w:val="none"/>
          <w:lang w:val="en-US" w:eastAsia="zh-CN"/>
        </w:rPr>
      </w:pPr>
      <w:r>
        <w:rPr>
          <w:rFonts w:hint="eastAsia" w:ascii="宋体" w:hAnsi="宋体" w:eastAsia="宋体" w:cs="宋体"/>
          <w:b/>
          <w:bCs/>
          <w:snapToGrid w:val="0"/>
          <w:color w:val="auto"/>
          <w:sz w:val="32"/>
          <w:szCs w:val="32"/>
          <w:highlight w:val="none"/>
          <w:lang w:val="en-US" w:eastAsia="zh-CN"/>
        </w:rPr>
        <w:t>喷雾干燥机技术参数要求</w:t>
      </w:r>
    </w:p>
    <w:p w14:paraId="292CAE8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一．规格参数要求：</w:t>
      </w:r>
    </w:p>
    <w:p w14:paraId="2FC0FED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1.干燥塔材质：高硼硅玻璃或不锈钢材质</w:t>
      </w:r>
    </w:p>
    <w:p w14:paraId="59DD635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2.★雾化结构：二流体喷雾</w:t>
      </w:r>
    </w:p>
    <w:p w14:paraId="04480B4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3.★具备触摸显示屏≥7寸，具备手动、自动控制方式</w:t>
      </w:r>
    </w:p>
    <w:p w14:paraId="2FDAFA3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4.进风温度：30~250℃</w:t>
      </w:r>
    </w:p>
    <w:p w14:paraId="0529B7C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5.出风温度≤140℃</w:t>
      </w:r>
    </w:p>
    <w:p w14:paraId="3584EA5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6.★处理量：50~2000mL/h</w:t>
      </w:r>
    </w:p>
    <w:p w14:paraId="71251D7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7.★进料量：50~2000mL/h</w:t>
      </w:r>
    </w:p>
    <w:p w14:paraId="573E91D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8.具备进料口蠕动调节功能</w:t>
      </w:r>
    </w:p>
    <w:p w14:paraId="7F664C5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9.最小进料≤50mL</w:t>
      </w:r>
    </w:p>
    <w:p w14:paraId="4143D45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10.控温技术：实时PID±1℃</w:t>
      </w:r>
    </w:p>
    <w:p w14:paraId="3C60467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11.喷嘴口径具备：0.5/0.8/1.0/1.2/1.8mm可选</w:t>
      </w:r>
    </w:p>
    <w:p w14:paraId="4334611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12.干燥时间范围：0.7~1.2S</w:t>
      </w:r>
    </w:p>
    <w:p w14:paraId="46F9371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13.显示屏可现实当前进风温度、出风温度、转速、风量、通针情况等</w:t>
      </w:r>
    </w:p>
    <w:p w14:paraId="23CDFA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14.具备通针防堵功能</w:t>
      </w:r>
    </w:p>
    <w:p w14:paraId="56D3E40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15.配备无油空气压缩机</w:t>
      </w:r>
    </w:p>
    <w:p w14:paraId="1E30B2B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16.具备误操作保护、风机保护自停功能</w:t>
      </w:r>
    </w:p>
    <w:p w14:paraId="16D3C89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17.★适用溶液：水溶液。</w:t>
      </w:r>
    </w:p>
    <w:p w14:paraId="68DA77E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p w14:paraId="511E20E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二．其他技术性要求：</w:t>
      </w:r>
    </w:p>
    <w:p w14:paraId="6E783BB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1.负责设备的安装、调试、培训等工作。</w:t>
      </w:r>
    </w:p>
    <w:p w14:paraId="70D54BF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2.须列出所有设备易损件清单及价格。</w:t>
      </w:r>
    </w:p>
    <w:p w14:paraId="4244C22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3.须列出所有设备维保服务类型及价格。</w:t>
      </w:r>
    </w:p>
    <w:p w14:paraId="4BA58DB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4.如标配中含有打印机的，要求配置医院现有品牌（所用耗材需与医院现有耗材一致）。</w:t>
      </w:r>
    </w:p>
    <w:p w14:paraId="7A66FF5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204573E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F1DB5F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7.如具有工作站或相关操作系统，其中包含的所有软件，无年度维护费用；软件中涉及到存储病人就诊信息的，无单独就诊卡或芯片类存储介质。 </w:t>
      </w:r>
    </w:p>
    <w:p w14:paraId="19101C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8.自验收合格之日起计保修期，提供整机（包含附件，如稳压电源、脚踏、推车等）原厂保修服务≥3年，承担保修期内设备任何故障产生的费用。</w:t>
      </w:r>
    </w:p>
    <w:p w14:paraId="0F4A2B3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en-US" w:eastAsia="zh-CN"/>
        </w:rPr>
        <w:t>保修期内每季度定期由专业工程师对设备进行巡检，并出具相应工单交使用科室及医学工程科备案。</w:t>
      </w:r>
    </w:p>
    <w:p w14:paraId="002643B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bookmarkEnd w:id="433"/>
    <w:bookmarkEnd w:id="434"/>
    <w:bookmarkEnd w:id="435"/>
    <w:p w14:paraId="0A7213FE">
      <w:pPr>
        <w:rPr>
          <w:rFonts w:hint="eastAsia" w:ascii="宋体" w:hAnsi="宋体" w:eastAsia="黑体" w:cstheme="minorBidi"/>
          <w:b/>
          <w:bCs/>
          <w:color w:val="auto"/>
          <w:kern w:val="44"/>
          <w:sz w:val="44"/>
          <w:szCs w:val="44"/>
          <w:highlight w:val="none"/>
          <w:lang w:val="en-US" w:eastAsia="zh-CN" w:bidi="ar-SA"/>
        </w:rPr>
      </w:pPr>
    </w:p>
    <w:p w14:paraId="75823E1B">
      <w:pPr>
        <w:keepNext w:val="0"/>
        <w:keepLines w:val="0"/>
        <w:widowControl/>
        <w:suppressLineNumbers w:val="0"/>
        <w:jc w:val="left"/>
        <w:rPr>
          <w:color w:val="auto"/>
          <w:highlight w:val="none"/>
        </w:rPr>
      </w:pPr>
    </w:p>
    <w:p w14:paraId="46C449C0">
      <w:pPr>
        <w:keepNext w:val="0"/>
        <w:keepLines w:val="0"/>
        <w:widowControl/>
        <w:suppressLineNumbers w:val="0"/>
        <w:jc w:val="left"/>
        <w:rPr>
          <w:color w:val="auto"/>
          <w:highlight w:val="none"/>
        </w:rPr>
      </w:pPr>
    </w:p>
    <w:p w14:paraId="5EA19B22">
      <w:pPr>
        <w:keepNext w:val="0"/>
        <w:keepLines w:val="0"/>
        <w:widowControl/>
        <w:suppressLineNumbers w:val="0"/>
        <w:jc w:val="left"/>
        <w:rPr>
          <w:color w:val="auto"/>
          <w:highlight w:val="none"/>
        </w:rPr>
      </w:pPr>
    </w:p>
    <w:p w14:paraId="737DFBFD">
      <w:pPr>
        <w:keepNext w:val="0"/>
        <w:keepLines w:val="0"/>
        <w:widowControl/>
        <w:suppressLineNumbers w:val="0"/>
        <w:jc w:val="left"/>
        <w:rPr>
          <w:color w:val="auto"/>
          <w:highlight w:val="none"/>
        </w:rPr>
      </w:pPr>
    </w:p>
    <w:p w14:paraId="2620E947">
      <w:pPr>
        <w:rPr>
          <w:rFonts w:hint="eastAsia" w:ascii="宋体" w:hAnsi="宋体" w:eastAsia="宋体" w:cs="宋体"/>
          <w:b/>
          <w:bCs/>
          <w:color w:val="auto"/>
          <w:kern w:val="44"/>
          <w:sz w:val="36"/>
          <w:szCs w:val="36"/>
          <w:highlight w:val="none"/>
          <w:lang w:val="en-US" w:eastAsia="zh-CN" w:bidi="ar-SA"/>
        </w:rPr>
      </w:pPr>
      <w:bookmarkStart w:id="436" w:name="_Toc10757"/>
      <w:bookmarkStart w:id="437" w:name="_Toc716"/>
      <w:r>
        <w:rPr>
          <w:rFonts w:hint="eastAsia" w:ascii="宋体" w:hAnsi="宋体" w:eastAsia="宋体" w:cs="宋体"/>
          <w:b/>
          <w:bCs/>
          <w:color w:val="auto"/>
          <w:kern w:val="44"/>
          <w:sz w:val="36"/>
          <w:szCs w:val="36"/>
          <w:highlight w:val="none"/>
          <w:lang w:val="en-US" w:eastAsia="zh-CN" w:bidi="ar-SA"/>
        </w:rPr>
        <w:br w:type="page"/>
      </w: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评审方法及标准</w:t>
      </w:r>
      <w:bookmarkEnd w:id="436"/>
      <w:bookmarkEnd w:id="437"/>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8" w:name="_Toc17539"/>
      <w:bookmarkStart w:id="439" w:name="_Toc28495"/>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38"/>
      <w:bookmarkEnd w:id="439"/>
    </w:p>
    <w:p w14:paraId="53640E9C">
      <w:pPr>
        <w:pStyle w:val="34"/>
        <w:keepNext w:val="0"/>
        <w:keepLines w:val="0"/>
        <w:pageBreakBefore w:val="0"/>
        <w:widowControl w:val="0"/>
        <w:kinsoku/>
        <w:wordWrap w:val="0"/>
        <w:overflowPunct/>
        <w:topLinePunct w:val="0"/>
        <w:autoSpaceDE/>
        <w:autoSpaceDN/>
        <w:bidi w:val="0"/>
        <w:adjustRightInd/>
        <w:snapToGrid/>
        <w:spacing w:line="420" w:lineRule="exact"/>
        <w:ind w:firstLine="480"/>
        <w:textAlignment w:val="auto"/>
        <w:rPr>
          <w:rFonts w:hint="eastAsia" w:ascii="宋体" w:hAnsi="宋体" w:eastAsia="宋体" w:cs="宋体"/>
          <w:color w:val="auto"/>
          <w:highlight w:val="none"/>
        </w:rPr>
      </w:pPr>
      <w:r>
        <w:rPr>
          <w:rFonts w:hint="eastAsia" w:cs="宋体"/>
          <w:color w:val="auto"/>
          <w:highlight w:val="none"/>
          <w:lang w:val="en-US" w:eastAsia="zh-CN"/>
        </w:rPr>
        <w:t>评审方法：</w:t>
      </w:r>
      <w:r>
        <w:rPr>
          <w:rFonts w:hint="eastAsia" w:ascii="宋体" w:hAnsi="宋体" w:eastAsia="宋体" w:cs="宋体"/>
          <w:color w:val="auto"/>
          <w:highlight w:val="none"/>
          <w:lang w:val="en-US" w:eastAsia="zh-CN"/>
        </w:rPr>
        <w:t>谈判小组与符合资格条件的供应商就采购货物、工程和服务事宜进行谈判，供应商按照谈判文件的要求提交响应文件和最后报价</w:t>
      </w:r>
      <w:r>
        <w:rPr>
          <w:rFonts w:hint="eastAsia" w:ascii="宋体" w:hAnsi="宋体" w:eastAsia="宋体" w:cs="宋体"/>
          <w:b/>
          <w:bCs/>
          <w:color w:val="auto"/>
          <w:szCs w:val="24"/>
          <w:highlight w:val="none"/>
          <w:lang w:val="zh-CN"/>
        </w:rPr>
        <w:t>（因落实政府采购政策进行价格调整的，以调整后的价格计算）</w:t>
      </w:r>
      <w:r>
        <w:rPr>
          <w:rFonts w:hint="eastAsia" w:ascii="宋体" w:hAnsi="宋体" w:eastAsia="宋体" w:cs="宋体"/>
          <w:color w:val="auto"/>
          <w:highlight w:val="none"/>
          <w:lang w:val="en-US" w:eastAsia="zh-CN"/>
        </w:rPr>
        <w:t>，采购人从谈判小组提出的成交候选人中确定成交供应商</w:t>
      </w:r>
      <w:r>
        <w:rPr>
          <w:rFonts w:hint="eastAsia" w:ascii="宋体" w:hAnsi="宋体" w:eastAsia="宋体" w:cs="宋体"/>
          <w:color w:val="auto"/>
          <w:highlight w:val="none"/>
        </w:rPr>
        <w:t>。</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40" w:name="_Toc662"/>
      <w:bookmarkStart w:id="441" w:name="_Toc24199"/>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40"/>
      <w:bookmarkEnd w:id="441"/>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2" w:name="_Toc1596"/>
      <w:bookmarkStart w:id="443"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42"/>
      <w:bookmarkEnd w:id="443"/>
    </w:p>
    <w:p w14:paraId="6C7F2EBF">
      <w:pPr>
        <w:keepNext w:val="0"/>
        <w:keepLines w:val="0"/>
        <w:pageBreakBefore w:val="0"/>
        <w:widowControl w:val="0"/>
        <w:tabs>
          <w:tab w:val="left" w:pos="312"/>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文件规定的供应商资格条件、评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成交的标准等事项，对供应商的响应文件进行评审。资格审查和符合性审查不符合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文件要求的响应文件，按</w:t>
      </w:r>
      <w:r>
        <w:rPr>
          <w:rFonts w:hint="eastAsia" w:ascii="宋体" w:hAnsi="宋体" w:eastAsia="宋体" w:cs="宋体"/>
          <w:b/>
          <w:bCs/>
          <w:color w:val="auto"/>
          <w:sz w:val="24"/>
          <w:szCs w:val="24"/>
          <w:highlight w:val="none"/>
        </w:rPr>
        <w:t>无效文件</w:t>
      </w:r>
      <w:r>
        <w:rPr>
          <w:rFonts w:hint="eastAsia" w:ascii="宋体" w:hAnsi="宋体" w:eastAsia="宋体" w:cs="宋体"/>
          <w:color w:val="auto"/>
          <w:sz w:val="24"/>
          <w:szCs w:val="24"/>
          <w:highlight w:val="none"/>
        </w:rPr>
        <w:t>处理，不进入</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，并告知有关供应商</w:t>
      </w:r>
      <w:r>
        <w:rPr>
          <w:rFonts w:hint="eastAsia" w:ascii="宋体" w:hAnsi="宋体" w:eastAsia="宋体" w:cs="宋体"/>
          <w:color w:val="auto"/>
          <w:sz w:val="24"/>
          <w:szCs w:val="24"/>
          <w:highlight w:val="none"/>
          <w:lang w:val="zh-CN"/>
        </w:rPr>
        <w:t>。</w:t>
      </w:r>
    </w:p>
    <w:p w14:paraId="1C382249">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2.同品牌检查：</w:t>
      </w:r>
    </w:p>
    <w:p w14:paraId="30880557">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2.1单一产品采购（或非单一产品采购中的核心产品），提供相同品牌产品且通过资格审查、符合性审查的不同供应商参加同一合同项下谈判的，按一家供应商计算。</w:t>
      </w:r>
    </w:p>
    <w:p w14:paraId="6D41A4A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2208256">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2.3有效品牌不足3家的应按废标处理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4" w:name="_Toc163493635"/>
      <w:bookmarkStart w:id="445" w:name="_Toc11015"/>
      <w:bookmarkStart w:id="446" w:name="_Hlk158124046"/>
      <w:bookmarkStart w:id="447" w:name="_Toc102119879"/>
      <w:bookmarkStart w:id="448" w:name="_Toc102114946"/>
      <w:bookmarkStart w:id="449" w:name="_Toc102056244"/>
      <w:bookmarkStart w:id="450" w:name="_Toc102116178"/>
      <w:bookmarkStart w:id="451" w:name="_Toc102116048"/>
      <w:bookmarkStart w:id="452" w:name="_Toc102057744"/>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44"/>
      <w:bookmarkEnd w:id="445"/>
    </w:p>
    <w:p w14:paraId="4E589A4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1.评审期间，</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7D6F80BE">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olor w:val="auto"/>
          <w:sz w:val="24"/>
          <w:szCs w:val="24"/>
          <w:highlight w:val="none"/>
        </w:rPr>
        <w:t>是其响应文件的有效组成部分，澄清、说明或者补正应当以书面的方式</w:t>
      </w:r>
      <w:r>
        <w:rPr>
          <w:rFonts w:hint="eastAsia" w:ascii="宋体" w:hAnsi="宋体" w:eastAsia="宋体" w:cs="宋体"/>
          <w:color w:val="auto"/>
          <w:sz w:val="24"/>
          <w:szCs w:val="24"/>
          <w:highlight w:val="none"/>
          <w:lang w:val="en-US" w:eastAsia="zh-CN"/>
        </w:rPr>
        <w:t>由法定代表人或其授权代表签字或者加盖公章（</w:t>
      </w:r>
      <w:r>
        <w:rPr>
          <w:rFonts w:hint="eastAsia" w:ascii="宋体" w:hAnsi="宋体" w:eastAsia="宋体" w:cs="宋体"/>
          <w:color w:val="auto"/>
          <w:sz w:val="24"/>
          <w:szCs w:val="24"/>
          <w:highlight w:val="none"/>
        </w:rPr>
        <w:t>电子印章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后提交</w:t>
      </w:r>
      <w:r>
        <w:rPr>
          <w:rFonts w:hint="eastAsia" w:ascii="宋体" w:hAnsi="宋体" w:eastAsia="宋体" w:cs="宋体"/>
          <w:color w:val="auto"/>
          <w:sz w:val="24"/>
          <w:szCs w:val="24"/>
          <w:highlight w:val="none"/>
          <w:lang w:val="en-US" w:eastAsia="zh-CN"/>
        </w:rPr>
        <w:t>。由授权代表签字的，应当附法定代表人授权书。供应商为自然人的，应当由本人签字并附身份证明。</w:t>
      </w:r>
    </w:p>
    <w:bookmarkEnd w:id="446"/>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3" w:name="_Toc13539"/>
      <w:bookmarkStart w:id="454"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谈判程序</w:t>
      </w:r>
      <w:bookmarkEnd w:id="453"/>
      <w:bookmarkEnd w:id="454"/>
    </w:p>
    <w:p w14:paraId="3B21DF86">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小组应当依据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文件规定的程序、评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成交的标准等事项与</w:t>
      </w:r>
      <w:r>
        <w:rPr>
          <w:rFonts w:hint="eastAsia" w:ascii="宋体" w:hAnsi="宋体" w:eastAsia="宋体" w:cs="宋体"/>
          <w:color w:val="auto"/>
          <w:sz w:val="24"/>
          <w:szCs w:val="24"/>
          <w:highlight w:val="none"/>
          <w:lang w:val="zh-CN"/>
        </w:rPr>
        <w:t>实质性</w:t>
      </w:r>
      <w:r>
        <w:rPr>
          <w:rFonts w:hint="eastAsia" w:ascii="宋体" w:hAnsi="宋体" w:eastAsia="宋体" w:cs="宋体"/>
          <w:color w:val="auto"/>
          <w:sz w:val="24"/>
          <w:szCs w:val="24"/>
          <w:highlight w:val="none"/>
        </w:rPr>
        <w:t>响应</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文件要求的供应商进行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1.第一轮谈判</w:t>
      </w:r>
    </w:p>
    <w:p w14:paraId="0B92300B">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小组将按照系统随机的顺序决定供应商的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顺序，并集中与单一供应商分别进行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7F6A6EA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小组所有成员应当对照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文件和响应文件就采购需求、质量和服务等内容集中与单一供应商分别进行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，并给予所有参加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的供应商平等的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机会。在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的任何一方不得透露与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有关的其他供应商的技术资料、价格和其他信息。</w:t>
      </w:r>
    </w:p>
    <w:p w14:paraId="1BC6C917">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过程中，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文件中的其他内容。实质性变动的内容，须经采购人代表确认。</w:t>
      </w:r>
    </w:p>
    <w:p w14:paraId="26C7DC2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文件作出的实质性变动的内容是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文件的有效组成部分。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文件的变动情况以书面</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式通知所有参加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w:t>
      </w:r>
    </w:p>
    <w:p w14:paraId="708F2F98">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1.5供应商应当按照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2.多轮谈判</w:t>
      </w:r>
    </w:p>
    <w:p w14:paraId="07D8F4C4">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由供应商提供最终设计方案或解决方案的项目，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小组可以根据采购人对采购需求的确认情况，进行多轮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，直到采购人代表最终确认采购需求为止。</w:t>
      </w:r>
    </w:p>
    <w:p w14:paraId="7990D9D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程序同第一轮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0F051FC6">
      <w:pPr>
        <w:pStyle w:val="34"/>
        <w:keepNext w:val="0"/>
        <w:keepLines w:val="0"/>
        <w:pageBreakBefore w:val="0"/>
        <w:widowControl w:val="0"/>
        <w:kinsoku/>
        <w:overflowPunct/>
        <w:topLinePunct w:val="0"/>
        <w:autoSpaceDE/>
        <w:autoSpaceDN/>
        <w:bidi w:val="0"/>
        <w:spacing w:line="420" w:lineRule="exact"/>
        <w:ind w:firstLine="48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2.4如谈判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w:t>
      </w:r>
      <w:r>
        <w:rPr>
          <w:rFonts w:hint="eastAsia" w:cs="宋体"/>
          <w:color w:val="auto"/>
          <w:sz w:val="24"/>
          <w:szCs w:val="24"/>
          <w:highlight w:val="none"/>
          <w:lang w:val="en-US" w:eastAsia="zh-CN"/>
        </w:rPr>
        <w:t>未</w:t>
      </w:r>
      <w:r>
        <w:rPr>
          <w:rFonts w:hint="eastAsia" w:ascii="宋体" w:hAnsi="宋体" w:eastAsia="宋体" w:cs="宋体"/>
          <w:color w:val="auto"/>
          <w:sz w:val="24"/>
          <w:szCs w:val="24"/>
          <w:highlight w:val="none"/>
        </w:rPr>
        <w:t>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文件作出实质性变动</w:t>
      </w:r>
      <w:r>
        <w:rPr>
          <w:rFonts w:hint="eastAsia" w:cs="宋体"/>
          <w:color w:val="auto"/>
          <w:sz w:val="24"/>
          <w:szCs w:val="24"/>
          <w:highlight w:val="none"/>
          <w:lang w:val="en-US" w:eastAsia="zh-CN"/>
        </w:rPr>
        <w:t>增加新的需求，则供应商后一轮报价不得高于前一轮报价。本项目谈判轮次及谈判顺序详“供应商须知前附表”。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3FE2B13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文件中能够详细列明采购标的的技术、服务要求的，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小组应当要求所有</w:t>
      </w:r>
      <w:r>
        <w:rPr>
          <w:rFonts w:hint="eastAsia" w:ascii="宋体" w:hAnsi="宋体" w:eastAsia="宋体" w:cs="宋体"/>
          <w:color w:val="auto"/>
          <w:sz w:val="24"/>
          <w:szCs w:val="24"/>
          <w:highlight w:val="none"/>
          <w:lang w:val="en-US" w:eastAsia="zh-CN"/>
        </w:rPr>
        <w:t>实质性响应</w:t>
      </w:r>
      <w:r>
        <w:rPr>
          <w:rFonts w:hint="eastAsia" w:ascii="宋体" w:hAnsi="宋体" w:eastAsia="宋体" w:cs="宋体"/>
          <w:color w:val="auto"/>
          <w:sz w:val="24"/>
          <w:szCs w:val="24"/>
          <w:highlight w:val="none"/>
        </w:rPr>
        <w:t>的供应商，在规定时间内，以书面的方式经</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rPr>
        <w:t>授权代表签字（或加盖公章）后提交最后报价，提交最后报价的供应商不得少于3家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市场竞争不充分的科研项目，以及需要扶持的科技成果转化项目可以为2家，</w:t>
      </w:r>
      <w:r>
        <w:rPr>
          <w:rFonts w:hint="eastAsia" w:ascii="宋体" w:hAnsi="宋体" w:eastAsia="宋体" w:cs="宋体"/>
          <w:snapToGrid w:val="0"/>
          <w:color w:val="auto"/>
          <w:sz w:val="24"/>
          <w:szCs w:val="24"/>
          <w:highlight w:val="none"/>
        </w:rPr>
        <w:t>政府购买服务项目[含政府和社会资本合作项目]，在采购过程中符合要求的供应商[社会资本]只有2家的</w:t>
      </w:r>
      <w:r>
        <w:rPr>
          <w:rFonts w:hint="eastAsia" w:ascii="宋体" w:hAnsi="宋体" w:eastAsia="宋体" w:cs="宋体"/>
          <w:color w:val="auto"/>
          <w:sz w:val="24"/>
          <w:szCs w:val="24"/>
          <w:highlight w:val="none"/>
        </w:rPr>
        <w:t>可以为2家</w:t>
      </w:r>
      <w:r>
        <w:rPr>
          <w:rFonts w:hint="eastAsia" w:cs="宋体"/>
          <w:color w:val="auto"/>
          <w:sz w:val="24"/>
          <w:szCs w:val="24"/>
          <w:highlight w:val="none"/>
          <w:lang w:val="en-US" w:eastAsia="zh-CN"/>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45C3849D">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设计方案或解决方案的，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按照少数服从多数的原则投票推荐3家以上（公开招标的货物和服务项目，招标过程中提交投标文件或者经评审实质性响应招标文件要求的供应商只有2家时，经本级财政部门批准后采用竞争性谈判方式采购的可以为2家）供应商的设计方案或者解决方案，并要求其在规定时间内提交最后报价。</w:t>
      </w:r>
    </w:p>
    <w:p w14:paraId="6A85ACA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最后报价是供应商响应文件的有效组成部分。逾时不提交的，视同退出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6331671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最后报价出现前后不一致的，按照下列规定修正：</w:t>
      </w:r>
    </w:p>
    <w:p w14:paraId="41A8A1D4">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（1）大写金额和小写金额不一致的，以大写金额为准；</w:t>
      </w:r>
    </w:p>
    <w:p w14:paraId="79A2142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（2）单价金额</w:t>
      </w:r>
      <w:r>
        <w:rPr>
          <w:rFonts w:hint="eastAsia" w:ascii="宋体" w:hAnsi="宋体" w:eastAsia="宋体" w:cs="宋体"/>
          <w:color w:val="auto"/>
          <w:sz w:val="24"/>
          <w:szCs w:val="24"/>
          <w:highlight w:val="none"/>
        </w:rPr>
        <w:t>小数点</w:t>
      </w:r>
      <w:r>
        <w:rPr>
          <w:rFonts w:hint="eastAsia" w:ascii="宋体" w:hAnsi="宋体" w:eastAsia="宋体" w:cs="宋体"/>
          <w:color w:val="auto"/>
          <w:sz w:val="24"/>
          <w:szCs w:val="24"/>
          <w:highlight w:val="none"/>
          <w:lang w:val="zh-CN"/>
        </w:rPr>
        <w:t>或百分比有明显错位的，以最后报价表的总价为准，并修改单价；</w:t>
      </w:r>
    </w:p>
    <w:p w14:paraId="53C9A12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（3）总价金额与按单价汇总金额不一致的，以单价金额计算结果为准；</w:t>
      </w:r>
    </w:p>
    <w:p w14:paraId="62F02C6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（4）同时出现</w:t>
      </w:r>
      <w:r>
        <w:rPr>
          <w:rFonts w:hint="eastAsia" w:ascii="宋体" w:hAnsi="宋体" w:eastAsia="宋体" w:cs="宋体"/>
          <w:color w:val="auto"/>
          <w:sz w:val="24"/>
          <w:szCs w:val="24"/>
          <w:highlight w:val="none"/>
        </w:rPr>
        <w:t>两种</w:t>
      </w:r>
      <w:r>
        <w:rPr>
          <w:rFonts w:hint="eastAsia" w:ascii="宋体" w:hAnsi="宋体" w:eastAsia="宋体" w:cs="宋体"/>
          <w:color w:val="auto"/>
          <w:sz w:val="24"/>
          <w:szCs w:val="24"/>
          <w:highlight w:val="none"/>
          <w:lang w:val="zh-CN"/>
        </w:rPr>
        <w:t>以上不一致的，按照前款规定的顺序修正；</w:t>
      </w:r>
    </w:p>
    <w:p w14:paraId="492B1BC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修正后的报价应通过书面方式通知供应商，由供应商</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lang w:val="zh-CN"/>
        </w:rPr>
        <w:t>授权代表签字（或加盖公章）确认后产生约束力，供应商不确认的，按照</w:t>
      </w:r>
      <w:r>
        <w:rPr>
          <w:rFonts w:hint="eastAsia" w:ascii="宋体" w:hAnsi="宋体" w:eastAsia="宋体" w:cs="宋体"/>
          <w:b/>
          <w:bCs/>
          <w:color w:val="auto"/>
          <w:sz w:val="24"/>
          <w:szCs w:val="24"/>
          <w:highlight w:val="none"/>
          <w:lang w:val="zh-CN"/>
        </w:rPr>
        <w:t>无效响应</w:t>
      </w:r>
      <w:r>
        <w:rPr>
          <w:rFonts w:hint="eastAsia" w:ascii="宋体" w:hAnsi="宋体" w:eastAsia="宋体" w:cs="宋体"/>
          <w:color w:val="auto"/>
          <w:sz w:val="24"/>
          <w:szCs w:val="24"/>
          <w:highlight w:val="none"/>
          <w:lang w:val="zh-CN"/>
        </w:rPr>
        <w:t>处理。</w:t>
      </w:r>
    </w:p>
    <w:p w14:paraId="040E7FCB">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bookmarkStart w:id="455" w:name="_Toc102116179"/>
      <w:bookmarkStart w:id="456" w:name="_Toc102119880"/>
      <w:bookmarkStart w:id="457" w:name="_Toc102116049"/>
      <w:bookmarkStart w:id="458" w:name="_Toc102114947"/>
      <w:bookmarkStart w:id="459" w:name="_Toc102057745"/>
      <w:bookmarkStart w:id="460" w:name="_Toc102056245"/>
      <w:r>
        <w:rPr>
          <w:rFonts w:hint="eastAsia" w:ascii="宋体" w:hAnsi="宋体" w:eastAsia="宋体" w:cs="宋体"/>
          <w:color w:val="auto"/>
          <w:sz w:val="24"/>
          <w:szCs w:val="24"/>
          <w:highlight w:val="none"/>
          <w:lang w:val="en-US" w:eastAsia="zh-CN"/>
        </w:rPr>
        <w:t>3.4已提交响应文件的供应商，在提交最后报价之前，可以根据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情况退出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4.商务技术评审</w:t>
      </w:r>
    </w:p>
    <w:p w14:paraId="2D2ED26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w:t>
      </w:r>
      <w:r>
        <w:rPr>
          <w:rFonts w:hint="eastAsia" w:cs="宋体"/>
          <w:color w:val="auto"/>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w:t>
      </w:r>
      <w:r>
        <w:rPr>
          <w:rFonts w:hint="eastAsia" w:cs="宋体"/>
          <w:b/>
          <w:bCs/>
          <w:color w:val="auto"/>
          <w:sz w:val="24"/>
          <w:szCs w:val="24"/>
          <w:highlight w:val="none"/>
          <w:lang w:val="en-US" w:eastAsia="zh-CN"/>
        </w:rPr>
        <w:t>无效响应</w:t>
      </w:r>
      <w:r>
        <w:rPr>
          <w:rFonts w:hint="eastAsia" w:cs="宋体"/>
          <w:color w:val="auto"/>
          <w:sz w:val="24"/>
          <w:szCs w:val="24"/>
          <w:highlight w:val="none"/>
          <w:lang w:val="en-US" w:eastAsia="zh-CN"/>
        </w:rPr>
        <w:t>处理</w:t>
      </w:r>
      <w:r>
        <w:rPr>
          <w:rFonts w:hint="eastAsia" w:ascii="宋体" w:hAnsi="宋体" w:eastAsia="宋体" w:cs="宋体"/>
          <w:color w:val="auto"/>
          <w:sz w:val="24"/>
          <w:szCs w:val="24"/>
          <w:highlight w:val="none"/>
          <w:lang w:val="zh-CN"/>
        </w:rPr>
        <w:t>。</w:t>
      </w:r>
    </w:p>
    <w:bookmarkEnd w:id="447"/>
    <w:bookmarkEnd w:id="448"/>
    <w:bookmarkEnd w:id="449"/>
    <w:bookmarkEnd w:id="450"/>
    <w:bookmarkEnd w:id="451"/>
    <w:bookmarkEnd w:id="452"/>
    <w:bookmarkEnd w:id="455"/>
    <w:bookmarkEnd w:id="456"/>
    <w:bookmarkEnd w:id="457"/>
    <w:bookmarkEnd w:id="458"/>
    <w:bookmarkEnd w:id="459"/>
    <w:bookmarkEnd w:id="460"/>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1" w:name="_Toc102119882"/>
      <w:bookmarkStart w:id="462" w:name="_Toc102116051"/>
      <w:bookmarkStart w:id="463" w:name="_Toc102057747"/>
      <w:bookmarkStart w:id="464" w:name="_Toc102116181"/>
      <w:bookmarkStart w:id="465" w:name="_Toc102114949"/>
      <w:bookmarkStart w:id="466" w:name="_Toc102056247"/>
      <w:r>
        <w:rPr>
          <w:rFonts w:hint="eastAsia" w:ascii="宋体" w:hAnsi="宋体" w:eastAsia="宋体" w:cs="宋体"/>
          <w:b/>
          <w:bCs/>
          <w:color w:val="auto"/>
          <w:kern w:val="2"/>
          <w:sz w:val="24"/>
          <w:szCs w:val="24"/>
          <w:highlight w:val="none"/>
          <w:lang w:val="en-US" w:eastAsia="zh-CN" w:bidi="ar-SA"/>
        </w:rPr>
        <w:t>5.报价评</w:t>
      </w:r>
      <w:bookmarkEnd w:id="461"/>
      <w:bookmarkEnd w:id="462"/>
      <w:bookmarkEnd w:id="463"/>
      <w:bookmarkEnd w:id="464"/>
      <w:bookmarkEnd w:id="465"/>
      <w:bookmarkEnd w:id="466"/>
      <w:r>
        <w:rPr>
          <w:rFonts w:hint="eastAsia" w:ascii="宋体" w:hAnsi="宋体" w:eastAsia="宋体" w:cs="宋体"/>
          <w:b/>
          <w:bCs/>
          <w:color w:val="auto"/>
          <w:kern w:val="2"/>
          <w:sz w:val="24"/>
          <w:szCs w:val="24"/>
          <w:highlight w:val="none"/>
          <w:lang w:val="en-US" w:eastAsia="zh-CN" w:bidi="ar-SA"/>
        </w:rPr>
        <w:t>审</w:t>
      </w:r>
    </w:p>
    <w:p w14:paraId="4F87D81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5.1报价合理性说明：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小组认为供应商的最后报价明显低于其他供应商最后报价，有可能影响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lang w:val="zh-CN"/>
        </w:rPr>
        <w:t>质量或者不能诚信履约的，应当要求其在合理的时间内提供说明，必要时提交相关证明材料；供应商不能证明其最后报价合理性的，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小组应当将其作</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zh-CN"/>
        </w:rPr>
        <w:t>。</w:t>
      </w:r>
    </w:p>
    <w:p w14:paraId="1B3E8B5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5.1.1供应商应根据答疑内容在规定的时间内提供说明和成本清单等相关证明材料，</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小组认定相关证明材料对此报价的说明或者证明材料可以佐证此报价的货物质量和具有诚信履约能力，予以通过审查；</w:t>
      </w:r>
    </w:p>
    <w:p w14:paraId="61371D0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5.1.3供应商不能合理说明或者不能提供相关证明材料的，由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小组认定该供应商以低于成本报价竞标，有可能影响货物质量或者不能诚信履约，应当</w:t>
      </w:r>
      <w:r>
        <w:rPr>
          <w:rFonts w:hint="eastAsia" w:ascii="宋体" w:hAnsi="宋体" w:eastAsia="宋体" w:cs="宋体"/>
          <w:color w:val="auto"/>
          <w:sz w:val="24"/>
          <w:szCs w:val="24"/>
          <w:highlight w:val="none"/>
          <w:lang w:val="zh-CN"/>
        </w:rPr>
        <w:t>将其作为</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en-US" w:eastAsia="zh-CN"/>
        </w:rPr>
        <w:t>；</w:t>
      </w:r>
    </w:p>
    <w:p w14:paraId="071B5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5.1.4供应商也可以有预见性地准备好上述要求的书面说明和相关证明材料并加盖公章。</w:t>
      </w:r>
    </w:p>
    <w:p w14:paraId="048C37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color w:val="auto"/>
          <w:sz w:val="24"/>
          <w:szCs w:val="24"/>
          <w:highlight w:val="none"/>
          <w:lang w:val="en-US" w:eastAsia="zh-CN"/>
        </w:rPr>
      </w:pPr>
      <w:r>
        <w:rPr>
          <w:rFonts w:hint="eastAsia" w:ascii="宋体" w:hAnsi="宋体" w:eastAsia="宋体" w:cs="宋体"/>
          <w:b/>
          <w:bCs/>
          <w:color w:val="auto"/>
          <w:sz w:val="24"/>
          <w:szCs w:val="24"/>
          <w:highlight w:val="none"/>
          <w:lang w:val="zh-CN"/>
        </w:rPr>
        <w:t>5.2</w:t>
      </w:r>
      <w:r>
        <w:rPr>
          <w:rFonts w:hint="eastAsia"/>
          <w:b/>
          <w:bCs/>
          <w:color w:val="auto"/>
          <w:sz w:val="24"/>
          <w:szCs w:val="24"/>
          <w:highlight w:val="none"/>
          <w:lang w:val="en-US" w:eastAsia="zh-CN"/>
        </w:rPr>
        <w:t>.</w:t>
      </w:r>
      <w:r>
        <w:rPr>
          <w:rFonts w:hint="eastAsia"/>
          <w:b/>
          <w:bCs/>
          <w:color w:val="auto"/>
          <w:sz w:val="24"/>
          <w:szCs w:val="24"/>
          <w:highlight w:val="none"/>
        </w:rPr>
        <w:t>政府采购异常低价审查</w:t>
      </w:r>
    </w:p>
    <w:p w14:paraId="6A7A5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5625AA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D739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465D4A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78081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08143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5.</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价格扣除：</w:t>
      </w:r>
      <w:r>
        <w:rPr>
          <w:rFonts w:hint="eastAsia" w:ascii="宋体" w:hAnsi="宋体" w:eastAsia="宋体" w:cs="宋体"/>
          <w:color w:val="auto"/>
          <w:sz w:val="24"/>
          <w:szCs w:val="24"/>
          <w:highlight w:val="none"/>
          <w:lang w:val="zh-CN"/>
        </w:rPr>
        <w:t xml:space="preserve"> </w:t>
      </w:r>
    </w:p>
    <w:p w14:paraId="1F4B5526">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的报价按照本竞争性谈判文件“供应商须知前附表”中的规定扣除，用扣除后的价格参与评审，采购产品纳入创新产品应用示范推荐目录内企业、采购产品获得节能产品或环境标志产品认证证书的供应商按照本竞争性谈判文件“供应商须知前附表”中的规定给予评审优惠。</w:t>
      </w:r>
    </w:p>
    <w:p w14:paraId="72014FEF">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5.3.3组成联合体或者接受分包的小微企业与联合体内其他企业、分包企业之间存在直接控股、管理关系的，不享受价格扣除优惠政策。</w:t>
      </w:r>
    </w:p>
    <w:p w14:paraId="60984AA9">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5.3.4价格扣除比例对小型企业和微型企业同等对待，不作区分。</w:t>
      </w:r>
    </w:p>
    <w:p w14:paraId="19B743D0">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5.3.5专门面向中小企业、预留部分采购份额面向中小企业采购的项目或采购包，评审时不再进行价格扣除。</w:t>
      </w:r>
    </w:p>
    <w:p w14:paraId="57E1355E">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5.3.6</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5435DD2">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5.4</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04F976C3">
      <w:pPr>
        <w:pStyle w:val="34"/>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40AAE6">
      <w:pPr>
        <w:pStyle w:val="34"/>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5.5</w:t>
      </w:r>
      <w:r>
        <w:rPr>
          <w:rFonts w:hint="eastAsia" w:eastAsia="宋体"/>
          <w:snapToGrid w:val="0"/>
          <w:color w:val="auto"/>
          <w:sz w:val="24"/>
          <w:highlight w:val="none"/>
          <w:lang w:val="en-US" w:eastAsia="zh-CN"/>
        </w:rPr>
        <w:t>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5C3AFB4">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5.6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F32BCC9">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对于仅有本国产品参与竞争的政府采购项目，本国产品不享受价格扣除评审优惠</w:t>
      </w:r>
    </w:p>
    <w:p w14:paraId="2D3F2273">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393D35F">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FAD26D">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E5FD8B2">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6.相同品牌处理原则</w:t>
      </w:r>
    </w:p>
    <w:p w14:paraId="4D6606A2">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E195C1A">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p>
    <w:p w14:paraId="6D6DB070">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7.确定成交候选供应商</w:t>
      </w:r>
    </w:p>
    <w:p w14:paraId="0A48BCBB">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p>
    <w:p w14:paraId="5C7A17A0">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4D6D309B">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7.3采购人或者采购代理机构不得通过对样品进行检测、对供应商进行考察等方式改变评审结果。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7" w:name="_Toc102057750"/>
      <w:bookmarkStart w:id="468" w:name="_Toc102114952"/>
      <w:bookmarkStart w:id="469" w:name="_Toc102056250"/>
      <w:bookmarkStart w:id="470" w:name="_Toc102116184"/>
      <w:bookmarkStart w:id="471" w:name="_Toc102119885"/>
      <w:bookmarkStart w:id="472" w:name="_Toc102116054"/>
      <w:r>
        <w:rPr>
          <w:rFonts w:hint="eastAsia" w:ascii="宋体" w:hAnsi="宋体" w:eastAsia="宋体" w:cs="宋体"/>
          <w:b/>
          <w:bCs/>
          <w:color w:val="auto"/>
          <w:kern w:val="2"/>
          <w:sz w:val="24"/>
          <w:szCs w:val="24"/>
          <w:highlight w:val="none"/>
          <w:lang w:val="en-US" w:eastAsia="zh-CN" w:bidi="ar-SA"/>
        </w:rPr>
        <w:t>8.评审报告</w:t>
      </w:r>
      <w:bookmarkEnd w:id="467"/>
      <w:bookmarkEnd w:id="468"/>
      <w:bookmarkEnd w:id="469"/>
      <w:bookmarkEnd w:id="470"/>
      <w:bookmarkEnd w:id="471"/>
      <w:bookmarkEnd w:id="472"/>
    </w:p>
    <w:p w14:paraId="1836027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8.1</w:t>
      </w:r>
      <w:r>
        <w:rPr>
          <w:rFonts w:hint="eastAsia" w:cs="宋体"/>
          <w:color w:val="auto"/>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投标文件或者经评审实质性响应招标文件要求的供应商只有2家时，经本级财政部门批准后采用竞争性谈判方式采购的可以为2家）以上成交候选供应商，并根据评审记录和评审结果编写评审报告</w:t>
      </w:r>
      <w:r>
        <w:rPr>
          <w:rFonts w:hint="eastAsia" w:ascii="宋体" w:hAnsi="宋体" w:eastAsia="宋体" w:cs="宋体"/>
          <w:color w:val="auto"/>
          <w:sz w:val="24"/>
          <w:szCs w:val="24"/>
          <w:highlight w:val="none"/>
          <w:lang w:eastAsia="zh-CN"/>
        </w:rPr>
        <w:t>。</w:t>
      </w:r>
    </w:p>
    <w:p w14:paraId="541E582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w:t>
      </w:r>
      <w:bookmarkStart w:id="473" w:name="_Toc102056217"/>
      <w:bookmarkStart w:id="474" w:name="_Toc102057717"/>
      <w:bookmarkStart w:id="475" w:name="_Toc102116151"/>
      <w:bookmarkStart w:id="476" w:name="_Toc102119852"/>
      <w:bookmarkStart w:id="477" w:name="_Toc102116021"/>
      <w:bookmarkStart w:id="478" w:name="_Toc102114919"/>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评审报告应当由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小组全体人员签字认可</w:t>
      </w:r>
      <w:r>
        <w:rPr>
          <w:rFonts w:hint="eastAsia" w:cs="Helvetica"/>
          <w:color w:val="auto"/>
          <w:szCs w:val="24"/>
          <w:highlight w:val="none"/>
          <w:lang w:val="zh-CN"/>
        </w:rPr>
        <w:t>，对自己的评审意见依法承担相应责任</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小组按照少数服从多数的原则推荐成交候选供应商，采购程序继续进行。对评审报告有异议的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小组成员，应当在报告上签署不同意见并说明理由，由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小组书面记录相关情况。</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9" w:name="_Toc102057718"/>
      <w:bookmarkStart w:id="480" w:name="_Toc102114920"/>
      <w:bookmarkStart w:id="481" w:name="_Toc102119853"/>
      <w:bookmarkStart w:id="482" w:name="_Toc102116152"/>
      <w:bookmarkStart w:id="483" w:name="_Toc102056218"/>
      <w:bookmarkStart w:id="484" w:name="_Toc102116022"/>
      <w:r>
        <w:rPr>
          <w:rFonts w:hint="eastAsia" w:ascii="宋体" w:hAnsi="宋体" w:eastAsia="宋体" w:cs="宋体"/>
          <w:b/>
          <w:bCs/>
          <w:color w:val="auto"/>
          <w:kern w:val="2"/>
          <w:sz w:val="24"/>
          <w:szCs w:val="24"/>
          <w:highlight w:val="none"/>
          <w:lang w:val="en-US" w:eastAsia="zh-CN" w:bidi="ar-SA"/>
        </w:rPr>
        <w:t>9.响应无效的情形</w:t>
      </w:r>
    </w:p>
    <w:p w14:paraId="21B88F58">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w:t>
      </w:r>
      <w:r>
        <w:rPr>
          <w:rFonts w:hint="eastAsia" w:ascii="宋体" w:hAnsi="宋体" w:eastAsia="宋体" w:cs="宋体"/>
          <w:b w:val="0"/>
          <w:bCs w:val="0"/>
          <w:color w:val="auto"/>
          <w:sz w:val="24"/>
          <w:szCs w:val="24"/>
          <w:highlight w:val="none"/>
        </w:rPr>
        <w:t>供应商存在下列情况之一的，</w:t>
      </w:r>
      <w:r>
        <w:rPr>
          <w:rFonts w:hint="eastAsia" w:ascii="宋体" w:hAnsi="宋体" w:eastAsia="宋体" w:cs="宋体"/>
          <w:b w:val="0"/>
          <w:bCs w:val="0"/>
          <w:color w:val="auto"/>
          <w:sz w:val="24"/>
          <w:szCs w:val="24"/>
          <w:highlight w:val="none"/>
          <w:lang w:val="en-US" w:eastAsia="zh-CN"/>
        </w:rPr>
        <w:t>其</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b w:val="0"/>
          <w:bCs w:val="0"/>
          <w:color w:val="auto"/>
          <w:sz w:val="24"/>
          <w:szCs w:val="24"/>
          <w:highlight w:val="none"/>
        </w:rPr>
        <w:t>：</w:t>
      </w:r>
    </w:p>
    <w:p w14:paraId="702D1A6A">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不同供应商的响应文件由同一单位或者个人编制；</w:t>
      </w:r>
    </w:p>
    <w:p w14:paraId="2B2A7ABE">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w:t>
      </w:r>
      <w:r>
        <w:rPr>
          <w:rFonts w:hint="eastAsia" w:ascii="宋体" w:hAnsi="宋体" w:eastAsia="宋体" w:cs="宋体"/>
          <w:b w:val="0"/>
          <w:bCs w:val="0"/>
          <w:color w:val="auto"/>
          <w:sz w:val="24"/>
          <w:szCs w:val="24"/>
          <w:highlight w:val="none"/>
          <w:lang w:val="en-US" w:eastAsia="zh-CN"/>
        </w:rPr>
        <w:t>谈判响应</w:t>
      </w:r>
      <w:r>
        <w:rPr>
          <w:rFonts w:hint="eastAsia" w:ascii="宋体" w:hAnsi="宋体" w:eastAsia="宋体" w:cs="宋体"/>
          <w:b w:val="0"/>
          <w:bCs w:val="0"/>
          <w:color w:val="auto"/>
          <w:sz w:val="24"/>
          <w:szCs w:val="24"/>
          <w:highlight w:val="none"/>
        </w:rPr>
        <w:t>事宜；</w:t>
      </w:r>
    </w:p>
    <w:p w14:paraId="4EE2FB0A">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不同供应商的响应文件载明的项目管理成员或者联系人员为同一人；</w:t>
      </w:r>
    </w:p>
    <w:p w14:paraId="53A78381">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不同供应商的响应文件异常一致或者</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报价呈规律性差异；</w:t>
      </w:r>
    </w:p>
    <w:p w14:paraId="60D5A539">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不同供应商的响应文件相互混装；</w:t>
      </w:r>
    </w:p>
    <w:p w14:paraId="2FF50D83">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不同供应商的</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保证金从同一单位或者个人的账户转出</w:t>
      </w:r>
      <w:r>
        <w:rPr>
          <w:rFonts w:hint="eastAsia" w:ascii="宋体" w:hAnsi="宋体" w:eastAsia="宋体" w:cs="宋体"/>
          <w:b w:val="0"/>
          <w:bCs w:val="0"/>
          <w:color w:val="auto"/>
          <w:sz w:val="24"/>
          <w:szCs w:val="24"/>
          <w:highlight w:val="none"/>
          <w:lang w:val="en-US" w:eastAsia="zh-CN"/>
        </w:rPr>
        <w:t>；</w:t>
      </w:r>
    </w:p>
    <w:p w14:paraId="29DA958A">
      <w:pPr>
        <w:pStyle w:val="34"/>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（7）法律、法规、规章和竞争性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文件规定的其他响应无效的情形。</w:t>
      </w:r>
    </w:p>
    <w:p w14:paraId="51CFEB2F">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小组应当审查</w:t>
      </w:r>
      <w:r>
        <w:rPr>
          <w:rFonts w:hint="eastAsia" w:ascii="宋体" w:hAnsi="宋体" w:eastAsia="宋体" w:cs="宋体"/>
          <w:b w:val="0"/>
          <w:bCs w:val="0"/>
          <w:color w:val="auto"/>
          <w:sz w:val="24"/>
          <w:szCs w:val="24"/>
          <w:highlight w:val="none"/>
          <w:lang w:val="en-US" w:eastAsia="zh-CN"/>
        </w:rPr>
        <w:t>所有供应商的</w:t>
      </w:r>
      <w:r>
        <w:rPr>
          <w:rFonts w:hint="eastAsia" w:ascii="宋体" w:hAnsi="宋体" w:eastAsia="宋体" w:cs="宋体"/>
          <w:b w:val="0"/>
          <w:bCs w:val="0"/>
          <w:color w:val="auto"/>
          <w:sz w:val="24"/>
          <w:szCs w:val="24"/>
          <w:highlight w:val="none"/>
        </w:rPr>
        <w:t>响应文件是否对竞争性</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文件提出的所有实质性要求和条件做出响应。未能实质</w:t>
      </w:r>
      <w:r>
        <w:rPr>
          <w:rFonts w:hint="eastAsia" w:ascii="宋体" w:hAnsi="宋体" w:eastAsia="宋体" w:cs="宋体"/>
          <w:b w:val="0"/>
          <w:bCs w:val="0"/>
          <w:color w:val="auto"/>
          <w:sz w:val="24"/>
          <w:szCs w:val="24"/>
          <w:highlight w:val="none"/>
          <w:lang w:val="en-US" w:eastAsia="zh-CN"/>
        </w:rPr>
        <w:t>性</w:t>
      </w:r>
      <w:r>
        <w:rPr>
          <w:rFonts w:hint="eastAsia" w:ascii="宋体" w:hAnsi="宋体" w:eastAsia="宋体" w:cs="宋体"/>
          <w:b w:val="0"/>
          <w:bCs w:val="0"/>
          <w:color w:val="auto"/>
          <w:sz w:val="24"/>
          <w:szCs w:val="24"/>
          <w:highlight w:val="none"/>
        </w:rPr>
        <w:t>响应的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76ED559">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供应商不得误导、干扰</w:t>
      </w:r>
      <w:r>
        <w:rPr>
          <w:rFonts w:hint="eastAsia"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lang w:val="en-US" w:eastAsia="zh-CN"/>
        </w:rPr>
        <w:t>小组</w:t>
      </w:r>
      <w:r>
        <w:rPr>
          <w:rFonts w:hint="eastAsia" w:ascii="宋体" w:hAnsi="宋体" w:eastAsia="宋体" w:cs="宋体"/>
          <w:b w:val="0"/>
          <w:bCs w:val="0"/>
          <w:color w:val="auto"/>
          <w:sz w:val="24"/>
          <w:szCs w:val="24"/>
          <w:highlight w:val="none"/>
        </w:rPr>
        <w:t>的评审活动，否则其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10.停止评审的情形</w:t>
      </w:r>
      <w:bookmarkEnd w:id="479"/>
      <w:bookmarkEnd w:id="480"/>
      <w:bookmarkEnd w:id="481"/>
      <w:bookmarkEnd w:id="482"/>
      <w:bookmarkEnd w:id="483"/>
      <w:bookmarkEnd w:id="484"/>
    </w:p>
    <w:p w14:paraId="58A3D9D5">
      <w:pPr>
        <w:keepNext w:val="0"/>
        <w:keepLines w:val="0"/>
        <w:pageBreakBefore w:val="0"/>
        <w:widowControl w:val="0"/>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.1</w:t>
      </w:r>
      <w:r>
        <w:rPr>
          <w:rFonts w:hint="eastAsia"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小组在评审过程中发现供应商有行贿、提供虚假材料或者串通等违法行为的，应当及时向财政部门报告。</w:t>
      </w:r>
    </w:p>
    <w:p w14:paraId="47788DEC">
      <w:pPr>
        <w:pStyle w:val="34"/>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小组发现</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文件存在歧义、重大缺陷导致评审工作无法进行，或者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文件，重新组织采购活动。</w:t>
      </w:r>
    </w:p>
    <w:bookmarkEnd w:id="473"/>
    <w:bookmarkEnd w:id="474"/>
    <w:bookmarkEnd w:id="475"/>
    <w:bookmarkEnd w:id="476"/>
    <w:bookmarkEnd w:id="477"/>
    <w:bookmarkEnd w:id="478"/>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bookmarkStart w:id="485" w:name="_Toc22597"/>
      <w:bookmarkStart w:id="486" w:name="_Toc27446"/>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85"/>
      <w:bookmarkEnd w:id="486"/>
    </w:p>
    <w:p w14:paraId="3B9B7B2C">
      <w:pPr>
        <w:pStyle w:val="34"/>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Cs/>
          <w:color w:val="auto"/>
          <w:highlight w:val="none"/>
          <w:shd w:val="clear" w:color="auto" w:fill="FFFFFF" w:themeFill="background1"/>
          <w:lang w:val="en-US" w:eastAsia="zh-CN"/>
        </w:rPr>
      </w:pPr>
      <w:r>
        <w:rPr>
          <w:rFonts w:hint="eastAsia" w:ascii="宋体" w:hAnsi="宋体" w:eastAsia="宋体" w:cs="宋体"/>
          <w:iCs/>
          <w:color w:val="auto"/>
          <w:highlight w:val="none"/>
          <w:shd w:val="clear" w:color="auto" w:fill="FFFFFF" w:themeFill="background1"/>
          <w:lang w:val="zh-CN" w:eastAsia="zh-CN"/>
        </w:rPr>
        <w:t>【</w:t>
      </w:r>
      <w:r>
        <w:rPr>
          <w:rFonts w:hint="eastAsia" w:ascii="宋体" w:hAnsi="宋体" w:eastAsia="宋体" w:cs="宋体"/>
          <w:iCs/>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Cs/>
          <w:color w:val="auto"/>
          <w:highlight w:val="none"/>
          <w:shd w:val="clear" w:color="auto" w:fill="FFFFFF" w:themeFill="background1"/>
          <w:lang w:val="zh-CN" w:eastAsia="zh-CN"/>
        </w:rPr>
        <w:t>】</w:t>
      </w:r>
    </w:p>
    <w:p w14:paraId="65250809">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87" w:name="_Toc28211"/>
      <w:bookmarkStart w:id="488" w:name="_Toc12134"/>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87"/>
      <w:bookmarkEnd w:id="488"/>
    </w:p>
    <w:p w14:paraId="65074F9F">
      <w:pPr>
        <w:rPr>
          <w:rFonts w:hint="eastAsia"/>
          <w:color w:val="auto"/>
          <w:highlight w:val="none"/>
          <w:lang w:val="zh-CN" w:eastAsia="zh-CN"/>
        </w:rPr>
      </w:pPr>
    </w:p>
    <w:p w14:paraId="50D957C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89" w:name="_Toc163493638"/>
      <w:bookmarkStart w:id="490" w:name="_Toc9052"/>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89"/>
      <w:bookmarkEnd w:id="490"/>
    </w:p>
    <w:tbl>
      <w:tblPr>
        <w:tblStyle w:val="28"/>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636EB3B4">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98" w:type="pct"/>
            <w:shd w:val="clear" w:color="auto" w:fill="FFFFFF" w:themeFill="background1"/>
            <w:vAlign w:val="center"/>
          </w:tcPr>
          <w:p w14:paraId="267C1675">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1" w:type="pct"/>
            <w:shd w:val="clear" w:color="auto" w:fill="FFFFFF" w:themeFill="background1"/>
            <w:vAlign w:val="center"/>
          </w:tcPr>
          <w:p w14:paraId="215E0855">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1-1</w:t>
            </w:r>
          </w:p>
        </w:tc>
        <w:tc>
          <w:tcPr>
            <w:tcW w:w="998" w:type="pct"/>
            <w:shd w:val="clear" w:color="auto" w:fill="FFFFFF" w:themeFill="background1"/>
            <w:vAlign w:val="center"/>
          </w:tcPr>
          <w:p w14:paraId="055CD5DC">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tc>
        <w:tc>
          <w:tcPr>
            <w:tcW w:w="2761" w:type="pct"/>
            <w:shd w:val="clear" w:color="auto" w:fill="FFFFFF" w:themeFill="background1"/>
            <w:vAlign w:val="center"/>
          </w:tcPr>
          <w:p w14:paraId="3CB6034C">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如供应商是企业，应提供“营业执照”；如供应商是事业单位，应提供 “事业单位法人证书”；如供应商是社会团体，应提供“社会团体法人登记证书”；如供应商是个体工商户，应提供有效的“个体工商户营业执照”；如供应商是自然人，应提供有效的自然人身份证明。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1-2</w:t>
            </w:r>
          </w:p>
        </w:tc>
        <w:tc>
          <w:tcPr>
            <w:tcW w:w="998" w:type="pct"/>
            <w:shd w:val="clear" w:color="auto" w:fill="FFFFFF" w:themeFill="background1"/>
            <w:vAlign w:val="center"/>
          </w:tcPr>
          <w:p w14:paraId="1BD0E12D">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1" w:type="pct"/>
            <w:shd w:val="clear" w:color="auto" w:fill="FFFFFF" w:themeFill="background1"/>
            <w:vAlign w:val="center"/>
          </w:tcPr>
          <w:p w14:paraId="041E784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近三年任一年度（2023年或2024年度或2025年度）财务审计报告或近一年内银行提供的资信证明（新公司从成立之日起算）；</w:t>
            </w:r>
          </w:p>
        </w:tc>
        <w:tc>
          <w:tcPr>
            <w:tcW w:w="801"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1-3</w:t>
            </w:r>
          </w:p>
        </w:tc>
        <w:tc>
          <w:tcPr>
            <w:tcW w:w="998" w:type="pct"/>
            <w:shd w:val="clear" w:color="auto" w:fill="FFFFFF" w:themeFill="background1"/>
            <w:vAlign w:val="center"/>
          </w:tcPr>
          <w:p w14:paraId="4E591147">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1" w:type="pct"/>
            <w:shd w:val="clear" w:color="auto" w:fill="FFFFFF" w:themeFill="background1"/>
            <w:vAlign w:val="center"/>
          </w:tcPr>
          <w:p w14:paraId="765DA8A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5BDA093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2754365B">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代缴其社会保险）。</w:t>
            </w:r>
          </w:p>
          <w:p w14:paraId="793C0D1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1-4</w:t>
            </w:r>
          </w:p>
        </w:tc>
        <w:tc>
          <w:tcPr>
            <w:tcW w:w="998" w:type="pct"/>
            <w:shd w:val="clear" w:color="auto" w:fill="FFFFFF" w:themeFill="background1"/>
            <w:vAlign w:val="center"/>
          </w:tcPr>
          <w:p w14:paraId="358C8A9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1" w:type="pct"/>
            <w:shd w:val="clear" w:color="auto" w:fill="FFFFFF" w:themeFill="background1"/>
            <w:vAlign w:val="center"/>
          </w:tcPr>
          <w:p w14:paraId="5E32CC25">
            <w:pPr>
              <w:pStyle w:val="45"/>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1-5</w:t>
            </w:r>
          </w:p>
        </w:tc>
        <w:tc>
          <w:tcPr>
            <w:tcW w:w="998" w:type="pct"/>
            <w:shd w:val="clear" w:color="auto" w:fill="FFFFFF" w:themeFill="background1"/>
            <w:vAlign w:val="center"/>
          </w:tcPr>
          <w:p w14:paraId="486470A7">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1-6</w:t>
            </w:r>
          </w:p>
        </w:tc>
        <w:tc>
          <w:tcPr>
            <w:tcW w:w="998" w:type="pct"/>
            <w:shd w:val="clear" w:color="auto" w:fill="FFFFFF" w:themeFill="background1"/>
            <w:vAlign w:val="center"/>
          </w:tcPr>
          <w:p w14:paraId="599105D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998" w:type="pct"/>
            <w:shd w:val="clear" w:color="auto" w:fill="FFFFFF" w:themeFill="background1"/>
            <w:vAlign w:val="center"/>
          </w:tcPr>
          <w:p w14:paraId="6F347850">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1" w:type="pct"/>
            <w:shd w:val="clear" w:color="auto" w:fill="FFFFFF" w:themeFill="background1"/>
            <w:vAlign w:val="center"/>
          </w:tcPr>
          <w:p w14:paraId="1A0058F5">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0D14032D">
            <w:pPr>
              <w:pStyle w:val="45"/>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98" w:type="pct"/>
            <w:shd w:val="clear" w:color="auto" w:fill="FFFFFF" w:themeFill="background1"/>
            <w:vAlign w:val="center"/>
          </w:tcPr>
          <w:p w14:paraId="004158C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1" w:type="pct"/>
            <w:shd w:val="clear" w:color="auto" w:fill="FFFFFF" w:themeFill="background1"/>
            <w:vAlign w:val="center"/>
          </w:tcPr>
          <w:p w14:paraId="3E10D772">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BFAF045">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5" w:hRule="atLeast"/>
          <w:jc w:val="center"/>
        </w:trPr>
        <w:tc>
          <w:tcPr>
            <w:tcW w:w="439" w:type="pct"/>
            <w:shd w:val="clear" w:color="auto" w:fill="FFFFFF" w:themeFill="background1"/>
            <w:vAlign w:val="center"/>
          </w:tcPr>
          <w:p w14:paraId="146FC928">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98" w:type="pct"/>
            <w:shd w:val="clear" w:color="auto" w:fill="FFFFFF" w:themeFill="background1"/>
            <w:vAlign w:val="center"/>
          </w:tcPr>
          <w:p w14:paraId="2D441054">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61" w:type="pct"/>
            <w:shd w:val="clear" w:color="auto" w:fill="FFFFFF" w:themeFill="background1"/>
            <w:vAlign w:val="center"/>
          </w:tcPr>
          <w:p w14:paraId="192E479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EC0AFB6">
            <w:pPr>
              <w:pStyle w:val="45"/>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bl>
    <w:p w14:paraId="45ADDA48">
      <w:pPr>
        <w:rPr>
          <w:rFonts w:hint="eastAsia" w:ascii="宋体" w:hAnsi="宋体" w:eastAsia="宋体" w:cs="宋体"/>
          <w:b/>
          <w:bCs/>
          <w:color w:val="auto"/>
          <w:kern w:val="2"/>
          <w:sz w:val="24"/>
          <w:szCs w:val="24"/>
          <w:highlight w:val="none"/>
          <w:lang w:val="zh-CN" w:eastAsia="zh-CN" w:bidi="ar-SA"/>
        </w:rPr>
      </w:pPr>
    </w:p>
    <w:p w14:paraId="1C79E11B">
      <w:pPr>
        <w:rPr>
          <w:b/>
          <w:bCs/>
          <w:color w:val="auto"/>
          <w:sz w:val="21"/>
          <w:szCs w:val="21"/>
          <w:highlight w:val="none"/>
        </w:rPr>
      </w:pPr>
      <w:bookmarkStart w:id="491" w:name="_Toc156490348"/>
      <w:r>
        <w:rPr>
          <w:rFonts w:hint="eastAsia"/>
          <w:b/>
          <w:bCs/>
          <w:color w:val="auto"/>
          <w:sz w:val="21"/>
          <w:szCs w:val="21"/>
          <w:highlight w:val="none"/>
        </w:rPr>
        <w:t>备注：</w:t>
      </w:r>
    </w:p>
    <w:p w14:paraId="509818B3">
      <w:pPr>
        <w:pStyle w:val="38"/>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5E74E935">
      <w:pPr>
        <w:pStyle w:val="38"/>
        <w:keepNext w:val="0"/>
        <w:keepLines w:val="0"/>
        <w:pageBreakBefore w:val="0"/>
        <w:widowControl w:val="0"/>
        <w:numPr>
          <w:ilvl w:val="0"/>
          <w:numId w:val="0"/>
        </w:numPr>
        <w:kinsoku/>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kern w:val="0"/>
          <w:sz w:val="21"/>
          <w:szCs w:val="21"/>
          <w:highlight w:val="none"/>
          <w:lang w:val="en-US" w:eastAsia="zh-CN" w:bidi="ar"/>
        </w:rPr>
      </w:pPr>
      <w:r>
        <w:rPr>
          <w:rFonts w:hint="eastAsia" w:cs="宋体"/>
          <w:color w:val="auto"/>
          <w:spacing w:val="-6"/>
          <w:kern w:val="0"/>
          <w:sz w:val="21"/>
          <w:szCs w:val="21"/>
          <w:highlight w:val="none"/>
          <w:lang w:val="en-US" w:eastAsia="zh-CN" w:bidi="ar"/>
        </w:rPr>
        <w:t>2</w:t>
      </w:r>
      <w:r>
        <w:rPr>
          <w:rFonts w:hint="eastAsia" w:ascii="宋体" w:hAnsi="宋体" w:eastAsia="宋体" w:cs="宋体"/>
          <w:color w:val="auto"/>
          <w:spacing w:val="-6"/>
          <w:kern w:val="0"/>
          <w:sz w:val="21"/>
          <w:szCs w:val="21"/>
          <w:highlight w:val="none"/>
          <w:lang w:val="en-US" w:eastAsia="zh-CN" w:bidi="ar"/>
        </w:rPr>
        <w:t>.对于响应文件中有任意一条不满足上表要求的，将导致其</w:t>
      </w:r>
      <w:r>
        <w:rPr>
          <w:rFonts w:hint="eastAsia" w:ascii="宋体" w:hAnsi="宋体" w:eastAsia="宋体" w:cs="宋体"/>
          <w:b/>
          <w:bCs/>
          <w:color w:val="auto"/>
          <w:spacing w:val="-6"/>
          <w:kern w:val="0"/>
          <w:sz w:val="21"/>
          <w:szCs w:val="21"/>
          <w:highlight w:val="none"/>
          <w:lang w:val="en-US" w:eastAsia="zh-CN" w:bidi="ar"/>
        </w:rPr>
        <w:t>响应无效</w:t>
      </w:r>
      <w:r>
        <w:rPr>
          <w:rFonts w:hint="eastAsia" w:ascii="宋体" w:hAnsi="宋体" w:eastAsia="宋体" w:cs="宋体"/>
          <w:color w:val="auto"/>
          <w:spacing w:val="-6"/>
          <w:kern w:val="0"/>
          <w:sz w:val="21"/>
          <w:szCs w:val="21"/>
          <w:highlight w:val="none"/>
          <w:lang w:val="en-US" w:eastAsia="zh-CN" w:bidi="ar"/>
        </w:rPr>
        <w:t>，不得进入下一项评审。</w:t>
      </w:r>
    </w:p>
    <w:p w14:paraId="55110B7F">
      <w:pPr>
        <w:rPr>
          <w:rFonts w:hint="eastAsia"/>
          <w:color w:val="auto"/>
          <w:highlight w:val="none"/>
        </w:rPr>
      </w:pPr>
      <w:r>
        <w:rPr>
          <w:rFonts w:hint="eastAsia"/>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2" w:name="_Toc31092"/>
      <w:bookmarkStart w:id="493" w:name="_Toc163493639"/>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91"/>
      <w:bookmarkEnd w:id="492"/>
      <w:bookmarkEnd w:id="493"/>
    </w:p>
    <w:tbl>
      <w:tblPr>
        <w:tblStyle w:val="28"/>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
        <w:gridCol w:w="1302"/>
        <w:gridCol w:w="5485"/>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B188FC3">
            <w:pPr>
              <w:pStyle w:val="45"/>
              <w:jc w:val="center"/>
              <w:rPr>
                <w:rFonts w:hint="eastAsia" w:ascii="宋体" w:hAnsi="宋体" w:eastAsia="宋体" w:cs="宋体"/>
                <w:b/>
                <w:bCs/>
                <w:color w:val="auto"/>
                <w:sz w:val="21"/>
                <w:szCs w:val="21"/>
                <w:highlight w:val="none"/>
                <w:lang w:val="zh-CN"/>
              </w:rPr>
            </w:pPr>
            <w:bookmarkStart w:id="494" w:name="_Toc163493640"/>
            <w:r>
              <w:rPr>
                <w:rFonts w:hint="eastAsia" w:ascii="宋体" w:hAnsi="宋体" w:eastAsia="宋体" w:cs="宋体"/>
                <w:b/>
                <w:bCs/>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5" w:type="pct"/>
            <w:vMerge w:val="restart"/>
            <w:shd w:val="clear" w:color="auto" w:fill="D8D8D8" w:themeFill="background1" w:themeFillShade="D9"/>
            <w:vAlign w:val="center"/>
          </w:tcPr>
          <w:p w14:paraId="44B32FDC">
            <w:pPr>
              <w:pStyle w:val="4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859AA86">
            <w:pPr>
              <w:pStyle w:val="45"/>
              <w:jc w:val="center"/>
              <w:rPr>
                <w:rFonts w:hint="eastAsia" w:ascii="宋体" w:hAnsi="宋体" w:eastAsia="宋体" w:cs="宋体"/>
                <w:b/>
                <w:bCs/>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5"/>
              <w:jc w:val="center"/>
              <w:rPr>
                <w:rFonts w:hint="eastAsia" w:ascii="宋体" w:hAnsi="宋体" w:eastAsia="宋体" w:cs="宋体"/>
                <w:b/>
                <w:bCs/>
                <w:color w:val="auto"/>
                <w:sz w:val="21"/>
                <w:szCs w:val="21"/>
                <w:highlight w:val="none"/>
                <w:lang w:val="zh-CN"/>
              </w:rPr>
            </w:pPr>
          </w:p>
        </w:tc>
        <w:tc>
          <w:tcPr>
            <w:tcW w:w="2965" w:type="pct"/>
            <w:vMerge w:val="continue"/>
            <w:shd w:val="clear" w:color="auto" w:fill="D8D8D8" w:themeFill="background1" w:themeFillShade="D9"/>
            <w:vAlign w:val="center"/>
          </w:tcPr>
          <w:p w14:paraId="2128C077">
            <w:pPr>
              <w:pStyle w:val="45"/>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3" w:type="pct"/>
            <w:shd w:val="clear" w:color="auto" w:fill="auto"/>
            <w:vAlign w:val="center"/>
          </w:tcPr>
          <w:p w14:paraId="4A515C07">
            <w:pPr>
              <w:pStyle w:val="45"/>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4" w:type="pct"/>
            <w:vAlign w:val="center"/>
          </w:tcPr>
          <w:p w14:paraId="5E0E3062">
            <w:pPr>
              <w:pStyle w:val="4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rPr>
              <w:t>签署</w:t>
            </w:r>
          </w:p>
        </w:tc>
        <w:tc>
          <w:tcPr>
            <w:tcW w:w="2965" w:type="pct"/>
            <w:shd w:val="clear" w:color="auto" w:fill="auto"/>
            <w:vAlign w:val="center"/>
          </w:tcPr>
          <w:p w14:paraId="0FA4ED80">
            <w:pPr>
              <w:pStyle w:val="4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文件要求签署、盖章的</w:t>
            </w:r>
          </w:p>
        </w:tc>
        <w:tc>
          <w:tcPr>
            <w:tcW w:w="468" w:type="pct"/>
            <w:shd w:val="clear" w:color="auto" w:fill="auto"/>
            <w:vAlign w:val="center"/>
          </w:tcPr>
          <w:p w14:paraId="1E1F1EB1">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45"/>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0154C2F">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4" w:type="pct"/>
            <w:shd w:val="clear" w:color="auto" w:fill="auto"/>
            <w:vAlign w:val="center"/>
          </w:tcPr>
          <w:p w14:paraId="1B390AF0">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5" w:type="pct"/>
            <w:shd w:val="clear" w:color="auto" w:fill="auto"/>
            <w:vAlign w:val="center"/>
          </w:tcPr>
          <w:p w14:paraId="6D95F485">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zh-CN" w:eastAsia="zh-CN"/>
              </w:rPr>
              <w:t>满足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45"/>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48860C47">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4" w:type="pct"/>
            <w:vAlign w:val="center"/>
          </w:tcPr>
          <w:p w14:paraId="31EA832C">
            <w:pPr>
              <w:pStyle w:val="45"/>
              <w:rPr>
                <w:rFonts w:hint="eastAsia" w:ascii="宋体" w:hAnsi="宋体" w:eastAsia="宋体" w:cs="宋体"/>
                <w:color w:val="auto"/>
                <w:sz w:val="21"/>
                <w:szCs w:val="21"/>
                <w:highlight w:val="none"/>
                <w:lang w:val="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rPr>
              <w:t>响应性报价</w:t>
            </w:r>
          </w:p>
        </w:tc>
        <w:tc>
          <w:tcPr>
            <w:tcW w:w="2965" w:type="pct"/>
            <w:shd w:val="clear" w:color="auto" w:fill="auto"/>
            <w:vAlign w:val="center"/>
          </w:tcPr>
          <w:p w14:paraId="02D97709">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供应商报价未超过</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文件中规定的最高限价或者预算金额的</w:t>
            </w:r>
          </w:p>
        </w:tc>
        <w:tc>
          <w:tcPr>
            <w:tcW w:w="468" w:type="pct"/>
            <w:shd w:val="clear" w:color="auto" w:fill="auto"/>
            <w:vAlign w:val="center"/>
          </w:tcPr>
          <w:p w14:paraId="18835E98">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45"/>
              <w:rPr>
                <w:rFonts w:hint="eastAsia" w:ascii="宋体" w:hAnsi="宋体" w:eastAsia="宋体" w:cs="宋体"/>
                <w:color w:val="auto"/>
                <w:sz w:val="21"/>
                <w:szCs w:val="21"/>
                <w:highlight w:val="none"/>
                <w:lang w:val="zh-CN"/>
              </w:rPr>
            </w:pPr>
          </w:p>
        </w:tc>
      </w:tr>
      <w:tr w14:paraId="0759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55C41672">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4" w:type="pct"/>
            <w:shd w:val="clear" w:color="auto" w:fill="auto"/>
            <w:vAlign w:val="center"/>
          </w:tcPr>
          <w:p w14:paraId="165805AD">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965" w:type="pct"/>
            <w:shd w:val="clear" w:color="auto" w:fill="auto"/>
            <w:vAlign w:val="center"/>
          </w:tcPr>
          <w:p w14:paraId="64323A44">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61407A1E">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0B05B99E">
            <w:pPr>
              <w:pStyle w:val="45"/>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0D25BA5B">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704" w:type="pct"/>
            <w:vAlign w:val="center"/>
          </w:tcPr>
          <w:p w14:paraId="6B53D7DD">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5" w:type="pct"/>
            <w:shd w:val="clear" w:color="auto" w:fill="auto"/>
            <w:vAlign w:val="center"/>
          </w:tcPr>
          <w:p w14:paraId="3C241A91">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45"/>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3" w:type="pct"/>
            <w:shd w:val="clear" w:color="auto" w:fill="auto"/>
            <w:vAlign w:val="center"/>
          </w:tcPr>
          <w:p w14:paraId="5772C4C0">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704" w:type="pct"/>
            <w:vAlign w:val="center"/>
          </w:tcPr>
          <w:p w14:paraId="1817A2C0">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965" w:type="pct"/>
            <w:shd w:val="clear" w:color="auto" w:fill="auto"/>
            <w:vAlign w:val="center"/>
          </w:tcPr>
          <w:p w14:paraId="39640874">
            <w:pPr>
              <w:pStyle w:val="45"/>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文件规定接受联合体</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eastAsia="zh-CN"/>
              </w:rPr>
              <w:t>联合体供应商提交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w:t>
            </w:r>
            <w:r>
              <w:rPr>
                <w:rFonts w:hint="eastAsia" w:ascii="宋体" w:hAnsi="宋体" w:eastAsia="宋体" w:cs="宋体"/>
                <w:color w:val="auto"/>
                <w:sz w:val="21"/>
                <w:szCs w:val="21"/>
                <w:highlight w:val="none"/>
                <w:lang w:val="en-US" w:eastAsia="zh-CN"/>
              </w:rPr>
              <w:t>如允许联合体</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eastAsia="zh-CN"/>
              </w:rPr>
              <w:t>】</w:t>
            </w:r>
          </w:p>
        </w:tc>
        <w:tc>
          <w:tcPr>
            <w:tcW w:w="468" w:type="pct"/>
            <w:shd w:val="clear" w:color="auto" w:fill="auto"/>
            <w:vAlign w:val="center"/>
          </w:tcPr>
          <w:p w14:paraId="2C782F18">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163069B8">
            <w:pPr>
              <w:pStyle w:val="45"/>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3" w:type="pct"/>
            <w:shd w:val="clear" w:color="auto" w:fill="auto"/>
            <w:vAlign w:val="center"/>
          </w:tcPr>
          <w:p w14:paraId="31C12A1B">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704" w:type="pct"/>
            <w:vAlign w:val="center"/>
          </w:tcPr>
          <w:p w14:paraId="55194F4F">
            <w:pPr>
              <w:pStyle w:val="4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w:t>
            </w:r>
          </w:p>
        </w:tc>
        <w:tc>
          <w:tcPr>
            <w:tcW w:w="2965" w:type="pct"/>
            <w:shd w:val="clear" w:color="auto" w:fill="auto"/>
            <w:vAlign w:val="center"/>
          </w:tcPr>
          <w:p w14:paraId="4803457A">
            <w:pPr>
              <w:pStyle w:val="45"/>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文件规定应当缴纳的，供应商按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文件的规定缴纳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保证金的</w:t>
            </w:r>
          </w:p>
        </w:tc>
        <w:tc>
          <w:tcPr>
            <w:tcW w:w="468" w:type="pct"/>
            <w:shd w:val="clear" w:color="auto" w:fill="auto"/>
            <w:vAlign w:val="center"/>
          </w:tcPr>
          <w:p w14:paraId="194FF3C2">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45"/>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6C002E13">
            <w:pPr>
              <w:pStyle w:val="45"/>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8</w:t>
            </w:r>
          </w:p>
        </w:tc>
        <w:tc>
          <w:tcPr>
            <w:tcW w:w="704" w:type="pct"/>
            <w:vAlign w:val="center"/>
          </w:tcPr>
          <w:p w14:paraId="5C91A4A7">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响应文件的澄清、说明、补正</w:t>
            </w:r>
          </w:p>
        </w:tc>
        <w:tc>
          <w:tcPr>
            <w:tcW w:w="2965" w:type="pct"/>
            <w:shd w:val="clear" w:color="auto" w:fill="auto"/>
            <w:vAlign w:val="center"/>
          </w:tcPr>
          <w:p w14:paraId="3E6052BB">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小组的要求提交经授权代表签字的澄清、说明、更正且澄清、说明、更正未超出响应文件范围或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45"/>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09617D9C">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9</w:t>
            </w:r>
          </w:p>
        </w:tc>
        <w:tc>
          <w:tcPr>
            <w:tcW w:w="704" w:type="pct"/>
            <w:vAlign w:val="center"/>
          </w:tcPr>
          <w:p w14:paraId="2016E93A">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供应商影响评审</w:t>
            </w:r>
          </w:p>
        </w:tc>
        <w:tc>
          <w:tcPr>
            <w:tcW w:w="2965" w:type="pct"/>
            <w:shd w:val="clear" w:color="auto" w:fill="auto"/>
            <w:vAlign w:val="center"/>
          </w:tcPr>
          <w:p w14:paraId="50B76BB4">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68" w:type="pct"/>
            <w:shd w:val="clear" w:color="auto" w:fill="auto"/>
            <w:vAlign w:val="center"/>
          </w:tcPr>
          <w:p w14:paraId="75DB24A7">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45"/>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32BD4A6">
            <w:pPr>
              <w:pStyle w:val="45"/>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704" w:type="pct"/>
            <w:vAlign w:val="center"/>
          </w:tcPr>
          <w:p w14:paraId="56EEFE7E">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5" w:type="pct"/>
            <w:shd w:val="clear" w:color="auto" w:fill="auto"/>
            <w:vAlign w:val="center"/>
          </w:tcPr>
          <w:p w14:paraId="618DB2FB">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45"/>
              <w:rPr>
                <w:rFonts w:hint="eastAsia" w:ascii="宋体" w:hAnsi="宋体" w:eastAsia="宋体" w:cs="宋体"/>
                <w:color w:val="auto"/>
                <w:sz w:val="21"/>
                <w:szCs w:val="21"/>
                <w:highlight w:val="none"/>
                <w:lang w:val="zh-CN"/>
              </w:rPr>
            </w:pPr>
          </w:p>
        </w:tc>
      </w:tr>
      <w:tr w14:paraId="5D0F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95C7465">
            <w:pPr>
              <w:pStyle w:val="45"/>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704" w:type="pct"/>
            <w:vAlign w:val="center"/>
          </w:tcPr>
          <w:p w14:paraId="77C39F43">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其他无效情形</w:t>
            </w:r>
          </w:p>
        </w:tc>
        <w:tc>
          <w:tcPr>
            <w:tcW w:w="2965" w:type="pct"/>
            <w:shd w:val="clear" w:color="auto" w:fill="auto"/>
            <w:vAlign w:val="center"/>
          </w:tcPr>
          <w:p w14:paraId="37A6F18C">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未出现法律、法规、规章以及本磋商文件规定属于响应无效的其他情形。</w:t>
            </w:r>
          </w:p>
        </w:tc>
        <w:tc>
          <w:tcPr>
            <w:tcW w:w="468" w:type="pct"/>
            <w:shd w:val="clear" w:color="auto" w:fill="auto"/>
            <w:vAlign w:val="center"/>
          </w:tcPr>
          <w:p w14:paraId="7A0FF9A7">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1FDEA56">
            <w:pPr>
              <w:pStyle w:val="45"/>
              <w:rPr>
                <w:rFonts w:hint="eastAsia" w:ascii="宋体" w:hAnsi="宋体" w:eastAsia="宋体" w:cs="宋体"/>
                <w:color w:val="auto"/>
                <w:sz w:val="21"/>
                <w:szCs w:val="21"/>
                <w:highlight w:val="none"/>
                <w:lang w:val="zh-CN"/>
              </w:rPr>
            </w:pPr>
          </w:p>
        </w:tc>
      </w:tr>
    </w:tbl>
    <w:p w14:paraId="03736602">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28E1FE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99811C3">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AACC48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A621C9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E60AFF0">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624643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6A22AD6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754DCA">
      <w:pP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br w:type="page"/>
      </w:r>
    </w:p>
    <w:p w14:paraId="3107E21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符合性检查</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CN" w:eastAsia="zh-CN" w:bidi="ar-SA"/>
        </w:rPr>
        <w:t>附表</w:t>
      </w:r>
    </w:p>
    <w:p w14:paraId="4F7CC11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495" w:name="_Toc18208"/>
      <w:r>
        <w:rPr>
          <w:rFonts w:hint="eastAsia" w:ascii="宋体" w:hAnsi="宋体" w:eastAsia="宋体" w:cstheme="minorBidi"/>
          <w:b/>
          <w:bCs/>
          <w:color w:val="auto"/>
          <w:kern w:val="2"/>
          <w:sz w:val="28"/>
          <w:szCs w:val="28"/>
          <w:highlight w:val="none"/>
          <w:lang w:val="zh-CN" w:eastAsia="zh-CN" w:bidi="ar-SA"/>
        </w:rPr>
        <w:t>实质性响应一览表</w:t>
      </w:r>
      <w:bookmarkEnd w:id="495"/>
    </w:p>
    <w:p w14:paraId="231F5A14">
      <w:pPr>
        <w:shd w:val="clear" w:color="auto" w:fill="FFFFFF"/>
        <w:tabs>
          <w:tab w:val="left" w:pos="3045"/>
        </w:tabs>
        <w:autoSpaceDE w:val="0"/>
        <w:autoSpaceDN w:val="0"/>
        <w:adjustRightInd w:val="0"/>
        <w:snapToGrid w:val="0"/>
        <w:spacing w:line="360" w:lineRule="exact"/>
        <w:jc w:val="center"/>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4F532689">
      <w:pPr>
        <w:pStyle w:val="21"/>
        <w:rPr>
          <w:rFonts w:hint="eastAsia" w:ascii="宋体" w:hAnsi="宋体" w:cs="宋体"/>
          <w:color w:val="auto"/>
          <w:highlight w:val="none"/>
        </w:rPr>
      </w:pPr>
    </w:p>
    <w:tbl>
      <w:tblPr>
        <w:tblStyle w:val="28"/>
        <w:tblW w:w="5272" w:type="pct"/>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45"/>
        <w:gridCol w:w="3179"/>
        <w:gridCol w:w="1957"/>
        <w:gridCol w:w="732"/>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74"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129"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rPr>
              <w:t>文件要求的实质性响应内容</w:t>
            </w:r>
          </w:p>
        </w:tc>
        <w:tc>
          <w:tcPr>
            <w:tcW w:w="1088"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7"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74"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60"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68"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lang w:val="en-US" w:eastAsia="zh-CN"/>
              </w:rPr>
              <w:t>文件中的规定</w:t>
            </w:r>
          </w:p>
        </w:tc>
        <w:tc>
          <w:tcPr>
            <w:tcW w:w="1088"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7"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74" w:type="pct"/>
            <w:noWrap w:val="0"/>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60" w:type="pct"/>
            <w:noWrap w:val="0"/>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有效期</w:t>
            </w:r>
          </w:p>
        </w:tc>
        <w:tc>
          <w:tcPr>
            <w:tcW w:w="1768"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lang w:val="en-US" w:eastAsia="zh-CN"/>
              </w:rPr>
              <w:t>文件关于响应文件有效期的规定）</w:t>
            </w:r>
          </w:p>
        </w:tc>
        <w:tc>
          <w:tcPr>
            <w:tcW w:w="1088"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7"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60" w:type="pct"/>
            <w:noWrap w:val="0"/>
            <w:vAlign w:val="center"/>
          </w:tcPr>
          <w:p w14:paraId="65BB59B1">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default"/>
                <w:snapToGrid w:val="0"/>
                <w:color w:val="auto"/>
                <w:sz w:val="21"/>
                <w:szCs w:val="21"/>
                <w:highlight w:val="none"/>
                <w:shd w:val="clear" w:color="auto" w:fill="auto"/>
                <w:lang w:val="en-US" w:eastAsia="zh-CN"/>
              </w:rPr>
              <w:t>交货期</w:t>
            </w:r>
          </w:p>
        </w:tc>
        <w:tc>
          <w:tcPr>
            <w:tcW w:w="1768" w:type="pct"/>
            <w:noWrap w:val="0"/>
            <w:vAlign w:val="center"/>
          </w:tcPr>
          <w:p w14:paraId="0AAF3A88">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60" w:type="pct"/>
            <w:noWrap w:val="0"/>
            <w:vAlign w:val="center"/>
          </w:tcPr>
          <w:p w14:paraId="1C9AFC62">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1768" w:type="pct"/>
            <w:noWrap w:val="0"/>
            <w:vAlign w:val="center"/>
          </w:tcPr>
          <w:p w14:paraId="46223A2E">
            <w:pPr>
              <w:pStyle w:val="45"/>
              <w:shd w:val="clear"/>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360" w:type="pct"/>
            <w:noWrap w:val="0"/>
            <w:vAlign w:val="center"/>
          </w:tcPr>
          <w:p w14:paraId="66957625">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1768" w:type="pct"/>
            <w:noWrap w:val="0"/>
            <w:vAlign w:val="center"/>
          </w:tcPr>
          <w:p w14:paraId="5FCDF232">
            <w:pPr>
              <w:pStyle w:val="45"/>
              <w:shd w:val="clear"/>
              <w:jc w:val="left"/>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w:t>
            </w:r>
          </w:p>
        </w:tc>
        <w:tc>
          <w:tcPr>
            <w:tcW w:w="1360" w:type="pct"/>
            <w:noWrap w:val="0"/>
            <w:vAlign w:val="center"/>
          </w:tcPr>
          <w:p w14:paraId="20EF89DA">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1768" w:type="pct"/>
            <w:noWrap w:val="0"/>
            <w:vAlign w:val="center"/>
          </w:tcPr>
          <w:p w14:paraId="2C049B56">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w:t>
            </w:r>
          </w:p>
        </w:tc>
        <w:tc>
          <w:tcPr>
            <w:tcW w:w="1360" w:type="pct"/>
            <w:noWrap w:val="0"/>
            <w:vAlign w:val="center"/>
          </w:tcPr>
          <w:p w14:paraId="744B405B">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eastAsia" w:cs="宋体"/>
                <w:color w:val="auto"/>
                <w:kern w:val="2"/>
                <w:sz w:val="21"/>
                <w:szCs w:val="21"/>
                <w:highlight w:val="none"/>
                <w:shd w:val="clear" w:color="auto" w:fill="auto"/>
                <w:lang w:val="en-US" w:eastAsia="zh-CN" w:bidi="ar-SA"/>
              </w:rPr>
              <w:t>技术要求</w:t>
            </w:r>
          </w:p>
        </w:tc>
        <w:tc>
          <w:tcPr>
            <w:tcW w:w="1768" w:type="pct"/>
            <w:noWrap w:val="0"/>
            <w:vAlign w:val="center"/>
          </w:tcPr>
          <w:p w14:paraId="1E3501D9">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88" w:type="pct"/>
            <w:noWrap w:val="0"/>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196EFD82">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DFE4AA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6A6F6B05">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33CEC3C">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E1CE7D6">
      <w:pPr>
        <w:rPr>
          <w:rFonts w:hint="eastAsia"/>
          <w:color w:val="auto"/>
          <w:highlight w:val="none"/>
          <w:lang w:val="en-US" w:eastAsia="zh-CN"/>
        </w:rPr>
      </w:pPr>
    </w:p>
    <w:p w14:paraId="7650F07A">
      <w:pPr>
        <w:rPr>
          <w:rFonts w:hint="eastAsia" w:ascii="宋体" w:hAnsi="宋体" w:eastAsia="宋体" w:cs="宋体"/>
          <w:b/>
          <w:bCs/>
          <w:color w:val="auto"/>
          <w:kern w:val="2"/>
          <w:sz w:val="24"/>
          <w:szCs w:val="24"/>
          <w:highlight w:val="none"/>
          <w:lang w:val="en-US" w:eastAsia="zh-CN" w:bidi="ar-SA"/>
        </w:rPr>
      </w:pPr>
      <w:bookmarkStart w:id="496" w:name="_Toc7219"/>
      <w:r>
        <w:rPr>
          <w:rFonts w:hint="eastAsia" w:ascii="宋体" w:hAnsi="宋体" w:eastAsia="宋体" w:cs="宋体"/>
          <w:b/>
          <w:bCs/>
          <w:color w:val="auto"/>
          <w:kern w:val="2"/>
          <w:sz w:val="24"/>
          <w:szCs w:val="24"/>
          <w:highlight w:val="none"/>
          <w:lang w:val="en-US" w:eastAsia="zh-CN" w:bidi="ar-SA"/>
        </w:rPr>
        <w:br w:type="page"/>
      </w: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cs="宋体"/>
          <w:b/>
          <w:bCs/>
          <w:color w:val="auto"/>
          <w:kern w:val="2"/>
          <w:sz w:val="24"/>
          <w:szCs w:val="24"/>
          <w:highlight w:val="none"/>
          <w:lang w:val="en-US" w:eastAsia="zh-CN" w:bidi="ar-SA"/>
        </w:rPr>
        <w:t>商务技术</w:t>
      </w:r>
      <w:r>
        <w:rPr>
          <w:rFonts w:hint="eastAsia" w:ascii="宋体" w:hAnsi="宋体" w:eastAsia="宋体" w:cs="宋体"/>
          <w:b/>
          <w:bCs/>
          <w:color w:val="auto"/>
          <w:kern w:val="2"/>
          <w:sz w:val="24"/>
          <w:szCs w:val="24"/>
          <w:highlight w:val="none"/>
          <w:lang w:val="zh-CN" w:eastAsia="zh-CN" w:bidi="ar-SA"/>
        </w:rPr>
        <w:t>评</w:t>
      </w:r>
      <w:r>
        <w:rPr>
          <w:rFonts w:hint="eastAsia" w:cs="宋体"/>
          <w:b/>
          <w:bCs/>
          <w:color w:val="auto"/>
          <w:kern w:val="2"/>
          <w:sz w:val="24"/>
          <w:szCs w:val="24"/>
          <w:highlight w:val="none"/>
          <w:lang w:val="en-US" w:eastAsia="zh-CN" w:bidi="ar-SA"/>
        </w:rPr>
        <w:t>审</w:t>
      </w:r>
      <w:bookmarkEnd w:id="494"/>
      <w:bookmarkEnd w:id="496"/>
    </w:p>
    <w:p w14:paraId="756FB9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谈判小组根据本章的评审标准以及谈判文件实质性变动的内容，按谈判文件要求对修正后的响应文件进行商务技术评审，未实质性响应谈判文件要求的响应文件按无效响应处理。</w:t>
      </w:r>
    </w:p>
    <w:p w14:paraId="7858DB0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 xml:space="preserve">   /</w:t>
      </w:r>
    </w:p>
    <w:p w14:paraId="12B23B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报价评审</w:t>
      </w:r>
    </w:p>
    <w:tbl>
      <w:tblPr>
        <w:tblStyle w:val="28"/>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61"/>
        <w:gridCol w:w="6062"/>
      </w:tblGrid>
      <w:tr w14:paraId="4294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97" w:type="pct"/>
            <w:gridSpan w:val="2"/>
            <w:shd w:val="clear" w:color="auto" w:fill="auto"/>
            <w:vAlign w:val="center"/>
          </w:tcPr>
          <w:p w14:paraId="461B3465">
            <w:pPr>
              <w:pStyle w:val="45"/>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评审项目</w:t>
            </w:r>
          </w:p>
        </w:tc>
        <w:tc>
          <w:tcPr>
            <w:tcW w:w="3602" w:type="pct"/>
            <w:shd w:val="clear" w:color="auto" w:fill="auto"/>
            <w:vAlign w:val="center"/>
          </w:tcPr>
          <w:p w14:paraId="7189BDF0">
            <w:pPr>
              <w:pStyle w:val="45"/>
              <w:jc w:val="center"/>
              <w:rPr>
                <w:rFonts w:hint="eastAsia" w:ascii="宋体" w:hAnsi="宋体" w:eastAsia="宋体" w:cs="宋体"/>
                <w:color w:val="auto"/>
                <w:kern w:val="2"/>
                <w:sz w:val="21"/>
                <w:szCs w:val="21"/>
                <w:highlight w:val="none"/>
                <w:lang w:val="en-US" w:eastAsia="zh-CN" w:bidi="ar-SA"/>
              </w:rPr>
            </w:pPr>
            <w:r>
              <w:rPr>
                <w:rFonts w:hint="eastAsia" w:cs="宋体"/>
                <w:b/>
                <w:bCs/>
                <w:color w:val="auto"/>
                <w:sz w:val="21"/>
                <w:szCs w:val="21"/>
                <w:highlight w:val="none"/>
                <w:lang w:val="en-US" w:eastAsia="zh-CN"/>
              </w:rPr>
              <w:t>评审标准及要求</w:t>
            </w:r>
          </w:p>
        </w:tc>
      </w:tr>
      <w:tr w14:paraId="374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7" w:type="pct"/>
            <w:shd w:val="clear" w:color="auto" w:fill="auto"/>
            <w:vAlign w:val="center"/>
          </w:tcPr>
          <w:p w14:paraId="0163FD9C">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w:t>
            </w:r>
            <w:r>
              <w:rPr>
                <w:rFonts w:hint="eastAsia" w:cs="宋体"/>
                <w:color w:val="auto"/>
                <w:sz w:val="21"/>
                <w:szCs w:val="21"/>
                <w:highlight w:val="none"/>
                <w:lang w:val="en-US" w:eastAsia="zh-CN"/>
              </w:rPr>
              <w:t>评审</w:t>
            </w:r>
          </w:p>
        </w:tc>
        <w:tc>
          <w:tcPr>
            <w:tcW w:w="689" w:type="pct"/>
            <w:tcBorders>
              <w:top w:val="single" w:color="auto" w:sz="4" w:space="0"/>
            </w:tcBorders>
            <w:shd w:val="clear" w:color="auto" w:fill="auto"/>
            <w:vAlign w:val="center"/>
          </w:tcPr>
          <w:p w14:paraId="42B70C88">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p>
        </w:tc>
        <w:tc>
          <w:tcPr>
            <w:tcW w:w="3602" w:type="pct"/>
            <w:shd w:val="clear" w:color="auto" w:fill="auto"/>
            <w:vAlign w:val="center"/>
          </w:tcPr>
          <w:p w14:paraId="747D808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val="en-US" w:eastAsia="zh-CN"/>
              </w:rPr>
              <w:t>的供应商按</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zh-CN"/>
              </w:rPr>
              <w:t>由低到高顺序排列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报价相同</w:t>
            </w:r>
            <w:r>
              <w:rPr>
                <w:rFonts w:hint="eastAsia" w:cs="宋体"/>
                <w:color w:val="auto"/>
                <w:sz w:val="21"/>
                <w:szCs w:val="21"/>
                <w:highlight w:val="none"/>
                <w:lang w:val="en-US" w:eastAsia="zh-CN"/>
              </w:rPr>
              <w:t>并列的</w:t>
            </w:r>
            <w:r>
              <w:rPr>
                <w:rFonts w:hint="eastAsia" w:ascii="宋体" w:hAnsi="宋体" w:eastAsia="宋体" w:cs="宋体"/>
                <w:color w:val="auto"/>
                <w:sz w:val="21"/>
                <w:szCs w:val="21"/>
                <w:highlight w:val="none"/>
                <w:lang w:val="en-US" w:eastAsia="zh-CN"/>
              </w:rPr>
              <w:t>按照“供应商须知前附表”的规定排序。</w:t>
            </w:r>
          </w:p>
          <w:p w14:paraId="29CEECA4">
            <w:pPr>
              <w:pStyle w:val="45"/>
              <w:rPr>
                <w:rFonts w:hint="eastAsia" w:ascii="宋体" w:hAnsi="宋体" w:eastAsia="宋体" w:cs="宋体"/>
                <w:color w:val="auto"/>
                <w:sz w:val="21"/>
                <w:szCs w:val="21"/>
                <w:highlight w:val="none"/>
              </w:rPr>
            </w:pPr>
          </w:p>
          <w:p w14:paraId="24BC5FEC">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备注：符合供应商须知中价格扣除规定的，在评审时予以价格扣除，用扣除后的</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参与评审。</w:t>
            </w:r>
          </w:p>
        </w:tc>
      </w:tr>
    </w:tbl>
    <w:p w14:paraId="59EC86DB">
      <w:pPr>
        <w:rPr>
          <w:rFonts w:hint="eastAsia"/>
          <w:color w:val="auto"/>
          <w:highlight w:val="none"/>
          <w:lang w:val="en-US" w:eastAsia="zh-CN"/>
        </w:rPr>
      </w:pPr>
    </w:p>
    <w:p w14:paraId="7C8D1B95">
      <w:pPr>
        <w:rPr>
          <w:rFonts w:hint="eastAsia" w:ascii="宋体" w:hAnsi="宋体" w:eastAsia="宋体" w:cs="宋体"/>
          <w:b/>
          <w:bCs/>
          <w:color w:val="auto"/>
          <w:kern w:val="44"/>
          <w:sz w:val="36"/>
          <w:szCs w:val="36"/>
          <w:highlight w:val="none"/>
          <w:lang w:val="en-US" w:eastAsia="zh-CN" w:bidi="ar-SA"/>
        </w:rPr>
      </w:pPr>
      <w:bookmarkStart w:id="497" w:name="_Toc6370"/>
      <w:bookmarkStart w:id="498" w:name="_Toc29904"/>
    </w:p>
    <w:p w14:paraId="05530484">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419524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497"/>
      <w:bookmarkEnd w:id="498"/>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53FD5DE">
      <w:pPr>
        <w:pStyle w:val="11"/>
        <w:spacing w:after="0"/>
        <w:jc w:val="center"/>
        <w:rPr>
          <w:rFonts w:ascii="宋体" w:hAnsi="宋体" w:cs="宋体"/>
          <w:b/>
          <w:bCs/>
          <w:color w:val="auto"/>
          <w:spacing w:val="-20"/>
          <w:kern w:val="44"/>
          <w:sz w:val="48"/>
          <w:szCs w:val="48"/>
          <w:highlight w:val="none"/>
        </w:rPr>
      </w:pPr>
      <w:bookmarkStart w:id="499" w:name="_Toc3995"/>
    </w:p>
    <w:p w14:paraId="0CF1DA89">
      <w:pPr>
        <w:spacing w:line="264" w:lineRule="auto"/>
        <w:jc w:val="center"/>
        <w:rPr>
          <w:rFonts w:hint="eastAsia" w:ascii="宋体" w:hAnsi="宋体" w:eastAsia="宋体" w:cs="宋体"/>
          <w:b/>
          <w:iCs/>
          <w:sz w:val="32"/>
          <w:szCs w:val="32"/>
        </w:rPr>
      </w:pPr>
      <w:r>
        <w:rPr>
          <w:rFonts w:hint="eastAsia" w:ascii="宋体" w:hAnsi="宋体" w:eastAsia="宋体" w:cs="宋体"/>
          <w:b/>
          <w:iCs/>
          <w:sz w:val="32"/>
          <w:szCs w:val="32"/>
        </w:rPr>
        <w:t>新疆医科大学第一附属医院购置</w:t>
      </w:r>
    </w:p>
    <w:p w14:paraId="48E125D2">
      <w:pPr>
        <w:spacing w:line="264" w:lineRule="auto"/>
        <w:jc w:val="center"/>
        <w:rPr>
          <w:rFonts w:hint="eastAsia" w:ascii="宋体" w:hAnsi="宋体" w:eastAsia="宋体" w:cs="宋体"/>
          <w:sz w:val="32"/>
          <w:szCs w:val="32"/>
        </w:rPr>
      </w:pPr>
    </w:p>
    <w:p w14:paraId="4664C1C5">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（设备名称）</w:t>
      </w:r>
    </w:p>
    <w:p w14:paraId="70E43B37">
      <w:pPr>
        <w:spacing w:line="264" w:lineRule="auto"/>
        <w:rPr>
          <w:rFonts w:hint="eastAsia" w:ascii="宋体" w:hAnsi="宋体" w:eastAsia="宋体" w:cs="宋体"/>
          <w:sz w:val="32"/>
          <w:szCs w:val="32"/>
        </w:rPr>
      </w:pPr>
    </w:p>
    <w:p w14:paraId="6E85B8DA">
      <w:pPr>
        <w:spacing w:line="264" w:lineRule="auto"/>
        <w:rPr>
          <w:rFonts w:hint="eastAsia" w:ascii="宋体" w:hAnsi="宋体" w:eastAsia="宋体" w:cs="宋体"/>
          <w:sz w:val="32"/>
          <w:szCs w:val="32"/>
        </w:rPr>
      </w:pPr>
    </w:p>
    <w:p w14:paraId="1D004A93">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销  售  合  同</w:t>
      </w:r>
    </w:p>
    <w:p w14:paraId="2B885500">
      <w:pPr>
        <w:spacing w:line="264" w:lineRule="auto"/>
        <w:jc w:val="center"/>
        <w:rPr>
          <w:rFonts w:hint="eastAsia" w:ascii="宋体" w:hAnsi="宋体" w:eastAsia="宋体" w:cs="宋体"/>
          <w:sz w:val="32"/>
          <w:szCs w:val="32"/>
        </w:rPr>
      </w:pPr>
    </w:p>
    <w:p w14:paraId="086916A3">
      <w:pPr>
        <w:spacing w:line="264" w:lineRule="auto"/>
        <w:jc w:val="center"/>
        <w:rPr>
          <w:rFonts w:hint="eastAsia" w:ascii="宋体" w:hAnsi="宋体" w:eastAsia="宋体" w:cs="宋体"/>
          <w:sz w:val="32"/>
          <w:szCs w:val="32"/>
        </w:rPr>
      </w:pPr>
    </w:p>
    <w:p w14:paraId="55F16C58">
      <w:pPr>
        <w:spacing w:line="264" w:lineRule="auto"/>
        <w:jc w:val="center"/>
        <w:rPr>
          <w:rFonts w:hint="eastAsia" w:ascii="宋体" w:hAnsi="宋体" w:eastAsia="宋体" w:cs="宋体"/>
          <w:sz w:val="32"/>
          <w:szCs w:val="32"/>
        </w:rPr>
      </w:pPr>
    </w:p>
    <w:p w14:paraId="66A2BADD">
      <w:pPr>
        <w:spacing w:line="264" w:lineRule="auto"/>
        <w:ind w:firstLine="1285" w:firstLineChars="400"/>
        <w:rPr>
          <w:rFonts w:hint="eastAsia" w:ascii="宋体" w:hAnsi="宋体" w:eastAsia="宋体" w:cs="宋体"/>
          <w:b/>
          <w:sz w:val="32"/>
          <w:szCs w:val="32"/>
          <w:u w:val="single"/>
        </w:rPr>
      </w:pPr>
      <w:r>
        <w:rPr>
          <w:rFonts w:hint="eastAsia" w:ascii="宋体" w:hAnsi="宋体" w:eastAsia="宋体" w:cs="宋体"/>
          <w:b/>
          <w:sz w:val="32"/>
          <w:szCs w:val="32"/>
        </w:rPr>
        <w:t>甲方（买方）</w:t>
      </w:r>
      <w:r>
        <w:rPr>
          <w:rFonts w:hint="eastAsia" w:ascii="宋体" w:hAnsi="宋体" w:eastAsia="宋体" w:cs="宋体"/>
          <w:sz w:val="32"/>
          <w:szCs w:val="32"/>
        </w:rPr>
        <w:t>：</w:t>
      </w:r>
      <w:r>
        <w:rPr>
          <w:rFonts w:hint="eastAsia" w:ascii="宋体" w:hAnsi="宋体" w:eastAsia="宋体" w:cs="宋体"/>
          <w:b/>
          <w:sz w:val="32"/>
          <w:szCs w:val="32"/>
          <w:u w:val="single"/>
        </w:rPr>
        <w:t>新疆医科大学第一附属医院</w:t>
      </w:r>
    </w:p>
    <w:p w14:paraId="004ECBE4">
      <w:pPr>
        <w:spacing w:line="264" w:lineRule="auto"/>
        <w:ind w:firstLine="1280" w:firstLineChars="400"/>
        <w:rPr>
          <w:rFonts w:hint="eastAsia" w:ascii="宋体" w:hAnsi="宋体" w:eastAsia="宋体" w:cs="宋体"/>
          <w:sz w:val="32"/>
          <w:szCs w:val="32"/>
        </w:rPr>
      </w:pPr>
    </w:p>
    <w:p w14:paraId="56C187A5">
      <w:pPr>
        <w:spacing w:line="264" w:lineRule="auto"/>
        <w:ind w:firstLine="1285" w:firstLineChars="400"/>
        <w:rPr>
          <w:rFonts w:hint="eastAsia" w:ascii="宋体" w:hAnsi="宋体" w:eastAsia="宋体" w:cs="宋体"/>
          <w:sz w:val="32"/>
          <w:szCs w:val="32"/>
        </w:rPr>
      </w:pPr>
      <w:r>
        <w:rPr>
          <w:rFonts w:hint="eastAsia" w:ascii="宋体" w:hAnsi="宋体" w:eastAsia="宋体" w:cs="宋体"/>
          <w:b/>
          <w:sz w:val="32"/>
          <w:szCs w:val="32"/>
        </w:rPr>
        <w:t>乙方（卖方）：</w:t>
      </w:r>
      <w:r>
        <w:rPr>
          <w:rFonts w:hint="eastAsia" w:ascii="宋体" w:hAnsi="宋体" w:eastAsia="宋体" w:cs="宋体"/>
          <w:b/>
          <w:sz w:val="32"/>
          <w:szCs w:val="32"/>
          <w:u w:val="single"/>
        </w:rPr>
        <w:t xml:space="preserve">                             </w:t>
      </w:r>
    </w:p>
    <w:p w14:paraId="5AE4841C">
      <w:pPr>
        <w:spacing w:line="264" w:lineRule="auto"/>
        <w:ind w:firstLine="1280" w:firstLineChars="400"/>
        <w:rPr>
          <w:rFonts w:hint="eastAsia" w:ascii="宋体" w:hAnsi="宋体" w:eastAsia="宋体" w:cs="宋体"/>
          <w:sz w:val="32"/>
          <w:szCs w:val="32"/>
        </w:rPr>
      </w:pPr>
    </w:p>
    <w:p w14:paraId="5EC3DB15">
      <w:pPr>
        <w:spacing w:line="264" w:lineRule="auto"/>
        <w:ind w:firstLine="1285" w:firstLineChars="400"/>
        <w:rPr>
          <w:rFonts w:hint="eastAsia" w:ascii="宋体" w:hAnsi="宋体" w:eastAsia="宋体" w:cs="宋体"/>
          <w:b/>
          <w:sz w:val="32"/>
          <w:szCs w:val="32"/>
        </w:rPr>
      </w:pPr>
      <w:r>
        <w:rPr>
          <w:rFonts w:hint="eastAsia" w:ascii="宋体" w:hAnsi="宋体" w:eastAsia="宋体" w:cs="宋体"/>
          <w:b/>
          <w:sz w:val="32"/>
          <w:szCs w:val="32"/>
        </w:rPr>
        <w:t>合 同 编 号：</w:t>
      </w:r>
    </w:p>
    <w:p w14:paraId="6F2F73BA">
      <w:pPr>
        <w:spacing w:line="264" w:lineRule="auto"/>
        <w:ind w:firstLine="630" w:firstLineChars="196"/>
        <w:rPr>
          <w:rFonts w:hint="eastAsia" w:ascii="宋体" w:hAnsi="宋体" w:eastAsia="宋体" w:cs="宋体"/>
          <w:b/>
          <w:color w:val="FF00FF"/>
          <w:sz w:val="32"/>
          <w:szCs w:val="32"/>
        </w:rPr>
      </w:pPr>
    </w:p>
    <w:p w14:paraId="031B88CB">
      <w:pPr>
        <w:spacing w:line="264" w:lineRule="auto"/>
        <w:ind w:firstLine="643" w:firstLineChars="200"/>
        <w:rPr>
          <w:rFonts w:hint="eastAsia" w:ascii="宋体" w:hAnsi="宋体" w:eastAsia="宋体" w:cs="宋体"/>
          <w:b/>
          <w:bCs/>
          <w:sz w:val="32"/>
          <w:szCs w:val="32"/>
        </w:rPr>
      </w:pPr>
    </w:p>
    <w:p w14:paraId="67C8A65E">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 xml:space="preserve">    年   月   日</w:t>
      </w:r>
    </w:p>
    <w:p w14:paraId="25886BA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销 售 合 同</w:t>
      </w:r>
    </w:p>
    <w:p w14:paraId="7E10B350">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甲方：新疆医科大学第一附属医院</w:t>
      </w:r>
    </w:p>
    <w:p w14:paraId="45D03262">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乙方：</w:t>
      </w:r>
    </w:p>
    <w:p w14:paraId="0E0D87AA">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设备并由乙方提供相关服务事宜，达成一致，协议如下：</w:t>
      </w:r>
    </w:p>
    <w:p w14:paraId="472C63E6">
      <w:pPr>
        <w:numPr>
          <w:ilvl w:val="0"/>
          <w:numId w:val="2"/>
        </w:num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设备名称、规格（型号）、数量</w:t>
      </w:r>
      <w:r>
        <w:rPr>
          <w:rFonts w:hint="eastAsia" w:ascii="宋体" w:hAnsi="宋体" w:eastAsia="宋体" w:cs="宋体"/>
          <w:b w:val="0"/>
          <w:bCs/>
          <w:sz w:val="24"/>
          <w:szCs w:val="24"/>
          <w:lang w:val="en-US" w:eastAsia="zh-CN"/>
        </w:rPr>
        <w:t>详见下表</w:t>
      </w:r>
    </w:p>
    <w:tbl>
      <w:tblPr>
        <w:tblStyle w:val="28"/>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239279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94D947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84FFB2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28167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A1518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规格</w:t>
            </w:r>
          </w:p>
          <w:p w14:paraId="5014E4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54181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727C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DDEED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含税单价</w:t>
            </w:r>
          </w:p>
          <w:p w14:paraId="7F2008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0ED08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合计金额</w:t>
            </w:r>
          </w:p>
          <w:p w14:paraId="142AB6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09EF9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备注</w:t>
            </w:r>
          </w:p>
        </w:tc>
      </w:tr>
      <w:tr w14:paraId="606D27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4C2900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F5011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C5D1E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13254E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BB310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3297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79A58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EA577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FD23B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5C4A54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3658B5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4E863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FE857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AAD50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61AE5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6E7A0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9CEAC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37C38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72CD8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4D39C7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358B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02E2B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4CDBB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B496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6C7A5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FAFA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560A8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A547AD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6A09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188043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42E51D80">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总计：人民币（大写）     元整                 （小写）     元</w:t>
            </w:r>
          </w:p>
        </w:tc>
      </w:tr>
    </w:tbl>
    <w:p w14:paraId="41E9CD8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本合同为</w:t>
      </w:r>
      <w:r>
        <w:rPr>
          <w:rFonts w:hint="eastAsia" w:ascii="宋体" w:hAnsi="宋体" w:eastAsia="宋体" w:cs="宋体"/>
          <w:b w:val="0"/>
          <w:bCs/>
          <w:i w:val="0"/>
          <w:iCs w:val="0"/>
          <w:color w:val="auto"/>
          <w:sz w:val="24"/>
          <w:szCs w:val="24"/>
          <w:u w:val="single"/>
          <w:lang w:val="en-US" w:eastAsia="zh-CN"/>
        </w:rPr>
        <w:t>固定总价/固定单价</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上述合同</w:t>
      </w:r>
      <w:r>
        <w:rPr>
          <w:rFonts w:hint="eastAsia" w:ascii="宋体" w:hAnsi="宋体" w:eastAsia="宋体" w:cs="宋体"/>
          <w:b w:val="0"/>
          <w:bCs/>
          <w:color w:val="auto"/>
          <w:sz w:val="24"/>
          <w:szCs w:val="24"/>
          <w:lang w:val="en-US" w:eastAsia="zh-CN"/>
        </w:rPr>
        <w:t>价格</w:t>
      </w:r>
      <w:r>
        <w:rPr>
          <w:rFonts w:hint="eastAsia" w:ascii="宋体" w:hAnsi="宋体" w:eastAsia="宋体" w:cs="宋体"/>
          <w:b w:val="0"/>
          <w:bCs/>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1805710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7506E8AE">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3F66421F">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本合同以美元计价，双方明确，按照第一次购汇当日的银行汇卖价，即购汇凭单上的购汇汇率，作为与医院结算的购汇汇率。</w:t>
      </w:r>
      <w:r>
        <w:rPr>
          <w:rFonts w:hint="eastAsia" w:ascii="宋体" w:hAnsi="宋体" w:eastAsia="宋体" w:cs="宋体"/>
          <w:b w:val="0"/>
          <w:bCs/>
          <w:color w:val="auto"/>
          <w:sz w:val="24"/>
          <w:szCs w:val="24"/>
          <w:lang w:val="en-US" w:eastAsia="zh-CN"/>
        </w:rPr>
        <w:t>甲乙双方确认合同总价受开标当日汇率计算的人民币报价限制，超出金额则无效。</w:t>
      </w:r>
    </w:p>
    <w:p w14:paraId="0D742005">
      <w:pPr>
        <w:spacing w:line="360" w:lineRule="auto"/>
        <w:rPr>
          <w:rStyle w:val="33"/>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二、制造商及原产地</w:t>
      </w:r>
    </w:p>
    <w:p w14:paraId="2F739C2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制造商：              </w:t>
      </w:r>
    </w:p>
    <w:p w14:paraId="1DB00F6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原产地：</w:t>
      </w:r>
    </w:p>
    <w:p w14:paraId="5EEBB98E">
      <w:pPr>
        <w:spacing w:line="360" w:lineRule="auto"/>
        <w:rPr>
          <w:rFonts w:hint="eastAsia" w:ascii="宋体" w:hAnsi="宋体" w:eastAsia="宋体" w:cs="宋体"/>
          <w:b w:val="0"/>
          <w:bCs/>
          <w:color w:val="auto"/>
          <w:sz w:val="24"/>
          <w:szCs w:val="24"/>
          <w:u w:val="single"/>
        </w:rPr>
      </w:pPr>
      <w:r>
        <w:rPr>
          <w:rFonts w:hint="eastAsia" w:ascii="宋体" w:hAnsi="宋体" w:eastAsia="宋体" w:cs="宋体"/>
          <w:b w:val="0"/>
          <w:bCs/>
          <w:color w:val="auto"/>
          <w:sz w:val="24"/>
          <w:szCs w:val="24"/>
        </w:rPr>
        <w:t>三、系统配置：详见附件</w:t>
      </w:r>
    </w:p>
    <w:p w14:paraId="34E528BC">
      <w:pPr>
        <w:spacing w:line="360" w:lineRule="auto"/>
        <w:ind w:left="422" w:hanging="480" w:hanging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四、随机的必备品、配件、工具及其数量：乙方应按产品说明书和装箱单及出厂要求配备必须的备品、配件和专用工具。</w:t>
      </w:r>
    </w:p>
    <w:p w14:paraId="0435B05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五、交货期、地点、</w:t>
      </w:r>
      <w:r>
        <w:rPr>
          <w:rFonts w:hint="eastAsia" w:ascii="宋体" w:hAnsi="宋体" w:eastAsia="宋体" w:cs="宋体"/>
          <w:b w:val="0"/>
          <w:bCs/>
          <w:color w:val="auto"/>
          <w:sz w:val="24"/>
          <w:szCs w:val="24"/>
          <w:lang w:val="en-US" w:eastAsia="zh-CN"/>
        </w:rPr>
        <w:t>售后服务</w:t>
      </w:r>
      <w:r>
        <w:rPr>
          <w:rFonts w:hint="eastAsia" w:ascii="宋体" w:hAnsi="宋体" w:eastAsia="宋体" w:cs="宋体"/>
          <w:b w:val="0"/>
          <w:bCs/>
          <w:color w:val="auto"/>
          <w:sz w:val="24"/>
          <w:szCs w:val="24"/>
        </w:rPr>
        <w:t>期：</w:t>
      </w:r>
    </w:p>
    <w:p w14:paraId="5822141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a）交货期：自</w:t>
      </w:r>
      <w:r>
        <w:rPr>
          <w:rFonts w:hint="eastAsia" w:cs="宋体"/>
          <w:b w:val="0"/>
          <w:bCs/>
          <w:color w:val="auto"/>
          <w:sz w:val="24"/>
          <w:szCs w:val="24"/>
          <w:lang w:val="en-US" w:eastAsia="zh-CN"/>
        </w:rPr>
        <w:t>收到中标通知书</w:t>
      </w:r>
      <w:r>
        <w:rPr>
          <w:rFonts w:hint="eastAsia" w:ascii="宋体" w:hAnsi="宋体" w:eastAsia="宋体" w:cs="宋体"/>
          <w:b w:val="0"/>
          <w:bCs/>
          <w:color w:val="auto"/>
          <w:sz w:val="24"/>
          <w:szCs w:val="24"/>
        </w:rPr>
        <w:t>之日起</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天内（按</w:t>
      </w:r>
      <w:r>
        <w:rPr>
          <w:rFonts w:hint="eastAsia" w:ascii="宋体" w:hAnsi="宋体" w:eastAsia="宋体" w:cs="宋体"/>
          <w:b w:val="0"/>
          <w:bCs/>
          <w:color w:val="auto"/>
          <w:sz w:val="24"/>
          <w:szCs w:val="24"/>
          <w:lang w:eastAsia="zh-CN"/>
        </w:rPr>
        <w:t>合同签订</w:t>
      </w:r>
      <w:r>
        <w:rPr>
          <w:rFonts w:hint="eastAsia" w:ascii="宋体" w:hAnsi="宋体" w:eastAsia="宋体" w:cs="宋体"/>
          <w:b w:val="0"/>
          <w:bCs/>
          <w:color w:val="auto"/>
          <w:sz w:val="24"/>
          <w:szCs w:val="24"/>
        </w:rPr>
        <w:t>之日算起），将</w:t>
      </w:r>
      <w:r>
        <w:rPr>
          <w:rFonts w:hint="eastAsia" w:ascii="宋体" w:hAnsi="宋体" w:eastAsia="宋体" w:cs="宋体"/>
          <w:b w:val="0"/>
          <w:bCs/>
          <w:color w:val="auto"/>
          <w:sz w:val="24"/>
          <w:szCs w:val="24"/>
          <w:lang w:eastAsia="zh-CN"/>
        </w:rPr>
        <w:t>标的物</w:t>
      </w:r>
      <w:r>
        <w:rPr>
          <w:rFonts w:hint="eastAsia" w:ascii="宋体" w:hAnsi="宋体" w:eastAsia="宋体" w:cs="宋体"/>
          <w:b w:val="0"/>
          <w:bCs/>
          <w:color w:val="auto"/>
          <w:sz w:val="24"/>
          <w:szCs w:val="24"/>
        </w:rPr>
        <w:t>运送至甲方指定地点，并负责完成安装调试，配合甲方完成验收。</w:t>
      </w:r>
    </w:p>
    <w:p w14:paraId="6F1AA84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b）交货地点：甲方指定。</w:t>
      </w:r>
    </w:p>
    <w:p w14:paraId="3993E8EE">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w:t>
      </w:r>
      <w:r>
        <w:rPr>
          <w:rFonts w:hint="eastAsia" w:ascii="宋体" w:hAnsi="宋体" w:eastAsia="宋体" w:cs="宋体"/>
          <w:b w:val="0"/>
          <w:bCs/>
          <w:color w:val="auto"/>
          <w:sz w:val="24"/>
          <w:szCs w:val="24"/>
          <w:lang w:val="en-US" w:eastAsia="zh-CN"/>
        </w:rPr>
        <w:t>保修期</w:t>
      </w:r>
      <w:r>
        <w:rPr>
          <w:rFonts w:hint="eastAsia" w:ascii="宋体" w:hAnsi="宋体" w:eastAsia="宋体" w:cs="宋体"/>
          <w:b w:val="0"/>
          <w:bCs/>
          <w:color w:val="auto"/>
          <w:sz w:val="24"/>
          <w:szCs w:val="24"/>
        </w:rPr>
        <w:t>：系统安装验收合格之日起</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乙方</w:t>
      </w:r>
      <w:r>
        <w:rPr>
          <w:rFonts w:hint="eastAsia" w:ascii="宋体" w:hAnsi="宋体" w:eastAsia="宋体" w:cs="宋体"/>
          <w:b w:val="0"/>
          <w:bCs/>
          <w:color w:val="auto"/>
          <w:sz w:val="24"/>
          <w:szCs w:val="24"/>
        </w:rPr>
        <w:t>承担</w:t>
      </w:r>
      <w:r>
        <w:rPr>
          <w:rFonts w:hint="eastAsia" w:ascii="宋体" w:hAnsi="宋体" w:eastAsia="宋体" w:cs="宋体"/>
          <w:b w:val="0"/>
          <w:bCs/>
          <w:color w:val="auto"/>
          <w:sz w:val="24"/>
          <w:szCs w:val="24"/>
          <w:lang w:val="en-US" w:eastAsia="zh-CN"/>
        </w:rPr>
        <w:t>保修期</w:t>
      </w:r>
      <w:r>
        <w:rPr>
          <w:rFonts w:hint="eastAsia" w:ascii="宋体" w:hAnsi="宋体" w:eastAsia="宋体" w:cs="宋体"/>
          <w:b w:val="0"/>
          <w:bCs/>
          <w:color w:val="auto"/>
          <w:sz w:val="24"/>
          <w:szCs w:val="24"/>
        </w:rPr>
        <w:t>内设备任何故障产生的费用。</w:t>
      </w:r>
    </w:p>
    <w:p w14:paraId="643C51CD">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六、售后服务：详见附件，需涵盖以下条款</w:t>
      </w:r>
    </w:p>
    <w:p w14:paraId="63E1FB9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1、保修期间，乙方需提供免费的维修及零配件更换</w:t>
      </w:r>
      <w:r>
        <w:rPr>
          <w:rFonts w:hint="eastAsia" w:ascii="宋体" w:hAnsi="宋体" w:eastAsia="宋体" w:cs="宋体"/>
          <w:b w:val="0"/>
          <w:bCs/>
          <w:color w:val="auto"/>
          <w:sz w:val="24"/>
          <w:szCs w:val="24"/>
          <w:lang w:eastAsia="zh-CN"/>
        </w:rPr>
        <w:t>，提供整机（包含附件）原厂（</w:t>
      </w:r>
      <w:r>
        <w:rPr>
          <w:rFonts w:hint="eastAsia" w:ascii="宋体" w:hAnsi="宋体" w:eastAsia="宋体" w:cs="宋体"/>
          <w:b w:val="0"/>
          <w:bCs/>
          <w:color w:val="auto"/>
          <w:sz w:val="24"/>
          <w:szCs w:val="24"/>
          <w:lang w:val="en-US" w:eastAsia="zh-CN"/>
        </w:rPr>
        <w:t>免费</w:t>
      </w:r>
      <w:r>
        <w:rPr>
          <w:rFonts w:hint="eastAsia" w:ascii="宋体" w:hAnsi="宋体" w:eastAsia="宋体" w:cs="宋体"/>
          <w:b w:val="0"/>
          <w:bCs/>
          <w:color w:val="auto"/>
          <w:sz w:val="24"/>
          <w:szCs w:val="24"/>
          <w:lang w:eastAsia="zh-CN"/>
        </w:rPr>
        <w:t>）保修服务</w:t>
      </w:r>
      <w:r>
        <w:rPr>
          <w:rFonts w:hint="eastAsia" w:ascii="宋体" w:hAnsi="宋体" w:eastAsia="宋体" w:cs="宋体"/>
          <w:b w:val="0"/>
          <w:bCs/>
          <w:color w:val="auto"/>
          <w:sz w:val="24"/>
          <w:szCs w:val="24"/>
        </w:rPr>
        <w:t>；在甲方发出要求服务通知的24小时内，乙方指派的服务人员必须到达用户方现场，对设备出现的较大的问题，解决时间不超过3个日历日。</w:t>
      </w:r>
    </w:p>
    <w:p w14:paraId="60C1015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3C6773F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5D88540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4、如设备维修调试后达不到合同或招投标文件规定的质量或技术指标要求，甲方有权提出退货，并要求乙方退回货款。</w:t>
      </w:r>
    </w:p>
    <w:p w14:paraId="7059AA7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5、售后服务期外，终身免费维修，定期保养，最优惠提供零配件、易损件和耗材。</w:t>
      </w:r>
    </w:p>
    <w:p w14:paraId="58187D7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6、疆内设有常年维修点或提供常驻维修人员。</w:t>
      </w:r>
    </w:p>
    <w:p w14:paraId="47CF5A6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color w:val="auto"/>
          <w:sz w:val="24"/>
          <w:szCs w:val="24"/>
          <w:lang w:val="en-US" w:eastAsia="zh-CN"/>
        </w:rPr>
        <w:t>质量保函中</w:t>
      </w:r>
      <w:r>
        <w:rPr>
          <w:rFonts w:hint="eastAsia" w:ascii="宋体" w:hAnsi="宋体" w:eastAsia="宋体" w:cs="宋体"/>
          <w:b w:val="0"/>
          <w:bCs/>
          <w:color w:val="auto"/>
          <w:sz w:val="24"/>
          <w:szCs w:val="24"/>
        </w:rPr>
        <w:t>予以扣除，不足部分，乙方应予以补足。</w:t>
      </w:r>
    </w:p>
    <w:p w14:paraId="2CE24837">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、乙方应当按照附件及本约定履行售后服务义务，附件与本约定不一致的，以本约定为准</w:t>
      </w:r>
      <w:r>
        <w:rPr>
          <w:rFonts w:hint="eastAsia" w:ascii="宋体" w:hAnsi="宋体" w:eastAsia="宋体" w:cs="宋体"/>
          <w:b w:val="0"/>
          <w:bCs/>
          <w:color w:val="auto"/>
          <w:sz w:val="24"/>
          <w:szCs w:val="24"/>
          <w:lang w:eastAsia="zh-CN"/>
        </w:rPr>
        <w:t>。</w:t>
      </w:r>
    </w:p>
    <w:p w14:paraId="2CBA605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七、付款方式：</w:t>
      </w:r>
    </w:p>
    <w:p w14:paraId="19675471">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1、合同签订后完成设备的到货、安装、调试，经甲方确认达到试运行标准后支付合同总金额的90%，</w:t>
      </w:r>
      <w:r>
        <w:rPr>
          <w:rFonts w:hint="eastAsia" w:ascii="宋体" w:hAnsi="宋体" w:eastAsia="宋体" w:cs="宋体"/>
          <w:b w:val="0"/>
          <w:bCs/>
          <w:color w:val="auto"/>
          <w:kern w:val="2"/>
          <w:sz w:val="24"/>
          <w:szCs w:val="24"/>
          <w:lang w:val="en-US" w:eastAsia="zh-CN" w:bidi="ar"/>
        </w:rPr>
        <w:t>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r>
        <w:rPr>
          <w:rFonts w:hint="eastAsia" w:ascii="宋体" w:hAnsi="宋体" w:eastAsia="宋体" w:cs="宋体"/>
          <w:b w:val="0"/>
          <w:bCs/>
          <w:color w:val="auto"/>
          <w:sz w:val="24"/>
          <w:szCs w:val="24"/>
          <w:lang w:val="en-US" w:eastAsia="zh-CN"/>
        </w:rPr>
        <w:t>达到验收标准后无息支付合同总金额10%，</w:t>
      </w:r>
      <w:r>
        <w:rPr>
          <w:rFonts w:hint="eastAsia" w:ascii="宋体" w:hAnsi="宋体" w:eastAsia="宋体" w:cs="宋体"/>
          <w:b w:val="0"/>
          <w:bCs/>
          <w:color w:val="auto"/>
          <w:kern w:val="2"/>
          <w:sz w:val="24"/>
          <w:szCs w:val="24"/>
          <w:lang w:val="en-US" w:eastAsia="zh-CN" w:bidi="ar"/>
        </w:rPr>
        <w:t>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r>
        <w:rPr>
          <w:rFonts w:hint="eastAsia" w:ascii="宋体" w:hAnsi="宋体" w:eastAsia="宋体" w:cs="宋体"/>
          <w:b w:val="0"/>
          <w:bCs/>
          <w:color w:val="auto"/>
          <w:sz w:val="24"/>
          <w:szCs w:val="24"/>
          <w:lang w:val="en-US" w:eastAsia="zh-CN"/>
        </w:rPr>
        <w:t>。</w:t>
      </w:r>
    </w:p>
    <w:p w14:paraId="75889549">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7115FAD0">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color w:val="auto"/>
          <w:sz w:val="24"/>
          <w:szCs w:val="24"/>
          <w:lang w:val="en-US" w:eastAsia="zh-CN"/>
        </w:rPr>
        <w:t>否则甲方有权拒绝支付任何费用且不承担任何违约责任。</w:t>
      </w:r>
    </w:p>
    <w:p w14:paraId="4057F4A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、乙方银行账户信息：</w:t>
      </w:r>
    </w:p>
    <w:p w14:paraId="0416FEC2">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开户行：                                  </w:t>
      </w:r>
    </w:p>
    <w:p w14:paraId="42253797">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账户名称：                                                </w:t>
      </w:r>
    </w:p>
    <w:p w14:paraId="1E6067DA">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银行账号：                                                    </w:t>
      </w:r>
    </w:p>
    <w:p w14:paraId="3CF32EDB">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甲方向以上账户付款，即为完成本合同项下对乙方相应的付款义务。乙方对上述账户信息的准确性和可用性承担全部责任。若上述</w:t>
      </w:r>
      <w:r>
        <w:rPr>
          <w:rFonts w:hint="eastAsia" w:ascii="宋体" w:hAnsi="宋体" w:eastAsia="宋体" w:cs="宋体"/>
          <w:b w:val="0"/>
          <w:bCs/>
          <w:color w:val="auto"/>
          <w:sz w:val="24"/>
          <w:szCs w:val="24"/>
          <w:lang w:val="en-US" w:eastAsia="zh-CN"/>
        </w:rPr>
        <w:t>开户行、银行账号发生变更</w:t>
      </w:r>
      <w:r>
        <w:rPr>
          <w:rFonts w:hint="eastAsia" w:ascii="宋体" w:hAnsi="宋体" w:eastAsia="宋体" w:cs="宋体"/>
          <w:b w:val="0"/>
          <w:bCs/>
          <w:color w:val="auto"/>
          <w:sz w:val="24"/>
          <w:szCs w:val="24"/>
        </w:rPr>
        <w:t xml:space="preserve">，乙方应提前7个工作日使甲方获悉，否则甲方不对乙方迟延收到或未能收到任何款项承担责任。  </w:t>
      </w:r>
    </w:p>
    <w:p w14:paraId="5911AC6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八、包装标准：</w:t>
      </w:r>
    </w:p>
    <w:p w14:paraId="62C44C6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3092FA2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2、由于乙方包装或其防护措施不妥而引起标的物锈蚀、损坏和丢失的任何损失的责任或费用由乙方承担。</w:t>
      </w:r>
    </w:p>
    <w:p w14:paraId="70B8B20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3、除双方特殊约定以外，乙方提供的包装物费用包括在本合同总价中。</w:t>
      </w:r>
    </w:p>
    <w:p w14:paraId="76468D2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4、乙方负责将送至甲方指定地点的设备包装物从甲方工作场所中清除出去，不得给甲方工作人员或环境造成影响，否则将承担相应的责任，赔偿甲方的损失。</w:t>
      </w:r>
    </w:p>
    <w:p w14:paraId="766A63E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5、标的物在运输途中的安全问题均由乙方负责</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在交货过程中，发生意外事故和故障损失，如撞、刮、裂、损等均由乙方承担责任；</w:t>
      </w:r>
    </w:p>
    <w:p w14:paraId="63EBA06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281DC65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十、安装调试</w:t>
      </w:r>
      <w:r>
        <w:rPr>
          <w:rFonts w:hint="eastAsia" w:ascii="宋体" w:hAnsi="宋体" w:eastAsia="宋体" w:cs="宋体"/>
          <w:b w:val="0"/>
          <w:bCs/>
          <w:color w:val="auto"/>
          <w:sz w:val="24"/>
          <w:szCs w:val="24"/>
          <w:lang w:val="en-US" w:eastAsia="zh-CN"/>
        </w:rPr>
        <w:t>及试运行</w:t>
      </w:r>
      <w:r>
        <w:rPr>
          <w:rFonts w:hint="eastAsia" w:ascii="宋体" w:hAnsi="宋体" w:eastAsia="宋体" w:cs="宋体"/>
          <w:b w:val="0"/>
          <w:bCs/>
          <w:color w:val="auto"/>
          <w:sz w:val="24"/>
          <w:szCs w:val="24"/>
        </w:rPr>
        <w:t>：</w:t>
      </w:r>
    </w:p>
    <w:p w14:paraId="480DD9D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1、乙方必须在合同签订后1周内将所有的安装调试条件、需甲方配合的事项以书面方式通知甲方；</w:t>
      </w:r>
    </w:p>
    <w:p w14:paraId="7FBC37A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2、乙方负责标的物的运送、安装、调试、技术协助、校准、培训以及其他类似等工作，</w:t>
      </w:r>
      <w:r>
        <w:rPr>
          <w:rFonts w:hint="eastAsia" w:ascii="宋体" w:hAnsi="宋体" w:eastAsia="宋体" w:cs="宋体"/>
          <w:b w:val="0"/>
          <w:bCs/>
          <w:color w:val="auto"/>
          <w:sz w:val="24"/>
          <w:szCs w:val="24"/>
          <w:lang w:eastAsia="zh-CN"/>
        </w:rPr>
        <w:t>直至该</w:t>
      </w:r>
      <w:r>
        <w:rPr>
          <w:rFonts w:hint="eastAsia" w:ascii="宋体" w:hAnsi="宋体" w:eastAsia="宋体" w:cs="宋体"/>
          <w:b w:val="0"/>
          <w:bCs/>
          <w:color w:val="auto"/>
          <w:sz w:val="24"/>
          <w:szCs w:val="24"/>
          <w:lang w:val="en-US" w:eastAsia="zh-CN"/>
        </w:rPr>
        <w:t>标的物</w:t>
      </w:r>
      <w:r>
        <w:rPr>
          <w:rFonts w:hint="eastAsia" w:ascii="宋体" w:hAnsi="宋体" w:eastAsia="宋体" w:cs="宋体"/>
          <w:b w:val="0"/>
          <w:bCs/>
          <w:color w:val="auto"/>
          <w:sz w:val="24"/>
          <w:szCs w:val="24"/>
          <w:lang w:eastAsia="zh-CN"/>
        </w:rPr>
        <w:t>可以正常</w:t>
      </w:r>
      <w:r>
        <w:rPr>
          <w:rFonts w:hint="eastAsia" w:ascii="宋体" w:hAnsi="宋体" w:eastAsia="宋体" w:cs="宋体"/>
          <w:b w:val="0"/>
          <w:bCs/>
          <w:color w:val="auto"/>
          <w:sz w:val="24"/>
          <w:szCs w:val="24"/>
          <w:lang w:val="en-US" w:eastAsia="zh-CN"/>
        </w:rPr>
        <w:t>试运行</w:t>
      </w:r>
      <w:r>
        <w:rPr>
          <w:rFonts w:hint="eastAsia" w:ascii="宋体" w:hAnsi="宋体" w:eastAsia="宋体" w:cs="宋体"/>
          <w:b w:val="0"/>
          <w:bCs/>
          <w:color w:val="auto"/>
          <w:sz w:val="24"/>
          <w:szCs w:val="24"/>
        </w:rPr>
        <w:t xml:space="preserve">。 </w:t>
      </w:r>
    </w:p>
    <w:p w14:paraId="453EF68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3、乙方应指派专</w:t>
      </w:r>
      <w:r>
        <w:rPr>
          <w:rFonts w:hint="eastAsia" w:ascii="宋体" w:hAnsi="宋体" w:eastAsia="宋体" w:cs="宋体"/>
          <w:b w:val="0"/>
          <w:bCs/>
          <w:color w:val="auto"/>
          <w:sz w:val="24"/>
          <w:szCs w:val="24"/>
          <w:lang w:val="en-US" w:eastAsia="zh-CN"/>
        </w:rPr>
        <w:t>业</w:t>
      </w:r>
      <w:r>
        <w:rPr>
          <w:rFonts w:hint="eastAsia" w:ascii="宋体" w:hAnsi="宋体" w:eastAsia="宋体" w:cs="宋体"/>
          <w:b w:val="0"/>
          <w:bCs/>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6638B3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lang w:val="en-US" w:eastAsia="zh-CN" w:bidi="ar"/>
        </w:rPr>
        <w:t>4、在安装调试期间，因物件发生的事故及造成任何人身伤亡，由乙方承担全部责任责任。</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0182A5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0CB8E7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07EC62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rPr>
      </w:pPr>
      <w:r>
        <w:rPr>
          <w:rFonts w:hint="eastAsia" w:ascii="宋体" w:hAnsi="宋体" w:eastAsia="宋体" w:cs="宋体"/>
          <w:b w:val="0"/>
          <w:bCs/>
          <w:color w:val="auto"/>
          <w:kern w:val="2"/>
          <w:sz w:val="24"/>
          <w:szCs w:val="24"/>
          <w:highlight w:val="none"/>
          <w:lang w:val="en-US" w:eastAsia="zh-CN" w:bidi="ar"/>
        </w:rPr>
        <w:t>8、在标的物到达之前，乙方必须提供与生产厂家签订的、针对合同内标的物的</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年免费保修协议或合同。若未能提供此文件，则视为乙方未履行合同要求，甲方有权拒绝接收货物。</w:t>
      </w:r>
    </w:p>
    <w:p w14:paraId="1C2A9BD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十一、验收标准：</w:t>
      </w:r>
    </w:p>
    <w:p w14:paraId="6B13A66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1、单证齐全：应有产品合格证（或质量证明）、使用说明、保修证明、发票和其他应具有的单证。同时由乙方提供该套标的物的商检证，需计量鉴定的，还需提供初次计量鉴定证书。</w:t>
      </w:r>
    </w:p>
    <w:p w14:paraId="7D37D0F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2、质量符合</w:t>
      </w:r>
      <w:r>
        <w:rPr>
          <w:rFonts w:hint="eastAsia" w:ascii="宋体" w:hAnsi="宋体" w:eastAsia="宋体" w:cs="宋体"/>
          <w:b w:val="0"/>
          <w:bCs/>
          <w:color w:val="auto"/>
          <w:sz w:val="24"/>
          <w:szCs w:val="24"/>
          <w:lang w:val="en-US" w:eastAsia="zh-CN"/>
        </w:rPr>
        <w:t>现行</w:t>
      </w:r>
      <w:r>
        <w:rPr>
          <w:rFonts w:hint="eastAsia" w:ascii="宋体" w:hAnsi="宋体" w:eastAsia="宋体" w:cs="宋体"/>
          <w:b w:val="0"/>
          <w:bCs/>
          <w:color w:val="auto"/>
          <w:sz w:val="24"/>
          <w:szCs w:val="24"/>
        </w:rPr>
        <w:t>国家法律法规规定的标准、招标文件和投标文件的要求。其中有关标的物名称、制造商、数量等信息须符合投标文件和配置清单</w:t>
      </w:r>
    </w:p>
    <w:p w14:paraId="1DB1C38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试运行期结束后，</w:t>
      </w:r>
      <w:r>
        <w:rPr>
          <w:rFonts w:hint="eastAsia" w:ascii="宋体" w:hAnsi="宋体" w:eastAsia="宋体" w:cs="宋体"/>
          <w:b w:val="0"/>
          <w:bCs/>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3C575CC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、甲方最终验收合格后进入</w:t>
      </w:r>
      <w:r>
        <w:rPr>
          <w:rFonts w:hint="eastAsia" w:ascii="宋体" w:hAnsi="宋体" w:eastAsia="宋体" w:cs="宋体"/>
          <w:b w:val="0"/>
          <w:bCs/>
          <w:color w:val="auto"/>
          <w:sz w:val="24"/>
          <w:szCs w:val="24"/>
          <w:lang w:val="en-US" w:eastAsia="zh-CN"/>
        </w:rPr>
        <w:t>保修</w:t>
      </w:r>
      <w:r>
        <w:rPr>
          <w:rFonts w:hint="eastAsia" w:ascii="宋体" w:hAnsi="宋体" w:eastAsia="宋体" w:cs="宋体"/>
          <w:b w:val="0"/>
          <w:bCs/>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E0E7A4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color w:val="auto"/>
          <w:sz w:val="24"/>
          <w:szCs w:val="24"/>
        </w:rPr>
        <w:t>技术监督局的</w:t>
      </w:r>
      <w:r>
        <w:rPr>
          <w:rFonts w:hint="eastAsia" w:ascii="宋体" w:hAnsi="宋体" w:eastAsia="宋体" w:cs="宋体"/>
          <w:b w:val="0"/>
          <w:bCs/>
          <w:color w:val="auto"/>
          <w:sz w:val="24"/>
          <w:szCs w:val="24"/>
          <w:lang w:val="en-US" w:eastAsia="zh-CN"/>
        </w:rPr>
        <w:t>检定、校准</w:t>
      </w:r>
      <w:r>
        <w:rPr>
          <w:rFonts w:hint="eastAsia" w:ascii="宋体" w:hAnsi="宋体" w:eastAsia="宋体" w:cs="宋体"/>
          <w:b w:val="0"/>
          <w:bCs/>
          <w:color w:val="auto"/>
          <w:sz w:val="24"/>
          <w:szCs w:val="24"/>
        </w:rPr>
        <w:t>费用，</w:t>
      </w:r>
      <w:r>
        <w:rPr>
          <w:rFonts w:hint="eastAsia" w:ascii="宋体" w:hAnsi="宋体" w:eastAsia="宋体" w:cs="宋体"/>
          <w:b w:val="0"/>
          <w:bCs/>
          <w:color w:val="auto"/>
          <w:sz w:val="24"/>
          <w:szCs w:val="24"/>
          <w:lang w:val="en-US" w:eastAsia="zh-CN"/>
        </w:rPr>
        <w:t>并</w:t>
      </w:r>
      <w:r>
        <w:rPr>
          <w:rFonts w:hint="eastAsia" w:ascii="宋体" w:hAnsi="宋体" w:eastAsia="宋体" w:cs="宋体"/>
          <w:b w:val="0"/>
          <w:bCs/>
          <w:color w:val="auto"/>
          <w:sz w:val="24"/>
          <w:szCs w:val="24"/>
        </w:rPr>
        <w:t>提供承诺函。</w:t>
      </w:r>
    </w:p>
    <w:p w14:paraId="171CE1F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十二、质量技术标准及损害赔偿：</w:t>
      </w:r>
    </w:p>
    <w:p w14:paraId="45B417E9">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25B2F0C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1CE998D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513E699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4、标的物在售后服务期内，如出现三次以上（含三次）因质量问题引起的故障，乙方负责更换同类新的</w:t>
      </w:r>
      <w:r>
        <w:rPr>
          <w:rFonts w:hint="eastAsia" w:ascii="宋体" w:hAnsi="宋体" w:eastAsia="宋体" w:cs="宋体"/>
          <w:b w:val="0"/>
          <w:bCs/>
          <w:color w:val="auto"/>
          <w:sz w:val="24"/>
          <w:szCs w:val="24"/>
          <w:lang w:val="en-US" w:eastAsia="zh-CN"/>
        </w:rPr>
        <w:t>标的物</w:t>
      </w:r>
      <w:r>
        <w:rPr>
          <w:rFonts w:hint="eastAsia" w:ascii="宋体" w:hAnsi="宋体" w:eastAsia="宋体" w:cs="宋体"/>
          <w:b w:val="0"/>
          <w:bCs/>
          <w:color w:val="auto"/>
          <w:sz w:val="24"/>
          <w:szCs w:val="24"/>
        </w:rPr>
        <w:t>，以达到合同规定的规格、质量和性能，并从更换之日起重新计算被更换标的物的售后服务期，由此产生的一切费用由乙方承担。</w:t>
      </w:r>
    </w:p>
    <w:p w14:paraId="7E68A9A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5、如因为乙方标的物质量原因，导致甲方损失，</w:t>
      </w:r>
      <w:r>
        <w:rPr>
          <w:rFonts w:hint="eastAsia" w:ascii="宋体" w:hAnsi="宋体" w:eastAsia="宋体" w:cs="宋体"/>
          <w:b w:val="0"/>
          <w:bCs/>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color w:val="auto"/>
          <w:sz w:val="24"/>
          <w:szCs w:val="24"/>
        </w:rPr>
        <w:t>。</w:t>
      </w:r>
    </w:p>
    <w:p w14:paraId="348BBD9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十三、合同修改、变更、转让及专利权：</w:t>
      </w:r>
    </w:p>
    <w:p w14:paraId="379AA9D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1、未经甲方书面同意，乙方不得对合同条款及服务内容进行任何修改、变更。并且不得转让其应履行的义务。否则，甲方有权终止合同，所发生的损失由乙方全部承担。</w:t>
      </w:r>
    </w:p>
    <w:p w14:paraId="10F99C4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0A37993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6243D87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十五、违约责任：</w:t>
      </w:r>
    </w:p>
    <w:p w14:paraId="1830160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0E3A838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556BB9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7E8F8D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3966C9FD">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76C2DDD">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371A4C2A">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2D8249EE">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十六、赔偿、追索权：</w:t>
      </w:r>
    </w:p>
    <w:p w14:paraId="28EBEE4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641186D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72ECCD8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十七、解决合同纠纷的方式：</w:t>
      </w:r>
    </w:p>
    <w:p w14:paraId="1F4B1D8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1、合同双方本着诚实、公平合理的原则协商解决，协商仍不能达成共识，可向甲方所在地人民法院提起诉讼。</w:t>
      </w:r>
    </w:p>
    <w:p w14:paraId="237902C4">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2、在诉讼期间，合同未发生争议部分应当继续履行。</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lang w:val="en-US" w:eastAsia="zh-CN"/>
        </w:rPr>
        <w:t>十八：质量保函：</w:t>
      </w:r>
      <w:r>
        <w:rPr>
          <w:rFonts w:hint="eastAsia" w:ascii="宋体" w:hAnsi="宋体" w:eastAsia="宋体" w:cs="宋体"/>
          <w:b w:val="0"/>
          <w:bCs/>
          <w:color w:val="auto"/>
          <w:sz w:val="24"/>
          <w:szCs w:val="24"/>
          <w:lang w:val="en-US" w:eastAsia="zh-CN"/>
        </w:rPr>
        <w:br w:type="textWrapping"/>
      </w:r>
      <w:r>
        <w:rPr>
          <w:rFonts w:hint="eastAsia" w:ascii="宋体" w:hAnsi="宋体" w:eastAsia="宋体" w:cs="宋体"/>
          <w:b w:val="0"/>
          <w:bCs/>
          <w:color w:val="auto"/>
          <w:sz w:val="24"/>
          <w:szCs w:val="24"/>
          <w:lang w:val="en-US" w:eastAsia="zh-CN"/>
        </w:rPr>
        <w:t>1、乙方须出具具有担保资质的公司出具的书面质量保函。</w:t>
      </w:r>
    </w:p>
    <w:p w14:paraId="42B8C84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2、乙方须保证标的物质量符合合同约定的技术标准和质量要求。</w:t>
      </w:r>
    </w:p>
    <w:p w14:paraId="17EC83F1">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3、乙方承诺在标的物验收合格后，对标的物进行为期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年的免费保修服务。</w:t>
      </w:r>
    </w:p>
    <w:p w14:paraId="2B607A3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4、若标的物在保修期内出现故障及问题，乙方应立即进行修复，直至达到合同约定的质量标准。</w:t>
      </w:r>
    </w:p>
    <w:p w14:paraId="2E33A2F3">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5、若因乙方原因导致标的物维修不及时，甲方有权要求乙方承担相应的违约责任，包括但不限于修复费用、赔偿损失等。</w:t>
      </w:r>
    </w:p>
    <w:p w14:paraId="79A976A4">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6、在约定的售后服务期（保修服务期）内未按要求提供相应技术支持时，不予退还质量保函。</w:t>
      </w:r>
    </w:p>
    <w:p w14:paraId="5C1608C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6、质量保函自签订之日起生效，至项目验收合格后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年止.</w:t>
      </w:r>
    </w:p>
    <w:p w14:paraId="58684ED6">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7、保修期结束后，由甲方出具保修期内标的物及售后服务评价，符合要求的正常退还质量保函金，不符合要求的不予退还质量保函金。</w:t>
      </w:r>
    </w:p>
    <w:p w14:paraId="467B6A0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w:t>
      </w: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、其它：</w:t>
      </w:r>
    </w:p>
    <w:p w14:paraId="631BE59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合同所有附件，</w:t>
      </w:r>
      <w:r>
        <w:rPr>
          <w:rFonts w:hint="eastAsia" w:ascii="宋体" w:hAnsi="宋体" w:eastAsia="宋体" w:cs="宋体"/>
          <w:b w:val="0"/>
          <w:bCs/>
          <w:color w:val="auto"/>
          <w:sz w:val="24"/>
          <w:szCs w:val="24"/>
          <w:lang w:val="en-US" w:eastAsia="zh-CN"/>
        </w:rPr>
        <w:t>包括与合同相关的采购文件、招标文件、谈判文件、招投标备案材料、售后服务承诺书、成交通知书、</w:t>
      </w:r>
      <w:r>
        <w:rPr>
          <w:rFonts w:hint="eastAsia" w:ascii="宋体" w:hAnsi="宋体" w:eastAsia="宋体" w:cs="宋体"/>
          <w:b w:val="0"/>
          <w:bCs/>
          <w:color w:val="auto"/>
          <w:sz w:val="24"/>
          <w:szCs w:val="24"/>
        </w:rPr>
        <w:t>成交方的投标文件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询标中的书面答疑</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开标中的书面承诺</w:t>
      </w:r>
      <w:r>
        <w:rPr>
          <w:rFonts w:hint="eastAsia" w:ascii="宋体" w:hAnsi="宋体" w:eastAsia="宋体" w:cs="宋体"/>
          <w:b w:val="0"/>
          <w:bCs/>
          <w:color w:val="auto"/>
          <w:sz w:val="24"/>
          <w:szCs w:val="24"/>
          <w:lang w:val="en-US" w:eastAsia="zh-CN"/>
        </w:rPr>
        <w:t>及合同附件</w:t>
      </w:r>
      <w:r>
        <w:rPr>
          <w:rFonts w:hint="eastAsia" w:ascii="宋体" w:hAnsi="宋体" w:eastAsia="宋体" w:cs="宋体"/>
          <w:b w:val="0"/>
          <w:bCs/>
          <w:color w:val="auto"/>
          <w:sz w:val="24"/>
          <w:szCs w:val="24"/>
        </w:rPr>
        <w:t>等均作为合同的有效组成部分，与合同具有同等的法律效力。</w:t>
      </w:r>
    </w:p>
    <w:p w14:paraId="29D7E9D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2、乙方保证提供的资质是真实的，与原件相符。否则，产生的责任及给甲方造成的损失均由乙方承担并赔偿。</w:t>
      </w:r>
    </w:p>
    <w:p w14:paraId="3DED28F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3、乙方保证合同中提供的电话、传真、开户银行、账号等信息准确无误。否则造成的责任及损失由乙方承担。</w:t>
      </w:r>
    </w:p>
    <w:p w14:paraId="5150F65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4、本合同应按中华人民共和国的相关法律解释</w:t>
      </w:r>
      <w:r>
        <w:rPr>
          <w:rFonts w:hint="eastAsia" w:ascii="宋体" w:hAnsi="宋体" w:eastAsia="宋体" w:cs="宋体"/>
          <w:b w:val="0"/>
          <w:bCs/>
          <w:color w:val="auto"/>
          <w:kern w:val="2"/>
          <w:sz w:val="24"/>
          <w:szCs w:val="24"/>
          <w:lang w:val="en-US" w:eastAsia="zh-CN" w:bidi="ar"/>
        </w:rPr>
        <w:t>，合同内容如遇国家法律、法规及政策另有规定的，从其规定。</w:t>
      </w:r>
    </w:p>
    <w:p w14:paraId="0048D8F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5、本合同文本一式五份，甲方执四份、乙方执一份</w:t>
      </w:r>
      <w:r>
        <w:rPr>
          <w:rFonts w:hint="eastAsia" w:ascii="宋体" w:hAnsi="宋体" w:eastAsia="宋体" w:cs="宋体"/>
          <w:b w:val="0"/>
          <w:bCs/>
          <w:color w:val="auto"/>
          <w:kern w:val="2"/>
          <w:sz w:val="24"/>
          <w:szCs w:val="24"/>
          <w:lang w:val="en-US" w:eastAsia="zh-CN" w:bidi="ar"/>
        </w:rPr>
        <w:t>，均具有同等的法律效力</w:t>
      </w:r>
      <w:r>
        <w:rPr>
          <w:rFonts w:hint="eastAsia" w:ascii="宋体" w:hAnsi="宋体" w:eastAsia="宋体" w:cs="宋体"/>
          <w:b w:val="0"/>
          <w:bCs/>
          <w:color w:val="auto"/>
          <w:sz w:val="24"/>
          <w:szCs w:val="24"/>
        </w:rPr>
        <w:t>。自甲、乙双方</w:t>
      </w:r>
      <w:r>
        <w:rPr>
          <w:rFonts w:hint="eastAsia" w:ascii="宋体" w:hAnsi="宋体" w:eastAsia="宋体" w:cs="宋体"/>
          <w:b w:val="0"/>
          <w:bCs/>
          <w:color w:val="auto"/>
          <w:sz w:val="24"/>
          <w:szCs w:val="24"/>
          <w:lang w:val="en-US" w:eastAsia="zh-CN"/>
        </w:rPr>
        <w:t>法定代表人或委托代理人</w:t>
      </w:r>
      <w:r>
        <w:rPr>
          <w:rFonts w:hint="eastAsia" w:ascii="宋体" w:hAnsi="宋体" w:eastAsia="宋体" w:cs="宋体"/>
          <w:b w:val="0"/>
          <w:bCs/>
          <w:color w:val="auto"/>
          <w:sz w:val="24"/>
          <w:szCs w:val="24"/>
        </w:rPr>
        <w:t>签字</w:t>
      </w:r>
      <w:r>
        <w:rPr>
          <w:rFonts w:hint="eastAsia" w:ascii="宋体" w:hAnsi="宋体" w:eastAsia="宋体" w:cs="宋体"/>
          <w:b w:val="0"/>
          <w:bCs/>
          <w:color w:val="auto"/>
          <w:sz w:val="24"/>
          <w:szCs w:val="24"/>
          <w:lang w:val="en-US" w:eastAsia="zh-CN"/>
        </w:rPr>
        <w:t>且加盖单位公</w:t>
      </w:r>
      <w:r>
        <w:rPr>
          <w:rFonts w:hint="eastAsia" w:ascii="宋体" w:hAnsi="宋体" w:eastAsia="宋体" w:cs="宋体"/>
          <w:b w:val="0"/>
          <w:bCs/>
          <w:color w:val="auto"/>
          <w:sz w:val="24"/>
          <w:szCs w:val="24"/>
        </w:rPr>
        <w:t>章</w:t>
      </w:r>
      <w:r>
        <w:rPr>
          <w:rFonts w:hint="eastAsia" w:ascii="宋体" w:hAnsi="宋体" w:eastAsia="宋体" w:cs="宋体"/>
          <w:b w:val="0"/>
          <w:bCs/>
          <w:color w:val="auto"/>
          <w:sz w:val="24"/>
          <w:szCs w:val="24"/>
          <w:lang w:val="en-US" w:eastAsia="zh-CN"/>
        </w:rPr>
        <w:t>或合同专用章</w:t>
      </w:r>
      <w:r>
        <w:rPr>
          <w:rFonts w:hint="eastAsia" w:ascii="宋体" w:hAnsi="宋体" w:eastAsia="宋体" w:cs="宋体"/>
          <w:b w:val="0"/>
          <w:bCs/>
          <w:color w:val="auto"/>
          <w:sz w:val="24"/>
          <w:szCs w:val="24"/>
        </w:rPr>
        <w:t>之日起生效，双方如有未尽事宜，可另行友好协商解决。</w:t>
      </w:r>
    </w:p>
    <w:p w14:paraId="6ACA4A25">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p>
    <w:p w14:paraId="393D9325">
      <w:pPr>
        <w:spacing w:line="360" w:lineRule="auto"/>
        <w:rPr>
          <w:rFonts w:hint="eastAsia" w:ascii="宋体" w:hAnsi="宋体" w:eastAsia="宋体" w:cs="宋体"/>
          <w:b w:val="0"/>
          <w:bCs/>
          <w:color w:val="auto"/>
          <w:sz w:val="24"/>
          <w:szCs w:val="24"/>
        </w:rPr>
      </w:pPr>
    </w:p>
    <w:tbl>
      <w:tblPr>
        <w:tblStyle w:val="28"/>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1CE09B8C">
        <w:tblPrEx>
          <w:tblCellMar>
            <w:top w:w="0" w:type="dxa"/>
            <w:left w:w="108" w:type="dxa"/>
            <w:bottom w:w="0" w:type="dxa"/>
            <w:right w:w="108" w:type="dxa"/>
          </w:tblCellMar>
        </w:tblPrEx>
        <w:tc>
          <w:tcPr>
            <w:tcW w:w="5148" w:type="dxa"/>
            <w:noWrap w:val="0"/>
            <w:vAlign w:val="top"/>
          </w:tcPr>
          <w:p w14:paraId="2DDF0CB2">
            <w:pPr>
              <w:spacing w:line="264" w:lineRule="auto"/>
              <w:rPr>
                <w:rFonts w:hint="eastAsia" w:ascii="宋体" w:hAnsi="宋体" w:eastAsia="宋体" w:cs="宋体"/>
                <w:b/>
                <w:sz w:val="24"/>
                <w:szCs w:val="24"/>
              </w:rPr>
            </w:pPr>
            <w:r>
              <w:rPr>
                <w:rFonts w:hint="eastAsia" w:ascii="宋体" w:hAnsi="宋体" w:eastAsia="宋体" w:cs="宋体"/>
                <w:b/>
                <w:sz w:val="24"/>
                <w:szCs w:val="24"/>
              </w:rPr>
              <w:t>甲方：新疆医科大学第一附属医院</w:t>
            </w:r>
          </w:p>
        </w:tc>
        <w:tc>
          <w:tcPr>
            <w:tcW w:w="4860" w:type="dxa"/>
            <w:noWrap w:val="0"/>
            <w:vAlign w:val="top"/>
          </w:tcPr>
          <w:p w14:paraId="753500FC">
            <w:pPr>
              <w:spacing w:line="264" w:lineRule="auto"/>
              <w:rPr>
                <w:rFonts w:hint="eastAsia" w:ascii="宋体" w:hAnsi="宋体" w:eastAsia="宋体" w:cs="宋体"/>
                <w:b/>
                <w:sz w:val="24"/>
                <w:szCs w:val="24"/>
              </w:rPr>
            </w:pPr>
            <w:r>
              <w:rPr>
                <w:rFonts w:hint="eastAsia" w:ascii="宋体" w:hAnsi="宋体" w:eastAsia="宋体" w:cs="宋体"/>
                <w:b/>
                <w:sz w:val="24"/>
                <w:szCs w:val="24"/>
              </w:rPr>
              <w:t>乙方：</w:t>
            </w:r>
          </w:p>
        </w:tc>
      </w:tr>
      <w:tr w14:paraId="68AFCA2E">
        <w:tblPrEx>
          <w:tblCellMar>
            <w:top w:w="0" w:type="dxa"/>
            <w:left w:w="108" w:type="dxa"/>
            <w:bottom w:w="0" w:type="dxa"/>
            <w:right w:w="108" w:type="dxa"/>
          </w:tblCellMar>
        </w:tblPrEx>
        <w:trPr>
          <w:trHeight w:val="80" w:hRule="atLeast"/>
        </w:trPr>
        <w:tc>
          <w:tcPr>
            <w:tcW w:w="5148" w:type="dxa"/>
            <w:noWrap w:val="0"/>
            <w:vAlign w:val="top"/>
          </w:tcPr>
          <w:p w14:paraId="1C0242F0">
            <w:pPr>
              <w:spacing w:line="264" w:lineRule="auto"/>
              <w:rPr>
                <w:rFonts w:hint="eastAsia" w:ascii="宋体" w:hAnsi="宋体" w:eastAsia="宋体" w:cs="宋体"/>
                <w:b/>
                <w:sz w:val="24"/>
                <w:szCs w:val="24"/>
              </w:rPr>
            </w:pPr>
          </w:p>
        </w:tc>
        <w:tc>
          <w:tcPr>
            <w:tcW w:w="4860" w:type="dxa"/>
            <w:noWrap w:val="0"/>
            <w:vAlign w:val="top"/>
          </w:tcPr>
          <w:p w14:paraId="37F9C2CE">
            <w:pPr>
              <w:spacing w:line="264" w:lineRule="auto"/>
              <w:rPr>
                <w:rFonts w:hint="eastAsia" w:ascii="宋体" w:hAnsi="宋体" w:eastAsia="宋体" w:cs="宋体"/>
                <w:b/>
                <w:sz w:val="24"/>
                <w:szCs w:val="24"/>
              </w:rPr>
            </w:pPr>
          </w:p>
        </w:tc>
      </w:tr>
      <w:tr w14:paraId="78B0F2A3">
        <w:tblPrEx>
          <w:tblCellMar>
            <w:top w:w="0" w:type="dxa"/>
            <w:left w:w="108" w:type="dxa"/>
            <w:bottom w:w="0" w:type="dxa"/>
            <w:right w:w="108" w:type="dxa"/>
          </w:tblCellMar>
        </w:tblPrEx>
        <w:tc>
          <w:tcPr>
            <w:tcW w:w="5148" w:type="dxa"/>
            <w:noWrap w:val="0"/>
            <w:vAlign w:val="top"/>
          </w:tcPr>
          <w:p w14:paraId="3E00285E">
            <w:pPr>
              <w:spacing w:line="264" w:lineRule="auto"/>
              <w:rPr>
                <w:rFonts w:hint="eastAsia" w:ascii="宋体" w:hAnsi="宋体" w:eastAsia="宋体" w:cs="宋体"/>
                <w:b/>
                <w:sz w:val="24"/>
                <w:szCs w:val="24"/>
              </w:rPr>
            </w:pPr>
            <w:r>
              <w:rPr>
                <w:rFonts w:hint="eastAsia" w:ascii="宋体" w:hAnsi="宋体" w:eastAsia="宋体" w:cs="宋体"/>
                <w:b/>
                <w:sz w:val="24"/>
                <w:szCs w:val="24"/>
              </w:rPr>
              <w:t>甲方法人：</w:t>
            </w:r>
          </w:p>
        </w:tc>
        <w:tc>
          <w:tcPr>
            <w:tcW w:w="4860" w:type="dxa"/>
            <w:noWrap w:val="0"/>
            <w:vAlign w:val="top"/>
          </w:tcPr>
          <w:p w14:paraId="4E016AED">
            <w:pPr>
              <w:spacing w:line="264" w:lineRule="auto"/>
              <w:rPr>
                <w:rFonts w:hint="eastAsia" w:ascii="宋体" w:hAnsi="宋体" w:eastAsia="宋体" w:cs="宋体"/>
                <w:b/>
                <w:sz w:val="24"/>
                <w:szCs w:val="24"/>
              </w:rPr>
            </w:pPr>
            <w:r>
              <w:rPr>
                <w:rFonts w:hint="eastAsia" w:ascii="宋体" w:hAnsi="宋体" w:eastAsia="宋体" w:cs="宋体"/>
                <w:b/>
                <w:sz w:val="24"/>
                <w:szCs w:val="24"/>
              </w:rPr>
              <w:t>乙方法人：</w:t>
            </w:r>
          </w:p>
        </w:tc>
      </w:tr>
      <w:tr w14:paraId="0ADD8720">
        <w:tblPrEx>
          <w:tblCellMar>
            <w:top w:w="0" w:type="dxa"/>
            <w:left w:w="108" w:type="dxa"/>
            <w:bottom w:w="0" w:type="dxa"/>
            <w:right w:w="108" w:type="dxa"/>
          </w:tblCellMar>
        </w:tblPrEx>
        <w:tc>
          <w:tcPr>
            <w:tcW w:w="5148" w:type="dxa"/>
            <w:noWrap w:val="0"/>
            <w:vAlign w:val="top"/>
          </w:tcPr>
          <w:p w14:paraId="489C70DD">
            <w:pPr>
              <w:spacing w:line="360" w:lineRule="auto"/>
              <w:rPr>
                <w:rFonts w:hint="eastAsia" w:ascii="宋体" w:hAnsi="宋体" w:eastAsia="宋体" w:cs="宋体"/>
                <w:b/>
                <w:sz w:val="24"/>
                <w:szCs w:val="24"/>
              </w:rPr>
            </w:pPr>
            <w:r>
              <w:rPr>
                <w:rFonts w:hint="eastAsia" w:ascii="宋体" w:hAnsi="宋体" w:eastAsia="宋体" w:cs="宋体"/>
                <w:b/>
                <w:sz w:val="24"/>
                <w:szCs w:val="24"/>
              </w:rPr>
              <w:t>（签字）</w:t>
            </w:r>
          </w:p>
        </w:tc>
        <w:tc>
          <w:tcPr>
            <w:tcW w:w="4860" w:type="dxa"/>
            <w:noWrap w:val="0"/>
            <w:vAlign w:val="top"/>
          </w:tcPr>
          <w:p w14:paraId="25673426">
            <w:pPr>
              <w:spacing w:line="264" w:lineRule="auto"/>
              <w:rPr>
                <w:rFonts w:hint="eastAsia" w:ascii="宋体" w:hAnsi="宋体" w:eastAsia="宋体" w:cs="宋体"/>
                <w:b/>
                <w:sz w:val="24"/>
                <w:szCs w:val="24"/>
              </w:rPr>
            </w:pPr>
            <w:r>
              <w:rPr>
                <w:rFonts w:hint="eastAsia" w:ascii="宋体" w:hAnsi="宋体" w:eastAsia="宋体" w:cs="宋体"/>
                <w:b/>
                <w:sz w:val="24"/>
                <w:szCs w:val="24"/>
              </w:rPr>
              <w:t>（签字）</w:t>
            </w:r>
          </w:p>
        </w:tc>
      </w:tr>
      <w:tr w14:paraId="684513B8">
        <w:tblPrEx>
          <w:tblCellMar>
            <w:top w:w="0" w:type="dxa"/>
            <w:left w:w="108" w:type="dxa"/>
            <w:bottom w:w="0" w:type="dxa"/>
            <w:right w:w="108" w:type="dxa"/>
          </w:tblCellMar>
        </w:tblPrEx>
        <w:tc>
          <w:tcPr>
            <w:tcW w:w="5148" w:type="dxa"/>
            <w:noWrap w:val="0"/>
            <w:vAlign w:val="top"/>
          </w:tcPr>
          <w:p w14:paraId="69274C80">
            <w:pPr>
              <w:spacing w:line="264" w:lineRule="auto"/>
              <w:rPr>
                <w:rFonts w:hint="eastAsia" w:ascii="宋体" w:hAnsi="宋体" w:eastAsia="宋体" w:cs="宋体"/>
                <w:b/>
                <w:sz w:val="24"/>
                <w:szCs w:val="24"/>
              </w:rPr>
            </w:pPr>
          </w:p>
        </w:tc>
        <w:tc>
          <w:tcPr>
            <w:tcW w:w="4860" w:type="dxa"/>
            <w:noWrap w:val="0"/>
            <w:vAlign w:val="top"/>
          </w:tcPr>
          <w:p w14:paraId="405A65BE">
            <w:pPr>
              <w:spacing w:line="264" w:lineRule="auto"/>
              <w:rPr>
                <w:rFonts w:hint="eastAsia" w:ascii="宋体" w:hAnsi="宋体" w:eastAsia="宋体" w:cs="宋体"/>
                <w:b/>
                <w:sz w:val="24"/>
                <w:szCs w:val="24"/>
              </w:rPr>
            </w:pPr>
          </w:p>
        </w:tc>
      </w:tr>
      <w:tr w14:paraId="6DD60091">
        <w:tblPrEx>
          <w:tblCellMar>
            <w:top w:w="0" w:type="dxa"/>
            <w:left w:w="108" w:type="dxa"/>
            <w:bottom w:w="0" w:type="dxa"/>
            <w:right w:w="108" w:type="dxa"/>
          </w:tblCellMar>
        </w:tblPrEx>
        <w:trPr>
          <w:trHeight w:val="350" w:hRule="atLeast"/>
        </w:trPr>
        <w:tc>
          <w:tcPr>
            <w:tcW w:w="5148" w:type="dxa"/>
            <w:noWrap w:val="0"/>
            <w:vAlign w:val="top"/>
          </w:tcPr>
          <w:p w14:paraId="46B48B13">
            <w:pPr>
              <w:spacing w:line="264" w:lineRule="auto"/>
              <w:rPr>
                <w:rFonts w:hint="eastAsia" w:ascii="宋体" w:hAnsi="宋体" w:eastAsia="宋体" w:cs="宋体"/>
                <w:b/>
                <w:sz w:val="24"/>
                <w:szCs w:val="24"/>
              </w:rPr>
            </w:pPr>
            <w:r>
              <w:rPr>
                <w:rFonts w:hint="eastAsia" w:ascii="宋体" w:hAnsi="宋体" w:eastAsia="宋体" w:cs="宋体"/>
                <w:b/>
                <w:sz w:val="24"/>
                <w:szCs w:val="24"/>
              </w:rPr>
              <w:t>甲方代表：</w:t>
            </w:r>
          </w:p>
        </w:tc>
        <w:tc>
          <w:tcPr>
            <w:tcW w:w="4860" w:type="dxa"/>
            <w:noWrap w:val="0"/>
            <w:vAlign w:val="top"/>
          </w:tcPr>
          <w:p w14:paraId="6428B760">
            <w:pPr>
              <w:spacing w:line="264" w:lineRule="auto"/>
              <w:rPr>
                <w:rFonts w:hint="eastAsia" w:ascii="宋体" w:hAnsi="宋体" w:eastAsia="宋体" w:cs="宋体"/>
                <w:b/>
                <w:sz w:val="24"/>
                <w:szCs w:val="24"/>
              </w:rPr>
            </w:pPr>
            <w:r>
              <w:rPr>
                <w:rFonts w:hint="eastAsia" w:ascii="宋体" w:hAnsi="宋体" w:eastAsia="宋体" w:cs="宋体"/>
                <w:b/>
                <w:sz w:val="24"/>
                <w:szCs w:val="24"/>
              </w:rPr>
              <w:t>乙方代表：</w:t>
            </w:r>
          </w:p>
        </w:tc>
      </w:tr>
      <w:tr w14:paraId="18686D37">
        <w:tblPrEx>
          <w:tblCellMar>
            <w:top w:w="0" w:type="dxa"/>
            <w:left w:w="108" w:type="dxa"/>
            <w:bottom w:w="0" w:type="dxa"/>
            <w:right w:w="108" w:type="dxa"/>
          </w:tblCellMar>
        </w:tblPrEx>
        <w:trPr>
          <w:trHeight w:val="350" w:hRule="atLeast"/>
        </w:trPr>
        <w:tc>
          <w:tcPr>
            <w:tcW w:w="5148" w:type="dxa"/>
            <w:noWrap w:val="0"/>
            <w:vAlign w:val="top"/>
          </w:tcPr>
          <w:p w14:paraId="644A42A0">
            <w:pPr>
              <w:spacing w:line="360" w:lineRule="auto"/>
              <w:rPr>
                <w:rFonts w:hint="eastAsia" w:ascii="宋体" w:hAnsi="宋体" w:eastAsia="宋体" w:cs="宋体"/>
                <w:b/>
                <w:sz w:val="24"/>
                <w:szCs w:val="24"/>
              </w:rPr>
            </w:pPr>
            <w:r>
              <w:rPr>
                <w:rFonts w:hint="eastAsia" w:ascii="宋体" w:hAnsi="宋体" w:eastAsia="宋体" w:cs="宋体"/>
                <w:b/>
                <w:sz w:val="24"/>
                <w:szCs w:val="24"/>
              </w:rPr>
              <w:t>（签字）</w:t>
            </w:r>
          </w:p>
        </w:tc>
        <w:tc>
          <w:tcPr>
            <w:tcW w:w="4860" w:type="dxa"/>
            <w:noWrap w:val="0"/>
            <w:vAlign w:val="top"/>
          </w:tcPr>
          <w:p w14:paraId="2C954E97">
            <w:pPr>
              <w:spacing w:line="264" w:lineRule="auto"/>
              <w:rPr>
                <w:rFonts w:hint="eastAsia" w:ascii="宋体" w:hAnsi="宋体" w:eastAsia="宋体" w:cs="宋体"/>
                <w:b/>
                <w:sz w:val="24"/>
                <w:szCs w:val="24"/>
              </w:rPr>
            </w:pPr>
            <w:r>
              <w:rPr>
                <w:rFonts w:hint="eastAsia" w:ascii="宋体" w:hAnsi="宋体" w:eastAsia="宋体" w:cs="宋体"/>
                <w:b/>
                <w:sz w:val="24"/>
                <w:szCs w:val="24"/>
              </w:rPr>
              <w:t>（签字）</w:t>
            </w:r>
          </w:p>
        </w:tc>
      </w:tr>
      <w:tr w14:paraId="0A089951">
        <w:tblPrEx>
          <w:tblCellMar>
            <w:top w:w="0" w:type="dxa"/>
            <w:left w:w="108" w:type="dxa"/>
            <w:bottom w:w="0" w:type="dxa"/>
            <w:right w:w="108" w:type="dxa"/>
          </w:tblCellMar>
        </w:tblPrEx>
        <w:tc>
          <w:tcPr>
            <w:tcW w:w="5148" w:type="dxa"/>
            <w:noWrap w:val="0"/>
            <w:vAlign w:val="top"/>
          </w:tcPr>
          <w:p w14:paraId="6999C8DE">
            <w:pPr>
              <w:spacing w:line="264" w:lineRule="auto"/>
              <w:rPr>
                <w:rFonts w:hint="eastAsia" w:ascii="宋体" w:hAnsi="宋体" w:eastAsia="宋体" w:cs="宋体"/>
                <w:b/>
                <w:sz w:val="24"/>
                <w:szCs w:val="24"/>
              </w:rPr>
            </w:pPr>
          </w:p>
        </w:tc>
        <w:tc>
          <w:tcPr>
            <w:tcW w:w="4860" w:type="dxa"/>
            <w:noWrap w:val="0"/>
            <w:vAlign w:val="top"/>
          </w:tcPr>
          <w:p w14:paraId="6951B51C">
            <w:pPr>
              <w:spacing w:line="264" w:lineRule="auto"/>
              <w:rPr>
                <w:rFonts w:hint="eastAsia" w:ascii="宋体" w:hAnsi="宋体" w:eastAsia="宋体" w:cs="宋体"/>
                <w:b/>
                <w:sz w:val="24"/>
                <w:szCs w:val="24"/>
              </w:rPr>
            </w:pPr>
            <w:r>
              <w:rPr>
                <w:rFonts w:hint="eastAsia" w:ascii="宋体" w:hAnsi="宋体" w:eastAsia="宋体" w:cs="宋体"/>
                <w:b/>
                <w:sz w:val="24"/>
                <w:szCs w:val="24"/>
              </w:rPr>
              <w:t>合同专用章：</w:t>
            </w:r>
          </w:p>
        </w:tc>
      </w:tr>
      <w:tr w14:paraId="70282134">
        <w:tblPrEx>
          <w:tblCellMar>
            <w:top w:w="0" w:type="dxa"/>
            <w:left w:w="108" w:type="dxa"/>
            <w:bottom w:w="0" w:type="dxa"/>
            <w:right w:w="108" w:type="dxa"/>
          </w:tblCellMar>
        </w:tblPrEx>
        <w:tc>
          <w:tcPr>
            <w:tcW w:w="5148" w:type="dxa"/>
            <w:noWrap w:val="0"/>
            <w:vAlign w:val="top"/>
          </w:tcPr>
          <w:p w14:paraId="165C2FDC">
            <w:pPr>
              <w:spacing w:line="264" w:lineRule="auto"/>
              <w:rPr>
                <w:rFonts w:hint="eastAsia" w:ascii="宋体" w:hAnsi="宋体" w:eastAsia="宋体" w:cs="宋体"/>
                <w:b/>
                <w:sz w:val="24"/>
                <w:szCs w:val="24"/>
              </w:rPr>
            </w:pPr>
          </w:p>
        </w:tc>
        <w:tc>
          <w:tcPr>
            <w:tcW w:w="4860" w:type="dxa"/>
            <w:noWrap w:val="0"/>
            <w:vAlign w:val="top"/>
          </w:tcPr>
          <w:p w14:paraId="748CCDFE">
            <w:pPr>
              <w:spacing w:line="264" w:lineRule="auto"/>
              <w:rPr>
                <w:rFonts w:hint="eastAsia" w:ascii="宋体" w:hAnsi="宋体" w:eastAsia="宋体" w:cs="宋体"/>
                <w:b/>
                <w:sz w:val="24"/>
                <w:szCs w:val="24"/>
              </w:rPr>
            </w:pPr>
          </w:p>
        </w:tc>
      </w:tr>
      <w:tr w14:paraId="45AAD8A3">
        <w:tblPrEx>
          <w:tblCellMar>
            <w:top w:w="0" w:type="dxa"/>
            <w:left w:w="108" w:type="dxa"/>
            <w:bottom w:w="0" w:type="dxa"/>
            <w:right w:w="108" w:type="dxa"/>
          </w:tblCellMar>
        </w:tblPrEx>
        <w:tc>
          <w:tcPr>
            <w:tcW w:w="5148" w:type="dxa"/>
            <w:noWrap w:val="0"/>
            <w:vAlign w:val="top"/>
          </w:tcPr>
          <w:p w14:paraId="4B26F9C7">
            <w:pPr>
              <w:spacing w:line="264" w:lineRule="auto"/>
              <w:rPr>
                <w:rFonts w:hint="eastAsia" w:ascii="宋体" w:hAnsi="宋体" w:eastAsia="宋体" w:cs="宋体"/>
                <w:b/>
                <w:sz w:val="24"/>
                <w:szCs w:val="24"/>
              </w:rPr>
            </w:pPr>
          </w:p>
        </w:tc>
        <w:tc>
          <w:tcPr>
            <w:tcW w:w="4860" w:type="dxa"/>
            <w:noWrap w:val="0"/>
            <w:vAlign w:val="top"/>
          </w:tcPr>
          <w:p w14:paraId="624E9AFA">
            <w:pPr>
              <w:spacing w:line="264" w:lineRule="auto"/>
              <w:ind w:left="1054" w:hanging="1205" w:hangingChars="500"/>
              <w:rPr>
                <w:rFonts w:hint="eastAsia" w:ascii="宋体" w:hAnsi="宋体" w:eastAsia="宋体" w:cs="宋体"/>
                <w:b/>
                <w:sz w:val="24"/>
                <w:szCs w:val="24"/>
              </w:rPr>
            </w:pPr>
            <w:r>
              <w:rPr>
                <w:rFonts w:hint="eastAsia" w:ascii="宋体" w:hAnsi="宋体" w:eastAsia="宋体" w:cs="宋体"/>
                <w:b/>
                <w:sz w:val="24"/>
                <w:szCs w:val="24"/>
              </w:rPr>
              <w:t>单位地址：</w:t>
            </w:r>
          </w:p>
        </w:tc>
      </w:tr>
      <w:tr w14:paraId="0A2972E1">
        <w:tblPrEx>
          <w:tblCellMar>
            <w:top w:w="0" w:type="dxa"/>
            <w:left w:w="108" w:type="dxa"/>
            <w:bottom w:w="0" w:type="dxa"/>
            <w:right w:w="108" w:type="dxa"/>
          </w:tblCellMar>
        </w:tblPrEx>
        <w:tc>
          <w:tcPr>
            <w:tcW w:w="5148" w:type="dxa"/>
            <w:noWrap w:val="0"/>
            <w:vAlign w:val="top"/>
          </w:tcPr>
          <w:p w14:paraId="63A62BE2">
            <w:pPr>
              <w:spacing w:line="264" w:lineRule="auto"/>
              <w:rPr>
                <w:rFonts w:hint="eastAsia" w:ascii="宋体" w:hAnsi="宋体" w:eastAsia="宋体" w:cs="宋体"/>
                <w:b/>
                <w:sz w:val="24"/>
                <w:szCs w:val="24"/>
              </w:rPr>
            </w:pPr>
          </w:p>
          <w:p w14:paraId="439DFA8E">
            <w:pPr>
              <w:spacing w:line="264" w:lineRule="auto"/>
              <w:rPr>
                <w:rFonts w:hint="eastAsia" w:ascii="宋体" w:hAnsi="宋体" w:eastAsia="宋体" w:cs="宋体"/>
                <w:b/>
                <w:sz w:val="24"/>
                <w:szCs w:val="24"/>
              </w:rPr>
            </w:pPr>
          </w:p>
        </w:tc>
        <w:tc>
          <w:tcPr>
            <w:tcW w:w="4860" w:type="dxa"/>
            <w:noWrap w:val="0"/>
            <w:vAlign w:val="top"/>
          </w:tcPr>
          <w:p w14:paraId="11C71374">
            <w:pPr>
              <w:spacing w:line="264" w:lineRule="auto"/>
              <w:rPr>
                <w:rFonts w:hint="eastAsia" w:ascii="宋体" w:hAnsi="宋体" w:eastAsia="宋体" w:cs="宋体"/>
                <w:b/>
                <w:sz w:val="24"/>
                <w:szCs w:val="24"/>
              </w:rPr>
            </w:pPr>
          </w:p>
        </w:tc>
      </w:tr>
      <w:tr w14:paraId="2D3BE895">
        <w:tblPrEx>
          <w:tblCellMar>
            <w:top w:w="0" w:type="dxa"/>
            <w:left w:w="108" w:type="dxa"/>
            <w:bottom w:w="0" w:type="dxa"/>
            <w:right w:w="108" w:type="dxa"/>
          </w:tblCellMar>
        </w:tblPrEx>
        <w:tc>
          <w:tcPr>
            <w:tcW w:w="5148" w:type="dxa"/>
            <w:noWrap w:val="0"/>
            <w:vAlign w:val="top"/>
          </w:tcPr>
          <w:p w14:paraId="599ACDA1">
            <w:pPr>
              <w:spacing w:line="264" w:lineRule="auto"/>
              <w:rPr>
                <w:rFonts w:hint="eastAsia" w:ascii="宋体" w:hAnsi="宋体" w:eastAsia="宋体" w:cs="宋体"/>
                <w:b/>
                <w:sz w:val="24"/>
                <w:szCs w:val="24"/>
              </w:rPr>
            </w:pPr>
            <w:r>
              <w:rPr>
                <w:rFonts w:hint="eastAsia" w:ascii="宋体" w:hAnsi="宋体" w:eastAsia="宋体" w:cs="宋体"/>
                <w:b/>
                <w:sz w:val="24"/>
                <w:szCs w:val="24"/>
              </w:rPr>
              <w:t>合同专用章：</w:t>
            </w:r>
          </w:p>
        </w:tc>
        <w:tc>
          <w:tcPr>
            <w:tcW w:w="4860" w:type="dxa"/>
            <w:noWrap w:val="0"/>
            <w:vAlign w:val="top"/>
          </w:tcPr>
          <w:p w14:paraId="0F3E67E3">
            <w:pPr>
              <w:spacing w:line="264" w:lineRule="auto"/>
              <w:rPr>
                <w:rFonts w:hint="eastAsia" w:ascii="宋体" w:hAnsi="宋体" w:eastAsia="宋体" w:cs="宋体"/>
                <w:b/>
                <w:sz w:val="24"/>
                <w:szCs w:val="24"/>
              </w:rPr>
            </w:pPr>
            <w:r>
              <w:rPr>
                <w:rFonts w:hint="eastAsia" w:ascii="宋体" w:hAnsi="宋体" w:eastAsia="宋体" w:cs="宋体"/>
                <w:b/>
                <w:sz w:val="24"/>
                <w:szCs w:val="24"/>
              </w:rPr>
              <w:t>单位电话：</w:t>
            </w:r>
          </w:p>
        </w:tc>
      </w:tr>
      <w:tr w14:paraId="3C91D113">
        <w:tblPrEx>
          <w:tblCellMar>
            <w:top w:w="0" w:type="dxa"/>
            <w:left w:w="108" w:type="dxa"/>
            <w:bottom w:w="0" w:type="dxa"/>
            <w:right w:w="108" w:type="dxa"/>
          </w:tblCellMar>
        </w:tblPrEx>
        <w:tc>
          <w:tcPr>
            <w:tcW w:w="5148" w:type="dxa"/>
            <w:noWrap w:val="0"/>
            <w:vAlign w:val="top"/>
          </w:tcPr>
          <w:p w14:paraId="3CAEE24D">
            <w:pPr>
              <w:spacing w:line="264" w:lineRule="auto"/>
              <w:rPr>
                <w:rFonts w:hint="eastAsia" w:ascii="宋体" w:hAnsi="宋体" w:eastAsia="宋体" w:cs="宋体"/>
                <w:b/>
                <w:sz w:val="24"/>
                <w:szCs w:val="24"/>
              </w:rPr>
            </w:pPr>
          </w:p>
          <w:p w14:paraId="4878E902">
            <w:pPr>
              <w:spacing w:line="264" w:lineRule="auto"/>
              <w:rPr>
                <w:rFonts w:hint="eastAsia" w:ascii="宋体" w:hAnsi="宋体" w:eastAsia="宋体" w:cs="宋体"/>
                <w:b/>
                <w:sz w:val="24"/>
                <w:szCs w:val="24"/>
              </w:rPr>
            </w:pPr>
          </w:p>
        </w:tc>
        <w:tc>
          <w:tcPr>
            <w:tcW w:w="4860" w:type="dxa"/>
            <w:noWrap w:val="0"/>
            <w:vAlign w:val="top"/>
          </w:tcPr>
          <w:p w14:paraId="323A51E6">
            <w:pPr>
              <w:spacing w:line="264" w:lineRule="auto"/>
              <w:rPr>
                <w:rFonts w:hint="eastAsia" w:ascii="宋体" w:hAnsi="宋体" w:eastAsia="宋体" w:cs="宋体"/>
                <w:b/>
                <w:sz w:val="24"/>
                <w:szCs w:val="24"/>
              </w:rPr>
            </w:pPr>
            <w:r>
              <w:rPr>
                <w:rFonts w:hint="eastAsia" w:ascii="宋体" w:hAnsi="宋体" w:eastAsia="宋体" w:cs="宋体"/>
                <w:b/>
                <w:sz w:val="24"/>
                <w:szCs w:val="24"/>
              </w:rPr>
              <w:t>维修工程师电话：</w:t>
            </w:r>
          </w:p>
        </w:tc>
      </w:tr>
      <w:tr w14:paraId="760F0586">
        <w:tblPrEx>
          <w:tblCellMar>
            <w:top w:w="0" w:type="dxa"/>
            <w:left w:w="108" w:type="dxa"/>
            <w:bottom w:w="0" w:type="dxa"/>
            <w:right w:w="108" w:type="dxa"/>
          </w:tblCellMar>
        </w:tblPrEx>
        <w:tc>
          <w:tcPr>
            <w:tcW w:w="5148" w:type="dxa"/>
            <w:noWrap w:val="0"/>
            <w:vAlign w:val="top"/>
          </w:tcPr>
          <w:p w14:paraId="70C00134">
            <w:pPr>
              <w:spacing w:line="264" w:lineRule="auto"/>
              <w:rPr>
                <w:rFonts w:hint="eastAsia" w:ascii="宋体" w:hAnsi="宋体" w:eastAsia="宋体" w:cs="宋体"/>
                <w:b/>
                <w:sz w:val="24"/>
                <w:szCs w:val="24"/>
              </w:rPr>
            </w:pPr>
            <w:r>
              <w:rPr>
                <w:rFonts w:hint="eastAsia" w:ascii="宋体" w:hAnsi="宋体" w:eastAsia="宋体" w:cs="宋体"/>
                <w:b/>
                <w:sz w:val="24"/>
                <w:szCs w:val="24"/>
              </w:rPr>
              <w:t>单位地址：乌鲁木齐市鲤鱼山路137号</w:t>
            </w:r>
          </w:p>
        </w:tc>
        <w:tc>
          <w:tcPr>
            <w:tcW w:w="4860" w:type="dxa"/>
            <w:noWrap w:val="0"/>
            <w:vAlign w:val="top"/>
          </w:tcPr>
          <w:p w14:paraId="69D3B265">
            <w:pPr>
              <w:spacing w:line="264" w:lineRule="auto"/>
              <w:rPr>
                <w:rFonts w:hint="eastAsia" w:ascii="宋体" w:hAnsi="宋体" w:eastAsia="宋体" w:cs="宋体"/>
                <w:b/>
                <w:sz w:val="24"/>
                <w:szCs w:val="24"/>
              </w:rPr>
            </w:pPr>
            <w:r>
              <w:rPr>
                <w:rFonts w:hint="eastAsia" w:ascii="宋体" w:hAnsi="宋体" w:eastAsia="宋体" w:cs="宋体"/>
                <w:b/>
                <w:sz w:val="24"/>
                <w:szCs w:val="24"/>
              </w:rPr>
              <w:t>开户行：</w:t>
            </w:r>
          </w:p>
        </w:tc>
      </w:tr>
      <w:tr w14:paraId="1E8EBFE6">
        <w:tblPrEx>
          <w:tblCellMar>
            <w:top w:w="0" w:type="dxa"/>
            <w:left w:w="108" w:type="dxa"/>
            <w:bottom w:w="0" w:type="dxa"/>
            <w:right w:w="108" w:type="dxa"/>
          </w:tblCellMar>
        </w:tblPrEx>
        <w:tc>
          <w:tcPr>
            <w:tcW w:w="5148" w:type="dxa"/>
            <w:noWrap w:val="0"/>
            <w:vAlign w:val="top"/>
          </w:tcPr>
          <w:p w14:paraId="11E61985">
            <w:pPr>
              <w:spacing w:line="264" w:lineRule="auto"/>
              <w:rPr>
                <w:rFonts w:hint="eastAsia" w:ascii="宋体" w:hAnsi="宋体" w:eastAsia="宋体" w:cs="宋体"/>
                <w:b/>
                <w:sz w:val="24"/>
                <w:szCs w:val="24"/>
              </w:rPr>
            </w:pPr>
          </w:p>
          <w:p w14:paraId="7837A66D">
            <w:pPr>
              <w:spacing w:line="264" w:lineRule="auto"/>
              <w:rPr>
                <w:rFonts w:hint="eastAsia" w:ascii="宋体" w:hAnsi="宋体" w:eastAsia="宋体" w:cs="宋体"/>
                <w:b/>
                <w:sz w:val="24"/>
                <w:szCs w:val="24"/>
              </w:rPr>
            </w:pPr>
            <w:r>
              <w:rPr>
                <w:rFonts w:hint="eastAsia" w:ascii="宋体" w:hAnsi="宋体" w:eastAsia="宋体" w:cs="宋体"/>
                <w:b/>
                <w:sz w:val="24"/>
                <w:szCs w:val="24"/>
              </w:rPr>
              <w:t>单位电话：0991-4362698</w:t>
            </w:r>
          </w:p>
        </w:tc>
        <w:tc>
          <w:tcPr>
            <w:tcW w:w="4860" w:type="dxa"/>
            <w:noWrap w:val="0"/>
            <w:vAlign w:val="top"/>
          </w:tcPr>
          <w:p w14:paraId="221C3491">
            <w:pPr>
              <w:spacing w:line="264" w:lineRule="auto"/>
              <w:rPr>
                <w:rFonts w:hint="eastAsia" w:ascii="宋体" w:hAnsi="宋体" w:eastAsia="宋体" w:cs="宋体"/>
                <w:b/>
                <w:sz w:val="24"/>
                <w:szCs w:val="24"/>
              </w:rPr>
            </w:pPr>
            <w:r>
              <w:rPr>
                <w:rFonts w:hint="eastAsia" w:ascii="宋体" w:hAnsi="宋体" w:eastAsia="宋体" w:cs="宋体"/>
                <w:b/>
                <w:sz w:val="24"/>
                <w:szCs w:val="24"/>
              </w:rPr>
              <w:t>帐号：</w:t>
            </w:r>
          </w:p>
        </w:tc>
      </w:tr>
      <w:tr w14:paraId="2935DC2A">
        <w:tblPrEx>
          <w:tblCellMar>
            <w:top w:w="0" w:type="dxa"/>
            <w:left w:w="108" w:type="dxa"/>
            <w:bottom w:w="0" w:type="dxa"/>
            <w:right w:w="108" w:type="dxa"/>
          </w:tblCellMar>
        </w:tblPrEx>
        <w:tc>
          <w:tcPr>
            <w:tcW w:w="5148" w:type="dxa"/>
            <w:noWrap w:val="0"/>
            <w:vAlign w:val="top"/>
          </w:tcPr>
          <w:p w14:paraId="1337DC13">
            <w:pPr>
              <w:spacing w:line="264" w:lineRule="auto"/>
              <w:rPr>
                <w:rFonts w:hint="eastAsia" w:ascii="宋体" w:hAnsi="宋体" w:eastAsia="宋体" w:cs="宋体"/>
                <w:b/>
                <w:sz w:val="24"/>
                <w:szCs w:val="24"/>
              </w:rPr>
            </w:pPr>
            <w:r>
              <w:rPr>
                <w:rFonts w:hint="eastAsia" w:ascii="宋体" w:hAnsi="宋体" w:eastAsia="宋体" w:cs="宋体"/>
                <w:b/>
                <w:sz w:val="24"/>
                <w:szCs w:val="24"/>
              </w:rPr>
              <w:t>合同签订时间：    年   月   日</w:t>
            </w:r>
          </w:p>
        </w:tc>
        <w:tc>
          <w:tcPr>
            <w:tcW w:w="4860" w:type="dxa"/>
            <w:noWrap w:val="0"/>
            <w:vAlign w:val="top"/>
          </w:tcPr>
          <w:p w14:paraId="74F57D0C">
            <w:pPr>
              <w:spacing w:line="264" w:lineRule="auto"/>
              <w:rPr>
                <w:rFonts w:hint="eastAsia" w:ascii="宋体" w:hAnsi="宋体" w:eastAsia="宋体" w:cs="宋体"/>
                <w:b/>
                <w:sz w:val="24"/>
                <w:szCs w:val="24"/>
              </w:rPr>
            </w:pPr>
            <w:r>
              <w:rPr>
                <w:rFonts w:hint="eastAsia" w:ascii="宋体" w:hAnsi="宋体" w:eastAsia="宋体" w:cs="宋体"/>
                <w:b/>
                <w:sz w:val="24"/>
                <w:szCs w:val="24"/>
              </w:rPr>
              <w:t>合同签订时间：    年   月   日</w:t>
            </w:r>
          </w:p>
        </w:tc>
      </w:tr>
    </w:tbl>
    <w:p w14:paraId="07F42A4B">
      <w:pPr>
        <w:snapToGrid w:val="0"/>
        <w:spacing w:line="264" w:lineRule="auto"/>
        <w:ind w:firstLine="234" w:firstLineChars="97"/>
        <w:rPr>
          <w:rFonts w:hint="eastAsia" w:ascii="宋体" w:hAnsi="宋体" w:eastAsia="宋体" w:cs="宋体"/>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附件1：</w:t>
      </w:r>
    </w:p>
    <w:p w14:paraId="0126F33E">
      <w:pPr>
        <w:snapToGrid w:val="0"/>
        <w:spacing w:line="264" w:lineRule="auto"/>
        <w:ind w:firstLine="480" w:firstLineChars="200"/>
        <w:jc w:val="center"/>
        <w:rPr>
          <w:rFonts w:hint="eastAsia" w:ascii="宋体" w:hAnsi="宋体" w:eastAsia="宋体" w:cs="宋体"/>
          <w:sz w:val="24"/>
          <w:szCs w:val="24"/>
        </w:rPr>
      </w:pPr>
    </w:p>
    <w:p w14:paraId="73D7314A">
      <w:pPr>
        <w:snapToGrid w:val="0"/>
        <w:spacing w:line="264"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法人身份证明书或法人代表授权书（如果有授权代表）（加盖公章）</w:t>
      </w:r>
    </w:p>
    <w:p w14:paraId="33518E7D">
      <w:pPr>
        <w:snapToGrid w:val="0"/>
        <w:spacing w:line="264" w:lineRule="auto"/>
        <w:ind w:firstLine="480" w:firstLineChars="200"/>
        <w:jc w:val="center"/>
        <w:rPr>
          <w:rFonts w:hint="eastAsia" w:ascii="宋体" w:hAnsi="宋体" w:eastAsia="宋体" w:cs="宋体"/>
          <w:sz w:val="24"/>
          <w:szCs w:val="24"/>
        </w:rPr>
      </w:pPr>
    </w:p>
    <w:p w14:paraId="0449B800">
      <w:pPr>
        <w:jc w:val="center"/>
        <w:rPr>
          <w:rFonts w:hint="eastAsia" w:ascii="宋体" w:hAnsi="宋体" w:eastAsia="宋体" w:cs="宋体"/>
          <w:b/>
          <w:bCs/>
          <w:spacing w:val="20"/>
          <w:sz w:val="24"/>
          <w:szCs w:val="24"/>
        </w:rPr>
      </w:pPr>
      <w:r>
        <w:rPr>
          <w:rFonts w:hint="eastAsia" w:ascii="宋体" w:hAnsi="宋体" w:eastAsia="宋体" w:cs="宋体"/>
          <w:b/>
          <w:bCs/>
          <w:spacing w:val="20"/>
          <w:sz w:val="24"/>
          <w:szCs w:val="24"/>
        </w:rPr>
        <w:t>样本：法人代表授权书</w:t>
      </w:r>
    </w:p>
    <w:p w14:paraId="729C61DC">
      <w:pPr>
        <w:jc w:val="center"/>
        <w:rPr>
          <w:rFonts w:hint="eastAsia" w:ascii="宋体" w:hAnsi="宋体" w:eastAsia="宋体" w:cs="宋体"/>
          <w:sz w:val="24"/>
          <w:szCs w:val="24"/>
        </w:rPr>
      </w:pPr>
    </w:p>
    <w:p w14:paraId="1EC5EE8A">
      <w:pPr>
        <w:jc w:val="center"/>
        <w:rPr>
          <w:rFonts w:hint="eastAsia" w:ascii="宋体" w:hAnsi="宋体" w:eastAsia="宋体" w:cs="宋体"/>
          <w:sz w:val="24"/>
          <w:szCs w:val="24"/>
        </w:rPr>
      </w:pPr>
    </w:p>
    <w:p w14:paraId="48C0C427">
      <w:pPr>
        <w:pStyle w:val="12"/>
        <w:spacing w:line="760" w:lineRule="exact"/>
        <w:ind w:firstLine="56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（地区名称）</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的</w:t>
      </w:r>
      <w:r>
        <w:rPr>
          <w:rFonts w:hint="eastAsia" w:ascii="宋体" w:hAnsi="宋体" w:eastAsia="宋体" w:cs="宋体"/>
          <w:b/>
          <w:sz w:val="24"/>
          <w:szCs w:val="24"/>
          <w:u w:val="single"/>
        </w:rPr>
        <w:t xml:space="preserve">   （公司名称）   </w:t>
      </w:r>
      <w:r>
        <w:rPr>
          <w:rFonts w:hint="eastAsia" w:ascii="宋体" w:hAnsi="宋体" w:eastAsia="宋体" w:cs="宋体"/>
          <w:sz w:val="24"/>
          <w:szCs w:val="24"/>
        </w:rPr>
        <w:t>法人</w:t>
      </w:r>
      <w:r>
        <w:rPr>
          <w:rFonts w:hint="eastAsia" w:ascii="宋体" w:hAnsi="宋体" w:eastAsia="宋体" w:cs="宋体"/>
          <w:b/>
          <w:sz w:val="24"/>
          <w:szCs w:val="24"/>
          <w:u w:val="single"/>
        </w:rPr>
        <w:t xml:space="preserve">   （姓名、职务） </w:t>
      </w:r>
      <w:r>
        <w:rPr>
          <w:rFonts w:hint="eastAsia" w:ascii="宋体" w:hAnsi="宋体" w:eastAsia="宋体" w:cs="宋体"/>
          <w:sz w:val="24"/>
          <w:szCs w:val="24"/>
        </w:rPr>
        <w:t>代表本公司授权销售代表</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（姓名、职务）</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为本公司的合法代理人，就新疆医科大学第一附属医院医疗设备项目</w:t>
      </w:r>
      <w:r>
        <w:rPr>
          <w:rFonts w:hint="eastAsia" w:ascii="宋体" w:hAnsi="宋体" w:eastAsia="宋体" w:cs="宋体"/>
          <w:b/>
          <w:sz w:val="24"/>
          <w:szCs w:val="24"/>
          <w:u w:val="single"/>
        </w:rPr>
        <w:t xml:space="preserve">     （合同编号+设备名称）    </w:t>
      </w:r>
      <w:r>
        <w:rPr>
          <w:rFonts w:hint="eastAsia" w:ascii="宋体" w:hAnsi="宋体" w:eastAsia="宋体" w:cs="宋体"/>
          <w:sz w:val="24"/>
          <w:szCs w:val="24"/>
        </w:rPr>
        <w:t>包括但不限于以下方面：谈判响应、合同签订、履行，以本公司的名义处理一切与之有关的事务。</w:t>
      </w:r>
    </w:p>
    <w:p w14:paraId="16B6453E">
      <w:pPr>
        <w:spacing w:line="700" w:lineRule="exact"/>
        <w:ind w:firstLine="482"/>
        <w:rPr>
          <w:rFonts w:hint="eastAsia" w:ascii="宋体" w:hAnsi="宋体" w:eastAsia="宋体" w:cs="宋体"/>
          <w:sz w:val="24"/>
          <w:szCs w:val="24"/>
        </w:rPr>
      </w:pPr>
    </w:p>
    <w:p w14:paraId="5AE87EF9">
      <w:pPr>
        <w:spacing w:line="700" w:lineRule="exact"/>
        <w:ind w:firstLine="652" w:firstLineChars="272"/>
        <w:rPr>
          <w:rFonts w:hint="eastAsia" w:ascii="宋体" w:hAnsi="宋体" w:eastAsia="宋体" w:cs="宋体"/>
          <w:sz w:val="24"/>
          <w:szCs w:val="24"/>
          <w:u w:val="single"/>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sz w:val="24"/>
          <w:szCs w:val="24"/>
        </w:rPr>
        <w:t>月</w:t>
      </w:r>
      <w:r>
        <w:rPr>
          <w:rFonts w:hint="eastAsia" w:ascii="宋体" w:hAnsi="宋体" w:eastAsia="宋体" w:cs="宋体"/>
          <w:b/>
          <w:sz w:val="24"/>
          <w:szCs w:val="24"/>
          <w:u w:val="single"/>
        </w:rPr>
        <w:t xml:space="preserve">     </w:t>
      </w:r>
      <w:r>
        <w:rPr>
          <w:rFonts w:hint="eastAsia" w:ascii="宋体" w:hAnsi="宋体" w:eastAsia="宋体" w:cs="宋体"/>
          <w:sz w:val="24"/>
          <w:szCs w:val="24"/>
        </w:rPr>
        <w:t>日签字生效，特此声明。</w:t>
      </w:r>
    </w:p>
    <w:p w14:paraId="445BC525">
      <w:pPr>
        <w:spacing w:line="700" w:lineRule="exact"/>
        <w:ind w:firstLine="482"/>
        <w:rPr>
          <w:rFonts w:hint="eastAsia" w:ascii="宋体" w:hAnsi="宋体" w:eastAsia="宋体" w:cs="宋体"/>
          <w:sz w:val="24"/>
          <w:szCs w:val="24"/>
        </w:rPr>
      </w:pPr>
    </w:p>
    <w:p w14:paraId="2956DAEF">
      <w:pPr>
        <w:spacing w:line="900" w:lineRule="exact"/>
        <w:ind w:firstLine="651" w:firstLineChars="270"/>
        <w:rPr>
          <w:rFonts w:hint="eastAsia" w:ascii="宋体" w:hAnsi="宋体" w:eastAsia="宋体" w:cs="宋体"/>
          <w:b/>
          <w:sz w:val="24"/>
          <w:szCs w:val="24"/>
        </w:rPr>
      </w:pPr>
      <w:r>
        <w:rPr>
          <w:rFonts w:hint="eastAsia" w:ascii="宋体" w:hAnsi="宋体" w:eastAsia="宋体" w:cs="宋体"/>
          <w:b/>
          <w:sz w:val="24"/>
          <w:szCs w:val="24"/>
        </w:rPr>
        <w:t>法人代表签字：</w:t>
      </w:r>
      <w:r>
        <w:rPr>
          <w:rFonts w:hint="eastAsia" w:ascii="宋体" w:hAnsi="宋体" w:eastAsia="宋体" w:cs="宋体"/>
          <w:b/>
          <w:sz w:val="24"/>
          <w:szCs w:val="24"/>
          <w:u w:val="single"/>
        </w:rPr>
        <w:t>　　　　　　　　　　　　　　</w:t>
      </w:r>
    </w:p>
    <w:p w14:paraId="71C6D224">
      <w:pPr>
        <w:spacing w:line="900" w:lineRule="exact"/>
        <w:ind w:firstLine="651" w:firstLineChars="270"/>
        <w:rPr>
          <w:rFonts w:hint="eastAsia" w:ascii="宋体" w:hAnsi="宋体" w:eastAsia="宋体" w:cs="宋体"/>
          <w:b/>
          <w:sz w:val="24"/>
          <w:szCs w:val="24"/>
        </w:rPr>
      </w:pPr>
      <w:r>
        <w:rPr>
          <w:rFonts w:hint="eastAsia" w:ascii="宋体" w:hAnsi="宋体" w:eastAsia="宋体" w:cs="宋体"/>
          <w:b/>
          <w:sz w:val="24"/>
          <w:szCs w:val="24"/>
        </w:rPr>
        <w:t>被授权人签字：</w:t>
      </w:r>
      <w:r>
        <w:rPr>
          <w:rFonts w:hint="eastAsia" w:ascii="宋体" w:hAnsi="宋体" w:eastAsia="宋体" w:cs="宋体"/>
          <w:b/>
          <w:sz w:val="24"/>
          <w:szCs w:val="24"/>
          <w:u w:val="single"/>
        </w:rPr>
        <w:t>　　　　　　　　　　　　　　</w:t>
      </w:r>
    </w:p>
    <w:p w14:paraId="0D50DBF6">
      <w:pPr>
        <w:spacing w:line="900" w:lineRule="exact"/>
        <w:ind w:firstLine="651" w:firstLineChars="270"/>
        <w:rPr>
          <w:rFonts w:hint="eastAsia" w:ascii="宋体" w:hAnsi="宋体" w:eastAsia="宋体" w:cs="宋体"/>
          <w:b/>
          <w:sz w:val="24"/>
          <w:szCs w:val="24"/>
          <w:u w:val="single"/>
        </w:rPr>
      </w:pPr>
      <w:r>
        <w:rPr>
          <w:rFonts w:hint="eastAsia" w:ascii="宋体" w:hAnsi="宋体" w:eastAsia="宋体" w:cs="宋体"/>
          <w:b/>
          <w:sz w:val="24"/>
          <w:szCs w:val="24"/>
        </w:rPr>
        <w:t>公        章：</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（公司名称）           </w:t>
      </w:r>
    </w:p>
    <w:p w14:paraId="1335D9B1">
      <w:pPr>
        <w:spacing w:line="900" w:lineRule="exact"/>
        <w:ind w:firstLine="651" w:firstLineChars="270"/>
        <w:rPr>
          <w:rFonts w:hint="eastAsia" w:ascii="宋体" w:hAnsi="宋体" w:eastAsia="宋体" w:cs="宋体"/>
          <w:b/>
          <w:sz w:val="24"/>
          <w:szCs w:val="24"/>
          <w:u w:val="single"/>
        </w:rPr>
      </w:pPr>
    </w:p>
    <w:p w14:paraId="353711DF">
      <w:pPr>
        <w:spacing w:line="900" w:lineRule="exact"/>
        <w:ind w:firstLine="651" w:firstLineChars="270"/>
        <w:rPr>
          <w:rFonts w:hint="eastAsia" w:ascii="宋体" w:hAnsi="宋体" w:eastAsia="宋体" w:cs="宋体"/>
          <w:b/>
          <w:color w:val="FF0000"/>
          <w:sz w:val="24"/>
          <w:szCs w:val="24"/>
          <w:u w:val="single"/>
        </w:rPr>
      </w:pPr>
      <w:r>
        <w:rPr>
          <w:rFonts w:hint="eastAsia" w:ascii="宋体" w:hAnsi="宋体" w:eastAsia="宋体" w:cs="宋体"/>
          <w:b/>
          <w:color w:val="FF0000"/>
          <w:sz w:val="24"/>
          <w:szCs w:val="24"/>
          <w:u w:val="single"/>
        </w:rPr>
        <w:t>附法人及法人授权代表身份证复印件，加盖公章</w:t>
      </w:r>
    </w:p>
    <w:p w14:paraId="31F1B8AF">
      <w:pPr>
        <w:snapToGrid w:val="0"/>
        <w:spacing w:line="264" w:lineRule="auto"/>
        <w:ind w:firstLine="480" w:firstLineChars="200"/>
        <w:jc w:val="center"/>
        <w:rPr>
          <w:rFonts w:hint="eastAsia" w:ascii="宋体" w:hAnsi="宋体" w:eastAsia="宋体" w:cs="宋体"/>
          <w:sz w:val="24"/>
          <w:szCs w:val="24"/>
        </w:rPr>
      </w:pPr>
    </w:p>
    <w:p w14:paraId="6202BFDC">
      <w:pPr>
        <w:snapToGrid w:val="0"/>
        <w:spacing w:line="264" w:lineRule="auto"/>
        <w:ind w:firstLine="480" w:firstLineChars="200"/>
        <w:jc w:val="center"/>
        <w:rPr>
          <w:rFonts w:hint="eastAsia" w:ascii="宋体" w:hAnsi="宋体" w:eastAsia="宋体" w:cs="宋体"/>
          <w:sz w:val="24"/>
          <w:szCs w:val="24"/>
        </w:rPr>
      </w:pPr>
    </w:p>
    <w:p w14:paraId="51E9AAB2">
      <w:pPr>
        <w:snapToGrid w:val="0"/>
        <w:spacing w:line="264" w:lineRule="auto"/>
        <w:ind w:firstLine="480" w:firstLineChars="200"/>
        <w:jc w:val="center"/>
        <w:rPr>
          <w:rFonts w:hint="eastAsia" w:ascii="宋体" w:hAnsi="宋体" w:eastAsia="宋体" w:cs="宋体"/>
          <w:sz w:val="24"/>
          <w:szCs w:val="24"/>
        </w:rPr>
      </w:pPr>
    </w:p>
    <w:p w14:paraId="540469CD">
      <w:pPr>
        <w:snapToGrid w:val="0"/>
        <w:spacing w:line="264" w:lineRule="auto"/>
        <w:ind w:firstLine="480" w:firstLineChars="200"/>
        <w:jc w:val="center"/>
        <w:rPr>
          <w:rFonts w:hint="eastAsia" w:ascii="宋体" w:hAnsi="宋体" w:eastAsia="宋体" w:cs="宋体"/>
          <w:sz w:val="24"/>
          <w:szCs w:val="24"/>
        </w:rPr>
      </w:pPr>
    </w:p>
    <w:p w14:paraId="150AA47A">
      <w:pPr>
        <w:snapToGrid w:val="0"/>
        <w:spacing w:line="264" w:lineRule="auto"/>
        <w:ind w:firstLine="480" w:firstLineChars="200"/>
        <w:jc w:val="center"/>
        <w:rPr>
          <w:rFonts w:hint="eastAsia" w:ascii="宋体" w:hAnsi="宋体" w:eastAsia="宋体" w:cs="宋体"/>
          <w:sz w:val="24"/>
          <w:szCs w:val="24"/>
        </w:rPr>
      </w:pPr>
    </w:p>
    <w:p w14:paraId="12CE0766">
      <w:pPr>
        <w:snapToGrid w:val="0"/>
        <w:spacing w:line="264"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p>
    <w:p w14:paraId="1B123893">
      <w:pPr>
        <w:snapToGrid w:val="0"/>
        <w:spacing w:line="264" w:lineRule="auto"/>
        <w:ind w:firstLine="480" w:firstLineChars="200"/>
        <w:jc w:val="center"/>
        <w:rPr>
          <w:rFonts w:hint="eastAsia" w:ascii="宋体" w:hAnsi="宋体" w:eastAsia="宋体" w:cs="宋体"/>
          <w:sz w:val="24"/>
          <w:szCs w:val="24"/>
        </w:rPr>
      </w:pPr>
    </w:p>
    <w:p w14:paraId="5B48A390">
      <w:pPr>
        <w:snapToGrid w:val="0"/>
        <w:spacing w:line="264" w:lineRule="auto"/>
        <w:ind w:firstLine="480" w:firstLineChars="200"/>
        <w:jc w:val="center"/>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医疗器械注册证</w:t>
      </w:r>
      <w:r>
        <w:rPr>
          <w:rFonts w:hint="eastAsia" w:ascii="宋体" w:hAnsi="宋体" w:eastAsia="宋体" w:cs="宋体"/>
          <w:sz w:val="24"/>
          <w:szCs w:val="24"/>
        </w:rPr>
        <w:fldChar w:fldCharType="end"/>
      </w:r>
      <w:r>
        <w:rPr>
          <w:rFonts w:hint="eastAsia" w:ascii="宋体" w:hAnsi="宋体" w:eastAsia="宋体" w:cs="宋体"/>
          <w:b/>
          <w:bCs/>
          <w:color w:val="FF0000"/>
          <w:sz w:val="24"/>
          <w:szCs w:val="24"/>
        </w:rPr>
        <w:t>（加盖公章）</w:t>
      </w:r>
    </w:p>
    <w:p w14:paraId="0811DE9B">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069A5F0F">
      <w:pPr>
        <w:snapToGrid w:val="0"/>
        <w:spacing w:line="264" w:lineRule="auto"/>
        <w:ind w:firstLine="480" w:firstLineChars="200"/>
        <w:jc w:val="left"/>
        <w:rPr>
          <w:rFonts w:hint="eastAsia" w:ascii="宋体" w:hAnsi="宋体" w:eastAsia="宋体" w:cs="宋体"/>
          <w:sz w:val="24"/>
          <w:szCs w:val="24"/>
        </w:rPr>
      </w:pPr>
    </w:p>
    <w:p w14:paraId="4B53408B">
      <w:pPr>
        <w:snapToGrid w:val="0"/>
        <w:spacing w:line="264"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配 置 清 单</w:t>
      </w:r>
      <w:r>
        <w:rPr>
          <w:rFonts w:hint="eastAsia" w:ascii="宋体" w:hAnsi="宋体" w:eastAsia="宋体" w:cs="宋体"/>
          <w:b/>
          <w:bCs/>
          <w:color w:val="FF0000"/>
          <w:sz w:val="24"/>
          <w:szCs w:val="24"/>
        </w:rPr>
        <w:t>（加盖合同专用章）</w:t>
      </w:r>
    </w:p>
    <w:p w14:paraId="59A69B77">
      <w:pPr>
        <w:snapToGrid w:val="0"/>
        <w:spacing w:line="264"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型号）</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设备名称）</w:t>
      </w:r>
    </w:p>
    <w:p w14:paraId="120DC1AE">
      <w:pPr>
        <w:snapToGrid w:val="0"/>
        <w:spacing w:line="264" w:lineRule="auto"/>
        <w:ind w:firstLine="482" w:firstLineChars="200"/>
        <w:jc w:val="left"/>
        <w:rPr>
          <w:rFonts w:hint="eastAsia" w:ascii="宋体" w:hAnsi="宋体" w:eastAsia="宋体" w:cs="宋体"/>
          <w:b/>
          <w:bCs/>
          <w:sz w:val="24"/>
          <w:szCs w:val="24"/>
        </w:rPr>
      </w:pPr>
    </w:p>
    <w:p w14:paraId="378F23CD">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设备台数：</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6"/>
        <w:gridCol w:w="1420"/>
        <w:gridCol w:w="1420"/>
        <w:gridCol w:w="1420"/>
        <w:gridCol w:w="1427"/>
      </w:tblGrid>
      <w:tr w14:paraId="235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7D03670D">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标准配置</w:t>
            </w:r>
          </w:p>
        </w:tc>
      </w:tr>
      <w:tr w14:paraId="65BC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7546A18">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5" w:type="pct"/>
            <w:noWrap w:val="0"/>
            <w:vAlign w:val="top"/>
          </w:tcPr>
          <w:p w14:paraId="14F96530">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3" w:type="pct"/>
            <w:noWrap w:val="0"/>
            <w:vAlign w:val="top"/>
          </w:tcPr>
          <w:p w14:paraId="4F1B000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833" w:type="pct"/>
            <w:noWrap w:val="0"/>
            <w:vAlign w:val="top"/>
          </w:tcPr>
          <w:p w14:paraId="3ABD819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33" w:type="pct"/>
            <w:noWrap w:val="0"/>
            <w:vAlign w:val="top"/>
          </w:tcPr>
          <w:p w14:paraId="67B8C142">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34" w:type="pct"/>
            <w:noWrap w:val="0"/>
            <w:vAlign w:val="top"/>
          </w:tcPr>
          <w:p w14:paraId="20BCCDB0">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425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1D4FDC28">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5" w:type="pct"/>
            <w:noWrap w:val="0"/>
            <w:vAlign w:val="top"/>
          </w:tcPr>
          <w:p w14:paraId="4B8CA947">
            <w:pPr>
              <w:snapToGrid w:val="0"/>
              <w:spacing w:line="264" w:lineRule="auto"/>
              <w:jc w:val="center"/>
              <w:rPr>
                <w:rFonts w:hint="eastAsia" w:ascii="宋体" w:hAnsi="宋体" w:eastAsia="宋体" w:cs="宋体"/>
                <w:sz w:val="24"/>
                <w:szCs w:val="24"/>
              </w:rPr>
            </w:pPr>
          </w:p>
        </w:tc>
        <w:tc>
          <w:tcPr>
            <w:tcW w:w="833" w:type="pct"/>
            <w:noWrap w:val="0"/>
            <w:vAlign w:val="top"/>
          </w:tcPr>
          <w:p w14:paraId="0449FE75">
            <w:pPr>
              <w:snapToGrid w:val="0"/>
              <w:spacing w:line="264" w:lineRule="auto"/>
              <w:jc w:val="center"/>
              <w:rPr>
                <w:rFonts w:hint="eastAsia" w:ascii="宋体" w:hAnsi="宋体" w:eastAsia="宋体" w:cs="宋体"/>
                <w:sz w:val="24"/>
                <w:szCs w:val="24"/>
              </w:rPr>
            </w:pPr>
          </w:p>
        </w:tc>
        <w:tc>
          <w:tcPr>
            <w:tcW w:w="833" w:type="pct"/>
            <w:noWrap w:val="0"/>
            <w:vAlign w:val="top"/>
          </w:tcPr>
          <w:p w14:paraId="68F74DA9">
            <w:pPr>
              <w:snapToGrid w:val="0"/>
              <w:spacing w:line="264" w:lineRule="auto"/>
              <w:jc w:val="center"/>
              <w:rPr>
                <w:rFonts w:hint="eastAsia" w:ascii="宋体" w:hAnsi="宋体" w:eastAsia="宋体" w:cs="宋体"/>
                <w:sz w:val="24"/>
                <w:szCs w:val="24"/>
              </w:rPr>
            </w:pPr>
          </w:p>
        </w:tc>
        <w:tc>
          <w:tcPr>
            <w:tcW w:w="833" w:type="pct"/>
            <w:noWrap w:val="0"/>
            <w:vAlign w:val="top"/>
          </w:tcPr>
          <w:p w14:paraId="4EBC9074">
            <w:pPr>
              <w:snapToGrid w:val="0"/>
              <w:spacing w:line="264" w:lineRule="auto"/>
              <w:jc w:val="center"/>
              <w:rPr>
                <w:rFonts w:hint="eastAsia" w:ascii="宋体" w:hAnsi="宋体" w:eastAsia="宋体" w:cs="宋体"/>
                <w:sz w:val="24"/>
                <w:szCs w:val="24"/>
              </w:rPr>
            </w:pPr>
          </w:p>
        </w:tc>
        <w:tc>
          <w:tcPr>
            <w:tcW w:w="834" w:type="pct"/>
            <w:noWrap w:val="0"/>
            <w:vAlign w:val="top"/>
          </w:tcPr>
          <w:p w14:paraId="2D4A9453">
            <w:pPr>
              <w:snapToGrid w:val="0"/>
              <w:spacing w:line="264" w:lineRule="auto"/>
              <w:jc w:val="center"/>
              <w:rPr>
                <w:rFonts w:hint="eastAsia" w:ascii="宋体" w:hAnsi="宋体" w:eastAsia="宋体" w:cs="宋体"/>
                <w:sz w:val="24"/>
                <w:szCs w:val="24"/>
              </w:rPr>
            </w:pPr>
          </w:p>
        </w:tc>
      </w:tr>
      <w:tr w14:paraId="72D0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56BF87B">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65" w:type="pct"/>
            <w:noWrap w:val="0"/>
            <w:vAlign w:val="top"/>
          </w:tcPr>
          <w:p w14:paraId="4EB90DEE">
            <w:pPr>
              <w:snapToGrid w:val="0"/>
              <w:spacing w:line="264" w:lineRule="auto"/>
              <w:jc w:val="center"/>
              <w:rPr>
                <w:rFonts w:hint="eastAsia" w:ascii="宋体" w:hAnsi="宋体" w:eastAsia="宋体" w:cs="宋体"/>
                <w:sz w:val="24"/>
                <w:szCs w:val="24"/>
              </w:rPr>
            </w:pPr>
          </w:p>
        </w:tc>
        <w:tc>
          <w:tcPr>
            <w:tcW w:w="833" w:type="pct"/>
            <w:noWrap w:val="0"/>
            <w:vAlign w:val="top"/>
          </w:tcPr>
          <w:p w14:paraId="5E5287E1">
            <w:pPr>
              <w:snapToGrid w:val="0"/>
              <w:spacing w:line="264" w:lineRule="auto"/>
              <w:jc w:val="center"/>
              <w:rPr>
                <w:rFonts w:hint="eastAsia" w:ascii="宋体" w:hAnsi="宋体" w:eastAsia="宋体" w:cs="宋体"/>
                <w:sz w:val="24"/>
                <w:szCs w:val="24"/>
              </w:rPr>
            </w:pPr>
          </w:p>
        </w:tc>
        <w:tc>
          <w:tcPr>
            <w:tcW w:w="833" w:type="pct"/>
            <w:noWrap w:val="0"/>
            <w:vAlign w:val="top"/>
          </w:tcPr>
          <w:p w14:paraId="5298ECA2">
            <w:pPr>
              <w:snapToGrid w:val="0"/>
              <w:spacing w:line="264" w:lineRule="auto"/>
              <w:jc w:val="center"/>
              <w:rPr>
                <w:rFonts w:hint="eastAsia" w:ascii="宋体" w:hAnsi="宋体" w:eastAsia="宋体" w:cs="宋体"/>
                <w:sz w:val="24"/>
                <w:szCs w:val="24"/>
              </w:rPr>
            </w:pPr>
          </w:p>
        </w:tc>
        <w:tc>
          <w:tcPr>
            <w:tcW w:w="833" w:type="pct"/>
            <w:noWrap w:val="0"/>
            <w:vAlign w:val="top"/>
          </w:tcPr>
          <w:p w14:paraId="69C39568">
            <w:pPr>
              <w:snapToGrid w:val="0"/>
              <w:spacing w:line="264" w:lineRule="auto"/>
              <w:jc w:val="center"/>
              <w:rPr>
                <w:rFonts w:hint="eastAsia" w:ascii="宋体" w:hAnsi="宋体" w:eastAsia="宋体" w:cs="宋体"/>
                <w:sz w:val="24"/>
                <w:szCs w:val="24"/>
              </w:rPr>
            </w:pPr>
          </w:p>
        </w:tc>
        <w:tc>
          <w:tcPr>
            <w:tcW w:w="834" w:type="pct"/>
            <w:noWrap w:val="0"/>
            <w:vAlign w:val="top"/>
          </w:tcPr>
          <w:p w14:paraId="35A5D7D6">
            <w:pPr>
              <w:snapToGrid w:val="0"/>
              <w:spacing w:line="264" w:lineRule="auto"/>
              <w:jc w:val="center"/>
              <w:rPr>
                <w:rFonts w:hint="eastAsia" w:ascii="宋体" w:hAnsi="宋体" w:eastAsia="宋体" w:cs="宋体"/>
                <w:sz w:val="24"/>
                <w:szCs w:val="24"/>
              </w:rPr>
            </w:pPr>
          </w:p>
        </w:tc>
      </w:tr>
      <w:tr w14:paraId="08DE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0652221">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65" w:type="pct"/>
            <w:noWrap w:val="0"/>
            <w:vAlign w:val="top"/>
          </w:tcPr>
          <w:p w14:paraId="61A8A771">
            <w:pPr>
              <w:snapToGrid w:val="0"/>
              <w:spacing w:line="264" w:lineRule="auto"/>
              <w:jc w:val="center"/>
              <w:rPr>
                <w:rFonts w:hint="eastAsia" w:ascii="宋体" w:hAnsi="宋体" w:eastAsia="宋体" w:cs="宋体"/>
                <w:sz w:val="24"/>
                <w:szCs w:val="24"/>
              </w:rPr>
            </w:pPr>
          </w:p>
        </w:tc>
        <w:tc>
          <w:tcPr>
            <w:tcW w:w="833" w:type="pct"/>
            <w:noWrap w:val="0"/>
            <w:vAlign w:val="top"/>
          </w:tcPr>
          <w:p w14:paraId="1162A670">
            <w:pPr>
              <w:snapToGrid w:val="0"/>
              <w:spacing w:line="264" w:lineRule="auto"/>
              <w:jc w:val="center"/>
              <w:rPr>
                <w:rFonts w:hint="eastAsia" w:ascii="宋体" w:hAnsi="宋体" w:eastAsia="宋体" w:cs="宋体"/>
                <w:sz w:val="24"/>
                <w:szCs w:val="24"/>
              </w:rPr>
            </w:pPr>
          </w:p>
        </w:tc>
        <w:tc>
          <w:tcPr>
            <w:tcW w:w="833" w:type="pct"/>
            <w:noWrap w:val="0"/>
            <w:vAlign w:val="top"/>
          </w:tcPr>
          <w:p w14:paraId="1DB04256">
            <w:pPr>
              <w:snapToGrid w:val="0"/>
              <w:spacing w:line="264" w:lineRule="auto"/>
              <w:jc w:val="center"/>
              <w:rPr>
                <w:rFonts w:hint="eastAsia" w:ascii="宋体" w:hAnsi="宋体" w:eastAsia="宋体" w:cs="宋体"/>
                <w:sz w:val="24"/>
                <w:szCs w:val="24"/>
              </w:rPr>
            </w:pPr>
          </w:p>
        </w:tc>
        <w:tc>
          <w:tcPr>
            <w:tcW w:w="833" w:type="pct"/>
            <w:noWrap w:val="0"/>
            <w:vAlign w:val="top"/>
          </w:tcPr>
          <w:p w14:paraId="1C346829">
            <w:pPr>
              <w:snapToGrid w:val="0"/>
              <w:spacing w:line="264" w:lineRule="auto"/>
              <w:jc w:val="center"/>
              <w:rPr>
                <w:rFonts w:hint="eastAsia" w:ascii="宋体" w:hAnsi="宋体" w:eastAsia="宋体" w:cs="宋体"/>
                <w:sz w:val="24"/>
                <w:szCs w:val="24"/>
              </w:rPr>
            </w:pPr>
          </w:p>
        </w:tc>
        <w:tc>
          <w:tcPr>
            <w:tcW w:w="834" w:type="pct"/>
            <w:noWrap w:val="0"/>
            <w:vAlign w:val="top"/>
          </w:tcPr>
          <w:p w14:paraId="5E69C9C4">
            <w:pPr>
              <w:snapToGrid w:val="0"/>
              <w:spacing w:line="264" w:lineRule="auto"/>
              <w:jc w:val="center"/>
              <w:rPr>
                <w:rFonts w:hint="eastAsia" w:ascii="宋体" w:hAnsi="宋体" w:eastAsia="宋体" w:cs="宋体"/>
                <w:sz w:val="24"/>
                <w:szCs w:val="24"/>
              </w:rPr>
            </w:pPr>
          </w:p>
        </w:tc>
      </w:tr>
      <w:tr w14:paraId="48D2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16EB4A7">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165" w:type="pct"/>
            <w:noWrap w:val="0"/>
            <w:vAlign w:val="top"/>
          </w:tcPr>
          <w:p w14:paraId="7353F33E">
            <w:pPr>
              <w:snapToGrid w:val="0"/>
              <w:spacing w:line="264" w:lineRule="auto"/>
              <w:jc w:val="center"/>
              <w:rPr>
                <w:rFonts w:hint="eastAsia" w:ascii="宋体" w:hAnsi="宋体" w:eastAsia="宋体" w:cs="宋体"/>
                <w:sz w:val="24"/>
                <w:szCs w:val="24"/>
              </w:rPr>
            </w:pPr>
          </w:p>
        </w:tc>
        <w:tc>
          <w:tcPr>
            <w:tcW w:w="833" w:type="pct"/>
            <w:noWrap w:val="0"/>
            <w:vAlign w:val="top"/>
          </w:tcPr>
          <w:p w14:paraId="3A058003">
            <w:pPr>
              <w:snapToGrid w:val="0"/>
              <w:spacing w:line="264" w:lineRule="auto"/>
              <w:jc w:val="center"/>
              <w:rPr>
                <w:rFonts w:hint="eastAsia" w:ascii="宋体" w:hAnsi="宋体" w:eastAsia="宋体" w:cs="宋体"/>
                <w:sz w:val="24"/>
                <w:szCs w:val="24"/>
              </w:rPr>
            </w:pPr>
          </w:p>
        </w:tc>
        <w:tc>
          <w:tcPr>
            <w:tcW w:w="833" w:type="pct"/>
            <w:noWrap w:val="0"/>
            <w:vAlign w:val="top"/>
          </w:tcPr>
          <w:p w14:paraId="5F08F285">
            <w:pPr>
              <w:snapToGrid w:val="0"/>
              <w:spacing w:line="264" w:lineRule="auto"/>
              <w:jc w:val="center"/>
              <w:rPr>
                <w:rFonts w:hint="eastAsia" w:ascii="宋体" w:hAnsi="宋体" w:eastAsia="宋体" w:cs="宋体"/>
                <w:sz w:val="24"/>
                <w:szCs w:val="24"/>
              </w:rPr>
            </w:pPr>
          </w:p>
        </w:tc>
        <w:tc>
          <w:tcPr>
            <w:tcW w:w="833" w:type="pct"/>
            <w:noWrap w:val="0"/>
            <w:vAlign w:val="top"/>
          </w:tcPr>
          <w:p w14:paraId="7DD58072">
            <w:pPr>
              <w:snapToGrid w:val="0"/>
              <w:spacing w:line="264" w:lineRule="auto"/>
              <w:jc w:val="center"/>
              <w:rPr>
                <w:rFonts w:hint="eastAsia" w:ascii="宋体" w:hAnsi="宋体" w:eastAsia="宋体" w:cs="宋体"/>
                <w:sz w:val="24"/>
                <w:szCs w:val="24"/>
              </w:rPr>
            </w:pPr>
          </w:p>
        </w:tc>
        <w:tc>
          <w:tcPr>
            <w:tcW w:w="834" w:type="pct"/>
            <w:noWrap w:val="0"/>
            <w:vAlign w:val="top"/>
          </w:tcPr>
          <w:p w14:paraId="6235D348">
            <w:pPr>
              <w:snapToGrid w:val="0"/>
              <w:spacing w:line="264" w:lineRule="auto"/>
              <w:jc w:val="center"/>
              <w:rPr>
                <w:rFonts w:hint="eastAsia" w:ascii="宋体" w:hAnsi="宋体" w:eastAsia="宋体" w:cs="宋体"/>
                <w:sz w:val="24"/>
                <w:szCs w:val="24"/>
              </w:rPr>
            </w:pPr>
          </w:p>
        </w:tc>
      </w:tr>
      <w:tr w14:paraId="63D1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318BC393">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65" w:type="pct"/>
            <w:noWrap w:val="0"/>
            <w:vAlign w:val="top"/>
          </w:tcPr>
          <w:p w14:paraId="380BD4C0">
            <w:pPr>
              <w:snapToGrid w:val="0"/>
              <w:spacing w:line="264" w:lineRule="auto"/>
              <w:jc w:val="center"/>
              <w:rPr>
                <w:rFonts w:hint="eastAsia" w:ascii="宋体" w:hAnsi="宋体" w:eastAsia="宋体" w:cs="宋体"/>
                <w:sz w:val="24"/>
                <w:szCs w:val="24"/>
              </w:rPr>
            </w:pPr>
          </w:p>
        </w:tc>
        <w:tc>
          <w:tcPr>
            <w:tcW w:w="833" w:type="pct"/>
            <w:noWrap w:val="0"/>
            <w:vAlign w:val="top"/>
          </w:tcPr>
          <w:p w14:paraId="7FAD9505">
            <w:pPr>
              <w:snapToGrid w:val="0"/>
              <w:spacing w:line="264" w:lineRule="auto"/>
              <w:jc w:val="center"/>
              <w:rPr>
                <w:rFonts w:hint="eastAsia" w:ascii="宋体" w:hAnsi="宋体" w:eastAsia="宋体" w:cs="宋体"/>
                <w:sz w:val="24"/>
                <w:szCs w:val="24"/>
              </w:rPr>
            </w:pPr>
          </w:p>
        </w:tc>
        <w:tc>
          <w:tcPr>
            <w:tcW w:w="833" w:type="pct"/>
            <w:noWrap w:val="0"/>
            <w:vAlign w:val="top"/>
          </w:tcPr>
          <w:p w14:paraId="0CE2574D">
            <w:pPr>
              <w:snapToGrid w:val="0"/>
              <w:spacing w:line="264" w:lineRule="auto"/>
              <w:jc w:val="center"/>
              <w:rPr>
                <w:rFonts w:hint="eastAsia" w:ascii="宋体" w:hAnsi="宋体" w:eastAsia="宋体" w:cs="宋体"/>
                <w:sz w:val="24"/>
                <w:szCs w:val="24"/>
              </w:rPr>
            </w:pPr>
          </w:p>
        </w:tc>
        <w:tc>
          <w:tcPr>
            <w:tcW w:w="833" w:type="pct"/>
            <w:noWrap w:val="0"/>
            <w:vAlign w:val="top"/>
          </w:tcPr>
          <w:p w14:paraId="46FD14CE">
            <w:pPr>
              <w:snapToGrid w:val="0"/>
              <w:spacing w:line="264" w:lineRule="auto"/>
              <w:jc w:val="center"/>
              <w:rPr>
                <w:rFonts w:hint="eastAsia" w:ascii="宋体" w:hAnsi="宋体" w:eastAsia="宋体" w:cs="宋体"/>
                <w:sz w:val="24"/>
                <w:szCs w:val="24"/>
              </w:rPr>
            </w:pPr>
          </w:p>
        </w:tc>
        <w:tc>
          <w:tcPr>
            <w:tcW w:w="834" w:type="pct"/>
            <w:noWrap w:val="0"/>
            <w:vAlign w:val="top"/>
          </w:tcPr>
          <w:p w14:paraId="6B2BDC43">
            <w:pPr>
              <w:snapToGrid w:val="0"/>
              <w:spacing w:line="264" w:lineRule="auto"/>
              <w:jc w:val="center"/>
              <w:rPr>
                <w:rFonts w:hint="eastAsia" w:ascii="宋体" w:hAnsi="宋体" w:eastAsia="宋体" w:cs="宋体"/>
                <w:sz w:val="24"/>
                <w:szCs w:val="24"/>
              </w:rPr>
            </w:pPr>
          </w:p>
        </w:tc>
      </w:tr>
      <w:tr w14:paraId="24F6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4615B001">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增配</w:t>
            </w:r>
          </w:p>
        </w:tc>
      </w:tr>
      <w:tr w14:paraId="10C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922FD46">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5" w:type="pct"/>
            <w:noWrap w:val="0"/>
            <w:vAlign w:val="top"/>
          </w:tcPr>
          <w:p w14:paraId="58388601">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3" w:type="pct"/>
            <w:noWrap w:val="0"/>
            <w:vAlign w:val="top"/>
          </w:tcPr>
          <w:p w14:paraId="1B587F0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833" w:type="pct"/>
            <w:noWrap w:val="0"/>
            <w:vAlign w:val="top"/>
          </w:tcPr>
          <w:p w14:paraId="62DBA2FE">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33" w:type="pct"/>
            <w:noWrap w:val="0"/>
            <w:vAlign w:val="top"/>
          </w:tcPr>
          <w:p w14:paraId="19DC734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34" w:type="pct"/>
            <w:noWrap w:val="0"/>
            <w:vAlign w:val="top"/>
          </w:tcPr>
          <w:p w14:paraId="58CDDB3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45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490FB778">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5" w:type="pct"/>
            <w:noWrap w:val="0"/>
            <w:vAlign w:val="top"/>
          </w:tcPr>
          <w:p w14:paraId="4E0A8CFE">
            <w:pPr>
              <w:snapToGrid w:val="0"/>
              <w:spacing w:line="264" w:lineRule="auto"/>
              <w:jc w:val="center"/>
              <w:rPr>
                <w:rFonts w:hint="eastAsia" w:ascii="宋体" w:hAnsi="宋体" w:eastAsia="宋体" w:cs="宋体"/>
                <w:sz w:val="24"/>
                <w:szCs w:val="24"/>
              </w:rPr>
            </w:pPr>
          </w:p>
        </w:tc>
        <w:tc>
          <w:tcPr>
            <w:tcW w:w="833" w:type="pct"/>
            <w:noWrap w:val="0"/>
            <w:vAlign w:val="top"/>
          </w:tcPr>
          <w:p w14:paraId="012E43B1">
            <w:pPr>
              <w:snapToGrid w:val="0"/>
              <w:spacing w:line="264" w:lineRule="auto"/>
              <w:jc w:val="center"/>
              <w:rPr>
                <w:rFonts w:hint="eastAsia" w:ascii="宋体" w:hAnsi="宋体" w:eastAsia="宋体" w:cs="宋体"/>
                <w:sz w:val="24"/>
                <w:szCs w:val="24"/>
              </w:rPr>
            </w:pPr>
          </w:p>
        </w:tc>
        <w:tc>
          <w:tcPr>
            <w:tcW w:w="833" w:type="pct"/>
            <w:noWrap w:val="0"/>
            <w:vAlign w:val="top"/>
          </w:tcPr>
          <w:p w14:paraId="54A4C64D">
            <w:pPr>
              <w:snapToGrid w:val="0"/>
              <w:spacing w:line="264" w:lineRule="auto"/>
              <w:jc w:val="center"/>
              <w:rPr>
                <w:rFonts w:hint="eastAsia" w:ascii="宋体" w:hAnsi="宋体" w:eastAsia="宋体" w:cs="宋体"/>
                <w:sz w:val="24"/>
                <w:szCs w:val="24"/>
              </w:rPr>
            </w:pPr>
          </w:p>
        </w:tc>
        <w:tc>
          <w:tcPr>
            <w:tcW w:w="833" w:type="pct"/>
            <w:noWrap w:val="0"/>
            <w:vAlign w:val="top"/>
          </w:tcPr>
          <w:p w14:paraId="15943B03">
            <w:pPr>
              <w:snapToGrid w:val="0"/>
              <w:spacing w:line="264" w:lineRule="auto"/>
              <w:jc w:val="center"/>
              <w:rPr>
                <w:rFonts w:hint="eastAsia" w:ascii="宋体" w:hAnsi="宋体" w:eastAsia="宋体" w:cs="宋体"/>
                <w:sz w:val="24"/>
                <w:szCs w:val="24"/>
              </w:rPr>
            </w:pPr>
          </w:p>
        </w:tc>
        <w:tc>
          <w:tcPr>
            <w:tcW w:w="834" w:type="pct"/>
            <w:noWrap w:val="0"/>
            <w:vAlign w:val="top"/>
          </w:tcPr>
          <w:p w14:paraId="634C04FD">
            <w:pPr>
              <w:snapToGrid w:val="0"/>
              <w:spacing w:line="264" w:lineRule="auto"/>
              <w:jc w:val="center"/>
              <w:rPr>
                <w:rFonts w:hint="eastAsia" w:ascii="宋体" w:hAnsi="宋体" w:eastAsia="宋体" w:cs="宋体"/>
                <w:sz w:val="24"/>
                <w:szCs w:val="24"/>
              </w:rPr>
            </w:pPr>
          </w:p>
        </w:tc>
      </w:tr>
      <w:tr w14:paraId="34C6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4C81C9E0">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65" w:type="pct"/>
            <w:noWrap w:val="0"/>
            <w:vAlign w:val="top"/>
          </w:tcPr>
          <w:p w14:paraId="4E6FD258">
            <w:pPr>
              <w:snapToGrid w:val="0"/>
              <w:spacing w:line="264" w:lineRule="auto"/>
              <w:jc w:val="center"/>
              <w:rPr>
                <w:rFonts w:hint="eastAsia" w:ascii="宋体" w:hAnsi="宋体" w:eastAsia="宋体" w:cs="宋体"/>
                <w:sz w:val="24"/>
                <w:szCs w:val="24"/>
              </w:rPr>
            </w:pPr>
          </w:p>
        </w:tc>
        <w:tc>
          <w:tcPr>
            <w:tcW w:w="833" w:type="pct"/>
            <w:noWrap w:val="0"/>
            <w:vAlign w:val="top"/>
          </w:tcPr>
          <w:p w14:paraId="1EEA42DA">
            <w:pPr>
              <w:snapToGrid w:val="0"/>
              <w:spacing w:line="264" w:lineRule="auto"/>
              <w:jc w:val="center"/>
              <w:rPr>
                <w:rFonts w:hint="eastAsia" w:ascii="宋体" w:hAnsi="宋体" w:eastAsia="宋体" w:cs="宋体"/>
                <w:sz w:val="24"/>
                <w:szCs w:val="24"/>
              </w:rPr>
            </w:pPr>
          </w:p>
        </w:tc>
        <w:tc>
          <w:tcPr>
            <w:tcW w:w="833" w:type="pct"/>
            <w:noWrap w:val="0"/>
            <w:vAlign w:val="top"/>
          </w:tcPr>
          <w:p w14:paraId="3AB39EAC">
            <w:pPr>
              <w:snapToGrid w:val="0"/>
              <w:spacing w:line="264" w:lineRule="auto"/>
              <w:jc w:val="center"/>
              <w:rPr>
                <w:rFonts w:hint="eastAsia" w:ascii="宋体" w:hAnsi="宋体" w:eastAsia="宋体" w:cs="宋体"/>
                <w:sz w:val="24"/>
                <w:szCs w:val="24"/>
              </w:rPr>
            </w:pPr>
          </w:p>
        </w:tc>
        <w:tc>
          <w:tcPr>
            <w:tcW w:w="833" w:type="pct"/>
            <w:noWrap w:val="0"/>
            <w:vAlign w:val="top"/>
          </w:tcPr>
          <w:p w14:paraId="517D11EB">
            <w:pPr>
              <w:snapToGrid w:val="0"/>
              <w:spacing w:line="264" w:lineRule="auto"/>
              <w:jc w:val="center"/>
              <w:rPr>
                <w:rFonts w:hint="eastAsia" w:ascii="宋体" w:hAnsi="宋体" w:eastAsia="宋体" w:cs="宋体"/>
                <w:sz w:val="24"/>
                <w:szCs w:val="24"/>
              </w:rPr>
            </w:pPr>
          </w:p>
        </w:tc>
        <w:tc>
          <w:tcPr>
            <w:tcW w:w="834" w:type="pct"/>
            <w:noWrap w:val="0"/>
            <w:vAlign w:val="top"/>
          </w:tcPr>
          <w:p w14:paraId="59D21E1D">
            <w:pPr>
              <w:snapToGrid w:val="0"/>
              <w:spacing w:line="264" w:lineRule="auto"/>
              <w:jc w:val="center"/>
              <w:rPr>
                <w:rFonts w:hint="eastAsia" w:ascii="宋体" w:hAnsi="宋体" w:eastAsia="宋体" w:cs="宋体"/>
                <w:sz w:val="24"/>
                <w:szCs w:val="24"/>
              </w:rPr>
            </w:pPr>
          </w:p>
        </w:tc>
      </w:tr>
      <w:tr w14:paraId="48C0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0D7562A5">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65" w:type="pct"/>
            <w:noWrap w:val="0"/>
            <w:vAlign w:val="top"/>
          </w:tcPr>
          <w:p w14:paraId="5473AE57">
            <w:pPr>
              <w:snapToGrid w:val="0"/>
              <w:spacing w:line="264" w:lineRule="auto"/>
              <w:jc w:val="center"/>
              <w:rPr>
                <w:rFonts w:hint="eastAsia" w:ascii="宋体" w:hAnsi="宋体" w:eastAsia="宋体" w:cs="宋体"/>
                <w:sz w:val="24"/>
                <w:szCs w:val="24"/>
              </w:rPr>
            </w:pPr>
          </w:p>
        </w:tc>
        <w:tc>
          <w:tcPr>
            <w:tcW w:w="833" w:type="pct"/>
            <w:noWrap w:val="0"/>
            <w:vAlign w:val="top"/>
          </w:tcPr>
          <w:p w14:paraId="2A84573A">
            <w:pPr>
              <w:snapToGrid w:val="0"/>
              <w:spacing w:line="264" w:lineRule="auto"/>
              <w:jc w:val="center"/>
              <w:rPr>
                <w:rFonts w:hint="eastAsia" w:ascii="宋体" w:hAnsi="宋体" w:eastAsia="宋体" w:cs="宋体"/>
                <w:sz w:val="24"/>
                <w:szCs w:val="24"/>
              </w:rPr>
            </w:pPr>
          </w:p>
        </w:tc>
        <w:tc>
          <w:tcPr>
            <w:tcW w:w="833" w:type="pct"/>
            <w:noWrap w:val="0"/>
            <w:vAlign w:val="top"/>
          </w:tcPr>
          <w:p w14:paraId="295CD1E5">
            <w:pPr>
              <w:snapToGrid w:val="0"/>
              <w:spacing w:line="264" w:lineRule="auto"/>
              <w:jc w:val="center"/>
              <w:rPr>
                <w:rFonts w:hint="eastAsia" w:ascii="宋体" w:hAnsi="宋体" w:eastAsia="宋体" w:cs="宋体"/>
                <w:sz w:val="24"/>
                <w:szCs w:val="24"/>
              </w:rPr>
            </w:pPr>
          </w:p>
        </w:tc>
        <w:tc>
          <w:tcPr>
            <w:tcW w:w="833" w:type="pct"/>
            <w:noWrap w:val="0"/>
            <w:vAlign w:val="top"/>
          </w:tcPr>
          <w:p w14:paraId="271CC1E3">
            <w:pPr>
              <w:snapToGrid w:val="0"/>
              <w:spacing w:line="264" w:lineRule="auto"/>
              <w:jc w:val="center"/>
              <w:rPr>
                <w:rFonts w:hint="eastAsia" w:ascii="宋体" w:hAnsi="宋体" w:eastAsia="宋体" w:cs="宋体"/>
                <w:sz w:val="24"/>
                <w:szCs w:val="24"/>
              </w:rPr>
            </w:pPr>
          </w:p>
        </w:tc>
        <w:tc>
          <w:tcPr>
            <w:tcW w:w="834" w:type="pct"/>
            <w:noWrap w:val="0"/>
            <w:vAlign w:val="top"/>
          </w:tcPr>
          <w:p w14:paraId="16EC1AA4">
            <w:pPr>
              <w:snapToGrid w:val="0"/>
              <w:spacing w:line="264" w:lineRule="auto"/>
              <w:jc w:val="center"/>
              <w:rPr>
                <w:rFonts w:hint="eastAsia" w:ascii="宋体" w:hAnsi="宋体" w:eastAsia="宋体" w:cs="宋体"/>
                <w:sz w:val="24"/>
                <w:szCs w:val="24"/>
              </w:rPr>
            </w:pPr>
          </w:p>
        </w:tc>
      </w:tr>
    </w:tbl>
    <w:p w14:paraId="67702F76">
      <w:pPr>
        <w:snapToGrid w:val="0"/>
        <w:spacing w:line="264" w:lineRule="auto"/>
        <w:ind w:firstLine="480" w:firstLineChars="200"/>
        <w:rPr>
          <w:rFonts w:hint="eastAsia" w:ascii="宋体" w:hAnsi="宋体" w:eastAsia="宋体" w:cs="宋体"/>
          <w:sz w:val="24"/>
          <w:szCs w:val="24"/>
        </w:rPr>
      </w:pPr>
    </w:p>
    <w:p w14:paraId="1AB28790">
      <w:pPr>
        <w:snapToGrid w:val="0"/>
        <w:spacing w:line="264" w:lineRule="auto"/>
        <w:ind w:firstLine="480" w:firstLineChars="200"/>
        <w:rPr>
          <w:rFonts w:hint="eastAsia" w:ascii="宋体" w:hAnsi="宋体" w:eastAsia="宋体" w:cs="宋体"/>
          <w:sz w:val="24"/>
          <w:szCs w:val="24"/>
        </w:rPr>
      </w:pPr>
    </w:p>
    <w:p w14:paraId="2FDE7FAE">
      <w:pPr>
        <w:snapToGrid w:val="0"/>
        <w:spacing w:line="264" w:lineRule="auto"/>
        <w:ind w:firstLine="480" w:firstLineChars="200"/>
        <w:rPr>
          <w:rFonts w:hint="eastAsia" w:ascii="宋体" w:hAnsi="宋体" w:eastAsia="宋体" w:cs="宋体"/>
          <w:sz w:val="24"/>
          <w:szCs w:val="24"/>
        </w:rPr>
      </w:pPr>
    </w:p>
    <w:p w14:paraId="07F2DD03">
      <w:pPr>
        <w:snapToGrid w:val="0"/>
        <w:spacing w:line="264" w:lineRule="auto"/>
        <w:ind w:firstLine="480" w:firstLineChars="200"/>
        <w:rPr>
          <w:rFonts w:hint="eastAsia" w:ascii="宋体" w:hAnsi="宋体" w:eastAsia="宋体" w:cs="宋体"/>
          <w:sz w:val="24"/>
          <w:szCs w:val="24"/>
        </w:rPr>
      </w:pPr>
    </w:p>
    <w:p w14:paraId="0257496C">
      <w:pPr>
        <w:snapToGrid w:val="0"/>
        <w:spacing w:line="264" w:lineRule="auto"/>
        <w:ind w:firstLine="480" w:firstLineChars="200"/>
        <w:rPr>
          <w:rFonts w:hint="eastAsia" w:ascii="宋体" w:hAnsi="宋体" w:eastAsia="宋体" w:cs="宋体"/>
          <w:sz w:val="24"/>
          <w:szCs w:val="24"/>
        </w:rPr>
      </w:pPr>
    </w:p>
    <w:p w14:paraId="69D65B9F">
      <w:pPr>
        <w:snapToGrid w:val="0"/>
        <w:spacing w:line="264" w:lineRule="auto"/>
        <w:ind w:firstLine="480" w:firstLineChars="200"/>
        <w:rPr>
          <w:rFonts w:hint="eastAsia" w:ascii="宋体" w:hAnsi="宋体" w:eastAsia="宋体" w:cs="宋体"/>
          <w:sz w:val="24"/>
          <w:szCs w:val="24"/>
        </w:rPr>
      </w:pPr>
    </w:p>
    <w:p w14:paraId="542249CF">
      <w:pPr>
        <w:snapToGrid w:val="0"/>
        <w:spacing w:line="264" w:lineRule="auto"/>
        <w:ind w:firstLine="480" w:firstLineChars="200"/>
        <w:rPr>
          <w:rFonts w:hint="eastAsia" w:ascii="宋体" w:hAnsi="宋体" w:eastAsia="宋体" w:cs="宋体"/>
          <w:sz w:val="24"/>
          <w:szCs w:val="24"/>
        </w:rPr>
      </w:pPr>
    </w:p>
    <w:p w14:paraId="57002C2A">
      <w:pPr>
        <w:snapToGrid w:val="0"/>
        <w:spacing w:line="264" w:lineRule="auto"/>
        <w:ind w:firstLine="480" w:firstLineChars="200"/>
        <w:rPr>
          <w:rFonts w:hint="eastAsia" w:ascii="宋体" w:hAnsi="宋体" w:eastAsia="宋体" w:cs="宋体"/>
          <w:sz w:val="24"/>
          <w:szCs w:val="24"/>
        </w:rPr>
      </w:pPr>
    </w:p>
    <w:p w14:paraId="1EC8D4AA">
      <w:pPr>
        <w:snapToGrid w:val="0"/>
        <w:spacing w:line="264" w:lineRule="auto"/>
        <w:ind w:firstLine="480" w:firstLineChars="200"/>
        <w:rPr>
          <w:rFonts w:hint="eastAsia" w:ascii="宋体" w:hAnsi="宋体" w:eastAsia="宋体" w:cs="宋体"/>
          <w:sz w:val="24"/>
          <w:szCs w:val="24"/>
        </w:rPr>
      </w:pPr>
    </w:p>
    <w:p w14:paraId="0EC626F7">
      <w:pPr>
        <w:snapToGrid w:val="0"/>
        <w:spacing w:line="26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使用科室：</w:t>
      </w:r>
    </w:p>
    <w:p w14:paraId="3A37B6CB">
      <w:pPr>
        <w:snapToGrid w:val="0"/>
        <w:spacing w:line="264" w:lineRule="auto"/>
        <w:ind w:firstLine="480" w:firstLineChars="200"/>
        <w:rPr>
          <w:rFonts w:hint="eastAsia" w:ascii="宋体" w:hAnsi="宋体" w:eastAsia="宋体" w:cs="宋体"/>
          <w:sz w:val="24"/>
          <w:szCs w:val="24"/>
        </w:rPr>
      </w:pPr>
    </w:p>
    <w:p w14:paraId="3BC51DC6">
      <w:pPr>
        <w:snapToGrid w:val="0"/>
        <w:spacing w:line="26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科室负责人（签字）：</w:t>
      </w:r>
    </w:p>
    <w:p w14:paraId="3761A4E9">
      <w:pPr>
        <w:snapToGrid w:val="0"/>
        <w:spacing w:line="264" w:lineRule="auto"/>
        <w:ind w:firstLine="480" w:firstLineChars="200"/>
        <w:rPr>
          <w:rFonts w:hint="eastAsia" w:ascii="宋体" w:hAnsi="宋体" w:eastAsia="宋体" w:cs="宋体"/>
          <w:sz w:val="24"/>
          <w:szCs w:val="24"/>
        </w:rPr>
      </w:pPr>
    </w:p>
    <w:p w14:paraId="7685CE5D">
      <w:pPr>
        <w:snapToGrid w:val="0"/>
        <w:spacing w:line="264" w:lineRule="auto"/>
        <w:ind w:firstLine="480" w:firstLineChars="200"/>
        <w:rPr>
          <w:rFonts w:hint="eastAsia" w:ascii="宋体" w:hAnsi="宋体" w:eastAsia="宋体" w:cs="宋体"/>
          <w:sz w:val="24"/>
          <w:szCs w:val="24"/>
        </w:rPr>
      </w:pPr>
    </w:p>
    <w:p w14:paraId="6B63F6A5">
      <w:pPr>
        <w:snapToGrid w:val="0"/>
        <w:spacing w:line="264" w:lineRule="auto"/>
        <w:ind w:firstLine="482" w:firstLineChars="200"/>
        <w:jc w:val="left"/>
        <w:rPr>
          <w:rFonts w:hint="eastAsia" w:ascii="宋体" w:hAnsi="宋体" w:eastAsia="宋体" w:cs="宋体"/>
          <w:b/>
          <w:bCs/>
          <w:sz w:val="24"/>
          <w:szCs w:val="24"/>
        </w:rPr>
      </w:pPr>
    </w:p>
    <w:p w14:paraId="4814870B">
      <w:pPr>
        <w:snapToGrid w:val="0"/>
        <w:spacing w:line="264" w:lineRule="auto"/>
        <w:jc w:val="left"/>
        <w:rPr>
          <w:rFonts w:hint="eastAsia" w:ascii="宋体" w:hAnsi="宋体" w:eastAsia="宋体" w:cs="宋体"/>
          <w:b/>
          <w:bCs/>
          <w:sz w:val="24"/>
          <w:szCs w:val="24"/>
        </w:rPr>
      </w:pPr>
    </w:p>
    <w:p w14:paraId="52332268">
      <w:pPr>
        <w:snapToGrid w:val="0"/>
        <w:spacing w:line="264" w:lineRule="auto"/>
        <w:jc w:val="left"/>
        <w:rPr>
          <w:rFonts w:hint="eastAsia" w:ascii="宋体" w:hAnsi="宋体" w:eastAsia="宋体" w:cs="宋体"/>
          <w:b/>
          <w:bCs/>
          <w:sz w:val="24"/>
          <w:szCs w:val="24"/>
        </w:rPr>
      </w:pPr>
    </w:p>
    <w:p w14:paraId="0BB21009">
      <w:pPr>
        <w:snapToGrid w:val="0"/>
        <w:spacing w:line="264" w:lineRule="auto"/>
        <w:ind w:firstLine="482" w:firstLineChars="200"/>
        <w:jc w:val="left"/>
        <w:rPr>
          <w:rFonts w:hint="eastAsia" w:ascii="宋体" w:hAnsi="宋体" w:eastAsia="宋体" w:cs="宋体"/>
          <w:b/>
          <w:bCs/>
          <w:sz w:val="24"/>
          <w:szCs w:val="24"/>
        </w:rPr>
      </w:pPr>
    </w:p>
    <w:p w14:paraId="1178A52D">
      <w:pPr>
        <w:rPr>
          <w:rFonts w:hint="eastAsia" w:ascii="宋体" w:hAnsi="宋体" w:eastAsia="宋体" w:cs="宋体"/>
          <w:b/>
          <w:bCs/>
          <w:sz w:val="24"/>
          <w:szCs w:val="24"/>
        </w:rPr>
      </w:pPr>
      <w:r>
        <w:rPr>
          <w:rFonts w:hint="eastAsia" w:ascii="宋体" w:hAnsi="宋体" w:eastAsia="宋体" w:cs="宋体"/>
          <w:b/>
          <w:bCs/>
          <w:sz w:val="24"/>
          <w:szCs w:val="24"/>
        </w:rPr>
        <w:br w:type="page"/>
      </w:r>
    </w:p>
    <w:p w14:paraId="6C1EBC44">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p>
    <w:p w14:paraId="3B15BF15">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备品备件清单</w:t>
      </w:r>
      <w:r>
        <w:rPr>
          <w:rFonts w:hint="eastAsia" w:ascii="宋体" w:hAnsi="宋体" w:eastAsia="宋体" w:cs="宋体"/>
          <w:b/>
          <w:bCs/>
          <w:color w:val="FF0000"/>
          <w:sz w:val="24"/>
          <w:szCs w:val="24"/>
        </w:rPr>
        <w:t>（加盖合同专用章）</w:t>
      </w:r>
    </w:p>
    <w:p w14:paraId="01324135">
      <w:pPr>
        <w:snapToGrid w:val="0"/>
        <w:spacing w:line="264" w:lineRule="auto"/>
        <w:jc w:val="left"/>
        <w:rPr>
          <w:rFonts w:hint="eastAsia" w:ascii="宋体" w:hAnsi="宋体" w:eastAsia="宋体" w:cs="宋体"/>
          <w:b/>
          <w:bCs/>
          <w:sz w:val="24"/>
          <w:szCs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3D21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42AD3605">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79" w:type="dxa"/>
            <w:noWrap w:val="0"/>
            <w:vAlign w:val="top"/>
          </w:tcPr>
          <w:p w14:paraId="118EFAC3">
            <w:pPr>
              <w:snapToGrid w:val="0"/>
              <w:spacing w:line="264"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备品备件名称</w:t>
            </w:r>
          </w:p>
        </w:tc>
        <w:tc>
          <w:tcPr>
            <w:tcW w:w="2414" w:type="dxa"/>
            <w:noWrap w:val="0"/>
            <w:vAlign w:val="top"/>
          </w:tcPr>
          <w:p w14:paraId="0902F27B">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2416" w:type="dxa"/>
            <w:noWrap w:val="0"/>
            <w:vAlign w:val="top"/>
          </w:tcPr>
          <w:p w14:paraId="34BACBF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FBB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CA521C9">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379" w:type="dxa"/>
            <w:noWrap w:val="0"/>
            <w:vAlign w:val="top"/>
          </w:tcPr>
          <w:p w14:paraId="0797B339">
            <w:pPr>
              <w:snapToGrid w:val="0"/>
              <w:spacing w:line="264" w:lineRule="auto"/>
              <w:jc w:val="center"/>
              <w:rPr>
                <w:rFonts w:hint="eastAsia" w:ascii="宋体" w:hAnsi="宋体" w:eastAsia="宋体" w:cs="宋体"/>
                <w:sz w:val="24"/>
                <w:szCs w:val="24"/>
              </w:rPr>
            </w:pPr>
          </w:p>
        </w:tc>
        <w:tc>
          <w:tcPr>
            <w:tcW w:w="2414" w:type="dxa"/>
            <w:noWrap w:val="0"/>
            <w:vAlign w:val="top"/>
          </w:tcPr>
          <w:p w14:paraId="04AC9236">
            <w:pPr>
              <w:snapToGrid w:val="0"/>
              <w:spacing w:line="264" w:lineRule="auto"/>
              <w:jc w:val="center"/>
              <w:rPr>
                <w:rFonts w:hint="eastAsia" w:ascii="宋体" w:hAnsi="宋体" w:eastAsia="宋体" w:cs="宋体"/>
                <w:sz w:val="24"/>
                <w:szCs w:val="24"/>
              </w:rPr>
            </w:pPr>
          </w:p>
        </w:tc>
        <w:tc>
          <w:tcPr>
            <w:tcW w:w="2416" w:type="dxa"/>
            <w:noWrap w:val="0"/>
            <w:vAlign w:val="top"/>
          </w:tcPr>
          <w:p w14:paraId="3A32E521">
            <w:pPr>
              <w:snapToGrid w:val="0"/>
              <w:spacing w:line="264" w:lineRule="auto"/>
              <w:jc w:val="center"/>
              <w:rPr>
                <w:rFonts w:hint="eastAsia" w:ascii="宋体" w:hAnsi="宋体" w:eastAsia="宋体" w:cs="宋体"/>
                <w:sz w:val="24"/>
                <w:szCs w:val="24"/>
              </w:rPr>
            </w:pPr>
          </w:p>
        </w:tc>
      </w:tr>
      <w:tr w14:paraId="53D8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A8E4270">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379" w:type="dxa"/>
            <w:noWrap w:val="0"/>
            <w:vAlign w:val="top"/>
          </w:tcPr>
          <w:p w14:paraId="616D43E5">
            <w:pPr>
              <w:snapToGrid w:val="0"/>
              <w:spacing w:line="264" w:lineRule="auto"/>
              <w:jc w:val="center"/>
              <w:rPr>
                <w:rFonts w:hint="eastAsia" w:ascii="宋体" w:hAnsi="宋体" w:eastAsia="宋体" w:cs="宋体"/>
                <w:sz w:val="24"/>
                <w:szCs w:val="24"/>
              </w:rPr>
            </w:pPr>
          </w:p>
        </w:tc>
        <w:tc>
          <w:tcPr>
            <w:tcW w:w="2414" w:type="dxa"/>
            <w:noWrap w:val="0"/>
            <w:vAlign w:val="top"/>
          </w:tcPr>
          <w:p w14:paraId="100A016E">
            <w:pPr>
              <w:snapToGrid w:val="0"/>
              <w:spacing w:line="264" w:lineRule="auto"/>
              <w:jc w:val="center"/>
              <w:rPr>
                <w:rFonts w:hint="eastAsia" w:ascii="宋体" w:hAnsi="宋体" w:eastAsia="宋体" w:cs="宋体"/>
                <w:sz w:val="24"/>
                <w:szCs w:val="24"/>
              </w:rPr>
            </w:pPr>
          </w:p>
        </w:tc>
        <w:tc>
          <w:tcPr>
            <w:tcW w:w="2416" w:type="dxa"/>
            <w:noWrap w:val="0"/>
            <w:vAlign w:val="top"/>
          </w:tcPr>
          <w:p w14:paraId="41CA173B">
            <w:pPr>
              <w:snapToGrid w:val="0"/>
              <w:spacing w:line="264" w:lineRule="auto"/>
              <w:jc w:val="center"/>
              <w:rPr>
                <w:rFonts w:hint="eastAsia" w:ascii="宋体" w:hAnsi="宋体" w:eastAsia="宋体" w:cs="宋体"/>
                <w:sz w:val="24"/>
                <w:szCs w:val="24"/>
              </w:rPr>
            </w:pPr>
          </w:p>
        </w:tc>
      </w:tr>
      <w:tr w14:paraId="5213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210B2DA">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379" w:type="dxa"/>
            <w:noWrap w:val="0"/>
            <w:vAlign w:val="top"/>
          </w:tcPr>
          <w:p w14:paraId="1D020FDC">
            <w:pPr>
              <w:snapToGrid w:val="0"/>
              <w:spacing w:line="264" w:lineRule="auto"/>
              <w:jc w:val="center"/>
              <w:rPr>
                <w:rFonts w:hint="eastAsia" w:ascii="宋体" w:hAnsi="宋体" w:eastAsia="宋体" w:cs="宋体"/>
                <w:sz w:val="24"/>
                <w:szCs w:val="24"/>
              </w:rPr>
            </w:pPr>
          </w:p>
        </w:tc>
        <w:tc>
          <w:tcPr>
            <w:tcW w:w="2414" w:type="dxa"/>
            <w:noWrap w:val="0"/>
            <w:vAlign w:val="top"/>
          </w:tcPr>
          <w:p w14:paraId="6339D018">
            <w:pPr>
              <w:snapToGrid w:val="0"/>
              <w:spacing w:line="264" w:lineRule="auto"/>
              <w:jc w:val="center"/>
              <w:rPr>
                <w:rFonts w:hint="eastAsia" w:ascii="宋体" w:hAnsi="宋体" w:eastAsia="宋体" w:cs="宋体"/>
                <w:sz w:val="24"/>
                <w:szCs w:val="24"/>
              </w:rPr>
            </w:pPr>
          </w:p>
        </w:tc>
        <w:tc>
          <w:tcPr>
            <w:tcW w:w="2416" w:type="dxa"/>
            <w:noWrap w:val="0"/>
            <w:vAlign w:val="top"/>
          </w:tcPr>
          <w:p w14:paraId="1F3FE48D">
            <w:pPr>
              <w:snapToGrid w:val="0"/>
              <w:spacing w:line="264" w:lineRule="auto"/>
              <w:jc w:val="center"/>
              <w:rPr>
                <w:rFonts w:hint="eastAsia" w:ascii="宋体" w:hAnsi="宋体" w:eastAsia="宋体" w:cs="宋体"/>
                <w:sz w:val="24"/>
                <w:szCs w:val="24"/>
              </w:rPr>
            </w:pPr>
          </w:p>
        </w:tc>
      </w:tr>
      <w:tr w14:paraId="21D1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6D0AEEB">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379" w:type="dxa"/>
            <w:noWrap w:val="0"/>
            <w:vAlign w:val="top"/>
          </w:tcPr>
          <w:p w14:paraId="1683D449">
            <w:pPr>
              <w:snapToGrid w:val="0"/>
              <w:spacing w:line="264" w:lineRule="auto"/>
              <w:jc w:val="center"/>
              <w:rPr>
                <w:rFonts w:hint="eastAsia" w:ascii="宋体" w:hAnsi="宋体" w:eastAsia="宋体" w:cs="宋体"/>
                <w:sz w:val="24"/>
                <w:szCs w:val="24"/>
              </w:rPr>
            </w:pPr>
          </w:p>
        </w:tc>
        <w:tc>
          <w:tcPr>
            <w:tcW w:w="2414" w:type="dxa"/>
            <w:noWrap w:val="0"/>
            <w:vAlign w:val="top"/>
          </w:tcPr>
          <w:p w14:paraId="32219A4B">
            <w:pPr>
              <w:snapToGrid w:val="0"/>
              <w:spacing w:line="264" w:lineRule="auto"/>
              <w:jc w:val="center"/>
              <w:rPr>
                <w:rFonts w:hint="eastAsia" w:ascii="宋体" w:hAnsi="宋体" w:eastAsia="宋体" w:cs="宋体"/>
                <w:sz w:val="24"/>
                <w:szCs w:val="24"/>
              </w:rPr>
            </w:pPr>
          </w:p>
        </w:tc>
        <w:tc>
          <w:tcPr>
            <w:tcW w:w="2416" w:type="dxa"/>
            <w:noWrap w:val="0"/>
            <w:vAlign w:val="top"/>
          </w:tcPr>
          <w:p w14:paraId="3230942B">
            <w:pPr>
              <w:snapToGrid w:val="0"/>
              <w:spacing w:line="264" w:lineRule="auto"/>
              <w:jc w:val="center"/>
              <w:rPr>
                <w:rFonts w:hint="eastAsia" w:ascii="宋体" w:hAnsi="宋体" w:eastAsia="宋体" w:cs="宋体"/>
                <w:sz w:val="24"/>
                <w:szCs w:val="24"/>
              </w:rPr>
            </w:pPr>
          </w:p>
        </w:tc>
      </w:tr>
      <w:tr w14:paraId="3626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CC6CC67">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379" w:type="dxa"/>
            <w:noWrap w:val="0"/>
            <w:vAlign w:val="top"/>
          </w:tcPr>
          <w:p w14:paraId="17613BB4">
            <w:pPr>
              <w:snapToGrid w:val="0"/>
              <w:spacing w:line="264" w:lineRule="auto"/>
              <w:jc w:val="center"/>
              <w:rPr>
                <w:rFonts w:hint="eastAsia" w:ascii="宋体" w:hAnsi="宋体" w:eastAsia="宋体" w:cs="宋体"/>
                <w:sz w:val="24"/>
                <w:szCs w:val="24"/>
              </w:rPr>
            </w:pPr>
          </w:p>
        </w:tc>
        <w:tc>
          <w:tcPr>
            <w:tcW w:w="2414" w:type="dxa"/>
            <w:noWrap w:val="0"/>
            <w:vAlign w:val="top"/>
          </w:tcPr>
          <w:p w14:paraId="34504478">
            <w:pPr>
              <w:snapToGrid w:val="0"/>
              <w:spacing w:line="264" w:lineRule="auto"/>
              <w:jc w:val="center"/>
              <w:rPr>
                <w:rFonts w:hint="eastAsia" w:ascii="宋体" w:hAnsi="宋体" w:eastAsia="宋体" w:cs="宋体"/>
                <w:sz w:val="24"/>
                <w:szCs w:val="24"/>
              </w:rPr>
            </w:pPr>
          </w:p>
        </w:tc>
        <w:tc>
          <w:tcPr>
            <w:tcW w:w="2416" w:type="dxa"/>
            <w:noWrap w:val="0"/>
            <w:vAlign w:val="top"/>
          </w:tcPr>
          <w:p w14:paraId="6C5FC774">
            <w:pPr>
              <w:snapToGrid w:val="0"/>
              <w:spacing w:line="264" w:lineRule="auto"/>
              <w:jc w:val="center"/>
              <w:rPr>
                <w:rFonts w:hint="eastAsia" w:ascii="宋体" w:hAnsi="宋体" w:eastAsia="宋体" w:cs="宋体"/>
                <w:sz w:val="24"/>
                <w:szCs w:val="24"/>
              </w:rPr>
            </w:pPr>
          </w:p>
        </w:tc>
      </w:tr>
      <w:tr w14:paraId="79B4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1C5EED7">
            <w:pPr>
              <w:snapToGrid w:val="0"/>
              <w:spacing w:line="264" w:lineRule="auto"/>
              <w:jc w:val="center"/>
              <w:rPr>
                <w:rFonts w:hint="eastAsia" w:ascii="宋体" w:hAnsi="宋体" w:eastAsia="宋体" w:cs="宋体"/>
                <w:sz w:val="24"/>
                <w:szCs w:val="24"/>
              </w:rPr>
            </w:pPr>
          </w:p>
        </w:tc>
        <w:tc>
          <w:tcPr>
            <w:tcW w:w="3379" w:type="dxa"/>
            <w:noWrap w:val="0"/>
            <w:vAlign w:val="top"/>
          </w:tcPr>
          <w:p w14:paraId="6F723481">
            <w:pPr>
              <w:snapToGrid w:val="0"/>
              <w:spacing w:line="264" w:lineRule="auto"/>
              <w:jc w:val="center"/>
              <w:rPr>
                <w:rFonts w:hint="eastAsia" w:ascii="宋体" w:hAnsi="宋体" w:eastAsia="宋体" w:cs="宋体"/>
                <w:sz w:val="24"/>
                <w:szCs w:val="24"/>
              </w:rPr>
            </w:pPr>
          </w:p>
        </w:tc>
        <w:tc>
          <w:tcPr>
            <w:tcW w:w="2414" w:type="dxa"/>
            <w:noWrap w:val="0"/>
            <w:vAlign w:val="top"/>
          </w:tcPr>
          <w:p w14:paraId="52B69D02">
            <w:pPr>
              <w:snapToGrid w:val="0"/>
              <w:spacing w:line="264" w:lineRule="auto"/>
              <w:jc w:val="center"/>
              <w:rPr>
                <w:rFonts w:hint="eastAsia" w:ascii="宋体" w:hAnsi="宋体" w:eastAsia="宋体" w:cs="宋体"/>
                <w:sz w:val="24"/>
                <w:szCs w:val="24"/>
              </w:rPr>
            </w:pPr>
          </w:p>
        </w:tc>
        <w:tc>
          <w:tcPr>
            <w:tcW w:w="2416" w:type="dxa"/>
            <w:noWrap w:val="0"/>
            <w:vAlign w:val="top"/>
          </w:tcPr>
          <w:p w14:paraId="0504DFEB">
            <w:pPr>
              <w:snapToGrid w:val="0"/>
              <w:spacing w:line="264" w:lineRule="auto"/>
              <w:jc w:val="center"/>
              <w:rPr>
                <w:rFonts w:hint="eastAsia" w:ascii="宋体" w:hAnsi="宋体" w:eastAsia="宋体" w:cs="宋体"/>
                <w:sz w:val="24"/>
                <w:szCs w:val="24"/>
              </w:rPr>
            </w:pPr>
          </w:p>
        </w:tc>
      </w:tr>
      <w:tr w14:paraId="249F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E545DD7">
            <w:pPr>
              <w:snapToGrid w:val="0"/>
              <w:spacing w:line="264" w:lineRule="auto"/>
              <w:jc w:val="center"/>
              <w:rPr>
                <w:rFonts w:hint="eastAsia" w:ascii="宋体" w:hAnsi="宋体" w:eastAsia="宋体" w:cs="宋体"/>
                <w:sz w:val="24"/>
                <w:szCs w:val="24"/>
              </w:rPr>
            </w:pPr>
          </w:p>
        </w:tc>
        <w:tc>
          <w:tcPr>
            <w:tcW w:w="3379" w:type="dxa"/>
            <w:noWrap w:val="0"/>
            <w:vAlign w:val="top"/>
          </w:tcPr>
          <w:p w14:paraId="7A3F93DD">
            <w:pPr>
              <w:snapToGrid w:val="0"/>
              <w:spacing w:line="264" w:lineRule="auto"/>
              <w:jc w:val="center"/>
              <w:rPr>
                <w:rFonts w:hint="eastAsia" w:ascii="宋体" w:hAnsi="宋体" w:eastAsia="宋体" w:cs="宋体"/>
                <w:sz w:val="24"/>
                <w:szCs w:val="24"/>
              </w:rPr>
            </w:pPr>
          </w:p>
        </w:tc>
        <w:tc>
          <w:tcPr>
            <w:tcW w:w="2414" w:type="dxa"/>
            <w:noWrap w:val="0"/>
            <w:vAlign w:val="top"/>
          </w:tcPr>
          <w:p w14:paraId="5D451139">
            <w:pPr>
              <w:snapToGrid w:val="0"/>
              <w:spacing w:line="264" w:lineRule="auto"/>
              <w:jc w:val="center"/>
              <w:rPr>
                <w:rFonts w:hint="eastAsia" w:ascii="宋体" w:hAnsi="宋体" w:eastAsia="宋体" w:cs="宋体"/>
                <w:sz w:val="24"/>
                <w:szCs w:val="24"/>
              </w:rPr>
            </w:pPr>
          </w:p>
        </w:tc>
        <w:tc>
          <w:tcPr>
            <w:tcW w:w="2416" w:type="dxa"/>
            <w:noWrap w:val="0"/>
            <w:vAlign w:val="top"/>
          </w:tcPr>
          <w:p w14:paraId="378A9CA7">
            <w:pPr>
              <w:snapToGrid w:val="0"/>
              <w:spacing w:line="264" w:lineRule="auto"/>
              <w:jc w:val="center"/>
              <w:rPr>
                <w:rFonts w:hint="eastAsia" w:ascii="宋体" w:hAnsi="宋体" w:eastAsia="宋体" w:cs="宋体"/>
                <w:sz w:val="24"/>
                <w:szCs w:val="24"/>
              </w:rPr>
            </w:pPr>
          </w:p>
        </w:tc>
      </w:tr>
      <w:tr w14:paraId="5439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48E976A">
            <w:pPr>
              <w:snapToGrid w:val="0"/>
              <w:spacing w:line="264" w:lineRule="auto"/>
              <w:jc w:val="center"/>
              <w:rPr>
                <w:rFonts w:hint="eastAsia" w:ascii="宋体" w:hAnsi="宋体" w:eastAsia="宋体" w:cs="宋体"/>
                <w:sz w:val="24"/>
                <w:szCs w:val="24"/>
              </w:rPr>
            </w:pPr>
          </w:p>
        </w:tc>
        <w:tc>
          <w:tcPr>
            <w:tcW w:w="3379" w:type="dxa"/>
            <w:noWrap w:val="0"/>
            <w:vAlign w:val="top"/>
          </w:tcPr>
          <w:p w14:paraId="6E3FD1C9">
            <w:pPr>
              <w:snapToGrid w:val="0"/>
              <w:spacing w:line="264" w:lineRule="auto"/>
              <w:jc w:val="center"/>
              <w:rPr>
                <w:rFonts w:hint="eastAsia" w:ascii="宋体" w:hAnsi="宋体" w:eastAsia="宋体" w:cs="宋体"/>
                <w:sz w:val="24"/>
                <w:szCs w:val="24"/>
              </w:rPr>
            </w:pPr>
          </w:p>
        </w:tc>
        <w:tc>
          <w:tcPr>
            <w:tcW w:w="2414" w:type="dxa"/>
            <w:noWrap w:val="0"/>
            <w:vAlign w:val="top"/>
          </w:tcPr>
          <w:p w14:paraId="613DE8CE">
            <w:pPr>
              <w:snapToGrid w:val="0"/>
              <w:spacing w:line="264" w:lineRule="auto"/>
              <w:jc w:val="center"/>
              <w:rPr>
                <w:rFonts w:hint="eastAsia" w:ascii="宋体" w:hAnsi="宋体" w:eastAsia="宋体" w:cs="宋体"/>
                <w:sz w:val="24"/>
                <w:szCs w:val="24"/>
              </w:rPr>
            </w:pPr>
          </w:p>
        </w:tc>
        <w:tc>
          <w:tcPr>
            <w:tcW w:w="2416" w:type="dxa"/>
            <w:noWrap w:val="0"/>
            <w:vAlign w:val="top"/>
          </w:tcPr>
          <w:p w14:paraId="16778968">
            <w:pPr>
              <w:snapToGrid w:val="0"/>
              <w:spacing w:line="264" w:lineRule="auto"/>
              <w:jc w:val="center"/>
              <w:rPr>
                <w:rFonts w:hint="eastAsia" w:ascii="宋体" w:hAnsi="宋体" w:eastAsia="宋体" w:cs="宋体"/>
                <w:sz w:val="24"/>
                <w:szCs w:val="24"/>
              </w:rPr>
            </w:pPr>
          </w:p>
        </w:tc>
      </w:tr>
      <w:tr w14:paraId="7FAA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22FC9E68">
            <w:pPr>
              <w:snapToGrid w:val="0"/>
              <w:spacing w:line="264"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说明：质保期内免费提供以上备品备件</w:t>
            </w:r>
          </w:p>
        </w:tc>
      </w:tr>
    </w:tbl>
    <w:p w14:paraId="559C381C">
      <w:pPr>
        <w:snapToGrid w:val="0"/>
        <w:spacing w:line="264" w:lineRule="auto"/>
        <w:ind w:firstLine="482" w:firstLineChars="200"/>
        <w:jc w:val="left"/>
        <w:rPr>
          <w:rFonts w:hint="eastAsia" w:ascii="宋体" w:hAnsi="宋体" w:eastAsia="宋体" w:cs="宋体"/>
          <w:b/>
          <w:bCs/>
          <w:sz w:val="24"/>
          <w:szCs w:val="24"/>
        </w:rPr>
      </w:pPr>
    </w:p>
    <w:p w14:paraId="14904E5D">
      <w:pPr>
        <w:snapToGrid w:val="0"/>
        <w:spacing w:line="264" w:lineRule="auto"/>
        <w:ind w:firstLine="482" w:firstLineChars="200"/>
        <w:jc w:val="left"/>
        <w:rPr>
          <w:rFonts w:hint="eastAsia" w:ascii="宋体" w:hAnsi="宋体" w:eastAsia="宋体" w:cs="宋体"/>
          <w:b/>
          <w:bCs/>
          <w:sz w:val="24"/>
          <w:szCs w:val="24"/>
        </w:rPr>
      </w:pPr>
    </w:p>
    <w:p w14:paraId="346CBAE9">
      <w:pPr>
        <w:snapToGrid w:val="0"/>
        <w:spacing w:line="264" w:lineRule="auto"/>
        <w:ind w:firstLine="482" w:firstLineChars="200"/>
        <w:jc w:val="left"/>
        <w:rPr>
          <w:rFonts w:hint="eastAsia" w:ascii="宋体" w:hAnsi="宋体" w:eastAsia="宋体" w:cs="宋体"/>
          <w:b/>
          <w:bCs/>
          <w:sz w:val="24"/>
          <w:szCs w:val="24"/>
        </w:rPr>
      </w:pPr>
    </w:p>
    <w:p w14:paraId="206D0340">
      <w:pPr>
        <w:snapToGrid w:val="0"/>
        <w:spacing w:line="264" w:lineRule="auto"/>
        <w:ind w:firstLine="482" w:firstLineChars="200"/>
        <w:jc w:val="left"/>
        <w:rPr>
          <w:rFonts w:hint="eastAsia" w:ascii="宋体" w:hAnsi="宋体" w:eastAsia="宋体" w:cs="宋体"/>
          <w:b/>
          <w:bCs/>
          <w:sz w:val="24"/>
          <w:szCs w:val="24"/>
        </w:rPr>
      </w:pPr>
    </w:p>
    <w:p w14:paraId="7E1D9A44">
      <w:pPr>
        <w:snapToGrid w:val="0"/>
        <w:spacing w:line="264" w:lineRule="auto"/>
        <w:ind w:firstLine="482" w:firstLineChars="200"/>
        <w:jc w:val="left"/>
        <w:rPr>
          <w:rFonts w:hint="eastAsia" w:ascii="宋体" w:hAnsi="宋体" w:eastAsia="宋体" w:cs="宋体"/>
          <w:b/>
          <w:bCs/>
          <w:sz w:val="24"/>
          <w:szCs w:val="24"/>
        </w:rPr>
      </w:pPr>
    </w:p>
    <w:p w14:paraId="125E2D14">
      <w:pPr>
        <w:snapToGrid w:val="0"/>
        <w:spacing w:line="264" w:lineRule="auto"/>
        <w:ind w:firstLine="482" w:firstLineChars="200"/>
        <w:jc w:val="left"/>
        <w:rPr>
          <w:rFonts w:hint="eastAsia" w:ascii="宋体" w:hAnsi="宋体" w:eastAsia="宋体" w:cs="宋体"/>
          <w:b/>
          <w:bCs/>
          <w:sz w:val="24"/>
          <w:szCs w:val="24"/>
        </w:rPr>
      </w:pPr>
    </w:p>
    <w:p w14:paraId="6A62B164">
      <w:pPr>
        <w:snapToGrid w:val="0"/>
        <w:spacing w:line="264" w:lineRule="auto"/>
        <w:ind w:firstLine="482" w:firstLineChars="200"/>
        <w:jc w:val="left"/>
        <w:rPr>
          <w:rFonts w:hint="eastAsia" w:ascii="宋体" w:hAnsi="宋体" w:eastAsia="宋体" w:cs="宋体"/>
          <w:b/>
          <w:bCs/>
          <w:sz w:val="24"/>
          <w:szCs w:val="24"/>
        </w:rPr>
      </w:pPr>
    </w:p>
    <w:p w14:paraId="0EBCFC71">
      <w:pPr>
        <w:snapToGrid w:val="0"/>
        <w:spacing w:line="264" w:lineRule="auto"/>
        <w:ind w:firstLine="482" w:firstLineChars="200"/>
        <w:jc w:val="left"/>
        <w:rPr>
          <w:rFonts w:hint="eastAsia" w:ascii="宋体" w:hAnsi="宋体" w:eastAsia="宋体" w:cs="宋体"/>
          <w:b/>
          <w:bCs/>
          <w:sz w:val="24"/>
          <w:szCs w:val="24"/>
        </w:rPr>
      </w:pPr>
    </w:p>
    <w:p w14:paraId="5ED033BB">
      <w:pPr>
        <w:snapToGrid w:val="0"/>
        <w:spacing w:line="264" w:lineRule="auto"/>
        <w:ind w:firstLine="482" w:firstLineChars="200"/>
        <w:jc w:val="left"/>
        <w:rPr>
          <w:rFonts w:hint="eastAsia" w:ascii="宋体" w:hAnsi="宋体" w:eastAsia="宋体" w:cs="宋体"/>
          <w:b/>
          <w:bCs/>
          <w:sz w:val="24"/>
          <w:szCs w:val="24"/>
        </w:rPr>
      </w:pPr>
    </w:p>
    <w:p w14:paraId="2C2FDE16">
      <w:pPr>
        <w:snapToGrid w:val="0"/>
        <w:spacing w:line="264" w:lineRule="auto"/>
        <w:ind w:firstLine="482" w:firstLineChars="200"/>
        <w:jc w:val="left"/>
        <w:rPr>
          <w:rFonts w:hint="eastAsia" w:ascii="宋体" w:hAnsi="宋体" w:eastAsia="宋体" w:cs="宋体"/>
          <w:b/>
          <w:bCs/>
          <w:sz w:val="24"/>
          <w:szCs w:val="24"/>
        </w:rPr>
      </w:pPr>
    </w:p>
    <w:p w14:paraId="6D73DD40">
      <w:pPr>
        <w:snapToGrid w:val="0"/>
        <w:spacing w:line="264" w:lineRule="auto"/>
        <w:ind w:firstLine="482" w:firstLineChars="200"/>
        <w:jc w:val="left"/>
        <w:rPr>
          <w:rFonts w:hint="eastAsia" w:ascii="宋体" w:hAnsi="宋体" w:eastAsia="宋体" w:cs="宋体"/>
          <w:b/>
          <w:bCs/>
          <w:sz w:val="24"/>
          <w:szCs w:val="24"/>
        </w:rPr>
      </w:pPr>
    </w:p>
    <w:p w14:paraId="25C07254">
      <w:pPr>
        <w:snapToGrid w:val="0"/>
        <w:spacing w:line="264" w:lineRule="auto"/>
        <w:ind w:firstLine="482" w:firstLineChars="200"/>
        <w:jc w:val="left"/>
        <w:rPr>
          <w:rFonts w:hint="eastAsia" w:ascii="宋体" w:hAnsi="宋体" w:eastAsia="宋体" w:cs="宋体"/>
          <w:b/>
          <w:bCs/>
          <w:sz w:val="24"/>
          <w:szCs w:val="24"/>
        </w:rPr>
      </w:pPr>
    </w:p>
    <w:p w14:paraId="06D1B816">
      <w:pPr>
        <w:snapToGrid w:val="0"/>
        <w:spacing w:line="264" w:lineRule="auto"/>
        <w:ind w:firstLine="482" w:firstLineChars="200"/>
        <w:jc w:val="left"/>
        <w:rPr>
          <w:rFonts w:hint="eastAsia" w:ascii="宋体" w:hAnsi="宋体" w:eastAsia="宋体" w:cs="宋体"/>
          <w:b/>
          <w:bCs/>
          <w:sz w:val="24"/>
          <w:szCs w:val="24"/>
        </w:rPr>
      </w:pPr>
    </w:p>
    <w:p w14:paraId="56EA6F3A">
      <w:pPr>
        <w:snapToGrid w:val="0"/>
        <w:spacing w:line="264" w:lineRule="auto"/>
        <w:ind w:firstLine="482" w:firstLineChars="200"/>
        <w:jc w:val="left"/>
        <w:rPr>
          <w:rFonts w:hint="eastAsia" w:ascii="宋体" w:hAnsi="宋体" w:eastAsia="宋体" w:cs="宋体"/>
          <w:b/>
          <w:bCs/>
          <w:sz w:val="24"/>
          <w:szCs w:val="24"/>
        </w:rPr>
      </w:pPr>
    </w:p>
    <w:p w14:paraId="1F8DFEB1">
      <w:pPr>
        <w:snapToGrid w:val="0"/>
        <w:spacing w:line="264" w:lineRule="auto"/>
        <w:ind w:firstLine="482" w:firstLineChars="200"/>
        <w:jc w:val="left"/>
        <w:rPr>
          <w:rFonts w:hint="eastAsia" w:ascii="宋体" w:hAnsi="宋体" w:eastAsia="宋体" w:cs="宋体"/>
          <w:b/>
          <w:bCs/>
          <w:sz w:val="24"/>
          <w:szCs w:val="24"/>
        </w:rPr>
      </w:pPr>
    </w:p>
    <w:p w14:paraId="16644141">
      <w:pPr>
        <w:snapToGrid w:val="0"/>
        <w:spacing w:line="264" w:lineRule="auto"/>
        <w:ind w:firstLine="482" w:firstLineChars="200"/>
        <w:jc w:val="left"/>
        <w:rPr>
          <w:rFonts w:hint="eastAsia" w:ascii="宋体" w:hAnsi="宋体" w:eastAsia="宋体" w:cs="宋体"/>
          <w:b/>
          <w:bCs/>
          <w:sz w:val="24"/>
          <w:szCs w:val="24"/>
        </w:rPr>
      </w:pPr>
    </w:p>
    <w:p w14:paraId="2089A813">
      <w:pPr>
        <w:snapToGrid w:val="0"/>
        <w:spacing w:line="264" w:lineRule="auto"/>
        <w:ind w:firstLine="482" w:firstLineChars="200"/>
        <w:jc w:val="left"/>
        <w:rPr>
          <w:rFonts w:hint="eastAsia" w:ascii="宋体" w:hAnsi="宋体" w:eastAsia="宋体" w:cs="宋体"/>
          <w:b/>
          <w:bCs/>
          <w:sz w:val="24"/>
          <w:szCs w:val="24"/>
        </w:rPr>
      </w:pPr>
    </w:p>
    <w:p w14:paraId="4DB1996D">
      <w:pPr>
        <w:snapToGrid w:val="0"/>
        <w:spacing w:line="264" w:lineRule="auto"/>
        <w:ind w:firstLine="482" w:firstLineChars="200"/>
        <w:jc w:val="left"/>
        <w:rPr>
          <w:rFonts w:hint="eastAsia" w:ascii="宋体" w:hAnsi="宋体" w:eastAsia="宋体" w:cs="宋体"/>
          <w:b/>
          <w:bCs/>
          <w:sz w:val="24"/>
          <w:szCs w:val="24"/>
        </w:rPr>
      </w:pPr>
    </w:p>
    <w:p w14:paraId="5B954B6B">
      <w:pPr>
        <w:snapToGrid w:val="0"/>
        <w:spacing w:line="264" w:lineRule="auto"/>
        <w:ind w:firstLine="482" w:firstLineChars="200"/>
        <w:jc w:val="left"/>
        <w:rPr>
          <w:rFonts w:hint="eastAsia" w:ascii="宋体" w:hAnsi="宋体" w:eastAsia="宋体" w:cs="宋体"/>
          <w:b/>
          <w:bCs/>
          <w:sz w:val="24"/>
          <w:szCs w:val="24"/>
        </w:rPr>
      </w:pPr>
    </w:p>
    <w:p w14:paraId="72E5AE11">
      <w:pPr>
        <w:snapToGrid w:val="0"/>
        <w:spacing w:line="264" w:lineRule="auto"/>
        <w:ind w:firstLine="482" w:firstLineChars="200"/>
        <w:jc w:val="left"/>
        <w:rPr>
          <w:rFonts w:hint="eastAsia" w:ascii="宋体" w:hAnsi="宋体" w:eastAsia="宋体" w:cs="宋体"/>
          <w:b/>
          <w:bCs/>
          <w:sz w:val="24"/>
          <w:szCs w:val="24"/>
        </w:rPr>
      </w:pPr>
    </w:p>
    <w:p w14:paraId="7FF9AB6C">
      <w:pPr>
        <w:snapToGrid w:val="0"/>
        <w:spacing w:line="264" w:lineRule="auto"/>
        <w:ind w:firstLine="482" w:firstLineChars="200"/>
        <w:jc w:val="left"/>
        <w:rPr>
          <w:rFonts w:hint="eastAsia" w:ascii="宋体" w:hAnsi="宋体" w:eastAsia="宋体" w:cs="宋体"/>
          <w:b/>
          <w:bCs/>
          <w:sz w:val="24"/>
          <w:szCs w:val="24"/>
        </w:rPr>
      </w:pPr>
    </w:p>
    <w:p w14:paraId="307588EE">
      <w:pPr>
        <w:snapToGrid w:val="0"/>
        <w:spacing w:line="264" w:lineRule="auto"/>
        <w:ind w:firstLine="482" w:firstLineChars="200"/>
        <w:jc w:val="left"/>
        <w:rPr>
          <w:rFonts w:hint="eastAsia" w:ascii="宋体" w:hAnsi="宋体" w:eastAsia="宋体" w:cs="宋体"/>
          <w:b/>
          <w:bCs/>
          <w:sz w:val="24"/>
          <w:szCs w:val="24"/>
        </w:rPr>
      </w:pPr>
    </w:p>
    <w:p w14:paraId="294311EE">
      <w:pPr>
        <w:snapToGrid w:val="0"/>
        <w:spacing w:line="264" w:lineRule="auto"/>
        <w:jc w:val="left"/>
        <w:rPr>
          <w:rFonts w:hint="eastAsia" w:ascii="宋体" w:hAnsi="宋体" w:eastAsia="宋体" w:cs="宋体"/>
          <w:b/>
          <w:bCs/>
          <w:sz w:val="24"/>
          <w:szCs w:val="24"/>
        </w:rPr>
      </w:pPr>
    </w:p>
    <w:p w14:paraId="3AD8FC1D">
      <w:pPr>
        <w:snapToGrid w:val="0"/>
        <w:spacing w:line="264" w:lineRule="auto"/>
        <w:ind w:firstLine="482" w:firstLineChars="200"/>
        <w:jc w:val="left"/>
        <w:rPr>
          <w:rFonts w:hint="eastAsia" w:ascii="宋体" w:hAnsi="宋体" w:eastAsia="宋体" w:cs="宋体"/>
          <w:b/>
          <w:bCs/>
          <w:sz w:val="24"/>
          <w:szCs w:val="24"/>
        </w:rPr>
      </w:pPr>
    </w:p>
    <w:p w14:paraId="3F08FF80">
      <w:pPr>
        <w:snapToGrid w:val="0"/>
        <w:spacing w:line="264" w:lineRule="auto"/>
        <w:ind w:firstLine="482" w:firstLineChars="200"/>
        <w:jc w:val="left"/>
        <w:rPr>
          <w:rFonts w:hint="eastAsia" w:ascii="宋体" w:hAnsi="宋体" w:eastAsia="宋体" w:cs="宋体"/>
          <w:b/>
          <w:bCs/>
          <w:sz w:val="24"/>
          <w:szCs w:val="24"/>
        </w:rPr>
      </w:pPr>
    </w:p>
    <w:p w14:paraId="0EEE28D4">
      <w:pPr>
        <w:snapToGrid w:val="0"/>
        <w:spacing w:line="264" w:lineRule="auto"/>
        <w:ind w:firstLine="482" w:firstLineChars="200"/>
        <w:jc w:val="left"/>
        <w:rPr>
          <w:rFonts w:hint="eastAsia" w:ascii="宋体" w:hAnsi="宋体" w:eastAsia="宋体" w:cs="宋体"/>
          <w:b/>
          <w:bCs/>
          <w:sz w:val="24"/>
          <w:szCs w:val="24"/>
        </w:rPr>
      </w:pPr>
    </w:p>
    <w:p w14:paraId="75D97DEF">
      <w:pPr>
        <w:snapToGrid w:val="0"/>
        <w:spacing w:line="264" w:lineRule="auto"/>
        <w:ind w:firstLine="482" w:firstLineChars="200"/>
        <w:jc w:val="left"/>
        <w:rPr>
          <w:rFonts w:hint="eastAsia" w:ascii="宋体" w:hAnsi="宋体" w:eastAsia="宋体" w:cs="宋体"/>
          <w:b/>
          <w:bCs/>
          <w:sz w:val="24"/>
          <w:szCs w:val="24"/>
        </w:rPr>
      </w:pPr>
    </w:p>
    <w:p w14:paraId="3496F63E">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p>
    <w:p w14:paraId="47217469">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技术参数</w:t>
      </w:r>
      <w:r>
        <w:rPr>
          <w:rFonts w:hint="eastAsia" w:ascii="宋体" w:hAnsi="宋体" w:eastAsia="宋体" w:cs="宋体"/>
          <w:b/>
          <w:bCs/>
          <w:color w:val="FF0000"/>
          <w:sz w:val="24"/>
          <w:szCs w:val="24"/>
        </w:rPr>
        <w:t>（加盖合同专用章）</w:t>
      </w:r>
    </w:p>
    <w:p w14:paraId="7C87975D">
      <w:pPr>
        <w:snapToGrid w:val="0"/>
        <w:spacing w:line="264" w:lineRule="auto"/>
        <w:jc w:val="left"/>
        <w:rPr>
          <w:rFonts w:hint="eastAsia" w:ascii="宋体" w:hAnsi="宋体" w:eastAsia="宋体" w:cs="宋体"/>
          <w:b/>
          <w:bCs/>
          <w:sz w:val="24"/>
          <w:szCs w:val="24"/>
        </w:rPr>
      </w:pPr>
    </w:p>
    <w:p w14:paraId="65A56881">
      <w:pPr>
        <w:snapToGrid w:val="0"/>
        <w:spacing w:line="264" w:lineRule="auto"/>
        <w:ind w:firstLine="482" w:firstLineChars="200"/>
        <w:jc w:val="left"/>
        <w:rPr>
          <w:rFonts w:hint="eastAsia" w:ascii="宋体" w:hAnsi="宋体" w:eastAsia="宋体" w:cs="宋体"/>
          <w:b/>
          <w:bCs/>
          <w:sz w:val="24"/>
          <w:szCs w:val="24"/>
        </w:rPr>
      </w:pPr>
    </w:p>
    <w:p w14:paraId="6FA618C1">
      <w:pPr>
        <w:snapToGrid w:val="0"/>
        <w:spacing w:line="264" w:lineRule="auto"/>
        <w:ind w:firstLine="482" w:firstLineChars="200"/>
        <w:jc w:val="left"/>
        <w:rPr>
          <w:rFonts w:hint="eastAsia" w:ascii="宋体" w:hAnsi="宋体" w:eastAsia="宋体" w:cs="宋体"/>
          <w:b/>
          <w:bCs/>
          <w:sz w:val="24"/>
          <w:szCs w:val="24"/>
        </w:rPr>
      </w:pPr>
    </w:p>
    <w:p w14:paraId="39930E53">
      <w:pPr>
        <w:snapToGrid w:val="0"/>
        <w:spacing w:line="264" w:lineRule="auto"/>
        <w:ind w:firstLine="482" w:firstLineChars="200"/>
        <w:jc w:val="left"/>
        <w:rPr>
          <w:rFonts w:hint="eastAsia" w:ascii="宋体" w:hAnsi="宋体" w:eastAsia="宋体" w:cs="宋体"/>
          <w:b/>
          <w:bCs/>
          <w:sz w:val="24"/>
          <w:szCs w:val="24"/>
        </w:rPr>
      </w:pPr>
    </w:p>
    <w:p w14:paraId="5664AC06">
      <w:pPr>
        <w:snapToGrid w:val="0"/>
        <w:spacing w:line="264" w:lineRule="auto"/>
        <w:ind w:firstLine="482" w:firstLineChars="200"/>
        <w:jc w:val="left"/>
        <w:rPr>
          <w:rFonts w:hint="eastAsia" w:ascii="宋体" w:hAnsi="宋体" w:eastAsia="宋体" w:cs="宋体"/>
          <w:b/>
          <w:bCs/>
          <w:sz w:val="24"/>
          <w:szCs w:val="24"/>
        </w:rPr>
      </w:pPr>
    </w:p>
    <w:p w14:paraId="49DAF9E5">
      <w:pPr>
        <w:snapToGrid w:val="0"/>
        <w:spacing w:line="264" w:lineRule="auto"/>
        <w:ind w:firstLine="482" w:firstLineChars="200"/>
        <w:jc w:val="left"/>
        <w:rPr>
          <w:rFonts w:hint="eastAsia" w:ascii="宋体" w:hAnsi="宋体" w:eastAsia="宋体" w:cs="宋体"/>
          <w:b/>
          <w:bCs/>
          <w:sz w:val="24"/>
          <w:szCs w:val="24"/>
        </w:rPr>
      </w:pPr>
    </w:p>
    <w:p w14:paraId="4B53FEB4">
      <w:pPr>
        <w:snapToGrid w:val="0"/>
        <w:spacing w:line="264" w:lineRule="auto"/>
        <w:ind w:firstLine="482" w:firstLineChars="200"/>
        <w:jc w:val="left"/>
        <w:rPr>
          <w:rFonts w:hint="eastAsia" w:ascii="宋体" w:hAnsi="宋体" w:eastAsia="宋体" w:cs="宋体"/>
          <w:b/>
          <w:bCs/>
          <w:sz w:val="24"/>
          <w:szCs w:val="24"/>
        </w:rPr>
      </w:pPr>
    </w:p>
    <w:p w14:paraId="639EA77B">
      <w:pPr>
        <w:snapToGrid w:val="0"/>
        <w:spacing w:line="264" w:lineRule="auto"/>
        <w:ind w:firstLine="482" w:firstLineChars="200"/>
        <w:jc w:val="left"/>
        <w:rPr>
          <w:rFonts w:hint="eastAsia" w:ascii="宋体" w:hAnsi="宋体" w:eastAsia="宋体" w:cs="宋体"/>
          <w:b/>
          <w:bCs/>
          <w:sz w:val="24"/>
          <w:szCs w:val="24"/>
        </w:rPr>
      </w:pPr>
    </w:p>
    <w:p w14:paraId="0A7D25CD">
      <w:pPr>
        <w:snapToGrid w:val="0"/>
        <w:spacing w:line="264" w:lineRule="auto"/>
        <w:ind w:firstLine="482" w:firstLineChars="200"/>
        <w:jc w:val="left"/>
        <w:rPr>
          <w:rFonts w:hint="eastAsia" w:ascii="宋体" w:hAnsi="宋体" w:eastAsia="宋体" w:cs="宋体"/>
          <w:b/>
          <w:bCs/>
          <w:sz w:val="24"/>
          <w:szCs w:val="24"/>
        </w:rPr>
      </w:pPr>
    </w:p>
    <w:p w14:paraId="5ACCA906">
      <w:pPr>
        <w:snapToGrid w:val="0"/>
        <w:spacing w:line="264" w:lineRule="auto"/>
        <w:ind w:firstLine="482" w:firstLineChars="200"/>
        <w:jc w:val="left"/>
        <w:rPr>
          <w:rFonts w:hint="eastAsia" w:ascii="宋体" w:hAnsi="宋体" w:eastAsia="宋体" w:cs="宋体"/>
          <w:b/>
          <w:bCs/>
          <w:sz w:val="24"/>
          <w:szCs w:val="24"/>
        </w:rPr>
      </w:pPr>
    </w:p>
    <w:p w14:paraId="04ECFCC6">
      <w:pPr>
        <w:snapToGrid w:val="0"/>
        <w:spacing w:line="264" w:lineRule="auto"/>
        <w:ind w:firstLine="482" w:firstLineChars="200"/>
        <w:jc w:val="left"/>
        <w:rPr>
          <w:rFonts w:hint="eastAsia" w:ascii="宋体" w:hAnsi="宋体" w:eastAsia="宋体" w:cs="宋体"/>
          <w:b/>
          <w:bCs/>
          <w:sz w:val="24"/>
          <w:szCs w:val="24"/>
        </w:rPr>
      </w:pPr>
    </w:p>
    <w:p w14:paraId="2BE2C572">
      <w:pPr>
        <w:snapToGrid w:val="0"/>
        <w:spacing w:line="264" w:lineRule="auto"/>
        <w:ind w:firstLine="482" w:firstLineChars="200"/>
        <w:jc w:val="left"/>
        <w:rPr>
          <w:rFonts w:hint="eastAsia" w:ascii="宋体" w:hAnsi="宋体" w:eastAsia="宋体" w:cs="宋体"/>
          <w:b/>
          <w:bCs/>
          <w:sz w:val="24"/>
          <w:szCs w:val="24"/>
        </w:rPr>
      </w:pPr>
    </w:p>
    <w:p w14:paraId="53511A2B">
      <w:pPr>
        <w:snapToGrid w:val="0"/>
        <w:spacing w:line="264" w:lineRule="auto"/>
        <w:ind w:firstLine="482" w:firstLineChars="200"/>
        <w:jc w:val="left"/>
        <w:rPr>
          <w:rFonts w:hint="eastAsia" w:ascii="宋体" w:hAnsi="宋体" w:eastAsia="宋体" w:cs="宋体"/>
          <w:b/>
          <w:bCs/>
          <w:sz w:val="24"/>
          <w:szCs w:val="24"/>
        </w:rPr>
      </w:pPr>
    </w:p>
    <w:p w14:paraId="52A78812">
      <w:pPr>
        <w:snapToGrid w:val="0"/>
        <w:spacing w:line="264" w:lineRule="auto"/>
        <w:ind w:firstLine="482" w:firstLineChars="200"/>
        <w:jc w:val="left"/>
        <w:rPr>
          <w:rFonts w:hint="eastAsia" w:ascii="宋体" w:hAnsi="宋体" w:eastAsia="宋体" w:cs="宋体"/>
          <w:b/>
          <w:bCs/>
          <w:sz w:val="24"/>
          <w:szCs w:val="24"/>
        </w:rPr>
      </w:pPr>
    </w:p>
    <w:p w14:paraId="5BEE6A38">
      <w:pPr>
        <w:snapToGrid w:val="0"/>
        <w:spacing w:line="264" w:lineRule="auto"/>
        <w:ind w:firstLine="482" w:firstLineChars="200"/>
        <w:jc w:val="left"/>
        <w:rPr>
          <w:rFonts w:hint="eastAsia" w:ascii="宋体" w:hAnsi="宋体" w:eastAsia="宋体" w:cs="宋体"/>
          <w:b/>
          <w:bCs/>
          <w:sz w:val="24"/>
          <w:szCs w:val="24"/>
        </w:rPr>
      </w:pPr>
    </w:p>
    <w:p w14:paraId="723958D4">
      <w:pPr>
        <w:snapToGrid w:val="0"/>
        <w:spacing w:line="264" w:lineRule="auto"/>
        <w:ind w:firstLine="482" w:firstLineChars="200"/>
        <w:jc w:val="left"/>
        <w:rPr>
          <w:rFonts w:hint="eastAsia" w:ascii="宋体" w:hAnsi="宋体" w:eastAsia="宋体" w:cs="宋体"/>
          <w:b/>
          <w:bCs/>
          <w:sz w:val="24"/>
          <w:szCs w:val="24"/>
        </w:rPr>
      </w:pPr>
    </w:p>
    <w:p w14:paraId="61D60656">
      <w:pPr>
        <w:snapToGrid w:val="0"/>
        <w:spacing w:line="264" w:lineRule="auto"/>
        <w:ind w:firstLine="482" w:firstLineChars="200"/>
        <w:jc w:val="left"/>
        <w:rPr>
          <w:rFonts w:hint="eastAsia" w:ascii="宋体" w:hAnsi="宋体" w:eastAsia="宋体" w:cs="宋体"/>
          <w:b/>
          <w:bCs/>
          <w:sz w:val="24"/>
          <w:szCs w:val="24"/>
        </w:rPr>
      </w:pPr>
    </w:p>
    <w:p w14:paraId="004D2531">
      <w:pPr>
        <w:snapToGrid w:val="0"/>
        <w:spacing w:line="264" w:lineRule="auto"/>
        <w:ind w:firstLine="482" w:firstLineChars="200"/>
        <w:jc w:val="left"/>
        <w:rPr>
          <w:rFonts w:hint="eastAsia" w:ascii="宋体" w:hAnsi="宋体" w:eastAsia="宋体" w:cs="宋体"/>
          <w:b/>
          <w:bCs/>
          <w:sz w:val="24"/>
          <w:szCs w:val="24"/>
        </w:rPr>
      </w:pPr>
    </w:p>
    <w:p w14:paraId="1C3BA8EC">
      <w:pPr>
        <w:snapToGrid w:val="0"/>
        <w:spacing w:line="264" w:lineRule="auto"/>
        <w:ind w:firstLine="482" w:firstLineChars="200"/>
        <w:jc w:val="left"/>
        <w:rPr>
          <w:rFonts w:hint="eastAsia" w:ascii="宋体" w:hAnsi="宋体" w:eastAsia="宋体" w:cs="宋体"/>
          <w:b/>
          <w:bCs/>
          <w:sz w:val="24"/>
          <w:szCs w:val="24"/>
        </w:rPr>
      </w:pPr>
    </w:p>
    <w:p w14:paraId="46201914">
      <w:pPr>
        <w:snapToGrid w:val="0"/>
        <w:spacing w:line="264" w:lineRule="auto"/>
        <w:ind w:firstLine="482" w:firstLineChars="200"/>
        <w:jc w:val="left"/>
        <w:rPr>
          <w:rFonts w:hint="eastAsia" w:ascii="宋体" w:hAnsi="宋体" w:eastAsia="宋体" w:cs="宋体"/>
          <w:b/>
          <w:bCs/>
          <w:sz w:val="24"/>
          <w:szCs w:val="24"/>
        </w:rPr>
      </w:pPr>
    </w:p>
    <w:p w14:paraId="19C17D78">
      <w:pPr>
        <w:snapToGrid w:val="0"/>
        <w:spacing w:line="264" w:lineRule="auto"/>
        <w:ind w:firstLine="482" w:firstLineChars="200"/>
        <w:jc w:val="left"/>
        <w:rPr>
          <w:rFonts w:hint="eastAsia" w:ascii="宋体" w:hAnsi="宋体" w:eastAsia="宋体" w:cs="宋体"/>
          <w:b/>
          <w:bCs/>
          <w:sz w:val="24"/>
          <w:szCs w:val="24"/>
        </w:rPr>
      </w:pPr>
    </w:p>
    <w:p w14:paraId="7F2B720D">
      <w:pPr>
        <w:snapToGrid w:val="0"/>
        <w:spacing w:line="264" w:lineRule="auto"/>
        <w:ind w:firstLine="482" w:firstLineChars="200"/>
        <w:jc w:val="left"/>
        <w:rPr>
          <w:rFonts w:hint="eastAsia" w:ascii="宋体" w:hAnsi="宋体" w:eastAsia="宋体" w:cs="宋体"/>
          <w:b/>
          <w:bCs/>
          <w:sz w:val="24"/>
          <w:szCs w:val="24"/>
        </w:rPr>
      </w:pPr>
    </w:p>
    <w:p w14:paraId="54433B79">
      <w:pPr>
        <w:snapToGrid w:val="0"/>
        <w:spacing w:line="264" w:lineRule="auto"/>
        <w:ind w:firstLine="482" w:firstLineChars="200"/>
        <w:jc w:val="left"/>
        <w:rPr>
          <w:rFonts w:hint="eastAsia" w:ascii="宋体" w:hAnsi="宋体" w:eastAsia="宋体" w:cs="宋体"/>
          <w:b/>
          <w:bCs/>
          <w:sz w:val="24"/>
          <w:szCs w:val="24"/>
        </w:rPr>
      </w:pPr>
    </w:p>
    <w:p w14:paraId="7A1AACEF">
      <w:pPr>
        <w:snapToGrid w:val="0"/>
        <w:spacing w:line="264" w:lineRule="auto"/>
        <w:ind w:firstLine="482" w:firstLineChars="200"/>
        <w:jc w:val="left"/>
        <w:rPr>
          <w:rFonts w:hint="eastAsia" w:ascii="宋体" w:hAnsi="宋体" w:eastAsia="宋体" w:cs="宋体"/>
          <w:b/>
          <w:bCs/>
          <w:sz w:val="24"/>
          <w:szCs w:val="24"/>
        </w:rPr>
      </w:pPr>
    </w:p>
    <w:p w14:paraId="14937DA0">
      <w:pPr>
        <w:snapToGrid w:val="0"/>
        <w:spacing w:line="264" w:lineRule="auto"/>
        <w:ind w:firstLine="482" w:firstLineChars="200"/>
        <w:jc w:val="left"/>
        <w:rPr>
          <w:rFonts w:hint="eastAsia" w:ascii="宋体" w:hAnsi="宋体" w:eastAsia="宋体" w:cs="宋体"/>
          <w:b/>
          <w:bCs/>
          <w:sz w:val="24"/>
          <w:szCs w:val="24"/>
        </w:rPr>
      </w:pPr>
    </w:p>
    <w:p w14:paraId="013D9DCB">
      <w:pPr>
        <w:snapToGrid w:val="0"/>
        <w:spacing w:line="264" w:lineRule="auto"/>
        <w:ind w:firstLine="482" w:firstLineChars="200"/>
        <w:jc w:val="left"/>
        <w:rPr>
          <w:rFonts w:hint="eastAsia" w:ascii="宋体" w:hAnsi="宋体" w:eastAsia="宋体" w:cs="宋体"/>
          <w:b/>
          <w:bCs/>
          <w:sz w:val="24"/>
          <w:szCs w:val="24"/>
        </w:rPr>
      </w:pPr>
    </w:p>
    <w:p w14:paraId="6E6B417E">
      <w:pPr>
        <w:snapToGrid w:val="0"/>
        <w:spacing w:line="264" w:lineRule="auto"/>
        <w:ind w:firstLine="482" w:firstLineChars="200"/>
        <w:jc w:val="left"/>
        <w:rPr>
          <w:rFonts w:hint="eastAsia" w:ascii="宋体" w:hAnsi="宋体" w:eastAsia="宋体" w:cs="宋体"/>
          <w:b/>
          <w:bCs/>
          <w:sz w:val="24"/>
          <w:szCs w:val="24"/>
        </w:rPr>
      </w:pPr>
    </w:p>
    <w:p w14:paraId="1D1AC5BA">
      <w:pPr>
        <w:snapToGrid w:val="0"/>
        <w:spacing w:line="264" w:lineRule="auto"/>
        <w:ind w:firstLine="482" w:firstLineChars="200"/>
        <w:jc w:val="left"/>
        <w:rPr>
          <w:rFonts w:hint="eastAsia" w:ascii="宋体" w:hAnsi="宋体" w:eastAsia="宋体" w:cs="宋体"/>
          <w:b/>
          <w:bCs/>
          <w:sz w:val="24"/>
          <w:szCs w:val="24"/>
        </w:rPr>
      </w:pPr>
    </w:p>
    <w:p w14:paraId="3B5C95F5">
      <w:pPr>
        <w:snapToGrid w:val="0"/>
        <w:spacing w:line="264" w:lineRule="auto"/>
        <w:ind w:firstLine="482" w:firstLineChars="200"/>
        <w:jc w:val="left"/>
        <w:rPr>
          <w:rFonts w:hint="eastAsia" w:ascii="宋体" w:hAnsi="宋体" w:eastAsia="宋体" w:cs="宋体"/>
          <w:b/>
          <w:bCs/>
          <w:sz w:val="24"/>
          <w:szCs w:val="24"/>
        </w:rPr>
      </w:pPr>
    </w:p>
    <w:p w14:paraId="44EBD88A">
      <w:pPr>
        <w:snapToGrid w:val="0"/>
        <w:spacing w:line="264" w:lineRule="auto"/>
        <w:ind w:firstLine="482" w:firstLineChars="200"/>
        <w:jc w:val="left"/>
        <w:rPr>
          <w:rFonts w:hint="eastAsia" w:ascii="宋体" w:hAnsi="宋体" w:eastAsia="宋体" w:cs="宋体"/>
          <w:b/>
          <w:bCs/>
          <w:sz w:val="24"/>
          <w:szCs w:val="24"/>
        </w:rPr>
      </w:pPr>
    </w:p>
    <w:p w14:paraId="22020382">
      <w:pPr>
        <w:snapToGrid w:val="0"/>
        <w:spacing w:line="264" w:lineRule="auto"/>
        <w:ind w:firstLine="482" w:firstLineChars="200"/>
        <w:jc w:val="left"/>
        <w:rPr>
          <w:rFonts w:hint="eastAsia" w:ascii="宋体" w:hAnsi="宋体" w:eastAsia="宋体" w:cs="宋体"/>
          <w:b/>
          <w:bCs/>
          <w:sz w:val="24"/>
          <w:szCs w:val="24"/>
        </w:rPr>
      </w:pPr>
    </w:p>
    <w:p w14:paraId="0186F31A">
      <w:pPr>
        <w:snapToGrid w:val="0"/>
        <w:spacing w:line="264" w:lineRule="auto"/>
        <w:ind w:firstLine="482" w:firstLineChars="200"/>
        <w:jc w:val="left"/>
        <w:rPr>
          <w:rFonts w:hint="eastAsia" w:ascii="宋体" w:hAnsi="宋体" w:eastAsia="宋体" w:cs="宋体"/>
          <w:b/>
          <w:bCs/>
          <w:sz w:val="24"/>
          <w:szCs w:val="24"/>
        </w:rPr>
      </w:pPr>
    </w:p>
    <w:p w14:paraId="56F6694A">
      <w:pPr>
        <w:snapToGrid w:val="0"/>
        <w:spacing w:line="264" w:lineRule="auto"/>
        <w:ind w:firstLine="482" w:firstLineChars="200"/>
        <w:jc w:val="left"/>
        <w:rPr>
          <w:rFonts w:hint="eastAsia" w:ascii="宋体" w:hAnsi="宋体" w:eastAsia="宋体" w:cs="宋体"/>
          <w:b/>
          <w:bCs/>
          <w:sz w:val="24"/>
          <w:szCs w:val="24"/>
        </w:rPr>
      </w:pPr>
    </w:p>
    <w:p w14:paraId="017BD312">
      <w:pPr>
        <w:snapToGrid w:val="0"/>
        <w:spacing w:line="264" w:lineRule="auto"/>
        <w:ind w:firstLine="482" w:firstLineChars="200"/>
        <w:jc w:val="left"/>
        <w:rPr>
          <w:rFonts w:hint="eastAsia" w:ascii="宋体" w:hAnsi="宋体" w:eastAsia="宋体" w:cs="宋体"/>
          <w:b/>
          <w:bCs/>
          <w:sz w:val="24"/>
          <w:szCs w:val="24"/>
        </w:rPr>
      </w:pPr>
    </w:p>
    <w:p w14:paraId="42D848A5">
      <w:pPr>
        <w:snapToGrid w:val="0"/>
        <w:spacing w:line="264" w:lineRule="auto"/>
        <w:ind w:firstLine="482" w:firstLineChars="200"/>
        <w:jc w:val="left"/>
        <w:rPr>
          <w:rFonts w:hint="eastAsia" w:ascii="宋体" w:hAnsi="宋体" w:eastAsia="宋体" w:cs="宋体"/>
          <w:b/>
          <w:bCs/>
          <w:sz w:val="24"/>
          <w:szCs w:val="24"/>
        </w:rPr>
      </w:pPr>
    </w:p>
    <w:p w14:paraId="3533AE94">
      <w:pPr>
        <w:snapToGrid w:val="0"/>
        <w:spacing w:line="264" w:lineRule="auto"/>
        <w:ind w:firstLine="482" w:firstLineChars="200"/>
        <w:jc w:val="left"/>
        <w:rPr>
          <w:rFonts w:hint="eastAsia" w:ascii="宋体" w:hAnsi="宋体" w:eastAsia="宋体" w:cs="宋体"/>
          <w:b/>
          <w:bCs/>
          <w:sz w:val="24"/>
          <w:szCs w:val="24"/>
        </w:rPr>
      </w:pPr>
    </w:p>
    <w:p w14:paraId="10E1E4C0">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p>
    <w:p w14:paraId="10CAD7EA">
      <w:pPr>
        <w:snapToGrid w:val="0"/>
        <w:spacing w:line="264" w:lineRule="auto"/>
        <w:jc w:val="center"/>
        <w:rPr>
          <w:rFonts w:hint="eastAsia" w:ascii="宋体" w:hAnsi="宋体" w:eastAsia="宋体" w:cs="宋体"/>
          <w:b/>
          <w:bCs/>
          <w:color w:val="FF0000"/>
          <w:sz w:val="24"/>
          <w:szCs w:val="24"/>
        </w:rPr>
      </w:pPr>
      <w:r>
        <w:rPr>
          <w:rFonts w:hint="eastAsia" w:ascii="宋体" w:hAnsi="宋体" w:eastAsia="宋体" w:cs="宋体"/>
          <w:b/>
          <w:bCs/>
          <w:sz w:val="24"/>
          <w:szCs w:val="24"/>
        </w:rPr>
        <w:t>基本服务要求承诺函</w:t>
      </w:r>
      <w:r>
        <w:rPr>
          <w:rFonts w:hint="eastAsia" w:ascii="宋体" w:hAnsi="宋体" w:eastAsia="宋体" w:cs="宋体"/>
          <w:b/>
          <w:bCs/>
          <w:color w:val="FF0000"/>
          <w:sz w:val="24"/>
          <w:szCs w:val="24"/>
        </w:rPr>
        <w:t>（加盖合同专用章）</w:t>
      </w:r>
    </w:p>
    <w:p w14:paraId="0D986154">
      <w:pPr>
        <w:snapToGrid w:val="0"/>
        <w:spacing w:line="264" w:lineRule="auto"/>
        <w:jc w:val="center"/>
        <w:rPr>
          <w:rFonts w:hint="eastAsia" w:ascii="宋体" w:hAnsi="宋体" w:eastAsia="宋体" w:cs="宋体"/>
          <w:b/>
          <w:bCs/>
          <w:color w:val="FF0000"/>
          <w:sz w:val="24"/>
          <w:szCs w:val="24"/>
        </w:rPr>
      </w:pPr>
    </w:p>
    <w:p w14:paraId="475564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负责设备的安装、调试、培训等工作。</w:t>
      </w:r>
    </w:p>
    <w:p w14:paraId="77CFCB5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如标配中含有打印机的，要求配置医院现有品牌（所用耗材需与医院现有耗材一致）。</w:t>
      </w:r>
    </w:p>
    <w:p w14:paraId="2AF1855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如具有数据存储功能，产生信息数据的设备必须终生免费开放各类数据接口，包含但不限于DICOM、WEBservice等数据接口格式，以保证与我院现有信息系统的数据对接。</w:t>
      </w:r>
    </w:p>
    <w:p w14:paraId="400FBE7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296ED7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如具有工作站或相关操作系统，其中包含的所有软件，无年度维护费用；软件中涉及到存储病人就诊信息的，无单独就诊卡或芯片类存储介质。 </w:t>
      </w:r>
    </w:p>
    <w:p w14:paraId="6D6916E7">
      <w:pPr>
        <w:snapToGrid w:val="0"/>
        <w:spacing w:line="264" w:lineRule="auto"/>
        <w:ind w:firstLine="482" w:firstLineChars="200"/>
        <w:jc w:val="left"/>
        <w:rPr>
          <w:rFonts w:hint="eastAsia" w:ascii="宋体" w:hAnsi="宋体" w:eastAsia="宋体" w:cs="宋体"/>
          <w:b/>
          <w:bCs/>
          <w:sz w:val="24"/>
          <w:szCs w:val="24"/>
        </w:rPr>
      </w:pPr>
    </w:p>
    <w:p w14:paraId="73B5E9CD">
      <w:pPr>
        <w:snapToGrid w:val="0"/>
        <w:spacing w:line="264" w:lineRule="auto"/>
        <w:ind w:firstLine="482" w:firstLineChars="200"/>
        <w:jc w:val="left"/>
        <w:rPr>
          <w:rFonts w:hint="eastAsia" w:ascii="宋体" w:hAnsi="宋体" w:eastAsia="宋体" w:cs="宋体"/>
          <w:b/>
          <w:bCs/>
          <w:sz w:val="24"/>
          <w:szCs w:val="24"/>
        </w:rPr>
      </w:pPr>
    </w:p>
    <w:p w14:paraId="7E004534">
      <w:pPr>
        <w:snapToGrid w:val="0"/>
        <w:spacing w:line="264" w:lineRule="auto"/>
        <w:ind w:firstLine="482" w:firstLineChars="200"/>
        <w:jc w:val="left"/>
        <w:rPr>
          <w:rFonts w:hint="eastAsia" w:ascii="宋体" w:hAnsi="宋体" w:eastAsia="宋体" w:cs="宋体"/>
          <w:b/>
          <w:bCs/>
          <w:sz w:val="24"/>
          <w:szCs w:val="24"/>
        </w:rPr>
      </w:pPr>
    </w:p>
    <w:p w14:paraId="19AC49D8">
      <w:pPr>
        <w:snapToGrid w:val="0"/>
        <w:spacing w:line="264" w:lineRule="auto"/>
        <w:ind w:firstLine="482" w:firstLineChars="200"/>
        <w:jc w:val="left"/>
        <w:rPr>
          <w:rFonts w:hint="eastAsia" w:ascii="宋体" w:hAnsi="宋体" w:eastAsia="宋体" w:cs="宋体"/>
          <w:b/>
          <w:bCs/>
          <w:sz w:val="24"/>
          <w:szCs w:val="24"/>
        </w:rPr>
      </w:pPr>
    </w:p>
    <w:p w14:paraId="4DB8E18B">
      <w:pPr>
        <w:snapToGrid w:val="0"/>
        <w:spacing w:line="264" w:lineRule="auto"/>
        <w:ind w:firstLine="480" w:firstLineChars="200"/>
        <w:jc w:val="center"/>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（公司名称）</w:t>
      </w:r>
    </w:p>
    <w:p w14:paraId="6EF753BF">
      <w:pPr>
        <w:snapToGrid w:val="0"/>
        <w:spacing w:line="264" w:lineRule="auto"/>
        <w:ind w:firstLine="482" w:firstLineChars="200"/>
        <w:jc w:val="left"/>
        <w:rPr>
          <w:rFonts w:hint="eastAsia" w:ascii="宋体" w:hAnsi="宋体" w:eastAsia="宋体" w:cs="宋体"/>
          <w:b/>
          <w:bCs/>
          <w:sz w:val="24"/>
          <w:szCs w:val="24"/>
        </w:rPr>
      </w:pPr>
    </w:p>
    <w:p w14:paraId="32DFFE79">
      <w:pPr>
        <w:snapToGrid w:val="0"/>
        <w:spacing w:line="264" w:lineRule="auto"/>
        <w:ind w:firstLine="482" w:firstLineChars="200"/>
        <w:jc w:val="left"/>
        <w:rPr>
          <w:rFonts w:hint="eastAsia" w:ascii="宋体" w:hAnsi="宋体" w:eastAsia="宋体" w:cs="宋体"/>
          <w:b/>
          <w:bCs/>
          <w:sz w:val="24"/>
          <w:szCs w:val="24"/>
        </w:rPr>
      </w:pPr>
    </w:p>
    <w:p w14:paraId="69BECCA8">
      <w:pPr>
        <w:snapToGrid w:val="0"/>
        <w:spacing w:line="264" w:lineRule="auto"/>
        <w:ind w:firstLine="482" w:firstLineChars="200"/>
        <w:jc w:val="left"/>
        <w:rPr>
          <w:rFonts w:hint="eastAsia" w:ascii="宋体" w:hAnsi="宋体" w:eastAsia="宋体" w:cs="宋体"/>
          <w:b/>
          <w:bCs/>
          <w:sz w:val="24"/>
          <w:szCs w:val="24"/>
        </w:rPr>
      </w:pPr>
    </w:p>
    <w:p w14:paraId="1E5B3078">
      <w:pPr>
        <w:snapToGrid w:val="0"/>
        <w:spacing w:line="264" w:lineRule="auto"/>
        <w:ind w:firstLine="482" w:firstLineChars="200"/>
        <w:jc w:val="left"/>
        <w:rPr>
          <w:rFonts w:hint="eastAsia" w:ascii="宋体" w:hAnsi="宋体" w:eastAsia="宋体" w:cs="宋体"/>
          <w:b/>
          <w:bCs/>
          <w:sz w:val="24"/>
          <w:szCs w:val="24"/>
        </w:rPr>
      </w:pPr>
    </w:p>
    <w:p w14:paraId="31637F79">
      <w:pPr>
        <w:snapToGrid w:val="0"/>
        <w:spacing w:line="264" w:lineRule="auto"/>
        <w:ind w:firstLine="482" w:firstLineChars="200"/>
        <w:jc w:val="left"/>
        <w:rPr>
          <w:rFonts w:hint="eastAsia" w:ascii="宋体" w:hAnsi="宋体" w:eastAsia="宋体" w:cs="宋体"/>
          <w:b/>
          <w:bCs/>
          <w:sz w:val="24"/>
          <w:szCs w:val="24"/>
        </w:rPr>
      </w:pPr>
    </w:p>
    <w:p w14:paraId="16139CEE">
      <w:pPr>
        <w:snapToGrid w:val="0"/>
        <w:spacing w:line="264" w:lineRule="auto"/>
        <w:ind w:firstLine="482" w:firstLineChars="200"/>
        <w:jc w:val="left"/>
        <w:rPr>
          <w:rFonts w:hint="eastAsia" w:ascii="宋体" w:hAnsi="宋体" w:eastAsia="宋体" w:cs="宋体"/>
          <w:b/>
          <w:bCs/>
          <w:sz w:val="24"/>
          <w:szCs w:val="24"/>
        </w:rPr>
      </w:pPr>
    </w:p>
    <w:p w14:paraId="282FF027">
      <w:pPr>
        <w:snapToGrid w:val="0"/>
        <w:spacing w:line="264" w:lineRule="auto"/>
        <w:ind w:firstLine="482" w:firstLineChars="200"/>
        <w:jc w:val="left"/>
        <w:rPr>
          <w:rFonts w:hint="eastAsia" w:ascii="宋体" w:hAnsi="宋体" w:eastAsia="宋体" w:cs="宋体"/>
          <w:b/>
          <w:bCs/>
          <w:sz w:val="24"/>
          <w:szCs w:val="24"/>
        </w:rPr>
      </w:pPr>
    </w:p>
    <w:p w14:paraId="2C84BD16">
      <w:pPr>
        <w:snapToGrid w:val="0"/>
        <w:spacing w:line="264" w:lineRule="auto"/>
        <w:ind w:firstLine="482" w:firstLineChars="200"/>
        <w:jc w:val="left"/>
        <w:rPr>
          <w:rFonts w:hint="eastAsia" w:ascii="宋体" w:hAnsi="宋体" w:eastAsia="宋体" w:cs="宋体"/>
          <w:b/>
          <w:bCs/>
          <w:sz w:val="24"/>
          <w:szCs w:val="24"/>
        </w:rPr>
      </w:pPr>
    </w:p>
    <w:p w14:paraId="72703D9B">
      <w:pPr>
        <w:snapToGrid w:val="0"/>
        <w:spacing w:line="264" w:lineRule="auto"/>
        <w:ind w:firstLine="482" w:firstLineChars="200"/>
        <w:jc w:val="left"/>
        <w:rPr>
          <w:rFonts w:hint="eastAsia" w:ascii="宋体" w:hAnsi="宋体" w:eastAsia="宋体" w:cs="宋体"/>
          <w:b/>
          <w:bCs/>
          <w:sz w:val="24"/>
          <w:szCs w:val="24"/>
        </w:rPr>
      </w:pPr>
    </w:p>
    <w:p w14:paraId="2B58991B">
      <w:pPr>
        <w:snapToGrid w:val="0"/>
        <w:spacing w:line="264" w:lineRule="auto"/>
        <w:ind w:firstLine="482" w:firstLineChars="200"/>
        <w:jc w:val="left"/>
        <w:rPr>
          <w:rFonts w:hint="eastAsia" w:ascii="宋体" w:hAnsi="宋体" w:eastAsia="宋体" w:cs="宋体"/>
          <w:b/>
          <w:bCs/>
          <w:sz w:val="24"/>
          <w:szCs w:val="24"/>
        </w:rPr>
      </w:pPr>
    </w:p>
    <w:p w14:paraId="7AD64E5A">
      <w:pPr>
        <w:snapToGrid w:val="0"/>
        <w:spacing w:line="264" w:lineRule="auto"/>
        <w:ind w:firstLine="482" w:firstLineChars="200"/>
        <w:jc w:val="left"/>
        <w:rPr>
          <w:rFonts w:hint="eastAsia" w:ascii="宋体" w:hAnsi="宋体" w:eastAsia="宋体" w:cs="宋体"/>
          <w:b/>
          <w:bCs/>
          <w:sz w:val="24"/>
          <w:szCs w:val="24"/>
        </w:rPr>
      </w:pPr>
    </w:p>
    <w:p w14:paraId="0D1C97DC">
      <w:pPr>
        <w:snapToGrid w:val="0"/>
        <w:spacing w:line="264" w:lineRule="auto"/>
        <w:ind w:firstLine="482" w:firstLineChars="200"/>
        <w:jc w:val="left"/>
        <w:rPr>
          <w:rFonts w:hint="eastAsia" w:ascii="宋体" w:hAnsi="宋体" w:eastAsia="宋体" w:cs="宋体"/>
          <w:b/>
          <w:bCs/>
          <w:sz w:val="24"/>
          <w:szCs w:val="24"/>
        </w:rPr>
      </w:pPr>
    </w:p>
    <w:p w14:paraId="1DB10EEA">
      <w:pPr>
        <w:snapToGrid w:val="0"/>
        <w:spacing w:line="264" w:lineRule="auto"/>
        <w:ind w:firstLine="482" w:firstLineChars="200"/>
        <w:jc w:val="left"/>
        <w:rPr>
          <w:rFonts w:hint="eastAsia" w:ascii="宋体" w:hAnsi="宋体" w:eastAsia="宋体" w:cs="宋体"/>
          <w:b/>
          <w:bCs/>
          <w:sz w:val="24"/>
          <w:szCs w:val="24"/>
        </w:rPr>
      </w:pPr>
    </w:p>
    <w:p w14:paraId="0BB38AAB">
      <w:pPr>
        <w:snapToGrid w:val="0"/>
        <w:spacing w:line="264" w:lineRule="auto"/>
        <w:ind w:firstLine="482" w:firstLineChars="200"/>
        <w:jc w:val="left"/>
        <w:rPr>
          <w:rFonts w:hint="eastAsia" w:ascii="宋体" w:hAnsi="宋体" w:eastAsia="宋体" w:cs="宋体"/>
          <w:b/>
          <w:bCs/>
          <w:sz w:val="24"/>
          <w:szCs w:val="24"/>
        </w:rPr>
      </w:pPr>
    </w:p>
    <w:p w14:paraId="661CD548">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p>
    <w:p w14:paraId="400BF269">
      <w:pPr>
        <w:snapToGrid w:val="0"/>
        <w:spacing w:line="264" w:lineRule="auto"/>
        <w:ind w:firstLine="480" w:firstLineChars="200"/>
        <w:jc w:val="left"/>
        <w:rPr>
          <w:rFonts w:hint="eastAsia" w:ascii="宋体" w:hAnsi="宋体" w:eastAsia="宋体" w:cs="宋体"/>
          <w:sz w:val="24"/>
          <w:szCs w:val="24"/>
        </w:rPr>
      </w:pPr>
    </w:p>
    <w:p w14:paraId="66F89E0E">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rPr>
        <w:t>代理商售后服务承诺书</w:t>
      </w:r>
      <w:r>
        <w:rPr>
          <w:rFonts w:hint="eastAsia" w:ascii="宋体" w:hAnsi="宋体" w:eastAsia="宋体" w:cs="宋体"/>
          <w:b/>
          <w:bCs/>
          <w:color w:val="FF0000"/>
          <w:sz w:val="24"/>
          <w:szCs w:val="24"/>
        </w:rPr>
        <w:t>（加盖合同专用章）</w:t>
      </w:r>
    </w:p>
    <w:p w14:paraId="621BF232">
      <w:pPr>
        <w:snapToGrid w:val="0"/>
        <w:spacing w:line="264" w:lineRule="auto"/>
        <w:ind w:firstLine="482" w:firstLineChars="200"/>
        <w:rPr>
          <w:rFonts w:hint="eastAsia" w:ascii="宋体" w:hAnsi="宋体" w:eastAsia="宋体" w:cs="宋体"/>
          <w:b/>
          <w:bCs/>
          <w:color w:val="FF0000"/>
          <w:sz w:val="24"/>
          <w:szCs w:val="24"/>
        </w:rPr>
      </w:pPr>
    </w:p>
    <w:p w14:paraId="5DC02B37">
      <w:pPr>
        <w:snapToGrid w:val="0"/>
        <w:spacing w:line="264"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必须包含以下内容：</w:t>
      </w:r>
    </w:p>
    <w:p w14:paraId="5595EDAB">
      <w:pPr>
        <w:pStyle w:val="12"/>
        <w:numPr>
          <w:ilvl w:val="0"/>
          <w:numId w:val="4"/>
        </w:numPr>
        <w:spacing w:line="760" w:lineRule="exact"/>
        <w:ind w:firstLine="560"/>
        <w:rPr>
          <w:rFonts w:hint="eastAsia" w:ascii="宋体" w:hAnsi="宋体" w:eastAsia="宋体" w:cs="宋体"/>
          <w:sz w:val="24"/>
          <w:szCs w:val="24"/>
        </w:rPr>
      </w:pPr>
      <w:r>
        <w:rPr>
          <w:rFonts w:hint="eastAsia" w:ascii="宋体" w:hAnsi="宋体" w:eastAsia="宋体" w:cs="宋体"/>
          <w:sz w:val="24"/>
          <w:szCs w:val="24"/>
        </w:rPr>
        <w:t>自验收合格之日起计售后服务期，提供整机（包含附件，如稳压电源、脚踏、推车等）原厂保修服务3年，承担售后服务期内设备任何故障产生的费用。（</w:t>
      </w:r>
      <w:r>
        <w:rPr>
          <w:rFonts w:hint="eastAsia" w:ascii="宋体" w:hAnsi="宋体" w:eastAsia="宋体" w:cs="宋体"/>
          <w:color w:val="FF0000"/>
          <w:sz w:val="24"/>
          <w:szCs w:val="24"/>
        </w:rPr>
        <w:t>需提供原厂保修证明</w:t>
      </w:r>
      <w:r>
        <w:rPr>
          <w:rFonts w:hint="eastAsia" w:ascii="宋体" w:hAnsi="宋体" w:eastAsia="宋体" w:cs="宋体"/>
          <w:sz w:val="24"/>
          <w:szCs w:val="24"/>
        </w:rPr>
        <w:t>）。</w:t>
      </w:r>
    </w:p>
    <w:p w14:paraId="7C824E1B">
      <w:pPr>
        <w:pStyle w:val="12"/>
        <w:numPr>
          <w:ilvl w:val="0"/>
          <w:numId w:val="4"/>
        </w:numPr>
        <w:spacing w:line="760" w:lineRule="exact"/>
        <w:ind w:firstLine="560"/>
        <w:rPr>
          <w:rFonts w:hint="eastAsia" w:ascii="宋体" w:hAnsi="宋体" w:eastAsia="宋体" w:cs="宋体"/>
          <w:sz w:val="24"/>
          <w:szCs w:val="24"/>
        </w:rPr>
      </w:pPr>
      <w:r>
        <w:rPr>
          <w:rFonts w:hint="eastAsia" w:ascii="宋体" w:hAnsi="宋体" w:eastAsia="宋体" w:cs="宋体"/>
          <w:sz w:val="24"/>
          <w:szCs w:val="24"/>
        </w:rPr>
        <w:t>售后服务期内每季度定期由专业工程师对设备进行巡检，并出具相应工单交使用科室及医学工程科备案。</w:t>
      </w:r>
      <w:r>
        <w:rPr>
          <w:rFonts w:hint="eastAsia" w:ascii="宋体" w:hAnsi="宋体" w:eastAsia="宋体" w:cs="宋体"/>
          <w:sz w:val="24"/>
          <w:szCs w:val="24"/>
          <w:u w:val="single"/>
        </w:rPr>
        <w:t>（注：以上记录将作为支付设备尾款的依据。）</w:t>
      </w:r>
    </w:p>
    <w:p w14:paraId="1806BCDC">
      <w:pPr>
        <w:snapToGrid w:val="0"/>
        <w:spacing w:line="264" w:lineRule="auto"/>
        <w:rPr>
          <w:rFonts w:hint="eastAsia" w:ascii="宋体" w:hAnsi="宋体" w:eastAsia="宋体" w:cs="宋体"/>
          <w:sz w:val="24"/>
          <w:szCs w:val="24"/>
          <w:lang w:val="en-US" w:eastAsia="zh-CN"/>
        </w:rPr>
      </w:pPr>
    </w:p>
    <w:p w14:paraId="30100BB2">
      <w:pPr>
        <w:snapToGrid w:val="0"/>
        <w:spacing w:line="264" w:lineRule="auto"/>
        <w:rPr>
          <w:rFonts w:hint="eastAsia" w:ascii="宋体" w:hAnsi="宋体" w:eastAsia="宋体" w:cs="宋体"/>
          <w:sz w:val="24"/>
          <w:szCs w:val="24"/>
          <w:lang w:val="en-US" w:eastAsia="zh-CN"/>
        </w:rPr>
      </w:pPr>
    </w:p>
    <w:p w14:paraId="4A36FDD1">
      <w:pPr>
        <w:snapToGrid w:val="0"/>
        <w:spacing w:line="264" w:lineRule="auto"/>
        <w:rPr>
          <w:rFonts w:hint="eastAsia" w:ascii="宋体" w:hAnsi="宋体" w:eastAsia="宋体" w:cs="宋体"/>
          <w:sz w:val="24"/>
          <w:szCs w:val="24"/>
          <w:lang w:val="en-US" w:eastAsia="zh-CN"/>
        </w:rPr>
      </w:pPr>
    </w:p>
    <w:p w14:paraId="6FF2072D">
      <w:pPr>
        <w:snapToGrid w:val="0"/>
        <w:spacing w:line="264" w:lineRule="auto"/>
        <w:rPr>
          <w:rFonts w:hint="eastAsia" w:ascii="宋体" w:hAnsi="宋体" w:eastAsia="宋体" w:cs="宋体"/>
          <w:sz w:val="24"/>
          <w:szCs w:val="24"/>
          <w:lang w:val="en-US" w:eastAsia="zh-CN"/>
        </w:rPr>
      </w:pPr>
    </w:p>
    <w:p w14:paraId="199DCB21">
      <w:pPr>
        <w:snapToGrid w:val="0"/>
        <w:spacing w:line="264" w:lineRule="auto"/>
        <w:rPr>
          <w:rFonts w:hint="eastAsia" w:ascii="宋体" w:hAnsi="宋体" w:eastAsia="宋体" w:cs="宋体"/>
          <w:sz w:val="24"/>
          <w:szCs w:val="24"/>
          <w:lang w:val="en-US" w:eastAsia="zh-CN"/>
        </w:rPr>
      </w:pPr>
    </w:p>
    <w:p w14:paraId="62A4D963">
      <w:pPr>
        <w:snapToGrid w:val="0"/>
        <w:spacing w:line="264" w:lineRule="auto"/>
        <w:rPr>
          <w:rFonts w:hint="eastAsia" w:ascii="宋体" w:hAnsi="宋体" w:eastAsia="宋体" w:cs="宋体"/>
          <w:sz w:val="24"/>
          <w:szCs w:val="24"/>
          <w:lang w:val="en-US" w:eastAsia="zh-CN"/>
        </w:rPr>
      </w:pPr>
    </w:p>
    <w:p w14:paraId="3E3261EE">
      <w:pPr>
        <w:snapToGrid w:val="0"/>
        <w:spacing w:line="264" w:lineRule="auto"/>
        <w:rPr>
          <w:rFonts w:hint="eastAsia" w:ascii="宋体" w:hAnsi="宋体" w:eastAsia="宋体" w:cs="宋体"/>
          <w:sz w:val="24"/>
          <w:szCs w:val="24"/>
          <w:lang w:val="en-US" w:eastAsia="zh-CN"/>
        </w:rPr>
      </w:pPr>
    </w:p>
    <w:p w14:paraId="26277738">
      <w:pPr>
        <w:snapToGrid w:val="0"/>
        <w:spacing w:line="264" w:lineRule="auto"/>
        <w:rPr>
          <w:rFonts w:hint="eastAsia" w:ascii="宋体" w:hAnsi="宋体" w:eastAsia="宋体" w:cs="宋体"/>
          <w:sz w:val="24"/>
          <w:szCs w:val="24"/>
          <w:lang w:val="en-US" w:eastAsia="zh-CN"/>
        </w:rPr>
      </w:pPr>
    </w:p>
    <w:p w14:paraId="77C38D56">
      <w:pPr>
        <w:snapToGrid w:val="0"/>
        <w:spacing w:line="264" w:lineRule="auto"/>
        <w:rPr>
          <w:rFonts w:hint="eastAsia" w:ascii="宋体" w:hAnsi="宋体" w:eastAsia="宋体" w:cs="宋体"/>
          <w:sz w:val="24"/>
          <w:szCs w:val="24"/>
          <w:lang w:val="en-US" w:eastAsia="zh-CN"/>
        </w:rPr>
      </w:pPr>
    </w:p>
    <w:p w14:paraId="46139AC8">
      <w:pPr>
        <w:snapToGrid w:val="0"/>
        <w:spacing w:line="264" w:lineRule="auto"/>
        <w:rPr>
          <w:rFonts w:hint="eastAsia" w:ascii="宋体" w:hAnsi="宋体" w:eastAsia="宋体" w:cs="宋体"/>
          <w:sz w:val="24"/>
          <w:szCs w:val="24"/>
          <w:lang w:val="en-US" w:eastAsia="zh-CN"/>
        </w:rPr>
      </w:pPr>
    </w:p>
    <w:p w14:paraId="34B61BB5">
      <w:pPr>
        <w:snapToGrid w:val="0"/>
        <w:spacing w:line="264" w:lineRule="auto"/>
        <w:rPr>
          <w:rFonts w:hint="eastAsia" w:ascii="宋体" w:hAnsi="宋体" w:eastAsia="宋体" w:cs="宋体"/>
          <w:sz w:val="24"/>
          <w:szCs w:val="24"/>
          <w:lang w:val="en-US" w:eastAsia="zh-CN"/>
        </w:rPr>
      </w:pPr>
    </w:p>
    <w:p w14:paraId="11A9169A">
      <w:pPr>
        <w:snapToGrid w:val="0"/>
        <w:spacing w:line="264" w:lineRule="auto"/>
        <w:rPr>
          <w:rFonts w:hint="eastAsia" w:ascii="宋体" w:hAnsi="宋体" w:eastAsia="宋体" w:cs="宋体"/>
          <w:sz w:val="24"/>
          <w:szCs w:val="24"/>
          <w:lang w:val="en-US" w:eastAsia="zh-CN"/>
        </w:rPr>
      </w:pPr>
    </w:p>
    <w:p w14:paraId="56B5D0D7">
      <w:pPr>
        <w:snapToGrid w:val="0"/>
        <w:spacing w:line="264" w:lineRule="auto"/>
        <w:rPr>
          <w:rFonts w:hint="eastAsia" w:ascii="宋体" w:hAnsi="宋体" w:eastAsia="宋体" w:cs="宋体"/>
          <w:sz w:val="24"/>
          <w:szCs w:val="24"/>
          <w:lang w:val="en-US" w:eastAsia="zh-CN"/>
        </w:rPr>
      </w:pPr>
    </w:p>
    <w:p w14:paraId="4AFAA9E4">
      <w:pPr>
        <w:snapToGrid w:val="0"/>
        <w:spacing w:line="264" w:lineRule="auto"/>
        <w:rPr>
          <w:rFonts w:hint="eastAsia" w:ascii="宋体" w:hAnsi="宋体" w:eastAsia="宋体" w:cs="宋体"/>
          <w:sz w:val="24"/>
          <w:szCs w:val="24"/>
          <w:lang w:val="en-US" w:eastAsia="zh-CN"/>
        </w:rPr>
      </w:pPr>
    </w:p>
    <w:p w14:paraId="41727E79">
      <w:pPr>
        <w:snapToGrid w:val="0"/>
        <w:spacing w:line="264" w:lineRule="auto"/>
        <w:rPr>
          <w:rFonts w:hint="eastAsia" w:ascii="宋体" w:hAnsi="宋体" w:eastAsia="宋体" w:cs="宋体"/>
          <w:sz w:val="24"/>
          <w:szCs w:val="24"/>
          <w:lang w:val="en-US" w:eastAsia="zh-CN"/>
        </w:rPr>
      </w:pPr>
    </w:p>
    <w:p w14:paraId="778BFF9B">
      <w:pPr>
        <w:snapToGrid w:val="0"/>
        <w:spacing w:line="264" w:lineRule="auto"/>
        <w:rPr>
          <w:rFonts w:hint="eastAsia" w:ascii="宋体" w:hAnsi="宋体" w:eastAsia="宋体" w:cs="宋体"/>
          <w:sz w:val="24"/>
          <w:szCs w:val="24"/>
          <w:lang w:val="en-US" w:eastAsia="zh-CN"/>
        </w:rPr>
      </w:pPr>
    </w:p>
    <w:p w14:paraId="4C53DAA0">
      <w:pPr>
        <w:snapToGrid w:val="0"/>
        <w:spacing w:line="264" w:lineRule="auto"/>
        <w:rPr>
          <w:rFonts w:hint="eastAsia" w:ascii="宋体" w:hAnsi="宋体" w:eastAsia="宋体" w:cs="宋体"/>
          <w:sz w:val="24"/>
          <w:szCs w:val="24"/>
          <w:lang w:val="en-US" w:eastAsia="zh-CN"/>
        </w:rPr>
      </w:pPr>
    </w:p>
    <w:p w14:paraId="4C0025FB">
      <w:pPr>
        <w:snapToGrid w:val="0"/>
        <w:spacing w:line="264" w:lineRule="auto"/>
        <w:rPr>
          <w:rFonts w:hint="eastAsia" w:ascii="宋体" w:hAnsi="宋体" w:eastAsia="宋体" w:cs="宋体"/>
          <w:sz w:val="24"/>
          <w:szCs w:val="24"/>
          <w:lang w:val="en-US" w:eastAsia="zh-CN"/>
        </w:rPr>
      </w:pPr>
    </w:p>
    <w:p w14:paraId="50A5CAB0">
      <w:pPr>
        <w:snapToGrid w:val="0"/>
        <w:spacing w:line="264" w:lineRule="auto"/>
        <w:rPr>
          <w:rFonts w:hint="eastAsia" w:ascii="宋体" w:hAnsi="宋体" w:eastAsia="宋体" w:cs="宋体"/>
          <w:sz w:val="24"/>
          <w:szCs w:val="24"/>
          <w:lang w:val="en-US" w:eastAsia="zh-CN"/>
        </w:rPr>
      </w:pPr>
    </w:p>
    <w:p w14:paraId="772BB9EF">
      <w:pPr>
        <w:snapToGrid w:val="0"/>
        <w:spacing w:line="264" w:lineRule="auto"/>
        <w:rPr>
          <w:rFonts w:hint="eastAsia" w:ascii="宋体" w:hAnsi="宋体" w:eastAsia="宋体" w:cs="宋体"/>
          <w:sz w:val="24"/>
          <w:szCs w:val="24"/>
          <w:lang w:val="en-US" w:eastAsia="zh-CN"/>
        </w:rPr>
      </w:pPr>
    </w:p>
    <w:p w14:paraId="45E7BB0A">
      <w:pPr>
        <w:snapToGrid w:val="0"/>
        <w:spacing w:line="264" w:lineRule="auto"/>
        <w:ind w:firstLine="480" w:firstLineChars="200"/>
        <w:rPr>
          <w:rFonts w:hint="eastAsia" w:ascii="宋体" w:hAnsi="宋体" w:eastAsia="宋体" w:cs="宋体"/>
          <w:sz w:val="24"/>
          <w:szCs w:val="24"/>
        </w:rPr>
      </w:pPr>
    </w:p>
    <w:p w14:paraId="550DFA1A">
      <w:pPr>
        <w:snapToGrid w:val="0"/>
        <w:spacing w:line="264" w:lineRule="auto"/>
        <w:ind w:firstLine="482" w:firstLineChars="200"/>
        <w:rPr>
          <w:rFonts w:hint="eastAsia" w:ascii="宋体" w:hAnsi="宋体" w:eastAsia="宋体" w:cs="宋体"/>
          <w:b/>
          <w:bCs/>
          <w:sz w:val="24"/>
          <w:szCs w:val="24"/>
        </w:rPr>
      </w:pPr>
    </w:p>
    <w:p w14:paraId="2814E4C4">
      <w:pPr>
        <w:snapToGrid w:val="0"/>
        <w:spacing w:line="264" w:lineRule="auto"/>
        <w:ind w:firstLine="482" w:firstLineChars="200"/>
        <w:rPr>
          <w:rFonts w:hint="eastAsia" w:ascii="宋体" w:hAnsi="宋体" w:eastAsia="宋体" w:cs="宋体"/>
          <w:b/>
          <w:bCs/>
          <w:sz w:val="24"/>
          <w:szCs w:val="24"/>
        </w:rPr>
      </w:pPr>
    </w:p>
    <w:p w14:paraId="474143C2">
      <w:pPr>
        <w:snapToGrid w:val="0"/>
        <w:spacing w:line="264"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p>
    <w:p w14:paraId="2A071C58">
      <w:pPr>
        <w:snapToGrid w:val="0"/>
        <w:spacing w:line="264" w:lineRule="auto"/>
        <w:ind w:firstLine="480" w:firstLineChars="200"/>
        <w:jc w:val="left"/>
        <w:rPr>
          <w:rFonts w:hint="eastAsia" w:ascii="宋体" w:hAnsi="宋体" w:eastAsia="宋体" w:cs="宋体"/>
          <w:sz w:val="24"/>
          <w:szCs w:val="24"/>
        </w:rPr>
      </w:pPr>
    </w:p>
    <w:p w14:paraId="3F8D468B">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rPr>
        <w:t>厂家售后服务承诺书</w:t>
      </w:r>
      <w:r>
        <w:rPr>
          <w:rFonts w:hint="eastAsia" w:ascii="宋体" w:hAnsi="宋体" w:eastAsia="宋体" w:cs="宋体"/>
          <w:b/>
          <w:bCs/>
          <w:color w:val="FF0000"/>
          <w:sz w:val="24"/>
          <w:szCs w:val="24"/>
        </w:rPr>
        <w:t>（加盖合同专用章）</w:t>
      </w:r>
    </w:p>
    <w:p w14:paraId="7ED2CC5A">
      <w:pPr>
        <w:snapToGrid w:val="0"/>
        <w:spacing w:line="264"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w:t>
      </w:r>
    </w:p>
    <w:p w14:paraId="4BDF92BF">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lang w:val="en-US" w:eastAsia="zh-CN"/>
        </w:rPr>
        <w:t>培训计划</w:t>
      </w:r>
      <w:r>
        <w:rPr>
          <w:rFonts w:hint="eastAsia" w:ascii="宋体" w:hAnsi="宋体" w:eastAsia="宋体" w:cs="宋体"/>
          <w:b/>
          <w:bCs/>
          <w:color w:val="FF0000"/>
          <w:sz w:val="24"/>
          <w:szCs w:val="24"/>
        </w:rPr>
        <w:t>（加盖合同专用章）</w:t>
      </w:r>
    </w:p>
    <w:p w14:paraId="276A6E28">
      <w:pPr>
        <w:snapToGrid w:val="0"/>
        <w:spacing w:line="264" w:lineRule="auto"/>
        <w:ind w:firstLine="480" w:firstLineChars="200"/>
        <w:jc w:val="center"/>
        <w:rPr>
          <w:rFonts w:hint="eastAsia" w:ascii="宋体" w:hAnsi="宋体" w:eastAsia="宋体" w:cs="宋体"/>
          <w:sz w:val="24"/>
          <w:szCs w:val="24"/>
          <w:lang w:val="en-US" w:eastAsia="zh-CN"/>
        </w:rPr>
      </w:pPr>
    </w:p>
    <w:p w14:paraId="21F191A2">
      <w:pPr>
        <w:snapToGrid w:val="0"/>
        <w:spacing w:line="264" w:lineRule="auto"/>
        <w:ind w:firstLine="480" w:firstLineChars="200"/>
        <w:jc w:val="left"/>
        <w:rPr>
          <w:rFonts w:hint="eastAsia" w:ascii="宋体" w:hAnsi="宋体" w:eastAsia="宋体" w:cs="宋体"/>
          <w:sz w:val="24"/>
          <w:szCs w:val="24"/>
        </w:rPr>
      </w:pPr>
    </w:p>
    <w:p w14:paraId="60F548F4">
      <w:pPr>
        <w:snapToGrid w:val="0"/>
        <w:spacing w:line="264" w:lineRule="auto"/>
        <w:ind w:firstLine="480" w:firstLineChars="200"/>
        <w:jc w:val="left"/>
        <w:rPr>
          <w:rFonts w:hint="eastAsia" w:ascii="宋体" w:hAnsi="宋体" w:eastAsia="宋体" w:cs="宋体"/>
          <w:sz w:val="24"/>
          <w:szCs w:val="24"/>
        </w:rPr>
      </w:pPr>
    </w:p>
    <w:p w14:paraId="0F7564D4">
      <w:pPr>
        <w:snapToGrid w:val="0"/>
        <w:spacing w:line="264" w:lineRule="auto"/>
        <w:ind w:firstLine="480" w:firstLineChars="200"/>
        <w:jc w:val="left"/>
        <w:rPr>
          <w:rFonts w:hint="eastAsia" w:ascii="宋体" w:hAnsi="宋体" w:eastAsia="宋体" w:cs="宋体"/>
          <w:sz w:val="24"/>
          <w:szCs w:val="24"/>
        </w:rPr>
      </w:pPr>
    </w:p>
    <w:p w14:paraId="4FE67AA6">
      <w:pPr>
        <w:snapToGrid w:val="0"/>
        <w:spacing w:line="264" w:lineRule="auto"/>
        <w:ind w:firstLine="480" w:firstLineChars="200"/>
        <w:jc w:val="left"/>
        <w:rPr>
          <w:rFonts w:hint="eastAsia" w:ascii="宋体" w:hAnsi="宋体" w:eastAsia="宋体" w:cs="宋体"/>
          <w:sz w:val="24"/>
          <w:szCs w:val="24"/>
        </w:rPr>
      </w:pPr>
    </w:p>
    <w:p w14:paraId="02B6596E">
      <w:pPr>
        <w:snapToGrid w:val="0"/>
        <w:spacing w:line="264" w:lineRule="auto"/>
        <w:ind w:firstLine="480" w:firstLineChars="200"/>
        <w:jc w:val="left"/>
        <w:rPr>
          <w:rFonts w:hint="eastAsia" w:ascii="宋体" w:hAnsi="宋体" w:eastAsia="宋体" w:cs="宋体"/>
          <w:sz w:val="24"/>
          <w:szCs w:val="24"/>
        </w:rPr>
      </w:pPr>
    </w:p>
    <w:p w14:paraId="546CE10E">
      <w:pPr>
        <w:snapToGrid w:val="0"/>
        <w:spacing w:line="264" w:lineRule="auto"/>
        <w:ind w:firstLine="480" w:firstLineChars="200"/>
        <w:jc w:val="left"/>
        <w:rPr>
          <w:rFonts w:hint="eastAsia" w:ascii="宋体" w:hAnsi="宋体" w:eastAsia="宋体" w:cs="宋体"/>
          <w:sz w:val="24"/>
          <w:szCs w:val="24"/>
        </w:rPr>
      </w:pPr>
    </w:p>
    <w:p w14:paraId="6A86BE95">
      <w:pPr>
        <w:snapToGrid w:val="0"/>
        <w:spacing w:line="264" w:lineRule="auto"/>
        <w:ind w:firstLine="480" w:firstLineChars="200"/>
        <w:jc w:val="left"/>
        <w:rPr>
          <w:rFonts w:hint="eastAsia" w:ascii="宋体" w:hAnsi="宋体" w:eastAsia="宋体" w:cs="宋体"/>
          <w:sz w:val="24"/>
          <w:szCs w:val="24"/>
        </w:rPr>
      </w:pPr>
    </w:p>
    <w:p w14:paraId="747F7BF2">
      <w:pPr>
        <w:snapToGrid w:val="0"/>
        <w:spacing w:line="264" w:lineRule="auto"/>
        <w:ind w:firstLine="480" w:firstLineChars="200"/>
        <w:jc w:val="left"/>
        <w:rPr>
          <w:rFonts w:hint="eastAsia" w:ascii="宋体" w:hAnsi="宋体" w:eastAsia="宋体" w:cs="宋体"/>
          <w:sz w:val="24"/>
          <w:szCs w:val="24"/>
        </w:rPr>
      </w:pPr>
    </w:p>
    <w:p w14:paraId="5B3F1D8D">
      <w:pPr>
        <w:snapToGrid w:val="0"/>
        <w:spacing w:line="264" w:lineRule="auto"/>
        <w:ind w:firstLine="480" w:firstLineChars="200"/>
        <w:jc w:val="left"/>
        <w:rPr>
          <w:rFonts w:hint="eastAsia" w:ascii="宋体" w:hAnsi="宋体" w:eastAsia="宋体" w:cs="宋体"/>
          <w:sz w:val="24"/>
          <w:szCs w:val="24"/>
        </w:rPr>
      </w:pPr>
    </w:p>
    <w:p w14:paraId="3E2E72F1">
      <w:pPr>
        <w:snapToGrid w:val="0"/>
        <w:spacing w:line="264" w:lineRule="auto"/>
        <w:ind w:firstLine="480" w:firstLineChars="200"/>
        <w:jc w:val="left"/>
        <w:rPr>
          <w:rFonts w:hint="eastAsia" w:ascii="宋体" w:hAnsi="宋体" w:eastAsia="宋体" w:cs="宋体"/>
          <w:sz w:val="24"/>
          <w:szCs w:val="24"/>
        </w:rPr>
      </w:pPr>
    </w:p>
    <w:p w14:paraId="212DF5B6">
      <w:pPr>
        <w:snapToGrid w:val="0"/>
        <w:spacing w:line="264" w:lineRule="auto"/>
        <w:ind w:firstLine="480" w:firstLineChars="200"/>
        <w:jc w:val="left"/>
        <w:rPr>
          <w:rFonts w:hint="eastAsia" w:ascii="宋体" w:hAnsi="宋体" w:eastAsia="宋体" w:cs="宋体"/>
          <w:sz w:val="24"/>
          <w:szCs w:val="24"/>
        </w:rPr>
      </w:pPr>
    </w:p>
    <w:p w14:paraId="5DC54E29">
      <w:pPr>
        <w:snapToGrid w:val="0"/>
        <w:spacing w:line="264" w:lineRule="auto"/>
        <w:ind w:firstLine="480" w:firstLineChars="200"/>
        <w:jc w:val="left"/>
        <w:rPr>
          <w:rFonts w:hint="eastAsia" w:ascii="宋体" w:hAnsi="宋体" w:eastAsia="宋体" w:cs="宋体"/>
          <w:sz w:val="24"/>
          <w:szCs w:val="24"/>
        </w:rPr>
      </w:pPr>
    </w:p>
    <w:p w14:paraId="2B963005">
      <w:pPr>
        <w:snapToGrid w:val="0"/>
        <w:spacing w:line="264" w:lineRule="auto"/>
        <w:ind w:firstLine="480" w:firstLineChars="200"/>
        <w:jc w:val="left"/>
        <w:rPr>
          <w:rFonts w:hint="eastAsia" w:ascii="宋体" w:hAnsi="宋体" w:eastAsia="宋体" w:cs="宋体"/>
          <w:sz w:val="24"/>
          <w:szCs w:val="24"/>
        </w:rPr>
      </w:pPr>
    </w:p>
    <w:p w14:paraId="7CE37A03">
      <w:pPr>
        <w:snapToGrid w:val="0"/>
        <w:spacing w:line="264" w:lineRule="auto"/>
        <w:ind w:firstLine="480" w:firstLineChars="200"/>
        <w:jc w:val="left"/>
        <w:rPr>
          <w:rFonts w:hint="eastAsia" w:ascii="宋体" w:hAnsi="宋体" w:eastAsia="宋体" w:cs="宋体"/>
          <w:sz w:val="24"/>
          <w:szCs w:val="24"/>
        </w:rPr>
      </w:pPr>
    </w:p>
    <w:p w14:paraId="58CCB379">
      <w:pPr>
        <w:snapToGrid w:val="0"/>
        <w:spacing w:line="264" w:lineRule="auto"/>
        <w:ind w:firstLine="480" w:firstLineChars="200"/>
        <w:jc w:val="left"/>
        <w:rPr>
          <w:rFonts w:hint="eastAsia" w:ascii="宋体" w:hAnsi="宋体" w:eastAsia="宋体" w:cs="宋体"/>
          <w:sz w:val="24"/>
          <w:szCs w:val="24"/>
        </w:rPr>
      </w:pPr>
    </w:p>
    <w:p w14:paraId="6833AB27">
      <w:pPr>
        <w:snapToGrid w:val="0"/>
        <w:spacing w:line="264" w:lineRule="auto"/>
        <w:ind w:firstLine="480" w:firstLineChars="200"/>
        <w:jc w:val="left"/>
        <w:rPr>
          <w:rFonts w:hint="eastAsia" w:ascii="宋体" w:hAnsi="宋体" w:eastAsia="宋体" w:cs="宋体"/>
          <w:sz w:val="24"/>
          <w:szCs w:val="24"/>
        </w:rPr>
      </w:pPr>
    </w:p>
    <w:p w14:paraId="78223C2F">
      <w:pPr>
        <w:snapToGrid w:val="0"/>
        <w:spacing w:line="264" w:lineRule="auto"/>
        <w:ind w:firstLine="480" w:firstLineChars="200"/>
        <w:jc w:val="left"/>
        <w:rPr>
          <w:rFonts w:hint="eastAsia" w:ascii="宋体" w:hAnsi="宋体" w:eastAsia="宋体" w:cs="宋体"/>
          <w:sz w:val="24"/>
          <w:szCs w:val="24"/>
        </w:rPr>
      </w:pPr>
    </w:p>
    <w:p w14:paraId="5FBC8C67">
      <w:pPr>
        <w:snapToGrid w:val="0"/>
        <w:spacing w:line="264" w:lineRule="auto"/>
        <w:ind w:firstLine="480" w:firstLineChars="200"/>
        <w:jc w:val="left"/>
        <w:rPr>
          <w:rFonts w:hint="eastAsia" w:ascii="宋体" w:hAnsi="宋体" w:eastAsia="宋体" w:cs="宋体"/>
          <w:sz w:val="24"/>
          <w:szCs w:val="24"/>
        </w:rPr>
      </w:pPr>
    </w:p>
    <w:p w14:paraId="42EF3CBF">
      <w:pPr>
        <w:snapToGrid w:val="0"/>
        <w:spacing w:line="264" w:lineRule="auto"/>
        <w:ind w:firstLine="480" w:firstLineChars="200"/>
        <w:jc w:val="left"/>
        <w:rPr>
          <w:rFonts w:hint="eastAsia" w:ascii="宋体" w:hAnsi="宋体" w:eastAsia="宋体" w:cs="宋体"/>
          <w:sz w:val="24"/>
          <w:szCs w:val="24"/>
        </w:rPr>
      </w:pPr>
    </w:p>
    <w:p w14:paraId="3BEE5C27">
      <w:pPr>
        <w:snapToGrid w:val="0"/>
        <w:spacing w:line="264" w:lineRule="auto"/>
        <w:ind w:firstLine="480" w:firstLineChars="200"/>
        <w:jc w:val="left"/>
        <w:rPr>
          <w:rFonts w:hint="eastAsia" w:ascii="宋体" w:hAnsi="宋体" w:eastAsia="宋体" w:cs="宋体"/>
          <w:sz w:val="24"/>
          <w:szCs w:val="24"/>
        </w:rPr>
      </w:pPr>
    </w:p>
    <w:p w14:paraId="64F7B5CE">
      <w:pPr>
        <w:snapToGrid w:val="0"/>
        <w:spacing w:line="264" w:lineRule="auto"/>
        <w:ind w:firstLine="480" w:firstLineChars="200"/>
        <w:jc w:val="left"/>
        <w:rPr>
          <w:rFonts w:hint="eastAsia" w:ascii="宋体" w:hAnsi="宋体" w:eastAsia="宋体" w:cs="宋体"/>
          <w:sz w:val="24"/>
          <w:szCs w:val="24"/>
        </w:rPr>
      </w:pPr>
    </w:p>
    <w:p w14:paraId="44602AB4">
      <w:pPr>
        <w:snapToGrid w:val="0"/>
        <w:spacing w:line="264" w:lineRule="auto"/>
        <w:ind w:firstLine="480" w:firstLineChars="200"/>
        <w:jc w:val="left"/>
        <w:rPr>
          <w:rFonts w:hint="eastAsia" w:ascii="宋体" w:hAnsi="宋体" w:eastAsia="宋体" w:cs="宋体"/>
          <w:sz w:val="24"/>
          <w:szCs w:val="24"/>
        </w:rPr>
      </w:pPr>
    </w:p>
    <w:p w14:paraId="20BE3D42">
      <w:pPr>
        <w:snapToGrid w:val="0"/>
        <w:spacing w:line="264" w:lineRule="auto"/>
        <w:ind w:firstLine="480" w:firstLineChars="200"/>
        <w:jc w:val="left"/>
        <w:rPr>
          <w:rFonts w:hint="eastAsia" w:ascii="宋体" w:hAnsi="宋体" w:eastAsia="宋体" w:cs="宋体"/>
          <w:sz w:val="24"/>
          <w:szCs w:val="24"/>
        </w:rPr>
      </w:pPr>
    </w:p>
    <w:p w14:paraId="5BD43754">
      <w:pPr>
        <w:snapToGrid w:val="0"/>
        <w:spacing w:line="264" w:lineRule="auto"/>
        <w:ind w:firstLine="480" w:firstLineChars="200"/>
        <w:jc w:val="left"/>
        <w:rPr>
          <w:rFonts w:hint="eastAsia" w:ascii="宋体" w:hAnsi="宋体" w:eastAsia="宋体" w:cs="宋体"/>
          <w:sz w:val="24"/>
          <w:szCs w:val="24"/>
        </w:rPr>
      </w:pPr>
    </w:p>
    <w:p w14:paraId="36677C83">
      <w:pPr>
        <w:snapToGrid w:val="0"/>
        <w:spacing w:line="264" w:lineRule="auto"/>
        <w:ind w:firstLine="480" w:firstLineChars="200"/>
        <w:jc w:val="left"/>
        <w:rPr>
          <w:rFonts w:hint="eastAsia" w:ascii="宋体" w:hAnsi="宋体" w:eastAsia="宋体" w:cs="宋体"/>
          <w:sz w:val="24"/>
          <w:szCs w:val="24"/>
        </w:rPr>
      </w:pPr>
    </w:p>
    <w:p w14:paraId="3763EE9D">
      <w:pPr>
        <w:snapToGrid w:val="0"/>
        <w:spacing w:line="264" w:lineRule="auto"/>
        <w:ind w:firstLine="480" w:firstLineChars="200"/>
        <w:jc w:val="left"/>
        <w:rPr>
          <w:rFonts w:hint="eastAsia" w:ascii="宋体" w:hAnsi="宋体" w:eastAsia="宋体" w:cs="宋体"/>
          <w:sz w:val="24"/>
          <w:szCs w:val="24"/>
        </w:rPr>
      </w:pPr>
    </w:p>
    <w:p w14:paraId="2057EF9A">
      <w:pPr>
        <w:snapToGrid w:val="0"/>
        <w:spacing w:line="264" w:lineRule="auto"/>
        <w:ind w:firstLine="480" w:firstLineChars="200"/>
        <w:jc w:val="left"/>
        <w:rPr>
          <w:rFonts w:hint="eastAsia" w:ascii="宋体" w:hAnsi="宋体" w:eastAsia="宋体" w:cs="宋体"/>
          <w:sz w:val="24"/>
          <w:szCs w:val="24"/>
        </w:rPr>
      </w:pPr>
    </w:p>
    <w:p w14:paraId="147BEAF0">
      <w:pPr>
        <w:snapToGrid w:val="0"/>
        <w:spacing w:line="264" w:lineRule="auto"/>
        <w:ind w:firstLine="480" w:firstLineChars="200"/>
        <w:jc w:val="left"/>
        <w:rPr>
          <w:rFonts w:hint="eastAsia" w:ascii="宋体" w:hAnsi="宋体" w:eastAsia="宋体" w:cs="宋体"/>
          <w:sz w:val="24"/>
          <w:szCs w:val="24"/>
        </w:rPr>
      </w:pPr>
    </w:p>
    <w:p w14:paraId="12A93494">
      <w:pPr>
        <w:snapToGrid w:val="0"/>
        <w:spacing w:line="264" w:lineRule="auto"/>
        <w:ind w:firstLine="480" w:firstLineChars="200"/>
        <w:jc w:val="left"/>
        <w:rPr>
          <w:rFonts w:hint="eastAsia" w:ascii="宋体" w:hAnsi="宋体" w:eastAsia="宋体" w:cs="宋体"/>
          <w:sz w:val="24"/>
          <w:szCs w:val="24"/>
        </w:rPr>
      </w:pPr>
    </w:p>
    <w:p w14:paraId="76C805EC">
      <w:pPr>
        <w:snapToGrid w:val="0"/>
        <w:spacing w:line="264" w:lineRule="auto"/>
        <w:ind w:firstLine="480" w:firstLineChars="200"/>
        <w:jc w:val="left"/>
        <w:rPr>
          <w:rFonts w:hint="eastAsia" w:ascii="宋体" w:hAnsi="宋体" w:eastAsia="宋体" w:cs="宋体"/>
          <w:sz w:val="24"/>
          <w:szCs w:val="24"/>
        </w:rPr>
      </w:pPr>
    </w:p>
    <w:p w14:paraId="2F827A8E">
      <w:pPr>
        <w:snapToGrid w:val="0"/>
        <w:spacing w:line="264" w:lineRule="auto"/>
        <w:ind w:firstLine="480" w:firstLineChars="200"/>
        <w:jc w:val="left"/>
        <w:rPr>
          <w:rFonts w:hint="eastAsia" w:ascii="宋体" w:hAnsi="宋体" w:eastAsia="宋体" w:cs="宋体"/>
          <w:sz w:val="24"/>
          <w:szCs w:val="24"/>
        </w:rPr>
      </w:pPr>
    </w:p>
    <w:p w14:paraId="605EB89C">
      <w:pPr>
        <w:snapToGrid w:val="0"/>
        <w:spacing w:line="264" w:lineRule="auto"/>
        <w:ind w:firstLine="480" w:firstLineChars="200"/>
        <w:jc w:val="left"/>
        <w:rPr>
          <w:rFonts w:hint="eastAsia" w:ascii="宋体" w:hAnsi="宋体" w:eastAsia="宋体" w:cs="宋体"/>
          <w:sz w:val="24"/>
          <w:szCs w:val="24"/>
        </w:rPr>
      </w:pPr>
    </w:p>
    <w:p w14:paraId="2ACCAD1F">
      <w:pPr>
        <w:snapToGrid w:val="0"/>
        <w:spacing w:line="264" w:lineRule="auto"/>
        <w:ind w:firstLine="480" w:firstLineChars="200"/>
        <w:jc w:val="left"/>
        <w:rPr>
          <w:rFonts w:hint="eastAsia" w:ascii="宋体" w:hAnsi="宋体" w:eastAsia="宋体" w:cs="宋体"/>
          <w:sz w:val="24"/>
          <w:szCs w:val="24"/>
        </w:rPr>
      </w:pPr>
    </w:p>
    <w:p w14:paraId="3040253D">
      <w:pPr>
        <w:snapToGrid w:val="0"/>
        <w:spacing w:line="264" w:lineRule="auto"/>
        <w:ind w:firstLine="480" w:firstLineChars="200"/>
        <w:jc w:val="left"/>
        <w:rPr>
          <w:rFonts w:hint="eastAsia" w:ascii="宋体" w:hAnsi="宋体" w:eastAsia="宋体" w:cs="宋体"/>
          <w:sz w:val="24"/>
          <w:szCs w:val="24"/>
        </w:rPr>
      </w:pPr>
    </w:p>
    <w:p w14:paraId="7D0A6E64">
      <w:pPr>
        <w:snapToGrid w:val="0"/>
        <w:spacing w:line="264" w:lineRule="auto"/>
        <w:ind w:firstLine="480" w:firstLineChars="200"/>
        <w:jc w:val="left"/>
        <w:rPr>
          <w:rFonts w:hint="eastAsia" w:ascii="宋体" w:hAnsi="宋体" w:eastAsia="宋体" w:cs="宋体"/>
          <w:sz w:val="24"/>
          <w:szCs w:val="24"/>
        </w:rPr>
      </w:pPr>
    </w:p>
    <w:p w14:paraId="3EF6A842">
      <w:pPr>
        <w:snapToGrid w:val="0"/>
        <w:spacing w:line="264" w:lineRule="auto"/>
        <w:ind w:firstLine="480" w:firstLineChars="200"/>
        <w:jc w:val="left"/>
        <w:rPr>
          <w:rFonts w:hint="eastAsia" w:ascii="宋体" w:hAnsi="宋体" w:eastAsia="宋体" w:cs="宋体"/>
          <w:sz w:val="24"/>
          <w:szCs w:val="24"/>
        </w:rPr>
      </w:pPr>
    </w:p>
    <w:p w14:paraId="2BB7AC09">
      <w:pPr>
        <w:snapToGrid w:val="0"/>
        <w:spacing w:line="264" w:lineRule="auto"/>
        <w:ind w:firstLine="480" w:firstLineChars="200"/>
        <w:jc w:val="left"/>
        <w:rPr>
          <w:rFonts w:hint="eastAsia" w:ascii="宋体" w:hAnsi="宋体" w:eastAsia="宋体" w:cs="宋体"/>
          <w:sz w:val="24"/>
          <w:szCs w:val="24"/>
        </w:rPr>
      </w:pPr>
    </w:p>
    <w:p w14:paraId="25EEAF4E">
      <w:pPr>
        <w:snapToGrid w:val="0"/>
        <w:spacing w:line="264" w:lineRule="auto"/>
        <w:jc w:val="left"/>
        <w:rPr>
          <w:rFonts w:hint="eastAsia" w:ascii="宋体" w:hAnsi="宋体" w:eastAsia="宋体" w:cs="宋体"/>
          <w:sz w:val="24"/>
          <w:szCs w:val="24"/>
        </w:rPr>
      </w:pPr>
    </w:p>
    <w:p w14:paraId="2B65D97B">
      <w:pPr>
        <w:snapToGrid w:val="0"/>
        <w:spacing w:line="264" w:lineRule="auto"/>
        <w:ind w:firstLine="482" w:firstLineChars="200"/>
        <w:rPr>
          <w:rFonts w:hint="eastAsia" w:ascii="宋体" w:hAnsi="宋体" w:eastAsia="宋体" w:cs="宋体"/>
          <w:b/>
          <w:bCs/>
          <w:sz w:val="24"/>
          <w:szCs w:val="24"/>
        </w:rPr>
      </w:pPr>
    </w:p>
    <w:p w14:paraId="593AE393">
      <w:pPr>
        <w:snapToGrid w:val="0"/>
        <w:spacing w:line="264"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w:t>
      </w:r>
    </w:p>
    <w:p w14:paraId="356E115C">
      <w:pPr>
        <w:snapToGrid w:val="0"/>
        <w:spacing w:line="264" w:lineRule="auto"/>
        <w:ind w:firstLine="480" w:firstLineChars="200"/>
        <w:jc w:val="left"/>
        <w:rPr>
          <w:rFonts w:hint="eastAsia" w:ascii="宋体" w:hAnsi="宋体" w:eastAsia="宋体" w:cs="宋体"/>
          <w:sz w:val="24"/>
          <w:szCs w:val="24"/>
        </w:rPr>
      </w:pPr>
    </w:p>
    <w:p w14:paraId="760C35EA">
      <w:pPr>
        <w:snapToGrid w:val="0"/>
        <w:spacing w:line="264"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中标（成交）通知书</w:t>
      </w:r>
      <w:r>
        <w:rPr>
          <w:rFonts w:hint="eastAsia" w:ascii="宋体" w:hAnsi="宋体" w:eastAsia="宋体" w:cs="宋体"/>
          <w:b/>
          <w:bCs/>
          <w:color w:val="FF0000"/>
          <w:sz w:val="24"/>
          <w:szCs w:val="24"/>
        </w:rPr>
        <w:t>（加盖合同专用章）</w:t>
      </w:r>
    </w:p>
    <w:p w14:paraId="06775F6E">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21D94362">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2A245248">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1A3399EB">
      <w:pPr>
        <w:pStyle w:val="11"/>
        <w:spacing w:after="0"/>
        <w:jc w:val="center"/>
        <w:rPr>
          <w:rFonts w:ascii="宋体" w:hAnsi="宋体" w:cs="宋体"/>
          <w:b/>
          <w:bCs/>
          <w:color w:val="auto"/>
          <w:spacing w:val="-20"/>
          <w:kern w:val="44"/>
          <w:sz w:val="48"/>
          <w:szCs w:val="48"/>
          <w:highlight w:val="none"/>
        </w:rPr>
      </w:pPr>
    </w:p>
    <w:p w14:paraId="1471AFF4">
      <w:pPr>
        <w:pStyle w:val="11"/>
        <w:spacing w:after="0"/>
        <w:jc w:val="center"/>
        <w:rPr>
          <w:rFonts w:ascii="宋体" w:hAnsi="宋体" w:cs="宋体"/>
          <w:b/>
          <w:bCs/>
          <w:color w:val="auto"/>
          <w:spacing w:val="-20"/>
          <w:kern w:val="44"/>
          <w:sz w:val="48"/>
          <w:szCs w:val="48"/>
          <w:highlight w:val="none"/>
        </w:rPr>
      </w:pPr>
    </w:p>
    <w:bookmarkEnd w:id="499"/>
    <w:p w14:paraId="59C8CB5D">
      <w:pPr>
        <w:rPr>
          <w:color w:val="auto"/>
          <w:highlight w:val="none"/>
          <w:lang w:val="zh-CN"/>
        </w:rPr>
      </w:pPr>
    </w:p>
    <w:p w14:paraId="086D45F7">
      <w:pPr>
        <w:rPr>
          <w:rFonts w:hint="eastAsia"/>
          <w:color w:val="auto"/>
          <w:highlight w:val="none"/>
        </w:rPr>
      </w:pPr>
    </w:p>
    <w:p w14:paraId="428C386B">
      <w:pPr>
        <w:rPr>
          <w:rFonts w:hint="eastAsia"/>
          <w:color w:val="auto"/>
          <w:highlight w:val="none"/>
        </w:rPr>
      </w:pPr>
    </w:p>
    <w:p w14:paraId="12E53718">
      <w:pPr>
        <w:ind w:left="550" w:firstLine="420" w:firstLineChars="175"/>
        <w:rPr>
          <w:color w:val="auto"/>
          <w:highlight w:val="none"/>
        </w:rPr>
      </w:pPr>
    </w:p>
    <w:p w14:paraId="432E748B">
      <w:pPr>
        <w:rPr>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1EBBB031">
      <w:pPr>
        <w:pStyle w:val="2"/>
        <w:numPr>
          <w:ilvl w:val="0"/>
          <w:numId w:val="0"/>
        </w:numPr>
        <w:ind w:left="420" w:leftChars="0" w:hanging="420" w:firstLineChars="0"/>
        <w:rPr>
          <w:rFonts w:hint="eastAsia" w:ascii="宋体" w:hAnsi="宋体" w:eastAsia="宋体" w:cs="宋体"/>
          <w:color w:val="auto"/>
          <w:sz w:val="36"/>
          <w:szCs w:val="36"/>
          <w:highlight w:val="none"/>
        </w:rPr>
      </w:pPr>
      <w:bookmarkStart w:id="500" w:name="_Toc12356"/>
      <w:bookmarkStart w:id="501" w:name="_Toc26172"/>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500"/>
      <w:bookmarkEnd w:id="501"/>
    </w:p>
    <w:p w14:paraId="6EC4C082">
      <w:pPr>
        <w:ind w:firstLine="480" w:firstLineChars="200"/>
        <w:rPr>
          <w:rFonts w:hint="eastAsia" w:cs="仿宋_GB2312"/>
          <w:color w:val="auto"/>
          <w:highlight w:val="none"/>
          <w:lang w:val="zh-CN"/>
        </w:rPr>
      </w:pPr>
    </w:p>
    <w:p w14:paraId="66F9DB6D">
      <w:pPr>
        <w:ind w:firstLine="480" w:firstLineChars="200"/>
        <w:rPr>
          <w:rFonts w:hint="eastAsia" w:cs="仿宋_GB2312"/>
          <w:color w:val="auto"/>
          <w:highlight w:val="none"/>
          <w:lang w:val="zh-CN"/>
        </w:rPr>
      </w:pPr>
    </w:p>
    <w:p w14:paraId="0F1E5057">
      <w:pPr>
        <w:ind w:firstLine="480" w:firstLineChars="200"/>
        <w:rPr>
          <w:rFonts w:hint="eastAsia" w:cs="仿宋_GB2312"/>
          <w:color w:val="auto"/>
          <w:highlight w:val="none"/>
          <w:lang w:val="zh-CN"/>
        </w:rPr>
      </w:pPr>
    </w:p>
    <w:p w14:paraId="02C1CDE2">
      <w:pPr>
        <w:ind w:firstLine="480" w:firstLineChars="200"/>
        <w:rPr>
          <w:rFonts w:hint="eastAsia" w:cs="仿宋_GB2312"/>
          <w:color w:val="auto"/>
          <w:highlight w:val="none"/>
          <w:lang w:val="zh-CN"/>
        </w:rPr>
      </w:pPr>
    </w:p>
    <w:p w14:paraId="5FD4F8BE">
      <w:pPr>
        <w:ind w:firstLine="480" w:firstLineChars="200"/>
        <w:rPr>
          <w:rFonts w:hint="eastAsia" w:cs="仿宋_GB2312"/>
          <w:color w:val="auto"/>
          <w:highlight w:val="none"/>
          <w:lang w:val="zh-CN"/>
        </w:rPr>
      </w:pPr>
    </w:p>
    <w:p w14:paraId="40FD170D">
      <w:pPr>
        <w:ind w:firstLine="480" w:firstLineChars="200"/>
        <w:rPr>
          <w:rFonts w:hint="eastAsia" w:cs="仿宋_GB2312"/>
          <w:color w:val="auto"/>
          <w:highlight w:val="none"/>
          <w:lang w:val="zh-CN"/>
        </w:rPr>
      </w:pPr>
    </w:p>
    <w:p w14:paraId="333C12D2">
      <w:pPr>
        <w:ind w:firstLine="480" w:firstLineChars="200"/>
        <w:rPr>
          <w:rFonts w:hint="eastAsia" w:cs="仿宋_GB2312"/>
          <w:color w:val="auto"/>
          <w:highlight w:val="none"/>
          <w:lang w:val="zh-CN"/>
        </w:rPr>
      </w:pPr>
    </w:p>
    <w:p w14:paraId="0DC5F5FB">
      <w:pPr>
        <w:ind w:firstLine="480" w:firstLineChars="200"/>
        <w:rPr>
          <w:rFonts w:hint="eastAsia" w:cs="仿宋_GB2312"/>
          <w:color w:val="auto"/>
          <w:highlight w:val="none"/>
          <w:lang w:val="zh-CN"/>
        </w:rPr>
      </w:pPr>
    </w:p>
    <w:p w14:paraId="7D5CE0DF">
      <w:pPr>
        <w:ind w:firstLine="480" w:firstLineChars="200"/>
        <w:rPr>
          <w:rFonts w:hint="eastAsia" w:cs="仿宋_GB2312"/>
          <w:color w:val="auto"/>
          <w:highlight w:val="none"/>
          <w:lang w:val="zh-CN"/>
        </w:rPr>
      </w:pPr>
    </w:p>
    <w:p w14:paraId="226FEC9F">
      <w:pPr>
        <w:ind w:firstLine="480" w:firstLineChars="200"/>
        <w:rPr>
          <w:rFonts w:hint="eastAsia" w:cs="仿宋_GB2312"/>
          <w:color w:val="auto"/>
          <w:highlight w:val="none"/>
          <w:lang w:val="zh-CN"/>
        </w:rPr>
      </w:pPr>
    </w:p>
    <w:p w14:paraId="3B193948">
      <w:pPr>
        <w:ind w:firstLine="480" w:firstLineChars="200"/>
        <w:rPr>
          <w:rFonts w:hint="eastAsia" w:cs="仿宋_GB2312"/>
          <w:color w:val="auto"/>
          <w:highlight w:val="none"/>
          <w:lang w:val="zh-CN"/>
        </w:rPr>
      </w:pPr>
    </w:p>
    <w:p w14:paraId="25528327">
      <w:pPr>
        <w:ind w:firstLine="480" w:firstLineChars="200"/>
        <w:rPr>
          <w:rFonts w:hint="eastAsia" w:cs="仿宋_GB2312"/>
          <w:color w:val="auto"/>
          <w:highlight w:val="none"/>
          <w:lang w:val="zh-CN"/>
        </w:rPr>
      </w:pPr>
    </w:p>
    <w:p w14:paraId="6F2846A3">
      <w:pPr>
        <w:ind w:firstLine="480" w:firstLineChars="200"/>
        <w:rPr>
          <w:rFonts w:hint="eastAsia" w:cs="仿宋_GB2312"/>
          <w:color w:val="auto"/>
          <w:highlight w:val="none"/>
          <w:lang w:val="zh-CN"/>
        </w:rPr>
      </w:pPr>
    </w:p>
    <w:p w14:paraId="6D7EA01B">
      <w:pPr>
        <w:ind w:firstLine="480" w:firstLineChars="200"/>
        <w:rPr>
          <w:rFonts w:hint="eastAsia" w:cs="仿宋_GB2312"/>
          <w:color w:val="auto"/>
          <w:highlight w:val="none"/>
          <w:lang w:val="zh-CN"/>
        </w:rPr>
      </w:pPr>
    </w:p>
    <w:p w14:paraId="1FA1C6E4">
      <w:pPr>
        <w:ind w:firstLine="480" w:firstLineChars="200"/>
        <w:rPr>
          <w:rFonts w:hint="eastAsia" w:cs="仿宋_GB2312"/>
          <w:color w:val="auto"/>
          <w:highlight w:val="none"/>
          <w:lang w:val="zh-CN"/>
        </w:rPr>
      </w:pPr>
    </w:p>
    <w:p w14:paraId="7080018F">
      <w:pPr>
        <w:ind w:firstLine="480" w:firstLineChars="200"/>
        <w:rPr>
          <w:rFonts w:hint="eastAsia" w:cs="仿宋_GB2312"/>
          <w:color w:val="auto"/>
          <w:highlight w:val="none"/>
          <w:lang w:val="zh-CN"/>
        </w:rPr>
      </w:pPr>
    </w:p>
    <w:p w14:paraId="4B79049E">
      <w:pPr>
        <w:ind w:firstLine="480" w:firstLineChars="200"/>
        <w:rPr>
          <w:rFonts w:hint="eastAsia" w:cs="仿宋_GB2312"/>
          <w:color w:val="auto"/>
          <w:highlight w:val="none"/>
          <w:lang w:val="zh-CN"/>
        </w:rPr>
      </w:pPr>
    </w:p>
    <w:p w14:paraId="690F05F4">
      <w:pPr>
        <w:ind w:firstLine="480" w:firstLineChars="200"/>
        <w:rPr>
          <w:rFonts w:hint="eastAsia" w:cs="仿宋_GB2312"/>
          <w:color w:val="auto"/>
          <w:highlight w:val="none"/>
          <w:lang w:val="zh-CN"/>
        </w:rPr>
      </w:pPr>
    </w:p>
    <w:p w14:paraId="6ED94B89">
      <w:pPr>
        <w:ind w:firstLine="480" w:firstLineChars="200"/>
        <w:rPr>
          <w:rFonts w:hint="eastAsia" w:cs="仿宋_GB2312"/>
          <w:color w:val="auto"/>
          <w:highlight w:val="none"/>
          <w:lang w:val="zh-CN"/>
        </w:rPr>
      </w:pPr>
    </w:p>
    <w:p w14:paraId="7DE59651">
      <w:pPr>
        <w:ind w:firstLine="480" w:firstLineChars="200"/>
        <w:rPr>
          <w:rFonts w:hint="eastAsia" w:cs="仿宋_GB2312"/>
          <w:color w:val="auto"/>
          <w:highlight w:val="none"/>
          <w:lang w:val="zh-CN"/>
        </w:rPr>
      </w:pPr>
    </w:p>
    <w:p w14:paraId="0D899E1D">
      <w:pPr>
        <w:ind w:firstLine="480" w:firstLineChars="200"/>
        <w:rPr>
          <w:rFonts w:hint="eastAsia" w:cs="仿宋_GB2312"/>
          <w:color w:val="auto"/>
          <w:highlight w:val="none"/>
          <w:lang w:val="zh-CN"/>
        </w:rPr>
      </w:pPr>
    </w:p>
    <w:p w14:paraId="6EA0DF60">
      <w:pPr>
        <w:ind w:firstLine="480" w:firstLineChars="200"/>
        <w:rPr>
          <w:rFonts w:hint="eastAsia" w:cs="仿宋_GB2312"/>
          <w:color w:val="auto"/>
          <w:highlight w:val="none"/>
          <w:lang w:val="zh-CN"/>
        </w:rPr>
      </w:pPr>
    </w:p>
    <w:p w14:paraId="0EAD2D3B">
      <w:pPr>
        <w:ind w:firstLine="480" w:firstLineChars="200"/>
        <w:rPr>
          <w:rFonts w:hint="eastAsia" w:cs="仿宋_GB2312"/>
          <w:color w:val="auto"/>
          <w:highlight w:val="none"/>
          <w:lang w:val="zh-CN"/>
        </w:rPr>
      </w:pPr>
    </w:p>
    <w:p w14:paraId="470AE675">
      <w:pPr>
        <w:ind w:firstLine="480" w:firstLineChars="200"/>
        <w:rPr>
          <w:rFonts w:hint="eastAsia" w:cs="仿宋_GB2312"/>
          <w:color w:val="auto"/>
          <w:highlight w:val="none"/>
          <w:lang w:val="zh-CN"/>
        </w:rPr>
      </w:pPr>
    </w:p>
    <w:p w14:paraId="3D40132F">
      <w:pPr>
        <w:ind w:firstLine="480" w:firstLineChars="200"/>
        <w:rPr>
          <w:rFonts w:hint="eastAsia" w:cs="仿宋_GB2312"/>
          <w:color w:val="auto"/>
          <w:szCs w:val="24"/>
          <w:highlight w:val="none"/>
          <w:lang w:val="zh-CN"/>
        </w:rPr>
      </w:pPr>
    </w:p>
    <w:p w14:paraId="6F54B44F">
      <w:pPr>
        <w:rPr>
          <w:rFonts w:hint="eastAsia" w:cs="仿宋_GB2312"/>
          <w:color w:val="auto"/>
          <w:szCs w:val="24"/>
          <w:highlight w:val="none"/>
          <w:lang w:val="zh-CN"/>
        </w:rPr>
      </w:pPr>
      <w:r>
        <w:rPr>
          <w:rFonts w:hint="eastAsia" w:cs="仿宋_GB2312"/>
          <w:color w:val="auto"/>
          <w:szCs w:val="24"/>
          <w:highlight w:val="none"/>
          <w:lang w:val="zh-CN"/>
        </w:rPr>
        <w:br w:type="page"/>
      </w:r>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72"/>
          <w:szCs w:val="72"/>
          <w:highlight w:val="none"/>
        </w:rPr>
      </w:pPr>
      <w:bookmarkStart w:id="502" w:name="_Toc5152"/>
      <w:r>
        <w:rPr>
          <w:rFonts w:hint="eastAsia"/>
          <w:color w:val="auto"/>
          <w:sz w:val="72"/>
          <w:szCs w:val="72"/>
          <w:highlight w:val="none"/>
          <w:lang w:val="en-US" w:eastAsia="zh-CN"/>
        </w:rPr>
        <w:t>响</w:t>
      </w:r>
      <w:r>
        <w:rPr>
          <w:rFonts w:hint="eastAsia"/>
          <w:color w:val="auto"/>
          <w:sz w:val="72"/>
          <w:szCs w:val="72"/>
          <w:highlight w:val="none"/>
        </w:rPr>
        <w:t xml:space="preserve"> </w:t>
      </w:r>
      <w:r>
        <w:rPr>
          <w:rFonts w:hint="eastAsia"/>
          <w:color w:val="auto"/>
          <w:sz w:val="72"/>
          <w:szCs w:val="72"/>
          <w:highlight w:val="none"/>
          <w:lang w:val="en-US" w:eastAsia="zh-CN"/>
        </w:rPr>
        <w:t>应</w:t>
      </w:r>
      <w:r>
        <w:rPr>
          <w:rFonts w:hint="eastAsia"/>
          <w:color w:val="auto"/>
          <w:sz w:val="72"/>
          <w:szCs w:val="72"/>
          <w:highlight w:val="none"/>
        </w:rPr>
        <w:t xml:space="preserve"> 文 件</w:t>
      </w:r>
      <w:bookmarkEnd w:id="502"/>
    </w:p>
    <w:p w14:paraId="7053976A">
      <w:pPr>
        <w:pStyle w:val="2"/>
        <w:bidi w:val="0"/>
        <w:rPr>
          <w:color w:val="auto"/>
          <w:sz w:val="72"/>
          <w:szCs w:val="72"/>
          <w:highlight w:val="none"/>
        </w:rPr>
      </w:pPr>
      <w:bookmarkStart w:id="503" w:name="_Toc7318"/>
      <w:r>
        <w:rPr>
          <w:rFonts w:hint="eastAsia"/>
          <w:color w:val="auto"/>
          <w:sz w:val="72"/>
          <w:szCs w:val="72"/>
          <w:highlight w:val="none"/>
        </w:rPr>
        <w:t>资格证明文件</w:t>
      </w:r>
      <w:bookmarkEnd w:id="503"/>
    </w:p>
    <w:p w14:paraId="11B2218D">
      <w:pPr>
        <w:autoSpaceDE w:val="0"/>
        <w:autoSpaceDN w:val="0"/>
        <w:adjustRightInd w:val="0"/>
        <w:rPr>
          <w:b/>
          <w:bCs/>
          <w:color w:val="auto"/>
          <w:sz w:val="22"/>
          <w:highlight w:val="none"/>
        </w:rPr>
      </w:pPr>
    </w:p>
    <w:p w14:paraId="30EB22E6">
      <w:pPr>
        <w:autoSpaceDE w:val="0"/>
        <w:autoSpaceDN w:val="0"/>
        <w:adjustRightInd w:val="0"/>
        <w:rPr>
          <w:color w:val="auto"/>
          <w:sz w:val="21"/>
          <w:szCs w:val="21"/>
          <w:highlight w:val="none"/>
        </w:rPr>
      </w:pPr>
    </w:p>
    <w:p w14:paraId="0D158554">
      <w:pPr>
        <w:autoSpaceDE w:val="0"/>
        <w:autoSpaceDN w:val="0"/>
        <w:adjustRightInd w:val="0"/>
        <w:rPr>
          <w:color w:val="auto"/>
          <w:sz w:val="21"/>
          <w:szCs w:val="21"/>
          <w:highlight w:val="none"/>
        </w:rPr>
      </w:pPr>
    </w:p>
    <w:p w14:paraId="01B85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E0530D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281C2EA">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DB2DE4">
      <w:pPr>
        <w:ind w:left="840" w:firstLine="420"/>
        <w:rPr>
          <w:b/>
          <w:bCs/>
          <w:color w:val="auto"/>
          <w:sz w:val="28"/>
          <w:szCs w:val="28"/>
          <w:highlight w:val="none"/>
        </w:rPr>
      </w:pPr>
    </w:p>
    <w:p w14:paraId="1D6D546F">
      <w:pPr>
        <w:ind w:left="840" w:firstLine="420"/>
        <w:rPr>
          <w:b/>
          <w:bCs/>
          <w:color w:val="auto"/>
          <w:sz w:val="28"/>
          <w:szCs w:val="28"/>
          <w:highlight w:val="none"/>
        </w:rPr>
      </w:pPr>
    </w:p>
    <w:p w14:paraId="167EF277">
      <w:pPr>
        <w:ind w:left="840" w:firstLine="420"/>
        <w:rPr>
          <w:b/>
          <w:bCs/>
          <w:color w:val="auto"/>
          <w:sz w:val="28"/>
          <w:szCs w:val="28"/>
          <w:highlight w:val="none"/>
        </w:rPr>
      </w:pPr>
    </w:p>
    <w:p w14:paraId="44B4D6D4">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39BD53E8">
      <w:pPr>
        <w:jc w:val="center"/>
        <w:rPr>
          <w:b/>
          <w:bCs/>
          <w:color w:val="auto"/>
          <w:sz w:val="28"/>
          <w:szCs w:val="28"/>
          <w:highlight w:val="none"/>
        </w:rPr>
      </w:pPr>
      <w:r>
        <w:rPr>
          <w:b/>
          <w:bCs/>
          <w:color w:val="auto"/>
          <w:sz w:val="28"/>
          <w:szCs w:val="28"/>
          <w:highlight w:val="none"/>
        </w:rPr>
        <w:br w:type="page"/>
      </w:r>
    </w:p>
    <w:p w14:paraId="6DBE2CDA">
      <w:pPr>
        <w:rPr>
          <w:color w:val="auto"/>
          <w:highlight w:val="none"/>
          <w:lang w:val="zh-CN"/>
        </w:rPr>
      </w:pPr>
      <w:bookmarkStart w:id="504" w:name="_Toc163492922"/>
      <w:bookmarkStart w:id="505" w:name="_Toc155185928"/>
      <w:bookmarkStart w:id="506"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07" w:name="_Toc30712"/>
      <w:bookmarkStart w:id="508" w:name="_Toc15682"/>
      <w:bookmarkStart w:id="509"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07"/>
      <w:bookmarkEnd w:id="508"/>
    </w:p>
    <w:bookmarkEnd w:id="509"/>
    <w:p w14:paraId="6B7B06FF">
      <w:pPr>
        <w:pStyle w:val="4"/>
        <w:bidi w:val="0"/>
        <w:rPr>
          <w:rFonts w:hint="eastAsia"/>
          <w:color w:val="auto"/>
          <w:sz w:val="28"/>
          <w:szCs w:val="28"/>
          <w:highlight w:val="none"/>
          <w:lang w:val="en-US" w:eastAsia="zh-CN"/>
        </w:rPr>
      </w:pPr>
      <w:r>
        <w:rPr>
          <w:rFonts w:hint="eastAsia"/>
          <w:color w:val="auto"/>
          <w:sz w:val="28"/>
          <w:szCs w:val="28"/>
          <w:highlight w:val="none"/>
          <w:lang w:val="en-US" w:eastAsia="zh-CN"/>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1、供应商</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2、供应商</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3、供应商</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4、供应商</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5、供应商</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504"/>
    <w:bookmarkEnd w:id="505"/>
    <w:p w14:paraId="58938591">
      <w:pPr>
        <w:pStyle w:val="4"/>
        <w:bidi w:val="0"/>
        <w:rPr>
          <w:rFonts w:hint="eastAsia" w:ascii="宋体" w:hAnsi="宋体" w:eastAsia="宋体"/>
          <w:color w:val="auto"/>
          <w:sz w:val="28"/>
          <w:szCs w:val="28"/>
          <w:highlight w:val="none"/>
          <w:lang w:val="en-US" w:eastAsia="zh-CN"/>
        </w:rPr>
      </w:pPr>
      <w:bookmarkStart w:id="510" w:name="_Toc4110"/>
      <w:bookmarkStart w:id="511" w:name="_Toc4705"/>
      <w:r>
        <w:rPr>
          <w:rFonts w:hint="eastAsia" w:ascii="宋体" w:hAnsi="宋体" w:eastAsia="宋体"/>
          <w:color w:val="auto"/>
          <w:sz w:val="28"/>
          <w:szCs w:val="28"/>
          <w:highlight w:val="none"/>
          <w:lang w:val="en-US" w:eastAsia="zh-CN"/>
        </w:rPr>
        <w:t>（二）</w:t>
      </w:r>
      <w:bookmarkEnd w:id="510"/>
      <w:bookmarkEnd w:id="511"/>
      <w:r>
        <w:rPr>
          <w:rFonts w:hint="eastAsia" w:ascii="宋体" w:hAnsi="宋体" w:eastAsia="宋体"/>
          <w:color w:val="auto"/>
          <w:sz w:val="28"/>
          <w:szCs w:val="28"/>
          <w:highlight w:val="none"/>
          <w:lang w:val="en-US" w:eastAsia="zh-CN"/>
        </w:rPr>
        <w:t>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2" w:name="_Toc28292"/>
      <w:bookmarkStart w:id="513" w:name="_Toc11370"/>
      <w:r>
        <w:rPr>
          <w:rFonts w:hint="eastAsia" w:cs="宋体"/>
          <w:b w:val="0"/>
          <w:bCs w:val="0"/>
          <w:i w:val="0"/>
          <w:iCs w:val="0"/>
          <w:color w:val="auto"/>
          <w:kern w:val="2"/>
          <w:sz w:val="24"/>
          <w:szCs w:val="24"/>
          <w:highlight w:val="none"/>
          <w:shd w:val="clear" w:color="auto" w:fill="auto"/>
          <w:lang w:val="en-US" w:eastAsia="zh-CN" w:bidi="ar-SA"/>
        </w:rPr>
        <w:t>近三年任一年度（2023年或2024年度或2025年度）财务审计报告或近一年内银行提供的资信证明（新公司从成立之日起算）。</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512"/>
      <w:bookmarkEnd w:id="513"/>
    </w:p>
    <w:p w14:paraId="4CC2A71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税收</w:t>
      </w:r>
      <w:r>
        <w:rPr>
          <w:rFonts w:hint="eastAsia" w:ascii="宋体" w:hAnsi="宋体" w:eastAsia="宋体" w:cs="宋体"/>
          <w:b w:val="0"/>
          <w:bCs/>
          <w:color w:val="auto"/>
          <w:sz w:val="24"/>
          <w:szCs w:val="24"/>
          <w:highlight w:val="none"/>
          <w:shd w:val="clear" w:color="auto" w:fill="auto"/>
        </w:rPr>
        <w:t>的证明材料：本项目投标截止时间前6个月内（至少提供1个月）缴纳税收的凭据（完税证、缴款书、印花税票、银行代扣（代缴）转账凭证等均可）；</w:t>
      </w:r>
    </w:p>
    <w:p w14:paraId="2A24955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依法免税的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，须提供相应文件证明其依法免税。</w:t>
      </w:r>
    </w:p>
    <w:p w14:paraId="32828CE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社会保障</w:t>
      </w:r>
      <w:r>
        <w:rPr>
          <w:rFonts w:hint="eastAsia" w:ascii="宋体" w:hAnsi="宋体" w:eastAsia="宋体" w:cs="宋体"/>
          <w:b w:val="0"/>
          <w:bCs/>
          <w:color w:val="auto"/>
          <w:sz w:val="24"/>
          <w:szCs w:val="24"/>
          <w:highlight w:val="none"/>
          <w:shd w:val="clear" w:color="auto" w:fill="auto"/>
        </w:rPr>
        <w:t>资金的证明材料：本项目投标截止时间时间前6个月内（至少提供1个月）缴纳社会保险的凭据（专用收据或社会保险交纳清单）；</w:t>
      </w:r>
    </w:p>
    <w:p w14:paraId="52D324BE">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为其他组织或自然人的，也需要按此项规定提供缴纳税收的凭据和交纳社会保险的凭据。</w:t>
      </w:r>
    </w:p>
    <w:p w14:paraId="7753E698">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sectPr>
          <w:headerReference r:id="rId9" w:type="defaul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4"/>
          <w:szCs w:val="24"/>
          <w:highlight w:val="none"/>
          <w:shd w:val="clear" w:color="auto" w:fill="auto"/>
        </w:rPr>
        <w:t>依法不需要缴纳社会保障资金的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4" w:name="_Toc19442"/>
      <w:bookmarkStart w:id="515"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514"/>
      <w:bookmarkEnd w:id="515"/>
    </w:p>
    <w:p w14:paraId="626DCA74">
      <w:pPr>
        <w:pStyle w:val="64"/>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64"/>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64"/>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65"/>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65"/>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64"/>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6E2E8FB">
      <w:pPr>
        <w:pStyle w:val="66"/>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6" w:name="_Toc21544"/>
      <w:bookmarkStart w:id="517"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516"/>
      <w:bookmarkEnd w:id="517"/>
    </w:p>
    <w:p w14:paraId="3DE04F31">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64"/>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67"/>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64"/>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64"/>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64"/>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65"/>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65"/>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64"/>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0D8DD56E">
      <w:pPr>
        <w:pStyle w:val="64"/>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8" w:name="_Toc31574"/>
      <w:bookmarkStart w:id="519"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518"/>
      <w:bookmarkEnd w:id="519"/>
    </w:p>
    <w:p w14:paraId="00359217">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68"/>
        <w:shd w:val="clear"/>
        <w:spacing w:line="360" w:lineRule="auto"/>
        <w:ind w:firstLine="506" w:firstLineChars="200"/>
        <w:jc w:val="left"/>
        <w:rPr>
          <w:rFonts w:hint="eastAsia" w:ascii="宋体" w:hAnsi="宋体" w:cs="宋体"/>
          <w:b/>
          <w:bCs/>
          <w:color w:val="auto"/>
          <w:spacing w:val="6"/>
          <w:kern w:val="0"/>
          <w:sz w:val="24"/>
          <w:szCs w:val="24"/>
          <w:highlight w:val="none"/>
          <w:shd w:val="clear" w:color="auto" w:fill="auto"/>
        </w:rPr>
      </w:pPr>
      <w:r>
        <w:rPr>
          <w:rFonts w:hint="eastAsia" w:ascii="宋体" w:hAnsi="宋体" w:cs="宋体"/>
          <w:b/>
          <w:bCs/>
          <w:color w:val="auto"/>
          <w:spacing w:val="6"/>
          <w:kern w:val="0"/>
          <w:sz w:val="24"/>
          <w:szCs w:val="24"/>
          <w:highlight w:val="none"/>
          <w:shd w:val="clear" w:color="auto" w:fill="auto"/>
        </w:rPr>
        <w:t>“信用中国”网站查询信息：</w:t>
      </w:r>
    </w:p>
    <w:p w14:paraId="424A8B06">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68"/>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68"/>
        <w:shd w:val="clear"/>
        <w:spacing w:line="360" w:lineRule="auto"/>
        <w:ind w:firstLine="759" w:firstLineChars="300"/>
        <w:jc w:val="left"/>
        <w:rPr>
          <w:rFonts w:hint="eastAsia" w:ascii="宋体" w:hAnsi="宋体" w:cs="宋体"/>
          <w:b/>
          <w:bCs/>
          <w:color w:val="auto"/>
          <w:spacing w:val="6"/>
          <w:kern w:val="0"/>
          <w:sz w:val="24"/>
          <w:szCs w:val="24"/>
          <w:highlight w:val="none"/>
          <w:shd w:val="clear" w:color="auto" w:fill="auto"/>
          <w:lang w:eastAsia="zh-CN"/>
        </w:rPr>
      </w:pPr>
      <w:r>
        <w:rPr>
          <w:rFonts w:hint="eastAsia" w:ascii="宋体" w:hAnsi="宋体" w:cs="宋体"/>
          <w:b/>
          <w:bCs/>
          <w:color w:val="auto"/>
          <w:spacing w:val="6"/>
          <w:kern w:val="0"/>
          <w:sz w:val="24"/>
          <w:szCs w:val="24"/>
          <w:highlight w:val="none"/>
          <w:shd w:val="clear" w:color="auto" w:fill="auto"/>
        </w:rPr>
        <w:t>“中国政府采购网”查询信息</w:t>
      </w:r>
      <w:r>
        <w:rPr>
          <w:rFonts w:hint="eastAsia" w:ascii="宋体" w:hAnsi="宋体" w:cs="宋体"/>
          <w:b/>
          <w:bCs/>
          <w:color w:val="auto"/>
          <w:spacing w:val="6"/>
          <w:kern w:val="0"/>
          <w:sz w:val="24"/>
          <w:szCs w:val="24"/>
          <w:highlight w:val="none"/>
          <w:shd w:val="clear" w:color="auto" w:fill="auto"/>
          <w:lang w:eastAsia="zh-CN"/>
        </w:rPr>
        <w:t>：</w:t>
      </w:r>
    </w:p>
    <w:p w14:paraId="0EBD0BE7">
      <w:pPr>
        <w:shd w:val="clear"/>
        <w:ind w:firstLine="720" w:firstLineChars="300"/>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color w:val="auto"/>
          <w:highlight w:val="none"/>
          <w:shd w:val="clear" w:color="auto" w:fill="auto"/>
          <w:lang w:val="en-US" w:eastAsia="zh-CN"/>
        </w:rPr>
      </w:pPr>
      <w:bookmarkStart w:id="520" w:name="_Toc1571"/>
      <w:r>
        <w:rPr>
          <w:rFonts w:hint="eastAsia"/>
          <w:color w:val="auto"/>
          <w:highlight w:val="none"/>
          <w:shd w:val="clear" w:color="auto" w:fill="auto"/>
          <w:lang w:val="en-US" w:eastAsia="zh-CN"/>
        </w:rPr>
        <w:br w:type="page"/>
      </w:r>
    </w:p>
    <w:bookmarkEnd w:id="520"/>
    <w:p w14:paraId="33E55E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21" w:name="_Toc109900336"/>
      <w:bookmarkStart w:id="522" w:name="_Toc109899498"/>
      <w:bookmarkStart w:id="523" w:name="_Toc155185930"/>
      <w:bookmarkStart w:id="524" w:name="_Toc163492923"/>
      <w:bookmarkStart w:id="525" w:name="_Toc140132840"/>
      <w:bookmarkStart w:id="526" w:name="_Toc109899917"/>
      <w:bookmarkStart w:id="527" w:name="_Toc17033"/>
      <w:bookmarkStart w:id="528" w:name="_Toc7114"/>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21"/>
      <w:bookmarkEnd w:id="522"/>
      <w:bookmarkEnd w:id="523"/>
      <w:bookmarkEnd w:id="524"/>
      <w:bookmarkEnd w:id="525"/>
      <w:bookmarkEnd w:id="526"/>
      <w:bookmarkStart w:id="529"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29"/>
      <w:r>
        <w:rPr>
          <w:rFonts w:hint="eastAsia" w:ascii="宋体" w:hAnsi="宋体" w:eastAsia="宋体" w:cstheme="minorBidi"/>
          <w:b w:val="0"/>
          <w:bCs w:val="0"/>
          <w:color w:val="auto"/>
          <w:kern w:val="2"/>
          <w:sz w:val="28"/>
          <w:szCs w:val="28"/>
          <w:highlight w:val="none"/>
          <w:lang w:val="zh-CN" w:eastAsia="zh-CN" w:bidi="ar-SA"/>
        </w:rPr>
        <w:t>【如适用】</w:t>
      </w:r>
      <w:bookmarkEnd w:id="527"/>
      <w:bookmarkEnd w:id="528"/>
    </w:p>
    <w:p w14:paraId="39563C7F">
      <w:pPr>
        <w:snapToGrid w:val="0"/>
        <w:spacing w:line="360" w:lineRule="auto"/>
        <w:jc w:val="center"/>
        <w:outlineLvl w:val="9"/>
        <w:rPr>
          <w:rFonts w:hint="eastAsia" w:ascii="宋体" w:hAnsi="宋体" w:cs="宋体"/>
          <w:b/>
          <w:color w:val="auto"/>
          <w:kern w:val="0"/>
          <w:sz w:val="32"/>
          <w:szCs w:val="32"/>
          <w:highlight w:val="none"/>
        </w:rPr>
      </w:pPr>
    </w:p>
    <w:p w14:paraId="0BBE5457">
      <w:pPr>
        <w:snapToGrid w:val="0"/>
        <w:spacing w:line="360" w:lineRule="auto"/>
        <w:jc w:val="center"/>
        <w:outlineLvl w:val="9"/>
        <w:rPr>
          <w:rFonts w:hint="eastAsia" w:ascii="宋体" w:hAnsi="宋体" w:cs="宋体"/>
          <w:b/>
          <w:color w:val="auto"/>
          <w:kern w:val="0"/>
          <w:sz w:val="32"/>
          <w:szCs w:val="32"/>
          <w:highlight w:val="none"/>
        </w:rPr>
      </w:pPr>
      <w:bookmarkStart w:id="530" w:name="_Toc30743"/>
      <w:bookmarkStart w:id="531" w:name="_Toc6473"/>
      <w:bookmarkStart w:id="532" w:name="_Toc12924"/>
      <w:r>
        <w:rPr>
          <w:rFonts w:hint="eastAsia" w:ascii="宋体" w:hAnsi="宋体" w:cs="宋体"/>
          <w:b/>
          <w:color w:val="auto"/>
          <w:kern w:val="0"/>
          <w:sz w:val="32"/>
          <w:szCs w:val="32"/>
          <w:highlight w:val="none"/>
        </w:rPr>
        <w:t>联合体协议书</w:t>
      </w:r>
      <w:bookmarkEnd w:id="530"/>
      <w:bookmarkEnd w:id="531"/>
      <w:bookmarkEnd w:id="532"/>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w:t>
      </w:r>
      <w:r>
        <w:rPr>
          <w:rFonts w:hint="eastAsia" w:cs="宋体"/>
          <w:b/>
          <w:color w:val="auto"/>
          <w:sz w:val="24"/>
          <w:highlight w:val="none"/>
          <w:lang w:val="en-US" w:eastAsia="zh-CN"/>
        </w:rPr>
        <w:t>谈判响应</w:t>
      </w:r>
      <w:r>
        <w:rPr>
          <w:rFonts w:hint="eastAsia" w:ascii="宋体" w:hAnsi="宋体" w:cs="宋体"/>
          <w:b/>
          <w:color w:val="auto"/>
          <w:sz w:val="24"/>
          <w:highlight w:val="none"/>
        </w:rPr>
        <w:t>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w:t>
      </w:r>
      <w:r>
        <w:rPr>
          <w:rFonts w:hint="eastAsia" w:cs="宋体"/>
          <w:b/>
          <w:color w:val="auto"/>
          <w:sz w:val="24"/>
          <w:highlight w:val="none"/>
          <w:lang w:val="en-US" w:eastAsia="zh-CN"/>
        </w:rPr>
        <w:t>谈判响应</w:t>
      </w:r>
      <w:r>
        <w:rPr>
          <w:rFonts w:hint="eastAsia" w:ascii="宋体" w:hAnsi="宋体" w:cs="宋体"/>
          <w:b/>
          <w:color w:val="auto"/>
          <w:sz w:val="24"/>
          <w:highlight w:val="none"/>
        </w:rPr>
        <w:t>或者</w:t>
      </w:r>
      <w:r>
        <w:rPr>
          <w:rFonts w:hint="eastAsia" w:cs="宋体"/>
          <w:b/>
          <w:color w:val="auto"/>
          <w:sz w:val="24"/>
          <w:highlight w:val="none"/>
          <w:lang w:val="en-US" w:eastAsia="zh-CN"/>
        </w:rPr>
        <w:t>供应商</w:t>
      </w:r>
      <w:r>
        <w:rPr>
          <w:rFonts w:hint="eastAsia" w:ascii="宋体" w:hAnsi="宋体" w:cs="宋体"/>
          <w:b/>
          <w:color w:val="auto"/>
          <w:sz w:val="24"/>
          <w:highlight w:val="none"/>
        </w:rPr>
        <w:t>不以联合体形式</w:t>
      </w:r>
      <w:r>
        <w:rPr>
          <w:rFonts w:hint="eastAsia" w:cs="宋体"/>
          <w:b/>
          <w:color w:val="auto"/>
          <w:sz w:val="24"/>
          <w:highlight w:val="none"/>
          <w:lang w:val="en-US" w:eastAsia="zh-CN"/>
        </w:rPr>
        <w:t>谈判响应</w:t>
      </w:r>
      <w:r>
        <w:rPr>
          <w:rFonts w:hint="eastAsia" w:ascii="宋体" w:hAnsi="宋体" w:cs="宋体"/>
          <w:b/>
          <w:color w:val="auto"/>
          <w:sz w:val="24"/>
          <w:highlight w:val="none"/>
        </w:rPr>
        <w:t>的，则不需要提供）</w:t>
      </w:r>
    </w:p>
    <w:p w14:paraId="40230D62">
      <w:pPr>
        <w:snapToGrid w:val="0"/>
        <w:ind w:firstLine="576"/>
        <w:rPr>
          <w:rFonts w:ascii="宋体" w:hAnsi="宋体" w:cs="宋体"/>
          <w:color w:val="auto"/>
          <w:kern w:val="0"/>
          <w:sz w:val="24"/>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w:t>
      </w:r>
      <w:r>
        <w:rPr>
          <w:rFonts w:hint="eastAsia" w:cs="宋体"/>
          <w:color w:val="auto"/>
          <w:kern w:val="0"/>
          <w:highlight w:val="none"/>
        </w:rPr>
        <w:t>供应商</w:t>
      </w:r>
      <w:r>
        <w:rPr>
          <w:rFonts w:hint="eastAsia" w:cs="宋体"/>
          <w:color w:val="auto"/>
          <w:kern w:val="0"/>
          <w:highlight w:val="none"/>
          <w:lang w:val="zh-CN"/>
        </w:rPr>
        <w:t>的身份</w:t>
      </w:r>
      <w:r>
        <w:rPr>
          <w:rFonts w:hint="eastAsia" w:cs="宋体"/>
          <w:color w:val="auto"/>
          <w:kern w:val="0"/>
          <w:highlight w:val="none"/>
        </w:rPr>
        <w:t>参加</w:t>
      </w:r>
      <w:r>
        <w:rPr>
          <w:rFonts w:hint="eastAsia" w:cs="宋体"/>
          <w:color w:val="auto"/>
          <w:highlight w:val="none"/>
          <w:u w:val="single"/>
        </w:rPr>
        <w:t>（项目名称）</w:t>
      </w:r>
      <w:r>
        <w:rPr>
          <w:rFonts w:hint="eastAsia" w:cs="宋体"/>
          <w:color w:val="auto"/>
          <w:highlight w:val="none"/>
          <w:u w:val="single"/>
          <w:lang w:val="en-US" w:eastAsia="zh-CN"/>
        </w:rPr>
        <w:t xml:space="preserve">     </w:t>
      </w:r>
      <w:r>
        <w:rPr>
          <w:rFonts w:hint="eastAsia" w:cs="宋体"/>
          <w:color w:val="auto"/>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cs="宋体"/>
          <w:color w:val="auto"/>
          <w:highlight w:val="none"/>
        </w:rPr>
        <w:t>】</w:t>
      </w:r>
      <w:r>
        <w:rPr>
          <w:rFonts w:hint="eastAsia" w:cs="宋体"/>
          <w:color w:val="auto"/>
          <w:kern w:val="0"/>
          <w:highlight w:val="none"/>
          <w:lang w:val="en-US" w:eastAsia="zh-CN"/>
        </w:rPr>
        <w:t>谈判</w:t>
      </w:r>
      <w:r>
        <w:rPr>
          <w:rFonts w:hint="eastAsia" w:cs="宋体"/>
          <w:color w:val="auto"/>
          <w:kern w:val="0"/>
          <w:highlight w:val="none"/>
          <w:lang w:val="zh-CN"/>
        </w:rPr>
        <w:t xml:space="preserve">。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w:t>
      </w:r>
      <w:r>
        <w:rPr>
          <w:rFonts w:hint="eastAsia" w:cs="宋体"/>
          <w:color w:val="auto"/>
          <w:sz w:val="24"/>
          <w:highlight w:val="none"/>
          <w:lang w:val="en-US" w:eastAsia="zh-CN"/>
        </w:rPr>
        <w:t>谈判响应</w:t>
      </w:r>
      <w:r>
        <w:rPr>
          <w:rFonts w:hint="eastAsia" w:ascii="宋体" w:hAnsi="宋体" w:cs="宋体"/>
          <w:color w:val="auto"/>
          <w:sz w:val="24"/>
          <w:highlight w:val="none"/>
        </w:rPr>
        <w:t>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w:t>
      </w:r>
      <w:r>
        <w:rPr>
          <w:rFonts w:hint="eastAsia" w:ascii="宋体" w:hAnsi="宋体" w:cs="宋体"/>
          <w:color w:val="auto"/>
          <w:kern w:val="0"/>
          <w:sz w:val="24"/>
          <w:highlight w:val="none"/>
          <w:lang w:val="zh-CN" w:eastAsia="zh-CN"/>
        </w:rPr>
        <w:t>竞争性</w:t>
      </w:r>
      <w:r>
        <w:rPr>
          <w:rFonts w:hint="eastAsia" w:cs="宋体"/>
          <w:color w:val="auto"/>
          <w:kern w:val="0"/>
          <w:sz w:val="24"/>
          <w:highlight w:val="none"/>
          <w:lang w:val="en-US" w:eastAsia="zh-CN"/>
        </w:rPr>
        <w:t>谈判</w:t>
      </w:r>
      <w:r>
        <w:rPr>
          <w:rFonts w:hint="eastAsia" w:ascii="宋体" w:hAnsi="宋体" w:cs="宋体"/>
          <w:color w:val="auto"/>
          <w:kern w:val="0"/>
          <w:sz w:val="24"/>
          <w:highlight w:val="none"/>
          <w:lang w:val="zh-CN"/>
        </w:rPr>
        <w:t>文件规定及</w:t>
      </w:r>
      <w:r>
        <w:rPr>
          <w:rFonts w:hint="eastAsia" w:cs="宋体"/>
          <w:color w:val="auto"/>
          <w:kern w:val="0"/>
          <w:sz w:val="24"/>
          <w:highlight w:val="none"/>
          <w:lang w:val="en-US" w:eastAsia="zh-CN"/>
        </w:rPr>
        <w:t>响应</w:t>
      </w:r>
      <w:r>
        <w:rPr>
          <w:rFonts w:hint="eastAsia" w:ascii="宋体" w:hAnsi="宋体" w:cs="宋体"/>
          <w:color w:val="auto"/>
          <w:kern w:val="0"/>
          <w:sz w:val="24"/>
          <w:highlight w:val="none"/>
          <w:lang w:val="zh-CN"/>
        </w:rPr>
        <w:t>内容而对采购人、采购代理机构所作的任何合法承诺，包括书面澄清及相应等均对联合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中，分工如下：</w:t>
      </w:r>
    </w:p>
    <w:p w14:paraId="5742291A">
      <w:pPr>
        <w:snapToGrid w:val="0"/>
        <w:spacing w:line="360" w:lineRule="auto"/>
        <w:ind w:firstLine="576"/>
        <w:rPr>
          <w:rFonts w:ascii="宋体" w:hAnsi="宋体" w:cs="宋体"/>
          <w:color w:val="auto"/>
          <w:kern w:val="0"/>
          <w:sz w:val="24"/>
          <w:highlight w:val="none"/>
          <w:lang w:val="zh-CN"/>
        </w:rPr>
      </w:pPr>
      <w:bookmarkStart w:id="53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33"/>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cs="宋体"/>
          <w:b/>
          <w:color w:val="auto"/>
          <w:kern w:val="0"/>
          <w:sz w:val="24"/>
          <w:highlight w:val="none"/>
          <w:lang w:val="en-US" w:eastAsia="zh-CN"/>
        </w:rPr>
        <w:t>谈判响应</w:t>
      </w:r>
      <w:r>
        <w:rPr>
          <w:rFonts w:hint="eastAsia" w:ascii="宋体" w:hAnsi="宋体" w:cs="宋体"/>
          <w:b/>
          <w:color w:val="auto"/>
          <w:kern w:val="0"/>
          <w:sz w:val="24"/>
          <w:highlight w:val="none"/>
          <w:lang w:val="zh-CN"/>
        </w:rPr>
        <w:t>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w:t>
      </w:r>
      <w:r>
        <w:rPr>
          <w:rFonts w:hint="eastAsia" w:cs="宋体"/>
          <w:b/>
          <w:color w:val="auto"/>
          <w:kern w:val="0"/>
          <w:sz w:val="24"/>
          <w:highlight w:val="none"/>
          <w:lang w:val="en-US" w:eastAsia="zh-CN"/>
        </w:rPr>
        <w:t>审</w:t>
      </w:r>
      <w:r>
        <w:rPr>
          <w:rFonts w:hint="eastAsia" w:ascii="宋体" w:hAnsi="宋体" w:cs="宋体"/>
          <w:b/>
          <w:color w:val="auto"/>
          <w:kern w:val="0"/>
          <w:sz w:val="24"/>
          <w:highlight w:val="none"/>
          <w:lang w:val="zh-CN"/>
        </w:rPr>
        <w:t>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文件第一部分</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，自本</w:t>
      </w:r>
      <w:r>
        <w:rPr>
          <w:rFonts w:hint="eastAsia" w:cs="宋体"/>
          <w:color w:val="auto"/>
          <w:kern w:val="0"/>
          <w:sz w:val="24"/>
          <w:highlight w:val="none"/>
          <w:lang w:val="en-US" w:eastAsia="zh-CN"/>
        </w:rPr>
        <w:t>响应文件</w:t>
      </w:r>
      <w:r>
        <w:rPr>
          <w:rFonts w:hint="eastAsia" w:ascii="宋体" w:hAnsi="宋体" w:cs="宋体"/>
          <w:color w:val="auto"/>
          <w:kern w:val="0"/>
          <w:sz w:val="24"/>
          <w:highlight w:val="none"/>
          <w:lang w:val="zh-CN"/>
        </w:rPr>
        <w:t>有效期结束后自行失效；若</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outlineLvl w:val="9"/>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名称(公章)：</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名称(公章)：</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7512156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34" w:name="_Toc15286"/>
      <w:bookmarkStart w:id="535" w:name="_Toc156490356"/>
      <w:bookmarkStart w:id="536" w:name="_Toc162299566"/>
      <w:bookmarkStart w:id="537" w:name="_Toc30924"/>
      <w:bookmarkStart w:id="538"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34"/>
      <w:bookmarkEnd w:id="535"/>
      <w:bookmarkEnd w:id="536"/>
      <w:bookmarkEnd w:id="537"/>
    </w:p>
    <w:p w14:paraId="72EF9FB2">
      <w:pPr>
        <w:snapToGrid w:val="0"/>
        <w:spacing w:line="360" w:lineRule="auto"/>
        <w:jc w:val="center"/>
        <w:outlineLvl w:val="9"/>
        <w:rPr>
          <w:rFonts w:hint="eastAsia" w:ascii="宋体" w:hAnsi="宋体" w:cs="宋体"/>
          <w:b/>
          <w:color w:val="auto"/>
          <w:kern w:val="0"/>
          <w:sz w:val="32"/>
          <w:szCs w:val="32"/>
          <w:highlight w:val="none"/>
        </w:rPr>
      </w:pPr>
    </w:p>
    <w:p w14:paraId="3CEAA822">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539" w:name="_Toc24335"/>
      <w:bookmarkStart w:id="540" w:name="_Toc19341"/>
      <w:bookmarkStart w:id="541" w:name="_Toc30787"/>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39"/>
      <w:bookmarkEnd w:id="540"/>
      <w:bookmarkEnd w:id="541"/>
    </w:p>
    <w:p w14:paraId="4E9F0BF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cs="宋体"/>
          <w:b/>
          <w:color w:val="auto"/>
          <w:sz w:val="24"/>
          <w:highlight w:val="none"/>
          <w:lang w:val="en-US" w:eastAsia="zh-CN"/>
        </w:rPr>
        <w:t>成交</w:t>
      </w:r>
      <w:r>
        <w:rPr>
          <w:rFonts w:hint="eastAsia" w:ascii="宋体" w:hAnsi="宋体" w:cs="宋体"/>
          <w:b/>
          <w:color w:val="auto"/>
          <w:sz w:val="24"/>
          <w:highlight w:val="none"/>
        </w:rPr>
        <w:t>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w:t>
      </w:r>
      <w:r>
        <w:rPr>
          <w:rFonts w:hint="eastAsia" w:cs="宋体"/>
          <w:b/>
          <w:color w:val="auto"/>
          <w:sz w:val="24"/>
          <w:highlight w:val="none"/>
          <w:lang w:val="en-US" w:eastAsia="zh-CN"/>
        </w:rPr>
        <w:t>供应商成交</w:t>
      </w:r>
      <w:r>
        <w:rPr>
          <w:rFonts w:hint="eastAsia" w:ascii="宋体" w:hAnsi="宋体" w:cs="宋体"/>
          <w:b/>
          <w:color w:val="auto"/>
          <w:sz w:val="24"/>
          <w:highlight w:val="none"/>
        </w:rPr>
        <w:t>后不以分包方式履行合同的，则不需要提供。</w:t>
      </w:r>
      <w:r>
        <w:rPr>
          <w:rFonts w:hint="eastAsia" w:ascii="宋体" w:hAnsi="宋体" w:cs="宋体"/>
          <w:color w:val="auto"/>
          <w:sz w:val="24"/>
          <w:highlight w:val="none"/>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u w:val="single"/>
        </w:rPr>
        <w:t>（项目名称）</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供应商，将依法采取分包方式履行合同。</w:t>
      </w: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542" w:name="_Toc30204"/>
      <w:bookmarkStart w:id="543" w:name="_Toc1032"/>
      <w:bookmarkStart w:id="544" w:name="_Toc7973"/>
      <w:r>
        <w:rPr>
          <w:rFonts w:hint="eastAsia" w:ascii="宋体" w:hAnsi="宋体" w:eastAsia="宋体" w:cs="宋体"/>
          <w:color w:val="auto"/>
          <w:kern w:val="0"/>
          <w:sz w:val="24"/>
          <w:szCs w:val="24"/>
          <w:highlight w:val="none"/>
        </w:rPr>
        <w:t>……</w:t>
      </w:r>
      <w:bookmarkEnd w:id="542"/>
      <w:bookmarkEnd w:id="543"/>
      <w:bookmarkEnd w:id="54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w:t>
      </w:r>
      <w:r>
        <w:rPr>
          <w:rFonts w:hint="eastAsia" w:cs="宋体"/>
          <w:b/>
          <w:color w:val="auto"/>
          <w:kern w:val="0"/>
          <w:sz w:val="24"/>
          <w:highlight w:val="none"/>
          <w:lang w:val="en-US" w:eastAsia="zh-CN"/>
        </w:rPr>
        <w:t>审</w:t>
      </w:r>
      <w:r>
        <w:rPr>
          <w:rFonts w:hint="eastAsia" w:ascii="宋体" w:hAnsi="宋体" w:cs="宋体"/>
          <w:b/>
          <w:color w:val="auto"/>
          <w:kern w:val="0"/>
          <w:sz w:val="24"/>
          <w:highlight w:val="none"/>
          <w:lang w:val="zh-CN"/>
        </w:rPr>
        <w:t>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4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w:t>
      </w:r>
      <w:r>
        <w:rPr>
          <w:rFonts w:hint="eastAsia" w:cs="宋体"/>
          <w:b/>
          <w:bCs/>
          <w:color w:val="auto"/>
          <w:sz w:val="24"/>
          <w:highlight w:val="none"/>
          <w:lang w:val="en-US" w:eastAsia="zh-CN"/>
        </w:rPr>
        <w:t>谈判</w:t>
      </w:r>
      <w:r>
        <w:rPr>
          <w:rFonts w:hint="eastAsia" w:ascii="宋体" w:hAnsi="宋体" w:cs="宋体"/>
          <w:b/>
          <w:bCs/>
          <w:color w:val="auto"/>
          <w:sz w:val="24"/>
          <w:highlight w:val="none"/>
        </w:rPr>
        <w:t>文件第一部分</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4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38"/>
    <w:p w14:paraId="5775F461">
      <w:pPr>
        <w:ind w:left="2520" w:leftChars="1050"/>
        <w:rPr>
          <w:color w:val="auto"/>
          <w:highlight w:val="none"/>
        </w:rPr>
      </w:pPr>
      <w:r>
        <w:rPr>
          <w:rFonts w:cs="Courier New"/>
          <w:color w:val="auto"/>
          <w:szCs w:val="24"/>
          <w:highlight w:val="none"/>
        </w:rPr>
        <w:br w:type="page"/>
      </w:r>
    </w:p>
    <w:p w14:paraId="27442E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46" w:name="_Toc163492926"/>
      <w:bookmarkStart w:id="547" w:name="_Toc155185932"/>
      <w:bookmarkStart w:id="548" w:name="_Toc21866"/>
      <w:bookmarkStart w:id="549" w:name="_Toc18930"/>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546"/>
      <w:bookmarkEnd w:id="547"/>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548"/>
      <w:bookmarkEnd w:id="549"/>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50" w:name="_Toc163492938"/>
      <w:bookmarkStart w:id="551" w:name="_Toc2471"/>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550"/>
      <w:bookmarkEnd w:id="551"/>
    </w:p>
    <w:p w14:paraId="738C7A2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7472855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5"/>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5"/>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5"/>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5"/>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5"/>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5"/>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5"/>
              <w:jc w:val="center"/>
              <w:rPr>
                <w:color w:val="auto"/>
                <w:sz w:val="21"/>
                <w:szCs w:val="21"/>
                <w:highlight w:val="none"/>
              </w:rPr>
            </w:pPr>
            <w:r>
              <w:rPr>
                <w:rFonts w:hint="eastAsia"/>
                <w:color w:val="auto"/>
                <w:sz w:val="21"/>
                <w:szCs w:val="21"/>
                <w:highlight w:val="none"/>
              </w:rPr>
              <w:t>单价</w:t>
            </w:r>
          </w:p>
          <w:p w14:paraId="4D8AC9C4">
            <w:pPr>
              <w:pStyle w:val="45"/>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5"/>
              <w:jc w:val="center"/>
              <w:rPr>
                <w:color w:val="auto"/>
                <w:sz w:val="21"/>
                <w:szCs w:val="21"/>
                <w:highlight w:val="none"/>
              </w:rPr>
            </w:pPr>
            <w:r>
              <w:rPr>
                <w:rFonts w:hint="eastAsia"/>
                <w:color w:val="auto"/>
                <w:sz w:val="21"/>
                <w:szCs w:val="21"/>
                <w:highlight w:val="none"/>
              </w:rPr>
              <w:t>总价</w:t>
            </w:r>
          </w:p>
          <w:p w14:paraId="4637FB3E">
            <w:pPr>
              <w:pStyle w:val="45"/>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5"/>
              <w:jc w:val="center"/>
              <w:rPr>
                <w:color w:val="auto"/>
                <w:sz w:val="21"/>
                <w:szCs w:val="21"/>
                <w:highlight w:val="none"/>
              </w:rPr>
            </w:pPr>
            <w:r>
              <w:rPr>
                <w:rFonts w:hint="eastAsia"/>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5"/>
              <w:jc w:val="center"/>
              <w:rPr>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5"/>
              <w:jc w:val="center"/>
              <w:rPr>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5"/>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5"/>
              <w:jc w:val="center"/>
              <w:rPr>
                <w:color w:val="auto"/>
                <w:sz w:val="21"/>
                <w:szCs w:val="21"/>
                <w:highlight w:val="none"/>
              </w:rPr>
            </w:pPr>
          </w:p>
        </w:tc>
      </w:tr>
    </w:tbl>
    <w:p w14:paraId="2831E0BE">
      <w:pPr>
        <w:spacing w:line="300" w:lineRule="auto"/>
        <w:rPr>
          <w:rFonts w:ascii="Arial" w:hAnsi="Arial" w:cs="Arial"/>
          <w:color w:val="auto"/>
          <w:szCs w:val="21"/>
          <w:highlight w:val="none"/>
        </w:rPr>
      </w:pPr>
    </w:p>
    <w:p w14:paraId="60D44E3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5"/>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5"/>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5"/>
              <w:jc w:val="center"/>
              <w:rPr>
                <w:color w:val="auto"/>
                <w:sz w:val="21"/>
                <w:szCs w:val="21"/>
                <w:highlight w:val="none"/>
              </w:rPr>
            </w:pPr>
            <w:r>
              <w:rPr>
                <w:rFonts w:hint="eastAsia"/>
                <w:color w:val="auto"/>
                <w:sz w:val="21"/>
                <w:szCs w:val="21"/>
                <w:highlight w:val="none"/>
              </w:rPr>
              <w:t>制造商</w:t>
            </w:r>
          </w:p>
          <w:p w14:paraId="6871D586">
            <w:pPr>
              <w:pStyle w:val="45"/>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5"/>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5"/>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5"/>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5"/>
              <w:jc w:val="center"/>
              <w:rPr>
                <w:color w:val="auto"/>
                <w:sz w:val="21"/>
                <w:szCs w:val="21"/>
                <w:highlight w:val="none"/>
              </w:rPr>
            </w:pPr>
            <w:r>
              <w:rPr>
                <w:rFonts w:hint="eastAsia"/>
                <w:color w:val="auto"/>
                <w:sz w:val="21"/>
                <w:szCs w:val="21"/>
                <w:highlight w:val="none"/>
              </w:rPr>
              <w:t>单价</w:t>
            </w:r>
          </w:p>
          <w:p w14:paraId="09FBCB92">
            <w:pPr>
              <w:pStyle w:val="45"/>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5"/>
              <w:jc w:val="center"/>
              <w:rPr>
                <w:color w:val="auto"/>
                <w:sz w:val="21"/>
                <w:szCs w:val="21"/>
                <w:highlight w:val="none"/>
              </w:rPr>
            </w:pPr>
            <w:r>
              <w:rPr>
                <w:rFonts w:hint="eastAsia"/>
                <w:color w:val="auto"/>
                <w:sz w:val="21"/>
                <w:szCs w:val="21"/>
                <w:highlight w:val="none"/>
              </w:rPr>
              <w:t>总价</w:t>
            </w:r>
          </w:p>
          <w:p w14:paraId="33CDE01B">
            <w:pPr>
              <w:pStyle w:val="45"/>
              <w:jc w:val="center"/>
              <w:rPr>
                <w:color w:val="auto"/>
                <w:sz w:val="21"/>
                <w:szCs w:val="21"/>
                <w:highlight w:val="none"/>
              </w:rPr>
            </w:pPr>
            <w:r>
              <w:rPr>
                <w:rFonts w:hint="eastAsia"/>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5"/>
              <w:jc w:val="center"/>
              <w:rPr>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5"/>
              <w:jc w:val="center"/>
              <w:rPr>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5"/>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5"/>
              <w:jc w:val="center"/>
              <w:rPr>
                <w:color w:val="auto"/>
                <w:sz w:val="21"/>
                <w:szCs w:val="21"/>
                <w:highlight w:val="none"/>
              </w:rPr>
            </w:pPr>
          </w:p>
        </w:tc>
      </w:tr>
    </w:tbl>
    <w:p w14:paraId="141E07B3">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w:t>
      </w:r>
      <w:r>
        <w:rPr>
          <w:rFonts w:hint="eastAsia" w:ascii="Arial" w:hAnsi="Arial" w:cs="Arial"/>
          <w:b/>
          <w:color w:val="auto"/>
          <w:sz w:val="21"/>
          <w:szCs w:val="21"/>
          <w:highlight w:val="none"/>
          <w:lang w:val="en-US" w:eastAsia="zh-CN"/>
        </w:rPr>
        <w:t>供应商</w:t>
      </w:r>
      <w:r>
        <w:rPr>
          <w:rFonts w:hint="eastAsia" w:ascii="Arial" w:hAnsi="Arial" w:cs="Arial"/>
          <w:b/>
          <w:color w:val="auto"/>
          <w:sz w:val="21"/>
          <w:szCs w:val="21"/>
          <w:highlight w:val="none"/>
        </w:rPr>
        <w:t>应将所投产品中节能、环保产品分别列入上表中，并按本</w:t>
      </w:r>
      <w:r>
        <w:rPr>
          <w:rFonts w:hint="eastAsia" w:ascii="Arial" w:hAnsi="Arial" w:cs="Arial"/>
          <w:b/>
          <w:color w:val="auto"/>
          <w:sz w:val="21"/>
          <w:szCs w:val="21"/>
          <w:highlight w:val="none"/>
          <w:lang w:val="en-US" w:eastAsia="zh-CN"/>
        </w:rPr>
        <w:t>竞争性谈判</w:t>
      </w:r>
      <w:r>
        <w:rPr>
          <w:rFonts w:hint="eastAsia" w:ascii="Arial" w:hAnsi="Arial" w:cs="Arial"/>
          <w:b/>
          <w:color w:val="auto"/>
          <w:sz w:val="21"/>
          <w:szCs w:val="21"/>
          <w:highlight w:val="none"/>
        </w:rPr>
        <w:t>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供应商须知”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0BA1A982">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3068A70D">
      <w:pPr>
        <w:ind w:firstLine="5520" w:firstLineChars="2300"/>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552" w:name="_Toc8309"/>
      <w:bookmarkStart w:id="553"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552"/>
      <w:bookmarkEnd w:id="553"/>
    </w:p>
    <w:p w14:paraId="17DF8322">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31EF7E02">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w:t>
      </w:r>
      <w:r>
        <w:rPr>
          <w:rFonts w:hint="eastAsia" w:cs="宋体"/>
          <w:color w:val="auto"/>
          <w:spacing w:val="6"/>
          <w:szCs w:val="24"/>
          <w:highlight w:val="none"/>
          <w:lang w:val="en-US" w:eastAsia="zh-CN"/>
        </w:rPr>
        <w:t>书</w:t>
      </w:r>
      <w:r>
        <w:rPr>
          <w:rFonts w:hint="eastAsia" w:cs="宋体"/>
          <w:color w:val="auto"/>
          <w:spacing w:val="6"/>
          <w:szCs w:val="24"/>
          <w:highlight w:val="none"/>
        </w:rPr>
        <w:t>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080" w:firstLineChars="1700"/>
        <w:rPr>
          <w:rFonts w:cs="宋体"/>
          <w:color w:val="auto"/>
          <w:spacing w:val="6"/>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ADE189F">
      <w:pPr>
        <w:rPr>
          <w:rFonts w:hint="eastAsia" w:cs="宋体"/>
          <w:color w:val="auto"/>
          <w:spacing w:val="6"/>
          <w:sz w:val="24"/>
          <w:szCs w:val="24"/>
          <w:highlight w:val="none"/>
        </w:rPr>
      </w:pPr>
    </w:p>
    <w:p w14:paraId="4C098FFB">
      <w:pPr>
        <w:rPr>
          <w:rFonts w:hint="eastAsia" w:cs="宋体"/>
          <w:color w:val="auto"/>
          <w:spacing w:val="6"/>
          <w:sz w:val="24"/>
          <w:szCs w:val="24"/>
          <w:highlight w:val="none"/>
        </w:rPr>
      </w:pPr>
    </w:p>
    <w:p w14:paraId="3C73BF63">
      <w:pPr>
        <w:rPr>
          <w:rFonts w:hint="eastAsia" w:cs="宋体"/>
          <w:color w:val="auto"/>
          <w:spacing w:val="6"/>
          <w:sz w:val="24"/>
          <w:szCs w:val="24"/>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A0B18BB">
      <w:pPr>
        <w:keepNext w:val="0"/>
        <w:keepLines w:val="0"/>
        <w:widowControl/>
        <w:suppressLineNumbers w:val="0"/>
        <w:ind w:firstLine="562" w:firstLineChars="200"/>
        <w:jc w:val="left"/>
        <w:rPr>
          <w:rStyle w:val="31"/>
          <w:rFonts w:hint="eastAsia" w:ascii="宋体" w:hAnsi="宋体" w:eastAsia="宋体" w:cs="宋体"/>
          <w:color w:val="auto"/>
          <w:kern w:val="0"/>
          <w:sz w:val="28"/>
          <w:szCs w:val="28"/>
          <w:highlight w:val="none"/>
          <w:lang w:val="en-US" w:eastAsia="zh-CN" w:bidi="ar"/>
        </w:rPr>
      </w:pPr>
    </w:p>
    <w:p w14:paraId="65EA448B">
      <w:pPr>
        <w:keepNext w:val="0"/>
        <w:keepLines w:val="0"/>
        <w:widowControl/>
        <w:suppressLineNumbers w:val="0"/>
        <w:ind w:firstLine="482" w:firstLineChars="200"/>
        <w:jc w:val="left"/>
        <w:rPr>
          <w:rStyle w:val="31"/>
          <w:rFonts w:hint="eastAsia" w:ascii="宋体" w:hAnsi="宋体" w:eastAsia="宋体" w:cs="宋体"/>
          <w:color w:val="auto"/>
          <w:kern w:val="0"/>
          <w:sz w:val="28"/>
          <w:szCs w:val="28"/>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A812C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243BB2FE">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cs="宋体"/>
          <w:color w:val="auto"/>
          <w:spacing w:val="6"/>
          <w:sz w:val="21"/>
          <w:szCs w:val="21"/>
          <w:highlight w:val="none"/>
        </w:rPr>
      </w:pPr>
      <w:r>
        <w:rPr>
          <w:rStyle w:val="31"/>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20B4770A">
      <w:pPr>
        <w:rPr>
          <w:rFonts w:cs="宋体"/>
          <w:color w:val="auto"/>
          <w:spacing w:val="6"/>
          <w:sz w:val="21"/>
          <w:szCs w:val="21"/>
          <w:highlight w:val="none"/>
        </w:rPr>
      </w:pPr>
      <w:bookmarkStart w:id="554"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AF7C83B">
      <w:pPr>
        <w:rPr>
          <w:rFonts w:hint="eastAsia" w:cs="宋体"/>
          <w:color w:val="auto"/>
          <w:spacing w:val="6"/>
          <w:sz w:val="21"/>
          <w:szCs w:val="21"/>
          <w:highlight w:val="none"/>
        </w:rPr>
      </w:pPr>
    </w:p>
    <w:p w14:paraId="134F6EBF">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4CACF8E">
      <w:pPr>
        <w:jc w:val="center"/>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04253368">
      <w:pPr>
        <w:rPr>
          <w:rFonts w:hint="eastAsia" w:cs="宋体"/>
          <w:color w:val="auto"/>
          <w:spacing w:val="6"/>
          <w:sz w:val="21"/>
          <w:szCs w:val="21"/>
          <w:highlight w:val="none"/>
          <w:lang w:val="en-US" w:eastAsia="zh-CN"/>
        </w:rPr>
      </w:pPr>
    </w:p>
    <w:p w14:paraId="0C202F82">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F79F65C">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cs="宋体"/>
          <w:b w:val="0"/>
          <w:bCs w:val="0"/>
          <w:color w:val="auto"/>
          <w:sz w:val="24"/>
          <w:szCs w:val="24"/>
          <w:highlight w:val="none"/>
          <w:lang w:eastAsia="zh-CN"/>
        </w:rPr>
        <w:t>，</w:t>
      </w:r>
      <w:r>
        <w:rPr>
          <w:rStyle w:val="31"/>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1"/>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D736742">
      <w:pPr>
        <w:rPr>
          <w:rFonts w:hint="eastAsia" w:cs="宋体"/>
          <w:color w:val="auto"/>
          <w:spacing w:val="6"/>
          <w:sz w:val="24"/>
          <w:szCs w:val="24"/>
          <w:highlight w:val="none"/>
          <w:lang w:val="en-US" w:eastAsia="zh-CN"/>
        </w:rPr>
      </w:pPr>
    </w:p>
    <w:p w14:paraId="226ECDE6">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3A51FB27">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6C2B589">
      <w:pPr>
        <w:rPr>
          <w:rFonts w:cs="宋体"/>
          <w:color w:val="auto"/>
          <w:spacing w:val="6"/>
          <w:sz w:val="21"/>
          <w:szCs w:val="21"/>
          <w:highlight w:val="none"/>
        </w:rPr>
      </w:pPr>
      <w:r>
        <w:rPr>
          <w:rFonts w:cs="宋体"/>
          <w:color w:val="auto"/>
          <w:spacing w:val="6"/>
          <w:sz w:val="21"/>
          <w:szCs w:val="21"/>
          <w:highlight w:val="none"/>
        </w:rPr>
        <w:br w:type="page"/>
      </w:r>
    </w:p>
    <w:p w14:paraId="5D4F19F2">
      <w:pPr>
        <w:pStyle w:val="1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55" w:name="_Toc31594"/>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54"/>
      <w:bookmarkEnd w:id="555"/>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5"/>
        <w:spacing w:line="360" w:lineRule="auto"/>
        <w:jc w:val="center"/>
        <w:rPr>
          <w:rFonts w:hint="eastAsia" w:ascii="宋体" w:hAnsi="宋体" w:eastAsia="宋体" w:cs="宋体"/>
          <w:b/>
          <w:bCs w:val="0"/>
          <w:color w:val="auto"/>
          <w:sz w:val="32"/>
          <w:szCs w:val="32"/>
          <w:highlight w:val="none"/>
        </w:rPr>
      </w:pPr>
    </w:p>
    <w:p w14:paraId="3EAA5E2A">
      <w:pPr>
        <w:pStyle w:val="15"/>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080" w:firstLineChars="1700"/>
        <w:rPr>
          <w:rFonts w:hint="eastAsia" w:ascii="宋体" w:hAnsi="宋体" w:eastAsia="宋体" w:cs="宋体"/>
          <w:color w:val="auto"/>
          <w:spacing w:val="6"/>
          <w:sz w:val="24"/>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AA0844D">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bookmarkStart w:id="556" w:name="_Toc163492941"/>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57" w:name="_Toc7838"/>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56"/>
      <w:bookmarkEnd w:id="557"/>
    </w:p>
    <w:p w14:paraId="57F303A4">
      <w:pPr>
        <w:pStyle w:val="38"/>
        <w:numPr>
          <w:ilvl w:val="0"/>
          <w:numId w:val="0"/>
        </w:numPr>
        <w:ind w:left="420" w:leftChars="0" w:hanging="420" w:firstLineChars="0"/>
        <w:jc w:val="center"/>
        <w:rPr>
          <w:rFonts w:hint="eastAsia"/>
          <w:b/>
          <w:bCs/>
          <w:color w:val="auto"/>
          <w:sz w:val="32"/>
          <w:szCs w:val="32"/>
          <w:highlight w:val="none"/>
        </w:rPr>
      </w:pPr>
    </w:p>
    <w:p w14:paraId="6049E14B">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E988B10">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w:t>
      </w:r>
      <w:r>
        <w:rPr>
          <w:rFonts w:hint="eastAsia"/>
          <w:bCs/>
          <w:color w:val="auto"/>
          <w:szCs w:val="21"/>
          <w:highlight w:val="none"/>
          <w:lang w:val="en-US" w:eastAsia="zh-CN"/>
        </w:rPr>
        <w:t>供应商</w:t>
      </w:r>
      <w:r>
        <w:rPr>
          <w:rFonts w:hint="eastAsia"/>
          <w:bCs/>
          <w:color w:val="auto"/>
          <w:szCs w:val="21"/>
          <w:highlight w:val="none"/>
          <w:lang w:val="zh-CN"/>
        </w:rPr>
        <w:t>无关）；应当严格按上述格式及内容进行填写（应当明确每个</w:t>
      </w:r>
      <w:r>
        <w:rPr>
          <w:rFonts w:hint="eastAsia"/>
          <w:bCs/>
          <w:color w:val="auto"/>
          <w:szCs w:val="21"/>
          <w:highlight w:val="none"/>
          <w:lang w:val="en-US" w:eastAsia="zh-CN"/>
        </w:rPr>
        <w:t>包</w:t>
      </w:r>
      <w:r>
        <w:rPr>
          <w:rFonts w:hint="eastAsia"/>
          <w:bCs/>
          <w:color w:val="auto"/>
          <w:szCs w:val="21"/>
          <w:highlight w:val="none"/>
          <w:lang w:val="zh-CN"/>
        </w:rPr>
        <w:t>的的生产企业类型及相关数据），否则导致的后果由</w:t>
      </w:r>
      <w:r>
        <w:rPr>
          <w:rFonts w:hint="eastAsia"/>
          <w:bCs/>
          <w:color w:val="auto"/>
          <w:szCs w:val="21"/>
          <w:highlight w:val="none"/>
          <w:lang w:val="en-US" w:eastAsia="zh-CN"/>
        </w:rPr>
        <w:t>供应商</w:t>
      </w:r>
      <w:r>
        <w:rPr>
          <w:rFonts w:hint="eastAsia"/>
          <w:bCs/>
          <w:color w:val="auto"/>
          <w:szCs w:val="21"/>
          <w:highlight w:val="none"/>
          <w:lang w:val="zh-CN"/>
        </w:rPr>
        <w:t>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en-US" w:eastAsia="zh-CN"/>
        </w:rPr>
        <w:t>供应商名称（公章）</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044E1FE">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p>
    <w:p w14:paraId="146896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558" w:name="_Toc8760"/>
      <w:bookmarkStart w:id="559" w:name="_Toc3073"/>
      <w:r>
        <w:rPr>
          <w:rFonts w:hint="eastAsia" w:cstheme="majorBidi"/>
          <w:b/>
          <w:bCs/>
          <w:color w:val="auto"/>
          <w:kern w:val="2"/>
          <w:sz w:val="28"/>
          <w:szCs w:val="28"/>
          <w:highlight w:val="none"/>
          <w:lang w:val="en-US" w:eastAsia="zh-CN" w:bidi="ar-SA"/>
        </w:rPr>
        <w:t>五、不参与围标串标承诺书</w:t>
      </w:r>
      <w:bookmarkEnd w:id="558"/>
      <w:bookmarkEnd w:id="559"/>
    </w:p>
    <w:p w14:paraId="415F309A">
      <w:pPr>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outlineLvl w:val="9"/>
        <w:rPr>
          <w:rFonts w:hint="eastAsia" w:eastAsia="宋体" w:asciiTheme="majorHAnsi" w:hAnsiTheme="majorHAnsi" w:cstheme="majorBidi"/>
          <w:b/>
          <w:bCs/>
          <w:color w:val="auto"/>
          <w:kern w:val="2"/>
          <w:sz w:val="32"/>
          <w:szCs w:val="32"/>
          <w:highlight w:val="none"/>
          <w:lang w:val="en-US" w:eastAsia="zh-CN" w:bidi="ar-SA"/>
        </w:rPr>
      </w:pPr>
    </w:p>
    <w:p w14:paraId="6D6EA90A">
      <w:pPr>
        <w:pStyle w:val="38"/>
        <w:numPr>
          <w:ilvl w:val="0"/>
          <w:numId w:val="0"/>
        </w:numPr>
        <w:ind w:left="420" w:leftChars="0" w:hanging="420" w:firstLineChars="0"/>
        <w:jc w:val="center"/>
        <w:rPr>
          <w:rFonts w:hint="eastAsia" w:ascii="宋体" w:hAnsi="宋体" w:eastAsia="宋体"/>
          <w:b/>
          <w:bCs/>
          <w:color w:val="auto"/>
          <w:sz w:val="32"/>
          <w:szCs w:val="32"/>
          <w:highlight w:val="none"/>
          <w:lang w:val="zh-CN"/>
        </w:rPr>
      </w:pPr>
      <w:bookmarkStart w:id="560" w:name="_Toc301"/>
      <w:r>
        <w:rPr>
          <w:rFonts w:hint="eastAsia" w:ascii="宋体" w:hAnsi="宋体" w:eastAsia="宋体"/>
          <w:b/>
          <w:bCs/>
          <w:color w:val="auto"/>
          <w:sz w:val="32"/>
          <w:szCs w:val="32"/>
          <w:highlight w:val="none"/>
          <w:lang w:val="zh-CN"/>
        </w:rPr>
        <w:t>不参与围标串标承诺书</w:t>
      </w:r>
      <w:bookmarkEnd w:id="560"/>
    </w:p>
    <w:p w14:paraId="2F454600">
      <w:pPr>
        <w:autoSpaceDE w:val="0"/>
        <w:autoSpaceDN w:val="0"/>
        <w:adjustRightInd w:val="0"/>
        <w:spacing w:line="560" w:lineRule="exact"/>
        <w:ind w:left="0" w:leftChars="0"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为诚实、客观、有序地参与</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项目采购活动，愿就以下内容作出承诺：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法定代表人或委托代理人：             （签字）</w:t>
      </w:r>
    </w:p>
    <w:p w14:paraId="34ED34F8">
      <w:pPr>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p>
    <w:p w14:paraId="05CF3DBB">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1"/>
        <w:rPr>
          <w:rFonts w:hint="eastAsia"/>
          <w:color w:val="auto"/>
          <w:highlight w:val="none"/>
          <w:lang w:val="en-US" w:eastAsia="zh-CN"/>
        </w:rPr>
      </w:pPr>
    </w:p>
    <w:p w14:paraId="6FC519D1">
      <w:pPr>
        <w:pStyle w:val="11"/>
        <w:rPr>
          <w:rFonts w:hint="eastAsia"/>
          <w:color w:val="auto"/>
          <w:highlight w:val="none"/>
          <w:lang w:val="en-US" w:eastAsia="zh-CN"/>
        </w:rPr>
      </w:pPr>
    </w:p>
    <w:p w14:paraId="442FC68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240" w:leftChars="0"/>
        <w:textAlignment w:val="auto"/>
        <w:rPr>
          <w:rFonts w:hint="eastAsia" w:eastAsia="宋体" w:cstheme="majorBidi"/>
          <w:b/>
          <w:bCs/>
          <w:color w:val="auto"/>
          <w:kern w:val="2"/>
          <w:sz w:val="28"/>
          <w:szCs w:val="28"/>
          <w:highlight w:val="none"/>
          <w:lang w:val="en-US" w:eastAsia="zh-CN" w:bidi="ar-SA"/>
        </w:rPr>
      </w:pPr>
      <w:bookmarkStart w:id="561" w:name="_Toc4485"/>
      <w:r>
        <w:rPr>
          <w:rFonts w:hint="eastAsia" w:eastAsia="宋体" w:cstheme="majorBidi"/>
          <w:b/>
          <w:bCs/>
          <w:color w:val="auto"/>
          <w:kern w:val="2"/>
          <w:sz w:val="28"/>
          <w:szCs w:val="28"/>
          <w:highlight w:val="none"/>
          <w:lang w:val="en-US" w:eastAsia="zh-CN" w:bidi="ar-SA"/>
        </w:rPr>
        <w:t>六、供应商诚信承诺书</w:t>
      </w:r>
      <w:bookmarkEnd w:id="561"/>
    </w:p>
    <w:p w14:paraId="44DFC6DD">
      <w:pPr>
        <w:pStyle w:val="38"/>
        <w:numPr>
          <w:ilvl w:val="0"/>
          <w:numId w:val="0"/>
        </w:numPr>
        <w:ind w:left="420" w:leftChars="0" w:hanging="420" w:firstLineChars="0"/>
        <w:jc w:val="center"/>
        <w:rPr>
          <w:rFonts w:hint="eastAsia" w:ascii="宋体" w:hAnsi="宋体" w:eastAsia="宋体" w:cs="宋体"/>
          <w:color w:val="auto"/>
          <w:sz w:val="24"/>
          <w:szCs w:val="24"/>
        </w:rPr>
      </w:pPr>
      <w:r>
        <w:rPr>
          <w:rFonts w:hint="eastAsia" w:ascii="宋体" w:hAnsi="宋体" w:eastAsia="宋体"/>
          <w:b/>
          <w:bCs/>
          <w:color w:val="auto"/>
          <w:sz w:val="32"/>
          <w:szCs w:val="32"/>
          <w:highlight w:val="none"/>
          <w:lang w:val="zh-CN"/>
        </w:rPr>
        <w:t>供应商诚信承诺书</w:t>
      </w:r>
    </w:p>
    <w:p w14:paraId="43A60F0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562" w:name="_Hlk182910040"/>
      <w:r>
        <w:rPr>
          <w:rFonts w:hint="eastAsia" w:ascii="宋体" w:hAnsi="宋体" w:eastAsia="宋体" w:cs="宋体"/>
          <w:color w:val="auto"/>
          <w:kern w:val="0"/>
          <w:sz w:val="24"/>
          <w:szCs w:val="24"/>
          <w:lang w:val="zh-CN"/>
        </w:rPr>
        <w:t>为了诚实、客观、有序地参与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kern w:val="0"/>
          <w:sz w:val="24"/>
          <w:szCs w:val="24"/>
          <w:lang w:val="zh-CN"/>
        </w:rPr>
        <w:t>采购活动，愿就以下内容作出承诺：</w:t>
      </w:r>
    </w:p>
    <w:bookmarkEnd w:id="562"/>
    <w:p w14:paraId="6EE92DB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二、参加采购代理机构组织的采购活动时，严格按照</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563" w:name="_Hlk182909516"/>
      <w:r>
        <w:rPr>
          <w:rFonts w:hint="eastAsia" w:ascii="宋体" w:hAnsi="宋体" w:eastAsia="宋体" w:cs="宋体"/>
          <w:color w:val="auto"/>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63"/>
    <w:p w14:paraId="19C0001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若本企业（单位）发生有悖于上述承诺的行为或形成恶意投诉，我们自愿接受《政府采购法》等有关法律法规中对供应商的相关处理：</w:t>
      </w:r>
      <w:bookmarkStart w:id="564" w:name="_Hlk182910718"/>
      <w:r>
        <w:rPr>
          <w:rFonts w:hint="eastAsia" w:ascii="宋体" w:hAnsi="宋体" w:eastAsia="宋体" w:cs="宋体"/>
          <w:color w:val="auto"/>
          <w:kern w:val="0"/>
          <w:sz w:val="24"/>
          <w:szCs w:val="24"/>
          <w:lang w:val="zh-CN"/>
        </w:rPr>
        <w:t>自愿放弃中标资格、限制以后投标、记入不良信用档案、没收本次投标保证金，并愿意承担由此引起的其他法律责任。</w:t>
      </w:r>
      <w:bookmarkEnd w:id="564"/>
    </w:p>
    <w:p w14:paraId="5D8C3111">
      <w:pPr>
        <w:autoSpaceDE w:val="0"/>
        <w:autoSpaceDN w:val="0"/>
        <w:adjustRightInd w:val="0"/>
        <w:spacing w:line="400" w:lineRule="exact"/>
        <w:ind w:firstLine="4435" w:firstLineChars="1848"/>
        <w:rPr>
          <w:rFonts w:hint="eastAsia" w:ascii="宋体" w:hAnsi="宋体" w:eastAsia="宋体" w:cs="宋体"/>
          <w:bCs/>
          <w:color w:val="auto"/>
          <w:kern w:val="0"/>
          <w:sz w:val="24"/>
          <w:szCs w:val="24"/>
          <w:lang w:val="zh-CN"/>
        </w:rPr>
      </w:pPr>
      <w:bookmarkStart w:id="565" w:name="_Hlk182910783"/>
      <w:r>
        <w:rPr>
          <w:rFonts w:hint="eastAsia" w:ascii="宋体" w:hAnsi="宋体" w:eastAsia="宋体" w:cs="宋体"/>
          <w:bCs/>
          <w:color w:val="auto"/>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法定代表人或委托代理人：             （签字）</w:t>
      </w:r>
    </w:p>
    <w:p w14:paraId="6F728D92">
      <w:pPr>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bookmarkEnd w:id="565"/>
    </w:p>
    <w:p w14:paraId="7A1B48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zh-CN" w:eastAsia="zh-CN" w:bidi="ar-SA"/>
        </w:rPr>
      </w:pPr>
      <w:bookmarkStart w:id="566" w:name="_Toc29561"/>
      <w:bookmarkStart w:id="567" w:name="_Toc9438"/>
      <w:r>
        <w:rPr>
          <w:rFonts w:hint="eastAsia" w:cstheme="majorBidi"/>
          <w:b/>
          <w:bCs/>
          <w:color w:val="auto"/>
          <w:kern w:val="2"/>
          <w:sz w:val="28"/>
          <w:szCs w:val="28"/>
          <w:highlight w:val="none"/>
          <w:lang w:val="en-US" w:eastAsia="zh-CN" w:bidi="ar-SA"/>
        </w:rPr>
        <w:t>七、</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566"/>
      <w:bookmarkEnd w:id="567"/>
    </w:p>
    <w:p w14:paraId="0C24F0AE">
      <w:pPr>
        <w:pStyle w:val="34"/>
        <w:rPr>
          <w:rFonts w:hint="eastAsia"/>
          <w:color w:val="auto"/>
          <w:highlight w:val="none"/>
        </w:rPr>
      </w:pPr>
      <w:r>
        <w:rPr>
          <w:rFonts w:hint="eastAsia" w:cs="Courier New"/>
          <w:color w:val="auto"/>
          <w:szCs w:val="24"/>
          <w:highlight w:val="none"/>
          <w:lang w:val="en-US" w:eastAsia="zh-CN"/>
        </w:rPr>
        <w:t>供应商</w:t>
      </w:r>
      <w:r>
        <w:rPr>
          <w:rFonts w:hint="eastAsia" w:cs="Courier New"/>
          <w:color w:val="auto"/>
          <w:szCs w:val="24"/>
          <w:highlight w:val="none"/>
        </w:rPr>
        <w:t>认为需提供的其它相关资格证明材料</w:t>
      </w:r>
    </w:p>
    <w:p w14:paraId="7C2C3E83">
      <w:pPr>
        <w:pStyle w:val="34"/>
        <w:rPr>
          <w:rFonts w:hint="eastAsia"/>
          <w:color w:val="auto"/>
          <w:highlight w:val="none"/>
        </w:rPr>
      </w:pPr>
    </w:p>
    <w:p w14:paraId="58A36194">
      <w:pPr>
        <w:pStyle w:val="34"/>
        <w:rPr>
          <w:rFonts w:hint="eastAsia"/>
          <w:color w:val="auto"/>
          <w:highlight w:val="none"/>
        </w:rPr>
      </w:pPr>
    </w:p>
    <w:p w14:paraId="3553B395">
      <w:pPr>
        <w:pStyle w:val="34"/>
        <w:rPr>
          <w:rFonts w:hint="eastAsia"/>
          <w:color w:val="auto"/>
          <w:highlight w:val="none"/>
        </w:rPr>
      </w:pPr>
    </w:p>
    <w:p w14:paraId="49D404FC">
      <w:pPr>
        <w:pStyle w:val="34"/>
        <w:rPr>
          <w:rFonts w:hint="eastAsia"/>
          <w:color w:val="auto"/>
          <w:highlight w:val="none"/>
        </w:rPr>
      </w:pPr>
    </w:p>
    <w:p w14:paraId="4B98E4B6">
      <w:pPr>
        <w:pStyle w:val="34"/>
        <w:rPr>
          <w:rFonts w:hint="eastAsia"/>
          <w:color w:val="auto"/>
          <w:highlight w:val="none"/>
        </w:rPr>
      </w:pPr>
    </w:p>
    <w:p w14:paraId="737FEDD3">
      <w:pPr>
        <w:pStyle w:val="34"/>
        <w:rPr>
          <w:rFonts w:hint="eastAsia"/>
          <w:color w:val="auto"/>
          <w:highlight w:val="none"/>
        </w:rPr>
      </w:pPr>
    </w:p>
    <w:p w14:paraId="1C876135">
      <w:pPr>
        <w:pStyle w:val="34"/>
        <w:rPr>
          <w:rFonts w:hint="eastAsia"/>
          <w:color w:val="auto"/>
          <w:highlight w:val="none"/>
        </w:rPr>
      </w:pPr>
    </w:p>
    <w:p w14:paraId="7E85C842">
      <w:pPr>
        <w:pStyle w:val="34"/>
        <w:rPr>
          <w:rFonts w:hint="eastAsia"/>
          <w:color w:val="auto"/>
          <w:highlight w:val="none"/>
        </w:rPr>
      </w:pPr>
    </w:p>
    <w:p w14:paraId="4CBE3B0D">
      <w:pPr>
        <w:pStyle w:val="34"/>
        <w:rPr>
          <w:rFonts w:hint="eastAsia"/>
          <w:color w:val="auto"/>
          <w:highlight w:val="none"/>
        </w:rPr>
      </w:pPr>
    </w:p>
    <w:p w14:paraId="2E6E451F">
      <w:pPr>
        <w:pStyle w:val="34"/>
        <w:rPr>
          <w:rFonts w:hint="eastAsia"/>
          <w:color w:val="auto"/>
          <w:highlight w:val="none"/>
        </w:rPr>
      </w:pPr>
    </w:p>
    <w:p w14:paraId="38DC2C55">
      <w:pPr>
        <w:pStyle w:val="34"/>
        <w:rPr>
          <w:rFonts w:hint="eastAsia"/>
          <w:color w:val="auto"/>
          <w:highlight w:val="none"/>
        </w:rPr>
      </w:pPr>
    </w:p>
    <w:p w14:paraId="04DAFD3C">
      <w:pPr>
        <w:pStyle w:val="34"/>
        <w:rPr>
          <w:rFonts w:hint="eastAsia"/>
          <w:color w:val="auto"/>
          <w:highlight w:val="none"/>
        </w:rPr>
      </w:pPr>
    </w:p>
    <w:p w14:paraId="51E24CDC">
      <w:pPr>
        <w:pStyle w:val="34"/>
        <w:rPr>
          <w:rFonts w:hint="eastAsia"/>
          <w:color w:val="auto"/>
          <w:highlight w:val="none"/>
        </w:rPr>
      </w:pPr>
    </w:p>
    <w:p w14:paraId="1AC1942E">
      <w:pPr>
        <w:pStyle w:val="34"/>
        <w:rPr>
          <w:rFonts w:hint="eastAsia"/>
          <w:color w:val="auto"/>
          <w:highlight w:val="none"/>
        </w:rPr>
      </w:pPr>
    </w:p>
    <w:p w14:paraId="4722E259">
      <w:pPr>
        <w:pStyle w:val="34"/>
        <w:rPr>
          <w:rFonts w:hint="eastAsia"/>
          <w:color w:val="auto"/>
          <w:highlight w:val="none"/>
        </w:rPr>
      </w:pPr>
    </w:p>
    <w:p w14:paraId="07033BD3">
      <w:pPr>
        <w:pStyle w:val="34"/>
        <w:rPr>
          <w:rFonts w:hint="eastAsia"/>
          <w:color w:val="auto"/>
          <w:highlight w:val="none"/>
        </w:rPr>
      </w:pPr>
    </w:p>
    <w:p w14:paraId="6E1D094D">
      <w:pPr>
        <w:pStyle w:val="34"/>
        <w:rPr>
          <w:rFonts w:hint="eastAsia"/>
          <w:color w:val="auto"/>
          <w:highlight w:val="none"/>
        </w:rPr>
      </w:pPr>
    </w:p>
    <w:p w14:paraId="23B0DB54">
      <w:pPr>
        <w:pStyle w:val="34"/>
        <w:rPr>
          <w:rFonts w:hint="eastAsia"/>
          <w:color w:val="auto"/>
          <w:highlight w:val="none"/>
        </w:rPr>
      </w:pPr>
    </w:p>
    <w:p w14:paraId="07159DF6">
      <w:pPr>
        <w:pStyle w:val="34"/>
        <w:rPr>
          <w:rFonts w:hint="eastAsia"/>
          <w:color w:val="auto"/>
          <w:highlight w:val="none"/>
        </w:rPr>
      </w:pPr>
    </w:p>
    <w:p w14:paraId="44B3A5AA">
      <w:pPr>
        <w:pStyle w:val="34"/>
        <w:rPr>
          <w:rFonts w:hint="eastAsia"/>
          <w:color w:val="auto"/>
          <w:highlight w:val="none"/>
        </w:rPr>
      </w:pPr>
    </w:p>
    <w:p w14:paraId="05BB178A">
      <w:pPr>
        <w:pStyle w:val="34"/>
        <w:rPr>
          <w:rFonts w:hint="eastAsia"/>
          <w:color w:val="auto"/>
          <w:highlight w:val="none"/>
        </w:rPr>
      </w:pPr>
    </w:p>
    <w:p w14:paraId="0E7980AB">
      <w:pPr>
        <w:pStyle w:val="34"/>
        <w:rPr>
          <w:rFonts w:hint="eastAsia"/>
          <w:color w:val="auto"/>
          <w:highlight w:val="none"/>
        </w:rPr>
      </w:pPr>
    </w:p>
    <w:p w14:paraId="5A09B930">
      <w:pPr>
        <w:pStyle w:val="34"/>
        <w:rPr>
          <w:rFonts w:hint="eastAsia"/>
          <w:color w:val="auto"/>
          <w:highlight w:val="none"/>
        </w:rPr>
      </w:pPr>
    </w:p>
    <w:p w14:paraId="3FB1F62E">
      <w:pPr>
        <w:pStyle w:val="34"/>
        <w:rPr>
          <w:rFonts w:hint="eastAsia"/>
          <w:color w:val="auto"/>
          <w:highlight w:val="none"/>
        </w:rPr>
      </w:pPr>
    </w:p>
    <w:p w14:paraId="43B020C2">
      <w:pPr>
        <w:pStyle w:val="34"/>
        <w:rPr>
          <w:rFonts w:hint="eastAsia"/>
          <w:color w:val="auto"/>
          <w:highlight w:val="none"/>
        </w:rPr>
      </w:pPr>
    </w:p>
    <w:p w14:paraId="04384634">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47D3E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FC23E9A">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79E32CA">
      <w:pPr>
        <w:autoSpaceDE w:val="0"/>
        <w:autoSpaceDN w:val="0"/>
        <w:adjustRightInd w:val="0"/>
        <w:rPr>
          <w:color w:val="auto"/>
          <w:sz w:val="21"/>
          <w:szCs w:val="24"/>
          <w:highlight w:val="none"/>
        </w:rPr>
      </w:pPr>
    </w:p>
    <w:p w14:paraId="2CC27B4B">
      <w:pPr>
        <w:autoSpaceDE w:val="0"/>
        <w:autoSpaceDN w:val="0"/>
        <w:adjustRightInd w:val="0"/>
        <w:rPr>
          <w:color w:val="auto"/>
          <w:sz w:val="21"/>
          <w:szCs w:val="24"/>
          <w:highlight w:val="none"/>
        </w:rPr>
      </w:pPr>
    </w:p>
    <w:p w14:paraId="63CA31F9">
      <w:pPr>
        <w:autoSpaceDE w:val="0"/>
        <w:autoSpaceDN w:val="0"/>
        <w:adjustRightInd w:val="0"/>
        <w:jc w:val="center"/>
        <w:rPr>
          <w:color w:val="auto"/>
          <w:sz w:val="21"/>
          <w:szCs w:val="24"/>
          <w:highlight w:val="none"/>
        </w:rPr>
      </w:pPr>
    </w:p>
    <w:p w14:paraId="0F2A8793">
      <w:pPr>
        <w:pStyle w:val="2"/>
        <w:bidi w:val="0"/>
        <w:spacing w:line="360" w:lineRule="auto"/>
        <w:rPr>
          <w:rFonts w:hint="eastAsia" w:ascii="黑体" w:hAnsi="黑体" w:eastAsia="黑体" w:cs="黑体"/>
          <w:color w:val="auto"/>
          <w:sz w:val="72"/>
          <w:szCs w:val="72"/>
          <w:highlight w:val="none"/>
        </w:rPr>
      </w:pPr>
      <w:bookmarkStart w:id="568" w:name="_Toc2518"/>
      <w:r>
        <w:rPr>
          <w:rFonts w:hint="eastAsia" w:ascii="黑体" w:hAnsi="黑体" w:eastAsia="黑体" w:cs="黑体"/>
          <w:color w:val="auto"/>
          <w:sz w:val="72"/>
          <w:szCs w:val="72"/>
          <w:highlight w:val="none"/>
          <w:lang w:val="en-US" w:eastAsia="zh-CN"/>
        </w:rPr>
        <w:t>响 应</w:t>
      </w:r>
      <w:r>
        <w:rPr>
          <w:rFonts w:hint="eastAsia" w:ascii="黑体" w:hAnsi="黑体" w:eastAsia="黑体" w:cs="黑体"/>
          <w:color w:val="auto"/>
          <w:sz w:val="72"/>
          <w:szCs w:val="72"/>
          <w:highlight w:val="none"/>
        </w:rPr>
        <w:t xml:space="preserve"> 文 件</w:t>
      </w:r>
      <w:bookmarkEnd w:id="568"/>
    </w:p>
    <w:p w14:paraId="383861DE">
      <w:pPr>
        <w:pStyle w:val="2"/>
        <w:bidi w:val="0"/>
        <w:spacing w:line="360" w:lineRule="auto"/>
        <w:rPr>
          <w:rFonts w:hint="eastAsia" w:ascii="黑体" w:hAnsi="黑体" w:eastAsia="黑体" w:cs="黑体"/>
          <w:color w:val="auto"/>
          <w:sz w:val="72"/>
          <w:szCs w:val="72"/>
          <w:highlight w:val="none"/>
          <w:lang w:val="en-US" w:eastAsia="zh-CN"/>
        </w:rPr>
      </w:pPr>
      <w:bookmarkStart w:id="569" w:name="_Toc9782"/>
      <w:r>
        <w:rPr>
          <w:rFonts w:hint="eastAsia" w:ascii="黑体" w:hAnsi="黑体" w:eastAsia="黑体" w:cs="黑体"/>
          <w:color w:val="auto"/>
          <w:sz w:val="72"/>
          <w:szCs w:val="72"/>
          <w:highlight w:val="none"/>
          <w:lang w:val="en-US" w:eastAsia="zh-CN"/>
        </w:rPr>
        <w:t>报价文件</w:t>
      </w:r>
      <w:bookmarkEnd w:id="569"/>
    </w:p>
    <w:p w14:paraId="798A956E">
      <w:pPr>
        <w:outlineLvl w:val="9"/>
        <w:rPr>
          <w:color w:val="auto"/>
          <w:sz w:val="21"/>
          <w:szCs w:val="21"/>
          <w:highlight w:val="none"/>
        </w:rPr>
      </w:pPr>
    </w:p>
    <w:p w14:paraId="24B6A268">
      <w:pPr>
        <w:rPr>
          <w:color w:val="auto"/>
          <w:sz w:val="21"/>
          <w:szCs w:val="21"/>
          <w:highlight w:val="none"/>
        </w:rPr>
      </w:pPr>
    </w:p>
    <w:p w14:paraId="3DC104B3">
      <w:pPr>
        <w:rPr>
          <w:color w:val="auto"/>
          <w:highlight w:val="none"/>
        </w:rPr>
      </w:pPr>
    </w:p>
    <w:p w14:paraId="74A7A117">
      <w:pPr>
        <w:autoSpaceDE w:val="0"/>
        <w:autoSpaceDN w:val="0"/>
        <w:adjustRightInd w:val="0"/>
        <w:rPr>
          <w:color w:val="auto"/>
          <w:sz w:val="21"/>
          <w:szCs w:val="21"/>
          <w:highlight w:val="none"/>
        </w:rPr>
      </w:pPr>
    </w:p>
    <w:p w14:paraId="6EE89269">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17D47AB2">
      <w:pPr>
        <w:ind w:left="840" w:firstLine="420"/>
        <w:rPr>
          <w:b/>
          <w:bCs/>
          <w:color w:val="auto"/>
          <w:sz w:val="28"/>
          <w:szCs w:val="28"/>
          <w:highlight w:val="none"/>
        </w:rPr>
      </w:pPr>
    </w:p>
    <w:p w14:paraId="6C0FD82C">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6AD284A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570" w:name="_Toc16501"/>
      <w:bookmarkStart w:id="571" w:name="_Toc8562"/>
    </w:p>
    <w:p w14:paraId="2AB3D72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cs="仿宋_GB2312"/>
          <w:color w:val="auto"/>
          <w:szCs w:val="24"/>
          <w:highlight w:val="none"/>
        </w:rPr>
      </w:pPr>
      <w:r>
        <w:rPr>
          <w:rFonts w:hint="eastAsia" w:cstheme="majorBidi"/>
          <w:b/>
          <w:bCs/>
          <w:color w:val="auto"/>
          <w:kern w:val="2"/>
          <w:sz w:val="32"/>
          <w:szCs w:val="32"/>
          <w:highlight w:val="none"/>
          <w:lang w:val="en-US" w:eastAsia="zh-CN" w:bidi="ar-SA"/>
        </w:rPr>
        <w:t>一、报价一览表</w:t>
      </w:r>
      <w:bookmarkEnd w:id="570"/>
      <w:bookmarkEnd w:id="571"/>
    </w:p>
    <w:p w14:paraId="72C2F413">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28"/>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2207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7131583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0E37FD3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50AAECC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64EFF4C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7FD9FC2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0FBE8D9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4F1A3E5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2BA19B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235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17BB7AF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4AB7A38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778167B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A7BFF2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3DEC779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22B677F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0736A57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4293A20B">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409F2FE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BBE6CA1">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1AB6324B">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3B7E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15920B5F">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48B2E58A">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69A55077">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7BE34DC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75C990B5">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2198759D">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29B412F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70729A6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8A000B6">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1F087F76">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635077D">
            <w:pPr>
              <w:tabs>
                <w:tab w:val="left" w:pos="9135"/>
              </w:tabs>
              <w:spacing w:line="360" w:lineRule="auto"/>
              <w:rPr>
                <w:rFonts w:hint="eastAsia" w:ascii="宋体" w:hAnsi="宋体" w:eastAsia="宋体" w:cs="宋体"/>
                <w:bCs/>
                <w:color w:val="auto"/>
                <w:sz w:val="21"/>
                <w:szCs w:val="21"/>
                <w:highlight w:val="none"/>
              </w:rPr>
            </w:pPr>
          </w:p>
        </w:tc>
      </w:tr>
      <w:tr w14:paraId="5D20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4D31803">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09BF7710">
            <w:pPr>
              <w:tabs>
                <w:tab w:val="left" w:pos="9135"/>
              </w:tabs>
              <w:spacing w:line="360" w:lineRule="auto"/>
              <w:jc w:val="center"/>
              <w:rPr>
                <w:rFonts w:hint="eastAsia" w:ascii="宋体" w:hAnsi="宋体" w:eastAsia="宋体" w:cs="宋体"/>
                <w:bCs/>
                <w:color w:val="auto"/>
                <w:sz w:val="21"/>
                <w:szCs w:val="21"/>
                <w:highlight w:val="none"/>
              </w:rPr>
            </w:pPr>
          </w:p>
        </w:tc>
      </w:tr>
      <w:tr w14:paraId="762D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61101E9D">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4439EF9">
            <w:pPr>
              <w:tabs>
                <w:tab w:val="left" w:pos="9135"/>
              </w:tabs>
              <w:spacing w:line="360" w:lineRule="auto"/>
              <w:jc w:val="center"/>
              <w:rPr>
                <w:rFonts w:hint="eastAsia" w:ascii="宋体" w:hAnsi="宋体" w:eastAsia="宋体" w:cs="宋体"/>
                <w:bCs/>
                <w:color w:val="auto"/>
                <w:sz w:val="21"/>
                <w:szCs w:val="21"/>
                <w:highlight w:val="none"/>
              </w:rPr>
            </w:pPr>
          </w:p>
        </w:tc>
      </w:tr>
      <w:tr w14:paraId="32DF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487" w:type="dxa"/>
            <w:gridSpan w:val="3"/>
            <w:noWrap w:val="0"/>
            <w:vAlign w:val="center"/>
          </w:tcPr>
          <w:p w14:paraId="288126B2">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71B18F67">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AC4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503552CA">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64EEEC04">
            <w:pPr>
              <w:pStyle w:val="27"/>
              <w:ind w:firstLine="0" w:firstLineChars="0"/>
              <w:rPr>
                <w:rFonts w:hint="eastAsia" w:ascii="宋体" w:hAnsi="宋体" w:eastAsia="宋体" w:cs="宋体"/>
                <w:bCs/>
                <w:color w:val="auto"/>
                <w:sz w:val="21"/>
                <w:szCs w:val="21"/>
                <w:highlight w:val="none"/>
              </w:rPr>
            </w:pPr>
          </w:p>
        </w:tc>
      </w:tr>
    </w:tbl>
    <w:p w14:paraId="075FEC29">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63BAF421">
      <w:pPr>
        <w:pStyle w:val="11"/>
        <w:ind w:firstLine="12240" w:firstLineChars="5100"/>
        <w:rPr>
          <w:rFonts w:hint="eastAsia" w:ascii="Arial" w:hAnsi="Arial" w:eastAsia="宋体" w:cs="Arial"/>
          <w:color w:val="auto"/>
          <w:kern w:val="2"/>
          <w:sz w:val="24"/>
          <w:szCs w:val="21"/>
          <w:highlight w:val="none"/>
          <w:lang w:val="en-US" w:eastAsia="zh-CN" w:bidi="ar-SA"/>
        </w:rPr>
      </w:pPr>
      <w:r>
        <w:rPr>
          <w:rFonts w:hint="eastAsia" w:ascii="Arial" w:hAnsi="Arial" w:eastAsia="宋体" w:cs="Arial"/>
          <w:color w:val="auto"/>
          <w:kern w:val="2"/>
          <w:sz w:val="24"/>
          <w:szCs w:val="21"/>
          <w:highlight w:val="none"/>
          <w:lang w:val="en-US" w:eastAsia="zh-CN" w:bidi="ar-SA"/>
        </w:rPr>
        <w:t>日期：</w:t>
      </w:r>
    </w:p>
    <w:p w14:paraId="54CAC625">
      <w:pPr>
        <w:pStyle w:val="11"/>
        <w:rPr>
          <w:rFonts w:cs="Arial"/>
          <w:color w:val="auto"/>
          <w:szCs w:val="24"/>
          <w:highlight w:val="none"/>
        </w:rPr>
      </w:pPr>
    </w:p>
    <w:p w14:paraId="5517B53E">
      <w:pPr>
        <w:spacing w:line="360" w:lineRule="auto"/>
        <w:rPr>
          <w:rFonts w:hint="eastAsia" w:ascii="宋体" w:hAnsi="宋体" w:eastAsia="宋体" w:cs="宋体"/>
          <w:b/>
          <w:color w:val="auto"/>
          <w:sz w:val="21"/>
          <w:szCs w:val="21"/>
          <w:highlight w:val="none"/>
          <w:lang w:eastAsia="zh-CN"/>
        </w:rPr>
        <w:sectPr>
          <w:pgSz w:w="16838" w:h="11906" w:orient="landscape"/>
          <w:pgMar w:top="1803" w:right="1440" w:bottom="1803" w:left="1440" w:header="851" w:footer="992" w:gutter="0"/>
          <w:pgNumType w:fmt="numberInDash"/>
          <w:cols w:space="0" w:num="1"/>
          <w:rtlGutter w:val="0"/>
          <w:docGrid w:type="lines" w:linePitch="332" w:charSpace="0"/>
        </w:sect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EA685B">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.表中投标报价即为优惠后报价，并作为评审及定标依据。任何有选择或有条件的投标报价，或者表中某一包填写多个报价，均为无效报价。</w:t>
      </w:r>
    </w:p>
    <w:p w14:paraId="36F2F89E">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.表中大写与小写不一致的，以大写为准。</w:t>
      </w:r>
    </w:p>
    <w:p w14:paraId="601B5136">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报价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6C7BD91">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.特殊事项在备注中注明。</w:t>
      </w:r>
    </w:p>
    <w:p w14:paraId="5F6C8EBC">
      <w:pPr>
        <w:pStyle w:val="11"/>
        <w:ind w:firstLine="480" w:firstLineChars="200"/>
        <w:rPr>
          <w:rFonts w:hint="eastAsia" w:ascii="宋体" w:hAnsi="宋体" w:eastAsia="宋体" w:cs="宋体"/>
          <w:color w:val="auto"/>
          <w:sz w:val="24"/>
          <w:szCs w:val="24"/>
          <w:highlight w:val="none"/>
        </w:rPr>
        <w:sectPr>
          <w:pgSz w:w="11906" w:h="16838"/>
          <w:pgMar w:top="1440" w:right="1803" w:bottom="1440" w:left="1803" w:header="851" w:footer="992" w:gutter="0"/>
          <w:pgNumType w:fmt="numberInDash"/>
          <w:cols w:space="0" w:num="1"/>
          <w:rtlGutter w:val="0"/>
          <w:docGrid w:type="lines" w:linePitch="33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2" w:name="_Toc22648"/>
      <w:bookmarkStart w:id="573" w:name="_Toc26650"/>
      <w:r>
        <w:rPr>
          <w:rFonts w:hint="eastAsia" w:cstheme="majorBidi"/>
          <w:b/>
          <w:bCs/>
          <w:color w:val="auto"/>
          <w:kern w:val="2"/>
          <w:sz w:val="32"/>
          <w:szCs w:val="32"/>
          <w:highlight w:val="none"/>
          <w:lang w:val="en-US" w:eastAsia="zh-CN" w:bidi="ar-SA"/>
        </w:rPr>
        <w:t>二、分项报价表</w:t>
      </w:r>
      <w:bookmarkEnd w:id="572"/>
      <w:bookmarkEnd w:id="573"/>
    </w:p>
    <w:p w14:paraId="7FF3B3C8">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28"/>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302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492D269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52D605A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4E146F1C">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0009B22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43970EF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7AF3248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51974DD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C9DCEF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52F0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68C6A7E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249385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13B2621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C93B27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7F4FAFC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5DB12F0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5CD1F0E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56720F8E">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C46154A">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2BD7F080">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2FA42737">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5A27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5E9A987C">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6BCD375E">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29755654">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284DF5B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37461F62">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4F47F66F">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0E0815C5">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00C1214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2DA8EBC">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0E3FF8B">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405D81A">
            <w:pPr>
              <w:tabs>
                <w:tab w:val="left" w:pos="9135"/>
              </w:tabs>
              <w:spacing w:line="360" w:lineRule="auto"/>
              <w:rPr>
                <w:rFonts w:hint="eastAsia" w:ascii="宋体" w:hAnsi="宋体" w:eastAsia="宋体" w:cs="宋体"/>
                <w:bCs/>
                <w:color w:val="auto"/>
                <w:sz w:val="21"/>
                <w:szCs w:val="21"/>
                <w:highlight w:val="none"/>
              </w:rPr>
            </w:pPr>
          </w:p>
        </w:tc>
      </w:tr>
      <w:tr w14:paraId="61FD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4ED38D3A">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624B0321">
            <w:pPr>
              <w:tabs>
                <w:tab w:val="left" w:pos="9135"/>
              </w:tabs>
              <w:spacing w:line="360" w:lineRule="auto"/>
              <w:jc w:val="center"/>
              <w:rPr>
                <w:rFonts w:hint="eastAsia" w:ascii="宋体" w:hAnsi="宋体" w:eastAsia="宋体" w:cs="宋体"/>
                <w:bCs/>
                <w:color w:val="auto"/>
                <w:sz w:val="21"/>
                <w:szCs w:val="21"/>
                <w:highlight w:val="none"/>
              </w:rPr>
            </w:pPr>
          </w:p>
        </w:tc>
      </w:tr>
      <w:tr w14:paraId="15E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162BAEF">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A92D617">
            <w:pPr>
              <w:tabs>
                <w:tab w:val="left" w:pos="9135"/>
              </w:tabs>
              <w:spacing w:line="360" w:lineRule="auto"/>
              <w:jc w:val="center"/>
              <w:rPr>
                <w:rFonts w:hint="eastAsia" w:ascii="宋体" w:hAnsi="宋体" w:eastAsia="宋体" w:cs="宋体"/>
                <w:bCs/>
                <w:color w:val="auto"/>
                <w:sz w:val="21"/>
                <w:szCs w:val="21"/>
                <w:highlight w:val="none"/>
              </w:rPr>
            </w:pPr>
          </w:p>
        </w:tc>
      </w:tr>
      <w:tr w14:paraId="2408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487" w:type="dxa"/>
            <w:gridSpan w:val="3"/>
            <w:noWrap w:val="0"/>
            <w:vAlign w:val="center"/>
          </w:tcPr>
          <w:p w14:paraId="58621A16">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6484E888">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FF3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4E620967">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73A45FB9">
            <w:pPr>
              <w:pStyle w:val="27"/>
              <w:ind w:firstLine="0" w:firstLineChars="0"/>
              <w:rPr>
                <w:rFonts w:hint="eastAsia" w:ascii="宋体" w:hAnsi="宋体" w:eastAsia="宋体" w:cs="宋体"/>
                <w:bCs/>
                <w:color w:val="auto"/>
                <w:sz w:val="21"/>
                <w:szCs w:val="21"/>
                <w:highlight w:val="none"/>
              </w:rPr>
            </w:pPr>
          </w:p>
        </w:tc>
      </w:tr>
    </w:tbl>
    <w:p w14:paraId="2768932D">
      <w:pPr>
        <w:shd w:val="clear"/>
        <w:rPr>
          <w:rFonts w:hint="eastAsia"/>
          <w:b w:val="0"/>
          <w:bCs/>
          <w:color w:val="auto"/>
          <w:szCs w:val="21"/>
          <w:highlight w:val="none"/>
          <w:u w:val="single"/>
          <w:shd w:val="clear" w:color="auto" w:fill="auto"/>
          <w:lang w:val="en-US" w:eastAsia="zh-CN"/>
        </w:rPr>
      </w:pPr>
    </w:p>
    <w:p w14:paraId="51101AF7">
      <w:pPr>
        <w:spacing w:line="300" w:lineRule="auto"/>
        <w:rPr>
          <w:rFonts w:ascii="Arial" w:hAnsi="Arial" w:cs="Arial"/>
          <w:color w:val="auto"/>
          <w:szCs w:val="21"/>
          <w:highlight w:val="none"/>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7628D55">
      <w:pPr>
        <w:spacing w:line="240" w:lineRule="auto"/>
        <w:rPr>
          <w:rFonts w:hint="eastAsia" w:ascii="宋体" w:hAnsi="宋体" w:eastAsia="宋体" w:cs="宋体"/>
          <w:b/>
          <w:color w:val="auto"/>
          <w:sz w:val="24"/>
          <w:szCs w:val="24"/>
          <w:highlight w:val="none"/>
          <w:lang w:eastAsia="zh-CN"/>
        </w:rPr>
      </w:pPr>
    </w:p>
    <w:p w14:paraId="467BC50E">
      <w:pPr>
        <w:spacing w:line="360" w:lineRule="auto"/>
        <w:rPr>
          <w:rFonts w:hint="eastAsia" w:ascii="宋体" w:hAnsi="宋体" w:eastAsia="宋体" w:cs="宋体"/>
          <w:b/>
          <w:color w:val="auto"/>
          <w:sz w:val="21"/>
          <w:szCs w:val="21"/>
          <w:highlight w:val="none"/>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63F3657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1.按照本表填写的总价填写到“</w:t>
      </w:r>
      <w:r>
        <w:rPr>
          <w:rFonts w:hint="eastAsia"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一览表”中对应的“投标报价”栏中。</w:t>
      </w:r>
    </w:p>
    <w:p w14:paraId="014946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表中所列货物为对应本项目需求的全部货物及所需附件购置费、包装费、运输费、人工费、保险费、安装调试费、各种税费、资料费、售后服务费及完成项目应有的全部费用。国家强制计量单位设备初次检定费用（如有）由中标供应商支付。如有漏项或缺项，投标人承担全部责任。</w:t>
      </w:r>
    </w:p>
    <w:p w14:paraId="7D0308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3.供应商需对第三章技术参数中所要求的的每种设备报价，其余附件及软件（如有）等配件不需单独报价，详列在配置清单内。</w:t>
      </w:r>
    </w:p>
    <w:p w14:paraId="66C30D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4.折扣条件与折扣声明应在表下注明。</w:t>
      </w:r>
    </w:p>
    <w:p w14:paraId="4DDBE92D">
      <w:pPr>
        <w:rPr>
          <w:rFonts w:hint="eastAsia" w:ascii="宋体" w:hAnsi="宋体" w:eastAsia="宋体" w:cs="宋体"/>
          <w:b w:val="0"/>
          <w:bCs w:val="0"/>
          <w:i w:val="0"/>
          <w:iCs w:val="0"/>
          <w:color w:val="auto"/>
          <w:kern w:val="0"/>
          <w:sz w:val="21"/>
          <w:szCs w:val="21"/>
          <w:highlight w:val="none"/>
          <w:lang w:val="en-US" w:eastAsia="zh-CN" w:bidi="ar"/>
        </w:rPr>
      </w:pPr>
      <w:bookmarkStart w:id="574" w:name="_Toc4379"/>
      <w:r>
        <w:rPr>
          <w:rFonts w:hint="eastAsia" w:ascii="宋体" w:hAnsi="宋体" w:eastAsia="宋体" w:cs="宋体"/>
          <w:b w:val="0"/>
          <w:bCs w:val="0"/>
          <w:i w:val="0"/>
          <w:iCs w:val="0"/>
          <w:color w:val="auto"/>
          <w:kern w:val="0"/>
          <w:sz w:val="21"/>
          <w:szCs w:val="21"/>
          <w:highlight w:val="none"/>
          <w:lang w:val="en-US" w:eastAsia="zh-CN" w:bidi="ar"/>
        </w:rPr>
        <w:br w:type="page"/>
      </w:r>
    </w:p>
    <w:bookmarkEnd w:id="574"/>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5" w:name="_Toc11961"/>
      <w:r>
        <w:rPr>
          <w:rFonts w:hint="eastAsia" w:cstheme="majorBidi"/>
          <w:b/>
          <w:bCs/>
          <w:color w:val="auto"/>
          <w:kern w:val="2"/>
          <w:sz w:val="32"/>
          <w:szCs w:val="32"/>
          <w:highlight w:val="none"/>
          <w:lang w:val="en-US" w:eastAsia="zh-CN" w:bidi="ar-SA"/>
        </w:rPr>
        <w:t>三、关于符合本国产品标准的声明函或财政部规定的其他</w:t>
      </w:r>
      <w:bookmarkEnd w:id="575"/>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6" w:name="_Toc3"/>
      <w:r>
        <w:rPr>
          <w:rFonts w:hint="eastAsia" w:cstheme="majorBidi"/>
          <w:b/>
          <w:bCs/>
          <w:color w:val="auto"/>
          <w:kern w:val="2"/>
          <w:sz w:val="32"/>
          <w:szCs w:val="32"/>
          <w:highlight w:val="none"/>
          <w:lang w:val="en-US" w:eastAsia="zh-CN" w:bidi="ar-SA"/>
        </w:rPr>
        <w:t>证明文件</w:t>
      </w:r>
      <w:bookmarkEnd w:id="576"/>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B39FE9E">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3DED44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64FB4B2">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EC829F4">
      <w:pPr>
        <w:autoSpaceDE w:val="0"/>
        <w:autoSpaceDN w:val="0"/>
        <w:adjustRightInd w:val="0"/>
        <w:rPr>
          <w:color w:val="auto"/>
          <w:sz w:val="21"/>
          <w:szCs w:val="24"/>
          <w:highlight w:val="none"/>
        </w:rPr>
      </w:pPr>
    </w:p>
    <w:p w14:paraId="0D39B890">
      <w:pPr>
        <w:autoSpaceDE w:val="0"/>
        <w:autoSpaceDN w:val="0"/>
        <w:adjustRightInd w:val="0"/>
        <w:rPr>
          <w:color w:val="auto"/>
          <w:sz w:val="21"/>
          <w:szCs w:val="24"/>
          <w:highlight w:val="none"/>
        </w:rPr>
      </w:pPr>
    </w:p>
    <w:p w14:paraId="2314362E">
      <w:pPr>
        <w:autoSpaceDE w:val="0"/>
        <w:autoSpaceDN w:val="0"/>
        <w:adjustRightInd w:val="0"/>
        <w:jc w:val="center"/>
        <w:rPr>
          <w:color w:val="auto"/>
          <w:sz w:val="21"/>
          <w:szCs w:val="24"/>
          <w:highlight w:val="none"/>
        </w:rPr>
      </w:pPr>
    </w:p>
    <w:p w14:paraId="6E0AECFB">
      <w:pPr>
        <w:pStyle w:val="2"/>
        <w:bidi w:val="0"/>
        <w:rPr>
          <w:color w:val="auto"/>
          <w:sz w:val="72"/>
          <w:szCs w:val="72"/>
          <w:highlight w:val="none"/>
        </w:rPr>
      </w:pPr>
      <w:bookmarkStart w:id="577" w:name="_Toc32227"/>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577"/>
    </w:p>
    <w:p w14:paraId="4AF2D630">
      <w:pPr>
        <w:pStyle w:val="2"/>
        <w:bidi w:val="0"/>
        <w:rPr>
          <w:rFonts w:hint="eastAsia"/>
          <w:color w:val="auto"/>
          <w:sz w:val="72"/>
          <w:szCs w:val="72"/>
          <w:highlight w:val="none"/>
          <w:lang w:val="en-US" w:eastAsia="zh-CN"/>
        </w:rPr>
      </w:pPr>
      <w:bookmarkStart w:id="578" w:name="_Toc19324"/>
      <w:r>
        <w:rPr>
          <w:rFonts w:hint="eastAsia"/>
          <w:color w:val="auto"/>
          <w:sz w:val="72"/>
          <w:szCs w:val="72"/>
          <w:highlight w:val="none"/>
          <w:lang w:val="en-US" w:eastAsia="zh-CN"/>
        </w:rPr>
        <w:t>商务技术文件</w:t>
      </w:r>
      <w:bookmarkEnd w:id="578"/>
    </w:p>
    <w:p w14:paraId="4C52C730">
      <w:pPr>
        <w:outlineLvl w:val="9"/>
        <w:rPr>
          <w:color w:val="auto"/>
          <w:sz w:val="21"/>
          <w:szCs w:val="21"/>
          <w:highlight w:val="none"/>
        </w:rPr>
      </w:pPr>
    </w:p>
    <w:p w14:paraId="14C1B3A8">
      <w:pPr>
        <w:rPr>
          <w:color w:val="auto"/>
          <w:sz w:val="21"/>
          <w:szCs w:val="21"/>
          <w:highlight w:val="none"/>
        </w:rPr>
      </w:pPr>
    </w:p>
    <w:p w14:paraId="15227E06">
      <w:pPr>
        <w:rPr>
          <w:color w:val="auto"/>
          <w:highlight w:val="none"/>
        </w:rPr>
      </w:pPr>
    </w:p>
    <w:p w14:paraId="41D881B8">
      <w:pPr>
        <w:autoSpaceDE w:val="0"/>
        <w:autoSpaceDN w:val="0"/>
        <w:adjustRightInd w:val="0"/>
        <w:rPr>
          <w:color w:val="auto"/>
          <w:sz w:val="21"/>
          <w:szCs w:val="21"/>
          <w:highlight w:val="none"/>
        </w:rPr>
      </w:pPr>
    </w:p>
    <w:p w14:paraId="1C7F5439">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C5E0224">
      <w:pPr>
        <w:jc w:val="center"/>
        <w:rPr>
          <w:rFonts w:ascii="黑体" w:hAnsi="黑体" w:eastAsia="黑体"/>
          <w:color w:val="auto"/>
          <w:sz w:val="32"/>
          <w:szCs w:val="32"/>
          <w:highlight w:val="none"/>
        </w:rPr>
      </w:pP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9" w:name="_Toc30642"/>
      <w:bookmarkStart w:id="580" w:name="_Toc3577"/>
      <w:bookmarkStart w:id="581" w:name="_Toc25402"/>
      <w:bookmarkStart w:id="582" w:name="_Toc109899489"/>
      <w:bookmarkStart w:id="583" w:name="_Toc109899908"/>
      <w:bookmarkStart w:id="584" w:name="_Toc4097"/>
      <w:bookmarkStart w:id="585" w:name="_Toc109900327"/>
      <w:bookmarkStart w:id="586" w:name="_Toc155185921"/>
      <w:bookmarkStart w:id="587" w:name="_Toc140132831"/>
      <w:r>
        <w:rPr>
          <w:rFonts w:hint="eastAsia" w:eastAsia="宋体" w:asciiTheme="majorHAnsi" w:hAnsiTheme="majorHAnsi" w:cstheme="majorBidi"/>
          <w:b/>
          <w:bCs/>
          <w:color w:val="auto"/>
          <w:kern w:val="2"/>
          <w:sz w:val="32"/>
          <w:szCs w:val="32"/>
          <w:highlight w:val="none"/>
          <w:lang w:val="en-US" w:eastAsia="zh-CN" w:bidi="ar-SA"/>
        </w:rPr>
        <w:t>一、</w:t>
      </w:r>
      <w:r>
        <w:rPr>
          <w:rFonts w:hint="eastAsia" w:cstheme="majorBidi"/>
          <w:b/>
          <w:bCs/>
          <w:color w:val="auto"/>
          <w:kern w:val="2"/>
          <w:sz w:val="32"/>
          <w:szCs w:val="32"/>
          <w:highlight w:val="none"/>
          <w:lang w:val="en-US" w:eastAsia="zh-CN" w:bidi="ar-SA"/>
        </w:rPr>
        <w:t>响应</w:t>
      </w:r>
      <w:r>
        <w:rPr>
          <w:rFonts w:hint="eastAsia" w:eastAsia="宋体" w:asciiTheme="majorHAnsi" w:hAnsiTheme="majorHAnsi" w:cstheme="majorBidi"/>
          <w:b/>
          <w:bCs/>
          <w:color w:val="auto"/>
          <w:kern w:val="2"/>
          <w:sz w:val="32"/>
          <w:szCs w:val="32"/>
          <w:highlight w:val="none"/>
          <w:lang w:val="en-US" w:eastAsia="zh-CN" w:bidi="ar-SA"/>
        </w:rPr>
        <w:t>函</w:t>
      </w:r>
      <w:bookmarkEnd w:id="579"/>
      <w:bookmarkEnd w:id="580"/>
      <w:bookmarkEnd w:id="581"/>
      <w:bookmarkEnd w:id="582"/>
      <w:bookmarkEnd w:id="583"/>
      <w:bookmarkEnd w:id="584"/>
      <w:bookmarkEnd w:id="585"/>
      <w:bookmarkEnd w:id="586"/>
      <w:bookmarkEnd w:id="58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竞争性谈判公告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w:t>
      </w:r>
      <w:r>
        <w:rPr>
          <w:rFonts w:hint="eastAsia" w:cs="仿宋_GB2312"/>
          <w:color w:val="auto"/>
          <w:szCs w:val="24"/>
          <w:highlight w:val="none"/>
          <w:lang w:val="en-US" w:eastAsia="zh-CN"/>
        </w:rPr>
        <w:t>供应商</w:t>
      </w:r>
      <w:r>
        <w:rPr>
          <w:rFonts w:hint="eastAsia" w:cs="仿宋_GB2312"/>
          <w:color w:val="auto"/>
          <w:szCs w:val="24"/>
          <w:highlight w:val="none"/>
          <w:u w:val="single"/>
        </w:rPr>
        <w:t>（</w:t>
      </w:r>
      <w:r>
        <w:rPr>
          <w:rFonts w:hint="eastAsia" w:cs="仿宋_GB2312"/>
          <w:color w:val="auto"/>
          <w:szCs w:val="24"/>
          <w:highlight w:val="none"/>
          <w:u w:val="single"/>
          <w:lang w:val="en-US" w:eastAsia="zh-CN"/>
        </w:rPr>
        <w:t>供应商</w:t>
      </w:r>
      <w:r>
        <w:rPr>
          <w:rFonts w:hint="eastAsia" w:cs="仿宋_GB2312"/>
          <w:color w:val="auto"/>
          <w:szCs w:val="24"/>
          <w:highlight w:val="none"/>
          <w:u w:val="single"/>
        </w:rPr>
        <w:t>名称、地址）</w:t>
      </w:r>
      <w:r>
        <w:rPr>
          <w:rFonts w:hint="eastAsia" w:cs="仿宋_GB2312"/>
          <w:color w:val="auto"/>
          <w:szCs w:val="24"/>
          <w:highlight w:val="none"/>
        </w:rPr>
        <w:t>提交下述文件</w:t>
      </w:r>
      <w:r>
        <w:rPr>
          <w:rFonts w:hint="eastAsia" w:cs="仿宋_GB2312"/>
          <w:b/>
          <w:bCs/>
          <w:color w:val="auto"/>
          <w:szCs w:val="24"/>
          <w:highlight w:val="none"/>
        </w:rPr>
        <w:t>：</w:t>
      </w:r>
    </w:p>
    <w:p w14:paraId="31DE4B23">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1.资格证明文件；</w:t>
      </w:r>
    </w:p>
    <w:p w14:paraId="7E086E9D">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2.报价文件；</w:t>
      </w:r>
    </w:p>
    <w:p w14:paraId="260B7A8D">
      <w:pPr>
        <w:spacing w:line="324" w:lineRule="auto"/>
        <w:ind w:firstLine="480" w:firstLineChars="200"/>
        <w:rPr>
          <w:rFonts w:hint="default" w:cs="Arial"/>
          <w:color w:val="auto"/>
          <w:szCs w:val="24"/>
          <w:highlight w:val="none"/>
          <w:lang w:val="en-US" w:eastAsia="zh-CN"/>
        </w:rPr>
      </w:pPr>
      <w:r>
        <w:rPr>
          <w:rFonts w:hint="eastAsia" w:cs="Arial"/>
          <w:color w:val="auto"/>
          <w:szCs w:val="24"/>
          <w:highlight w:val="none"/>
          <w:lang w:val="en-US" w:eastAsia="zh-CN"/>
        </w:rPr>
        <w:t>3.商务技术文件。</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w:t>
      </w:r>
      <w:r>
        <w:rPr>
          <w:rFonts w:hint="eastAsia" w:cs="Arial"/>
          <w:color w:val="auto"/>
          <w:szCs w:val="24"/>
          <w:highlight w:val="none"/>
          <w:lang w:val="en-US" w:eastAsia="zh-CN"/>
        </w:rPr>
        <w:t>报价一览</w:t>
      </w:r>
      <w:r>
        <w:rPr>
          <w:rFonts w:cs="Arial"/>
          <w:color w:val="auto"/>
          <w:szCs w:val="24"/>
          <w:highlight w:val="none"/>
        </w:rPr>
        <w:t>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w:t>
      </w:r>
      <w:r>
        <w:rPr>
          <w:rFonts w:hint="eastAsia" w:cs="仿宋_GB2312"/>
          <w:color w:val="auto"/>
          <w:szCs w:val="24"/>
          <w:highlight w:val="none"/>
          <w:lang w:val="en-US" w:eastAsia="zh-CN"/>
        </w:rPr>
        <w:t>竞争性谈判</w:t>
      </w:r>
      <w:r>
        <w:rPr>
          <w:rFonts w:cs="Arial"/>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w:t>
      </w:r>
      <w:r>
        <w:rPr>
          <w:rFonts w:hint="eastAsia" w:cs="仿宋_GB2312"/>
          <w:color w:val="auto"/>
          <w:szCs w:val="24"/>
          <w:highlight w:val="none"/>
          <w:lang w:val="en-US" w:eastAsia="zh-CN"/>
        </w:rPr>
        <w:t>竞争性谈判</w:t>
      </w:r>
      <w:r>
        <w:rPr>
          <w:rFonts w:cs="Arial"/>
          <w:color w:val="auto"/>
          <w:szCs w:val="24"/>
          <w:highlight w:val="none"/>
        </w:rPr>
        <w:t>文件</w:t>
      </w:r>
      <w:r>
        <w:rPr>
          <w:rFonts w:cs="Arial"/>
          <w:i w:val="0"/>
          <w:iCs w:val="0"/>
          <w:color w:val="auto"/>
          <w:szCs w:val="24"/>
          <w:highlight w:val="none"/>
        </w:rPr>
        <w:t>，包括第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竞争性谈判</w:t>
      </w:r>
      <w:r>
        <w:rPr>
          <w:rFonts w:hint="eastAsia" w:cs="Arial"/>
          <w:i w:val="0"/>
          <w:iCs w:val="0"/>
          <w:color w:val="auto"/>
          <w:szCs w:val="24"/>
          <w:highlight w:val="none"/>
        </w:rPr>
        <w:t>文件</w:t>
      </w:r>
      <w:r>
        <w:rPr>
          <w:rFonts w:cs="Arial"/>
          <w:i w:val="0"/>
          <w:iCs w:val="0"/>
          <w:color w:val="auto"/>
          <w:szCs w:val="24"/>
          <w:highlight w:val="none"/>
        </w:rPr>
        <w:t>要求的与</w:t>
      </w:r>
      <w:r>
        <w:rPr>
          <w:rFonts w:hint="eastAsia" w:cs="Arial"/>
          <w:i w:val="0"/>
          <w:iCs w:val="0"/>
          <w:color w:val="auto"/>
          <w:szCs w:val="24"/>
          <w:highlight w:val="none"/>
          <w:lang w:val="en-US" w:eastAsia="zh-CN"/>
        </w:rPr>
        <w:t>谈判响应</w:t>
      </w:r>
      <w:r>
        <w:rPr>
          <w:rFonts w:cs="Arial"/>
          <w:i w:val="0"/>
          <w:iCs w:val="0"/>
          <w:color w:val="auto"/>
          <w:szCs w:val="24"/>
          <w:highlight w:val="none"/>
        </w:rPr>
        <w:t>有关的一切数据或资料。</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w:t>
      </w:r>
      <w:r>
        <w:rPr>
          <w:rFonts w:hint="eastAsia"/>
          <w:color w:val="auto"/>
          <w:szCs w:val="24"/>
          <w:highlight w:val="none"/>
        </w:rPr>
        <w:t>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w:t>
      </w:r>
      <w:r>
        <w:rPr>
          <w:rFonts w:hint="eastAsia"/>
          <w:color w:val="auto"/>
          <w:szCs w:val="24"/>
          <w:highlight w:val="none"/>
          <w:lang w:val="en-US" w:eastAsia="zh-CN"/>
        </w:rPr>
        <w:t>响应</w:t>
      </w:r>
      <w:r>
        <w:rPr>
          <w:rFonts w:hint="eastAsia"/>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5）我方承诺本《</w:t>
      </w:r>
      <w:r>
        <w:rPr>
          <w:rFonts w:hint="eastAsia"/>
          <w:color w:val="auto"/>
          <w:szCs w:val="24"/>
          <w:highlight w:val="none"/>
          <w:lang w:val="en-US" w:eastAsia="zh-CN"/>
        </w:rPr>
        <w:t>响应</w:t>
      </w:r>
      <w:r>
        <w:rPr>
          <w:rFonts w:hint="eastAsia"/>
          <w:color w:val="auto"/>
          <w:szCs w:val="24"/>
          <w:highlight w:val="none"/>
        </w:rPr>
        <w:t>函》的签章对本</w:t>
      </w:r>
      <w:r>
        <w:rPr>
          <w:rFonts w:hint="eastAsia"/>
          <w:color w:val="auto"/>
          <w:szCs w:val="24"/>
          <w:highlight w:val="none"/>
          <w:lang w:val="en-US" w:eastAsia="zh-CN"/>
        </w:rPr>
        <w:t>响应</w:t>
      </w:r>
      <w:r>
        <w:rPr>
          <w:rFonts w:hint="eastAsia"/>
          <w:color w:val="auto"/>
          <w:szCs w:val="24"/>
          <w:highlight w:val="none"/>
        </w:rPr>
        <w:t>文件全部内容具有约束力并承担法律责任。</w:t>
      </w:r>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lang w:val="en-US" w:eastAsia="zh-CN"/>
        </w:rPr>
        <w:t>供应商名称</w:t>
      </w:r>
      <w:r>
        <w:rPr>
          <w:rFonts w:hint="eastAsia" w:cs="宋体"/>
          <w:color w:val="auto"/>
          <w:highlight w:val="none"/>
        </w:rPr>
        <w:t>（公章）：</w:t>
      </w:r>
    </w:p>
    <w:p w14:paraId="1186FA25">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88" w:name="_Toc13314"/>
      <w:bookmarkStart w:id="589" w:name="_Toc13659"/>
      <w:bookmarkStart w:id="590"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88"/>
      <w:bookmarkEnd w:id="589"/>
      <w:bookmarkEnd w:id="59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1" w:name="_Toc155185925"/>
      <w:bookmarkStart w:id="592" w:name="_Toc31851"/>
      <w:bookmarkStart w:id="593" w:name="_Toc1672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591"/>
      <w:bookmarkEnd w:id="592"/>
      <w:bookmarkEnd w:id="593"/>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w:t>
      </w:r>
      <w:r>
        <w:rPr>
          <w:rFonts w:hint="eastAsia" w:cs="仿宋_GB2312"/>
          <w:color w:val="auto"/>
          <w:szCs w:val="24"/>
          <w:highlight w:val="none"/>
          <w:u w:val="none"/>
          <w:lang w:val="en-US" w:eastAsia="zh-CN"/>
        </w:rPr>
        <w:t>供应商</w:t>
      </w:r>
      <w:r>
        <w:rPr>
          <w:rFonts w:hint="eastAsia" w:cs="仿宋_GB2312"/>
          <w:color w:val="auto"/>
          <w:szCs w:val="24"/>
          <w:highlight w:val="none"/>
          <w:u w:val="none"/>
        </w:rPr>
        <w:t>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w:t>
      </w:r>
      <w:r>
        <w:rPr>
          <w:rFonts w:hint="eastAsia" w:cs="仿宋_GB2312"/>
          <w:color w:val="auto"/>
          <w:szCs w:val="24"/>
          <w:highlight w:val="none"/>
          <w:lang w:val="en-US" w:eastAsia="zh-CN"/>
        </w:rPr>
        <w:t>响应</w:t>
      </w:r>
      <w:r>
        <w:rPr>
          <w:rFonts w:hint="eastAsia" w:cs="仿宋_GB2312"/>
          <w:color w:val="auto"/>
          <w:szCs w:val="24"/>
          <w:highlight w:val="none"/>
        </w:rPr>
        <w:t>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自本授权委托书签署之日起至响应文件有效期届满之日止。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u w:val="single"/>
          <w:lang w:val="en-US"/>
        </w:rPr>
      </w:pPr>
      <w:r>
        <w:rPr>
          <w:rFonts w:hint="eastAsia" w:ascii="宋体" w:hAnsi="宋体" w:eastAsia="宋体" w:cs="宋体"/>
          <w:color w:val="auto"/>
          <w:kern w:val="0"/>
          <w:sz w:val="24"/>
          <w:szCs w:val="24"/>
          <w:highlight w:val="none"/>
          <w:lang w:val="en-US" w:eastAsia="zh-CN" w:bidi="ar"/>
        </w:rPr>
        <w:t>委托代理人（签字或签章）：</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4" w:name="_Toc163492928"/>
      <w:bookmarkStart w:id="595" w:name="_Toc155185934"/>
      <w:bookmarkStart w:id="596" w:name="_Toc1090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594"/>
      <w:bookmarkEnd w:id="595"/>
      <w:r>
        <w:rPr>
          <w:rFonts w:hint="eastAsia" w:eastAsia="宋体" w:asciiTheme="majorHAnsi" w:hAnsiTheme="majorHAnsi" w:cstheme="majorBidi"/>
          <w:b/>
          <w:bCs/>
          <w:color w:val="auto"/>
          <w:kern w:val="2"/>
          <w:sz w:val="32"/>
          <w:szCs w:val="32"/>
          <w:highlight w:val="none"/>
          <w:lang w:val="zh-CN" w:eastAsia="zh-CN" w:bidi="ar-SA"/>
        </w:rPr>
        <w:t>政府采购供应商廉洁自律承诺书</w:t>
      </w:r>
      <w:bookmarkEnd w:id="596"/>
    </w:p>
    <w:p w14:paraId="2AB445CF">
      <w:pPr>
        <w:pStyle w:val="11"/>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w:t>
      </w:r>
      <w:r>
        <w:rPr>
          <w:rFonts w:hint="eastAsia" w:cs="宋体"/>
          <w:color w:val="auto"/>
          <w:kern w:val="0"/>
          <w:sz w:val="24"/>
          <w:szCs w:val="24"/>
          <w:highlight w:val="none"/>
          <w:lang w:val="en-US" w:eastAsia="zh-CN"/>
        </w:rPr>
        <w:t>竞争性谈判文件</w:t>
      </w:r>
      <w:r>
        <w:rPr>
          <w:rFonts w:hint="eastAsia" w:ascii="宋体" w:hAnsi="宋体" w:cs="宋体"/>
          <w:color w:val="auto"/>
          <w:kern w:val="0"/>
          <w:sz w:val="24"/>
          <w:szCs w:val="24"/>
          <w:highlight w:val="none"/>
          <w:lang w:val="zh-CN"/>
        </w:rPr>
        <w:t>要求参加</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。在这次</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过程中和</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cs="宋体"/>
          <w:color w:val="auto"/>
          <w:kern w:val="0"/>
          <w:sz w:val="24"/>
          <w:szCs w:val="24"/>
          <w:highlight w:val="none"/>
          <w:lang w:val="en-US" w:eastAsia="zh-CN"/>
        </w:rPr>
        <w:t>兵团</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1"/>
        <w:rPr>
          <w:rFonts w:hint="eastAsia" w:eastAsia="宋体" w:asciiTheme="majorHAnsi" w:hAnsiTheme="majorHAnsi" w:cstheme="majorBidi"/>
          <w:b/>
          <w:bCs/>
          <w:color w:val="auto"/>
          <w:kern w:val="2"/>
          <w:sz w:val="24"/>
          <w:szCs w:val="24"/>
          <w:highlight w:val="none"/>
          <w:lang w:val="en-US" w:eastAsia="zh-CN" w:bidi="ar-SA"/>
        </w:rPr>
      </w:pPr>
    </w:p>
    <w:p w14:paraId="2CC927CA">
      <w:pPr>
        <w:pStyle w:val="11"/>
        <w:rPr>
          <w:rFonts w:hint="eastAsia" w:eastAsia="宋体" w:asciiTheme="majorHAnsi" w:hAnsiTheme="majorHAnsi" w:cstheme="majorBidi"/>
          <w:b/>
          <w:bCs/>
          <w:color w:val="auto"/>
          <w:kern w:val="2"/>
          <w:sz w:val="24"/>
          <w:szCs w:val="24"/>
          <w:highlight w:val="none"/>
          <w:lang w:val="en-US" w:eastAsia="zh-CN" w:bidi="ar-SA"/>
        </w:rPr>
      </w:pPr>
    </w:p>
    <w:p w14:paraId="18FDCDE0">
      <w:pPr>
        <w:pStyle w:val="11"/>
        <w:rPr>
          <w:rFonts w:hint="eastAsia" w:eastAsia="宋体" w:asciiTheme="majorHAnsi" w:hAnsiTheme="majorHAnsi" w:cstheme="majorBidi"/>
          <w:b/>
          <w:bCs/>
          <w:color w:val="auto"/>
          <w:kern w:val="2"/>
          <w:sz w:val="24"/>
          <w:szCs w:val="24"/>
          <w:highlight w:val="none"/>
          <w:lang w:val="en-US" w:eastAsia="zh-CN" w:bidi="ar-SA"/>
        </w:rPr>
      </w:pPr>
    </w:p>
    <w:p w14:paraId="0D5FD3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7" w:name="_Toc19356"/>
      <w:r>
        <w:rPr>
          <w:rFonts w:hint="eastAsia" w:eastAsia="宋体" w:asciiTheme="majorHAnsi" w:hAnsiTheme="majorHAnsi" w:cstheme="majorBidi"/>
          <w:b/>
          <w:bCs/>
          <w:color w:val="auto"/>
          <w:kern w:val="2"/>
          <w:sz w:val="32"/>
          <w:szCs w:val="32"/>
          <w:highlight w:val="none"/>
          <w:lang w:val="en-US" w:eastAsia="zh-CN" w:bidi="ar-SA"/>
        </w:rPr>
        <w:t>五、实质性响应一览表</w:t>
      </w:r>
      <w:r>
        <w:rPr>
          <w:rFonts w:hint="eastAsia" w:eastAsia="宋体" w:asciiTheme="majorHAnsi" w:hAnsiTheme="majorHAnsi" w:cstheme="majorBidi"/>
          <w:b/>
          <w:bCs/>
          <w:color w:val="auto"/>
          <w:kern w:val="2"/>
          <w:sz w:val="32"/>
          <w:szCs w:val="32"/>
          <w:highlight w:val="none"/>
          <w:lang w:val="zh-CN" w:eastAsia="zh-CN" w:bidi="ar-SA"/>
        </w:rPr>
        <w:t>【</w:t>
      </w:r>
      <w:r>
        <w:rPr>
          <w:rFonts w:hint="eastAsia" w:eastAsia="宋体" w:asciiTheme="majorHAnsi" w:hAnsiTheme="majorHAnsi" w:cstheme="majorBidi"/>
          <w:b/>
          <w:bCs/>
          <w:color w:val="auto"/>
          <w:kern w:val="2"/>
          <w:sz w:val="32"/>
          <w:szCs w:val="32"/>
          <w:highlight w:val="none"/>
          <w:lang w:val="en-US" w:eastAsia="zh-CN" w:bidi="ar-SA"/>
        </w:rPr>
        <w:t>本表须与第四章的一致】</w:t>
      </w:r>
      <w:bookmarkEnd w:id="597"/>
    </w:p>
    <w:p w14:paraId="72869DE6">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val="0"/>
          <w:bCs/>
          <w:color w:val="auto"/>
          <w:sz w:val="24"/>
          <w:highlight w:val="none"/>
          <w:lang w:val="en-US" w:eastAsia="zh-CN"/>
        </w:rPr>
        <w:t>其</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597D85C2">
      <w:pPr>
        <w:pStyle w:val="21"/>
        <w:rPr>
          <w:rFonts w:hint="eastAsia" w:ascii="宋体" w:hAnsi="宋体" w:cs="宋体"/>
          <w:color w:val="auto"/>
          <w:highlight w:val="none"/>
        </w:rPr>
      </w:pPr>
    </w:p>
    <w:tbl>
      <w:tblPr>
        <w:tblStyle w:val="28"/>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94"/>
        <w:gridCol w:w="3668"/>
        <w:gridCol w:w="1956"/>
        <w:gridCol w:w="731"/>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文件具体</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4"/>
                <w:szCs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noWrap w:val="0"/>
            <w:vAlign w:val="center"/>
          </w:tcPr>
          <w:p w14:paraId="62EC5B93">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09" w:type="pct"/>
            <w:noWrap w:val="0"/>
            <w:vAlign w:val="center"/>
          </w:tcPr>
          <w:p w14:paraId="6450B6FD">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309" w:type="pct"/>
            <w:shd w:val="clear" w:color="auto" w:fill="auto"/>
            <w:noWrap w:val="0"/>
            <w:vAlign w:val="center"/>
          </w:tcPr>
          <w:p w14:paraId="4892F810">
            <w:pPr>
              <w:pStyle w:val="45"/>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4758525D">
      <w:pPr>
        <w:rPr>
          <w:rFonts w:hint="eastAsia" w:cstheme="majorBidi"/>
          <w:b/>
          <w:bCs/>
          <w:color w:val="auto"/>
          <w:kern w:val="2"/>
          <w:sz w:val="32"/>
          <w:szCs w:val="32"/>
          <w:highlight w:val="none"/>
          <w:lang w:val="en-US" w:eastAsia="zh-CN" w:bidi="ar-SA"/>
        </w:rPr>
      </w:pPr>
    </w:p>
    <w:p w14:paraId="75D4FE8C">
      <w:pPr>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br w:type="page"/>
      </w: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8" w:name="_Toc3163"/>
      <w:bookmarkStart w:id="599" w:name="_Toc24814"/>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598"/>
      <w:bookmarkEnd w:id="599"/>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393"/>
        <w:gridCol w:w="1719"/>
        <w:gridCol w:w="1870"/>
        <w:gridCol w:w="1870"/>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5"/>
              <w:jc w:val="center"/>
              <w:rPr>
                <w:color w:val="auto"/>
                <w:highlight w:val="none"/>
              </w:rPr>
            </w:pPr>
            <w:r>
              <w:rPr>
                <w:rFonts w:hint="eastAsia"/>
                <w:color w:val="auto"/>
                <w:highlight w:val="none"/>
              </w:rPr>
              <w:t>序号</w:t>
            </w:r>
          </w:p>
        </w:tc>
        <w:tc>
          <w:tcPr>
            <w:tcW w:w="1395" w:type="pct"/>
            <w:vAlign w:val="center"/>
          </w:tcPr>
          <w:p w14:paraId="7CB83CD6">
            <w:pPr>
              <w:pStyle w:val="45"/>
              <w:jc w:val="center"/>
              <w:rPr>
                <w:color w:val="auto"/>
                <w:highlight w:val="none"/>
              </w:rPr>
            </w:pPr>
            <w:r>
              <w:rPr>
                <w:rFonts w:hint="eastAsia"/>
                <w:color w:val="auto"/>
                <w:highlight w:val="none"/>
                <w:lang w:val="en-US" w:eastAsia="zh-CN"/>
              </w:rPr>
              <w:t>竞争性谈判</w:t>
            </w:r>
            <w:r>
              <w:rPr>
                <w:rFonts w:hint="eastAsia"/>
                <w:color w:val="auto"/>
                <w:highlight w:val="none"/>
              </w:rPr>
              <w:t>文件的商务条款</w:t>
            </w:r>
          </w:p>
        </w:tc>
        <w:tc>
          <w:tcPr>
            <w:tcW w:w="1002" w:type="pct"/>
            <w:vAlign w:val="center"/>
          </w:tcPr>
          <w:p w14:paraId="55A47B57">
            <w:pPr>
              <w:pStyle w:val="45"/>
              <w:jc w:val="center"/>
              <w:rPr>
                <w:color w:val="auto"/>
                <w:highlight w:val="none"/>
              </w:rPr>
            </w:pPr>
            <w:r>
              <w:rPr>
                <w:rFonts w:hint="eastAsia"/>
                <w:color w:val="auto"/>
                <w:highlight w:val="none"/>
                <w:lang w:val="en-US" w:eastAsia="zh-CN"/>
              </w:rPr>
              <w:t>响应</w:t>
            </w:r>
            <w:r>
              <w:rPr>
                <w:rFonts w:hint="eastAsia"/>
                <w:color w:val="auto"/>
                <w:highlight w:val="none"/>
              </w:rPr>
              <w:t>文件的响应内容</w:t>
            </w:r>
          </w:p>
        </w:tc>
        <w:tc>
          <w:tcPr>
            <w:tcW w:w="1090" w:type="pct"/>
            <w:vAlign w:val="center"/>
          </w:tcPr>
          <w:p w14:paraId="2572E859">
            <w:pPr>
              <w:pStyle w:val="45"/>
              <w:jc w:val="center"/>
              <w:rPr>
                <w:color w:val="auto"/>
                <w:highlight w:val="none"/>
              </w:rPr>
            </w:pPr>
            <w:r>
              <w:rPr>
                <w:rFonts w:hint="eastAsia"/>
                <w:color w:val="auto"/>
                <w:highlight w:val="none"/>
              </w:rPr>
              <w:t>响应情况</w:t>
            </w:r>
          </w:p>
        </w:tc>
        <w:tc>
          <w:tcPr>
            <w:tcW w:w="1090" w:type="pct"/>
            <w:vAlign w:val="center"/>
          </w:tcPr>
          <w:p w14:paraId="7884F206">
            <w:pPr>
              <w:pStyle w:val="45"/>
              <w:jc w:val="center"/>
              <w:rPr>
                <w:color w:val="auto"/>
                <w:highlight w:val="none"/>
              </w:rPr>
            </w:pPr>
            <w:r>
              <w:rPr>
                <w:rFonts w:hint="eastAsia"/>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5"/>
              <w:jc w:val="center"/>
              <w:rPr>
                <w:color w:val="auto"/>
                <w:highlight w:val="none"/>
              </w:rPr>
            </w:pPr>
            <w:r>
              <w:rPr>
                <w:rFonts w:hint="eastAsia"/>
                <w:color w:val="auto"/>
                <w:highlight w:val="none"/>
              </w:rPr>
              <w:t>1</w:t>
            </w:r>
          </w:p>
        </w:tc>
        <w:tc>
          <w:tcPr>
            <w:tcW w:w="1395" w:type="pct"/>
            <w:vAlign w:val="center"/>
          </w:tcPr>
          <w:p w14:paraId="34566CA0">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1C6482B4">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1BBD0417">
            <w:pPr>
              <w:pStyle w:val="45"/>
              <w:jc w:val="center"/>
              <w:rPr>
                <w:color w:val="auto"/>
                <w:highlight w:val="none"/>
              </w:rPr>
            </w:pPr>
            <w:r>
              <w:rPr>
                <w:rFonts w:hint="eastAsia"/>
                <w:color w:val="auto"/>
                <w:highlight w:val="none"/>
              </w:rPr>
              <w:t>响应</w:t>
            </w:r>
            <w:r>
              <w:rPr>
                <w:color w:val="auto"/>
                <w:highlight w:val="none"/>
              </w:rPr>
              <w:t>/偏离</w:t>
            </w:r>
          </w:p>
        </w:tc>
        <w:tc>
          <w:tcPr>
            <w:tcW w:w="1090" w:type="pct"/>
            <w:vAlign w:val="center"/>
          </w:tcPr>
          <w:p w14:paraId="1A90E39C">
            <w:pPr>
              <w:pStyle w:val="45"/>
              <w:jc w:val="center"/>
              <w:rPr>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5"/>
              <w:jc w:val="center"/>
              <w:rPr>
                <w:color w:val="auto"/>
                <w:highlight w:val="none"/>
              </w:rPr>
            </w:pPr>
            <w:r>
              <w:rPr>
                <w:rFonts w:hint="eastAsia"/>
                <w:color w:val="auto"/>
                <w:highlight w:val="none"/>
              </w:rPr>
              <w:t>2</w:t>
            </w:r>
          </w:p>
        </w:tc>
        <w:tc>
          <w:tcPr>
            <w:tcW w:w="1395" w:type="pct"/>
            <w:vAlign w:val="center"/>
          </w:tcPr>
          <w:p w14:paraId="2A717A55">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20EC7575">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5923E58D">
            <w:pPr>
              <w:pStyle w:val="45"/>
              <w:jc w:val="center"/>
              <w:rPr>
                <w:color w:val="auto"/>
                <w:highlight w:val="none"/>
              </w:rPr>
            </w:pPr>
          </w:p>
        </w:tc>
        <w:tc>
          <w:tcPr>
            <w:tcW w:w="1090" w:type="pct"/>
            <w:vAlign w:val="center"/>
          </w:tcPr>
          <w:p w14:paraId="59C2C317">
            <w:pPr>
              <w:pStyle w:val="45"/>
              <w:jc w:val="center"/>
              <w:rPr>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5"/>
              <w:jc w:val="center"/>
              <w:rPr>
                <w:color w:val="auto"/>
                <w:highlight w:val="none"/>
              </w:rPr>
            </w:pPr>
            <w:r>
              <w:rPr>
                <w:rFonts w:hint="eastAsia"/>
                <w:color w:val="auto"/>
                <w:highlight w:val="none"/>
              </w:rPr>
              <w:t>3</w:t>
            </w:r>
          </w:p>
        </w:tc>
        <w:tc>
          <w:tcPr>
            <w:tcW w:w="1395" w:type="pct"/>
            <w:vAlign w:val="center"/>
          </w:tcPr>
          <w:p w14:paraId="595245DB">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0A16B4B6">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58535F72">
            <w:pPr>
              <w:pStyle w:val="45"/>
              <w:jc w:val="center"/>
              <w:rPr>
                <w:color w:val="auto"/>
                <w:highlight w:val="none"/>
              </w:rPr>
            </w:pPr>
          </w:p>
        </w:tc>
        <w:tc>
          <w:tcPr>
            <w:tcW w:w="1090" w:type="pct"/>
            <w:vAlign w:val="center"/>
          </w:tcPr>
          <w:p w14:paraId="50AB520B">
            <w:pPr>
              <w:pStyle w:val="45"/>
              <w:jc w:val="center"/>
              <w:rPr>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5"/>
              <w:jc w:val="center"/>
              <w:rPr>
                <w:color w:val="auto"/>
                <w:highlight w:val="none"/>
              </w:rPr>
            </w:pPr>
          </w:p>
        </w:tc>
        <w:tc>
          <w:tcPr>
            <w:tcW w:w="1395" w:type="pct"/>
            <w:vAlign w:val="center"/>
          </w:tcPr>
          <w:p w14:paraId="14968038">
            <w:pPr>
              <w:pStyle w:val="45"/>
              <w:jc w:val="center"/>
              <w:rPr>
                <w:color w:val="auto"/>
                <w:highlight w:val="none"/>
              </w:rPr>
            </w:pPr>
          </w:p>
        </w:tc>
        <w:tc>
          <w:tcPr>
            <w:tcW w:w="1002" w:type="pct"/>
            <w:vAlign w:val="center"/>
          </w:tcPr>
          <w:p w14:paraId="10A6B59E">
            <w:pPr>
              <w:pStyle w:val="45"/>
              <w:jc w:val="center"/>
              <w:rPr>
                <w:color w:val="auto"/>
                <w:highlight w:val="none"/>
              </w:rPr>
            </w:pPr>
          </w:p>
        </w:tc>
        <w:tc>
          <w:tcPr>
            <w:tcW w:w="1090" w:type="pct"/>
            <w:vAlign w:val="center"/>
          </w:tcPr>
          <w:p w14:paraId="61702DF6">
            <w:pPr>
              <w:pStyle w:val="45"/>
              <w:jc w:val="center"/>
              <w:rPr>
                <w:color w:val="auto"/>
                <w:highlight w:val="none"/>
              </w:rPr>
            </w:pPr>
          </w:p>
        </w:tc>
        <w:tc>
          <w:tcPr>
            <w:tcW w:w="1090" w:type="pct"/>
            <w:vAlign w:val="center"/>
          </w:tcPr>
          <w:p w14:paraId="0CC18FC2">
            <w:pPr>
              <w:pStyle w:val="45"/>
              <w:jc w:val="center"/>
              <w:rPr>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4561F269">
            <w:pPr>
              <w:pStyle w:val="45"/>
              <w:jc w:val="center"/>
              <w:rPr>
                <w:color w:val="auto"/>
                <w:highlight w:val="none"/>
              </w:rPr>
            </w:pPr>
          </w:p>
        </w:tc>
        <w:tc>
          <w:tcPr>
            <w:tcW w:w="1395" w:type="pct"/>
            <w:vAlign w:val="center"/>
          </w:tcPr>
          <w:p w14:paraId="5DDD9937">
            <w:pPr>
              <w:pStyle w:val="45"/>
              <w:jc w:val="center"/>
              <w:rPr>
                <w:color w:val="auto"/>
                <w:highlight w:val="none"/>
              </w:rPr>
            </w:pPr>
          </w:p>
        </w:tc>
        <w:tc>
          <w:tcPr>
            <w:tcW w:w="1002" w:type="pct"/>
            <w:vAlign w:val="center"/>
          </w:tcPr>
          <w:p w14:paraId="0B29A018">
            <w:pPr>
              <w:pStyle w:val="45"/>
              <w:jc w:val="center"/>
              <w:rPr>
                <w:color w:val="auto"/>
                <w:highlight w:val="none"/>
              </w:rPr>
            </w:pPr>
          </w:p>
        </w:tc>
        <w:tc>
          <w:tcPr>
            <w:tcW w:w="1090" w:type="pct"/>
            <w:vAlign w:val="center"/>
          </w:tcPr>
          <w:p w14:paraId="1FA693DE">
            <w:pPr>
              <w:pStyle w:val="45"/>
              <w:jc w:val="center"/>
              <w:rPr>
                <w:color w:val="auto"/>
                <w:highlight w:val="none"/>
              </w:rPr>
            </w:pPr>
          </w:p>
        </w:tc>
        <w:tc>
          <w:tcPr>
            <w:tcW w:w="1090" w:type="pct"/>
            <w:vAlign w:val="center"/>
          </w:tcPr>
          <w:p w14:paraId="3D633AB6">
            <w:pPr>
              <w:pStyle w:val="45"/>
              <w:jc w:val="center"/>
              <w:rPr>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5"/>
              <w:jc w:val="center"/>
              <w:rPr>
                <w:color w:val="auto"/>
                <w:highlight w:val="none"/>
              </w:rPr>
            </w:pPr>
          </w:p>
        </w:tc>
        <w:tc>
          <w:tcPr>
            <w:tcW w:w="1395" w:type="pct"/>
            <w:vAlign w:val="center"/>
          </w:tcPr>
          <w:p w14:paraId="014A297F">
            <w:pPr>
              <w:pStyle w:val="45"/>
              <w:jc w:val="center"/>
              <w:rPr>
                <w:color w:val="auto"/>
                <w:highlight w:val="none"/>
              </w:rPr>
            </w:pPr>
          </w:p>
        </w:tc>
        <w:tc>
          <w:tcPr>
            <w:tcW w:w="1002" w:type="pct"/>
            <w:vAlign w:val="center"/>
          </w:tcPr>
          <w:p w14:paraId="51467013">
            <w:pPr>
              <w:pStyle w:val="45"/>
              <w:jc w:val="center"/>
              <w:rPr>
                <w:color w:val="auto"/>
                <w:highlight w:val="none"/>
              </w:rPr>
            </w:pPr>
          </w:p>
        </w:tc>
        <w:tc>
          <w:tcPr>
            <w:tcW w:w="1090" w:type="pct"/>
            <w:vAlign w:val="center"/>
          </w:tcPr>
          <w:p w14:paraId="011E40CA">
            <w:pPr>
              <w:pStyle w:val="45"/>
              <w:jc w:val="center"/>
              <w:rPr>
                <w:color w:val="auto"/>
                <w:highlight w:val="none"/>
              </w:rPr>
            </w:pPr>
          </w:p>
        </w:tc>
        <w:tc>
          <w:tcPr>
            <w:tcW w:w="1090" w:type="pct"/>
            <w:vAlign w:val="center"/>
          </w:tcPr>
          <w:p w14:paraId="7062C313">
            <w:pPr>
              <w:pStyle w:val="45"/>
              <w:jc w:val="center"/>
              <w:rPr>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5"/>
              <w:jc w:val="center"/>
              <w:rPr>
                <w:color w:val="auto"/>
                <w:highlight w:val="none"/>
              </w:rPr>
            </w:pPr>
          </w:p>
        </w:tc>
        <w:tc>
          <w:tcPr>
            <w:tcW w:w="1395" w:type="pct"/>
            <w:vAlign w:val="center"/>
          </w:tcPr>
          <w:p w14:paraId="010A1BB0">
            <w:pPr>
              <w:pStyle w:val="45"/>
              <w:jc w:val="center"/>
              <w:rPr>
                <w:color w:val="auto"/>
                <w:highlight w:val="none"/>
              </w:rPr>
            </w:pPr>
          </w:p>
        </w:tc>
        <w:tc>
          <w:tcPr>
            <w:tcW w:w="1002" w:type="pct"/>
            <w:vAlign w:val="center"/>
          </w:tcPr>
          <w:p w14:paraId="1EE22C75">
            <w:pPr>
              <w:pStyle w:val="45"/>
              <w:jc w:val="center"/>
              <w:rPr>
                <w:color w:val="auto"/>
                <w:highlight w:val="none"/>
              </w:rPr>
            </w:pPr>
          </w:p>
        </w:tc>
        <w:tc>
          <w:tcPr>
            <w:tcW w:w="1090" w:type="pct"/>
            <w:vAlign w:val="center"/>
          </w:tcPr>
          <w:p w14:paraId="3C86F2CC">
            <w:pPr>
              <w:pStyle w:val="45"/>
              <w:jc w:val="center"/>
              <w:rPr>
                <w:color w:val="auto"/>
                <w:highlight w:val="none"/>
              </w:rPr>
            </w:pPr>
          </w:p>
        </w:tc>
        <w:tc>
          <w:tcPr>
            <w:tcW w:w="1090" w:type="pct"/>
            <w:vAlign w:val="center"/>
          </w:tcPr>
          <w:p w14:paraId="515EA04E">
            <w:pPr>
              <w:pStyle w:val="45"/>
              <w:jc w:val="center"/>
              <w:rPr>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5"/>
              <w:jc w:val="center"/>
              <w:rPr>
                <w:color w:val="auto"/>
                <w:highlight w:val="none"/>
              </w:rPr>
            </w:pPr>
          </w:p>
        </w:tc>
        <w:tc>
          <w:tcPr>
            <w:tcW w:w="1395" w:type="pct"/>
            <w:vAlign w:val="center"/>
          </w:tcPr>
          <w:p w14:paraId="1C7A6406">
            <w:pPr>
              <w:pStyle w:val="45"/>
              <w:jc w:val="center"/>
              <w:rPr>
                <w:color w:val="auto"/>
                <w:highlight w:val="none"/>
              </w:rPr>
            </w:pPr>
          </w:p>
        </w:tc>
        <w:tc>
          <w:tcPr>
            <w:tcW w:w="1002" w:type="pct"/>
            <w:vAlign w:val="center"/>
          </w:tcPr>
          <w:p w14:paraId="7F774DAF">
            <w:pPr>
              <w:pStyle w:val="45"/>
              <w:jc w:val="center"/>
              <w:rPr>
                <w:color w:val="auto"/>
                <w:highlight w:val="none"/>
              </w:rPr>
            </w:pPr>
          </w:p>
        </w:tc>
        <w:tc>
          <w:tcPr>
            <w:tcW w:w="1090" w:type="pct"/>
            <w:vAlign w:val="center"/>
          </w:tcPr>
          <w:p w14:paraId="66A55C54">
            <w:pPr>
              <w:pStyle w:val="45"/>
              <w:jc w:val="center"/>
              <w:rPr>
                <w:color w:val="auto"/>
                <w:highlight w:val="none"/>
              </w:rPr>
            </w:pPr>
          </w:p>
        </w:tc>
        <w:tc>
          <w:tcPr>
            <w:tcW w:w="1090" w:type="pct"/>
            <w:vAlign w:val="center"/>
          </w:tcPr>
          <w:p w14:paraId="6FC3A7DB">
            <w:pPr>
              <w:pStyle w:val="45"/>
              <w:jc w:val="center"/>
              <w:rPr>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3D84A230">
            <w:pPr>
              <w:pStyle w:val="45"/>
              <w:jc w:val="center"/>
              <w:rPr>
                <w:color w:val="auto"/>
                <w:highlight w:val="none"/>
              </w:rPr>
            </w:pPr>
          </w:p>
        </w:tc>
        <w:tc>
          <w:tcPr>
            <w:tcW w:w="1395" w:type="pct"/>
            <w:vAlign w:val="center"/>
          </w:tcPr>
          <w:p w14:paraId="5A1690B5">
            <w:pPr>
              <w:pStyle w:val="45"/>
              <w:jc w:val="center"/>
              <w:rPr>
                <w:color w:val="auto"/>
                <w:highlight w:val="none"/>
              </w:rPr>
            </w:pPr>
          </w:p>
        </w:tc>
        <w:tc>
          <w:tcPr>
            <w:tcW w:w="1002" w:type="pct"/>
            <w:vAlign w:val="center"/>
          </w:tcPr>
          <w:p w14:paraId="735418C2">
            <w:pPr>
              <w:pStyle w:val="45"/>
              <w:jc w:val="center"/>
              <w:rPr>
                <w:color w:val="auto"/>
                <w:highlight w:val="none"/>
              </w:rPr>
            </w:pPr>
          </w:p>
        </w:tc>
        <w:tc>
          <w:tcPr>
            <w:tcW w:w="1090" w:type="pct"/>
            <w:vAlign w:val="center"/>
          </w:tcPr>
          <w:p w14:paraId="13F6671D">
            <w:pPr>
              <w:pStyle w:val="45"/>
              <w:jc w:val="center"/>
              <w:rPr>
                <w:color w:val="auto"/>
                <w:highlight w:val="none"/>
              </w:rPr>
            </w:pPr>
          </w:p>
        </w:tc>
        <w:tc>
          <w:tcPr>
            <w:tcW w:w="1090" w:type="pct"/>
            <w:vAlign w:val="center"/>
          </w:tcPr>
          <w:p w14:paraId="3DC0B3BB">
            <w:pPr>
              <w:pStyle w:val="45"/>
              <w:jc w:val="center"/>
              <w:rPr>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20" w:type="pct"/>
            <w:vAlign w:val="center"/>
          </w:tcPr>
          <w:p w14:paraId="71E185D4">
            <w:pPr>
              <w:pStyle w:val="45"/>
              <w:jc w:val="center"/>
              <w:rPr>
                <w:color w:val="auto"/>
                <w:highlight w:val="none"/>
              </w:rPr>
            </w:pPr>
            <w:r>
              <w:rPr>
                <w:rFonts w:hint="eastAsia"/>
                <w:color w:val="auto"/>
                <w:highlight w:val="none"/>
              </w:rPr>
              <w:t>……</w:t>
            </w:r>
          </w:p>
        </w:tc>
        <w:tc>
          <w:tcPr>
            <w:tcW w:w="1395" w:type="pct"/>
            <w:vAlign w:val="center"/>
          </w:tcPr>
          <w:p w14:paraId="6324A49D">
            <w:pPr>
              <w:pStyle w:val="45"/>
              <w:jc w:val="center"/>
              <w:rPr>
                <w:color w:val="auto"/>
                <w:highlight w:val="none"/>
              </w:rPr>
            </w:pPr>
            <w:r>
              <w:rPr>
                <w:rFonts w:hint="eastAsia"/>
                <w:color w:val="auto"/>
                <w:highlight w:val="none"/>
              </w:rPr>
              <w:t>…………</w:t>
            </w:r>
          </w:p>
        </w:tc>
        <w:tc>
          <w:tcPr>
            <w:tcW w:w="1002" w:type="pct"/>
            <w:vAlign w:val="center"/>
          </w:tcPr>
          <w:p w14:paraId="0EE83785">
            <w:pPr>
              <w:pStyle w:val="45"/>
              <w:jc w:val="center"/>
              <w:rPr>
                <w:color w:val="auto"/>
                <w:highlight w:val="none"/>
              </w:rPr>
            </w:pPr>
            <w:r>
              <w:rPr>
                <w:rFonts w:hint="eastAsia"/>
                <w:color w:val="auto"/>
                <w:highlight w:val="none"/>
              </w:rPr>
              <w:t>…………</w:t>
            </w:r>
          </w:p>
        </w:tc>
        <w:tc>
          <w:tcPr>
            <w:tcW w:w="1090" w:type="pct"/>
            <w:vAlign w:val="center"/>
          </w:tcPr>
          <w:p w14:paraId="7A24BB2D">
            <w:pPr>
              <w:pStyle w:val="45"/>
              <w:jc w:val="center"/>
              <w:rPr>
                <w:color w:val="auto"/>
                <w:highlight w:val="none"/>
              </w:rPr>
            </w:pPr>
            <w:r>
              <w:rPr>
                <w:rFonts w:hint="eastAsia"/>
                <w:color w:val="auto"/>
                <w:highlight w:val="none"/>
              </w:rPr>
              <w:t>……</w:t>
            </w:r>
          </w:p>
        </w:tc>
        <w:tc>
          <w:tcPr>
            <w:tcW w:w="1090" w:type="pct"/>
            <w:vAlign w:val="center"/>
          </w:tcPr>
          <w:p w14:paraId="7CC08218">
            <w:pPr>
              <w:pStyle w:val="45"/>
              <w:jc w:val="center"/>
              <w:rPr>
                <w:color w:val="auto"/>
                <w:highlight w:val="none"/>
              </w:rPr>
            </w:pPr>
          </w:p>
        </w:tc>
      </w:tr>
    </w:tbl>
    <w:p w14:paraId="5CB06622">
      <w:pPr>
        <w:ind w:firstLine="480" w:firstLineChars="200"/>
        <w:rPr>
          <w:rFonts w:cs="仿宋_GB2312"/>
          <w:color w:val="auto"/>
          <w:szCs w:val="24"/>
          <w:highlight w:val="none"/>
        </w:rPr>
      </w:pPr>
    </w:p>
    <w:p w14:paraId="72A459D6">
      <w:pPr>
        <w:ind w:firstLine="480" w:firstLineChars="200"/>
        <w:rPr>
          <w:rFonts w:cs="仿宋_GB2312"/>
          <w:color w:val="auto"/>
          <w:szCs w:val="24"/>
          <w:highlight w:val="none"/>
        </w:rPr>
      </w:pPr>
    </w:p>
    <w:p w14:paraId="01107FC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E042A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61F9C707">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1.“竞争性谈判文件的商务条款”栏应详细列明竞争性谈判文件中的商务要求。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2.“响应文件的响应内容”栏填写供应商对竞争性谈判文件提出的商务条款作出的明确响应，并列明具体响应数值或内容，只注明符合、满足等无具体内容表述的，将视为未实质性满足竞争性谈判文件要求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5.对竞争性谈判文件中的所有商务要求，除本表所列明的所有偏离外，均视作供应商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0" w:name="_Toc1770"/>
      <w:bookmarkStart w:id="601" w:name="_Toc21407"/>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00"/>
      <w:bookmarkEnd w:id="601"/>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8"/>
        <w:tblW w:w="9237"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81"/>
        <w:gridCol w:w="1381"/>
        <w:gridCol w:w="1381"/>
        <w:gridCol w:w="1522"/>
        <w:gridCol w:w="1568"/>
        <w:gridCol w:w="116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E9572F9">
            <w:pPr>
              <w:jc w:val="center"/>
              <w:rPr>
                <w:rFonts w:cs="仿宋_GB2312"/>
                <w:color w:val="auto"/>
                <w:sz w:val="24"/>
                <w:szCs w:val="24"/>
                <w:highlight w:val="none"/>
              </w:rPr>
            </w:pPr>
            <w:bookmarkStart w:id="602" w:name="_Hlk46779239"/>
            <w:r>
              <w:rPr>
                <w:rFonts w:hint="eastAsia" w:cs="仿宋_GB2312"/>
                <w:color w:val="auto"/>
                <w:sz w:val="24"/>
                <w:szCs w:val="24"/>
                <w:highlight w:val="none"/>
              </w:rPr>
              <w:t>序号</w:t>
            </w:r>
          </w:p>
        </w:tc>
        <w:tc>
          <w:tcPr>
            <w:tcW w:w="1381"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81"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381"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22"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68" w:type="dxa"/>
            <w:shd w:val="clear" w:color="auto" w:fill="auto"/>
            <w:vAlign w:val="center"/>
          </w:tcPr>
          <w:p w14:paraId="63FA3F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16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27508E81">
            <w:pPr>
              <w:jc w:val="center"/>
              <w:rPr>
                <w:rFonts w:cs="仿宋_GB2312"/>
                <w:color w:val="auto"/>
                <w:sz w:val="24"/>
                <w:szCs w:val="24"/>
                <w:highlight w:val="none"/>
              </w:rPr>
            </w:pPr>
            <w:r>
              <w:rPr>
                <w:rFonts w:hint="eastAsia" w:cs="仿宋_GB2312"/>
                <w:color w:val="auto"/>
                <w:sz w:val="24"/>
                <w:szCs w:val="24"/>
                <w:highlight w:val="none"/>
              </w:rPr>
              <w:t>1</w:t>
            </w:r>
          </w:p>
        </w:tc>
        <w:tc>
          <w:tcPr>
            <w:tcW w:w="1381" w:type="dxa"/>
            <w:vAlign w:val="center"/>
          </w:tcPr>
          <w:p w14:paraId="27562AF7">
            <w:pPr>
              <w:rPr>
                <w:rFonts w:cs="仿宋_GB2312"/>
                <w:color w:val="auto"/>
                <w:sz w:val="24"/>
                <w:szCs w:val="24"/>
                <w:highlight w:val="none"/>
              </w:rPr>
            </w:pPr>
          </w:p>
        </w:tc>
        <w:tc>
          <w:tcPr>
            <w:tcW w:w="1381" w:type="dxa"/>
            <w:vAlign w:val="center"/>
          </w:tcPr>
          <w:p w14:paraId="02799269">
            <w:pPr>
              <w:rPr>
                <w:rFonts w:cs="仿宋_GB2312"/>
                <w:color w:val="auto"/>
                <w:sz w:val="24"/>
                <w:szCs w:val="24"/>
                <w:highlight w:val="none"/>
              </w:rPr>
            </w:pPr>
          </w:p>
        </w:tc>
        <w:tc>
          <w:tcPr>
            <w:tcW w:w="1381" w:type="dxa"/>
            <w:vAlign w:val="center"/>
          </w:tcPr>
          <w:p w14:paraId="6449ADDF">
            <w:pPr>
              <w:rPr>
                <w:rFonts w:cs="仿宋_GB2312"/>
                <w:color w:val="auto"/>
                <w:sz w:val="24"/>
                <w:szCs w:val="24"/>
                <w:highlight w:val="none"/>
              </w:rPr>
            </w:pPr>
          </w:p>
        </w:tc>
        <w:tc>
          <w:tcPr>
            <w:tcW w:w="1522" w:type="dxa"/>
            <w:vAlign w:val="center"/>
          </w:tcPr>
          <w:p w14:paraId="183C0714">
            <w:pPr>
              <w:rPr>
                <w:rFonts w:cs="仿宋_GB2312"/>
                <w:color w:val="auto"/>
                <w:sz w:val="24"/>
                <w:szCs w:val="24"/>
                <w:highlight w:val="none"/>
              </w:rPr>
            </w:pPr>
          </w:p>
        </w:tc>
        <w:tc>
          <w:tcPr>
            <w:tcW w:w="1568" w:type="dxa"/>
            <w:vAlign w:val="center"/>
          </w:tcPr>
          <w:p w14:paraId="4F169081">
            <w:pPr>
              <w:rPr>
                <w:rFonts w:cs="仿宋_GB2312"/>
                <w:color w:val="auto"/>
                <w:sz w:val="24"/>
                <w:szCs w:val="24"/>
                <w:highlight w:val="none"/>
              </w:rPr>
            </w:pPr>
          </w:p>
        </w:tc>
        <w:tc>
          <w:tcPr>
            <w:tcW w:w="1169" w:type="dxa"/>
            <w:vAlign w:val="center"/>
          </w:tcPr>
          <w:p w14:paraId="64A9DF2C">
            <w:pPr>
              <w:rPr>
                <w:rFonts w:cs="仿宋_GB2312"/>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835" w:type="dxa"/>
            <w:vAlign w:val="center"/>
          </w:tcPr>
          <w:p w14:paraId="4A21BB39">
            <w:pPr>
              <w:jc w:val="center"/>
              <w:rPr>
                <w:rFonts w:cs="仿宋_GB2312"/>
                <w:color w:val="auto"/>
                <w:sz w:val="24"/>
                <w:szCs w:val="24"/>
                <w:highlight w:val="none"/>
              </w:rPr>
            </w:pPr>
            <w:r>
              <w:rPr>
                <w:rFonts w:hint="eastAsia" w:cs="仿宋_GB2312"/>
                <w:color w:val="auto"/>
                <w:sz w:val="24"/>
                <w:szCs w:val="24"/>
                <w:highlight w:val="none"/>
              </w:rPr>
              <w:t>2</w:t>
            </w:r>
          </w:p>
        </w:tc>
        <w:tc>
          <w:tcPr>
            <w:tcW w:w="1381" w:type="dxa"/>
            <w:vAlign w:val="center"/>
          </w:tcPr>
          <w:p w14:paraId="7CA4B3F3">
            <w:pPr>
              <w:rPr>
                <w:rFonts w:cs="仿宋_GB2312"/>
                <w:color w:val="auto"/>
                <w:sz w:val="24"/>
                <w:szCs w:val="24"/>
                <w:highlight w:val="none"/>
              </w:rPr>
            </w:pPr>
          </w:p>
        </w:tc>
        <w:tc>
          <w:tcPr>
            <w:tcW w:w="1381" w:type="dxa"/>
            <w:vAlign w:val="center"/>
          </w:tcPr>
          <w:p w14:paraId="59CCECB1">
            <w:pPr>
              <w:rPr>
                <w:rFonts w:cs="仿宋_GB2312"/>
                <w:color w:val="auto"/>
                <w:sz w:val="24"/>
                <w:szCs w:val="24"/>
                <w:highlight w:val="none"/>
              </w:rPr>
            </w:pPr>
          </w:p>
        </w:tc>
        <w:tc>
          <w:tcPr>
            <w:tcW w:w="1381" w:type="dxa"/>
            <w:vAlign w:val="center"/>
          </w:tcPr>
          <w:p w14:paraId="4E8043C4">
            <w:pPr>
              <w:rPr>
                <w:rFonts w:cs="仿宋_GB2312"/>
                <w:color w:val="auto"/>
                <w:sz w:val="24"/>
                <w:szCs w:val="24"/>
                <w:highlight w:val="none"/>
              </w:rPr>
            </w:pPr>
          </w:p>
        </w:tc>
        <w:tc>
          <w:tcPr>
            <w:tcW w:w="1522" w:type="dxa"/>
            <w:vAlign w:val="center"/>
          </w:tcPr>
          <w:p w14:paraId="2E195778">
            <w:pPr>
              <w:rPr>
                <w:rFonts w:cs="仿宋_GB2312"/>
                <w:color w:val="auto"/>
                <w:sz w:val="24"/>
                <w:szCs w:val="24"/>
                <w:highlight w:val="none"/>
              </w:rPr>
            </w:pPr>
          </w:p>
        </w:tc>
        <w:tc>
          <w:tcPr>
            <w:tcW w:w="1568" w:type="dxa"/>
            <w:vAlign w:val="center"/>
          </w:tcPr>
          <w:p w14:paraId="49A8CC13">
            <w:pPr>
              <w:rPr>
                <w:rFonts w:cs="仿宋_GB2312"/>
                <w:color w:val="auto"/>
                <w:sz w:val="24"/>
                <w:szCs w:val="24"/>
                <w:highlight w:val="none"/>
              </w:rPr>
            </w:pPr>
          </w:p>
        </w:tc>
        <w:tc>
          <w:tcPr>
            <w:tcW w:w="1169" w:type="dxa"/>
            <w:vAlign w:val="center"/>
          </w:tcPr>
          <w:p w14:paraId="60A21668">
            <w:pPr>
              <w:rPr>
                <w:rFonts w:cs="仿宋_GB2312"/>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428D324">
            <w:pPr>
              <w:jc w:val="center"/>
              <w:rPr>
                <w:rFonts w:cs="仿宋_GB2312"/>
                <w:color w:val="auto"/>
                <w:sz w:val="24"/>
                <w:szCs w:val="24"/>
                <w:highlight w:val="none"/>
              </w:rPr>
            </w:pPr>
            <w:r>
              <w:rPr>
                <w:rFonts w:hint="eastAsia" w:cs="仿宋_GB2312"/>
                <w:color w:val="auto"/>
                <w:sz w:val="24"/>
                <w:szCs w:val="24"/>
                <w:highlight w:val="none"/>
              </w:rPr>
              <w:t>3</w:t>
            </w:r>
          </w:p>
        </w:tc>
        <w:tc>
          <w:tcPr>
            <w:tcW w:w="1381" w:type="dxa"/>
            <w:vAlign w:val="center"/>
          </w:tcPr>
          <w:p w14:paraId="46AEF6AC">
            <w:pPr>
              <w:rPr>
                <w:rFonts w:cs="仿宋_GB2312"/>
                <w:color w:val="auto"/>
                <w:sz w:val="24"/>
                <w:szCs w:val="24"/>
                <w:highlight w:val="none"/>
              </w:rPr>
            </w:pPr>
          </w:p>
        </w:tc>
        <w:tc>
          <w:tcPr>
            <w:tcW w:w="1381" w:type="dxa"/>
            <w:vAlign w:val="center"/>
          </w:tcPr>
          <w:p w14:paraId="601B0208">
            <w:pPr>
              <w:rPr>
                <w:rFonts w:cs="仿宋_GB2312"/>
                <w:color w:val="auto"/>
                <w:sz w:val="24"/>
                <w:szCs w:val="24"/>
                <w:highlight w:val="none"/>
              </w:rPr>
            </w:pPr>
          </w:p>
        </w:tc>
        <w:tc>
          <w:tcPr>
            <w:tcW w:w="1381" w:type="dxa"/>
            <w:vAlign w:val="center"/>
          </w:tcPr>
          <w:p w14:paraId="56885EE6">
            <w:pPr>
              <w:rPr>
                <w:rFonts w:cs="仿宋_GB2312"/>
                <w:color w:val="auto"/>
                <w:sz w:val="24"/>
                <w:szCs w:val="24"/>
                <w:highlight w:val="none"/>
              </w:rPr>
            </w:pPr>
          </w:p>
        </w:tc>
        <w:tc>
          <w:tcPr>
            <w:tcW w:w="1522" w:type="dxa"/>
            <w:vAlign w:val="center"/>
          </w:tcPr>
          <w:p w14:paraId="00552B19">
            <w:pPr>
              <w:rPr>
                <w:rFonts w:cs="仿宋_GB2312"/>
                <w:color w:val="auto"/>
                <w:sz w:val="24"/>
                <w:szCs w:val="24"/>
                <w:highlight w:val="none"/>
              </w:rPr>
            </w:pPr>
          </w:p>
        </w:tc>
        <w:tc>
          <w:tcPr>
            <w:tcW w:w="1568" w:type="dxa"/>
            <w:vAlign w:val="center"/>
          </w:tcPr>
          <w:p w14:paraId="77BC6128">
            <w:pPr>
              <w:rPr>
                <w:rFonts w:cs="仿宋_GB2312"/>
                <w:color w:val="auto"/>
                <w:sz w:val="24"/>
                <w:szCs w:val="24"/>
                <w:highlight w:val="none"/>
              </w:rPr>
            </w:pPr>
          </w:p>
        </w:tc>
        <w:tc>
          <w:tcPr>
            <w:tcW w:w="1169" w:type="dxa"/>
            <w:vAlign w:val="center"/>
          </w:tcPr>
          <w:p w14:paraId="26162792">
            <w:pPr>
              <w:rPr>
                <w:rFonts w:cs="仿宋_GB2312"/>
                <w:color w:val="auto"/>
                <w:sz w:val="24"/>
                <w:szCs w:val="24"/>
                <w:highlight w:val="none"/>
              </w:rPr>
            </w:pPr>
          </w:p>
        </w:tc>
      </w:tr>
      <w:tr w14:paraId="304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514F8ED6">
            <w:pPr>
              <w:jc w:val="center"/>
              <w:rPr>
                <w:rFonts w:hint="eastAsia" w:eastAsia="宋体" w:cs="仿宋_GB2312"/>
                <w:color w:val="auto"/>
                <w:sz w:val="24"/>
                <w:szCs w:val="24"/>
                <w:highlight w:val="none"/>
                <w:lang w:val="en-US" w:eastAsia="zh-CN"/>
              </w:rPr>
            </w:pPr>
            <w:r>
              <w:rPr>
                <w:rFonts w:hint="eastAsia" w:cs="仿宋_GB2312"/>
                <w:color w:val="auto"/>
                <w:sz w:val="24"/>
                <w:szCs w:val="24"/>
                <w:highlight w:val="none"/>
                <w:lang w:val="en-US" w:eastAsia="zh-CN"/>
              </w:rPr>
              <w:t>4</w:t>
            </w:r>
          </w:p>
        </w:tc>
        <w:tc>
          <w:tcPr>
            <w:tcW w:w="1381" w:type="dxa"/>
            <w:vAlign w:val="center"/>
          </w:tcPr>
          <w:p w14:paraId="467454B8">
            <w:pPr>
              <w:rPr>
                <w:rFonts w:cs="仿宋_GB2312"/>
                <w:color w:val="auto"/>
                <w:sz w:val="24"/>
                <w:szCs w:val="24"/>
                <w:highlight w:val="none"/>
              </w:rPr>
            </w:pPr>
          </w:p>
        </w:tc>
        <w:tc>
          <w:tcPr>
            <w:tcW w:w="1381" w:type="dxa"/>
            <w:vAlign w:val="center"/>
          </w:tcPr>
          <w:p w14:paraId="7679D2E2">
            <w:pPr>
              <w:rPr>
                <w:rFonts w:cs="仿宋_GB2312"/>
                <w:color w:val="auto"/>
                <w:sz w:val="24"/>
                <w:szCs w:val="24"/>
                <w:highlight w:val="none"/>
              </w:rPr>
            </w:pPr>
          </w:p>
        </w:tc>
        <w:tc>
          <w:tcPr>
            <w:tcW w:w="1381" w:type="dxa"/>
            <w:vAlign w:val="center"/>
          </w:tcPr>
          <w:p w14:paraId="3BDF674D">
            <w:pPr>
              <w:rPr>
                <w:rFonts w:cs="仿宋_GB2312"/>
                <w:color w:val="auto"/>
                <w:sz w:val="24"/>
                <w:szCs w:val="24"/>
                <w:highlight w:val="none"/>
              </w:rPr>
            </w:pPr>
          </w:p>
        </w:tc>
        <w:tc>
          <w:tcPr>
            <w:tcW w:w="1522" w:type="dxa"/>
            <w:vAlign w:val="center"/>
          </w:tcPr>
          <w:p w14:paraId="4065B09A">
            <w:pPr>
              <w:rPr>
                <w:rFonts w:cs="仿宋_GB2312"/>
                <w:color w:val="auto"/>
                <w:sz w:val="24"/>
                <w:szCs w:val="24"/>
                <w:highlight w:val="none"/>
              </w:rPr>
            </w:pPr>
          </w:p>
        </w:tc>
        <w:tc>
          <w:tcPr>
            <w:tcW w:w="1568" w:type="dxa"/>
            <w:vAlign w:val="center"/>
          </w:tcPr>
          <w:p w14:paraId="62D4892D">
            <w:pPr>
              <w:rPr>
                <w:rFonts w:cs="仿宋_GB2312"/>
                <w:color w:val="auto"/>
                <w:sz w:val="24"/>
                <w:szCs w:val="24"/>
                <w:highlight w:val="none"/>
              </w:rPr>
            </w:pPr>
          </w:p>
        </w:tc>
        <w:tc>
          <w:tcPr>
            <w:tcW w:w="1169" w:type="dxa"/>
            <w:vAlign w:val="center"/>
          </w:tcPr>
          <w:p w14:paraId="1DBBFBF7">
            <w:pPr>
              <w:rPr>
                <w:rFonts w:cs="仿宋_GB2312"/>
                <w:color w:val="auto"/>
                <w:sz w:val="24"/>
                <w:szCs w:val="24"/>
                <w:highlight w:val="none"/>
              </w:rPr>
            </w:pPr>
          </w:p>
        </w:tc>
      </w:tr>
      <w:tr w14:paraId="74C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835" w:type="dxa"/>
            <w:vAlign w:val="center"/>
          </w:tcPr>
          <w:p w14:paraId="64C5CB72">
            <w:pPr>
              <w:jc w:val="center"/>
              <w:rPr>
                <w:rFonts w:hint="default" w:cs="仿宋_GB2312"/>
                <w:color w:val="auto"/>
                <w:sz w:val="24"/>
                <w:szCs w:val="24"/>
                <w:highlight w:val="none"/>
                <w:lang w:val="en-US" w:eastAsia="zh-CN"/>
              </w:rPr>
            </w:pPr>
            <w:r>
              <w:rPr>
                <w:rFonts w:hint="eastAsia" w:cs="仿宋_GB2312"/>
                <w:color w:val="auto"/>
                <w:sz w:val="24"/>
                <w:szCs w:val="24"/>
                <w:highlight w:val="none"/>
                <w:lang w:val="en-US" w:eastAsia="zh-CN"/>
              </w:rPr>
              <w:t>5</w:t>
            </w:r>
          </w:p>
        </w:tc>
        <w:tc>
          <w:tcPr>
            <w:tcW w:w="1381" w:type="dxa"/>
            <w:vAlign w:val="center"/>
          </w:tcPr>
          <w:p w14:paraId="50735F91">
            <w:pPr>
              <w:rPr>
                <w:rFonts w:cs="仿宋_GB2312"/>
                <w:color w:val="auto"/>
                <w:sz w:val="24"/>
                <w:szCs w:val="24"/>
                <w:highlight w:val="none"/>
              </w:rPr>
            </w:pPr>
          </w:p>
        </w:tc>
        <w:tc>
          <w:tcPr>
            <w:tcW w:w="1381" w:type="dxa"/>
            <w:vAlign w:val="center"/>
          </w:tcPr>
          <w:p w14:paraId="35131693">
            <w:pPr>
              <w:rPr>
                <w:rFonts w:cs="仿宋_GB2312"/>
                <w:color w:val="auto"/>
                <w:sz w:val="24"/>
                <w:szCs w:val="24"/>
                <w:highlight w:val="none"/>
              </w:rPr>
            </w:pPr>
          </w:p>
        </w:tc>
        <w:tc>
          <w:tcPr>
            <w:tcW w:w="1381" w:type="dxa"/>
            <w:vAlign w:val="center"/>
          </w:tcPr>
          <w:p w14:paraId="3EE07B6C">
            <w:pPr>
              <w:rPr>
                <w:rFonts w:cs="仿宋_GB2312"/>
                <w:color w:val="auto"/>
                <w:sz w:val="24"/>
                <w:szCs w:val="24"/>
                <w:highlight w:val="none"/>
              </w:rPr>
            </w:pPr>
          </w:p>
        </w:tc>
        <w:tc>
          <w:tcPr>
            <w:tcW w:w="1522" w:type="dxa"/>
            <w:vAlign w:val="center"/>
          </w:tcPr>
          <w:p w14:paraId="315D7F2C">
            <w:pPr>
              <w:rPr>
                <w:rFonts w:cs="仿宋_GB2312"/>
                <w:color w:val="auto"/>
                <w:sz w:val="24"/>
                <w:szCs w:val="24"/>
                <w:highlight w:val="none"/>
              </w:rPr>
            </w:pPr>
          </w:p>
        </w:tc>
        <w:tc>
          <w:tcPr>
            <w:tcW w:w="1568" w:type="dxa"/>
            <w:vAlign w:val="center"/>
          </w:tcPr>
          <w:p w14:paraId="7172B17C">
            <w:pPr>
              <w:rPr>
                <w:rFonts w:cs="仿宋_GB2312"/>
                <w:color w:val="auto"/>
                <w:sz w:val="24"/>
                <w:szCs w:val="24"/>
                <w:highlight w:val="none"/>
              </w:rPr>
            </w:pPr>
          </w:p>
        </w:tc>
        <w:tc>
          <w:tcPr>
            <w:tcW w:w="1169" w:type="dxa"/>
            <w:vAlign w:val="center"/>
          </w:tcPr>
          <w:p w14:paraId="6B39C336">
            <w:pPr>
              <w:rPr>
                <w:rFonts w:cs="仿宋_GB2312"/>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835" w:type="dxa"/>
            <w:vAlign w:val="center"/>
          </w:tcPr>
          <w:p w14:paraId="433A34E7">
            <w:pPr>
              <w:jc w:val="center"/>
              <w:rPr>
                <w:rFonts w:cs="仿宋_GB2312"/>
                <w:color w:val="auto"/>
                <w:sz w:val="24"/>
                <w:szCs w:val="24"/>
                <w:highlight w:val="none"/>
              </w:rPr>
            </w:pPr>
            <w:r>
              <w:rPr>
                <w:rFonts w:hint="eastAsia" w:cs="仿宋_GB2312"/>
                <w:color w:val="auto"/>
                <w:sz w:val="24"/>
                <w:szCs w:val="24"/>
                <w:highlight w:val="none"/>
              </w:rPr>
              <w:t>…</w:t>
            </w:r>
          </w:p>
        </w:tc>
        <w:tc>
          <w:tcPr>
            <w:tcW w:w="1381" w:type="dxa"/>
            <w:vAlign w:val="center"/>
          </w:tcPr>
          <w:p w14:paraId="5D94CAA1">
            <w:pPr>
              <w:rPr>
                <w:rFonts w:cs="仿宋_GB2312"/>
                <w:color w:val="auto"/>
                <w:sz w:val="24"/>
                <w:szCs w:val="24"/>
                <w:highlight w:val="none"/>
              </w:rPr>
            </w:pPr>
          </w:p>
        </w:tc>
        <w:tc>
          <w:tcPr>
            <w:tcW w:w="1381" w:type="dxa"/>
            <w:vAlign w:val="center"/>
          </w:tcPr>
          <w:p w14:paraId="48AC7386">
            <w:pPr>
              <w:rPr>
                <w:rFonts w:cs="仿宋_GB2312"/>
                <w:color w:val="auto"/>
                <w:sz w:val="24"/>
                <w:szCs w:val="24"/>
                <w:highlight w:val="none"/>
              </w:rPr>
            </w:pPr>
          </w:p>
        </w:tc>
        <w:tc>
          <w:tcPr>
            <w:tcW w:w="1381" w:type="dxa"/>
            <w:vAlign w:val="center"/>
          </w:tcPr>
          <w:p w14:paraId="20172F35">
            <w:pPr>
              <w:rPr>
                <w:rFonts w:cs="仿宋_GB2312"/>
                <w:color w:val="auto"/>
                <w:sz w:val="24"/>
                <w:szCs w:val="24"/>
                <w:highlight w:val="none"/>
              </w:rPr>
            </w:pPr>
          </w:p>
        </w:tc>
        <w:tc>
          <w:tcPr>
            <w:tcW w:w="1522" w:type="dxa"/>
            <w:vAlign w:val="center"/>
          </w:tcPr>
          <w:p w14:paraId="75CF74D1">
            <w:pPr>
              <w:rPr>
                <w:rFonts w:cs="仿宋_GB2312"/>
                <w:color w:val="auto"/>
                <w:sz w:val="24"/>
                <w:szCs w:val="24"/>
                <w:highlight w:val="none"/>
              </w:rPr>
            </w:pPr>
          </w:p>
        </w:tc>
        <w:tc>
          <w:tcPr>
            <w:tcW w:w="1568" w:type="dxa"/>
            <w:vAlign w:val="center"/>
          </w:tcPr>
          <w:p w14:paraId="52CF4BF0">
            <w:pPr>
              <w:rPr>
                <w:rFonts w:cs="仿宋_GB2312"/>
                <w:color w:val="auto"/>
                <w:sz w:val="24"/>
                <w:szCs w:val="24"/>
                <w:highlight w:val="none"/>
              </w:rPr>
            </w:pPr>
          </w:p>
        </w:tc>
        <w:tc>
          <w:tcPr>
            <w:tcW w:w="1169" w:type="dxa"/>
            <w:vAlign w:val="center"/>
          </w:tcPr>
          <w:p w14:paraId="77C9A88B">
            <w:pPr>
              <w:rPr>
                <w:rFonts w:cs="仿宋_GB2312"/>
                <w:color w:val="auto"/>
                <w:sz w:val="24"/>
                <w:szCs w:val="24"/>
                <w:highlight w:val="none"/>
              </w:rPr>
            </w:pPr>
          </w:p>
        </w:tc>
      </w:tr>
      <w:bookmarkEnd w:id="602"/>
    </w:tbl>
    <w:p w14:paraId="40AB8FFA">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须按上表提供相应的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24086818">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2B017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3" w:name="_Toc13711"/>
      <w:bookmarkStart w:id="604" w:name="_Toc10454"/>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03"/>
      <w:bookmarkEnd w:id="604"/>
    </w:p>
    <w:tbl>
      <w:tblPr>
        <w:tblStyle w:val="28"/>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3"/>
        <w:gridCol w:w="1224"/>
        <w:gridCol w:w="876"/>
        <w:gridCol w:w="1850"/>
        <w:gridCol w:w="1277"/>
        <w:gridCol w:w="816"/>
      </w:tblGrid>
      <w:tr w14:paraId="044E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7A52654">
            <w:pPr>
              <w:pStyle w:val="45"/>
              <w:jc w:val="center"/>
              <w:rPr>
                <w:color w:val="auto"/>
                <w:highlight w:val="none"/>
              </w:rPr>
            </w:pPr>
            <w:r>
              <w:rPr>
                <w:rFonts w:hint="eastAsia"/>
                <w:color w:val="auto"/>
                <w:highlight w:val="none"/>
              </w:rPr>
              <w:t>序号</w:t>
            </w:r>
          </w:p>
        </w:tc>
        <w:tc>
          <w:tcPr>
            <w:tcW w:w="1143" w:type="dxa"/>
            <w:vAlign w:val="center"/>
          </w:tcPr>
          <w:p w14:paraId="06896F70">
            <w:pPr>
              <w:pStyle w:val="45"/>
              <w:jc w:val="center"/>
              <w:rPr>
                <w:color w:val="auto"/>
                <w:highlight w:val="none"/>
              </w:rPr>
            </w:pPr>
            <w:r>
              <w:rPr>
                <w:rFonts w:hint="eastAsia"/>
                <w:color w:val="auto"/>
                <w:highlight w:val="none"/>
                <w:lang w:val="en-US" w:eastAsia="zh-CN"/>
              </w:rPr>
              <w:t>团队成员</w:t>
            </w:r>
          </w:p>
          <w:p w14:paraId="4131E775">
            <w:pPr>
              <w:pStyle w:val="45"/>
              <w:jc w:val="center"/>
              <w:rPr>
                <w:color w:val="auto"/>
                <w:highlight w:val="none"/>
              </w:rPr>
            </w:pPr>
            <w:r>
              <w:rPr>
                <w:rFonts w:hint="eastAsia"/>
                <w:color w:val="auto"/>
                <w:highlight w:val="none"/>
              </w:rPr>
              <w:t>姓名</w:t>
            </w:r>
          </w:p>
        </w:tc>
        <w:tc>
          <w:tcPr>
            <w:tcW w:w="1203" w:type="dxa"/>
            <w:tcBorders>
              <w:right w:val="single" w:color="auto" w:sz="4" w:space="0"/>
            </w:tcBorders>
            <w:vAlign w:val="center"/>
          </w:tcPr>
          <w:p w14:paraId="5B1E627A">
            <w:pPr>
              <w:pStyle w:val="45"/>
              <w:jc w:val="center"/>
              <w:rPr>
                <w:color w:val="auto"/>
                <w:highlight w:val="none"/>
              </w:rPr>
            </w:pPr>
            <w:r>
              <w:rPr>
                <w:rFonts w:hint="eastAsia"/>
                <w:color w:val="auto"/>
                <w:highlight w:val="none"/>
              </w:rPr>
              <w:t>工作单位</w:t>
            </w:r>
          </w:p>
        </w:tc>
        <w:tc>
          <w:tcPr>
            <w:tcW w:w="1224" w:type="dxa"/>
            <w:tcBorders>
              <w:left w:val="single" w:color="auto" w:sz="4" w:space="0"/>
            </w:tcBorders>
            <w:vAlign w:val="center"/>
          </w:tcPr>
          <w:p w14:paraId="566C9824">
            <w:pPr>
              <w:pStyle w:val="45"/>
              <w:jc w:val="center"/>
              <w:rPr>
                <w:color w:val="auto"/>
                <w:highlight w:val="none"/>
              </w:rPr>
            </w:pPr>
            <w:r>
              <w:rPr>
                <w:rFonts w:hint="eastAsia"/>
                <w:color w:val="auto"/>
                <w:highlight w:val="none"/>
              </w:rPr>
              <w:t>身份证号</w:t>
            </w:r>
          </w:p>
        </w:tc>
        <w:tc>
          <w:tcPr>
            <w:tcW w:w="876" w:type="dxa"/>
            <w:tcBorders>
              <w:left w:val="single" w:color="auto" w:sz="4" w:space="0"/>
            </w:tcBorders>
            <w:vAlign w:val="center"/>
          </w:tcPr>
          <w:p w14:paraId="3241822A">
            <w:pPr>
              <w:pStyle w:val="45"/>
              <w:jc w:val="center"/>
              <w:rPr>
                <w:color w:val="auto"/>
                <w:highlight w:val="none"/>
              </w:rPr>
            </w:pPr>
            <w:r>
              <w:rPr>
                <w:rFonts w:hint="eastAsia"/>
                <w:color w:val="auto"/>
                <w:highlight w:val="none"/>
              </w:rPr>
              <w:t>职称</w:t>
            </w:r>
          </w:p>
        </w:tc>
        <w:tc>
          <w:tcPr>
            <w:tcW w:w="1850" w:type="dxa"/>
            <w:vAlign w:val="center"/>
          </w:tcPr>
          <w:p w14:paraId="57503923">
            <w:pPr>
              <w:pStyle w:val="45"/>
              <w:jc w:val="center"/>
              <w:rPr>
                <w:rFonts w:hint="default" w:eastAsia="宋体"/>
                <w:color w:val="auto"/>
                <w:highlight w:val="none"/>
                <w:lang w:val="en-US" w:eastAsia="zh-CN"/>
              </w:rPr>
            </w:pPr>
            <w:r>
              <w:rPr>
                <w:rFonts w:hint="eastAsia"/>
                <w:color w:val="auto"/>
                <w:highlight w:val="none"/>
                <w:lang w:val="en-US" w:eastAsia="zh-CN"/>
              </w:rPr>
              <w:t>注册证书（岗位证书）名称及编号</w:t>
            </w:r>
          </w:p>
        </w:tc>
        <w:tc>
          <w:tcPr>
            <w:tcW w:w="1277" w:type="dxa"/>
            <w:vAlign w:val="center"/>
          </w:tcPr>
          <w:p w14:paraId="726B2B6A">
            <w:pPr>
              <w:pStyle w:val="45"/>
              <w:jc w:val="center"/>
              <w:rPr>
                <w:color w:val="auto"/>
                <w:highlight w:val="none"/>
              </w:rPr>
            </w:pPr>
            <w:r>
              <w:rPr>
                <w:rFonts w:hint="eastAsia" w:eastAsia="宋体"/>
                <w:color w:val="auto"/>
                <w:highlight w:val="none"/>
                <w:lang w:val="en-US" w:eastAsia="zh-CN"/>
              </w:rPr>
              <w:t>在团队中职务（岗位）</w:t>
            </w:r>
          </w:p>
        </w:tc>
        <w:tc>
          <w:tcPr>
            <w:tcW w:w="816" w:type="dxa"/>
            <w:vAlign w:val="center"/>
          </w:tcPr>
          <w:p w14:paraId="3D92204D">
            <w:pPr>
              <w:pStyle w:val="45"/>
              <w:jc w:val="center"/>
              <w:rPr>
                <w:color w:val="auto"/>
                <w:highlight w:val="none"/>
              </w:rPr>
            </w:pPr>
            <w:r>
              <w:rPr>
                <w:rFonts w:hint="eastAsia"/>
                <w:color w:val="auto"/>
                <w:highlight w:val="none"/>
              </w:rPr>
              <w:t>自有</w:t>
            </w:r>
            <w:r>
              <w:rPr>
                <w:color w:val="auto"/>
                <w:highlight w:val="none"/>
              </w:rPr>
              <w:t>/外聘</w:t>
            </w:r>
          </w:p>
        </w:tc>
      </w:tr>
      <w:tr w14:paraId="317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96F11C3">
            <w:pPr>
              <w:pStyle w:val="45"/>
              <w:jc w:val="center"/>
              <w:rPr>
                <w:color w:val="auto"/>
                <w:highlight w:val="none"/>
              </w:rPr>
            </w:pPr>
            <w:bookmarkStart w:id="605" w:name="_Toc100090784"/>
            <w:bookmarkStart w:id="606" w:name="_Toc99533292"/>
            <w:r>
              <w:rPr>
                <w:rFonts w:hint="eastAsia"/>
                <w:color w:val="auto"/>
                <w:highlight w:val="none"/>
              </w:rPr>
              <w:t>1</w:t>
            </w:r>
            <w:bookmarkEnd w:id="605"/>
            <w:bookmarkEnd w:id="606"/>
          </w:p>
        </w:tc>
        <w:tc>
          <w:tcPr>
            <w:tcW w:w="1143" w:type="dxa"/>
            <w:vAlign w:val="center"/>
          </w:tcPr>
          <w:p w14:paraId="17E08D36">
            <w:pPr>
              <w:pStyle w:val="45"/>
              <w:jc w:val="center"/>
              <w:rPr>
                <w:color w:val="auto"/>
                <w:highlight w:val="none"/>
              </w:rPr>
            </w:pPr>
          </w:p>
        </w:tc>
        <w:tc>
          <w:tcPr>
            <w:tcW w:w="1203" w:type="dxa"/>
            <w:tcBorders>
              <w:right w:val="single" w:color="auto" w:sz="4" w:space="0"/>
            </w:tcBorders>
            <w:vAlign w:val="center"/>
          </w:tcPr>
          <w:p w14:paraId="210B6FB1">
            <w:pPr>
              <w:pStyle w:val="45"/>
              <w:jc w:val="center"/>
              <w:rPr>
                <w:color w:val="auto"/>
                <w:highlight w:val="none"/>
              </w:rPr>
            </w:pPr>
          </w:p>
        </w:tc>
        <w:tc>
          <w:tcPr>
            <w:tcW w:w="1224" w:type="dxa"/>
            <w:tcBorders>
              <w:left w:val="single" w:color="auto" w:sz="4" w:space="0"/>
            </w:tcBorders>
            <w:vAlign w:val="center"/>
          </w:tcPr>
          <w:p w14:paraId="3462C04F">
            <w:pPr>
              <w:pStyle w:val="45"/>
              <w:jc w:val="center"/>
              <w:rPr>
                <w:color w:val="auto"/>
                <w:highlight w:val="none"/>
              </w:rPr>
            </w:pPr>
          </w:p>
        </w:tc>
        <w:tc>
          <w:tcPr>
            <w:tcW w:w="876" w:type="dxa"/>
            <w:tcBorders>
              <w:left w:val="single" w:color="auto" w:sz="4" w:space="0"/>
            </w:tcBorders>
            <w:vAlign w:val="center"/>
          </w:tcPr>
          <w:p w14:paraId="1BA89E69">
            <w:pPr>
              <w:pStyle w:val="45"/>
              <w:jc w:val="center"/>
              <w:rPr>
                <w:color w:val="auto"/>
                <w:highlight w:val="none"/>
              </w:rPr>
            </w:pPr>
          </w:p>
        </w:tc>
        <w:tc>
          <w:tcPr>
            <w:tcW w:w="1850" w:type="dxa"/>
            <w:vAlign w:val="center"/>
          </w:tcPr>
          <w:p w14:paraId="033DBB1F">
            <w:pPr>
              <w:pStyle w:val="45"/>
              <w:jc w:val="center"/>
              <w:rPr>
                <w:color w:val="auto"/>
                <w:highlight w:val="none"/>
              </w:rPr>
            </w:pPr>
          </w:p>
        </w:tc>
        <w:tc>
          <w:tcPr>
            <w:tcW w:w="1277" w:type="dxa"/>
            <w:vAlign w:val="center"/>
          </w:tcPr>
          <w:p w14:paraId="2148FD62">
            <w:pPr>
              <w:pStyle w:val="45"/>
              <w:jc w:val="center"/>
              <w:rPr>
                <w:color w:val="auto"/>
                <w:highlight w:val="none"/>
              </w:rPr>
            </w:pPr>
          </w:p>
        </w:tc>
        <w:tc>
          <w:tcPr>
            <w:tcW w:w="816" w:type="dxa"/>
            <w:vAlign w:val="center"/>
          </w:tcPr>
          <w:p w14:paraId="73D8F053">
            <w:pPr>
              <w:pStyle w:val="45"/>
              <w:jc w:val="center"/>
              <w:rPr>
                <w:color w:val="auto"/>
                <w:highlight w:val="none"/>
              </w:rPr>
            </w:pPr>
          </w:p>
        </w:tc>
      </w:tr>
      <w:tr w14:paraId="4384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46A6AD6">
            <w:pPr>
              <w:pStyle w:val="45"/>
              <w:jc w:val="center"/>
              <w:rPr>
                <w:color w:val="auto"/>
                <w:highlight w:val="none"/>
              </w:rPr>
            </w:pPr>
            <w:bookmarkStart w:id="607" w:name="_Toc99533293"/>
            <w:bookmarkStart w:id="608" w:name="_Toc100090785"/>
            <w:r>
              <w:rPr>
                <w:rFonts w:hint="eastAsia"/>
                <w:color w:val="auto"/>
                <w:highlight w:val="none"/>
              </w:rPr>
              <w:t>2</w:t>
            </w:r>
            <w:bookmarkEnd w:id="607"/>
            <w:bookmarkEnd w:id="608"/>
          </w:p>
        </w:tc>
        <w:tc>
          <w:tcPr>
            <w:tcW w:w="1143" w:type="dxa"/>
            <w:vAlign w:val="center"/>
          </w:tcPr>
          <w:p w14:paraId="3D8D2A32">
            <w:pPr>
              <w:pStyle w:val="45"/>
              <w:jc w:val="center"/>
              <w:rPr>
                <w:color w:val="auto"/>
                <w:highlight w:val="none"/>
              </w:rPr>
            </w:pPr>
          </w:p>
        </w:tc>
        <w:tc>
          <w:tcPr>
            <w:tcW w:w="1203" w:type="dxa"/>
            <w:tcBorders>
              <w:right w:val="single" w:color="auto" w:sz="4" w:space="0"/>
            </w:tcBorders>
            <w:vAlign w:val="center"/>
          </w:tcPr>
          <w:p w14:paraId="2762151A">
            <w:pPr>
              <w:pStyle w:val="45"/>
              <w:jc w:val="center"/>
              <w:rPr>
                <w:color w:val="auto"/>
                <w:highlight w:val="none"/>
              </w:rPr>
            </w:pPr>
          </w:p>
        </w:tc>
        <w:tc>
          <w:tcPr>
            <w:tcW w:w="1224" w:type="dxa"/>
            <w:tcBorders>
              <w:left w:val="single" w:color="auto" w:sz="4" w:space="0"/>
            </w:tcBorders>
            <w:vAlign w:val="center"/>
          </w:tcPr>
          <w:p w14:paraId="372D6CF0">
            <w:pPr>
              <w:pStyle w:val="45"/>
              <w:jc w:val="center"/>
              <w:rPr>
                <w:color w:val="auto"/>
                <w:highlight w:val="none"/>
              </w:rPr>
            </w:pPr>
          </w:p>
        </w:tc>
        <w:tc>
          <w:tcPr>
            <w:tcW w:w="876" w:type="dxa"/>
            <w:tcBorders>
              <w:left w:val="single" w:color="auto" w:sz="4" w:space="0"/>
            </w:tcBorders>
            <w:vAlign w:val="center"/>
          </w:tcPr>
          <w:p w14:paraId="2BCE8297">
            <w:pPr>
              <w:pStyle w:val="45"/>
              <w:jc w:val="center"/>
              <w:rPr>
                <w:color w:val="auto"/>
                <w:highlight w:val="none"/>
              </w:rPr>
            </w:pPr>
          </w:p>
        </w:tc>
        <w:tc>
          <w:tcPr>
            <w:tcW w:w="1850" w:type="dxa"/>
            <w:vAlign w:val="center"/>
          </w:tcPr>
          <w:p w14:paraId="0DB83334">
            <w:pPr>
              <w:pStyle w:val="45"/>
              <w:jc w:val="center"/>
              <w:rPr>
                <w:color w:val="auto"/>
                <w:highlight w:val="none"/>
              </w:rPr>
            </w:pPr>
          </w:p>
        </w:tc>
        <w:tc>
          <w:tcPr>
            <w:tcW w:w="1277" w:type="dxa"/>
            <w:vAlign w:val="center"/>
          </w:tcPr>
          <w:p w14:paraId="77E48E09">
            <w:pPr>
              <w:pStyle w:val="45"/>
              <w:jc w:val="center"/>
              <w:rPr>
                <w:color w:val="auto"/>
                <w:highlight w:val="none"/>
              </w:rPr>
            </w:pPr>
          </w:p>
        </w:tc>
        <w:tc>
          <w:tcPr>
            <w:tcW w:w="816" w:type="dxa"/>
            <w:vAlign w:val="center"/>
          </w:tcPr>
          <w:p w14:paraId="32CE3B63">
            <w:pPr>
              <w:pStyle w:val="45"/>
              <w:jc w:val="center"/>
              <w:rPr>
                <w:color w:val="auto"/>
                <w:highlight w:val="none"/>
              </w:rPr>
            </w:pPr>
          </w:p>
        </w:tc>
      </w:tr>
      <w:tr w14:paraId="5E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E23E322">
            <w:pPr>
              <w:pStyle w:val="45"/>
              <w:jc w:val="center"/>
              <w:rPr>
                <w:color w:val="auto"/>
                <w:highlight w:val="none"/>
              </w:rPr>
            </w:pPr>
            <w:bookmarkStart w:id="609" w:name="_Toc100090786"/>
            <w:bookmarkStart w:id="610" w:name="_Toc99533294"/>
            <w:r>
              <w:rPr>
                <w:rFonts w:hint="eastAsia"/>
                <w:color w:val="auto"/>
                <w:highlight w:val="none"/>
              </w:rPr>
              <w:t>3</w:t>
            </w:r>
            <w:bookmarkEnd w:id="609"/>
            <w:bookmarkEnd w:id="610"/>
          </w:p>
        </w:tc>
        <w:tc>
          <w:tcPr>
            <w:tcW w:w="1143" w:type="dxa"/>
            <w:vAlign w:val="center"/>
          </w:tcPr>
          <w:p w14:paraId="5622553E">
            <w:pPr>
              <w:pStyle w:val="45"/>
              <w:jc w:val="center"/>
              <w:rPr>
                <w:color w:val="auto"/>
                <w:highlight w:val="none"/>
              </w:rPr>
            </w:pPr>
          </w:p>
        </w:tc>
        <w:tc>
          <w:tcPr>
            <w:tcW w:w="1203" w:type="dxa"/>
            <w:tcBorders>
              <w:right w:val="single" w:color="auto" w:sz="4" w:space="0"/>
            </w:tcBorders>
            <w:vAlign w:val="center"/>
          </w:tcPr>
          <w:p w14:paraId="145347C3">
            <w:pPr>
              <w:pStyle w:val="45"/>
              <w:jc w:val="center"/>
              <w:rPr>
                <w:color w:val="auto"/>
                <w:highlight w:val="none"/>
              </w:rPr>
            </w:pPr>
          </w:p>
        </w:tc>
        <w:tc>
          <w:tcPr>
            <w:tcW w:w="1224" w:type="dxa"/>
            <w:tcBorders>
              <w:left w:val="single" w:color="auto" w:sz="4" w:space="0"/>
            </w:tcBorders>
            <w:vAlign w:val="center"/>
          </w:tcPr>
          <w:p w14:paraId="78C911C0">
            <w:pPr>
              <w:pStyle w:val="45"/>
              <w:jc w:val="center"/>
              <w:rPr>
                <w:color w:val="auto"/>
                <w:highlight w:val="none"/>
              </w:rPr>
            </w:pPr>
          </w:p>
        </w:tc>
        <w:tc>
          <w:tcPr>
            <w:tcW w:w="876" w:type="dxa"/>
            <w:tcBorders>
              <w:left w:val="single" w:color="auto" w:sz="4" w:space="0"/>
            </w:tcBorders>
            <w:vAlign w:val="center"/>
          </w:tcPr>
          <w:p w14:paraId="1632F2FA">
            <w:pPr>
              <w:pStyle w:val="45"/>
              <w:jc w:val="center"/>
              <w:rPr>
                <w:color w:val="auto"/>
                <w:highlight w:val="none"/>
              </w:rPr>
            </w:pPr>
          </w:p>
        </w:tc>
        <w:tc>
          <w:tcPr>
            <w:tcW w:w="1850" w:type="dxa"/>
            <w:vAlign w:val="center"/>
          </w:tcPr>
          <w:p w14:paraId="4AE50BE4">
            <w:pPr>
              <w:pStyle w:val="45"/>
              <w:jc w:val="center"/>
              <w:rPr>
                <w:color w:val="auto"/>
                <w:highlight w:val="none"/>
              </w:rPr>
            </w:pPr>
          </w:p>
        </w:tc>
        <w:tc>
          <w:tcPr>
            <w:tcW w:w="1277" w:type="dxa"/>
            <w:vAlign w:val="center"/>
          </w:tcPr>
          <w:p w14:paraId="107FDE9E">
            <w:pPr>
              <w:pStyle w:val="45"/>
              <w:jc w:val="center"/>
              <w:rPr>
                <w:color w:val="auto"/>
                <w:highlight w:val="none"/>
              </w:rPr>
            </w:pPr>
          </w:p>
        </w:tc>
        <w:tc>
          <w:tcPr>
            <w:tcW w:w="816" w:type="dxa"/>
            <w:vAlign w:val="center"/>
          </w:tcPr>
          <w:p w14:paraId="0FCF0246">
            <w:pPr>
              <w:pStyle w:val="45"/>
              <w:jc w:val="center"/>
              <w:rPr>
                <w:color w:val="auto"/>
                <w:highlight w:val="none"/>
              </w:rPr>
            </w:pPr>
          </w:p>
        </w:tc>
      </w:tr>
      <w:tr w14:paraId="076A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85BF670">
            <w:pPr>
              <w:pStyle w:val="45"/>
              <w:jc w:val="center"/>
              <w:rPr>
                <w:color w:val="auto"/>
                <w:highlight w:val="none"/>
              </w:rPr>
            </w:pPr>
            <w:bookmarkStart w:id="611" w:name="_Toc100090787"/>
            <w:bookmarkStart w:id="612" w:name="_Toc99533295"/>
            <w:r>
              <w:rPr>
                <w:rFonts w:hint="eastAsia"/>
                <w:color w:val="auto"/>
                <w:highlight w:val="none"/>
              </w:rPr>
              <w:t>4</w:t>
            </w:r>
            <w:bookmarkEnd w:id="611"/>
            <w:bookmarkEnd w:id="612"/>
          </w:p>
        </w:tc>
        <w:tc>
          <w:tcPr>
            <w:tcW w:w="1143" w:type="dxa"/>
            <w:vAlign w:val="center"/>
          </w:tcPr>
          <w:p w14:paraId="06A33E5B">
            <w:pPr>
              <w:pStyle w:val="45"/>
              <w:jc w:val="center"/>
              <w:rPr>
                <w:color w:val="auto"/>
                <w:highlight w:val="none"/>
              </w:rPr>
            </w:pPr>
          </w:p>
        </w:tc>
        <w:tc>
          <w:tcPr>
            <w:tcW w:w="1203" w:type="dxa"/>
            <w:tcBorders>
              <w:right w:val="single" w:color="auto" w:sz="4" w:space="0"/>
            </w:tcBorders>
            <w:vAlign w:val="center"/>
          </w:tcPr>
          <w:p w14:paraId="7BBB4E02">
            <w:pPr>
              <w:pStyle w:val="45"/>
              <w:jc w:val="center"/>
              <w:rPr>
                <w:color w:val="auto"/>
                <w:highlight w:val="none"/>
              </w:rPr>
            </w:pPr>
          </w:p>
        </w:tc>
        <w:tc>
          <w:tcPr>
            <w:tcW w:w="1224" w:type="dxa"/>
            <w:tcBorders>
              <w:left w:val="single" w:color="auto" w:sz="4" w:space="0"/>
            </w:tcBorders>
            <w:vAlign w:val="center"/>
          </w:tcPr>
          <w:p w14:paraId="260605CA">
            <w:pPr>
              <w:pStyle w:val="45"/>
              <w:jc w:val="center"/>
              <w:rPr>
                <w:color w:val="auto"/>
                <w:highlight w:val="none"/>
              </w:rPr>
            </w:pPr>
          </w:p>
        </w:tc>
        <w:tc>
          <w:tcPr>
            <w:tcW w:w="876" w:type="dxa"/>
            <w:tcBorders>
              <w:left w:val="single" w:color="auto" w:sz="4" w:space="0"/>
            </w:tcBorders>
            <w:vAlign w:val="center"/>
          </w:tcPr>
          <w:p w14:paraId="55F61FA3">
            <w:pPr>
              <w:pStyle w:val="45"/>
              <w:jc w:val="center"/>
              <w:rPr>
                <w:color w:val="auto"/>
                <w:highlight w:val="none"/>
              </w:rPr>
            </w:pPr>
          </w:p>
        </w:tc>
        <w:tc>
          <w:tcPr>
            <w:tcW w:w="1850" w:type="dxa"/>
            <w:vAlign w:val="center"/>
          </w:tcPr>
          <w:p w14:paraId="05E14483">
            <w:pPr>
              <w:pStyle w:val="45"/>
              <w:jc w:val="center"/>
              <w:rPr>
                <w:color w:val="auto"/>
                <w:highlight w:val="none"/>
              </w:rPr>
            </w:pPr>
          </w:p>
        </w:tc>
        <w:tc>
          <w:tcPr>
            <w:tcW w:w="1277" w:type="dxa"/>
            <w:vAlign w:val="center"/>
          </w:tcPr>
          <w:p w14:paraId="7A6D63FA">
            <w:pPr>
              <w:pStyle w:val="45"/>
              <w:jc w:val="center"/>
              <w:rPr>
                <w:color w:val="auto"/>
                <w:highlight w:val="none"/>
              </w:rPr>
            </w:pPr>
          </w:p>
        </w:tc>
        <w:tc>
          <w:tcPr>
            <w:tcW w:w="816" w:type="dxa"/>
            <w:vAlign w:val="center"/>
          </w:tcPr>
          <w:p w14:paraId="20DFABE1">
            <w:pPr>
              <w:pStyle w:val="45"/>
              <w:jc w:val="center"/>
              <w:rPr>
                <w:color w:val="auto"/>
                <w:highlight w:val="none"/>
              </w:rPr>
            </w:pPr>
          </w:p>
        </w:tc>
      </w:tr>
      <w:tr w14:paraId="5F3F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43CD23">
            <w:pPr>
              <w:pStyle w:val="45"/>
              <w:jc w:val="center"/>
              <w:rPr>
                <w:color w:val="auto"/>
                <w:highlight w:val="none"/>
              </w:rPr>
            </w:pPr>
            <w:bookmarkStart w:id="613" w:name="_Toc99533296"/>
            <w:bookmarkStart w:id="614" w:name="_Toc100090788"/>
            <w:r>
              <w:rPr>
                <w:rFonts w:hint="eastAsia"/>
                <w:color w:val="auto"/>
                <w:highlight w:val="none"/>
              </w:rPr>
              <w:t>5</w:t>
            </w:r>
            <w:bookmarkEnd w:id="613"/>
            <w:bookmarkEnd w:id="614"/>
          </w:p>
        </w:tc>
        <w:tc>
          <w:tcPr>
            <w:tcW w:w="1143" w:type="dxa"/>
            <w:vAlign w:val="center"/>
          </w:tcPr>
          <w:p w14:paraId="1A0773CB">
            <w:pPr>
              <w:pStyle w:val="45"/>
              <w:jc w:val="center"/>
              <w:rPr>
                <w:color w:val="auto"/>
                <w:highlight w:val="none"/>
              </w:rPr>
            </w:pPr>
          </w:p>
        </w:tc>
        <w:tc>
          <w:tcPr>
            <w:tcW w:w="1203" w:type="dxa"/>
            <w:tcBorders>
              <w:right w:val="single" w:color="auto" w:sz="4" w:space="0"/>
            </w:tcBorders>
            <w:vAlign w:val="center"/>
          </w:tcPr>
          <w:p w14:paraId="61787A67">
            <w:pPr>
              <w:pStyle w:val="45"/>
              <w:jc w:val="center"/>
              <w:rPr>
                <w:color w:val="auto"/>
                <w:highlight w:val="none"/>
              </w:rPr>
            </w:pPr>
          </w:p>
        </w:tc>
        <w:tc>
          <w:tcPr>
            <w:tcW w:w="1224" w:type="dxa"/>
            <w:tcBorders>
              <w:left w:val="single" w:color="auto" w:sz="4" w:space="0"/>
            </w:tcBorders>
            <w:vAlign w:val="center"/>
          </w:tcPr>
          <w:p w14:paraId="15BBA932">
            <w:pPr>
              <w:pStyle w:val="45"/>
              <w:jc w:val="center"/>
              <w:rPr>
                <w:color w:val="auto"/>
                <w:highlight w:val="none"/>
              </w:rPr>
            </w:pPr>
          </w:p>
        </w:tc>
        <w:tc>
          <w:tcPr>
            <w:tcW w:w="876" w:type="dxa"/>
            <w:tcBorders>
              <w:left w:val="single" w:color="auto" w:sz="4" w:space="0"/>
            </w:tcBorders>
            <w:vAlign w:val="center"/>
          </w:tcPr>
          <w:p w14:paraId="48AABD5E">
            <w:pPr>
              <w:pStyle w:val="45"/>
              <w:jc w:val="center"/>
              <w:rPr>
                <w:color w:val="auto"/>
                <w:highlight w:val="none"/>
              </w:rPr>
            </w:pPr>
          </w:p>
        </w:tc>
        <w:tc>
          <w:tcPr>
            <w:tcW w:w="1850" w:type="dxa"/>
            <w:vAlign w:val="center"/>
          </w:tcPr>
          <w:p w14:paraId="2BC300D7">
            <w:pPr>
              <w:pStyle w:val="45"/>
              <w:jc w:val="center"/>
              <w:rPr>
                <w:color w:val="auto"/>
                <w:highlight w:val="none"/>
              </w:rPr>
            </w:pPr>
          </w:p>
        </w:tc>
        <w:tc>
          <w:tcPr>
            <w:tcW w:w="1277" w:type="dxa"/>
            <w:vAlign w:val="center"/>
          </w:tcPr>
          <w:p w14:paraId="3943C72A">
            <w:pPr>
              <w:pStyle w:val="45"/>
              <w:jc w:val="center"/>
              <w:rPr>
                <w:color w:val="auto"/>
                <w:highlight w:val="none"/>
              </w:rPr>
            </w:pPr>
          </w:p>
        </w:tc>
        <w:tc>
          <w:tcPr>
            <w:tcW w:w="816" w:type="dxa"/>
            <w:vAlign w:val="center"/>
          </w:tcPr>
          <w:p w14:paraId="04141556">
            <w:pPr>
              <w:pStyle w:val="45"/>
              <w:jc w:val="center"/>
              <w:rPr>
                <w:color w:val="auto"/>
                <w:highlight w:val="none"/>
              </w:rPr>
            </w:pPr>
          </w:p>
        </w:tc>
      </w:tr>
      <w:tr w14:paraId="0EDD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E74CE0E">
            <w:pPr>
              <w:pStyle w:val="45"/>
              <w:jc w:val="center"/>
              <w:rPr>
                <w:color w:val="auto"/>
                <w:highlight w:val="none"/>
              </w:rPr>
            </w:pPr>
            <w:bookmarkStart w:id="615" w:name="_Toc100090789"/>
            <w:bookmarkStart w:id="616" w:name="_Toc99533297"/>
            <w:r>
              <w:rPr>
                <w:rFonts w:hint="eastAsia"/>
                <w:color w:val="auto"/>
                <w:highlight w:val="none"/>
              </w:rPr>
              <w:t>6</w:t>
            </w:r>
            <w:bookmarkEnd w:id="615"/>
            <w:bookmarkEnd w:id="616"/>
          </w:p>
        </w:tc>
        <w:tc>
          <w:tcPr>
            <w:tcW w:w="1143" w:type="dxa"/>
            <w:vAlign w:val="center"/>
          </w:tcPr>
          <w:p w14:paraId="629198B4">
            <w:pPr>
              <w:pStyle w:val="45"/>
              <w:jc w:val="center"/>
              <w:rPr>
                <w:color w:val="auto"/>
                <w:highlight w:val="none"/>
              </w:rPr>
            </w:pPr>
          </w:p>
        </w:tc>
        <w:tc>
          <w:tcPr>
            <w:tcW w:w="1203" w:type="dxa"/>
            <w:tcBorders>
              <w:right w:val="single" w:color="auto" w:sz="4" w:space="0"/>
            </w:tcBorders>
            <w:vAlign w:val="center"/>
          </w:tcPr>
          <w:p w14:paraId="612B4791">
            <w:pPr>
              <w:pStyle w:val="45"/>
              <w:jc w:val="center"/>
              <w:rPr>
                <w:color w:val="auto"/>
                <w:highlight w:val="none"/>
              </w:rPr>
            </w:pPr>
          </w:p>
        </w:tc>
        <w:tc>
          <w:tcPr>
            <w:tcW w:w="1224" w:type="dxa"/>
            <w:tcBorders>
              <w:left w:val="single" w:color="auto" w:sz="4" w:space="0"/>
            </w:tcBorders>
            <w:vAlign w:val="center"/>
          </w:tcPr>
          <w:p w14:paraId="13596CFC">
            <w:pPr>
              <w:pStyle w:val="45"/>
              <w:jc w:val="center"/>
              <w:rPr>
                <w:color w:val="auto"/>
                <w:highlight w:val="none"/>
              </w:rPr>
            </w:pPr>
          </w:p>
        </w:tc>
        <w:tc>
          <w:tcPr>
            <w:tcW w:w="876" w:type="dxa"/>
            <w:tcBorders>
              <w:left w:val="single" w:color="auto" w:sz="4" w:space="0"/>
            </w:tcBorders>
            <w:vAlign w:val="center"/>
          </w:tcPr>
          <w:p w14:paraId="26E67AC9">
            <w:pPr>
              <w:pStyle w:val="45"/>
              <w:jc w:val="center"/>
              <w:rPr>
                <w:color w:val="auto"/>
                <w:highlight w:val="none"/>
              </w:rPr>
            </w:pPr>
          </w:p>
        </w:tc>
        <w:tc>
          <w:tcPr>
            <w:tcW w:w="1850" w:type="dxa"/>
            <w:vAlign w:val="center"/>
          </w:tcPr>
          <w:p w14:paraId="0134580B">
            <w:pPr>
              <w:pStyle w:val="45"/>
              <w:jc w:val="center"/>
              <w:rPr>
                <w:color w:val="auto"/>
                <w:highlight w:val="none"/>
              </w:rPr>
            </w:pPr>
          </w:p>
        </w:tc>
        <w:tc>
          <w:tcPr>
            <w:tcW w:w="1277" w:type="dxa"/>
            <w:vAlign w:val="center"/>
          </w:tcPr>
          <w:p w14:paraId="6FF03D95">
            <w:pPr>
              <w:pStyle w:val="45"/>
              <w:jc w:val="center"/>
              <w:rPr>
                <w:color w:val="auto"/>
                <w:highlight w:val="none"/>
              </w:rPr>
            </w:pPr>
          </w:p>
        </w:tc>
        <w:tc>
          <w:tcPr>
            <w:tcW w:w="816" w:type="dxa"/>
            <w:vAlign w:val="center"/>
          </w:tcPr>
          <w:p w14:paraId="01F1AED7">
            <w:pPr>
              <w:pStyle w:val="45"/>
              <w:jc w:val="center"/>
              <w:rPr>
                <w:color w:val="auto"/>
                <w:highlight w:val="none"/>
              </w:rPr>
            </w:pPr>
          </w:p>
        </w:tc>
      </w:tr>
      <w:tr w14:paraId="4DB1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34A3A2">
            <w:pPr>
              <w:pStyle w:val="45"/>
              <w:jc w:val="center"/>
              <w:rPr>
                <w:color w:val="auto"/>
                <w:highlight w:val="none"/>
              </w:rPr>
            </w:pPr>
            <w:bookmarkStart w:id="617" w:name="_Toc99533298"/>
            <w:bookmarkStart w:id="618" w:name="_Toc100090790"/>
            <w:r>
              <w:rPr>
                <w:rFonts w:hint="eastAsia"/>
                <w:color w:val="auto"/>
                <w:highlight w:val="none"/>
              </w:rPr>
              <w:t>7</w:t>
            </w:r>
            <w:bookmarkEnd w:id="617"/>
            <w:bookmarkEnd w:id="618"/>
          </w:p>
        </w:tc>
        <w:tc>
          <w:tcPr>
            <w:tcW w:w="1143" w:type="dxa"/>
            <w:vAlign w:val="center"/>
          </w:tcPr>
          <w:p w14:paraId="652A7D64">
            <w:pPr>
              <w:pStyle w:val="45"/>
              <w:jc w:val="center"/>
              <w:rPr>
                <w:color w:val="auto"/>
                <w:highlight w:val="none"/>
              </w:rPr>
            </w:pPr>
          </w:p>
        </w:tc>
        <w:tc>
          <w:tcPr>
            <w:tcW w:w="1203" w:type="dxa"/>
            <w:tcBorders>
              <w:right w:val="single" w:color="auto" w:sz="4" w:space="0"/>
            </w:tcBorders>
            <w:vAlign w:val="center"/>
          </w:tcPr>
          <w:p w14:paraId="05008CFD">
            <w:pPr>
              <w:pStyle w:val="45"/>
              <w:jc w:val="center"/>
              <w:rPr>
                <w:color w:val="auto"/>
                <w:highlight w:val="none"/>
              </w:rPr>
            </w:pPr>
          </w:p>
        </w:tc>
        <w:tc>
          <w:tcPr>
            <w:tcW w:w="1224" w:type="dxa"/>
            <w:tcBorders>
              <w:left w:val="single" w:color="auto" w:sz="4" w:space="0"/>
            </w:tcBorders>
            <w:vAlign w:val="center"/>
          </w:tcPr>
          <w:p w14:paraId="3050402F">
            <w:pPr>
              <w:pStyle w:val="45"/>
              <w:jc w:val="center"/>
              <w:rPr>
                <w:color w:val="auto"/>
                <w:highlight w:val="none"/>
              </w:rPr>
            </w:pPr>
          </w:p>
        </w:tc>
        <w:tc>
          <w:tcPr>
            <w:tcW w:w="876" w:type="dxa"/>
            <w:tcBorders>
              <w:left w:val="single" w:color="auto" w:sz="4" w:space="0"/>
            </w:tcBorders>
            <w:vAlign w:val="center"/>
          </w:tcPr>
          <w:p w14:paraId="358C0B3B">
            <w:pPr>
              <w:pStyle w:val="45"/>
              <w:jc w:val="center"/>
              <w:rPr>
                <w:color w:val="auto"/>
                <w:highlight w:val="none"/>
              </w:rPr>
            </w:pPr>
          </w:p>
        </w:tc>
        <w:tc>
          <w:tcPr>
            <w:tcW w:w="1850" w:type="dxa"/>
            <w:vAlign w:val="center"/>
          </w:tcPr>
          <w:p w14:paraId="706D8915">
            <w:pPr>
              <w:pStyle w:val="45"/>
              <w:jc w:val="center"/>
              <w:rPr>
                <w:color w:val="auto"/>
                <w:highlight w:val="none"/>
              </w:rPr>
            </w:pPr>
          </w:p>
        </w:tc>
        <w:tc>
          <w:tcPr>
            <w:tcW w:w="1277" w:type="dxa"/>
            <w:vAlign w:val="center"/>
          </w:tcPr>
          <w:p w14:paraId="5FBF328E">
            <w:pPr>
              <w:pStyle w:val="45"/>
              <w:jc w:val="center"/>
              <w:rPr>
                <w:color w:val="auto"/>
                <w:highlight w:val="none"/>
              </w:rPr>
            </w:pPr>
          </w:p>
        </w:tc>
        <w:tc>
          <w:tcPr>
            <w:tcW w:w="816" w:type="dxa"/>
            <w:vAlign w:val="center"/>
          </w:tcPr>
          <w:p w14:paraId="1DADAFB4">
            <w:pPr>
              <w:pStyle w:val="45"/>
              <w:jc w:val="center"/>
              <w:rPr>
                <w:color w:val="auto"/>
                <w:highlight w:val="none"/>
              </w:rPr>
            </w:pPr>
          </w:p>
        </w:tc>
      </w:tr>
      <w:tr w14:paraId="736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0C2EDAD">
            <w:pPr>
              <w:pStyle w:val="45"/>
              <w:jc w:val="center"/>
              <w:rPr>
                <w:color w:val="auto"/>
                <w:highlight w:val="none"/>
              </w:rPr>
            </w:pPr>
            <w:bookmarkStart w:id="619" w:name="_Toc100090791"/>
            <w:bookmarkStart w:id="620" w:name="_Toc99533299"/>
            <w:r>
              <w:rPr>
                <w:rFonts w:hint="eastAsia"/>
                <w:color w:val="auto"/>
                <w:highlight w:val="none"/>
              </w:rPr>
              <w:t>8</w:t>
            </w:r>
            <w:bookmarkEnd w:id="619"/>
            <w:bookmarkEnd w:id="620"/>
          </w:p>
        </w:tc>
        <w:tc>
          <w:tcPr>
            <w:tcW w:w="1143" w:type="dxa"/>
            <w:vAlign w:val="center"/>
          </w:tcPr>
          <w:p w14:paraId="4937ABBF">
            <w:pPr>
              <w:pStyle w:val="45"/>
              <w:jc w:val="center"/>
              <w:rPr>
                <w:color w:val="auto"/>
                <w:highlight w:val="none"/>
              </w:rPr>
            </w:pPr>
          </w:p>
        </w:tc>
        <w:tc>
          <w:tcPr>
            <w:tcW w:w="1203" w:type="dxa"/>
            <w:tcBorders>
              <w:right w:val="single" w:color="auto" w:sz="4" w:space="0"/>
            </w:tcBorders>
            <w:vAlign w:val="center"/>
          </w:tcPr>
          <w:p w14:paraId="5907D5C6">
            <w:pPr>
              <w:pStyle w:val="45"/>
              <w:jc w:val="center"/>
              <w:rPr>
                <w:color w:val="auto"/>
                <w:highlight w:val="none"/>
              </w:rPr>
            </w:pPr>
          </w:p>
        </w:tc>
        <w:tc>
          <w:tcPr>
            <w:tcW w:w="1224" w:type="dxa"/>
            <w:tcBorders>
              <w:left w:val="single" w:color="auto" w:sz="4" w:space="0"/>
            </w:tcBorders>
            <w:vAlign w:val="center"/>
          </w:tcPr>
          <w:p w14:paraId="397DE284">
            <w:pPr>
              <w:pStyle w:val="45"/>
              <w:jc w:val="center"/>
              <w:rPr>
                <w:color w:val="auto"/>
                <w:highlight w:val="none"/>
              </w:rPr>
            </w:pPr>
          </w:p>
        </w:tc>
        <w:tc>
          <w:tcPr>
            <w:tcW w:w="876" w:type="dxa"/>
            <w:tcBorders>
              <w:left w:val="single" w:color="auto" w:sz="4" w:space="0"/>
            </w:tcBorders>
            <w:vAlign w:val="center"/>
          </w:tcPr>
          <w:p w14:paraId="2E8853F7">
            <w:pPr>
              <w:pStyle w:val="45"/>
              <w:jc w:val="center"/>
              <w:rPr>
                <w:color w:val="auto"/>
                <w:highlight w:val="none"/>
              </w:rPr>
            </w:pPr>
          </w:p>
        </w:tc>
        <w:tc>
          <w:tcPr>
            <w:tcW w:w="1850" w:type="dxa"/>
            <w:vAlign w:val="center"/>
          </w:tcPr>
          <w:p w14:paraId="32E60044">
            <w:pPr>
              <w:pStyle w:val="45"/>
              <w:jc w:val="center"/>
              <w:rPr>
                <w:color w:val="auto"/>
                <w:highlight w:val="none"/>
              </w:rPr>
            </w:pPr>
          </w:p>
        </w:tc>
        <w:tc>
          <w:tcPr>
            <w:tcW w:w="1277" w:type="dxa"/>
            <w:vAlign w:val="center"/>
          </w:tcPr>
          <w:p w14:paraId="7107F6B0">
            <w:pPr>
              <w:pStyle w:val="45"/>
              <w:jc w:val="center"/>
              <w:rPr>
                <w:color w:val="auto"/>
                <w:highlight w:val="none"/>
              </w:rPr>
            </w:pPr>
          </w:p>
        </w:tc>
        <w:tc>
          <w:tcPr>
            <w:tcW w:w="816" w:type="dxa"/>
            <w:vAlign w:val="center"/>
          </w:tcPr>
          <w:p w14:paraId="5E455759">
            <w:pPr>
              <w:pStyle w:val="45"/>
              <w:jc w:val="center"/>
              <w:rPr>
                <w:color w:val="auto"/>
                <w:highlight w:val="none"/>
              </w:rPr>
            </w:pPr>
          </w:p>
        </w:tc>
      </w:tr>
      <w:tr w14:paraId="71A5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0658B4">
            <w:pPr>
              <w:pStyle w:val="45"/>
              <w:jc w:val="center"/>
              <w:rPr>
                <w:color w:val="auto"/>
                <w:highlight w:val="none"/>
              </w:rPr>
            </w:pPr>
            <w:bookmarkStart w:id="621" w:name="_Toc99533300"/>
            <w:bookmarkStart w:id="622" w:name="_Toc100090792"/>
            <w:r>
              <w:rPr>
                <w:rFonts w:hint="eastAsia"/>
                <w:color w:val="auto"/>
                <w:highlight w:val="none"/>
              </w:rPr>
              <w:t>9</w:t>
            </w:r>
            <w:bookmarkEnd w:id="621"/>
            <w:bookmarkEnd w:id="622"/>
          </w:p>
        </w:tc>
        <w:tc>
          <w:tcPr>
            <w:tcW w:w="1143" w:type="dxa"/>
            <w:vAlign w:val="center"/>
          </w:tcPr>
          <w:p w14:paraId="6A62F423">
            <w:pPr>
              <w:pStyle w:val="45"/>
              <w:jc w:val="center"/>
              <w:rPr>
                <w:color w:val="auto"/>
                <w:highlight w:val="none"/>
              </w:rPr>
            </w:pPr>
          </w:p>
        </w:tc>
        <w:tc>
          <w:tcPr>
            <w:tcW w:w="1203" w:type="dxa"/>
            <w:tcBorders>
              <w:right w:val="single" w:color="auto" w:sz="4" w:space="0"/>
            </w:tcBorders>
            <w:vAlign w:val="center"/>
          </w:tcPr>
          <w:p w14:paraId="651A0213">
            <w:pPr>
              <w:pStyle w:val="45"/>
              <w:jc w:val="center"/>
              <w:rPr>
                <w:color w:val="auto"/>
                <w:highlight w:val="none"/>
              </w:rPr>
            </w:pPr>
          </w:p>
        </w:tc>
        <w:tc>
          <w:tcPr>
            <w:tcW w:w="1224" w:type="dxa"/>
            <w:tcBorders>
              <w:left w:val="single" w:color="auto" w:sz="4" w:space="0"/>
            </w:tcBorders>
            <w:vAlign w:val="center"/>
          </w:tcPr>
          <w:p w14:paraId="4A278517">
            <w:pPr>
              <w:pStyle w:val="45"/>
              <w:jc w:val="center"/>
              <w:rPr>
                <w:color w:val="auto"/>
                <w:highlight w:val="none"/>
              </w:rPr>
            </w:pPr>
          </w:p>
        </w:tc>
        <w:tc>
          <w:tcPr>
            <w:tcW w:w="876" w:type="dxa"/>
            <w:tcBorders>
              <w:left w:val="single" w:color="auto" w:sz="4" w:space="0"/>
            </w:tcBorders>
            <w:vAlign w:val="center"/>
          </w:tcPr>
          <w:p w14:paraId="3F670292">
            <w:pPr>
              <w:pStyle w:val="45"/>
              <w:jc w:val="center"/>
              <w:rPr>
                <w:color w:val="auto"/>
                <w:highlight w:val="none"/>
              </w:rPr>
            </w:pPr>
          </w:p>
        </w:tc>
        <w:tc>
          <w:tcPr>
            <w:tcW w:w="1850" w:type="dxa"/>
            <w:vAlign w:val="center"/>
          </w:tcPr>
          <w:p w14:paraId="00A3D20D">
            <w:pPr>
              <w:pStyle w:val="45"/>
              <w:jc w:val="center"/>
              <w:rPr>
                <w:color w:val="auto"/>
                <w:highlight w:val="none"/>
              </w:rPr>
            </w:pPr>
          </w:p>
        </w:tc>
        <w:tc>
          <w:tcPr>
            <w:tcW w:w="1277" w:type="dxa"/>
            <w:vAlign w:val="center"/>
          </w:tcPr>
          <w:p w14:paraId="6968EA5F">
            <w:pPr>
              <w:pStyle w:val="45"/>
              <w:jc w:val="center"/>
              <w:rPr>
                <w:color w:val="auto"/>
                <w:highlight w:val="none"/>
              </w:rPr>
            </w:pPr>
          </w:p>
        </w:tc>
        <w:tc>
          <w:tcPr>
            <w:tcW w:w="816" w:type="dxa"/>
            <w:vAlign w:val="center"/>
          </w:tcPr>
          <w:p w14:paraId="6E89C893">
            <w:pPr>
              <w:pStyle w:val="45"/>
              <w:jc w:val="center"/>
              <w:rPr>
                <w:color w:val="auto"/>
                <w:highlight w:val="none"/>
              </w:rPr>
            </w:pPr>
          </w:p>
        </w:tc>
      </w:tr>
      <w:tr w14:paraId="0636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7A94533">
            <w:pPr>
              <w:pStyle w:val="45"/>
              <w:jc w:val="center"/>
              <w:rPr>
                <w:color w:val="auto"/>
                <w:highlight w:val="none"/>
              </w:rPr>
            </w:pPr>
            <w:bookmarkStart w:id="623" w:name="_Toc100090793"/>
            <w:bookmarkStart w:id="624" w:name="_Toc99533301"/>
            <w:r>
              <w:rPr>
                <w:rFonts w:hint="eastAsia"/>
                <w:color w:val="auto"/>
                <w:highlight w:val="none"/>
              </w:rPr>
              <w:t>10</w:t>
            </w:r>
            <w:bookmarkEnd w:id="623"/>
            <w:bookmarkEnd w:id="624"/>
          </w:p>
        </w:tc>
        <w:tc>
          <w:tcPr>
            <w:tcW w:w="1143" w:type="dxa"/>
            <w:vAlign w:val="center"/>
          </w:tcPr>
          <w:p w14:paraId="3DA04C3D">
            <w:pPr>
              <w:pStyle w:val="45"/>
              <w:jc w:val="center"/>
              <w:rPr>
                <w:color w:val="auto"/>
                <w:highlight w:val="none"/>
              </w:rPr>
            </w:pPr>
          </w:p>
        </w:tc>
        <w:tc>
          <w:tcPr>
            <w:tcW w:w="1203" w:type="dxa"/>
            <w:tcBorders>
              <w:right w:val="single" w:color="auto" w:sz="4" w:space="0"/>
            </w:tcBorders>
            <w:vAlign w:val="center"/>
          </w:tcPr>
          <w:p w14:paraId="4BA13044">
            <w:pPr>
              <w:pStyle w:val="45"/>
              <w:jc w:val="center"/>
              <w:rPr>
                <w:color w:val="auto"/>
                <w:highlight w:val="none"/>
              </w:rPr>
            </w:pPr>
          </w:p>
        </w:tc>
        <w:tc>
          <w:tcPr>
            <w:tcW w:w="1224" w:type="dxa"/>
            <w:tcBorders>
              <w:left w:val="single" w:color="auto" w:sz="4" w:space="0"/>
            </w:tcBorders>
            <w:vAlign w:val="center"/>
          </w:tcPr>
          <w:p w14:paraId="16B84266">
            <w:pPr>
              <w:pStyle w:val="45"/>
              <w:jc w:val="center"/>
              <w:rPr>
                <w:color w:val="auto"/>
                <w:highlight w:val="none"/>
              </w:rPr>
            </w:pPr>
          </w:p>
        </w:tc>
        <w:tc>
          <w:tcPr>
            <w:tcW w:w="876" w:type="dxa"/>
            <w:tcBorders>
              <w:left w:val="single" w:color="auto" w:sz="4" w:space="0"/>
            </w:tcBorders>
            <w:vAlign w:val="center"/>
          </w:tcPr>
          <w:p w14:paraId="71FC8978">
            <w:pPr>
              <w:pStyle w:val="45"/>
              <w:jc w:val="center"/>
              <w:rPr>
                <w:color w:val="auto"/>
                <w:highlight w:val="none"/>
              </w:rPr>
            </w:pPr>
          </w:p>
        </w:tc>
        <w:tc>
          <w:tcPr>
            <w:tcW w:w="1850" w:type="dxa"/>
            <w:vAlign w:val="center"/>
          </w:tcPr>
          <w:p w14:paraId="737A59E9">
            <w:pPr>
              <w:pStyle w:val="45"/>
              <w:jc w:val="center"/>
              <w:rPr>
                <w:color w:val="auto"/>
                <w:highlight w:val="none"/>
              </w:rPr>
            </w:pPr>
          </w:p>
        </w:tc>
        <w:tc>
          <w:tcPr>
            <w:tcW w:w="1277" w:type="dxa"/>
            <w:vAlign w:val="center"/>
          </w:tcPr>
          <w:p w14:paraId="292E64B7">
            <w:pPr>
              <w:pStyle w:val="45"/>
              <w:jc w:val="center"/>
              <w:rPr>
                <w:color w:val="auto"/>
                <w:highlight w:val="none"/>
              </w:rPr>
            </w:pPr>
          </w:p>
        </w:tc>
        <w:tc>
          <w:tcPr>
            <w:tcW w:w="816" w:type="dxa"/>
            <w:vAlign w:val="center"/>
          </w:tcPr>
          <w:p w14:paraId="44A42518">
            <w:pPr>
              <w:pStyle w:val="45"/>
              <w:jc w:val="center"/>
              <w:rPr>
                <w:color w:val="auto"/>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注：按竞争性谈判文件要求在本表后附相关人员证书。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2.如供应商成交，须按本表项目组成人员操作，不得随意更换。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5" w:name="_Toc4226"/>
      <w:bookmarkStart w:id="626" w:name="_Toc2236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625"/>
      <w:bookmarkEnd w:id="626"/>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175"/>
        <w:gridCol w:w="1555"/>
        <w:gridCol w:w="2189"/>
        <w:gridCol w:w="1901"/>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5"/>
              <w:jc w:val="center"/>
              <w:rPr>
                <w:color w:val="auto"/>
                <w:highlight w:val="none"/>
              </w:rPr>
            </w:pPr>
            <w:r>
              <w:rPr>
                <w:rFonts w:hint="eastAsia"/>
                <w:color w:val="auto"/>
                <w:highlight w:val="none"/>
              </w:rPr>
              <w:t>序号</w:t>
            </w:r>
          </w:p>
        </w:tc>
        <w:tc>
          <w:tcPr>
            <w:tcW w:w="1277" w:type="pct"/>
            <w:vAlign w:val="center"/>
          </w:tcPr>
          <w:p w14:paraId="0C5608DB">
            <w:pPr>
              <w:pStyle w:val="45"/>
              <w:jc w:val="center"/>
              <w:rPr>
                <w:color w:val="auto"/>
                <w:highlight w:val="none"/>
              </w:rPr>
            </w:pPr>
            <w:r>
              <w:rPr>
                <w:rFonts w:hint="eastAsia"/>
                <w:color w:val="auto"/>
                <w:highlight w:val="none"/>
                <w:lang w:val="en-US" w:eastAsia="zh-CN"/>
              </w:rPr>
              <w:t>竞争性谈判</w:t>
            </w:r>
            <w:r>
              <w:rPr>
                <w:rFonts w:hint="eastAsia"/>
                <w:color w:val="auto"/>
                <w:highlight w:val="none"/>
              </w:rPr>
              <w:t>文件技术要求条款</w:t>
            </w:r>
          </w:p>
        </w:tc>
        <w:tc>
          <w:tcPr>
            <w:tcW w:w="913" w:type="pct"/>
            <w:vAlign w:val="center"/>
          </w:tcPr>
          <w:p w14:paraId="0B845CF1">
            <w:pPr>
              <w:pStyle w:val="45"/>
              <w:jc w:val="center"/>
              <w:rPr>
                <w:color w:val="auto"/>
                <w:highlight w:val="none"/>
              </w:rPr>
            </w:pPr>
            <w:r>
              <w:rPr>
                <w:rFonts w:hint="eastAsia"/>
                <w:color w:val="auto"/>
                <w:highlight w:val="none"/>
                <w:lang w:val="en-US" w:eastAsia="zh-CN"/>
              </w:rPr>
              <w:t>响应</w:t>
            </w:r>
            <w:r>
              <w:rPr>
                <w:rFonts w:hint="eastAsia"/>
                <w:color w:val="auto"/>
                <w:highlight w:val="none"/>
              </w:rPr>
              <w:t>文件内容</w:t>
            </w:r>
          </w:p>
          <w:p w14:paraId="4F79E073">
            <w:pPr>
              <w:pStyle w:val="45"/>
              <w:jc w:val="center"/>
              <w:rPr>
                <w:color w:val="auto"/>
                <w:highlight w:val="none"/>
              </w:rPr>
            </w:pPr>
            <w:r>
              <w:rPr>
                <w:rFonts w:hint="eastAsia"/>
                <w:color w:val="auto"/>
                <w:highlight w:val="none"/>
              </w:rPr>
              <w:t>对应简述</w:t>
            </w:r>
          </w:p>
        </w:tc>
        <w:tc>
          <w:tcPr>
            <w:tcW w:w="1285" w:type="pct"/>
            <w:vAlign w:val="center"/>
          </w:tcPr>
          <w:p w14:paraId="4AB4E9C3">
            <w:pPr>
              <w:pStyle w:val="45"/>
              <w:jc w:val="center"/>
              <w:rPr>
                <w:color w:val="auto"/>
                <w:highlight w:val="none"/>
              </w:rPr>
            </w:pPr>
            <w:r>
              <w:rPr>
                <w:rFonts w:hint="eastAsia"/>
                <w:color w:val="auto"/>
                <w:highlight w:val="none"/>
              </w:rPr>
              <w:t>响应情况</w:t>
            </w:r>
          </w:p>
        </w:tc>
        <w:tc>
          <w:tcPr>
            <w:tcW w:w="1116" w:type="pct"/>
            <w:vAlign w:val="center"/>
          </w:tcPr>
          <w:p w14:paraId="09D725B9">
            <w:pPr>
              <w:pStyle w:val="45"/>
              <w:jc w:val="center"/>
              <w:rPr>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5"/>
              <w:jc w:val="center"/>
              <w:rPr>
                <w:color w:val="auto"/>
                <w:highlight w:val="none"/>
              </w:rPr>
            </w:pPr>
            <w:r>
              <w:rPr>
                <w:rFonts w:hint="eastAsia"/>
                <w:color w:val="auto"/>
                <w:highlight w:val="none"/>
              </w:rPr>
              <w:t>1</w:t>
            </w:r>
          </w:p>
        </w:tc>
        <w:tc>
          <w:tcPr>
            <w:tcW w:w="1277" w:type="pct"/>
            <w:vAlign w:val="center"/>
          </w:tcPr>
          <w:p w14:paraId="69B288A0">
            <w:pPr>
              <w:pStyle w:val="45"/>
              <w:jc w:val="center"/>
              <w:rPr>
                <w:color w:val="auto"/>
                <w:highlight w:val="none"/>
              </w:rPr>
            </w:pPr>
            <w:r>
              <w:rPr>
                <w:rFonts w:hint="eastAsia"/>
                <w:color w:val="auto"/>
                <w:highlight w:val="none"/>
              </w:rPr>
              <w:t>*</w:t>
            </w:r>
            <w:r>
              <w:rPr>
                <w:color w:val="auto"/>
                <w:highlight w:val="none"/>
              </w:rPr>
              <w:t>*******</w:t>
            </w:r>
          </w:p>
        </w:tc>
        <w:tc>
          <w:tcPr>
            <w:tcW w:w="913" w:type="pct"/>
            <w:vAlign w:val="center"/>
          </w:tcPr>
          <w:p w14:paraId="0E04AD72">
            <w:pPr>
              <w:pStyle w:val="45"/>
              <w:jc w:val="center"/>
              <w:rPr>
                <w:color w:val="auto"/>
                <w:highlight w:val="none"/>
              </w:rPr>
            </w:pPr>
            <w:r>
              <w:rPr>
                <w:rFonts w:hint="eastAsia"/>
                <w:color w:val="auto"/>
                <w:highlight w:val="none"/>
              </w:rPr>
              <w:t>*</w:t>
            </w:r>
            <w:r>
              <w:rPr>
                <w:color w:val="auto"/>
                <w:highlight w:val="none"/>
              </w:rPr>
              <w:t>*****</w:t>
            </w:r>
          </w:p>
        </w:tc>
        <w:tc>
          <w:tcPr>
            <w:tcW w:w="1285" w:type="pct"/>
            <w:vAlign w:val="center"/>
          </w:tcPr>
          <w:p w14:paraId="585AEA1C">
            <w:pPr>
              <w:pStyle w:val="45"/>
              <w:jc w:val="center"/>
              <w:rPr>
                <w:color w:val="auto"/>
                <w:highlight w:val="none"/>
              </w:rPr>
            </w:pPr>
            <w:r>
              <w:rPr>
                <w:rFonts w:hint="eastAsia"/>
                <w:color w:val="auto"/>
                <w:highlight w:val="none"/>
              </w:rPr>
              <w:t>响应/正偏离/负偏离</w:t>
            </w:r>
          </w:p>
        </w:tc>
        <w:tc>
          <w:tcPr>
            <w:tcW w:w="1116" w:type="pct"/>
            <w:vAlign w:val="center"/>
          </w:tcPr>
          <w:p w14:paraId="02D97874">
            <w:pPr>
              <w:pStyle w:val="45"/>
              <w:jc w:val="center"/>
              <w:rPr>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5"/>
              <w:jc w:val="center"/>
              <w:rPr>
                <w:color w:val="auto"/>
                <w:highlight w:val="none"/>
              </w:rPr>
            </w:pPr>
            <w:r>
              <w:rPr>
                <w:rFonts w:hint="eastAsia"/>
                <w:color w:val="auto"/>
                <w:highlight w:val="none"/>
              </w:rPr>
              <w:t>2</w:t>
            </w:r>
          </w:p>
        </w:tc>
        <w:tc>
          <w:tcPr>
            <w:tcW w:w="1277" w:type="pct"/>
            <w:vAlign w:val="center"/>
          </w:tcPr>
          <w:p w14:paraId="30E52A7F">
            <w:pPr>
              <w:pStyle w:val="45"/>
              <w:jc w:val="center"/>
              <w:rPr>
                <w:color w:val="auto"/>
                <w:highlight w:val="none"/>
              </w:rPr>
            </w:pPr>
            <w:r>
              <w:rPr>
                <w:rFonts w:hint="eastAsia"/>
                <w:color w:val="auto"/>
                <w:highlight w:val="none"/>
              </w:rPr>
              <w:t>*</w:t>
            </w:r>
            <w:r>
              <w:rPr>
                <w:color w:val="auto"/>
                <w:highlight w:val="none"/>
              </w:rPr>
              <w:t>*******</w:t>
            </w:r>
          </w:p>
        </w:tc>
        <w:tc>
          <w:tcPr>
            <w:tcW w:w="913" w:type="pct"/>
            <w:vAlign w:val="center"/>
          </w:tcPr>
          <w:p w14:paraId="29A6C1E1">
            <w:pPr>
              <w:pStyle w:val="45"/>
              <w:jc w:val="center"/>
              <w:rPr>
                <w:color w:val="auto"/>
                <w:highlight w:val="none"/>
              </w:rPr>
            </w:pPr>
            <w:r>
              <w:rPr>
                <w:rFonts w:hint="eastAsia"/>
                <w:color w:val="auto"/>
                <w:highlight w:val="none"/>
              </w:rPr>
              <w:t>*</w:t>
            </w:r>
            <w:r>
              <w:rPr>
                <w:color w:val="auto"/>
                <w:highlight w:val="none"/>
              </w:rPr>
              <w:t>*****</w:t>
            </w:r>
          </w:p>
        </w:tc>
        <w:tc>
          <w:tcPr>
            <w:tcW w:w="1285" w:type="pct"/>
            <w:vAlign w:val="center"/>
          </w:tcPr>
          <w:p w14:paraId="5D92E460">
            <w:pPr>
              <w:pStyle w:val="45"/>
              <w:jc w:val="center"/>
              <w:rPr>
                <w:color w:val="auto"/>
                <w:highlight w:val="none"/>
              </w:rPr>
            </w:pPr>
            <w:r>
              <w:rPr>
                <w:rFonts w:hint="eastAsia"/>
                <w:color w:val="auto"/>
                <w:highlight w:val="none"/>
              </w:rPr>
              <w:t>响应/正偏离/负偏离</w:t>
            </w:r>
          </w:p>
        </w:tc>
        <w:tc>
          <w:tcPr>
            <w:tcW w:w="1116" w:type="pct"/>
            <w:vAlign w:val="center"/>
          </w:tcPr>
          <w:p w14:paraId="63E16449">
            <w:pPr>
              <w:pStyle w:val="45"/>
              <w:jc w:val="center"/>
              <w:rPr>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shd w:val="clear" w:color="auto" w:fill="auto"/>
            <w:vAlign w:val="center"/>
          </w:tcPr>
          <w:p w14:paraId="4C45FE18">
            <w:pPr>
              <w:pStyle w:val="45"/>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p>
        </w:tc>
        <w:tc>
          <w:tcPr>
            <w:tcW w:w="1277" w:type="pct"/>
            <w:shd w:val="clear" w:color="auto" w:fill="auto"/>
            <w:vAlign w:val="center"/>
          </w:tcPr>
          <w:p w14:paraId="6D1DD644">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913" w:type="pct"/>
            <w:shd w:val="clear" w:color="auto" w:fill="auto"/>
            <w:vAlign w:val="center"/>
          </w:tcPr>
          <w:p w14:paraId="2982168B">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285" w:type="pct"/>
            <w:shd w:val="clear" w:color="auto" w:fill="auto"/>
            <w:vAlign w:val="center"/>
          </w:tcPr>
          <w:p w14:paraId="78EC7D09">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响应/正偏离/负偏离</w:t>
            </w:r>
          </w:p>
        </w:tc>
        <w:tc>
          <w:tcPr>
            <w:tcW w:w="1116" w:type="pct"/>
            <w:vAlign w:val="center"/>
          </w:tcPr>
          <w:p w14:paraId="46369488">
            <w:pPr>
              <w:pStyle w:val="45"/>
              <w:jc w:val="center"/>
              <w:rPr>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5"/>
              <w:jc w:val="center"/>
              <w:rPr>
                <w:color w:val="auto"/>
                <w:highlight w:val="none"/>
              </w:rPr>
            </w:pPr>
          </w:p>
        </w:tc>
        <w:tc>
          <w:tcPr>
            <w:tcW w:w="1277" w:type="pct"/>
            <w:vAlign w:val="center"/>
          </w:tcPr>
          <w:p w14:paraId="529041E2">
            <w:pPr>
              <w:pStyle w:val="45"/>
              <w:jc w:val="center"/>
              <w:rPr>
                <w:color w:val="auto"/>
                <w:highlight w:val="none"/>
              </w:rPr>
            </w:pPr>
          </w:p>
        </w:tc>
        <w:tc>
          <w:tcPr>
            <w:tcW w:w="913" w:type="pct"/>
            <w:vAlign w:val="center"/>
          </w:tcPr>
          <w:p w14:paraId="301E476D">
            <w:pPr>
              <w:pStyle w:val="45"/>
              <w:jc w:val="center"/>
              <w:rPr>
                <w:color w:val="auto"/>
                <w:highlight w:val="none"/>
              </w:rPr>
            </w:pPr>
          </w:p>
        </w:tc>
        <w:tc>
          <w:tcPr>
            <w:tcW w:w="1285" w:type="pct"/>
            <w:vAlign w:val="center"/>
          </w:tcPr>
          <w:p w14:paraId="06F8AED7">
            <w:pPr>
              <w:pStyle w:val="45"/>
              <w:jc w:val="center"/>
              <w:rPr>
                <w:color w:val="auto"/>
                <w:highlight w:val="none"/>
              </w:rPr>
            </w:pPr>
          </w:p>
        </w:tc>
        <w:tc>
          <w:tcPr>
            <w:tcW w:w="1116" w:type="pct"/>
            <w:vAlign w:val="center"/>
          </w:tcPr>
          <w:p w14:paraId="0CE9DF45">
            <w:pPr>
              <w:pStyle w:val="45"/>
              <w:jc w:val="center"/>
              <w:rPr>
                <w:color w:val="auto"/>
                <w:highlight w:val="none"/>
              </w:rPr>
            </w:pPr>
          </w:p>
        </w:tc>
      </w:tr>
      <w:tr w14:paraId="6C8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7" w:type="pct"/>
            <w:vAlign w:val="center"/>
          </w:tcPr>
          <w:p w14:paraId="5ECFDF6B">
            <w:pPr>
              <w:pStyle w:val="45"/>
              <w:jc w:val="center"/>
              <w:rPr>
                <w:color w:val="auto"/>
                <w:highlight w:val="none"/>
              </w:rPr>
            </w:pPr>
          </w:p>
        </w:tc>
        <w:tc>
          <w:tcPr>
            <w:tcW w:w="1277" w:type="pct"/>
            <w:vAlign w:val="center"/>
          </w:tcPr>
          <w:p w14:paraId="2BFBC98E">
            <w:pPr>
              <w:pStyle w:val="45"/>
              <w:jc w:val="center"/>
              <w:rPr>
                <w:color w:val="auto"/>
                <w:highlight w:val="none"/>
              </w:rPr>
            </w:pPr>
          </w:p>
        </w:tc>
        <w:tc>
          <w:tcPr>
            <w:tcW w:w="913" w:type="pct"/>
            <w:vAlign w:val="center"/>
          </w:tcPr>
          <w:p w14:paraId="7B8E769B">
            <w:pPr>
              <w:pStyle w:val="45"/>
              <w:jc w:val="center"/>
              <w:rPr>
                <w:color w:val="auto"/>
                <w:highlight w:val="none"/>
              </w:rPr>
            </w:pPr>
          </w:p>
        </w:tc>
        <w:tc>
          <w:tcPr>
            <w:tcW w:w="1285" w:type="pct"/>
            <w:vAlign w:val="center"/>
          </w:tcPr>
          <w:p w14:paraId="3EBF2A71">
            <w:pPr>
              <w:pStyle w:val="45"/>
              <w:jc w:val="center"/>
              <w:rPr>
                <w:color w:val="auto"/>
                <w:highlight w:val="none"/>
              </w:rPr>
            </w:pPr>
          </w:p>
        </w:tc>
        <w:tc>
          <w:tcPr>
            <w:tcW w:w="1116" w:type="pct"/>
            <w:vAlign w:val="center"/>
          </w:tcPr>
          <w:p w14:paraId="070B01FC">
            <w:pPr>
              <w:pStyle w:val="45"/>
              <w:jc w:val="center"/>
              <w:rPr>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E75B4E6">
            <w:pPr>
              <w:pStyle w:val="45"/>
              <w:jc w:val="center"/>
              <w:rPr>
                <w:color w:val="auto"/>
                <w:highlight w:val="none"/>
              </w:rPr>
            </w:pPr>
          </w:p>
        </w:tc>
        <w:tc>
          <w:tcPr>
            <w:tcW w:w="1277" w:type="pct"/>
            <w:vAlign w:val="center"/>
          </w:tcPr>
          <w:p w14:paraId="77107295">
            <w:pPr>
              <w:pStyle w:val="45"/>
              <w:jc w:val="center"/>
              <w:rPr>
                <w:color w:val="auto"/>
                <w:highlight w:val="none"/>
              </w:rPr>
            </w:pPr>
          </w:p>
        </w:tc>
        <w:tc>
          <w:tcPr>
            <w:tcW w:w="913" w:type="pct"/>
            <w:vAlign w:val="center"/>
          </w:tcPr>
          <w:p w14:paraId="4D01D78E">
            <w:pPr>
              <w:pStyle w:val="45"/>
              <w:jc w:val="center"/>
              <w:rPr>
                <w:color w:val="auto"/>
                <w:highlight w:val="none"/>
              </w:rPr>
            </w:pPr>
          </w:p>
        </w:tc>
        <w:tc>
          <w:tcPr>
            <w:tcW w:w="1285" w:type="pct"/>
            <w:vAlign w:val="center"/>
          </w:tcPr>
          <w:p w14:paraId="6D546857">
            <w:pPr>
              <w:pStyle w:val="45"/>
              <w:jc w:val="center"/>
              <w:rPr>
                <w:color w:val="auto"/>
                <w:highlight w:val="none"/>
              </w:rPr>
            </w:pPr>
          </w:p>
        </w:tc>
        <w:tc>
          <w:tcPr>
            <w:tcW w:w="1116" w:type="pct"/>
            <w:vAlign w:val="center"/>
          </w:tcPr>
          <w:p w14:paraId="2E1B7D0B">
            <w:pPr>
              <w:pStyle w:val="45"/>
              <w:jc w:val="center"/>
              <w:rPr>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5"/>
              <w:jc w:val="center"/>
              <w:rPr>
                <w:color w:val="auto"/>
                <w:highlight w:val="none"/>
              </w:rPr>
            </w:pPr>
          </w:p>
        </w:tc>
        <w:tc>
          <w:tcPr>
            <w:tcW w:w="1277" w:type="pct"/>
            <w:vAlign w:val="center"/>
          </w:tcPr>
          <w:p w14:paraId="5C7E043B">
            <w:pPr>
              <w:pStyle w:val="45"/>
              <w:jc w:val="center"/>
              <w:rPr>
                <w:color w:val="auto"/>
                <w:highlight w:val="none"/>
              </w:rPr>
            </w:pPr>
          </w:p>
        </w:tc>
        <w:tc>
          <w:tcPr>
            <w:tcW w:w="913" w:type="pct"/>
            <w:vAlign w:val="center"/>
          </w:tcPr>
          <w:p w14:paraId="64166C7A">
            <w:pPr>
              <w:pStyle w:val="45"/>
              <w:jc w:val="center"/>
              <w:rPr>
                <w:color w:val="auto"/>
                <w:highlight w:val="none"/>
              </w:rPr>
            </w:pPr>
          </w:p>
        </w:tc>
        <w:tc>
          <w:tcPr>
            <w:tcW w:w="1285" w:type="pct"/>
            <w:vAlign w:val="center"/>
          </w:tcPr>
          <w:p w14:paraId="2817CCE5">
            <w:pPr>
              <w:pStyle w:val="45"/>
              <w:jc w:val="center"/>
              <w:rPr>
                <w:color w:val="auto"/>
                <w:highlight w:val="none"/>
              </w:rPr>
            </w:pPr>
          </w:p>
        </w:tc>
        <w:tc>
          <w:tcPr>
            <w:tcW w:w="1116" w:type="pct"/>
            <w:vAlign w:val="center"/>
          </w:tcPr>
          <w:p w14:paraId="184E3F96">
            <w:pPr>
              <w:pStyle w:val="45"/>
              <w:jc w:val="center"/>
              <w:rPr>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5"/>
              <w:jc w:val="center"/>
              <w:rPr>
                <w:color w:val="auto"/>
                <w:highlight w:val="none"/>
              </w:rPr>
            </w:pPr>
            <w:r>
              <w:rPr>
                <w:rFonts w:hint="eastAsia"/>
                <w:color w:val="auto"/>
                <w:highlight w:val="none"/>
              </w:rPr>
              <w:t>……</w:t>
            </w:r>
          </w:p>
        </w:tc>
        <w:tc>
          <w:tcPr>
            <w:tcW w:w="1277" w:type="pct"/>
            <w:vAlign w:val="center"/>
          </w:tcPr>
          <w:p w14:paraId="7D0AF02A">
            <w:pPr>
              <w:pStyle w:val="45"/>
              <w:jc w:val="center"/>
              <w:rPr>
                <w:color w:val="auto"/>
                <w:highlight w:val="none"/>
              </w:rPr>
            </w:pPr>
            <w:r>
              <w:rPr>
                <w:rFonts w:hint="eastAsia"/>
                <w:color w:val="auto"/>
                <w:highlight w:val="none"/>
              </w:rPr>
              <w:t>…………</w:t>
            </w:r>
          </w:p>
        </w:tc>
        <w:tc>
          <w:tcPr>
            <w:tcW w:w="913" w:type="pct"/>
            <w:vAlign w:val="center"/>
          </w:tcPr>
          <w:p w14:paraId="6EC8C4F3">
            <w:pPr>
              <w:pStyle w:val="45"/>
              <w:jc w:val="center"/>
              <w:rPr>
                <w:color w:val="auto"/>
                <w:highlight w:val="none"/>
              </w:rPr>
            </w:pPr>
            <w:r>
              <w:rPr>
                <w:rFonts w:hint="eastAsia"/>
                <w:color w:val="auto"/>
                <w:highlight w:val="none"/>
              </w:rPr>
              <w:t>………………</w:t>
            </w:r>
          </w:p>
        </w:tc>
        <w:tc>
          <w:tcPr>
            <w:tcW w:w="1285" w:type="pct"/>
            <w:vAlign w:val="center"/>
          </w:tcPr>
          <w:p w14:paraId="59EB3DF9">
            <w:pPr>
              <w:pStyle w:val="45"/>
              <w:jc w:val="center"/>
              <w:rPr>
                <w:color w:val="auto"/>
                <w:highlight w:val="none"/>
              </w:rPr>
            </w:pPr>
            <w:r>
              <w:rPr>
                <w:rFonts w:hint="eastAsia"/>
                <w:color w:val="auto"/>
                <w:highlight w:val="none"/>
              </w:rPr>
              <w:t>…………</w:t>
            </w:r>
          </w:p>
        </w:tc>
        <w:tc>
          <w:tcPr>
            <w:tcW w:w="1116" w:type="pct"/>
            <w:vAlign w:val="center"/>
          </w:tcPr>
          <w:p w14:paraId="1BF96619">
            <w:pPr>
              <w:pStyle w:val="45"/>
              <w:jc w:val="center"/>
              <w:rPr>
                <w:color w:val="auto"/>
                <w:highlight w:val="none"/>
              </w:rPr>
            </w:pPr>
          </w:p>
        </w:tc>
      </w:tr>
    </w:tbl>
    <w:p w14:paraId="12AEBD40">
      <w:pPr>
        <w:ind w:firstLine="480" w:firstLineChars="200"/>
        <w:rPr>
          <w:rFonts w:cs="仿宋_GB2312"/>
          <w:color w:val="auto"/>
          <w:szCs w:val="24"/>
          <w:highlight w:val="none"/>
        </w:rPr>
      </w:pPr>
    </w:p>
    <w:p w14:paraId="71C6318B">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66182CD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414C3B01">
      <w:pPr>
        <w:ind w:firstLine="420"/>
        <w:rPr>
          <w:rFonts w:cs="仿宋_GB2312"/>
          <w:color w:val="auto"/>
          <w:szCs w:val="24"/>
          <w:highlight w:val="none"/>
        </w:rPr>
      </w:pPr>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1.“竞争性谈判文件技术要求条款”栏应详细列明竞争性谈判文件中的技术要求。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2.“响应文件内容对应简述”栏填写供应商对竞争性谈判文件提出的技术条款作出的明确响应，并列明具体响应数值或内容，只注明符合、满足等无具体内容表述的，将视为未实质性满足竞争性谈判文件要求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49A1A5E5">
      <w:pPr>
        <w:ind w:firstLine="420"/>
        <w:rPr>
          <w:rFonts w:cs="仿宋_GB2312"/>
          <w:color w:val="auto"/>
          <w:sz w:val="21"/>
          <w:szCs w:val="21"/>
          <w:highlight w:val="none"/>
        </w:rPr>
      </w:pPr>
      <w:r>
        <w:rPr>
          <w:rFonts w:hint="eastAsia" w:cs="仿宋_GB2312"/>
          <w:color w:val="auto"/>
          <w:sz w:val="21"/>
          <w:szCs w:val="21"/>
          <w:highlight w:val="none"/>
          <w:lang w:val="en-US" w:eastAsia="zh-CN"/>
        </w:rPr>
        <w:t>5.对竞争性谈判文件中的所有技术要求，除本表所列明的所有偏离外，均视作供应商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 w:val="21"/>
          <w:szCs w:val="21"/>
          <w:highlight w:val="none"/>
        </w:rPr>
        <w:br w:type="page"/>
      </w:r>
    </w:p>
    <w:p w14:paraId="600EA7EE">
      <w:pPr>
        <w:pStyle w:val="15"/>
        <w:spacing w:line="360" w:lineRule="auto"/>
        <w:jc w:val="center"/>
        <w:rPr>
          <w:rFonts w:hint="eastAsia" w:ascii="方正小标宋_GBK" w:hAnsi="方正小标宋_GBK" w:eastAsia="方正小标宋_GBK" w:cs="方正小标宋_GBK"/>
          <w:bCs/>
          <w:color w:val="auto"/>
          <w:sz w:val="36"/>
          <w:szCs w:val="36"/>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7" w:name="_Toc29627"/>
      <w:bookmarkStart w:id="628" w:name="_Toc1253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627"/>
      <w:bookmarkEnd w:id="628"/>
    </w:p>
    <w:p w14:paraId="3878D3F5">
      <w:pPr>
        <w:pStyle w:val="34"/>
        <w:rPr>
          <w:color w:val="auto"/>
          <w:highlight w:val="none"/>
        </w:rPr>
      </w:pPr>
      <w:r>
        <w:rPr>
          <w:rFonts w:hint="eastAsia"/>
          <w:color w:val="auto"/>
          <w:highlight w:val="none"/>
          <w:lang w:val="en-US" w:eastAsia="zh-CN"/>
        </w:rPr>
        <w:t>供应商</w:t>
      </w:r>
      <w:r>
        <w:rPr>
          <w:rFonts w:hint="eastAsia"/>
          <w:color w:val="auto"/>
          <w:highlight w:val="none"/>
        </w:rPr>
        <w:t>应按照</w:t>
      </w:r>
      <w:r>
        <w:rPr>
          <w:rFonts w:hint="eastAsia"/>
          <w:color w:val="auto"/>
          <w:highlight w:val="none"/>
          <w:lang w:val="en-US" w:eastAsia="zh-CN"/>
        </w:rPr>
        <w:t>竞争性谈判</w:t>
      </w:r>
      <w:r>
        <w:rPr>
          <w:rFonts w:hint="eastAsia"/>
          <w:color w:val="auto"/>
          <w:highlight w:val="none"/>
        </w:rPr>
        <w:t>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4"/>
        <w:rPr>
          <w:color w:val="auto"/>
          <w:highlight w:val="none"/>
        </w:rPr>
      </w:pPr>
      <w:r>
        <w:rPr>
          <w:color w:val="auto"/>
          <w:highlight w:val="none"/>
        </w:rPr>
        <w:br w:type="page"/>
      </w:r>
    </w:p>
    <w:p w14:paraId="7AD86D6F">
      <w:pPr>
        <w:pStyle w:val="15"/>
        <w:spacing w:line="360" w:lineRule="auto"/>
        <w:jc w:val="center"/>
        <w:rPr>
          <w:rFonts w:hint="eastAsia" w:cstheme="minorBidi"/>
          <w:b/>
          <w:bCs/>
          <w:color w:val="auto"/>
          <w:kern w:val="2"/>
          <w:sz w:val="44"/>
          <w:szCs w:val="44"/>
          <w:highlight w:val="none"/>
          <w:lang w:val="en-US" w:eastAsia="zh-CN" w:bidi="ar-SA"/>
        </w:rPr>
      </w:pP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9" w:name="_Toc20344"/>
      <w:bookmarkStart w:id="630" w:name="_Toc18914"/>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其他文件</w:t>
      </w:r>
      <w:bookmarkEnd w:id="629"/>
      <w:bookmarkEnd w:id="630"/>
    </w:p>
    <w:p w14:paraId="6EF40482">
      <w:pPr>
        <w:pStyle w:val="34"/>
        <w:ind w:left="0" w:leftChars="0" w:firstLine="0" w:firstLineChars="0"/>
        <w:rPr>
          <w:rFonts w:hint="eastAsia"/>
          <w:b/>
          <w:bCs/>
          <w:iCs/>
          <w:color w:val="auto"/>
          <w:sz w:val="24"/>
          <w:szCs w:val="24"/>
          <w:highlight w:val="none"/>
          <w:shd w:val="clear" w:color="auto" w:fill="FFFFFF" w:themeFill="background1"/>
          <w:lang w:val="zh-CN" w:eastAsia="zh-CN"/>
        </w:rPr>
      </w:pPr>
      <w:r>
        <w:rPr>
          <w:rFonts w:hint="eastAsia"/>
          <w:b/>
          <w:bCs/>
          <w:iCs/>
          <w:color w:val="auto"/>
          <w:sz w:val="24"/>
          <w:szCs w:val="24"/>
          <w:highlight w:val="none"/>
          <w:shd w:val="clear" w:color="auto" w:fill="FFFFFF" w:themeFill="background1"/>
          <w:lang w:val="en-US" w:eastAsia="zh-CN"/>
        </w:rPr>
        <w:t>（一）竞争性谈判</w:t>
      </w:r>
      <w:r>
        <w:rPr>
          <w:rFonts w:hint="eastAsia"/>
          <w:b/>
          <w:bCs/>
          <w:iCs/>
          <w:color w:val="auto"/>
          <w:sz w:val="24"/>
          <w:szCs w:val="24"/>
          <w:highlight w:val="none"/>
          <w:shd w:val="clear" w:color="auto" w:fill="FFFFFF" w:themeFill="background1"/>
          <w:lang w:val="zh-CN" w:eastAsia="zh-CN"/>
        </w:rPr>
        <w:t>文件要求提供的其它商务、技术资料和证明材料；</w:t>
      </w:r>
    </w:p>
    <w:p w14:paraId="1AB0431C">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4"/>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4"/>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4"/>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4"/>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4"/>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4"/>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4"/>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4"/>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4"/>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4"/>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4"/>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4"/>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4"/>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55FB009A">
      <w:pPr>
        <w:pStyle w:val="34"/>
        <w:rPr>
          <w:rFonts w:hint="eastAsia" w:ascii="宋体" w:hAnsi="宋体" w:eastAsia="宋体" w:cs="宋体"/>
          <w:color w:val="auto"/>
          <w:sz w:val="24"/>
          <w:szCs w:val="24"/>
          <w:highlight w:val="none"/>
          <w:lang w:val="en-US" w:eastAsia="zh-CN"/>
        </w:rPr>
      </w:pPr>
    </w:p>
    <w:p w14:paraId="7953C59C">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3A11A162">
      <w:pPr>
        <w:pStyle w:val="34"/>
        <w:rPr>
          <w:rFonts w:hint="default"/>
          <w:color w:val="auto"/>
          <w:sz w:val="28"/>
          <w:szCs w:val="28"/>
          <w:highlight w:val="none"/>
          <w:lang w:val="en-US" w:eastAsia="zh-CN"/>
        </w:rPr>
      </w:pPr>
    </w:p>
    <w:p w14:paraId="7DF13FE9">
      <w:pPr>
        <w:pStyle w:val="34"/>
        <w:ind w:left="0" w:leftChars="0" w:firstLine="0" w:firstLineChars="0"/>
        <w:rPr>
          <w:rFonts w:hint="eastAsia"/>
          <w:b/>
          <w:bCs/>
          <w:iCs/>
          <w:color w:val="auto"/>
          <w:sz w:val="24"/>
          <w:szCs w:val="24"/>
          <w:highlight w:val="none"/>
          <w:shd w:val="clear" w:color="auto" w:fill="FFFFFF" w:themeFill="background1"/>
          <w:lang w:val="en-US" w:eastAsia="zh-CN"/>
        </w:rPr>
      </w:pPr>
      <w:r>
        <w:rPr>
          <w:rFonts w:hint="eastAsia"/>
          <w:b/>
          <w:bCs/>
          <w:iCs/>
          <w:color w:val="auto"/>
          <w:sz w:val="24"/>
          <w:szCs w:val="24"/>
          <w:highlight w:val="none"/>
          <w:shd w:val="clear" w:color="auto" w:fill="FFFFFF" w:themeFill="background1"/>
          <w:lang w:val="en-US" w:eastAsia="zh-CN"/>
        </w:rPr>
        <w:t>（二）供应商认为需要提供的其它商务、技术资料和说明。</w:t>
      </w:r>
    </w:p>
    <w:p w14:paraId="1B27B21C">
      <w:pPr>
        <w:pStyle w:val="34"/>
        <w:rPr>
          <w:rFonts w:hint="eastAsia"/>
          <w:color w:val="auto"/>
          <w:highlight w:val="none"/>
        </w:rPr>
      </w:pPr>
    </w:p>
    <w:p w14:paraId="3352B805">
      <w:pPr>
        <w:pStyle w:val="34"/>
        <w:rPr>
          <w:rFonts w:hint="eastAsia"/>
          <w:color w:val="auto"/>
          <w:highlight w:val="none"/>
        </w:rPr>
      </w:pPr>
    </w:p>
    <w:p w14:paraId="19B7C1E0">
      <w:pPr>
        <w:pStyle w:val="34"/>
        <w:rPr>
          <w:rFonts w:hint="eastAsia"/>
          <w:color w:val="auto"/>
          <w:highlight w:val="none"/>
        </w:rPr>
      </w:pPr>
    </w:p>
    <w:bookmarkEnd w:id="506"/>
    <w:p w14:paraId="7CB0AFFA">
      <w:pPr>
        <w:rPr>
          <w:color w:val="auto"/>
          <w:highlight w:val="none"/>
        </w:rPr>
      </w:pPr>
    </w:p>
    <w:sectPr>
      <w:pgSz w:w="11906" w:h="16838"/>
      <w:pgMar w:top="1440" w:right="1803" w:bottom="1440" w:left="1803" w:header="851" w:footer="992" w:gutter="0"/>
      <w:pgNumType w:fmt="numberInDash"/>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7"/>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202"/>
                          </w:sdtPr>
                          <w:sdtContent>
                            <w:p w14:paraId="348BD687">
                              <w:pPr>
                                <w:pStyle w:val="17"/>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7011B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2202"/>
                    </w:sdtPr>
                    <w:sdtContent>
                      <w:p w14:paraId="348BD687">
                        <w:pPr>
                          <w:pStyle w:val="17"/>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7011BE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8"/>
      <w:tabs>
        <w:tab w:val="left" w:pos="3120"/>
      </w:tabs>
      <w:spacing w:line="240" w:lineRule="auto"/>
      <w:jc w:val="right"/>
      <w:rPr>
        <w:sz w:val="18"/>
        <w:szCs w:val="18"/>
      </w:rPr>
    </w:pPr>
    <w:r>
      <w:rPr>
        <w:rFonts w:hint="eastAsia"/>
        <w:sz w:val="18"/>
        <w:szCs w:val="18"/>
        <w:lang w:val="en-US" w:eastAsia="zh-CN"/>
      </w:rPr>
      <w:t>新疆医科大学第一附属医院喷雾干燥机采购项目（二次）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8"/>
      <w:spacing w:line="240" w:lineRule="auto"/>
    </w:pPr>
    <w:r>
      <w:rPr>
        <w:rFonts w:hint="eastAsia"/>
        <w:sz w:val="24"/>
        <w:szCs w:val="24"/>
        <w:lang w:val="en-US" w:eastAsia="zh-CN"/>
      </w:rPr>
      <w:t xml:space="preserve">                                 </w:t>
    </w:r>
    <w:r>
      <w:rPr>
        <w:rFonts w:hint="eastAsia" w:ascii="宋体" w:hAnsi="宋体" w:eastAsia="宋体" w:cs="宋体"/>
        <w:sz w:val="18"/>
        <w:szCs w:val="18"/>
        <w:lang w:val="en-US" w:eastAsia="zh-CN"/>
      </w:rPr>
      <w:t xml:space="preserve"> </w:t>
    </w:r>
    <w:r>
      <w:rPr>
        <w:rFonts w:hint="eastAsia"/>
        <w:sz w:val="18"/>
        <w:szCs w:val="18"/>
        <w:lang w:val="en-US" w:eastAsia="zh-CN"/>
      </w:rPr>
      <w:t>新疆医科大学第一附属医院喷雾干燥机采购项目（二次）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18"/>
      <w:pBdr>
        <w:bottom w:val="single" w:color="auto" w:sz="4" w:space="0"/>
      </w:pBdr>
    </w:pPr>
    <w:r>
      <w:rPr>
        <w:rFonts w:hint="eastAsia" w:cs="宋体"/>
        <w:sz w:val="18"/>
        <w:szCs w:val="18"/>
        <w:lang w:val="en-US" w:eastAsia="zh-CN"/>
      </w:rPr>
      <w:t xml:space="preserve">                                              新疆医科大学第一附属医院喷雾干燥机采购项目（二次）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E394D"/>
    <w:multiLevelType w:val="singleLevel"/>
    <w:tmpl w:val="F7EE394D"/>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49F403"/>
    <w:multiLevelType w:val="singleLevel"/>
    <w:tmpl w:val="4049F403"/>
    <w:lvl w:ilvl="0" w:tentative="0">
      <w:start w:val="1"/>
      <w:numFmt w:val="chineseCounting"/>
      <w:suff w:val="nothing"/>
      <w:lvlText w:val="%1、"/>
      <w:lvlJc w:val="left"/>
      <w:rPr>
        <w:rFonts w:hint="eastAsia"/>
      </w:rPr>
    </w:lvl>
  </w:abstractNum>
  <w:abstractNum w:abstractNumId="4">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MWZiZDEwOGIwOTVkMGQzNmY2ODNjOTk4ZmQ1MWY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94959"/>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D21B2"/>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0B57"/>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4BC7"/>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074A"/>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CDF"/>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62784"/>
    <w:rsid w:val="01172A03"/>
    <w:rsid w:val="01176EA7"/>
    <w:rsid w:val="011A5E25"/>
    <w:rsid w:val="012A118F"/>
    <w:rsid w:val="014F42C4"/>
    <w:rsid w:val="014F6641"/>
    <w:rsid w:val="01521C8D"/>
    <w:rsid w:val="0168325F"/>
    <w:rsid w:val="016D6AC7"/>
    <w:rsid w:val="01A544B3"/>
    <w:rsid w:val="01AE3368"/>
    <w:rsid w:val="01C506B1"/>
    <w:rsid w:val="01CC7C92"/>
    <w:rsid w:val="01D17056"/>
    <w:rsid w:val="01D56B11"/>
    <w:rsid w:val="021D673F"/>
    <w:rsid w:val="023B0973"/>
    <w:rsid w:val="025263E9"/>
    <w:rsid w:val="02A468E7"/>
    <w:rsid w:val="02AA4F6F"/>
    <w:rsid w:val="02AE4AFE"/>
    <w:rsid w:val="02C72207"/>
    <w:rsid w:val="0317318F"/>
    <w:rsid w:val="031B2C7F"/>
    <w:rsid w:val="031D69B6"/>
    <w:rsid w:val="03265180"/>
    <w:rsid w:val="034C23ED"/>
    <w:rsid w:val="034F46D6"/>
    <w:rsid w:val="035937A7"/>
    <w:rsid w:val="03597303"/>
    <w:rsid w:val="035E2B6B"/>
    <w:rsid w:val="0387014A"/>
    <w:rsid w:val="03ED7ED6"/>
    <w:rsid w:val="03EF1A15"/>
    <w:rsid w:val="044004C3"/>
    <w:rsid w:val="04561A95"/>
    <w:rsid w:val="047C599F"/>
    <w:rsid w:val="04842AA6"/>
    <w:rsid w:val="049802FF"/>
    <w:rsid w:val="04AB5878"/>
    <w:rsid w:val="04B0389B"/>
    <w:rsid w:val="04DA4474"/>
    <w:rsid w:val="04EC6C63"/>
    <w:rsid w:val="04FF037E"/>
    <w:rsid w:val="05047743"/>
    <w:rsid w:val="05214D81"/>
    <w:rsid w:val="053B7608"/>
    <w:rsid w:val="05465FAD"/>
    <w:rsid w:val="056F2E0E"/>
    <w:rsid w:val="05832D5D"/>
    <w:rsid w:val="05B20F4D"/>
    <w:rsid w:val="05B2719F"/>
    <w:rsid w:val="05B44CC5"/>
    <w:rsid w:val="05B66C8F"/>
    <w:rsid w:val="05DB04A3"/>
    <w:rsid w:val="05E530D0"/>
    <w:rsid w:val="05EF624C"/>
    <w:rsid w:val="05F25272"/>
    <w:rsid w:val="0644429B"/>
    <w:rsid w:val="0659586C"/>
    <w:rsid w:val="067D77AC"/>
    <w:rsid w:val="0688028A"/>
    <w:rsid w:val="068C79F0"/>
    <w:rsid w:val="069C40D7"/>
    <w:rsid w:val="06A0349B"/>
    <w:rsid w:val="06A411DD"/>
    <w:rsid w:val="06C07699"/>
    <w:rsid w:val="06C62167"/>
    <w:rsid w:val="06D80BD5"/>
    <w:rsid w:val="06F537E7"/>
    <w:rsid w:val="070752C8"/>
    <w:rsid w:val="070E75E1"/>
    <w:rsid w:val="07222102"/>
    <w:rsid w:val="073100B5"/>
    <w:rsid w:val="07542E7B"/>
    <w:rsid w:val="07577FFE"/>
    <w:rsid w:val="076B1CFB"/>
    <w:rsid w:val="077840FA"/>
    <w:rsid w:val="078F12AD"/>
    <w:rsid w:val="079C3C62"/>
    <w:rsid w:val="07B0770E"/>
    <w:rsid w:val="07BE62CF"/>
    <w:rsid w:val="07C531B9"/>
    <w:rsid w:val="07CA07CF"/>
    <w:rsid w:val="07F27D26"/>
    <w:rsid w:val="07FA3E48"/>
    <w:rsid w:val="08002443"/>
    <w:rsid w:val="08027530"/>
    <w:rsid w:val="086230FE"/>
    <w:rsid w:val="08766BA9"/>
    <w:rsid w:val="088272FC"/>
    <w:rsid w:val="088C3CD7"/>
    <w:rsid w:val="08BA08C0"/>
    <w:rsid w:val="08E81CF0"/>
    <w:rsid w:val="092403B3"/>
    <w:rsid w:val="094C3466"/>
    <w:rsid w:val="094F0D3C"/>
    <w:rsid w:val="09694018"/>
    <w:rsid w:val="097924AD"/>
    <w:rsid w:val="097F0C21"/>
    <w:rsid w:val="09931095"/>
    <w:rsid w:val="099864F8"/>
    <w:rsid w:val="09B07E99"/>
    <w:rsid w:val="09C86F91"/>
    <w:rsid w:val="09FC4E8C"/>
    <w:rsid w:val="0A3C34DB"/>
    <w:rsid w:val="0A430BD6"/>
    <w:rsid w:val="0A540824"/>
    <w:rsid w:val="0A73514E"/>
    <w:rsid w:val="0A7F7F97"/>
    <w:rsid w:val="0A8354E5"/>
    <w:rsid w:val="0A9E5F43"/>
    <w:rsid w:val="0AA479FE"/>
    <w:rsid w:val="0ACC485F"/>
    <w:rsid w:val="0ADA3F4C"/>
    <w:rsid w:val="0AF049F1"/>
    <w:rsid w:val="0B0E131B"/>
    <w:rsid w:val="0B116715"/>
    <w:rsid w:val="0B161163"/>
    <w:rsid w:val="0B291CB1"/>
    <w:rsid w:val="0B440899"/>
    <w:rsid w:val="0B48482D"/>
    <w:rsid w:val="0B5A00BC"/>
    <w:rsid w:val="0B6727D9"/>
    <w:rsid w:val="0B680A2B"/>
    <w:rsid w:val="0B7844F0"/>
    <w:rsid w:val="0B7F5D75"/>
    <w:rsid w:val="0B9C06D5"/>
    <w:rsid w:val="0B9C6927"/>
    <w:rsid w:val="0B9D61FB"/>
    <w:rsid w:val="0BB27EF8"/>
    <w:rsid w:val="0BBF2208"/>
    <w:rsid w:val="0BBF61BC"/>
    <w:rsid w:val="0BC47C2C"/>
    <w:rsid w:val="0BCB5C52"/>
    <w:rsid w:val="0BE300B2"/>
    <w:rsid w:val="0C01678A"/>
    <w:rsid w:val="0C060E10"/>
    <w:rsid w:val="0C085D6A"/>
    <w:rsid w:val="0C0A7D34"/>
    <w:rsid w:val="0C124F52"/>
    <w:rsid w:val="0C193AD3"/>
    <w:rsid w:val="0C2661F0"/>
    <w:rsid w:val="0C696B65"/>
    <w:rsid w:val="0C7B29E0"/>
    <w:rsid w:val="0C7D22B4"/>
    <w:rsid w:val="0CD935FB"/>
    <w:rsid w:val="0CE00A95"/>
    <w:rsid w:val="0D156C3F"/>
    <w:rsid w:val="0D3870E2"/>
    <w:rsid w:val="0D3951D6"/>
    <w:rsid w:val="0D416F52"/>
    <w:rsid w:val="0D8C18C1"/>
    <w:rsid w:val="0E0013EF"/>
    <w:rsid w:val="0E22209C"/>
    <w:rsid w:val="0E2B3F92"/>
    <w:rsid w:val="0E2B5D40"/>
    <w:rsid w:val="0E772D33"/>
    <w:rsid w:val="0E7B7815"/>
    <w:rsid w:val="0E88562B"/>
    <w:rsid w:val="0E8B67DF"/>
    <w:rsid w:val="0E925DBF"/>
    <w:rsid w:val="0EC37B54"/>
    <w:rsid w:val="0EC75A69"/>
    <w:rsid w:val="0EDB7766"/>
    <w:rsid w:val="0EEF3211"/>
    <w:rsid w:val="0EF3685E"/>
    <w:rsid w:val="0EFB1BB6"/>
    <w:rsid w:val="0EFE3455"/>
    <w:rsid w:val="0F29227F"/>
    <w:rsid w:val="0F3375A2"/>
    <w:rsid w:val="0F3F7CF5"/>
    <w:rsid w:val="0F4F5A5E"/>
    <w:rsid w:val="0F6634D4"/>
    <w:rsid w:val="0F7200CA"/>
    <w:rsid w:val="0F7F4595"/>
    <w:rsid w:val="0F8C280E"/>
    <w:rsid w:val="0FB17966"/>
    <w:rsid w:val="0FB35FED"/>
    <w:rsid w:val="0FD97D81"/>
    <w:rsid w:val="0FDC6611"/>
    <w:rsid w:val="105B1FB4"/>
    <w:rsid w:val="10637A13"/>
    <w:rsid w:val="108856CC"/>
    <w:rsid w:val="108D2CE2"/>
    <w:rsid w:val="10944070"/>
    <w:rsid w:val="10A36062"/>
    <w:rsid w:val="10A5627E"/>
    <w:rsid w:val="10A83678"/>
    <w:rsid w:val="10BC7123"/>
    <w:rsid w:val="10BD35C7"/>
    <w:rsid w:val="10CF6E57"/>
    <w:rsid w:val="10D461A4"/>
    <w:rsid w:val="10D95F27"/>
    <w:rsid w:val="10EF574B"/>
    <w:rsid w:val="10F87681"/>
    <w:rsid w:val="1104261B"/>
    <w:rsid w:val="11254CC9"/>
    <w:rsid w:val="11801B30"/>
    <w:rsid w:val="11BD4513"/>
    <w:rsid w:val="11D5049D"/>
    <w:rsid w:val="11E626AA"/>
    <w:rsid w:val="11F21F1F"/>
    <w:rsid w:val="11F50B3F"/>
    <w:rsid w:val="11FC3C7B"/>
    <w:rsid w:val="12096398"/>
    <w:rsid w:val="1218364A"/>
    <w:rsid w:val="12241424"/>
    <w:rsid w:val="122F22A3"/>
    <w:rsid w:val="123670D2"/>
    <w:rsid w:val="12505D75"/>
    <w:rsid w:val="125725B2"/>
    <w:rsid w:val="12745F08"/>
    <w:rsid w:val="12863E8D"/>
    <w:rsid w:val="12A8795F"/>
    <w:rsid w:val="12AA36D7"/>
    <w:rsid w:val="12B83BBB"/>
    <w:rsid w:val="12BB58E4"/>
    <w:rsid w:val="12C0739F"/>
    <w:rsid w:val="12CC676F"/>
    <w:rsid w:val="12D6271E"/>
    <w:rsid w:val="12DD62D4"/>
    <w:rsid w:val="12E9012D"/>
    <w:rsid w:val="12F209B1"/>
    <w:rsid w:val="12F9465F"/>
    <w:rsid w:val="12FC7CAB"/>
    <w:rsid w:val="13117BFA"/>
    <w:rsid w:val="13685340"/>
    <w:rsid w:val="136D604A"/>
    <w:rsid w:val="136F6DBA"/>
    <w:rsid w:val="137B1518"/>
    <w:rsid w:val="138008DC"/>
    <w:rsid w:val="138E2FF9"/>
    <w:rsid w:val="13931986"/>
    <w:rsid w:val="13A73607"/>
    <w:rsid w:val="13F54E26"/>
    <w:rsid w:val="13FB7F63"/>
    <w:rsid w:val="140432BB"/>
    <w:rsid w:val="140908D1"/>
    <w:rsid w:val="140E413A"/>
    <w:rsid w:val="1422618B"/>
    <w:rsid w:val="142E20E6"/>
    <w:rsid w:val="14733F9D"/>
    <w:rsid w:val="14742577"/>
    <w:rsid w:val="147C10A3"/>
    <w:rsid w:val="14B655E2"/>
    <w:rsid w:val="14C447F8"/>
    <w:rsid w:val="14F275B8"/>
    <w:rsid w:val="15115C90"/>
    <w:rsid w:val="15175270"/>
    <w:rsid w:val="151B4D60"/>
    <w:rsid w:val="152C2AC9"/>
    <w:rsid w:val="15966195"/>
    <w:rsid w:val="15AF7257"/>
    <w:rsid w:val="15BB5BFB"/>
    <w:rsid w:val="15D46CBD"/>
    <w:rsid w:val="15E52C78"/>
    <w:rsid w:val="160752E5"/>
    <w:rsid w:val="16104199"/>
    <w:rsid w:val="16140F28"/>
    <w:rsid w:val="163D4862"/>
    <w:rsid w:val="164E4CC1"/>
    <w:rsid w:val="165247B2"/>
    <w:rsid w:val="1654042C"/>
    <w:rsid w:val="16556050"/>
    <w:rsid w:val="16726D77"/>
    <w:rsid w:val="16820AD6"/>
    <w:rsid w:val="169923E1"/>
    <w:rsid w:val="16994D22"/>
    <w:rsid w:val="169D3553"/>
    <w:rsid w:val="16AC04CA"/>
    <w:rsid w:val="16B84207"/>
    <w:rsid w:val="16BC7E7D"/>
    <w:rsid w:val="16BE59A3"/>
    <w:rsid w:val="16CB6312"/>
    <w:rsid w:val="16DC4224"/>
    <w:rsid w:val="16EB2510"/>
    <w:rsid w:val="16F55828"/>
    <w:rsid w:val="17081314"/>
    <w:rsid w:val="17163A31"/>
    <w:rsid w:val="17326391"/>
    <w:rsid w:val="173739A8"/>
    <w:rsid w:val="1743234C"/>
    <w:rsid w:val="175277E6"/>
    <w:rsid w:val="175B58E8"/>
    <w:rsid w:val="175C6F6A"/>
    <w:rsid w:val="176C0FBA"/>
    <w:rsid w:val="177B1AE6"/>
    <w:rsid w:val="17AF1790"/>
    <w:rsid w:val="17B153E5"/>
    <w:rsid w:val="17F83137"/>
    <w:rsid w:val="1804388A"/>
    <w:rsid w:val="18226406"/>
    <w:rsid w:val="183A374F"/>
    <w:rsid w:val="183D6D9C"/>
    <w:rsid w:val="183F0D66"/>
    <w:rsid w:val="186407CC"/>
    <w:rsid w:val="186C142F"/>
    <w:rsid w:val="18823AC5"/>
    <w:rsid w:val="18934C0E"/>
    <w:rsid w:val="189A5F9C"/>
    <w:rsid w:val="189B3AC2"/>
    <w:rsid w:val="18D70F9E"/>
    <w:rsid w:val="18F41B50"/>
    <w:rsid w:val="18FE2FBD"/>
    <w:rsid w:val="19006747"/>
    <w:rsid w:val="190B1333"/>
    <w:rsid w:val="191775ED"/>
    <w:rsid w:val="19334F15"/>
    <w:rsid w:val="194523AC"/>
    <w:rsid w:val="196934AD"/>
    <w:rsid w:val="197030A6"/>
    <w:rsid w:val="197E58BE"/>
    <w:rsid w:val="19955F0A"/>
    <w:rsid w:val="199D21E8"/>
    <w:rsid w:val="19A277FE"/>
    <w:rsid w:val="19C72DC1"/>
    <w:rsid w:val="19E45129"/>
    <w:rsid w:val="1A240213"/>
    <w:rsid w:val="1A271AB1"/>
    <w:rsid w:val="1A304579"/>
    <w:rsid w:val="1A5B175B"/>
    <w:rsid w:val="1A705206"/>
    <w:rsid w:val="1A7D3BE9"/>
    <w:rsid w:val="1A7D7923"/>
    <w:rsid w:val="1A8D2B13"/>
    <w:rsid w:val="1AC437A4"/>
    <w:rsid w:val="1AC92B69"/>
    <w:rsid w:val="1ADF238C"/>
    <w:rsid w:val="1AF92BB3"/>
    <w:rsid w:val="1B0A2B9D"/>
    <w:rsid w:val="1B0E451B"/>
    <w:rsid w:val="1B2B2D19"/>
    <w:rsid w:val="1B3C158C"/>
    <w:rsid w:val="1B416BA3"/>
    <w:rsid w:val="1B4E2991"/>
    <w:rsid w:val="1B684130"/>
    <w:rsid w:val="1B697EA8"/>
    <w:rsid w:val="1B6A60FA"/>
    <w:rsid w:val="1B7F6F38"/>
    <w:rsid w:val="1B83540D"/>
    <w:rsid w:val="1BB346B4"/>
    <w:rsid w:val="1BC7354C"/>
    <w:rsid w:val="1BCA303C"/>
    <w:rsid w:val="1C033E58"/>
    <w:rsid w:val="1C071B9A"/>
    <w:rsid w:val="1C0C0F5F"/>
    <w:rsid w:val="1C0F6CA1"/>
    <w:rsid w:val="1C3D380E"/>
    <w:rsid w:val="1C4C3A51"/>
    <w:rsid w:val="1C542906"/>
    <w:rsid w:val="1C6A6B78"/>
    <w:rsid w:val="1C766D20"/>
    <w:rsid w:val="1CB17D58"/>
    <w:rsid w:val="1CB52A2F"/>
    <w:rsid w:val="1CE379B0"/>
    <w:rsid w:val="1CEE68B6"/>
    <w:rsid w:val="1CF0262F"/>
    <w:rsid w:val="1CF37EB8"/>
    <w:rsid w:val="1D110EBE"/>
    <w:rsid w:val="1D2A4350"/>
    <w:rsid w:val="1D320E99"/>
    <w:rsid w:val="1D9531D6"/>
    <w:rsid w:val="1DAB47A7"/>
    <w:rsid w:val="1DBE44DB"/>
    <w:rsid w:val="1DDC5D1E"/>
    <w:rsid w:val="1DEA1774"/>
    <w:rsid w:val="1E0C793C"/>
    <w:rsid w:val="1E236A34"/>
    <w:rsid w:val="1E252D30"/>
    <w:rsid w:val="1E293FBC"/>
    <w:rsid w:val="1E2A6014"/>
    <w:rsid w:val="1E2B7F73"/>
    <w:rsid w:val="1E3D3153"/>
    <w:rsid w:val="1E42510C"/>
    <w:rsid w:val="1E5E3EF4"/>
    <w:rsid w:val="1E5E7A6C"/>
    <w:rsid w:val="1E6037E4"/>
    <w:rsid w:val="1E9516DF"/>
    <w:rsid w:val="1EDD6BE3"/>
    <w:rsid w:val="1EE77A61"/>
    <w:rsid w:val="1EEE7042"/>
    <w:rsid w:val="1EF74148"/>
    <w:rsid w:val="1F0625DD"/>
    <w:rsid w:val="1F4C5B16"/>
    <w:rsid w:val="1F933745"/>
    <w:rsid w:val="1F973235"/>
    <w:rsid w:val="1FA63478"/>
    <w:rsid w:val="1FBF278C"/>
    <w:rsid w:val="1FE741BD"/>
    <w:rsid w:val="1FEA5A5B"/>
    <w:rsid w:val="20126D60"/>
    <w:rsid w:val="205E01F7"/>
    <w:rsid w:val="20665E37"/>
    <w:rsid w:val="207215AC"/>
    <w:rsid w:val="208F6602"/>
    <w:rsid w:val="20967991"/>
    <w:rsid w:val="20A43E5C"/>
    <w:rsid w:val="20A51982"/>
    <w:rsid w:val="20D02EA3"/>
    <w:rsid w:val="20EF0E4F"/>
    <w:rsid w:val="20F85F56"/>
    <w:rsid w:val="211014F1"/>
    <w:rsid w:val="211663DC"/>
    <w:rsid w:val="21254871"/>
    <w:rsid w:val="212C5A05"/>
    <w:rsid w:val="212C5BFF"/>
    <w:rsid w:val="215A09BE"/>
    <w:rsid w:val="216B497A"/>
    <w:rsid w:val="2184195C"/>
    <w:rsid w:val="218C0AD3"/>
    <w:rsid w:val="21937A2C"/>
    <w:rsid w:val="21A8155E"/>
    <w:rsid w:val="21C85928"/>
    <w:rsid w:val="21C916A0"/>
    <w:rsid w:val="220426D8"/>
    <w:rsid w:val="22124DF5"/>
    <w:rsid w:val="224F1BA5"/>
    <w:rsid w:val="22642828"/>
    <w:rsid w:val="228D6B72"/>
    <w:rsid w:val="22A2261D"/>
    <w:rsid w:val="22AB6CF5"/>
    <w:rsid w:val="22BD2FB3"/>
    <w:rsid w:val="22CE1AC1"/>
    <w:rsid w:val="22FD3CF7"/>
    <w:rsid w:val="230E1A60"/>
    <w:rsid w:val="23377209"/>
    <w:rsid w:val="2342795C"/>
    <w:rsid w:val="235D44ED"/>
    <w:rsid w:val="23636185"/>
    <w:rsid w:val="239F090A"/>
    <w:rsid w:val="23B56380"/>
    <w:rsid w:val="23C72304"/>
    <w:rsid w:val="23F46EA8"/>
    <w:rsid w:val="241F37F9"/>
    <w:rsid w:val="24561911"/>
    <w:rsid w:val="245E07C6"/>
    <w:rsid w:val="24653902"/>
    <w:rsid w:val="246D27B7"/>
    <w:rsid w:val="248024EA"/>
    <w:rsid w:val="24885842"/>
    <w:rsid w:val="248949DC"/>
    <w:rsid w:val="24AF254A"/>
    <w:rsid w:val="24AF7273"/>
    <w:rsid w:val="24B108F5"/>
    <w:rsid w:val="24B30B11"/>
    <w:rsid w:val="24C32F15"/>
    <w:rsid w:val="24C525F3"/>
    <w:rsid w:val="24CA19B7"/>
    <w:rsid w:val="24E24F53"/>
    <w:rsid w:val="25096983"/>
    <w:rsid w:val="25270BB7"/>
    <w:rsid w:val="253F23A5"/>
    <w:rsid w:val="254259F1"/>
    <w:rsid w:val="256B7396"/>
    <w:rsid w:val="25853B30"/>
    <w:rsid w:val="25950217"/>
    <w:rsid w:val="25A20B86"/>
    <w:rsid w:val="25BD32CA"/>
    <w:rsid w:val="25C40AFC"/>
    <w:rsid w:val="25CE197B"/>
    <w:rsid w:val="25D0124F"/>
    <w:rsid w:val="25EE7927"/>
    <w:rsid w:val="2628108B"/>
    <w:rsid w:val="26667E05"/>
    <w:rsid w:val="26771661"/>
    <w:rsid w:val="26976211"/>
    <w:rsid w:val="271B0BF0"/>
    <w:rsid w:val="271C2272"/>
    <w:rsid w:val="27230BFF"/>
    <w:rsid w:val="27254D96"/>
    <w:rsid w:val="272F1FA5"/>
    <w:rsid w:val="27392ACF"/>
    <w:rsid w:val="27433CA3"/>
    <w:rsid w:val="274C0C22"/>
    <w:rsid w:val="2751016E"/>
    <w:rsid w:val="2767173F"/>
    <w:rsid w:val="27673D60"/>
    <w:rsid w:val="277327DA"/>
    <w:rsid w:val="2787443F"/>
    <w:rsid w:val="27AE55C0"/>
    <w:rsid w:val="27B5694E"/>
    <w:rsid w:val="27C13D12"/>
    <w:rsid w:val="27C76682"/>
    <w:rsid w:val="27D8263D"/>
    <w:rsid w:val="27E72880"/>
    <w:rsid w:val="27EB6814"/>
    <w:rsid w:val="27FE7638"/>
    <w:rsid w:val="280B5E71"/>
    <w:rsid w:val="28177609"/>
    <w:rsid w:val="281C077C"/>
    <w:rsid w:val="281C2BC6"/>
    <w:rsid w:val="281C4C20"/>
    <w:rsid w:val="28235FAE"/>
    <w:rsid w:val="28327F9F"/>
    <w:rsid w:val="285C0DA0"/>
    <w:rsid w:val="285F4B0C"/>
    <w:rsid w:val="28757E8C"/>
    <w:rsid w:val="288B3B53"/>
    <w:rsid w:val="28956780"/>
    <w:rsid w:val="28AD1D1C"/>
    <w:rsid w:val="28AD3ACA"/>
    <w:rsid w:val="28B22E8E"/>
    <w:rsid w:val="28BA1D43"/>
    <w:rsid w:val="28BA67C3"/>
    <w:rsid w:val="28BD003F"/>
    <w:rsid w:val="28C037FD"/>
    <w:rsid w:val="28D41056"/>
    <w:rsid w:val="28DC5807"/>
    <w:rsid w:val="28DC7F0B"/>
    <w:rsid w:val="28F416F8"/>
    <w:rsid w:val="28F811E9"/>
    <w:rsid w:val="29001E4B"/>
    <w:rsid w:val="290F0C0E"/>
    <w:rsid w:val="291F68C4"/>
    <w:rsid w:val="29210894"/>
    <w:rsid w:val="292F6A67"/>
    <w:rsid w:val="294855A0"/>
    <w:rsid w:val="2976210D"/>
    <w:rsid w:val="298F1421"/>
    <w:rsid w:val="29AE7AF9"/>
    <w:rsid w:val="29C91AA7"/>
    <w:rsid w:val="29D62BAC"/>
    <w:rsid w:val="29DD3F3B"/>
    <w:rsid w:val="29E32356"/>
    <w:rsid w:val="29EC0622"/>
    <w:rsid w:val="2A225DF1"/>
    <w:rsid w:val="2A32072A"/>
    <w:rsid w:val="2A391AB9"/>
    <w:rsid w:val="2A4B359A"/>
    <w:rsid w:val="2A635B27"/>
    <w:rsid w:val="2A8329A5"/>
    <w:rsid w:val="2A950CB9"/>
    <w:rsid w:val="2A9D2605"/>
    <w:rsid w:val="2ADE440E"/>
    <w:rsid w:val="2AE80DE9"/>
    <w:rsid w:val="2AE8703B"/>
    <w:rsid w:val="2B147E30"/>
    <w:rsid w:val="2B1B4930"/>
    <w:rsid w:val="2B2D2CA0"/>
    <w:rsid w:val="2B306E7A"/>
    <w:rsid w:val="2B3202B6"/>
    <w:rsid w:val="2B512E32"/>
    <w:rsid w:val="2B683CD8"/>
    <w:rsid w:val="2B76279E"/>
    <w:rsid w:val="2B786611"/>
    <w:rsid w:val="2B7938DE"/>
    <w:rsid w:val="2B797C93"/>
    <w:rsid w:val="2B7D59D5"/>
    <w:rsid w:val="2BB46F1D"/>
    <w:rsid w:val="2BD25682"/>
    <w:rsid w:val="2BD55811"/>
    <w:rsid w:val="2BE27F2E"/>
    <w:rsid w:val="2BE5357A"/>
    <w:rsid w:val="2C1125C1"/>
    <w:rsid w:val="2C153E60"/>
    <w:rsid w:val="2C210A56"/>
    <w:rsid w:val="2C3D33B6"/>
    <w:rsid w:val="2C414C55"/>
    <w:rsid w:val="2C475FE3"/>
    <w:rsid w:val="2C4907B9"/>
    <w:rsid w:val="2C81364F"/>
    <w:rsid w:val="2C9A4365"/>
    <w:rsid w:val="2CC633AC"/>
    <w:rsid w:val="2CD05FD9"/>
    <w:rsid w:val="2CDE6947"/>
    <w:rsid w:val="2CEF7A50"/>
    <w:rsid w:val="2CF75313"/>
    <w:rsid w:val="2D3227EF"/>
    <w:rsid w:val="2D32459D"/>
    <w:rsid w:val="2D3565B5"/>
    <w:rsid w:val="2D39592C"/>
    <w:rsid w:val="2D3E2F42"/>
    <w:rsid w:val="2D850CA0"/>
    <w:rsid w:val="2D8868B3"/>
    <w:rsid w:val="2D9B2143"/>
    <w:rsid w:val="2DA03BFD"/>
    <w:rsid w:val="2DA336ED"/>
    <w:rsid w:val="2DC01BA9"/>
    <w:rsid w:val="2DE81100"/>
    <w:rsid w:val="2DEA4E78"/>
    <w:rsid w:val="2E2A1718"/>
    <w:rsid w:val="2E310CF9"/>
    <w:rsid w:val="2E3F6F72"/>
    <w:rsid w:val="2E7330BF"/>
    <w:rsid w:val="2E756E38"/>
    <w:rsid w:val="2E933762"/>
    <w:rsid w:val="2EB536D8"/>
    <w:rsid w:val="2EC851B9"/>
    <w:rsid w:val="2ECD0A22"/>
    <w:rsid w:val="2ECD316E"/>
    <w:rsid w:val="2EDA313F"/>
    <w:rsid w:val="2F1C6FCF"/>
    <w:rsid w:val="2F5C7FF7"/>
    <w:rsid w:val="2F5E167A"/>
    <w:rsid w:val="2F650C5A"/>
    <w:rsid w:val="2F880DEC"/>
    <w:rsid w:val="2F917CA1"/>
    <w:rsid w:val="3034062C"/>
    <w:rsid w:val="30396AEC"/>
    <w:rsid w:val="304C544B"/>
    <w:rsid w:val="30536D05"/>
    <w:rsid w:val="305F1B4D"/>
    <w:rsid w:val="30705B08"/>
    <w:rsid w:val="30A63CC6"/>
    <w:rsid w:val="30C0743E"/>
    <w:rsid w:val="30E56588"/>
    <w:rsid w:val="30E91417"/>
    <w:rsid w:val="31271F3F"/>
    <w:rsid w:val="31293F09"/>
    <w:rsid w:val="31433A7F"/>
    <w:rsid w:val="3159659D"/>
    <w:rsid w:val="31684A32"/>
    <w:rsid w:val="31727D49"/>
    <w:rsid w:val="31771119"/>
    <w:rsid w:val="317E24A7"/>
    <w:rsid w:val="319A0E2B"/>
    <w:rsid w:val="319C292D"/>
    <w:rsid w:val="319E0EF8"/>
    <w:rsid w:val="31AA504A"/>
    <w:rsid w:val="31B41A25"/>
    <w:rsid w:val="320504D2"/>
    <w:rsid w:val="32144BB9"/>
    <w:rsid w:val="324803BF"/>
    <w:rsid w:val="32513718"/>
    <w:rsid w:val="326A47D9"/>
    <w:rsid w:val="32840F7B"/>
    <w:rsid w:val="32B1065A"/>
    <w:rsid w:val="32E4458C"/>
    <w:rsid w:val="32F61389"/>
    <w:rsid w:val="33024A12"/>
    <w:rsid w:val="33150BE9"/>
    <w:rsid w:val="332D26D2"/>
    <w:rsid w:val="33443C83"/>
    <w:rsid w:val="335D1C8B"/>
    <w:rsid w:val="337136E8"/>
    <w:rsid w:val="339715FE"/>
    <w:rsid w:val="33997124"/>
    <w:rsid w:val="33B43F5E"/>
    <w:rsid w:val="33E83C08"/>
    <w:rsid w:val="33EA3E24"/>
    <w:rsid w:val="3402116D"/>
    <w:rsid w:val="34030A42"/>
    <w:rsid w:val="34256C0A"/>
    <w:rsid w:val="343230D5"/>
    <w:rsid w:val="34B65664"/>
    <w:rsid w:val="34CE1050"/>
    <w:rsid w:val="34E16FD5"/>
    <w:rsid w:val="34EB1C02"/>
    <w:rsid w:val="34FD1935"/>
    <w:rsid w:val="35571045"/>
    <w:rsid w:val="355754E9"/>
    <w:rsid w:val="355D23D3"/>
    <w:rsid w:val="3566572C"/>
    <w:rsid w:val="3571636E"/>
    <w:rsid w:val="358362DE"/>
    <w:rsid w:val="358F4AB7"/>
    <w:rsid w:val="35973F37"/>
    <w:rsid w:val="35C506A4"/>
    <w:rsid w:val="35C8047F"/>
    <w:rsid w:val="35CB558F"/>
    <w:rsid w:val="36021D61"/>
    <w:rsid w:val="36213401"/>
    <w:rsid w:val="36392E40"/>
    <w:rsid w:val="364F7F6E"/>
    <w:rsid w:val="365D5425"/>
    <w:rsid w:val="36794FEB"/>
    <w:rsid w:val="3687595A"/>
    <w:rsid w:val="368816D2"/>
    <w:rsid w:val="368C11C2"/>
    <w:rsid w:val="36AC716F"/>
    <w:rsid w:val="36D6243D"/>
    <w:rsid w:val="36D87F64"/>
    <w:rsid w:val="36F32FEF"/>
    <w:rsid w:val="36F40B16"/>
    <w:rsid w:val="371A057C"/>
    <w:rsid w:val="373553B6"/>
    <w:rsid w:val="373B6744"/>
    <w:rsid w:val="37490E61"/>
    <w:rsid w:val="37692862"/>
    <w:rsid w:val="37695060"/>
    <w:rsid w:val="377D0B0B"/>
    <w:rsid w:val="37A662B4"/>
    <w:rsid w:val="37AA2584"/>
    <w:rsid w:val="37B56400"/>
    <w:rsid w:val="37BE35FD"/>
    <w:rsid w:val="37BF7375"/>
    <w:rsid w:val="37C4673A"/>
    <w:rsid w:val="37D72911"/>
    <w:rsid w:val="37DF17C6"/>
    <w:rsid w:val="381A45AC"/>
    <w:rsid w:val="382C0B0E"/>
    <w:rsid w:val="383B4C4E"/>
    <w:rsid w:val="386555A5"/>
    <w:rsid w:val="38795776"/>
    <w:rsid w:val="38AA1DD4"/>
    <w:rsid w:val="38C5276A"/>
    <w:rsid w:val="38CE5AC2"/>
    <w:rsid w:val="38D34E86"/>
    <w:rsid w:val="38D97FC3"/>
    <w:rsid w:val="38DE382B"/>
    <w:rsid w:val="38F31B98"/>
    <w:rsid w:val="38FC0C25"/>
    <w:rsid w:val="391A2AB5"/>
    <w:rsid w:val="391C5EDB"/>
    <w:rsid w:val="392C27E9"/>
    <w:rsid w:val="39610CA2"/>
    <w:rsid w:val="39BC1DBE"/>
    <w:rsid w:val="39C742BF"/>
    <w:rsid w:val="3A1C0AAF"/>
    <w:rsid w:val="3A500759"/>
    <w:rsid w:val="3A557B1D"/>
    <w:rsid w:val="3A8408A1"/>
    <w:rsid w:val="3A905C8A"/>
    <w:rsid w:val="3A916DA7"/>
    <w:rsid w:val="3A961B24"/>
    <w:rsid w:val="3AA36ADA"/>
    <w:rsid w:val="3AB5026E"/>
    <w:rsid w:val="3AEE274E"/>
    <w:rsid w:val="3B091033"/>
    <w:rsid w:val="3B0F23C2"/>
    <w:rsid w:val="3B111A40"/>
    <w:rsid w:val="3B3360B0"/>
    <w:rsid w:val="3B4B53E2"/>
    <w:rsid w:val="3B60677A"/>
    <w:rsid w:val="3B636954"/>
    <w:rsid w:val="3B862684"/>
    <w:rsid w:val="3B967B1B"/>
    <w:rsid w:val="3B9E60AB"/>
    <w:rsid w:val="3BB15227"/>
    <w:rsid w:val="3BD11425"/>
    <w:rsid w:val="3BDD7DCA"/>
    <w:rsid w:val="3BEB698B"/>
    <w:rsid w:val="3BF515B8"/>
    <w:rsid w:val="3C2A0F73"/>
    <w:rsid w:val="3C552056"/>
    <w:rsid w:val="3C574020"/>
    <w:rsid w:val="3CA8662A"/>
    <w:rsid w:val="3CAA23A2"/>
    <w:rsid w:val="3CB7243C"/>
    <w:rsid w:val="3CB72D11"/>
    <w:rsid w:val="3CBA010B"/>
    <w:rsid w:val="3CC22E8D"/>
    <w:rsid w:val="3CC33464"/>
    <w:rsid w:val="3CF33D49"/>
    <w:rsid w:val="3D0870C9"/>
    <w:rsid w:val="3D1160FD"/>
    <w:rsid w:val="3D4A5E08"/>
    <w:rsid w:val="3D5B019B"/>
    <w:rsid w:val="3D6372EC"/>
    <w:rsid w:val="3D69400B"/>
    <w:rsid w:val="3D7724B9"/>
    <w:rsid w:val="3D8C7CFA"/>
    <w:rsid w:val="3DAC5CA6"/>
    <w:rsid w:val="3DC56D68"/>
    <w:rsid w:val="3DDF03A6"/>
    <w:rsid w:val="3E016501"/>
    <w:rsid w:val="3E10092B"/>
    <w:rsid w:val="3E18333B"/>
    <w:rsid w:val="3E29379B"/>
    <w:rsid w:val="3E3E7246"/>
    <w:rsid w:val="3E4B1963"/>
    <w:rsid w:val="3E75253C"/>
    <w:rsid w:val="3E774506"/>
    <w:rsid w:val="3E7C7D6E"/>
    <w:rsid w:val="3E8135D7"/>
    <w:rsid w:val="3E8978EB"/>
    <w:rsid w:val="3E9E1A93"/>
    <w:rsid w:val="3EB94B1E"/>
    <w:rsid w:val="3ECB6600"/>
    <w:rsid w:val="3ED74FA5"/>
    <w:rsid w:val="3EDB4A95"/>
    <w:rsid w:val="3EE218BB"/>
    <w:rsid w:val="3F150636"/>
    <w:rsid w:val="3F204B9E"/>
    <w:rsid w:val="3F367F1D"/>
    <w:rsid w:val="3F4848D4"/>
    <w:rsid w:val="3F6525B0"/>
    <w:rsid w:val="3F6A7BC7"/>
    <w:rsid w:val="3F9133A5"/>
    <w:rsid w:val="3F980BD8"/>
    <w:rsid w:val="3FA806EF"/>
    <w:rsid w:val="3FB11C9A"/>
    <w:rsid w:val="3FCE0156"/>
    <w:rsid w:val="3FD31124"/>
    <w:rsid w:val="3FEE07F8"/>
    <w:rsid w:val="401B1A9A"/>
    <w:rsid w:val="401C35B7"/>
    <w:rsid w:val="40354679"/>
    <w:rsid w:val="404C3770"/>
    <w:rsid w:val="404E573A"/>
    <w:rsid w:val="40580367"/>
    <w:rsid w:val="406B009A"/>
    <w:rsid w:val="40703903"/>
    <w:rsid w:val="40833636"/>
    <w:rsid w:val="408D0011"/>
    <w:rsid w:val="40AF442B"/>
    <w:rsid w:val="40D43E92"/>
    <w:rsid w:val="40E0482E"/>
    <w:rsid w:val="40E109B7"/>
    <w:rsid w:val="40E67721"/>
    <w:rsid w:val="4101455B"/>
    <w:rsid w:val="410C362B"/>
    <w:rsid w:val="41377F7D"/>
    <w:rsid w:val="41456B3D"/>
    <w:rsid w:val="41662610"/>
    <w:rsid w:val="418F600A"/>
    <w:rsid w:val="41911D83"/>
    <w:rsid w:val="41AA69A0"/>
    <w:rsid w:val="41B25855"/>
    <w:rsid w:val="41C21F3C"/>
    <w:rsid w:val="41CA2B9F"/>
    <w:rsid w:val="41EA1493"/>
    <w:rsid w:val="41FF6CEC"/>
    <w:rsid w:val="421D7172"/>
    <w:rsid w:val="422B7AE1"/>
    <w:rsid w:val="425F3C2F"/>
    <w:rsid w:val="42786A9F"/>
    <w:rsid w:val="427C033D"/>
    <w:rsid w:val="42A87384"/>
    <w:rsid w:val="42B850ED"/>
    <w:rsid w:val="42E63A08"/>
    <w:rsid w:val="431762B8"/>
    <w:rsid w:val="431C6AC6"/>
    <w:rsid w:val="43210EE4"/>
    <w:rsid w:val="432A0910"/>
    <w:rsid w:val="432A5FEB"/>
    <w:rsid w:val="43421586"/>
    <w:rsid w:val="43544E16"/>
    <w:rsid w:val="4374738E"/>
    <w:rsid w:val="43831019"/>
    <w:rsid w:val="43866F99"/>
    <w:rsid w:val="43B27D8E"/>
    <w:rsid w:val="43DD4E0B"/>
    <w:rsid w:val="43E738FD"/>
    <w:rsid w:val="43E77A38"/>
    <w:rsid w:val="43E93761"/>
    <w:rsid w:val="43EC32A0"/>
    <w:rsid w:val="43F62371"/>
    <w:rsid w:val="43FF1225"/>
    <w:rsid w:val="44476729"/>
    <w:rsid w:val="444C01E3"/>
    <w:rsid w:val="447137A5"/>
    <w:rsid w:val="44727838"/>
    <w:rsid w:val="448C6831"/>
    <w:rsid w:val="449000D0"/>
    <w:rsid w:val="44BD69EB"/>
    <w:rsid w:val="44C24001"/>
    <w:rsid w:val="44DA57EF"/>
    <w:rsid w:val="44DC50C3"/>
    <w:rsid w:val="44EB79FC"/>
    <w:rsid w:val="45050ABD"/>
    <w:rsid w:val="4508235C"/>
    <w:rsid w:val="450D7972"/>
    <w:rsid w:val="45126D36"/>
    <w:rsid w:val="451D0FC5"/>
    <w:rsid w:val="452623BD"/>
    <w:rsid w:val="452B4BB5"/>
    <w:rsid w:val="452B604A"/>
    <w:rsid w:val="452F2776"/>
    <w:rsid w:val="45344C8A"/>
    <w:rsid w:val="454F3AE7"/>
    <w:rsid w:val="45504460"/>
    <w:rsid w:val="456C6734"/>
    <w:rsid w:val="457B0D80"/>
    <w:rsid w:val="45A76173"/>
    <w:rsid w:val="45C06792"/>
    <w:rsid w:val="45D40490"/>
    <w:rsid w:val="45EF323D"/>
    <w:rsid w:val="45F14B9E"/>
    <w:rsid w:val="45F63CE4"/>
    <w:rsid w:val="45FD79E7"/>
    <w:rsid w:val="460D74FE"/>
    <w:rsid w:val="46144D30"/>
    <w:rsid w:val="46256F3D"/>
    <w:rsid w:val="46317690"/>
    <w:rsid w:val="4642458E"/>
    <w:rsid w:val="46445615"/>
    <w:rsid w:val="46477F15"/>
    <w:rsid w:val="46511AE0"/>
    <w:rsid w:val="46755612"/>
    <w:rsid w:val="46A460B4"/>
    <w:rsid w:val="46B53E1D"/>
    <w:rsid w:val="46C027C2"/>
    <w:rsid w:val="46D5626E"/>
    <w:rsid w:val="47072D52"/>
    <w:rsid w:val="47134FE8"/>
    <w:rsid w:val="47460F19"/>
    <w:rsid w:val="475F3D89"/>
    <w:rsid w:val="47632D59"/>
    <w:rsid w:val="47857C94"/>
    <w:rsid w:val="478B4B7E"/>
    <w:rsid w:val="479223B1"/>
    <w:rsid w:val="47B02DD5"/>
    <w:rsid w:val="47B73BC5"/>
    <w:rsid w:val="47EB386F"/>
    <w:rsid w:val="47EC39BF"/>
    <w:rsid w:val="47FB1D04"/>
    <w:rsid w:val="47FB7F56"/>
    <w:rsid w:val="47FE35A2"/>
    <w:rsid w:val="48396CD0"/>
    <w:rsid w:val="483D40CA"/>
    <w:rsid w:val="483E7E42"/>
    <w:rsid w:val="48660E58"/>
    <w:rsid w:val="48741AB6"/>
    <w:rsid w:val="488241D3"/>
    <w:rsid w:val="48961A2D"/>
    <w:rsid w:val="48B85E47"/>
    <w:rsid w:val="48D30B46"/>
    <w:rsid w:val="48EE2BC9"/>
    <w:rsid w:val="49364C33"/>
    <w:rsid w:val="495C4A24"/>
    <w:rsid w:val="49830203"/>
    <w:rsid w:val="49A44BB2"/>
    <w:rsid w:val="49B06B1E"/>
    <w:rsid w:val="49B72A97"/>
    <w:rsid w:val="49C425C9"/>
    <w:rsid w:val="49E54A1A"/>
    <w:rsid w:val="49E8275C"/>
    <w:rsid w:val="4A0B36CD"/>
    <w:rsid w:val="4A477482"/>
    <w:rsid w:val="4A4F4589"/>
    <w:rsid w:val="4A600544"/>
    <w:rsid w:val="4A630034"/>
    <w:rsid w:val="4A69564B"/>
    <w:rsid w:val="4A913A8A"/>
    <w:rsid w:val="4AA30431"/>
    <w:rsid w:val="4ABB39CC"/>
    <w:rsid w:val="4ACA1E61"/>
    <w:rsid w:val="4ACE1952"/>
    <w:rsid w:val="4AD66A58"/>
    <w:rsid w:val="4ADD3943"/>
    <w:rsid w:val="4AFB4F41"/>
    <w:rsid w:val="4B2F2992"/>
    <w:rsid w:val="4B3A7B4E"/>
    <w:rsid w:val="4B3D2633"/>
    <w:rsid w:val="4B490FD8"/>
    <w:rsid w:val="4B555BCF"/>
    <w:rsid w:val="4B614574"/>
    <w:rsid w:val="4B6776B0"/>
    <w:rsid w:val="4B6B71A0"/>
    <w:rsid w:val="4B771FE9"/>
    <w:rsid w:val="4B9A1834"/>
    <w:rsid w:val="4B9A5CD8"/>
    <w:rsid w:val="4BB451DE"/>
    <w:rsid w:val="4BC80828"/>
    <w:rsid w:val="4BCE772F"/>
    <w:rsid w:val="4C511FFD"/>
    <w:rsid w:val="4C516396"/>
    <w:rsid w:val="4C6A56AA"/>
    <w:rsid w:val="4C8A5D4C"/>
    <w:rsid w:val="4C8F3363"/>
    <w:rsid w:val="4CAD5597"/>
    <w:rsid w:val="4CBB7CB4"/>
    <w:rsid w:val="4CCC0113"/>
    <w:rsid w:val="4CCE3E8B"/>
    <w:rsid w:val="4CDD5E7C"/>
    <w:rsid w:val="4CFB4554"/>
    <w:rsid w:val="4D365E4F"/>
    <w:rsid w:val="4D3A5B11"/>
    <w:rsid w:val="4D3D691B"/>
    <w:rsid w:val="4D6148E2"/>
    <w:rsid w:val="4D6B792C"/>
    <w:rsid w:val="4D7A36CB"/>
    <w:rsid w:val="4D891114"/>
    <w:rsid w:val="4DC44E80"/>
    <w:rsid w:val="4DD252B5"/>
    <w:rsid w:val="4DD74FC1"/>
    <w:rsid w:val="4DFC0584"/>
    <w:rsid w:val="4E0631B0"/>
    <w:rsid w:val="4E0B07C7"/>
    <w:rsid w:val="4E1E1EA5"/>
    <w:rsid w:val="4E2A50F1"/>
    <w:rsid w:val="4E342F84"/>
    <w:rsid w:val="4E4F6905"/>
    <w:rsid w:val="4E4F7A0A"/>
    <w:rsid w:val="4E65214E"/>
    <w:rsid w:val="4E656129"/>
    <w:rsid w:val="4E8A5B90"/>
    <w:rsid w:val="4E9B7735"/>
    <w:rsid w:val="4EA00E22"/>
    <w:rsid w:val="4EA76741"/>
    <w:rsid w:val="4ED17C62"/>
    <w:rsid w:val="4ED80FF1"/>
    <w:rsid w:val="4ED92673"/>
    <w:rsid w:val="4EE74D90"/>
    <w:rsid w:val="4EEB576A"/>
    <w:rsid w:val="4EFB4CDF"/>
    <w:rsid w:val="4EFE6E10"/>
    <w:rsid w:val="4F3302E1"/>
    <w:rsid w:val="4F391364"/>
    <w:rsid w:val="4F42290E"/>
    <w:rsid w:val="4F4C1097"/>
    <w:rsid w:val="4F7F321A"/>
    <w:rsid w:val="4F895E47"/>
    <w:rsid w:val="4F90367A"/>
    <w:rsid w:val="4F9D5D96"/>
    <w:rsid w:val="4FB725A9"/>
    <w:rsid w:val="4FC60E49"/>
    <w:rsid w:val="4FC652ED"/>
    <w:rsid w:val="4FF9121F"/>
    <w:rsid w:val="50033E4B"/>
    <w:rsid w:val="50062B38"/>
    <w:rsid w:val="500D4CCA"/>
    <w:rsid w:val="50236859"/>
    <w:rsid w:val="50666188"/>
    <w:rsid w:val="507146DC"/>
    <w:rsid w:val="50744D49"/>
    <w:rsid w:val="50964CC0"/>
    <w:rsid w:val="50B52C6C"/>
    <w:rsid w:val="50BB64D4"/>
    <w:rsid w:val="50BD049E"/>
    <w:rsid w:val="50CF3D2E"/>
    <w:rsid w:val="50EE68AA"/>
    <w:rsid w:val="512322CB"/>
    <w:rsid w:val="5134567A"/>
    <w:rsid w:val="5139564B"/>
    <w:rsid w:val="516C62F1"/>
    <w:rsid w:val="51894824"/>
    <w:rsid w:val="51937451"/>
    <w:rsid w:val="51986815"/>
    <w:rsid w:val="51CD2963"/>
    <w:rsid w:val="51EB4B97"/>
    <w:rsid w:val="520774F7"/>
    <w:rsid w:val="526B3F2A"/>
    <w:rsid w:val="52775DEE"/>
    <w:rsid w:val="527E3C5D"/>
    <w:rsid w:val="527F3531"/>
    <w:rsid w:val="5290573F"/>
    <w:rsid w:val="52926CBB"/>
    <w:rsid w:val="52AF3E17"/>
    <w:rsid w:val="52BA27BB"/>
    <w:rsid w:val="52D95337"/>
    <w:rsid w:val="52DD4E28"/>
    <w:rsid w:val="52E02860"/>
    <w:rsid w:val="52E166C3"/>
    <w:rsid w:val="52E864CC"/>
    <w:rsid w:val="53035F10"/>
    <w:rsid w:val="531620E8"/>
    <w:rsid w:val="53226CDE"/>
    <w:rsid w:val="53285977"/>
    <w:rsid w:val="532E5683"/>
    <w:rsid w:val="53394B05"/>
    <w:rsid w:val="534C3D5B"/>
    <w:rsid w:val="5382152B"/>
    <w:rsid w:val="5385101B"/>
    <w:rsid w:val="538C23AA"/>
    <w:rsid w:val="53B17155"/>
    <w:rsid w:val="53B61F77"/>
    <w:rsid w:val="53C5766A"/>
    <w:rsid w:val="53D210FD"/>
    <w:rsid w:val="53D77AC9"/>
    <w:rsid w:val="53E46B80"/>
    <w:rsid w:val="53E775E0"/>
    <w:rsid w:val="53EE2FD4"/>
    <w:rsid w:val="541A79B6"/>
    <w:rsid w:val="541B5774"/>
    <w:rsid w:val="543A6EAD"/>
    <w:rsid w:val="54422A68"/>
    <w:rsid w:val="544467E1"/>
    <w:rsid w:val="544E11C2"/>
    <w:rsid w:val="544E765F"/>
    <w:rsid w:val="54617548"/>
    <w:rsid w:val="5463310B"/>
    <w:rsid w:val="546E1AAF"/>
    <w:rsid w:val="54770964"/>
    <w:rsid w:val="54964C34"/>
    <w:rsid w:val="54A51975"/>
    <w:rsid w:val="54BE3514"/>
    <w:rsid w:val="54E3249D"/>
    <w:rsid w:val="54F71AA5"/>
    <w:rsid w:val="551E7032"/>
    <w:rsid w:val="55432450"/>
    <w:rsid w:val="555E38D2"/>
    <w:rsid w:val="55747599"/>
    <w:rsid w:val="55985036"/>
    <w:rsid w:val="55AE2AAB"/>
    <w:rsid w:val="55B06922"/>
    <w:rsid w:val="55C14B16"/>
    <w:rsid w:val="55CA0F67"/>
    <w:rsid w:val="55F304BE"/>
    <w:rsid w:val="563805C7"/>
    <w:rsid w:val="56694C24"/>
    <w:rsid w:val="566B1984"/>
    <w:rsid w:val="56950B3F"/>
    <w:rsid w:val="56A1160C"/>
    <w:rsid w:val="56B04601"/>
    <w:rsid w:val="56BD287A"/>
    <w:rsid w:val="56C43C09"/>
    <w:rsid w:val="56D57BC4"/>
    <w:rsid w:val="56DB78D0"/>
    <w:rsid w:val="56ED7603"/>
    <w:rsid w:val="56F3629C"/>
    <w:rsid w:val="56F72230"/>
    <w:rsid w:val="56FC7846"/>
    <w:rsid w:val="571444FF"/>
    <w:rsid w:val="571479EE"/>
    <w:rsid w:val="5721105B"/>
    <w:rsid w:val="57672F12"/>
    <w:rsid w:val="57741E27"/>
    <w:rsid w:val="57917F8F"/>
    <w:rsid w:val="579E776A"/>
    <w:rsid w:val="57AD737E"/>
    <w:rsid w:val="57B343A9"/>
    <w:rsid w:val="57C32112"/>
    <w:rsid w:val="57C57C38"/>
    <w:rsid w:val="57CC7219"/>
    <w:rsid w:val="57D1482F"/>
    <w:rsid w:val="57D63BF4"/>
    <w:rsid w:val="57EA3B43"/>
    <w:rsid w:val="5803016F"/>
    <w:rsid w:val="5818420C"/>
    <w:rsid w:val="5822508B"/>
    <w:rsid w:val="582708F3"/>
    <w:rsid w:val="583C7C96"/>
    <w:rsid w:val="584E7C2E"/>
    <w:rsid w:val="58711B6E"/>
    <w:rsid w:val="5875340D"/>
    <w:rsid w:val="58856AF7"/>
    <w:rsid w:val="588C69A8"/>
    <w:rsid w:val="589A2E73"/>
    <w:rsid w:val="589C308F"/>
    <w:rsid w:val="58BA19B2"/>
    <w:rsid w:val="58CD149A"/>
    <w:rsid w:val="58F72073"/>
    <w:rsid w:val="58FA6008"/>
    <w:rsid w:val="58FC3B2E"/>
    <w:rsid w:val="590D1897"/>
    <w:rsid w:val="593432C8"/>
    <w:rsid w:val="593C217C"/>
    <w:rsid w:val="5943175D"/>
    <w:rsid w:val="594D25DB"/>
    <w:rsid w:val="594E4DC3"/>
    <w:rsid w:val="59561490"/>
    <w:rsid w:val="5959467B"/>
    <w:rsid w:val="595C45CC"/>
    <w:rsid w:val="59705BA9"/>
    <w:rsid w:val="597E09E7"/>
    <w:rsid w:val="598D700C"/>
    <w:rsid w:val="598F04FE"/>
    <w:rsid w:val="59A0095D"/>
    <w:rsid w:val="59C77C98"/>
    <w:rsid w:val="59CC10D9"/>
    <w:rsid w:val="5A105AE3"/>
    <w:rsid w:val="5A2A0227"/>
    <w:rsid w:val="5A382944"/>
    <w:rsid w:val="5A3B4BCC"/>
    <w:rsid w:val="5A584D94"/>
    <w:rsid w:val="5A7B74D4"/>
    <w:rsid w:val="5A83592C"/>
    <w:rsid w:val="5A930F89"/>
    <w:rsid w:val="5AB9459A"/>
    <w:rsid w:val="5AD15BF9"/>
    <w:rsid w:val="5AEB20AC"/>
    <w:rsid w:val="5B1C66FD"/>
    <w:rsid w:val="5B2829B8"/>
    <w:rsid w:val="5B663971"/>
    <w:rsid w:val="5B9B5880"/>
    <w:rsid w:val="5BA67D81"/>
    <w:rsid w:val="5BC533DA"/>
    <w:rsid w:val="5BCD17B1"/>
    <w:rsid w:val="5BED775E"/>
    <w:rsid w:val="5BF907F8"/>
    <w:rsid w:val="5C106064"/>
    <w:rsid w:val="5C162C69"/>
    <w:rsid w:val="5C403D4D"/>
    <w:rsid w:val="5C447153"/>
    <w:rsid w:val="5C464A56"/>
    <w:rsid w:val="5C4E644E"/>
    <w:rsid w:val="5C502193"/>
    <w:rsid w:val="5C5872CD"/>
    <w:rsid w:val="5C6A7000"/>
    <w:rsid w:val="5C71038F"/>
    <w:rsid w:val="5C7B120D"/>
    <w:rsid w:val="5C920267"/>
    <w:rsid w:val="5CAC13C7"/>
    <w:rsid w:val="5CB14C2F"/>
    <w:rsid w:val="5CCC1A69"/>
    <w:rsid w:val="5D2E4FDA"/>
    <w:rsid w:val="5D5201C0"/>
    <w:rsid w:val="5D7243BE"/>
    <w:rsid w:val="5D7B36EF"/>
    <w:rsid w:val="5D865832"/>
    <w:rsid w:val="5D9E4E29"/>
    <w:rsid w:val="5DB744C7"/>
    <w:rsid w:val="5DB84221"/>
    <w:rsid w:val="5E135D11"/>
    <w:rsid w:val="5E6E2F22"/>
    <w:rsid w:val="5E84014A"/>
    <w:rsid w:val="5E9B59CB"/>
    <w:rsid w:val="5EB10F16"/>
    <w:rsid w:val="5EC46E9C"/>
    <w:rsid w:val="5ECE6AE2"/>
    <w:rsid w:val="5EF07C91"/>
    <w:rsid w:val="5EFA0B0F"/>
    <w:rsid w:val="5EFB03E4"/>
    <w:rsid w:val="5F0977E5"/>
    <w:rsid w:val="5F0B4ACB"/>
    <w:rsid w:val="5F0C439F"/>
    <w:rsid w:val="5F1B5C08"/>
    <w:rsid w:val="5F313E05"/>
    <w:rsid w:val="5F385194"/>
    <w:rsid w:val="5F645F89"/>
    <w:rsid w:val="5F6C2999"/>
    <w:rsid w:val="5F824661"/>
    <w:rsid w:val="5F8D1984"/>
    <w:rsid w:val="5F961333"/>
    <w:rsid w:val="5FB52C88"/>
    <w:rsid w:val="5FC058B5"/>
    <w:rsid w:val="5FC30F01"/>
    <w:rsid w:val="5FC52ECB"/>
    <w:rsid w:val="5FE07D05"/>
    <w:rsid w:val="600F3677"/>
    <w:rsid w:val="602B6AA7"/>
    <w:rsid w:val="60363DC9"/>
    <w:rsid w:val="60433DF0"/>
    <w:rsid w:val="604C539B"/>
    <w:rsid w:val="60636240"/>
    <w:rsid w:val="6065645C"/>
    <w:rsid w:val="60681AA9"/>
    <w:rsid w:val="609F196E"/>
    <w:rsid w:val="60A26D69"/>
    <w:rsid w:val="60B62814"/>
    <w:rsid w:val="60BD3BA3"/>
    <w:rsid w:val="60DD6049"/>
    <w:rsid w:val="61007F33"/>
    <w:rsid w:val="610C4B2A"/>
    <w:rsid w:val="6131633F"/>
    <w:rsid w:val="61446072"/>
    <w:rsid w:val="6171498D"/>
    <w:rsid w:val="618B118B"/>
    <w:rsid w:val="619012B7"/>
    <w:rsid w:val="619E438F"/>
    <w:rsid w:val="61A86601"/>
    <w:rsid w:val="61AD3E67"/>
    <w:rsid w:val="61B64F19"/>
    <w:rsid w:val="61CD7F83"/>
    <w:rsid w:val="61D7354F"/>
    <w:rsid w:val="61ED495B"/>
    <w:rsid w:val="61EE5FDE"/>
    <w:rsid w:val="61EF4230"/>
    <w:rsid w:val="61FA0313"/>
    <w:rsid w:val="6200643D"/>
    <w:rsid w:val="620D2908"/>
    <w:rsid w:val="62377985"/>
    <w:rsid w:val="623E6F65"/>
    <w:rsid w:val="624626D0"/>
    <w:rsid w:val="62516C98"/>
    <w:rsid w:val="62522A10"/>
    <w:rsid w:val="625D388F"/>
    <w:rsid w:val="626F5370"/>
    <w:rsid w:val="627B5AC3"/>
    <w:rsid w:val="62A74B0A"/>
    <w:rsid w:val="62B249B4"/>
    <w:rsid w:val="62EA49F7"/>
    <w:rsid w:val="630930CF"/>
    <w:rsid w:val="630A6E47"/>
    <w:rsid w:val="632A1297"/>
    <w:rsid w:val="63462575"/>
    <w:rsid w:val="63471E49"/>
    <w:rsid w:val="63513DAB"/>
    <w:rsid w:val="635E019B"/>
    <w:rsid w:val="63732C3E"/>
    <w:rsid w:val="637A221F"/>
    <w:rsid w:val="63804284"/>
    <w:rsid w:val="63A177AC"/>
    <w:rsid w:val="63CC234F"/>
    <w:rsid w:val="63E038EF"/>
    <w:rsid w:val="640D6BEF"/>
    <w:rsid w:val="64356146"/>
    <w:rsid w:val="646B1B68"/>
    <w:rsid w:val="646D1D84"/>
    <w:rsid w:val="647A41FA"/>
    <w:rsid w:val="649E3CEB"/>
    <w:rsid w:val="64A62BA0"/>
    <w:rsid w:val="64BB1BF4"/>
    <w:rsid w:val="64BC23C3"/>
    <w:rsid w:val="64F77491"/>
    <w:rsid w:val="65046244"/>
    <w:rsid w:val="651A39E8"/>
    <w:rsid w:val="652A5B5F"/>
    <w:rsid w:val="653D3504"/>
    <w:rsid w:val="654B6723"/>
    <w:rsid w:val="654E5711"/>
    <w:rsid w:val="65554CF2"/>
    <w:rsid w:val="65741C3D"/>
    <w:rsid w:val="65907AD8"/>
    <w:rsid w:val="65982E30"/>
    <w:rsid w:val="65984BDE"/>
    <w:rsid w:val="65B23EF2"/>
    <w:rsid w:val="65E17F2C"/>
    <w:rsid w:val="65F6721C"/>
    <w:rsid w:val="66145EEA"/>
    <w:rsid w:val="6618187B"/>
    <w:rsid w:val="662B07CB"/>
    <w:rsid w:val="662D17CA"/>
    <w:rsid w:val="664B39FF"/>
    <w:rsid w:val="6659611C"/>
    <w:rsid w:val="66650F64"/>
    <w:rsid w:val="667E2026"/>
    <w:rsid w:val="66A15D14"/>
    <w:rsid w:val="66A219E9"/>
    <w:rsid w:val="66B25244"/>
    <w:rsid w:val="66BC2B4E"/>
    <w:rsid w:val="66C37A39"/>
    <w:rsid w:val="66CF2882"/>
    <w:rsid w:val="66E300DB"/>
    <w:rsid w:val="66FA497B"/>
    <w:rsid w:val="67226E55"/>
    <w:rsid w:val="672524A2"/>
    <w:rsid w:val="6759039D"/>
    <w:rsid w:val="67784CC7"/>
    <w:rsid w:val="67BF46A4"/>
    <w:rsid w:val="67D87514"/>
    <w:rsid w:val="67DA3DE0"/>
    <w:rsid w:val="67E60BCD"/>
    <w:rsid w:val="67FA1A5E"/>
    <w:rsid w:val="6804655B"/>
    <w:rsid w:val="68381AF2"/>
    <w:rsid w:val="683C1B91"/>
    <w:rsid w:val="68525518"/>
    <w:rsid w:val="68686AEA"/>
    <w:rsid w:val="688A2F04"/>
    <w:rsid w:val="68907DEF"/>
    <w:rsid w:val="68C76858"/>
    <w:rsid w:val="68E05094"/>
    <w:rsid w:val="69083E29"/>
    <w:rsid w:val="690A5DF3"/>
    <w:rsid w:val="69112CDD"/>
    <w:rsid w:val="69194288"/>
    <w:rsid w:val="69354EFB"/>
    <w:rsid w:val="6937396B"/>
    <w:rsid w:val="693966D8"/>
    <w:rsid w:val="697119CE"/>
    <w:rsid w:val="69BD0841"/>
    <w:rsid w:val="69C75B99"/>
    <w:rsid w:val="69FD14B4"/>
    <w:rsid w:val="6A1D20E9"/>
    <w:rsid w:val="6A211646"/>
    <w:rsid w:val="6A3550F2"/>
    <w:rsid w:val="6A570BC4"/>
    <w:rsid w:val="6A627569"/>
    <w:rsid w:val="6A841BD5"/>
    <w:rsid w:val="6AA33862"/>
    <w:rsid w:val="6AB53B3C"/>
    <w:rsid w:val="6AF24D91"/>
    <w:rsid w:val="6B036F9E"/>
    <w:rsid w:val="6B1B6095"/>
    <w:rsid w:val="6B321631"/>
    <w:rsid w:val="6B562347"/>
    <w:rsid w:val="6B947BF6"/>
    <w:rsid w:val="6B9B71D6"/>
    <w:rsid w:val="6BD6020E"/>
    <w:rsid w:val="6C3F4006"/>
    <w:rsid w:val="6C4E4249"/>
    <w:rsid w:val="6C841DBF"/>
    <w:rsid w:val="6C8C6B1F"/>
    <w:rsid w:val="6CA83959"/>
    <w:rsid w:val="6CAB51F7"/>
    <w:rsid w:val="6CC62031"/>
    <w:rsid w:val="6CCF5389"/>
    <w:rsid w:val="6CE00AAF"/>
    <w:rsid w:val="6D0668D1"/>
    <w:rsid w:val="6D081BFA"/>
    <w:rsid w:val="6D142D9C"/>
    <w:rsid w:val="6D156B14"/>
    <w:rsid w:val="6D1E3C1B"/>
    <w:rsid w:val="6D2C27DC"/>
    <w:rsid w:val="6D2F7BD6"/>
    <w:rsid w:val="6D4573FA"/>
    <w:rsid w:val="6D4A4A10"/>
    <w:rsid w:val="6D5B4E6F"/>
    <w:rsid w:val="6D604233"/>
    <w:rsid w:val="6D785A21"/>
    <w:rsid w:val="6DA82F46"/>
    <w:rsid w:val="6DAF51BB"/>
    <w:rsid w:val="6DD8026E"/>
    <w:rsid w:val="6DDB7D5E"/>
    <w:rsid w:val="6DEE7A91"/>
    <w:rsid w:val="6DF8446C"/>
    <w:rsid w:val="6E0252EB"/>
    <w:rsid w:val="6E1F649C"/>
    <w:rsid w:val="6E3B6A4F"/>
    <w:rsid w:val="6E4C47B8"/>
    <w:rsid w:val="6E6A5F15"/>
    <w:rsid w:val="6E751F61"/>
    <w:rsid w:val="6E9D3265"/>
    <w:rsid w:val="6EA6036C"/>
    <w:rsid w:val="6EA939B8"/>
    <w:rsid w:val="6EAA49ED"/>
    <w:rsid w:val="6EC47C66"/>
    <w:rsid w:val="6ED8604B"/>
    <w:rsid w:val="6EE829FC"/>
    <w:rsid w:val="6EF015E7"/>
    <w:rsid w:val="6F047DDC"/>
    <w:rsid w:val="6F060E0B"/>
    <w:rsid w:val="6F0B4673"/>
    <w:rsid w:val="6F0F4163"/>
    <w:rsid w:val="6F1B2B08"/>
    <w:rsid w:val="6F2A4AF9"/>
    <w:rsid w:val="6F4162E7"/>
    <w:rsid w:val="6F4B2CC1"/>
    <w:rsid w:val="6F525DFE"/>
    <w:rsid w:val="6F5C6C7D"/>
    <w:rsid w:val="6F795A80"/>
    <w:rsid w:val="6F863CF9"/>
    <w:rsid w:val="6F9208F0"/>
    <w:rsid w:val="6F944668"/>
    <w:rsid w:val="6F9B37DF"/>
    <w:rsid w:val="6FAF18CA"/>
    <w:rsid w:val="6FB940CF"/>
    <w:rsid w:val="6FDF4162"/>
    <w:rsid w:val="6FE54EC4"/>
    <w:rsid w:val="6FE56C72"/>
    <w:rsid w:val="6FE729EA"/>
    <w:rsid w:val="6FEB3414"/>
    <w:rsid w:val="7012394F"/>
    <w:rsid w:val="7020414E"/>
    <w:rsid w:val="70473489"/>
    <w:rsid w:val="70775C47"/>
    <w:rsid w:val="70791FDC"/>
    <w:rsid w:val="70BB28C7"/>
    <w:rsid w:val="70C64CF5"/>
    <w:rsid w:val="70CB230C"/>
    <w:rsid w:val="70EE7DA8"/>
    <w:rsid w:val="710D6480"/>
    <w:rsid w:val="71290DE0"/>
    <w:rsid w:val="71306613"/>
    <w:rsid w:val="714F4CEB"/>
    <w:rsid w:val="71526589"/>
    <w:rsid w:val="715916C6"/>
    <w:rsid w:val="71630796"/>
    <w:rsid w:val="716342F2"/>
    <w:rsid w:val="71685DAD"/>
    <w:rsid w:val="717A163C"/>
    <w:rsid w:val="71B44B4E"/>
    <w:rsid w:val="71B763EC"/>
    <w:rsid w:val="71C254BD"/>
    <w:rsid w:val="71C50B09"/>
    <w:rsid w:val="71D90A58"/>
    <w:rsid w:val="71E76CD1"/>
    <w:rsid w:val="72231CD3"/>
    <w:rsid w:val="723C3FAF"/>
    <w:rsid w:val="72C9533D"/>
    <w:rsid w:val="72D54D7C"/>
    <w:rsid w:val="72D57472"/>
    <w:rsid w:val="72E90D7F"/>
    <w:rsid w:val="72FD42D3"/>
    <w:rsid w:val="73215862"/>
    <w:rsid w:val="73261A7B"/>
    <w:rsid w:val="733107D8"/>
    <w:rsid w:val="733B15C3"/>
    <w:rsid w:val="735D2FC3"/>
    <w:rsid w:val="737C169B"/>
    <w:rsid w:val="73974727"/>
    <w:rsid w:val="73A62BBC"/>
    <w:rsid w:val="73BB6668"/>
    <w:rsid w:val="73E51C2F"/>
    <w:rsid w:val="73E80675"/>
    <w:rsid w:val="73EA0CFB"/>
    <w:rsid w:val="73FE47A6"/>
    <w:rsid w:val="74030593"/>
    <w:rsid w:val="740873D3"/>
    <w:rsid w:val="740B2A1F"/>
    <w:rsid w:val="744321B9"/>
    <w:rsid w:val="745D6531"/>
    <w:rsid w:val="74600FBD"/>
    <w:rsid w:val="74640AAD"/>
    <w:rsid w:val="74732A9E"/>
    <w:rsid w:val="748A603A"/>
    <w:rsid w:val="74AE3AD6"/>
    <w:rsid w:val="74D21844"/>
    <w:rsid w:val="74DD362F"/>
    <w:rsid w:val="74EE06F3"/>
    <w:rsid w:val="74FA2AD6"/>
    <w:rsid w:val="750E6C6B"/>
    <w:rsid w:val="751E11CC"/>
    <w:rsid w:val="758F1B5A"/>
    <w:rsid w:val="75BC66C7"/>
    <w:rsid w:val="75D91027"/>
    <w:rsid w:val="760342F6"/>
    <w:rsid w:val="761553FC"/>
    <w:rsid w:val="761E2EDE"/>
    <w:rsid w:val="76437692"/>
    <w:rsid w:val="764A5A81"/>
    <w:rsid w:val="7671125F"/>
    <w:rsid w:val="7671300D"/>
    <w:rsid w:val="767326C2"/>
    <w:rsid w:val="76DD06A3"/>
    <w:rsid w:val="76E539FB"/>
    <w:rsid w:val="76EB7264"/>
    <w:rsid w:val="76FB321F"/>
    <w:rsid w:val="772067E2"/>
    <w:rsid w:val="77342D4E"/>
    <w:rsid w:val="77364257"/>
    <w:rsid w:val="775E5A5C"/>
    <w:rsid w:val="776112D4"/>
    <w:rsid w:val="77664B3C"/>
    <w:rsid w:val="777C4360"/>
    <w:rsid w:val="777D1373"/>
    <w:rsid w:val="77882D05"/>
    <w:rsid w:val="77BF7A05"/>
    <w:rsid w:val="77D45F4A"/>
    <w:rsid w:val="77E141C3"/>
    <w:rsid w:val="77E37F3B"/>
    <w:rsid w:val="77E431A6"/>
    <w:rsid w:val="77FA7033"/>
    <w:rsid w:val="78082C12"/>
    <w:rsid w:val="7819395D"/>
    <w:rsid w:val="785C1A9B"/>
    <w:rsid w:val="78746DE5"/>
    <w:rsid w:val="78782D79"/>
    <w:rsid w:val="78A376CA"/>
    <w:rsid w:val="78EA5EF2"/>
    <w:rsid w:val="79183C14"/>
    <w:rsid w:val="791A5BDE"/>
    <w:rsid w:val="791B3704"/>
    <w:rsid w:val="7924080B"/>
    <w:rsid w:val="79256331"/>
    <w:rsid w:val="794964C4"/>
    <w:rsid w:val="795A422D"/>
    <w:rsid w:val="795F5CE7"/>
    <w:rsid w:val="79805B7D"/>
    <w:rsid w:val="79823784"/>
    <w:rsid w:val="799314ED"/>
    <w:rsid w:val="79B66426"/>
    <w:rsid w:val="79BA191D"/>
    <w:rsid w:val="79BA4CCB"/>
    <w:rsid w:val="79C1605A"/>
    <w:rsid w:val="79D12015"/>
    <w:rsid w:val="79E306C6"/>
    <w:rsid w:val="79F3642F"/>
    <w:rsid w:val="79F857F4"/>
    <w:rsid w:val="7A275176"/>
    <w:rsid w:val="7A320D06"/>
    <w:rsid w:val="7A664E53"/>
    <w:rsid w:val="7A6A04A0"/>
    <w:rsid w:val="7A765096"/>
    <w:rsid w:val="7A7C01D3"/>
    <w:rsid w:val="7AB23BF5"/>
    <w:rsid w:val="7ACF29F8"/>
    <w:rsid w:val="7AD149C3"/>
    <w:rsid w:val="7B0A68E9"/>
    <w:rsid w:val="7B18439F"/>
    <w:rsid w:val="7B220D7A"/>
    <w:rsid w:val="7B227779"/>
    <w:rsid w:val="7B31720F"/>
    <w:rsid w:val="7B334D35"/>
    <w:rsid w:val="7B3B1E3C"/>
    <w:rsid w:val="7B537186"/>
    <w:rsid w:val="7B6431B4"/>
    <w:rsid w:val="7B666459"/>
    <w:rsid w:val="7BB33FCE"/>
    <w:rsid w:val="7C0C5586"/>
    <w:rsid w:val="7C240B22"/>
    <w:rsid w:val="7C43544C"/>
    <w:rsid w:val="7C4F2043"/>
    <w:rsid w:val="7C694787"/>
    <w:rsid w:val="7C6E6F3C"/>
    <w:rsid w:val="7C6F4493"/>
    <w:rsid w:val="7C745605"/>
    <w:rsid w:val="7C7E0232"/>
    <w:rsid w:val="7CAB4D9F"/>
    <w:rsid w:val="7CBE4AD3"/>
    <w:rsid w:val="7CC55E61"/>
    <w:rsid w:val="7CCD4D16"/>
    <w:rsid w:val="7CD442F6"/>
    <w:rsid w:val="7CD460A4"/>
    <w:rsid w:val="7D056BA5"/>
    <w:rsid w:val="7D08288D"/>
    <w:rsid w:val="7D252DA4"/>
    <w:rsid w:val="7D397EFB"/>
    <w:rsid w:val="7D3D5EB1"/>
    <w:rsid w:val="7D3F0F13"/>
    <w:rsid w:val="7D4F0E01"/>
    <w:rsid w:val="7D5471E5"/>
    <w:rsid w:val="7D586CD5"/>
    <w:rsid w:val="7D6722A4"/>
    <w:rsid w:val="7D692C90"/>
    <w:rsid w:val="7D853842"/>
    <w:rsid w:val="7D8555F0"/>
    <w:rsid w:val="7DA4016C"/>
    <w:rsid w:val="7DA77C5D"/>
    <w:rsid w:val="7DB859C6"/>
    <w:rsid w:val="7DB879A9"/>
    <w:rsid w:val="7DC9372F"/>
    <w:rsid w:val="7DE40569"/>
    <w:rsid w:val="7DEC4B84"/>
    <w:rsid w:val="7DF12C86"/>
    <w:rsid w:val="7DF74740"/>
    <w:rsid w:val="7E114D79"/>
    <w:rsid w:val="7E1939E8"/>
    <w:rsid w:val="7E1C7D03"/>
    <w:rsid w:val="7E1F3C97"/>
    <w:rsid w:val="7E2B6198"/>
    <w:rsid w:val="7E350DC4"/>
    <w:rsid w:val="7E4F632A"/>
    <w:rsid w:val="7E682F48"/>
    <w:rsid w:val="7E747B3F"/>
    <w:rsid w:val="7E7A2C7B"/>
    <w:rsid w:val="7E801D18"/>
    <w:rsid w:val="7E90249F"/>
    <w:rsid w:val="7EBC14E6"/>
    <w:rsid w:val="7EC108AA"/>
    <w:rsid w:val="7ED93E46"/>
    <w:rsid w:val="7EED306E"/>
    <w:rsid w:val="7F032C71"/>
    <w:rsid w:val="7F0D7F93"/>
    <w:rsid w:val="7F21759B"/>
    <w:rsid w:val="7F280963"/>
    <w:rsid w:val="7F511C2E"/>
    <w:rsid w:val="7F622BF8"/>
    <w:rsid w:val="7F8567C3"/>
    <w:rsid w:val="7F86582B"/>
    <w:rsid w:val="7F8C516B"/>
    <w:rsid w:val="7FA77AA0"/>
    <w:rsid w:val="7FB328E9"/>
    <w:rsid w:val="7FDB599C"/>
    <w:rsid w:val="7FE72592"/>
    <w:rsid w:val="7FF6458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6"/>
    <w:qFormat/>
    <w:uiPriority w:val="0"/>
    <w:pPr>
      <w:spacing w:line="240" w:lineRule="auto"/>
    </w:pPr>
    <w:rPr>
      <w:rFonts w:asciiTheme="minorHAnsi" w:hAnsiTheme="minorHAnsi" w:eastAsiaTheme="minorEastAsia"/>
      <w:sz w:val="21"/>
      <w:szCs w:val="24"/>
    </w:rPr>
  </w:style>
  <w:style w:type="paragraph" w:styleId="10">
    <w:name w:val="Body Text 3"/>
    <w:basedOn w:val="1"/>
    <w:link w:val="42"/>
    <w:semiHidden/>
    <w:unhideWhenUsed/>
    <w:qFormat/>
    <w:uiPriority w:val="99"/>
    <w:pPr>
      <w:spacing w:after="120"/>
    </w:pPr>
    <w:rPr>
      <w:sz w:val="16"/>
      <w:szCs w:val="16"/>
    </w:rPr>
  </w:style>
  <w:style w:type="paragraph" w:styleId="11">
    <w:name w:val="Body Text"/>
    <w:basedOn w:val="1"/>
    <w:link w:val="41"/>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unhideWhenUsed/>
    <w:qFormat/>
    <w:uiPriority w:val="0"/>
    <w:pPr>
      <w:ind w:firstLine="630"/>
    </w:pPr>
    <w:rPr>
      <w:rFonts w:eastAsia="仿宋_GB2312"/>
      <w:kern w:val="0"/>
      <w:sz w:val="32"/>
      <w:szCs w:val="20"/>
    </w:rPr>
  </w:style>
  <w:style w:type="paragraph" w:styleId="13">
    <w:name w:val="toc 5"/>
    <w:basedOn w:val="1"/>
    <w:next w:val="1"/>
    <w:autoRedefine/>
    <w:unhideWhenUsed/>
    <w:qFormat/>
    <w:uiPriority w:val="39"/>
    <w:pPr>
      <w:ind w:left="960"/>
    </w:pPr>
    <w:rPr>
      <w:rFonts w:asciiTheme="minorHAnsi" w:eastAsiaTheme="minorHAnsi"/>
      <w:sz w:val="18"/>
      <w:szCs w:val="18"/>
    </w:rPr>
  </w:style>
  <w:style w:type="paragraph" w:styleId="14">
    <w:name w:val="toc 3"/>
    <w:basedOn w:val="1"/>
    <w:next w:val="1"/>
    <w:autoRedefine/>
    <w:unhideWhenUsed/>
    <w:qFormat/>
    <w:uiPriority w:val="39"/>
    <w:pPr>
      <w:ind w:left="480"/>
    </w:pPr>
    <w:rPr>
      <w:rFonts w:asciiTheme="minorHAnsi" w:eastAsiaTheme="minorHAnsi"/>
      <w:i/>
      <w:iCs/>
      <w:sz w:val="20"/>
      <w:szCs w:val="20"/>
    </w:rPr>
  </w:style>
  <w:style w:type="paragraph" w:styleId="15">
    <w:name w:val="Plain Text"/>
    <w:basedOn w:val="1"/>
    <w:unhideWhenUsed/>
    <w:qFormat/>
    <w:uiPriority w:val="0"/>
    <w:rPr>
      <w:rFonts w:ascii="宋体" w:hAnsi="Courier New"/>
      <w:kern w:val="0"/>
      <w:sz w:val="20"/>
      <w:szCs w:val="20"/>
    </w:rPr>
  </w:style>
  <w:style w:type="paragraph" w:styleId="16">
    <w:name w:val="toc 8"/>
    <w:basedOn w:val="1"/>
    <w:next w:val="1"/>
    <w:autoRedefine/>
    <w:unhideWhenUsed/>
    <w:qFormat/>
    <w:uiPriority w:val="39"/>
    <w:pPr>
      <w:ind w:left="1680"/>
    </w:pPr>
    <w:rPr>
      <w:rFonts w:asciiTheme="minorHAnsi" w:eastAsiaTheme="minorHAnsi"/>
      <w:sz w:val="18"/>
      <w:szCs w:val="18"/>
    </w:rPr>
  </w:style>
  <w:style w:type="paragraph" w:styleId="17">
    <w:name w:val="footer"/>
    <w:basedOn w:val="1"/>
    <w:link w:val="36"/>
    <w:unhideWhenUsed/>
    <w:qFormat/>
    <w:uiPriority w:val="99"/>
    <w:pPr>
      <w:tabs>
        <w:tab w:val="center" w:pos="4153"/>
        <w:tab w:val="right" w:pos="8306"/>
      </w:tabs>
      <w:snapToGrid w:val="0"/>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0">
    <w:name w:val="toc 4"/>
    <w:basedOn w:val="1"/>
    <w:next w:val="1"/>
    <w:autoRedefine/>
    <w:unhideWhenUsed/>
    <w:qFormat/>
    <w:uiPriority w:val="39"/>
    <w:pPr>
      <w:ind w:left="720"/>
    </w:pPr>
    <w:rPr>
      <w:rFonts w:asciiTheme="minorHAnsi" w:eastAsiaTheme="minorHAnsi"/>
      <w:sz w:val="18"/>
      <w:szCs w:val="18"/>
    </w:rPr>
  </w:style>
  <w:style w:type="paragraph" w:styleId="21">
    <w:name w:val="footnote text"/>
    <w:basedOn w:val="1"/>
    <w:qFormat/>
    <w:uiPriority w:val="0"/>
    <w:pPr>
      <w:widowControl/>
      <w:jc w:val="left"/>
    </w:pPr>
    <w:rPr>
      <w:kern w:val="0"/>
      <w:sz w:val="20"/>
      <w:szCs w:val="20"/>
      <w:lang w:val="de-DE"/>
    </w:rPr>
  </w:style>
  <w:style w:type="paragraph" w:styleId="22">
    <w:name w:val="toc 6"/>
    <w:basedOn w:val="1"/>
    <w:next w:val="1"/>
    <w:autoRedefine/>
    <w:unhideWhenUsed/>
    <w:qFormat/>
    <w:uiPriority w:val="39"/>
    <w:pPr>
      <w:ind w:left="1200"/>
    </w:pPr>
    <w:rPr>
      <w:rFonts w:asciiTheme="minorHAnsi" w:eastAsiaTheme="minorHAnsi"/>
      <w:sz w:val="18"/>
      <w:szCs w:val="18"/>
    </w:rPr>
  </w:style>
  <w:style w:type="paragraph" w:styleId="23">
    <w:name w:val="toc 2"/>
    <w:basedOn w:val="1"/>
    <w:next w:val="1"/>
    <w:autoRedefine/>
    <w:unhideWhenUsed/>
    <w:qFormat/>
    <w:uiPriority w:val="39"/>
    <w:pPr>
      <w:ind w:left="240"/>
    </w:pPr>
    <w:rPr>
      <w:rFonts w:asciiTheme="minorHAnsi" w:eastAsiaTheme="minorHAnsi"/>
      <w:smallCaps/>
      <w:sz w:val="20"/>
      <w:szCs w:val="20"/>
    </w:rPr>
  </w:style>
  <w:style w:type="paragraph" w:styleId="24">
    <w:name w:val="toc 9"/>
    <w:basedOn w:val="1"/>
    <w:next w:val="1"/>
    <w:autoRedefine/>
    <w:unhideWhenUsed/>
    <w:qFormat/>
    <w:uiPriority w:val="39"/>
    <w:pPr>
      <w:ind w:left="1920"/>
    </w:pPr>
    <w:rPr>
      <w:rFonts w:asciiTheme="minorHAnsi" w:eastAsiaTheme="minorHAnsi"/>
      <w:sz w:val="18"/>
      <w:szCs w:val="18"/>
    </w:rPr>
  </w:style>
  <w:style w:type="paragraph" w:styleId="25">
    <w:name w:val="Normal (Web)"/>
    <w:basedOn w:val="1"/>
    <w:qFormat/>
    <w:uiPriority w:val="0"/>
    <w:pPr>
      <w:widowControl/>
      <w:spacing w:before="100" w:beforeAutospacing="1" w:after="100" w:afterAutospacing="1" w:line="240" w:lineRule="auto"/>
    </w:pPr>
    <w:rPr>
      <w:rFonts w:cs="宋体"/>
      <w:kern w:val="0"/>
      <w:szCs w:val="20"/>
    </w:rPr>
  </w:style>
  <w:style w:type="paragraph" w:styleId="26">
    <w:name w:val="annotation subject"/>
    <w:basedOn w:val="9"/>
    <w:next w:val="9"/>
    <w:link w:val="51"/>
    <w:semiHidden/>
    <w:unhideWhenUsed/>
    <w:qFormat/>
    <w:uiPriority w:val="99"/>
    <w:pPr>
      <w:spacing w:line="360" w:lineRule="auto"/>
    </w:pPr>
    <w:rPr>
      <w:rFonts w:ascii="宋体" w:hAnsi="宋体" w:eastAsia="宋体"/>
      <w:b/>
      <w:bCs/>
      <w:sz w:val="24"/>
      <w:szCs w:val="22"/>
    </w:rPr>
  </w:style>
  <w:style w:type="paragraph" w:styleId="27">
    <w:name w:val="Body Text First Indent"/>
    <w:basedOn w:val="11"/>
    <w:qFormat/>
    <w:uiPriority w:val="99"/>
    <w:pPr>
      <w:spacing w:after="120"/>
      <w:ind w:firstLine="420" w:firstLineChars="1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正文缩进2"/>
    <w:basedOn w:val="1"/>
    <w:qFormat/>
    <w:uiPriority w:val="0"/>
    <w:pPr>
      <w:wordWrap w:val="0"/>
      <w:ind w:firstLine="200" w:firstLineChars="200"/>
    </w:pPr>
  </w:style>
  <w:style w:type="character" w:customStyle="1" w:styleId="35">
    <w:name w:val="页眉 字符"/>
    <w:basedOn w:val="30"/>
    <w:link w:val="18"/>
    <w:qFormat/>
    <w:uiPriority w:val="99"/>
    <w:rPr>
      <w:rFonts w:eastAsia="宋体"/>
      <w:sz w:val="18"/>
      <w:szCs w:val="18"/>
    </w:rPr>
  </w:style>
  <w:style w:type="character" w:customStyle="1" w:styleId="36">
    <w:name w:val="页脚 字符"/>
    <w:basedOn w:val="30"/>
    <w:link w:val="17"/>
    <w:qFormat/>
    <w:uiPriority w:val="99"/>
    <w:rPr>
      <w:rFonts w:eastAsia="宋体"/>
      <w:sz w:val="18"/>
      <w:szCs w:val="18"/>
    </w:rPr>
  </w:style>
  <w:style w:type="character" w:customStyle="1" w:styleId="37">
    <w:name w:val="标题 1 字符"/>
    <w:basedOn w:val="30"/>
    <w:link w:val="2"/>
    <w:qFormat/>
    <w:uiPriority w:val="9"/>
    <w:rPr>
      <w:rFonts w:ascii="宋体" w:hAnsi="宋体" w:eastAsia="黑体"/>
      <w:b/>
      <w:bCs/>
      <w:kern w:val="44"/>
      <w:sz w:val="44"/>
      <w:szCs w:val="44"/>
    </w:rPr>
  </w:style>
  <w:style w:type="paragraph" w:styleId="38">
    <w:name w:val="List Paragraph"/>
    <w:basedOn w:val="1"/>
    <w:link w:val="47"/>
    <w:qFormat/>
    <w:uiPriority w:val="34"/>
    <w:pPr>
      <w:ind w:firstLine="420" w:firstLineChars="200"/>
    </w:pPr>
  </w:style>
  <w:style w:type="character" w:customStyle="1" w:styleId="39">
    <w:name w:val="标题 2 字符"/>
    <w:basedOn w:val="30"/>
    <w:link w:val="3"/>
    <w:qFormat/>
    <w:uiPriority w:val="9"/>
    <w:rPr>
      <w:rFonts w:eastAsia="宋体" w:asciiTheme="majorHAnsi" w:hAnsiTheme="majorHAnsi" w:cstheme="majorBidi"/>
      <w:b/>
      <w:bCs/>
      <w:sz w:val="32"/>
      <w:szCs w:val="32"/>
    </w:rPr>
  </w:style>
  <w:style w:type="character" w:customStyle="1" w:styleId="40">
    <w:name w:val="未处理的提及1"/>
    <w:basedOn w:val="30"/>
    <w:semiHidden/>
    <w:unhideWhenUsed/>
    <w:qFormat/>
    <w:uiPriority w:val="99"/>
    <w:rPr>
      <w:color w:val="605E5C"/>
      <w:shd w:val="clear" w:color="auto" w:fill="E1DFDD"/>
    </w:rPr>
  </w:style>
  <w:style w:type="character" w:customStyle="1" w:styleId="41">
    <w:name w:val="正文文本 字符"/>
    <w:basedOn w:val="30"/>
    <w:link w:val="11"/>
    <w:qFormat/>
    <w:uiPriority w:val="99"/>
    <w:rPr>
      <w:rFonts w:ascii="Times New Roman" w:hAnsi="Times New Roman" w:eastAsia="宋体" w:cs="Times New Roman"/>
      <w:kern w:val="0"/>
      <w:sz w:val="20"/>
      <w:szCs w:val="20"/>
    </w:rPr>
  </w:style>
  <w:style w:type="character" w:customStyle="1" w:styleId="42">
    <w:name w:val="正文文本 3 字符"/>
    <w:basedOn w:val="30"/>
    <w:link w:val="10"/>
    <w:semiHidden/>
    <w:qFormat/>
    <w:uiPriority w:val="99"/>
    <w:rPr>
      <w:rFonts w:ascii="宋体" w:hAnsi="宋体" w:eastAsia="宋体"/>
      <w:sz w:val="16"/>
      <w:szCs w:val="16"/>
    </w:rPr>
  </w:style>
  <w:style w:type="paragraph" w:customStyle="1" w:styleId="43">
    <w:name w:val="Default"/>
    <w:link w:val="4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Default Char Char"/>
    <w:link w:val="43"/>
    <w:qFormat/>
    <w:uiPriority w:val="0"/>
    <w:rPr>
      <w:rFonts w:ascii=".." w:hAnsi="Times New Roman" w:eastAsia=".." w:cs="Times New Roman"/>
      <w:color w:val="000000"/>
      <w:kern w:val="0"/>
      <w:sz w:val="24"/>
      <w:szCs w:val="24"/>
    </w:rPr>
  </w:style>
  <w:style w:type="paragraph" w:styleId="45">
    <w:name w:val="No Spacing"/>
    <w:link w:val="50"/>
    <w:qFormat/>
    <w:uiPriority w:val="1"/>
    <w:pPr>
      <w:widowControl w:val="0"/>
    </w:pPr>
    <w:rPr>
      <w:rFonts w:ascii="宋体" w:hAnsi="宋体" w:eastAsia="宋体" w:cstheme="minorBidi"/>
      <w:kern w:val="2"/>
      <w:sz w:val="21"/>
      <w:szCs w:val="22"/>
      <w:lang w:val="en-US" w:eastAsia="zh-CN" w:bidi="ar-SA"/>
    </w:rPr>
  </w:style>
  <w:style w:type="character" w:customStyle="1" w:styleId="46">
    <w:name w:val="批注文字 字符"/>
    <w:basedOn w:val="30"/>
    <w:link w:val="9"/>
    <w:qFormat/>
    <w:uiPriority w:val="0"/>
    <w:rPr>
      <w:szCs w:val="24"/>
    </w:rPr>
  </w:style>
  <w:style w:type="character" w:customStyle="1" w:styleId="47">
    <w:name w:val="列表段落 字符"/>
    <w:link w:val="38"/>
    <w:qFormat/>
    <w:uiPriority w:val="34"/>
    <w:rPr>
      <w:rFonts w:ascii="宋体" w:hAnsi="宋体" w:eastAsia="宋体"/>
      <w:sz w:val="24"/>
    </w:rPr>
  </w:style>
  <w:style w:type="character" w:customStyle="1" w:styleId="48">
    <w:name w:val="标题 3 字符"/>
    <w:basedOn w:val="30"/>
    <w:link w:val="4"/>
    <w:autoRedefine/>
    <w:qFormat/>
    <w:uiPriority w:val="9"/>
    <w:rPr>
      <w:rFonts w:ascii="宋体" w:hAnsi="宋体" w:eastAsia="宋体"/>
      <w:b/>
      <w:bCs/>
      <w:sz w:val="32"/>
      <w:szCs w:val="32"/>
    </w:rPr>
  </w:style>
  <w:style w:type="character" w:customStyle="1" w:styleId="49">
    <w:name w:val="标题 4 字符"/>
    <w:basedOn w:val="30"/>
    <w:link w:val="5"/>
    <w:autoRedefine/>
    <w:qFormat/>
    <w:uiPriority w:val="9"/>
    <w:rPr>
      <w:rFonts w:eastAsia="宋体" w:asciiTheme="majorHAnsi" w:hAnsiTheme="majorHAnsi" w:cstheme="majorBidi"/>
      <w:b/>
      <w:bCs/>
      <w:sz w:val="28"/>
      <w:szCs w:val="28"/>
    </w:rPr>
  </w:style>
  <w:style w:type="character" w:customStyle="1" w:styleId="50">
    <w:name w:val="无间隔 字符"/>
    <w:link w:val="45"/>
    <w:qFormat/>
    <w:uiPriority w:val="1"/>
    <w:rPr>
      <w:rFonts w:ascii="宋体" w:hAnsi="宋体" w:eastAsia="宋体"/>
    </w:rPr>
  </w:style>
  <w:style w:type="character" w:customStyle="1" w:styleId="51">
    <w:name w:val="批注主题 字符"/>
    <w:basedOn w:val="46"/>
    <w:link w:val="26"/>
    <w:semiHidden/>
    <w:qFormat/>
    <w:uiPriority w:val="99"/>
    <w:rPr>
      <w:rFonts w:ascii="宋体" w:hAnsi="宋体" w:eastAsia="宋体"/>
      <w:b/>
      <w:bCs/>
      <w:kern w:val="2"/>
      <w:sz w:val="24"/>
      <w:szCs w:val="22"/>
    </w:rPr>
  </w:style>
  <w:style w:type="paragraph" w:customStyle="1" w:styleId="5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4">
    <w:name w:val="正文1"/>
    <w:autoRedefine/>
    <w:qFormat/>
    <w:uiPriority w:val="0"/>
    <w:pPr>
      <w:widowControl w:val="0"/>
      <w:jc w:val="both"/>
    </w:pPr>
    <w:rPr>
      <w:rFonts w:ascii="Calibri" w:hAnsi="Calibri" w:eastAsia="宋体" w:cs="Times New Roman"/>
      <w:lang w:val="en-US" w:eastAsia="zh-CN" w:bidi="ar-SA"/>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9">
    <w:name w:val="列出段落1"/>
    <w:basedOn w:val="1"/>
    <w:autoRedefine/>
    <w:qFormat/>
    <w:uiPriority w:val="0"/>
    <w:pPr>
      <w:ind w:firstLine="420" w:firstLineChars="200"/>
    </w:pPr>
    <w:rPr>
      <w:szCs w:val="21"/>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Char Char Char Char Char Char Char1 Char"/>
    <w:basedOn w:val="1"/>
    <w:autoRedefine/>
    <w:qFormat/>
    <w:uiPriority w:val="0"/>
    <w:rPr>
      <w:rFonts w:ascii="Arial" w:hAnsi="Arial" w:eastAsia="宋体" w:cs="Arial"/>
      <w:sz w:val="24"/>
    </w:rPr>
  </w:style>
  <w:style w:type="paragraph" w:customStyle="1" w:styleId="6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3">
    <w:name w:val="Default Text"/>
    <w:basedOn w:val="1"/>
    <w:qFormat/>
    <w:uiPriority w:val="0"/>
    <w:pPr>
      <w:autoSpaceDE w:val="0"/>
      <w:autoSpaceDN w:val="0"/>
      <w:adjustRightInd w:val="0"/>
      <w:jc w:val="left"/>
    </w:pPr>
    <w:rPr>
      <w:rFonts w:ascii="Helvetica" w:hAnsi="Helvetica"/>
      <w:kern w:val="0"/>
      <w:sz w:val="22"/>
    </w:rPr>
  </w:style>
  <w:style w:type="paragraph" w:customStyle="1" w:styleId="64">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66">
    <w:name w:val="Normal_3"/>
    <w:autoRedefine/>
    <w:qFormat/>
    <w:uiPriority w:val="0"/>
    <w:rPr>
      <w:rFonts w:ascii="黑体" w:hAnsi="黑体" w:eastAsia="黑体" w:cs="Times New Roman"/>
      <w:b/>
      <w:sz w:val="32"/>
      <w:szCs w:val="24"/>
      <w:lang w:val="en-US" w:eastAsia="zh-CN" w:bidi="ar-SA"/>
    </w:rPr>
  </w:style>
  <w:style w:type="paragraph" w:customStyle="1" w:styleId="67">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0_0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26203</Words>
  <Characters>28201</Characters>
  <Lines>294</Lines>
  <Paragraphs>82</Paragraphs>
  <TotalTime>8</TotalTime>
  <ScaleCrop>false</ScaleCrop>
  <LinksUpToDate>false</LinksUpToDate>
  <CharactersWithSpaces>29165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天亮了</cp:lastModifiedBy>
  <cp:lastPrinted>2025-03-18T03:27:00Z</cp:lastPrinted>
  <dcterms:modified xsi:type="dcterms:W3CDTF">2026-06-12T04:22:03Z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004F7C0D4A764284A8AE01A75DAA14D2_13</vt:lpwstr>
  </property>
  <property fmtid="{D5CDD505-2E9C-101B-9397-08002B2CF9AE}" pid="4" name="KSOTemplateDocerSaveRecord">
    <vt:lpwstr>eyJoZGlkIjoiNjcyNGM0ZWQ4YjEwMDE1MjU4OWFlOGU0MjA3MjFiZjEiLCJ1c2VySWQiOiIyODk0OTk0OTUifQ==</vt:lpwstr>
  </property>
</Properties>
</file>