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3A54E">
      <w:pPr>
        <w:pStyle w:val="37"/>
        <w:ind w:left="0" w:leftChars="0" w:firstLine="0" w:firstLineChars="0"/>
        <w:rPr>
          <w:rFonts w:hint="eastAsia"/>
          <w:color w:val="auto"/>
          <w:sz w:val="28"/>
          <w:szCs w:val="28"/>
          <w:highlight w:val="none"/>
          <w:lang w:val="en-US" w:eastAsia="zh-CN"/>
        </w:rPr>
      </w:pPr>
    </w:p>
    <w:p w14:paraId="152B6297">
      <w:pPr>
        <w:pStyle w:val="17"/>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伊犁哈萨克自治州奎屯医院污水处理站外包服务项目</w:t>
      </w:r>
    </w:p>
    <w:p w14:paraId="545A19FB">
      <w:pPr>
        <w:pStyle w:val="17"/>
        <w:jc w:val="center"/>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w:t>
      </w:r>
      <w:r>
        <w:rPr>
          <w:rFonts w:hint="eastAsia" w:ascii="宋体" w:hAnsi="宋体" w:eastAsia="宋体" w:cs="宋体"/>
          <w:b w:val="0"/>
          <w:bCs/>
          <w:color w:val="auto"/>
          <w:sz w:val="32"/>
          <w:szCs w:val="32"/>
          <w:highlight w:val="none"/>
        </w:rPr>
        <w:t>项目编号：XJJM[2026]-108</w:t>
      </w:r>
      <w:r>
        <w:rPr>
          <w:rFonts w:hint="eastAsia" w:ascii="宋体" w:hAnsi="宋体" w:eastAsia="宋体" w:cs="宋体"/>
          <w:b w:val="0"/>
          <w:bCs/>
          <w:color w:val="auto"/>
          <w:sz w:val="32"/>
          <w:szCs w:val="32"/>
          <w:highlight w:val="none"/>
          <w:lang w:eastAsia="zh-CN"/>
        </w:rPr>
        <w:t>）</w:t>
      </w:r>
    </w:p>
    <w:p w14:paraId="26A699E0">
      <w:pPr>
        <w:pStyle w:val="17"/>
        <w:rPr>
          <w:rFonts w:hint="eastAsia" w:ascii="宋体" w:hAnsi="宋体" w:eastAsia="宋体" w:cs="宋体"/>
          <w:b/>
          <w:bCs/>
          <w:color w:val="auto"/>
          <w:sz w:val="36"/>
          <w:szCs w:val="36"/>
          <w:highlight w:val="none"/>
          <w:lang w:val="en-US" w:eastAsia="zh-CN"/>
        </w:rPr>
      </w:pPr>
    </w:p>
    <w:p w14:paraId="57EA1A20">
      <w:pPr>
        <w:pStyle w:val="37"/>
        <w:rPr>
          <w:rFonts w:hint="eastAsia" w:ascii="宋体" w:hAnsi="宋体" w:eastAsia="宋体" w:cs="宋体"/>
          <w:b/>
          <w:bCs/>
          <w:color w:val="auto"/>
          <w:sz w:val="36"/>
          <w:szCs w:val="36"/>
          <w:highlight w:val="none"/>
          <w:lang w:val="en-US" w:eastAsia="zh-CN"/>
        </w:rPr>
      </w:pPr>
    </w:p>
    <w:p w14:paraId="26918B9F">
      <w:pPr>
        <w:pStyle w:val="37"/>
        <w:rPr>
          <w:rFonts w:hint="eastAsia" w:ascii="宋体" w:hAnsi="宋体" w:eastAsia="宋体" w:cs="宋体"/>
          <w:b/>
          <w:bCs/>
          <w:color w:val="auto"/>
          <w:sz w:val="36"/>
          <w:szCs w:val="36"/>
          <w:highlight w:val="none"/>
          <w:lang w:val="en-US" w:eastAsia="zh-CN"/>
        </w:rPr>
      </w:pPr>
    </w:p>
    <w:p w14:paraId="583AC9FE">
      <w:pPr>
        <w:pStyle w:val="37"/>
        <w:rPr>
          <w:rFonts w:hint="eastAsia" w:ascii="宋体" w:hAnsi="宋体" w:eastAsia="宋体" w:cs="宋体"/>
          <w:b/>
          <w:bCs/>
          <w:color w:val="auto"/>
          <w:sz w:val="36"/>
          <w:szCs w:val="36"/>
          <w:highlight w:val="none"/>
          <w:lang w:val="en-US" w:eastAsia="zh-CN"/>
        </w:rPr>
      </w:pPr>
    </w:p>
    <w:p w14:paraId="36956AEC">
      <w:pPr>
        <w:pStyle w:val="37"/>
        <w:rPr>
          <w:rFonts w:hint="eastAsia" w:ascii="宋体" w:hAnsi="宋体" w:eastAsia="宋体" w:cs="宋体"/>
          <w:b/>
          <w:bCs/>
          <w:color w:val="auto"/>
          <w:sz w:val="36"/>
          <w:szCs w:val="36"/>
          <w:highlight w:val="none"/>
          <w:lang w:val="en-US" w:eastAsia="zh-CN"/>
        </w:rPr>
      </w:pPr>
    </w:p>
    <w:p w14:paraId="281ECC9C">
      <w:pPr>
        <w:jc w:val="center"/>
        <w:rPr>
          <w:rFonts w:hint="default" w:ascii="黑体" w:hAnsi="黑体" w:eastAsia="黑体"/>
          <w:i w:val="0"/>
          <w:iCs w:val="0"/>
          <w:color w:val="auto"/>
          <w:sz w:val="72"/>
          <w:szCs w:val="72"/>
          <w:highlight w:val="none"/>
          <w:lang w:val="en-US" w:eastAsia="zh-CN"/>
        </w:rPr>
      </w:pPr>
      <w:r>
        <w:rPr>
          <w:rFonts w:hint="eastAsia" w:ascii="黑体" w:hAnsi="黑体" w:eastAsia="黑体"/>
          <w:i w:val="0"/>
          <w:iCs w:val="0"/>
          <w:color w:val="auto"/>
          <w:sz w:val="72"/>
          <w:szCs w:val="72"/>
          <w:highlight w:val="none"/>
          <w:lang w:val="en-US" w:eastAsia="zh-CN"/>
        </w:rPr>
        <w:t>竞争性磋商文件</w:t>
      </w:r>
    </w:p>
    <w:p w14:paraId="00797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服务</w:t>
      </w:r>
      <w:r>
        <w:rPr>
          <w:rFonts w:hint="eastAsia" w:ascii="宋体" w:hAnsi="宋体" w:cs="宋体"/>
          <w:color w:val="auto"/>
          <w:sz w:val="32"/>
          <w:szCs w:val="32"/>
          <w:highlight w:val="none"/>
          <w:lang w:eastAsia="zh-CN"/>
        </w:rPr>
        <w:t>类）</w:t>
      </w:r>
    </w:p>
    <w:p w14:paraId="6005E33B">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color w:val="auto"/>
          <w:sz w:val="28"/>
          <w:szCs w:val="28"/>
          <w:highlight w:val="none"/>
        </w:rPr>
      </w:pPr>
    </w:p>
    <w:p w14:paraId="546FEBA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p>
    <w:p w14:paraId="6179091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p>
    <w:p w14:paraId="48BF127A">
      <w:pPr>
        <w:pStyle w:val="17"/>
        <w:keepNext w:val="0"/>
        <w:keepLines w:val="0"/>
        <w:pageBreakBefore w:val="0"/>
        <w:widowControl w:val="0"/>
        <w:kinsoku/>
        <w:wordWrap/>
        <w:overflowPunct/>
        <w:topLinePunct w:val="0"/>
        <w:bidi w:val="0"/>
        <w:adjustRightInd/>
        <w:snapToGrid w:val="0"/>
        <w:spacing w:after="0" w:line="440" w:lineRule="exact"/>
        <w:textAlignment w:val="auto"/>
        <w:rPr>
          <w:rFonts w:hint="eastAsia" w:ascii="宋体" w:hAnsi="宋体" w:eastAsia="宋体" w:cs="宋体"/>
          <w:color w:val="auto"/>
          <w:sz w:val="28"/>
          <w:szCs w:val="28"/>
          <w:highlight w:val="none"/>
        </w:rPr>
      </w:pPr>
    </w:p>
    <w:p w14:paraId="035FE775">
      <w:pPr>
        <w:pStyle w:val="49"/>
        <w:keepNext w:val="0"/>
        <w:keepLines w:val="0"/>
        <w:pageBreakBefore w:val="0"/>
        <w:widowControl w:val="0"/>
        <w:kinsoku/>
        <w:wordWrap/>
        <w:overflowPunct/>
        <w:topLinePunct w:val="0"/>
        <w:bidi w:val="0"/>
        <w:adjustRightInd/>
        <w:snapToGrid w:val="0"/>
        <w:spacing w:line="440" w:lineRule="exact"/>
        <w:textAlignment w:val="auto"/>
        <w:rPr>
          <w:rFonts w:hint="eastAsia" w:ascii="宋体" w:hAnsi="宋体" w:eastAsia="宋体" w:cs="宋体"/>
          <w:color w:val="auto"/>
          <w:sz w:val="28"/>
          <w:szCs w:val="28"/>
          <w:highlight w:val="none"/>
        </w:rPr>
      </w:pPr>
    </w:p>
    <w:p w14:paraId="2B7260AA">
      <w:pPr>
        <w:pStyle w:val="50"/>
        <w:rPr>
          <w:rFonts w:hint="eastAsia" w:ascii="宋体" w:hAnsi="宋体" w:eastAsia="宋体" w:cs="宋体"/>
          <w:color w:val="auto"/>
          <w:sz w:val="28"/>
          <w:szCs w:val="28"/>
          <w:highlight w:val="none"/>
        </w:rPr>
      </w:pPr>
    </w:p>
    <w:p w14:paraId="457C5DB8">
      <w:pPr>
        <w:pStyle w:val="38"/>
        <w:rPr>
          <w:rFonts w:hint="eastAsia" w:ascii="宋体" w:hAnsi="宋体" w:eastAsia="宋体" w:cs="宋体"/>
          <w:color w:val="auto"/>
          <w:sz w:val="28"/>
          <w:szCs w:val="28"/>
          <w:highlight w:val="none"/>
        </w:rPr>
      </w:pPr>
    </w:p>
    <w:p w14:paraId="6A2FEF8B">
      <w:pPr>
        <w:pStyle w:val="38"/>
        <w:ind w:left="0" w:leftChars="0" w:firstLine="0" w:firstLineChars="0"/>
        <w:rPr>
          <w:rFonts w:hint="eastAsia" w:ascii="宋体" w:hAnsi="宋体" w:eastAsia="宋体" w:cs="宋体"/>
          <w:color w:val="auto"/>
          <w:sz w:val="28"/>
          <w:szCs w:val="28"/>
          <w:highlight w:val="none"/>
        </w:rPr>
      </w:pPr>
    </w:p>
    <w:p w14:paraId="1A7043CC">
      <w:pPr>
        <w:pStyle w:val="38"/>
        <w:rPr>
          <w:rFonts w:hint="eastAsia" w:ascii="宋体" w:hAnsi="宋体" w:eastAsia="宋体" w:cs="宋体"/>
          <w:color w:val="auto"/>
          <w:sz w:val="28"/>
          <w:szCs w:val="28"/>
          <w:highlight w:val="none"/>
        </w:rPr>
      </w:pPr>
    </w:p>
    <w:p w14:paraId="709397DA">
      <w:pPr>
        <w:pStyle w:val="49"/>
        <w:keepNext w:val="0"/>
        <w:keepLines w:val="0"/>
        <w:pageBreakBefore w:val="0"/>
        <w:widowControl w:val="0"/>
        <w:kinsoku/>
        <w:wordWrap/>
        <w:overflowPunct/>
        <w:topLinePunct w:val="0"/>
        <w:bidi w:val="0"/>
        <w:adjustRightInd/>
        <w:snapToGrid w:val="0"/>
        <w:spacing w:line="440" w:lineRule="exact"/>
        <w:textAlignment w:val="auto"/>
        <w:rPr>
          <w:rFonts w:hint="eastAsia" w:ascii="宋体" w:hAnsi="宋体" w:eastAsia="宋体" w:cs="宋体"/>
          <w:color w:val="auto"/>
          <w:sz w:val="15"/>
          <w:szCs w:val="15"/>
          <w:highlight w:val="none"/>
        </w:rPr>
      </w:pPr>
    </w:p>
    <w:p w14:paraId="653BD3C2">
      <w:pPr>
        <w:pStyle w:val="17"/>
        <w:ind w:firstLine="1084" w:firstLineChars="300"/>
        <w:jc w:val="both"/>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采购人：伊犁哈萨克自治州奎屯医院</w:t>
      </w:r>
    </w:p>
    <w:p w14:paraId="52AF4B53">
      <w:pPr>
        <w:pStyle w:val="17"/>
        <w:ind w:firstLine="1084" w:firstLineChars="300"/>
        <w:jc w:val="both"/>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采购代理机构：新疆嘉铭工程管理有限公司</w:t>
      </w:r>
    </w:p>
    <w:p w14:paraId="46F6BA40">
      <w:pPr>
        <w:pStyle w:val="37"/>
        <w:ind w:left="0" w:leftChars="0" w:firstLine="0" w:firstLineChars="0"/>
        <w:jc w:val="center"/>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日期：2026年06月</w:t>
      </w:r>
    </w:p>
    <w:p w14:paraId="3C9D7794">
      <w:pPr>
        <w:jc w:val="center"/>
        <w:rPr>
          <w:rFonts w:hint="eastAsia" w:ascii="黑体" w:hAnsi="黑体" w:eastAsia="黑体"/>
          <w:i w:val="0"/>
          <w:iCs w:val="0"/>
          <w:color w:val="auto"/>
          <w:sz w:val="72"/>
          <w:szCs w:val="72"/>
          <w:highlight w:val="none"/>
          <w:lang w:val="en-US" w:eastAsia="zh-CN"/>
        </w:rPr>
      </w:pPr>
    </w:p>
    <w:p w14:paraId="0E37D902">
      <w:pPr>
        <w:pStyle w:val="49"/>
        <w:keepNext w:val="0"/>
        <w:keepLines w:val="0"/>
        <w:pageBreakBefore w:val="0"/>
        <w:widowControl w:val="0"/>
        <w:kinsoku/>
        <w:wordWrap/>
        <w:overflowPunct/>
        <w:topLinePunct w:val="0"/>
        <w:bidi w:val="0"/>
        <w:adjustRightInd/>
        <w:snapToGrid w:val="0"/>
        <w:spacing w:line="440" w:lineRule="exact"/>
        <w:textAlignment w:val="auto"/>
        <w:rPr>
          <w:rFonts w:hint="eastAsia" w:ascii="宋体" w:hAnsi="宋体" w:eastAsia="宋体" w:cs="宋体"/>
          <w:color w:val="auto"/>
          <w:sz w:val="28"/>
          <w:szCs w:val="28"/>
          <w:highlight w:val="none"/>
        </w:rPr>
      </w:pPr>
    </w:p>
    <w:p w14:paraId="53F4BC92">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987DE6B">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sdt>
      <w:sdtPr>
        <w:rPr>
          <w:rFonts w:ascii="宋体" w:hAnsi="宋体" w:eastAsia="宋体" w:cs="Times New Roman"/>
          <w:color w:val="auto"/>
          <w:kern w:val="2"/>
          <w:sz w:val="21"/>
          <w:szCs w:val="22"/>
          <w:lang w:val="en-US" w:eastAsia="zh-CN" w:bidi="ar-SA"/>
        </w:rPr>
        <w:id w:val="147455501"/>
        <w15:color w:val="DBDBDB"/>
        <w:docPartObj>
          <w:docPartGallery w:val="Table of Contents"/>
          <w:docPartUnique/>
        </w:docPartObj>
      </w:sdtPr>
      <w:sdtEndPr>
        <w:rPr>
          <w:rFonts w:hint="eastAsia" w:ascii="宋体" w:hAnsi="宋体" w:eastAsia="宋体" w:cs="宋体"/>
          <w:bCs/>
          <w:color w:val="auto"/>
          <w:kern w:val="2"/>
          <w:sz w:val="21"/>
          <w:szCs w:val="28"/>
          <w:highlight w:val="none"/>
          <w:lang w:val="en-US" w:eastAsia="zh-CN" w:bidi="ar-SA"/>
        </w:rPr>
      </w:sdtEndPr>
      <w:sdtContent>
        <w:p w14:paraId="68211994">
          <w:pPr>
            <w:spacing w:before="0" w:beforeLines="0" w:after="0" w:afterLines="0" w:line="240" w:lineRule="auto"/>
            <w:ind w:left="0" w:leftChars="0" w:right="0" w:rightChars="0" w:firstLine="0" w:firstLineChars="0"/>
            <w:jc w:val="center"/>
            <w:rPr>
              <w:color w:val="auto"/>
            </w:rPr>
          </w:pPr>
        </w:p>
        <w:p w14:paraId="34B183B9">
          <w:pPr>
            <w:pStyle w:val="27"/>
            <w:tabs>
              <w:tab w:val="right" w:leader="dot" w:pos="8820"/>
              <w:tab w:val="clear" w:pos="8222"/>
            </w:tabs>
            <w:rPr>
              <w:color w:val="auto"/>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_Toc21058 </w:instrText>
          </w:r>
          <w:r>
            <w:rPr>
              <w:rFonts w:hint="eastAsia" w:ascii="宋体" w:hAnsi="宋体" w:eastAsia="宋体" w:cs="宋体"/>
              <w:bCs/>
              <w:color w:val="auto"/>
              <w:szCs w:val="28"/>
              <w:highlight w:val="none"/>
            </w:rPr>
            <w:fldChar w:fldCharType="separate"/>
          </w:r>
          <w:r>
            <w:rPr>
              <w:rFonts w:hint="eastAsia"/>
              <w:color w:val="auto"/>
              <w:lang w:val="en-US" w:eastAsia="zh-CN"/>
            </w:rPr>
            <w:t xml:space="preserve">第一部分  </w:t>
          </w:r>
          <w:r>
            <w:rPr>
              <w:rFonts w:hint="eastAsia"/>
              <w:color w:val="auto"/>
            </w:rPr>
            <w:t>磋商</w:t>
          </w:r>
          <w:r>
            <w:rPr>
              <w:rFonts w:hint="eastAsia"/>
              <w:color w:val="auto"/>
              <w:lang w:val="en-US" w:eastAsia="zh-CN"/>
            </w:rPr>
            <w:t>公告</w:t>
          </w:r>
          <w:r>
            <w:rPr>
              <w:color w:val="auto"/>
            </w:rPr>
            <w:tab/>
          </w:r>
          <w:r>
            <w:rPr>
              <w:color w:val="auto"/>
            </w:rPr>
            <w:fldChar w:fldCharType="begin"/>
          </w:r>
          <w:r>
            <w:rPr>
              <w:color w:val="auto"/>
            </w:rPr>
            <w:instrText xml:space="preserve"> PAGEREF _Toc21058 \h </w:instrText>
          </w:r>
          <w:r>
            <w:rPr>
              <w:color w:val="auto"/>
            </w:rPr>
            <w:fldChar w:fldCharType="separate"/>
          </w:r>
          <w:r>
            <w:rPr>
              <w:color w:val="auto"/>
            </w:rPr>
            <w:t>3</w:t>
          </w:r>
          <w:r>
            <w:rPr>
              <w:color w:val="auto"/>
            </w:rPr>
            <w:fldChar w:fldCharType="end"/>
          </w:r>
          <w:r>
            <w:rPr>
              <w:rFonts w:hint="eastAsia" w:ascii="宋体" w:hAnsi="宋体" w:eastAsia="宋体" w:cs="宋体"/>
              <w:bCs/>
              <w:color w:val="auto"/>
              <w:szCs w:val="28"/>
              <w:highlight w:val="none"/>
            </w:rPr>
            <w:fldChar w:fldCharType="end"/>
          </w:r>
        </w:p>
        <w:p w14:paraId="71C08F27">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_Toc28406 </w:instrText>
          </w:r>
          <w:r>
            <w:rPr>
              <w:rFonts w:hint="eastAsia" w:ascii="宋体" w:hAnsi="宋体" w:eastAsia="宋体" w:cs="宋体"/>
              <w:bCs/>
              <w:color w:val="auto"/>
              <w:szCs w:val="28"/>
              <w:highlight w:val="none"/>
            </w:rPr>
            <w:fldChar w:fldCharType="separate"/>
          </w:r>
          <w:r>
            <w:rPr>
              <w:rFonts w:hint="eastAsia" w:ascii="宋体" w:hAnsi="宋体" w:eastAsia="宋体" w:cs="宋体"/>
              <w:bCs/>
              <w:color w:val="auto"/>
              <w:szCs w:val="40"/>
              <w:highlight w:val="none"/>
              <w:lang w:eastAsia="zh-CN"/>
            </w:rPr>
            <w:t>第二部分</w:t>
          </w:r>
          <w:r>
            <w:rPr>
              <w:rFonts w:hint="eastAsia" w:ascii="宋体" w:hAnsi="宋体" w:eastAsia="宋体" w:cs="宋体"/>
              <w:bCs/>
              <w:color w:val="auto"/>
              <w:szCs w:val="40"/>
              <w:highlight w:val="none"/>
              <w:lang w:val="en-US" w:eastAsia="zh-CN"/>
            </w:rPr>
            <w:t xml:space="preserve">  </w:t>
          </w:r>
          <w:r>
            <w:rPr>
              <w:rFonts w:hint="eastAsia" w:ascii="宋体" w:hAnsi="宋体" w:eastAsia="宋体" w:cs="宋体"/>
              <w:bCs/>
              <w:color w:val="auto"/>
              <w:szCs w:val="40"/>
              <w:highlight w:val="none"/>
            </w:rPr>
            <w:t>供应商须知</w:t>
          </w:r>
          <w:r>
            <w:rPr>
              <w:color w:val="auto"/>
            </w:rPr>
            <w:tab/>
          </w:r>
          <w:r>
            <w:rPr>
              <w:color w:val="auto"/>
            </w:rPr>
            <w:fldChar w:fldCharType="begin"/>
          </w:r>
          <w:r>
            <w:rPr>
              <w:color w:val="auto"/>
            </w:rPr>
            <w:instrText xml:space="preserve"> PAGEREF _Toc28406 \h </w:instrText>
          </w:r>
          <w:r>
            <w:rPr>
              <w:color w:val="auto"/>
            </w:rPr>
            <w:fldChar w:fldCharType="separate"/>
          </w:r>
          <w:r>
            <w:rPr>
              <w:color w:val="auto"/>
            </w:rPr>
            <w:t>6</w:t>
          </w:r>
          <w:r>
            <w:rPr>
              <w:color w:val="auto"/>
            </w:rPr>
            <w:fldChar w:fldCharType="end"/>
          </w:r>
          <w:r>
            <w:rPr>
              <w:rFonts w:hint="eastAsia" w:ascii="宋体" w:hAnsi="宋体" w:eastAsia="宋体" w:cs="宋体"/>
              <w:bCs/>
              <w:color w:val="auto"/>
              <w:szCs w:val="28"/>
              <w:highlight w:val="none"/>
            </w:rPr>
            <w:fldChar w:fldCharType="end"/>
          </w:r>
        </w:p>
        <w:p w14:paraId="7C6B4EE1">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_Toc27662 </w:instrText>
          </w:r>
          <w:r>
            <w:rPr>
              <w:rFonts w:hint="eastAsia" w:ascii="宋体" w:hAnsi="宋体" w:eastAsia="宋体" w:cs="宋体"/>
              <w:bCs/>
              <w:color w:val="auto"/>
              <w:szCs w:val="28"/>
              <w:highlight w:val="none"/>
            </w:rPr>
            <w:fldChar w:fldCharType="separate"/>
          </w:r>
          <w:r>
            <w:rPr>
              <w:rFonts w:hint="eastAsia"/>
              <w:color w:val="auto"/>
              <w:lang w:eastAsia="zh-CN"/>
            </w:rPr>
            <w:t xml:space="preserve">第三部分 </w:t>
          </w:r>
          <w:r>
            <w:rPr>
              <w:rFonts w:hint="eastAsia" w:ascii="宋体" w:hAnsi="宋体" w:cs="宋体"/>
              <w:bCs w:val="0"/>
              <w:color w:val="auto"/>
              <w:highlight w:val="none"/>
              <w:lang w:eastAsia="zh-CN"/>
            </w:rPr>
            <w:t>采购需求</w:t>
          </w:r>
          <w:r>
            <w:rPr>
              <w:color w:val="auto"/>
            </w:rPr>
            <w:tab/>
          </w:r>
          <w:r>
            <w:rPr>
              <w:color w:val="auto"/>
            </w:rPr>
            <w:fldChar w:fldCharType="begin"/>
          </w:r>
          <w:r>
            <w:rPr>
              <w:color w:val="auto"/>
            </w:rPr>
            <w:instrText xml:space="preserve"> PAGEREF _Toc27662 \h </w:instrText>
          </w:r>
          <w:r>
            <w:rPr>
              <w:color w:val="auto"/>
            </w:rPr>
            <w:fldChar w:fldCharType="separate"/>
          </w:r>
          <w:r>
            <w:rPr>
              <w:color w:val="auto"/>
            </w:rPr>
            <w:t>24</w:t>
          </w:r>
          <w:r>
            <w:rPr>
              <w:color w:val="auto"/>
            </w:rPr>
            <w:fldChar w:fldCharType="end"/>
          </w:r>
          <w:r>
            <w:rPr>
              <w:rFonts w:hint="eastAsia" w:ascii="宋体" w:hAnsi="宋体" w:eastAsia="宋体" w:cs="宋体"/>
              <w:bCs/>
              <w:color w:val="auto"/>
              <w:szCs w:val="28"/>
              <w:highlight w:val="none"/>
            </w:rPr>
            <w:fldChar w:fldCharType="end"/>
          </w:r>
        </w:p>
        <w:p w14:paraId="356CFADC">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_Toc14556 </w:instrText>
          </w:r>
          <w:r>
            <w:rPr>
              <w:rFonts w:hint="eastAsia" w:ascii="宋体" w:hAnsi="宋体" w:eastAsia="宋体" w:cs="宋体"/>
              <w:bCs/>
              <w:color w:val="auto"/>
              <w:szCs w:val="28"/>
              <w:highlight w:val="none"/>
            </w:rPr>
            <w:fldChar w:fldCharType="separate"/>
          </w:r>
          <w:r>
            <w:rPr>
              <w:rFonts w:hint="eastAsia" w:ascii="宋体" w:hAnsi="宋体" w:eastAsia="宋体" w:cs="宋体"/>
              <w:bCs w:val="0"/>
              <w:color w:val="auto"/>
              <w:highlight w:val="none"/>
              <w:lang w:eastAsia="zh-CN"/>
            </w:rPr>
            <w:t>第四部分</w:t>
          </w:r>
          <w:r>
            <w:rPr>
              <w:rFonts w:hint="eastAsia" w:ascii="宋体" w:hAnsi="宋体" w:eastAsia="宋体" w:cs="宋体"/>
              <w:bCs w:val="0"/>
              <w:color w:val="auto"/>
              <w:highlight w:val="none"/>
              <w:lang w:val="en-US" w:eastAsia="zh-CN"/>
            </w:rPr>
            <w:t xml:space="preserve">  </w:t>
          </w:r>
          <w:r>
            <w:rPr>
              <w:rFonts w:hint="eastAsia" w:ascii="宋体" w:hAnsi="宋体" w:eastAsia="宋体" w:cs="宋体"/>
              <w:bCs w:val="0"/>
              <w:color w:val="auto"/>
              <w:highlight w:val="none"/>
              <w:lang w:eastAsia="zh-CN"/>
            </w:rPr>
            <w:t>评审方法</w:t>
          </w:r>
          <w:r>
            <w:rPr>
              <w:color w:val="auto"/>
            </w:rPr>
            <w:tab/>
          </w:r>
          <w:r>
            <w:rPr>
              <w:color w:val="auto"/>
            </w:rPr>
            <w:fldChar w:fldCharType="begin"/>
          </w:r>
          <w:r>
            <w:rPr>
              <w:color w:val="auto"/>
            </w:rPr>
            <w:instrText xml:space="preserve"> PAGEREF _Toc14556 \h </w:instrText>
          </w:r>
          <w:r>
            <w:rPr>
              <w:color w:val="auto"/>
            </w:rPr>
            <w:fldChar w:fldCharType="separate"/>
          </w:r>
          <w:r>
            <w:rPr>
              <w:color w:val="auto"/>
            </w:rPr>
            <w:t>26</w:t>
          </w:r>
          <w:r>
            <w:rPr>
              <w:color w:val="auto"/>
            </w:rPr>
            <w:fldChar w:fldCharType="end"/>
          </w:r>
          <w:r>
            <w:rPr>
              <w:rFonts w:hint="eastAsia" w:ascii="宋体" w:hAnsi="宋体" w:eastAsia="宋体" w:cs="宋体"/>
              <w:bCs/>
              <w:color w:val="auto"/>
              <w:szCs w:val="28"/>
              <w:highlight w:val="none"/>
            </w:rPr>
            <w:fldChar w:fldCharType="end"/>
          </w:r>
        </w:p>
        <w:p w14:paraId="54B8A61B">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_Toc3363 </w:instrText>
          </w:r>
          <w:r>
            <w:rPr>
              <w:rFonts w:hint="eastAsia" w:ascii="宋体" w:hAnsi="宋体" w:eastAsia="宋体" w:cs="宋体"/>
              <w:bCs/>
              <w:color w:val="auto"/>
              <w:szCs w:val="28"/>
              <w:highlight w:val="none"/>
            </w:rPr>
            <w:fldChar w:fldCharType="separate"/>
          </w:r>
          <w:r>
            <w:rPr>
              <w:rFonts w:hint="eastAsia" w:ascii="宋体" w:hAnsi="宋体" w:eastAsia="宋体" w:cs="宋体"/>
              <w:bCs w:val="0"/>
              <w:color w:val="auto"/>
              <w:kern w:val="44"/>
              <w:szCs w:val="44"/>
              <w:highlight w:val="none"/>
              <w:lang w:val="en-US" w:eastAsia="zh-CN" w:bidi="ar-SA"/>
            </w:rPr>
            <w:t xml:space="preserve">第五部分  </w:t>
          </w:r>
          <w:r>
            <w:rPr>
              <w:rFonts w:hint="eastAsia" w:ascii="宋体" w:hAnsi="宋体" w:cs="宋体"/>
              <w:bCs w:val="0"/>
              <w:color w:val="auto"/>
              <w:kern w:val="44"/>
              <w:szCs w:val="44"/>
              <w:highlight w:val="none"/>
              <w:lang w:val="en-US" w:eastAsia="zh-CN" w:bidi="ar-SA"/>
            </w:rPr>
            <w:t>政府采购合同</w:t>
          </w:r>
          <w:r>
            <w:rPr>
              <w:color w:val="auto"/>
            </w:rPr>
            <w:tab/>
          </w:r>
          <w:r>
            <w:rPr>
              <w:color w:val="auto"/>
            </w:rPr>
            <w:fldChar w:fldCharType="begin"/>
          </w:r>
          <w:r>
            <w:rPr>
              <w:color w:val="auto"/>
            </w:rPr>
            <w:instrText xml:space="preserve"> PAGEREF _Toc3363 \h </w:instrText>
          </w:r>
          <w:r>
            <w:rPr>
              <w:color w:val="auto"/>
            </w:rPr>
            <w:fldChar w:fldCharType="separate"/>
          </w:r>
          <w:r>
            <w:rPr>
              <w:color w:val="auto"/>
            </w:rPr>
            <w:t>37</w:t>
          </w:r>
          <w:r>
            <w:rPr>
              <w:color w:val="auto"/>
            </w:rPr>
            <w:fldChar w:fldCharType="end"/>
          </w:r>
          <w:r>
            <w:rPr>
              <w:rFonts w:hint="eastAsia" w:ascii="宋体" w:hAnsi="宋体" w:eastAsia="宋体" w:cs="宋体"/>
              <w:bCs/>
              <w:color w:val="auto"/>
              <w:szCs w:val="28"/>
              <w:highlight w:val="none"/>
            </w:rPr>
            <w:fldChar w:fldCharType="end"/>
          </w:r>
        </w:p>
        <w:p w14:paraId="742C8A2E">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_Toc2923 </w:instrText>
          </w:r>
          <w:r>
            <w:rPr>
              <w:rFonts w:hint="eastAsia" w:ascii="宋体" w:hAnsi="宋体" w:eastAsia="宋体" w:cs="宋体"/>
              <w:bCs/>
              <w:color w:val="auto"/>
              <w:szCs w:val="28"/>
              <w:highlight w:val="none"/>
            </w:rPr>
            <w:fldChar w:fldCharType="separate"/>
          </w:r>
          <w:r>
            <w:rPr>
              <w:rFonts w:hint="eastAsia" w:ascii="宋体" w:hAnsi="宋体" w:eastAsia="宋体" w:cs="宋体"/>
              <w:bCs w:val="0"/>
              <w:color w:val="auto"/>
              <w:highlight w:val="none"/>
              <w:lang w:val="en-US" w:eastAsia="zh-CN"/>
            </w:rPr>
            <w:t>第六部分  响应</w:t>
          </w:r>
          <w:r>
            <w:rPr>
              <w:rFonts w:hint="eastAsia" w:ascii="宋体" w:hAnsi="宋体" w:eastAsia="宋体" w:cs="宋体"/>
              <w:bCs w:val="0"/>
              <w:color w:val="auto"/>
              <w:highlight w:val="none"/>
              <w:lang w:eastAsia="zh-CN"/>
            </w:rPr>
            <w:t>文件格式</w:t>
          </w:r>
          <w:r>
            <w:rPr>
              <w:color w:val="auto"/>
            </w:rPr>
            <w:tab/>
          </w:r>
          <w:r>
            <w:rPr>
              <w:color w:val="auto"/>
            </w:rPr>
            <w:fldChar w:fldCharType="begin"/>
          </w:r>
          <w:r>
            <w:rPr>
              <w:color w:val="auto"/>
            </w:rPr>
            <w:instrText xml:space="preserve"> PAGEREF _Toc2923 \h </w:instrText>
          </w:r>
          <w:r>
            <w:rPr>
              <w:color w:val="auto"/>
            </w:rPr>
            <w:fldChar w:fldCharType="separate"/>
          </w:r>
          <w:r>
            <w:rPr>
              <w:color w:val="auto"/>
            </w:rPr>
            <w:t>46</w:t>
          </w:r>
          <w:r>
            <w:rPr>
              <w:color w:val="auto"/>
            </w:rPr>
            <w:fldChar w:fldCharType="end"/>
          </w:r>
          <w:r>
            <w:rPr>
              <w:rFonts w:hint="eastAsia" w:ascii="宋体" w:hAnsi="宋体" w:eastAsia="宋体" w:cs="宋体"/>
              <w:bCs/>
              <w:color w:val="auto"/>
              <w:szCs w:val="28"/>
              <w:highlight w:val="none"/>
            </w:rPr>
            <w:fldChar w:fldCharType="end"/>
          </w:r>
        </w:p>
        <w:p w14:paraId="0F9C8C63">
          <w:pPr>
            <w:pStyle w:val="27"/>
            <w:tabs>
              <w:tab w:val="right" w:leader="dot" w:pos="8820"/>
              <w:tab w:val="clear" w:pos="8222"/>
            </w:tabs>
            <w:rPr>
              <w:color w:val="auto"/>
            </w:rPr>
          </w:pPr>
          <w:r>
            <w:rPr>
              <w:rFonts w:hint="eastAsia" w:ascii="宋体" w:hAnsi="宋体" w:eastAsia="宋体" w:cs="宋体"/>
              <w:bCs/>
              <w:color w:val="auto"/>
              <w:szCs w:val="28"/>
              <w:highlight w:val="none"/>
            </w:rPr>
            <w:fldChar w:fldCharType="begin"/>
          </w:r>
          <w:r>
            <w:rPr>
              <w:rFonts w:hint="eastAsia" w:ascii="宋体" w:hAnsi="宋体" w:eastAsia="宋体" w:cs="宋体"/>
              <w:bCs/>
              <w:color w:val="auto"/>
              <w:szCs w:val="28"/>
              <w:highlight w:val="none"/>
            </w:rPr>
            <w:instrText xml:space="preserve"> HYPERLINK \l _Toc23981 </w:instrText>
          </w:r>
          <w:r>
            <w:rPr>
              <w:rFonts w:hint="eastAsia" w:ascii="宋体" w:hAnsi="宋体" w:eastAsia="宋体" w:cs="宋体"/>
              <w:bCs/>
              <w:color w:val="auto"/>
              <w:szCs w:val="28"/>
              <w:highlight w:val="none"/>
            </w:rPr>
            <w:fldChar w:fldCharType="separate"/>
          </w:r>
          <w:r>
            <w:rPr>
              <w:rFonts w:hint="eastAsia" w:ascii="宋体" w:hAnsi="宋体" w:eastAsia="宋体" w:cs="宋体"/>
              <w:bCs w:val="0"/>
              <w:color w:val="auto"/>
              <w:highlight w:val="none"/>
              <w:lang w:val="en-US" w:eastAsia="zh-CN"/>
            </w:rPr>
            <w:t>第七部分 附件</w:t>
          </w:r>
          <w:r>
            <w:rPr>
              <w:color w:val="auto"/>
            </w:rPr>
            <w:tab/>
          </w:r>
          <w:r>
            <w:rPr>
              <w:color w:val="auto"/>
            </w:rPr>
            <w:fldChar w:fldCharType="begin"/>
          </w:r>
          <w:r>
            <w:rPr>
              <w:color w:val="auto"/>
            </w:rPr>
            <w:instrText xml:space="preserve"> PAGEREF _Toc23981 \h </w:instrText>
          </w:r>
          <w:r>
            <w:rPr>
              <w:color w:val="auto"/>
            </w:rPr>
            <w:fldChar w:fldCharType="separate"/>
          </w:r>
          <w:r>
            <w:rPr>
              <w:color w:val="auto"/>
            </w:rPr>
            <w:t>75</w:t>
          </w:r>
          <w:r>
            <w:rPr>
              <w:color w:val="auto"/>
            </w:rPr>
            <w:fldChar w:fldCharType="end"/>
          </w:r>
          <w:r>
            <w:rPr>
              <w:rFonts w:hint="eastAsia" w:ascii="宋体" w:hAnsi="宋体" w:eastAsia="宋体" w:cs="宋体"/>
              <w:bCs/>
              <w:color w:val="auto"/>
              <w:szCs w:val="28"/>
              <w:highlight w:val="none"/>
            </w:rPr>
            <w:fldChar w:fldCharType="end"/>
          </w:r>
        </w:p>
        <w:p w14:paraId="7C2BE4C2">
          <w:pPr>
            <w:spacing w:before="0" w:beforeLines="0" w:after="0" w:afterLines="0" w:line="240" w:lineRule="auto"/>
            <w:ind w:left="0" w:leftChars="0" w:right="0" w:rightChars="0" w:firstLine="0" w:firstLineChars="0"/>
            <w:jc w:val="center"/>
            <w:rPr>
              <w:rFonts w:hint="eastAsia" w:ascii="宋体" w:hAnsi="宋体" w:eastAsia="宋体" w:cs="宋体"/>
              <w:bCs/>
              <w:color w:val="auto"/>
              <w:kern w:val="2"/>
              <w:sz w:val="21"/>
              <w:szCs w:val="28"/>
              <w:highlight w:val="none"/>
              <w:lang w:val="en-US" w:eastAsia="zh-CN" w:bidi="ar-SA"/>
            </w:rPr>
            <w:sectPr>
              <w:footerReference r:id="rId5" w:type="first"/>
              <w:headerReference r:id="rId3" w:type="default"/>
              <w:footerReference r:id="rId4" w:type="default"/>
              <w:pgSz w:w="11907" w:h="16840"/>
              <w:pgMar w:top="1474" w:right="1273" w:bottom="1474" w:left="1814" w:header="851" w:footer="851" w:gutter="0"/>
              <w:pgNumType w:start="0"/>
              <w:cols w:space="720" w:num="1"/>
              <w:titlePg/>
              <w:docGrid w:linePitch="462" w:charSpace="0"/>
            </w:sectPr>
          </w:pPr>
          <w:r>
            <w:rPr>
              <w:rFonts w:hint="eastAsia" w:ascii="宋体" w:hAnsi="宋体" w:eastAsia="宋体" w:cs="宋体"/>
              <w:bCs/>
              <w:color w:val="auto"/>
              <w:szCs w:val="28"/>
              <w:highlight w:val="none"/>
            </w:rPr>
            <w:fldChar w:fldCharType="end"/>
          </w:r>
        </w:p>
      </w:sdtContent>
    </w:sdt>
    <w:p w14:paraId="737CB5C7">
      <w:pPr>
        <w:pStyle w:val="2"/>
        <w:numPr>
          <w:ilvl w:val="0"/>
          <w:numId w:val="2"/>
        </w:numPr>
        <w:bidi w:val="0"/>
        <w:rPr>
          <w:rFonts w:hint="eastAsia"/>
          <w:color w:val="auto"/>
        </w:rPr>
      </w:pPr>
      <w:bookmarkStart w:id="0" w:name="_Toc456718475"/>
      <w:bookmarkStart w:id="1" w:name="_Toc19777"/>
      <w:bookmarkStart w:id="2" w:name="_Toc21058"/>
      <w:bookmarkStart w:id="3" w:name="_Toc8972"/>
      <w:bookmarkStart w:id="4" w:name="_Toc11280"/>
      <w:bookmarkStart w:id="5" w:name="_Toc13008"/>
      <w:bookmarkStart w:id="6" w:name="_Toc456718476"/>
      <w:r>
        <w:rPr>
          <w:rFonts w:hint="eastAsia"/>
          <w:b/>
          <w:bCs w:val="0"/>
          <w:color w:val="auto"/>
          <w:lang w:val="en-US" w:eastAsia="zh-CN"/>
        </w:rPr>
        <w:t xml:space="preserve"> </w:t>
      </w:r>
      <w:r>
        <w:rPr>
          <w:rFonts w:hint="eastAsia"/>
          <w:b/>
          <w:bCs w:val="0"/>
          <w:color w:val="auto"/>
        </w:rPr>
        <w:t>磋商</w:t>
      </w:r>
      <w:bookmarkEnd w:id="0"/>
      <w:r>
        <w:rPr>
          <w:rFonts w:hint="eastAsia"/>
          <w:b/>
          <w:bCs w:val="0"/>
          <w:color w:val="auto"/>
          <w:lang w:val="en-US" w:eastAsia="zh-CN"/>
        </w:rPr>
        <w:t>公告</w:t>
      </w:r>
      <w:bookmarkEnd w:id="1"/>
      <w:bookmarkEnd w:id="2"/>
      <w:bookmarkEnd w:id="3"/>
      <w:bookmarkEnd w:id="4"/>
      <w:bookmarkEnd w:id="5"/>
    </w:p>
    <w:p w14:paraId="6C107987">
      <w:pPr>
        <w:rPr>
          <w:rFonts w:hint="eastAsia"/>
          <w:color w:val="auto"/>
        </w:rPr>
      </w:pPr>
    </w:p>
    <w:p w14:paraId="1F8F057C">
      <w:pPr>
        <w:spacing w:line="360" w:lineRule="auto"/>
        <w:jc w:val="center"/>
        <w:rPr>
          <w:rFonts w:hint="eastAsia" w:ascii="宋体" w:hAnsi="宋体" w:eastAsia="宋体" w:cs="宋体"/>
          <w:b/>
          <w:bCs/>
          <w:color w:val="auto"/>
          <w:sz w:val="28"/>
          <w:szCs w:val="28"/>
          <w:highlight w:val="none"/>
          <w:lang w:val="en-US" w:eastAsia="zh-CN"/>
        </w:rPr>
      </w:pPr>
      <w:bookmarkStart w:id="7" w:name="_Toc9759"/>
      <w:r>
        <w:rPr>
          <w:rFonts w:hint="eastAsia" w:ascii="宋体" w:hAnsi="宋体" w:eastAsia="宋体" w:cs="宋体"/>
          <w:b/>
          <w:bCs/>
          <w:color w:val="auto"/>
          <w:sz w:val="28"/>
          <w:szCs w:val="28"/>
          <w:highlight w:val="none"/>
          <w:lang w:val="en-US" w:eastAsia="zh-CN"/>
        </w:rPr>
        <w:t>伊犁哈萨克自治州奎屯医院污水处理站外包服务项目</w:t>
      </w:r>
    </w:p>
    <w:p w14:paraId="237B0E48">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竞争性磋商</w:t>
      </w:r>
      <w:r>
        <w:rPr>
          <w:rFonts w:hint="eastAsia" w:ascii="宋体" w:hAnsi="宋体" w:eastAsia="宋体" w:cs="宋体"/>
          <w:b/>
          <w:bCs/>
          <w:color w:val="auto"/>
          <w:sz w:val="28"/>
          <w:szCs w:val="28"/>
          <w:highlight w:val="none"/>
        </w:rPr>
        <w:t>公告</w:t>
      </w:r>
    </w:p>
    <w:p w14:paraId="5D6E30AA">
      <w:pPr>
        <w:pStyle w:val="3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067A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9660" w:type="dxa"/>
            <w:noWrap w:val="0"/>
            <w:vAlign w:val="center"/>
          </w:tcPr>
          <w:p w14:paraId="13C4D6C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32F06D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i w:val="0"/>
                <w:caps w:val="0"/>
                <w:color w:val="auto"/>
                <w:spacing w:val="0"/>
                <w:sz w:val="24"/>
                <w:szCs w:val="24"/>
                <w:highlight w:val="none"/>
                <w:vertAlign w:val="baseline"/>
              </w:rPr>
            </w:pPr>
            <w:r>
              <w:rPr>
                <w:rFonts w:hint="eastAsia" w:ascii="宋体" w:hAnsi="宋体" w:eastAsia="宋体" w:cs="宋体"/>
                <w:color w:val="auto"/>
                <w:sz w:val="24"/>
                <w:szCs w:val="24"/>
                <w:highlight w:val="none"/>
                <w:lang w:val="en-US" w:eastAsia="zh-CN"/>
              </w:rPr>
              <w:t>伊犁哈萨克自治州奎屯医院污水处理站外包服务项目的潜在供应商应在</w:t>
            </w:r>
            <w:r>
              <w:rPr>
                <w:rFonts w:hint="eastAsia" w:ascii="宋体" w:hAnsi="宋体" w:cs="宋体"/>
                <w:color w:val="auto"/>
                <w:sz w:val="24"/>
                <w:szCs w:val="24"/>
                <w:highlight w:val="none"/>
                <w:lang w:eastAsia="zh-CN"/>
              </w:rPr>
              <w:t>政采云</w:t>
            </w:r>
            <w:r>
              <w:rPr>
                <w:rFonts w:hint="eastAsia" w:ascii="宋体" w:hAnsi="宋体" w:cs="宋体"/>
                <w:color w:val="auto"/>
                <w:sz w:val="24"/>
                <w:szCs w:val="24"/>
                <w:highlight w:val="none"/>
              </w:rPr>
              <w:t>平台</w:t>
            </w:r>
            <w:r>
              <w:rPr>
                <w:rFonts w:hint="eastAsia" w:ascii="宋体" w:hAnsi="宋体" w:cs="宋体"/>
                <w:color w:val="auto"/>
                <w:sz w:val="24"/>
                <w:szCs w:val="24"/>
                <w:highlight w:val="none"/>
                <w:lang w:val="en-US" w:eastAsia="zh-CN"/>
              </w:rPr>
              <w:t>线上</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并于</w:t>
            </w:r>
            <w:r>
              <w:rPr>
                <w:rFonts w:hint="eastAsia" w:ascii="宋体" w:hAnsi="宋体" w:cs="宋体"/>
                <w:color w:val="auto"/>
                <w:sz w:val="24"/>
                <w:szCs w:val="24"/>
                <w:highlight w:val="none"/>
                <w:u w:val="single"/>
                <w:lang w:val="en-US" w:eastAsia="zh-CN"/>
              </w:rPr>
              <w:t>2026年6月18日11:00</w:t>
            </w:r>
            <w:r>
              <w:rPr>
                <w:rFonts w:hint="eastAsia" w:ascii="宋体" w:hAnsi="宋体" w:eastAsia="宋体" w:cs="宋体"/>
                <w:color w:val="auto"/>
                <w:sz w:val="24"/>
                <w:szCs w:val="24"/>
                <w:highlight w:val="none"/>
                <w:lang w:val="en-US" w:eastAsia="zh-CN"/>
              </w:rPr>
              <w:t>（北京时间）前提交响应文件。</w:t>
            </w:r>
          </w:p>
        </w:tc>
      </w:tr>
    </w:tbl>
    <w:p w14:paraId="56F5F6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33E015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8" w:name="_Toc29779"/>
      <w:r>
        <w:rPr>
          <w:rFonts w:hint="eastAsia" w:ascii="宋体" w:hAnsi="宋体" w:eastAsia="宋体" w:cs="宋体"/>
          <w:b/>
          <w:bCs/>
          <w:color w:val="auto"/>
          <w:sz w:val="24"/>
          <w:szCs w:val="24"/>
          <w:highlight w:val="none"/>
          <w:lang w:val="en-US" w:eastAsia="zh-CN"/>
        </w:rPr>
        <w:t>一、项目基本情况</w:t>
      </w:r>
      <w:bookmarkEnd w:id="8"/>
    </w:p>
    <w:p w14:paraId="08B006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1.项目编号/包号：XJJM[2026]-108</w:t>
      </w:r>
    </w:p>
    <w:p w14:paraId="21A1F3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2.项目名称：伊犁哈萨克自治州奎屯医院污水处理站外包服务项目</w:t>
      </w:r>
    </w:p>
    <w:p w14:paraId="440160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3.采购方式：竞争性磋商</w:t>
      </w:r>
    </w:p>
    <w:p w14:paraId="093FF0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4.预算金额： 590000.00元</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en-US" w:eastAsia="zh-CN"/>
        </w:rPr>
        <w:t xml:space="preserve"> </w:t>
      </w:r>
    </w:p>
    <w:p w14:paraId="2D7380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5.最高限价： 590000.00元</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en-US" w:eastAsia="zh-CN"/>
        </w:rPr>
        <w:t xml:space="preserve"> </w:t>
      </w:r>
    </w:p>
    <w:p w14:paraId="1B9659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6.采购需求：包括排污许可证自行监测、在线监测运维、危险废物处置、消毒粉费用、设备维修和易损设备购买更换维护、清理化粪池、人员工资等一切费用。</w:t>
      </w:r>
    </w:p>
    <w:p w14:paraId="2D718C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7.合同服务履行期限： </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年。合同一年一签，合同期满后，供应商服务符合医院要求，可</w:t>
      </w:r>
      <w:r>
        <w:rPr>
          <w:rFonts w:hint="eastAsia" w:ascii="宋体" w:hAnsi="宋体" w:cs="宋体"/>
          <w:b w:val="0"/>
          <w:bCs w:val="0"/>
          <w:color w:val="auto"/>
          <w:sz w:val="24"/>
          <w:szCs w:val="24"/>
          <w:highlight w:val="none"/>
          <w:lang w:val="en-US" w:eastAsia="zh-CN"/>
        </w:rPr>
        <w:t>签订</w:t>
      </w:r>
      <w:r>
        <w:rPr>
          <w:rFonts w:hint="eastAsia" w:ascii="宋体" w:hAnsi="宋体" w:eastAsia="宋体" w:cs="宋体"/>
          <w:b w:val="0"/>
          <w:bCs w:val="0"/>
          <w:color w:val="auto"/>
          <w:sz w:val="24"/>
          <w:szCs w:val="24"/>
          <w:highlight w:val="none"/>
          <w:lang w:val="en-US" w:eastAsia="zh-CN"/>
        </w:rPr>
        <w:t xml:space="preserve">下一年度合同。 </w:t>
      </w:r>
    </w:p>
    <w:p w14:paraId="1B15D4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9" w:name="_Toc28359090"/>
      <w:bookmarkStart w:id="10" w:name="_Toc28359013"/>
      <w:bookmarkStart w:id="11" w:name="_Toc35393799"/>
      <w:bookmarkStart w:id="12" w:name="_Toc44583629"/>
      <w:bookmarkStart w:id="13" w:name="_Toc35393630"/>
      <w:r>
        <w:rPr>
          <w:rFonts w:hint="eastAsia" w:ascii="宋体" w:hAnsi="宋体" w:eastAsia="宋体" w:cs="宋体"/>
          <w:b w:val="0"/>
          <w:bCs w:val="0"/>
          <w:color w:val="auto"/>
          <w:sz w:val="24"/>
          <w:szCs w:val="24"/>
          <w:highlight w:val="none"/>
          <w:lang w:val="en-US" w:eastAsia="zh-CN"/>
        </w:rPr>
        <w:t>8.</w:t>
      </w:r>
      <w:bookmarkStart w:id="14" w:name="_Hlk162011358"/>
      <w:r>
        <w:rPr>
          <w:rFonts w:hint="eastAsia" w:ascii="宋体" w:hAnsi="宋体" w:eastAsia="宋体" w:cs="宋体"/>
          <w:b w:val="0"/>
          <w:bCs w:val="0"/>
          <w:color w:val="auto"/>
          <w:sz w:val="24"/>
          <w:szCs w:val="24"/>
          <w:highlight w:val="none"/>
          <w:lang w:val="en-US" w:eastAsia="zh-CN"/>
        </w:rPr>
        <w:t>本项目是否接受联合体：□是</w:t>
      </w:r>
      <w:bookmarkEnd w:id="14"/>
      <w:r>
        <w:rPr>
          <w:rFonts w:hint="eastAsia" w:ascii="宋体" w:hAnsi="宋体" w:eastAsia="宋体" w:cs="宋体"/>
          <w:b w:val="0"/>
          <w:bCs w:val="0"/>
          <w:color w:val="auto"/>
          <w:sz w:val="24"/>
          <w:szCs w:val="24"/>
          <w:highlight w:val="none"/>
          <w:lang w:val="en-US" w:eastAsia="zh-CN"/>
        </w:rPr>
        <w:t xml:space="preserve">   ☑否</w:t>
      </w:r>
    </w:p>
    <w:p w14:paraId="738B09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5" w:name="_Toc140132746"/>
      <w:bookmarkStart w:id="16" w:name="_Toc155185861"/>
      <w:bookmarkStart w:id="17" w:name="_Toc109899411"/>
      <w:bookmarkStart w:id="18" w:name="_Toc109900249"/>
      <w:bookmarkStart w:id="19" w:name="_Toc163492813"/>
      <w:bookmarkStart w:id="20" w:name="_Toc19653"/>
      <w:bookmarkStart w:id="21" w:name="_Toc109899830"/>
      <w:r>
        <w:rPr>
          <w:rFonts w:hint="eastAsia" w:ascii="宋体" w:hAnsi="宋体" w:eastAsia="宋体" w:cs="宋体"/>
          <w:b w:val="0"/>
          <w:bCs w:val="0"/>
          <w:color w:val="auto"/>
          <w:sz w:val="24"/>
          <w:szCs w:val="24"/>
          <w:highlight w:val="none"/>
          <w:lang w:val="en-US" w:eastAsia="zh-CN"/>
        </w:rPr>
        <w:t>二、申请人的资格要求</w:t>
      </w:r>
      <w:bookmarkEnd w:id="9"/>
      <w:bookmarkEnd w:id="10"/>
      <w:bookmarkEnd w:id="11"/>
      <w:bookmarkEnd w:id="12"/>
      <w:bookmarkEnd w:id="13"/>
      <w:bookmarkEnd w:id="15"/>
      <w:bookmarkEnd w:id="16"/>
      <w:bookmarkEnd w:id="17"/>
      <w:bookmarkEnd w:id="18"/>
      <w:bookmarkEnd w:id="19"/>
      <w:bookmarkEnd w:id="20"/>
      <w:bookmarkEnd w:id="21"/>
    </w:p>
    <w:p w14:paraId="4D66EB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满足《中华人民共和国政府采购法》第二十二条规定；</w:t>
      </w:r>
    </w:p>
    <w:p w14:paraId="6366DB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22" w:name="_Hlk89807755"/>
      <w:r>
        <w:rPr>
          <w:rFonts w:hint="eastAsia" w:ascii="宋体" w:hAnsi="宋体" w:eastAsia="宋体" w:cs="宋体"/>
          <w:b w:val="0"/>
          <w:bCs w:val="0"/>
          <w:color w:val="auto"/>
          <w:sz w:val="24"/>
          <w:szCs w:val="24"/>
          <w:highlight w:val="none"/>
          <w:lang w:val="en-US" w:eastAsia="zh-CN"/>
        </w:rPr>
        <w:t xml:space="preserve">2.落实政府采购政策需满足的资格要求：本项目专门面向中小企业采购。          </w:t>
      </w:r>
    </w:p>
    <w:p w14:paraId="17830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3.本项目的特定资格要求：无。</w:t>
      </w:r>
    </w:p>
    <w:bookmarkEnd w:id="22"/>
    <w:p w14:paraId="790863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其他资格要求：</w:t>
      </w:r>
    </w:p>
    <w:p w14:paraId="63F2CD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（1）法定代表人或单位负责人为同一人或者存在直接控股、管理关系的不同供应商，不得参加同一合同项下的政府采购活动。</w:t>
      </w:r>
    </w:p>
    <w:p w14:paraId="4E1FCC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（2）除单一来源采购项目外，为采购项目提供整体设计、规范编制或者项目管理、监理、检测等服务的供应商，不得再参加该采购项目的其他采购活动。</w:t>
      </w:r>
    </w:p>
    <w:p w14:paraId="008B76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（3）供应商的信用行为：在资格审查阶段经查询，未被列入“失信被执行人”、“重大税收违法失信主体”、“政府采购严重违法失信行为记录名单”其中之一。如有以上不良信用记录之一的，其响应无效。</w:t>
      </w:r>
    </w:p>
    <w:p w14:paraId="28B2E2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33289C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2026年06月06日至2026年06月12日</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每天上午00:00至1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:00至23:59（北京时间，法定节假日除外）</w:t>
      </w:r>
    </w:p>
    <w:p w14:paraId="158043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地点：政采云平台线上</w:t>
      </w:r>
      <w:bookmarkStart w:id="518" w:name="_GoBack"/>
      <w:bookmarkEnd w:id="518"/>
    </w:p>
    <w:p w14:paraId="732B686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r>
        <w:rPr>
          <w:rFonts w:hint="eastAsia" w:ascii="宋体" w:hAnsi="宋体" w:cs="宋体"/>
          <w:color w:val="auto"/>
          <w:sz w:val="24"/>
          <w:szCs w:val="24"/>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17202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售价（元）：</w:t>
      </w:r>
      <w:r>
        <w:rPr>
          <w:rFonts w:hint="eastAsia" w:asciiTheme="minorEastAsia" w:hAnsiTheme="minorEastAsia" w:eastAsiaTheme="minorEastAsia" w:cstheme="minorEastAsia"/>
          <w:color w:val="auto"/>
          <w:sz w:val="24"/>
          <w:szCs w:val="24"/>
          <w:highlight w:val="none"/>
          <w:lang w:val="en-US" w:eastAsia="zh-CN"/>
        </w:rPr>
        <w:t>0</w:t>
      </w:r>
    </w:p>
    <w:p w14:paraId="06AB458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1ECA1A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w:t>
      </w:r>
      <w:r>
        <w:rPr>
          <w:rFonts w:hint="eastAsia" w:ascii="宋体" w:hAnsi="宋体" w:cs="宋体"/>
          <w:color w:val="auto"/>
          <w:sz w:val="24"/>
          <w:szCs w:val="24"/>
          <w:highlight w:val="none"/>
          <w:lang w:val="en-US" w:eastAsia="zh-CN"/>
        </w:rPr>
        <w:t>2026年06月18日11:00</w:t>
      </w:r>
      <w:r>
        <w:rPr>
          <w:rFonts w:hint="eastAsia" w:ascii="宋体" w:hAnsi="宋体" w:eastAsia="宋体" w:cs="宋体"/>
          <w:color w:val="auto"/>
          <w:sz w:val="24"/>
          <w:szCs w:val="24"/>
          <w:highlight w:val="none"/>
          <w:lang w:val="en-US" w:eastAsia="zh-CN"/>
        </w:rPr>
        <w:t>（北京时间）</w:t>
      </w:r>
    </w:p>
    <w:p w14:paraId="262375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地点：请登录政采云投标客户端，选择对应的标项投标</w:t>
      </w:r>
      <w:r>
        <w:rPr>
          <w:rFonts w:hint="eastAsia" w:asciiTheme="minorEastAsia" w:hAnsiTheme="minorEastAsia" w:eastAsiaTheme="minorEastAsia" w:cstheme="minorEastAsia"/>
          <w:color w:val="auto"/>
          <w:sz w:val="24"/>
          <w:szCs w:val="24"/>
          <w:highlight w:val="none"/>
          <w:lang w:val="en-US" w:eastAsia="zh-CN"/>
        </w:rPr>
        <w:t>。</w:t>
      </w:r>
    </w:p>
    <w:p w14:paraId="3E5B2FE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五、响应文件开启</w:t>
      </w:r>
    </w:p>
    <w:p w14:paraId="60704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cs="宋体"/>
          <w:color w:val="auto"/>
          <w:sz w:val="24"/>
          <w:szCs w:val="24"/>
          <w:highlight w:val="none"/>
          <w:lang w:val="en-US" w:eastAsia="zh-CN"/>
        </w:rPr>
        <w:t>2026年06月18日11:00</w:t>
      </w:r>
      <w:r>
        <w:rPr>
          <w:rFonts w:hint="eastAsia" w:ascii="宋体" w:hAnsi="宋体" w:eastAsia="宋体" w:cs="宋体"/>
          <w:color w:val="auto"/>
          <w:sz w:val="24"/>
          <w:szCs w:val="24"/>
          <w:highlight w:val="none"/>
          <w:lang w:val="en-US" w:eastAsia="zh-CN"/>
        </w:rPr>
        <w:t>（北京时间）</w:t>
      </w:r>
    </w:p>
    <w:p w14:paraId="477ABD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地点：投标人登录政采云平台https：//www.zcygov.cn/，进入“项目采购-开标评标-右边选择对应项目点击“进入项目”进入开标大厅</w:t>
      </w:r>
    </w:p>
    <w:p w14:paraId="5A5518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6746A0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w:t>
      </w:r>
    </w:p>
    <w:p w14:paraId="50564D0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w:t>
      </w:r>
    </w:p>
    <w:p w14:paraId="4D30E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本项目实行网上投标，采用电子投标文件。</w:t>
      </w:r>
    </w:p>
    <w:p w14:paraId="2367B0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各供应商应在开标前确保成为正式注册入库供应商，并完成CA数字证书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符合国密标准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申领。因未注册入库、未办理CA数字证书等原因造成无法投标或投标失败等后果由供应商自行承担。如需咨询，请联系新疆CA服务热线4000921999；翔晟CA服务热线025-66085508。</w:t>
      </w:r>
    </w:p>
    <w:p w14:paraId="03CC63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供应商将政采云电子交易客户端下载、安装完成后，可通过账号密码或CA登录客户端进行投标文件的制作。在使用政采云投标客户端时，建议使用WIN7及以上操作系统。</w:t>
      </w:r>
    </w:p>
    <w:p w14:paraId="5BE60F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w:t>
      </w:r>
      <w:r>
        <w:rPr>
          <w:rFonts w:hint="eastAsia" w:ascii="宋体" w:hAnsi="宋体" w:eastAsia="宋体" w:cs="宋体"/>
          <w:color w:val="auto"/>
          <w:sz w:val="24"/>
          <w:szCs w:val="24"/>
          <w:highlight w:val="none"/>
          <w:lang w:val="en-US"/>
        </w:rPr>
        <w:t>95763</w:t>
      </w:r>
      <w:r>
        <w:rPr>
          <w:rFonts w:hint="eastAsia" w:ascii="宋体" w:hAnsi="宋体" w:eastAsia="宋体" w:cs="宋体"/>
          <w:color w:val="auto"/>
          <w:sz w:val="24"/>
          <w:szCs w:val="24"/>
          <w:highlight w:val="none"/>
        </w:rPr>
        <w:t>进行咨询。如因供应商自身原因导致在规定时间内无法正常解密的（如：浏览器故障、未安装相关驱动、网络故障、加密CA与解密CA不一致等），采购代理机构不予异常处理，视为供应商自动弃标。</w:t>
      </w:r>
    </w:p>
    <w:p w14:paraId="68AE9D9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八、对本次采购提出询问，请按以下方式联系</w:t>
      </w:r>
    </w:p>
    <w:p w14:paraId="2A3AF1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078DF14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名称：伊犁哈萨克自治州奎屯医院</w:t>
      </w:r>
    </w:p>
    <w:p w14:paraId="4B9CFFA7">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地址：新疆奎屯市塔城街32号</w:t>
      </w:r>
    </w:p>
    <w:p w14:paraId="311CE3E7">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联系人：李娟</w:t>
      </w:r>
    </w:p>
    <w:p w14:paraId="26E3E4D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联系方式：13899549860</w:t>
      </w:r>
    </w:p>
    <w:p w14:paraId="49865F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9FDC5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名称：新疆嘉铭工程管理有限公司</w:t>
      </w:r>
    </w:p>
    <w:p w14:paraId="583CB5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Calibri" w:eastAsia="宋体" w:cs="宋体"/>
          <w:color w:val="auto"/>
          <w:sz w:val="24"/>
          <w:highlight w:val="none"/>
        </w:rPr>
      </w:pPr>
      <w:r>
        <w:rPr>
          <w:rFonts w:hint="eastAsia" w:ascii="宋体" w:hAnsi="宋体" w:eastAsia="宋体" w:cs="宋体"/>
          <w:color w:val="auto"/>
          <w:sz w:val="24"/>
          <w:szCs w:val="24"/>
          <w:highlight w:val="none"/>
          <w:lang w:val="en-US" w:eastAsia="zh-CN"/>
        </w:rPr>
        <w:t>地址：新疆可克达拉市镇江西路 1360 号建设环保大厦 134 室</w:t>
      </w:r>
    </w:p>
    <w:p w14:paraId="477C2496">
      <w:pPr>
        <w:adjustRightInd w:val="0"/>
        <w:snapToGrid w:val="0"/>
        <w:spacing w:line="360" w:lineRule="auto"/>
        <w:ind w:firstLine="480" w:firstLineChars="200"/>
        <w:rPr>
          <w:rFonts w:hint="eastAsia" w:ascii="宋体" w:hAnsi="Calibri" w:cs="宋体"/>
          <w:color w:val="auto"/>
          <w:sz w:val="24"/>
          <w:highlight w:val="none"/>
          <w:lang w:val="en-US" w:eastAsia="zh-CN"/>
        </w:rPr>
      </w:pPr>
      <w:r>
        <w:rPr>
          <w:rFonts w:hint="eastAsia" w:ascii="宋体" w:hAnsi="Calibri" w:eastAsia="宋体" w:cs="宋体"/>
          <w:color w:val="auto"/>
          <w:sz w:val="24"/>
          <w:highlight w:val="none"/>
          <w:lang w:val="en-US" w:eastAsia="zh-CN"/>
        </w:rPr>
        <w:t xml:space="preserve">联系人： 蔡元菁 </w:t>
      </w:r>
    </w:p>
    <w:p w14:paraId="13F454B7">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Calibri" w:eastAsia="宋体" w:cs="宋体"/>
          <w:color w:val="auto"/>
          <w:sz w:val="24"/>
          <w:highlight w:val="none"/>
          <w:lang w:val="en-US" w:eastAsia="zh-CN"/>
        </w:rPr>
        <w:t>16699315258</w:t>
      </w:r>
    </w:p>
    <w:p w14:paraId="26AABBDA">
      <w:pPr>
        <w:rPr>
          <w:rStyle w:val="51"/>
          <w:rFonts w:hint="eastAsia" w:ascii="宋体" w:hAnsi="宋体" w:eastAsia="宋体" w:cs="宋体"/>
          <w:bCs/>
          <w:color w:val="auto"/>
          <w:highlight w:val="none"/>
          <w:lang w:eastAsia="zh-CN"/>
        </w:rPr>
      </w:pPr>
      <w:bookmarkStart w:id="23" w:name="_Toc24463"/>
      <w:bookmarkStart w:id="24" w:name="_Toc28807"/>
      <w:bookmarkStart w:id="25" w:name="_Toc17236"/>
      <w:r>
        <w:rPr>
          <w:rStyle w:val="51"/>
          <w:rFonts w:hint="eastAsia" w:ascii="宋体" w:hAnsi="宋体" w:eastAsia="宋体" w:cs="宋体"/>
          <w:bCs/>
          <w:color w:val="auto"/>
          <w:highlight w:val="none"/>
          <w:lang w:eastAsia="zh-CN"/>
        </w:rPr>
        <w:br w:type="page"/>
      </w:r>
    </w:p>
    <w:p w14:paraId="322B2B19">
      <w:pPr>
        <w:pStyle w:val="2"/>
        <w:numPr>
          <w:ilvl w:val="0"/>
          <w:numId w:val="0"/>
        </w:numPr>
        <w:bidi w:val="0"/>
        <w:jc w:val="center"/>
        <w:rPr>
          <w:rStyle w:val="51"/>
          <w:rFonts w:hint="eastAsia" w:ascii="宋体" w:hAnsi="宋体" w:eastAsia="宋体" w:cs="宋体"/>
          <w:bCs/>
          <w:color w:val="auto"/>
          <w:sz w:val="28"/>
          <w:szCs w:val="40"/>
          <w:highlight w:val="none"/>
        </w:rPr>
      </w:pPr>
      <w:bookmarkStart w:id="26" w:name="_Toc28406"/>
      <w:r>
        <w:rPr>
          <w:rStyle w:val="51"/>
          <w:rFonts w:hint="eastAsia" w:ascii="宋体" w:hAnsi="宋体" w:eastAsia="宋体" w:cs="宋体"/>
          <w:bCs/>
          <w:color w:val="auto"/>
          <w:sz w:val="28"/>
          <w:szCs w:val="40"/>
          <w:highlight w:val="none"/>
          <w:lang w:eastAsia="zh-CN"/>
        </w:rPr>
        <w:t>第二部分</w:t>
      </w:r>
      <w:r>
        <w:rPr>
          <w:rStyle w:val="51"/>
          <w:rFonts w:hint="eastAsia" w:ascii="宋体" w:hAnsi="宋体" w:eastAsia="宋体" w:cs="宋体"/>
          <w:bCs/>
          <w:color w:val="auto"/>
          <w:sz w:val="28"/>
          <w:szCs w:val="40"/>
          <w:highlight w:val="none"/>
          <w:lang w:val="en-US" w:eastAsia="zh-CN"/>
        </w:rPr>
        <w:t xml:space="preserve">  </w:t>
      </w:r>
      <w:r>
        <w:rPr>
          <w:rStyle w:val="51"/>
          <w:rFonts w:hint="eastAsia" w:ascii="宋体" w:hAnsi="宋体" w:eastAsia="宋体" w:cs="宋体"/>
          <w:bCs/>
          <w:color w:val="auto"/>
          <w:sz w:val="28"/>
          <w:szCs w:val="40"/>
          <w:highlight w:val="none"/>
        </w:rPr>
        <w:t>供应商须知</w:t>
      </w:r>
      <w:bookmarkEnd w:id="7"/>
      <w:bookmarkEnd w:id="23"/>
      <w:bookmarkEnd w:id="24"/>
      <w:bookmarkEnd w:id="25"/>
      <w:bookmarkEnd w:id="26"/>
    </w:p>
    <w:p w14:paraId="54A8B8BE">
      <w:pPr>
        <w:pStyle w:val="3"/>
        <w:jc w:val="center"/>
        <w:rPr>
          <w:rFonts w:hint="eastAsia" w:ascii="宋体" w:hAnsi="宋体" w:eastAsia="宋体" w:cs="宋体"/>
          <w:b/>
          <w:bCs/>
          <w:color w:val="auto"/>
          <w:highlight w:val="none"/>
          <w:lang w:val="en-US" w:eastAsia="zh-CN"/>
        </w:rPr>
      </w:pPr>
      <w:bookmarkStart w:id="27" w:name="_Toc31507"/>
      <w:r>
        <w:rPr>
          <w:rFonts w:hint="eastAsia" w:ascii="宋体" w:hAnsi="宋体" w:eastAsia="宋体" w:cs="宋体"/>
          <w:b/>
          <w:bCs/>
          <w:color w:val="auto"/>
          <w:highlight w:val="none"/>
          <w:lang w:val="en-US" w:eastAsia="zh-CN"/>
        </w:rPr>
        <w:t>供应商须知前附表</w:t>
      </w:r>
      <w:bookmarkEnd w:id="27"/>
    </w:p>
    <w:tbl>
      <w:tblPr>
        <w:tblStyle w:val="3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60"/>
        <w:gridCol w:w="7153"/>
      </w:tblGrid>
      <w:tr w14:paraId="510C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750" w:type="dxa"/>
            <w:noWrap w:val="0"/>
            <w:vAlign w:val="center"/>
          </w:tcPr>
          <w:p w14:paraId="37FF5E5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color w:val="auto"/>
                <w:sz w:val="24"/>
                <w:szCs w:val="24"/>
                <w:highlight w:val="none"/>
              </w:rPr>
            </w:pPr>
            <w:bookmarkStart w:id="28" w:name="_Toc21720"/>
            <w:r>
              <w:rPr>
                <w:rFonts w:hint="eastAsia" w:ascii="宋体" w:hAnsi="宋体" w:eastAsia="宋体" w:cs="宋体"/>
                <w:b/>
                <w:color w:val="auto"/>
                <w:sz w:val="24"/>
                <w:szCs w:val="24"/>
                <w:highlight w:val="none"/>
              </w:rPr>
              <w:t>序号</w:t>
            </w:r>
          </w:p>
        </w:tc>
        <w:tc>
          <w:tcPr>
            <w:tcW w:w="1760" w:type="dxa"/>
            <w:noWrap w:val="0"/>
            <w:vAlign w:val="center"/>
          </w:tcPr>
          <w:p w14:paraId="1E7B29E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53" w:type="dxa"/>
            <w:noWrap w:val="0"/>
            <w:vAlign w:val="center"/>
          </w:tcPr>
          <w:p w14:paraId="496FCC56">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17C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0" w:type="dxa"/>
            <w:noWrap w:val="0"/>
            <w:vAlign w:val="center"/>
          </w:tcPr>
          <w:p w14:paraId="7D21DB0C">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760" w:type="dxa"/>
            <w:noWrap w:val="0"/>
            <w:vAlign w:val="center"/>
          </w:tcPr>
          <w:p w14:paraId="53659898">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7153" w:type="dxa"/>
            <w:noWrap w:val="0"/>
            <w:vAlign w:val="center"/>
          </w:tcPr>
          <w:p w14:paraId="0A1FF01C">
            <w:pPr>
              <w:keepNext w:val="0"/>
              <w:keepLines w:val="0"/>
              <w:pageBreakBefore w:val="0"/>
              <w:widowControl w:val="0"/>
              <w:kinsoku/>
              <w:overflowPunct/>
              <w:topLinePunct w:val="0"/>
              <w:bidi w:val="0"/>
              <w:adjustRightInd w:val="0"/>
              <w:snapToGrid w:val="0"/>
              <w:spacing w:line="240" w:lineRule="auto"/>
              <w:ind w:left="0" w:leftChars="0"/>
              <w:jc w:val="left"/>
              <w:textAlignment w:val="auto"/>
              <w:rPr>
                <w:rFonts w:hint="eastAsia" w:ascii="宋体" w:hAnsi="宋体" w:eastAsia="宋体" w:cs="宋体"/>
                <w:bCs/>
                <w:color w:val="auto"/>
                <w:sz w:val="24"/>
                <w:szCs w:val="24"/>
                <w:highlight w:val="none"/>
                <w:lang w:bidi="zh-CN"/>
              </w:rPr>
            </w:pPr>
            <w:r>
              <w:rPr>
                <w:rFonts w:hint="eastAsia" w:ascii="宋体" w:hAnsi="宋体" w:eastAsia="宋体" w:cstheme="minorBidi"/>
                <w:i w:val="0"/>
                <w:iCs w:val="0"/>
                <w:color w:val="auto"/>
                <w:kern w:val="2"/>
                <w:sz w:val="24"/>
                <w:szCs w:val="22"/>
                <w:highlight w:val="none"/>
                <w:u w:val="none"/>
                <w:lang w:val="hr-HR" w:eastAsia="zh-CN" w:bidi="ar-SA"/>
              </w:rPr>
              <w:t>伊犁哈萨克自治州奎屯医院污水处理站外包服务</w:t>
            </w:r>
            <w:r>
              <w:rPr>
                <w:rFonts w:hint="default" w:ascii="宋体" w:hAnsi="宋体" w:eastAsia="宋体" w:cstheme="minorBidi"/>
                <w:i w:val="0"/>
                <w:iCs w:val="0"/>
                <w:color w:val="auto"/>
                <w:kern w:val="2"/>
                <w:sz w:val="24"/>
                <w:szCs w:val="22"/>
                <w:highlight w:val="none"/>
                <w:u w:val="none"/>
                <w:lang w:val="en-US" w:eastAsia="zh-CN" w:bidi="ar-SA"/>
              </w:rPr>
              <w:t>项目</w:t>
            </w:r>
          </w:p>
        </w:tc>
      </w:tr>
      <w:tr w14:paraId="1237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750" w:type="dxa"/>
            <w:noWrap w:val="0"/>
            <w:vAlign w:val="center"/>
          </w:tcPr>
          <w:p w14:paraId="239A4BD3">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760" w:type="dxa"/>
            <w:noWrap w:val="0"/>
            <w:vAlign w:val="center"/>
          </w:tcPr>
          <w:p w14:paraId="2D88BD57">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7153" w:type="dxa"/>
            <w:noWrap w:val="0"/>
            <w:vAlign w:val="center"/>
          </w:tcPr>
          <w:p w14:paraId="46654E5A">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名称：伊犁哈萨克自治州奎屯医院</w:t>
            </w:r>
          </w:p>
          <w:p w14:paraId="4812D0C1">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地址：新疆奎屯市塔城街32号</w:t>
            </w:r>
          </w:p>
          <w:p w14:paraId="5255B075">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联系人：李娟</w:t>
            </w:r>
          </w:p>
          <w:p w14:paraId="5E945013">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联系方式：13899549860</w:t>
            </w:r>
          </w:p>
        </w:tc>
      </w:tr>
      <w:tr w14:paraId="2574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0" w:type="dxa"/>
            <w:noWrap w:val="0"/>
            <w:vAlign w:val="center"/>
          </w:tcPr>
          <w:p w14:paraId="72BFE5F3">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760" w:type="dxa"/>
            <w:noWrap w:val="0"/>
            <w:vAlign w:val="center"/>
          </w:tcPr>
          <w:p w14:paraId="77201907">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7153" w:type="dxa"/>
            <w:noWrap w:val="0"/>
            <w:vAlign w:val="center"/>
          </w:tcPr>
          <w:p w14:paraId="26D882CC">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名称：新疆嘉铭工程管理有限公司</w:t>
            </w:r>
          </w:p>
          <w:p w14:paraId="468B2C72">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地址：新疆可克达拉市镇江西路 1360 号建设环保大厦 134 室</w:t>
            </w:r>
          </w:p>
          <w:p w14:paraId="21EE94B0">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联系人： 蔡元菁 </w:t>
            </w:r>
          </w:p>
          <w:p w14:paraId="24875FA6">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联系方式：16699315258</w:t>
            </w:r>
          </w:p>
        </w:tc>
      </w:tr>
      <w:tr w14:paraId="4A4A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0" w:type="dxa"/>
            <w:noWrap w:val="0"/>
            <w:vAlign w:val="center"/>
          </w:tcPr>
          <w:p w14:paraId="3EAD4A08">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1760" w:type="dxa"/>
            <w:noWrap w:val="0"/>
            <w:vAlign w:val="center"/>
          </w:tcPr>
          <w:p w14:paraId="22CC0BD8">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w:t>
            </w:r>
          </w:p>
        </w:tc>
        <w:tc>
          <w:tcPr>
            <w:tcW w:w="7153" w:type="dxa"/>
            <w:noWrap w:val="0"/>
            <w:vAlign w:val="center"/>
          </w:tcPr>
          <w:p w14:paraId="554A27E4">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自筹资金</w:t>
            </w:r>
          </w:p>
        </w:tc>
      </w:tr>
      <w:tr w14:paraId="7F5A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0" w:type="dxa"/>
            <w:noWrap w:val="0"/>
            <w:vAlign w:val="center"/>
          </w:tcPr>
          <w:p w14:paraId="6835A74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1760" w:type="dxa"/>
            <w:noWrap w:val="0"/>
            <w:vAlign w:val="center"/>
          </w:tcPr>
          <w:p w14:paraId="451E4CA0">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采购预算</w:t>
            </w:r>
          </w:p>
        </w:tc>
        <w:tc>
          <w:tcPr>
            <w:tcW w:w="7153" w:type="dxa"/>
            <w:noWrap w:val="0"/>
            <w:vAlign w:val="center"/>
          </w:tcPr>
          <w:p w14:paraId="33F9E5A2">
            <w:pPr>
              <w:keepNext w:val="0"/>
              <w:keepLines w:val="0"/>
              <w:pageBreakBefore w:val="0"/>
              <w:widowControl w:val="0"/>
              <w:kinsoku/>
              <w:overflowPunct/>
              <w:topLinePunct w:val="0"/>
              <w:bidi w:val="0"/>
              <w:adjustRightInd w:val="0"/>
              <w:snapToGrid w:val="0"/>
              <w:spacing w:line="240" w:lineRule="auto"/>
              <w:ind w:left="0" w:leftChars="0"/>
              <w:jc w:val="left"/>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59</w:t>
            </w:r>
            <w:r>
              <w:rPr>
                <w:rFonts w:hint="eastAsia" w:ascii="宋体" w:hAnsi="宋体" w:cs="宋体"/>
                <w:color w:val="auto"/>
                <w:sz w:val="24"/>
                <w:szCs w:val="24"/>
                <w:highlight w:val="none"/>
                <w:lang w:eastAsia="zh-CN"/>
              </w:rPr>
              <w:t>0000</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p>
        </w:tc>
      </w:tr>
      <w:tr w14:paraId="708B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trPr>
        <w:tc>
          <w:tcPr>
            <w:tcW w:w="750" w:type="dxa"/>
            <w:noWrap w:val="0"/>
            <w:vAlign w:val="center"/>
          </w:tcPr>
          <w:p w14:paraId="7CAF766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1760" w:type="dxa"/>
            <w:noWrap w:val="0"/>
            <w:vAlign w:val="center"/>
          </w:tcPr>
          <w:p w14:paraId="290071E8">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供应商资格条件</w:t>
            </w:r>
          </w:p>
        </w:tc>
        <w:tc>
          <w:tcPr>
            <w:tcW w:w="7153" w:type="dxa"/>
            <w:noWrap w:val="0"/>
            <w:vAlign w:val="center"/>
          </w:tcPr>
          <w:p w14:paraId="47349EA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满足《中华人民共和国政府采购法》第二十二条规定；</w:t>
            </w:r>
          </w:p>
          <w:p w14:paraId="1E891A5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2.落实政府采购政策需满足的资格要求：本项目专门面向中小企业采购。          </w:t>
            </w:r>
          </w:p>
          <w:p w14:paraId="0BD59DD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3.本项目的特定资格要求：无。</w:t>
            </w:r>
          </w:p>
          <w:p w14:paraId="3765929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7ACED66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（1）法定代表人或单位负责人为同一人或者存在直接控股、管理关系的不同供应商，不得参加同一合同项下的政府采购活动。</w:t>
            </w:r>
          </w:p>
          <w:p w14:paraId="2C12ED3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（2）除单一来源采购项目外，为采购项目提供整体设计、规范编制或者项目管理、监理、检测等服务的供应商，不得再参加该采购项目的其他采购活动。</w:t>
            </w:r>
          </w:p>
          <w:p w14:paraId="6A52767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（3）供应商的信用行为：在资格审查阶段经查询，未被列入“失信被执行人”、“重大税收违法失信主体”、“政府采购严重违法失信行为记录名单”其中之一。如有以上不良信用记录之一的，其响应无效。</w:t>
            </w:r>
          </w:p>
        </w:tc>
      </w:tr>
      <w:tr w14:paraId="574F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750" w:type="dxa"/>
            <w:noWrap w:val="0"/>
            <w:vAlign w:val="center"/>
          </w:tcPr>
          <w:p w14:paraId="10AB09DE">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760" w:type="dxa"/>
            <w:noWrap w:val="0"/>
            <w:vAlign w:val="center"/>
          </w:tcPr>
          <w:p w14:paraId="74E01CE0">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7153" w:type="dxa"/>
            <w:noWrap w:val="0"/>
            <w:vAlign w:val="center"/>
          </w:tcPr>
          <w:p w14:paraId="3C907C2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1609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14:paraId="1D7B7761">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p>
        </w:tc>
        <w:tc>
          <w:tcPr>
            <w:tcW w:w="1760" w:type="dxa"/>
            <w:noWrap w:val="0"/>
            <w:vAlign w:val="center"/>
          </w:tcPr>
          <w:p w14:paraId="5BA8443B">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7153" w:type="dxa"/>
            <w:noWrap w:val="0"/>
            <w:vAlign w:val="center"/>
          </w:tcPr>
          <w:p w14:paraId="4BF31A31">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748FC35C">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5124FDEC">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专门面向</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小企业采购项目。即：供应商为</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小微企业或监狱企业或残疾人福利性单位；供应商提供的货物全部由符合政策要求的</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小微企业制造、服务和工程全部由符合政策要求的</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小微企业承接。</w:t>
            </w:r>
          </w:p>
          <w:p w14:paraId="528404B3">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0F568952">
            <w:pPr>
              <w:keepNext w:val="0"/>
              <w:keepLines w:val="0"/>
              <w:pageBreakBefore w:val="0"/>
              <w:widowControl w:val="0"/>
              <w:numPr>
                <w:ilvl w:val="0"/>
                <w:numId w:val="0"/>
              </w:numPr>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其它落实政府采购政策的资格要求</w:t>
            </w:r>
          </w:p>
          <w:p w14:paraId="66ACCF89">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未达到政府采购限额标准，不落实政府采购政策的资格要求。</w:t>
            </w:r>
          </w:p>
        </w:tc>
      </w:tr>
      <w:tr w14:paraId="6A0F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50" w:type="dxa"/>
            <w:noWrap w:val="0"/>
            <w:vAlign w:val="center"/>
          </w:tcPr>
          <w:p w14:paraId="29A67B98">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9</w:t>
            </w:r>
          </w:p>
        </w:tc>
        <w:tc>
          <w:tcPr>
            <w:tcW w:w="1760" w:type="dxa"/>
            <w:noWrap w:val="0"/>
            <w:vAlign w:val="center"/>
          </w:tcPr>
          <w:p w14:paraId="47F1BC84">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价格评审优惠</w:t>
            </w:r>
          </w:p>
        </w:tc>
        <w:tc>
          <w:tcPr>
            <w:tcW w:w="7153" w:type="dxa"/>
            <w:noWrap w:val="0"/>
            <w:vAlign w:val="center"/>
          </w:tcPr>
          <w:p w14:paraId="3EF6E95A">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的</w:t>
            </w:r>
            <w:r>
              <w:rPr>
                <w:rFonts w:hint="eastAsia" w:ascii="宋体" w:hAnsi="宋体" w:eastAsia="宋体" w:cs="宋体"/>
                <w:color w:val="auto"/>
                <w:sz w:val="24"/>
                <w:szCs w:val="24"/>
                <w:highlight w:val="none"/>
                <w:lang w:eastAsia="zh-CN"/>
              </w:rPr>
              <w:t>扣除</w:t>
            </w:r>
          </w:p>
          <w:p w14:paraId="52D029AA">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报价不给予扣除</w:t>
            </w:r>
          </w:p>
        </w:tc>
      </w:tr>
      <w:tr w14:paraId="7E1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50" w:type="dxa"/>
            <w:noWrap w:val="0"/>
            <w:vAlign w:val="center"/>
          </w:tcPr>
          <w:p w14:paraId="0A62F431">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760" w:type="dxa"/>
            <w:noWrap w:val="0"/>
            <w:vAlign w:val="center"/>
          </w:tcPr>
          <w:p w14:paraId="545F875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7153" w:type="dxa"/>
            <w:noWrap w:val="0"/>
            <w:vAlign w:val="center"/>
          </w:tcPr>
          <w:p w14:paraId="2E7CDDCA">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theme="minorBidi"/>
                <w:i w:val="0"/>
                <w:iCs w:val="0"/>
                <w:color w:val="auto"/>
                <w:kern w:val="2"/>
                <w:sz w:val="24"/>
                <w:szCs w:val="22"/>
                <w:highlight w:val="none"/>
                <w:u w:val="none"/>
                <w:lang w:val="hr-HR" w:eastAsia="zh-CN" w:bidi="ar-SA"/>
              </w:rPr>
              <w:t>伊犁哈萨克自治州奎屯医院污水处理站外包服务</w:t>
            </w:r>
            <w:r>
              <w:rPr>
                <w:rFonts w:hint="default" w:ascii="宋体" w:hAnsi="宋体" w:eastAsia="宋体" w:cstheme="minorBidi"/>
                <w:i w:val="0"/>
                <w:iCs w:val="0"/>
                <w:color w:val="auto"/>
                <w:kern w:val="2"/>
                <w:sz w:val="24"/>
                <w:szCs w:val="22"/>
                <w:highlight w:val="none"/>
                <w:u w:val="none"/>
                <w:lang w:val="en-US" w:eastAsia="zh-CN" w:bidi="ar-SA"/>
              </w:rPr>
              <w:t>项目</w:t>
            </w:r>
          </w:p>
        </w:tc>
      </w:tr>
      <w:tr w14:paraId="227E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0" w:type="dxa"/>
            <w:noWrap w:val="0"/>
            <w:vAlign w:val="center"/>
          </w:tcPr>
          <w:p w14:paraId="7CBF5BC4">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760" w:type="dxa"/>
            <w:noWrap w:val="0"/>
            <w:vAlign w:val="center"/>
          </w:tcPr>
          <w:p w14:paraId="554E490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标的所属行业</w:t>
            </w:r>
          </w:p>
        </w:tc>
        <w:tc>
          <w:tcPr>
            <w:tcW w:w="7153" w:type="dxa"/>
            <w:noWrap w:val="0"/>
            <w:vAlign w:val="center"/>
          </w:tcPr>
          <w:p w14:paraId="121B1925">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其他未列明行业</w:t>
            </w:r>
          </w:p>
        </w:tc>
      </w:tr>
      <w:tr w14:paraId="2929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50" w:type="dxa"/>
            <w:noWrap w:val="0"/>
            <w:vAlign w:val="center"/>
          </w:tcPr>
          <w:p w14:paraId="4A94FCD3">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760" w:type="dxa"/>
            <w:noWrap w:val="0"/>
            <w:vAlign w:val="center"/>
          </w:tcPr>
          <w:p w14:paraId="598F199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联合体投标</w:t>
            </w:r>
          </w:p>
        </w:tc>
        <w:tc>
          <w:tcPr>
            <w:tcW w:w="7153" w:type="dxa"/>
            <w:noWrap w:val="0"/>
            <w:vAlign w:val="center"/>
          </w:tcPr>
          <w:p w14:paraId="21C848F7">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w:t>
            </w:r>
          </w:p>
          <w:p w14:paraId="742D9414">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w:t>
            </w:r>
          </w:p>
        </w:tc>
      </w:tr>
      <w:tr w14:paraId="2669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0" w:type="dxa"/>
            <w:noWrap w:val="0"/>
            <w:vAlign w:val="center"/>
          </w:tcPr>
          <w:p w14:paraId="5327E9D1">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760" w:type="dxa"/>
            <w:noWrap w:val="0"/>
            <w:vAlign w:val="center"/>
          </w:tcPr>
          <w:p w14:paraId="2A54C17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信息公告媒体</w:t>
            </w:r>
          </w:p>
        </w:tc>
        <w:tc>
          <w:tcPr>
            <w:tcW w:w="7153" w:type="dxa"/>
            <w:noWrap w:val="0"/>
            <w:vAlign w:val="center"/>
          </w:tcPr>
          <w:p w14:paraId="1FE070E5">
            <w:pPr>
              <w:keepNext w:val="0"/>
              <w:keepLines w:val="0"/>
              <w:pageBreakBefore w:val="0"/>
              <w:widowControl w:val="0"/>
              <w:kinsoku/>
              <w:overflowPunct/>
              <w:topLinePunct w:val="0"/>
              <w:bidi w:val="0"/>
              <w:adjustRightInd w:val="0"/>
              <w:snapToGrid w:val="0"/>
              <w:spacing w:line="240" w:lineRule="auto"/>
              <w:ind w:left="0" w:left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新疆政府采购网</w:t>
            </w:r>
          </w:p>
        </w:tc>
      </w:tr>
      <w:tr w14:paraId="414A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50" w:type="dxa"/>
            <w:noWrap w:val="0"/>
            <w:vAlign w:val="center"/>
          </w:tcPr>
          <w:p w14:paraId="523A58AF">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1760" w:type="dxa"/>
            <w:noWrap w:val="0"/>
            <w:vAlign w:val="center"/>
          </w:tcPr>
          <w:p w14:paraId="313E439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w:t>
            </w:r>
            <w:r>
              <w:rPr>
                <w:rFonts w:hint="eastAsia" w:ascii="宋体" w:hAnsi="宋体" w:eastAsia="宋体" w:cs="宋体"/>
                <w:color w:val="auto"/>
                <w:kern w:val="2"/>
                <w:sz w:val="24"/>
                <w:szCs w:val="24"/>
                <w:highlight w:val="none"/>
                <w:lang w:val="en-US" w:eastAsia="zh-CN" w:bidi="ar-SA"/>
              </w:rPr>
              <w:t>递交（上传）截止时间及开标时间（响应文件解密时间）</w:t>
            </w:r>
          </w:p>
        </w:tc>
        <w:tc>
          <w:tcPr>
            <w:tcW w:w="7153" w:type="dxa"/>
            <w:noWrap w:val="0"/>
            <w:vAlign w:val="center"/>
          </w:tcPr>
          <w:p w14:paraId="0D507A2C">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2026年06月18日11:00</w:t>
            </w:r>
            <w:r>
              <w:rPr>
                <w:rFonts w:hint="eastAsia" w:ascii="宋体" w:hAnsi="宋体" w:eastAsia="宋体" w:cs="宋体"/>
                <w:bCs/>
                <w:color w:val="auto"/>
                <w:sz w:val="24"/>
                <w:szCs w:val="24"/>
                <w:highlight w:val="none"/>
              </w:rPr>
              <w:t>（北京时间）</w:t>
            </w:r>
          </w:p>
        </w:tc>
      </w:tr>
      <w:tr w14:paraId="0B15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0" w:type="dxa"/>
            <w:noWrap w:val="0"/>
            <w:vAlign w:val="center"/>
          </w:tcPr>
          <w:p w14:paraId="69558F7D">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760" w:type="dxa"/>
            <w:noWrap w:val="0"/>
            <w:vAlign w:val="center"/>
          </w:tcPr>
          <w:p w14:paraId="24649F38">
            <w:pPr>
              <w:spacing w:line="320" w:lineRule="exact"/>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响应</w:t>
            </w:r>
            <w:r>
              <w:rPr>
                <w:rFonts w:hint="eastAsia" w:ascii="宋体" w:hAnsi="宋体" w:cs="宋体"/>
                <w:b w:val="0"/>
                <w:bCs w:val="0"/>
                <w:color w:val="auto"/>
                <w:sz w:val="24"/>
                <w:highlight w:val="none"/>
              </w:rPr>
              <w:t>文件</w:t>
            </w:r>
          </w:p>
          <w:p w14:paraId="39643E93">
            <w:pPr>
              <w:spacing w:line="320" w:lineRule="exact"/>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highlight w:val="none"/>
              </w:rPr>
              <w:t>解密时长</w:t>
            </w:r>
          </w:p>
        </w:tc>
        <w:tc>
          <w:tcPr>
            <w:tcW w:w="7153" w:type="dxa"/>
            <w:noWrap w:val="0"/>
            <w:vAlign w:val="center"/>
          </w:tcPr>
          <w:p w14:paraId="414197E5">
            <w:pPr>
              <w:spacing w:line="320" w:lineRule="exact"/>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0分钟</w:t>
            </w:r>
          </w:p>
        </w:tc>
      </w:tr>
      <w:tr w14:paraId="308F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50" w:type="dxa"/>
            <w:noWrap w:val="0"/>
            <w:vAlign w:val="center"/>
          </w:tcPr>
          <w:p w14:paraId="742FD79B">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1760" w:type="dxa"/>
            <w:noWrap w:val="0"/>
            <w:vAlign w:val="center"/>
          </w:tcPr>
          <w:p w14:paraId="0D6D1AA4">
            <w:pPr>
              <w:spacing w:line="320" w:lineRule="exact"/>
              <w:jc w:val="center"/>
              <w:rPr>
                <w:rFonts w:hint="eastAsia" w:ascii="宋体" w:hAnsi="宋体" w:eastAsia="宋体" w:cs="宋体"/>
                <w:b w:val="0"/>
                <w:bCs w:val="0"/>
                <w:color w:val="auto"/>
                <w:sz w:val="24"/>
                <w:szCs w:val="24"/>
                <w:highlight w:val="none"/>
              </w:rPr>
            </w:pPr>
            <w:r>
              <w:rPr>
                <w:rFonts w:hint="eastAsia" w:ascii="宋体" w:hAnsi="宋体" w:cs="宋体"/>
                <w:b w:val="0"/>
                <w:bCs/>
                <w:color w:val="auto"/>
                <w:kern w:val="0"/>
                <w:sz w:val="24"/>
                <w:szCs w:val="24"/>
                <w:highlight w:val="none"/>
                <w:lang w:eastAsia="zh-CN"/>
              </w:rPr>
              <w:t>响应</w:t>
            </w:r>
            <w:r>
              <w:rPr>
                <w:rFonts w:hint="eastAsia" w:ascii="宋体" w:hAnsi="宋体" w:cs="宋体"/>
                <w:b w:val="0"/>
                <w:bCs/>
                <w:color w:val="auto"/>
                <w:kern w:val="0"/>
                <w:sz w:val="24"/>
                <w:szCs w:val="24"/>
                <w:highlight w:val="none"/>
              </w:rPr>
              <w:t>文件递交（上传）地点</w:t>
            </w:r>
          </w:p>
        </w:tc>
        <w:tc>
          <w:tcPr>
            <w:tcW w:w="7153" w:type="dxa"/>
            <w:noWrap w:val="0"/>
            <w:vAlign w:val="center"/>
          </w:tcPr>
          <w:p w14:paraId="0751F25B">
            <w:pPr>
              <w:spacing w:line="32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政采云投标客户端</w:t>
            </w:r>
          </w:p>
        </w:tc>
      </w:tr>
      <w:tr w14:paraId="563C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50" w:type="dxa"/>
            <w:noWrap w:val="0"/>
            <w:vAlign w:val="center"/>
          </w:tcPr>
          <w:p w14:paraId="0CD8F59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7</w:t>
            </w:r>
          </w:p>
        </w:tc>
        <w:tc>
          <w:tcPr>
            <w:tcW w:w="1760" w:type="dxa"/>
            <w:noWrap w:val="0"/>
            <w:vAlign w:val="center"/>
          </w:tcPr>
          <w:p w14:paraId="17E01A66">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磋商小组的组建及评审专家的确定方式</w:t>
            </w:r>
          </w:p>
        </w:tc>
        <w:tc>
          <w:tcPr>
            <w:tcW w:w="7153" w:type="dxa"/>
            <w:noWrap w:val="0"/>
            <w:vAlign w:val="center"/>
          </w:tcPr>
          <w:p w14:paraId="752F788C">
            <w:pPr>
              <w:spacing w:line="32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小组</w:t>
            </w:r>
            <w:r>
              <w:rPr>
                <w:rFonts w:hint="eastAsia" w:ascii="宋体" w:hAnsi="宋体" w:cs="宋体"/>
                <w:color w:val="auto"/>
                <w:sz w:val="24"/>
                <w:szCs w:val="24"/>
                <w:highlight w:val="none"/>
                <w:lang w:eastAsia="zh-CN"/>
              </w:rPr>
              <w:t>人员</w:t>
            </w:r>
            <w:r>
              <w:rPr>
                <w:rFonts w:hint="eastAsia" w:ascii="宋体" w:hAnsi="宋体" w:cs="宋体"/>
                <w:color w:val="auto"/>
                <w:sz w:val="24"/>
                <w:szCs w:val="24"/>
                <w:highlight w:val="none"/>
                <w:lang w:val="en-US" w:eastAsia="zh-CN"/>
              </w:rPr>
              <w:t>组成</w:t>
            </w:r>
            <w:r>
              <w:rPr>
                <w:rFonts w:hint="eastAsia" w:ascii="宋体" w:hAnsi="宋体" w:cs="宋体"/>
                <w:b/>
                <w:color w:val="auto"/>
                <w:sz w:val="24"/>
                <w:szCs w:val="24"/>
                <w:highlight w:val="none"/>
              </w:rPr>
              <w:t>：</w:t>
            </w:r>
            <w:r>
              <w:rPr>
                <w:rFonts w:hint="eastAsia" w:ascii="宋体" w:hAnsi="宋体" w:cs="宋体"/>
                <w:b w:val="0"/>
                <w:bCs/>
                <w:color w:val="auto"/>
                <w:sz w:val="24"/>
                <w:szCs w:val="24"/>
                <w:highlight w:val="none"/>
                <w:lang w:val="en-US" w:eastAsia="zh-CN"/>
              </w:rPr>
              <w:t>共3人；专家2</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业主专家1人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2849BE5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评审专家</w:t>
            </w:r>
            <w:r>
              <w:rPr>
                <w:rFonts w:hint="eastAsia" w:ascii="宋体" w:hAnsi="宋体" w:cs="宋体"/>
                <w:color w:val="auto"/>
                <w:sz w:val="24"/>
                <w:szCs w:val="24"/>
                <w:highlight w:val="none"/>
              </w:rPr>
              <w:t>确定方式：</w:t>
            </w:r>
            <w:r>
              <w:rPr>
                <w:rFonts w:hint="eastAsia" w:ascii="宋体" w:hAnsi="宋体" w:cs="宋体"/>
                <w:color w:val="auto"/>
                <w:sz w:val="24"/>
                <w:szCs w:val="24"/>
                <w:highlight w:val="none"/>
                <w:lang w:val="en-US" w:eastAsia="zh-CN"/>
              </w:rPr>
              <w:t>政采云专家库</w:t>
            </w:r>
            <w:r>
              <w:rPr>
                <w:rFonts w:hint="eastAsia" w:ascii="宋体" w:hAnsi="宋体" w:cs="宋体"/>
                <w:color w:val="auto"/>
                <w:sz w:val="24"/>
                <w:szCs w:val="24"/>
                <w:highlight w:val="none"/>
              </w:rPr>
              <w:t>抽取</w:t>
            </w:r>
          </w:p>
        </w:tc>
      </w:tr>
      <w:tr w14:paraId="02FB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0" w:type="dxa"/>
            <w:noWrap w:val="0"/>
            <w:vAlign w:val="center"/>
          </w:tcPr>
          <w:p w14:paraId="0EE899D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8</w:t>
            </w:r>
          </w:p>
        </w:tc>
        <w:tc>
          <w:tcPr>
            <w:tcW w:w="1760" w:type="dxa"/>
            <w:noWrap w:val="0"/>
            <w:vAlign w:val="center"/>
          </w:tcPr>
          <w:p w14:paraId="3E6F124D">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磋商保证金</w:t>
            </w:r>
          </w:p>
        </w:tc>
        <w:tc>
          <w:tcPr>
            <w:tcW w:w="7153" w:type="dxa"/>
            <w:noWrap w:val="0"/>
            <w:vAlign w:val="center"/>
          </w:tcPr>
          <w:p w14:paraId="2A306194">
            <w:pPr>
              <w:pStyle w:val="157"/>
              <w:spacing w:line="420" w:lineRule="exact"/>
              <w:ind w:firstLine="0" w:firstLineChars="0"/>
              <w:rPr>
                <w:rFonts w:hint="eastAsia" w:ascii="宋体" w:hAnsi="宋体" w:eastAsia="宋体" w:cs="宋体"/>
                <w:color w:val="auto"/>
                <w:szCs w:val="28"/>
                <w:lang w:val="en-US" w:eastAsia="zh-CN"/>
              </w:rPr>
            </w:pPr>
            <w:r>
              <w:rPr>
                <w:rFonts w:hint="eastAsia" w:ascii="宋体" w:hAnsi="宋体" w:eastAsia="宋体" w:cs="宋体"/>
                <w:b/>
                <w:bCs/>
                <w:color w:val="auto"/>
                <w:szCs w:val="28"/>
                <w:highlight w:val="none"/>
                <w:lang w:val="en-US" w:eastAsia="zh-CN"/>
              </w:rPr>
              <w:t>投标</w:t>
            </w:r>
            <w:r>
              <w:rPr>
                <w:rFonts w:hint="eastAsia" w:ascii="宋体" w:hAnsi="宋体" w:eastAsia="宋体" w:cs="宋体"/>
                <w:b/>
                <w:bCs/>
                <w:color w:val="auto"/>
                <w:szCs w:val="28"/>
                <w:highlight w:val="none"/>
              </w:rPr>
              <w:t>保证金形式：</w:t>
            </w:r>
            <w:r>
              <w:rPr>
                <w:rFonts w:hint="eastAsia" w:ascii="宋体" w:hAnsi="宋体" w:eastAsia="宋体" w:cs="宋体"/>
                <w:b/>
                <w:bCs/>
                <w:snapToGrid w:val="0"/>
                <w:color w:val="auto"/>
                <w:sz w:val="28"/>
                <w:szCs w:val="28"/>
                <w:highlight w:val="none"/>
              </w:rPr>
              <w:t>保证金应当按照《关于进一步规范政府采购保证金管理的通知》(新财购(2023]26号)第一条政府采购保证金应当以支票、汇票、本票或者金融机构、担保机构出具的保函等非现金形式提交，积极推广电子保函，支持用电子保函替代保证金执行。</w:t>
            </w:r>
          </w:p>
          <w:p w14:paraId="58A05B0B">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w:t>
            </w:r>
            <w:r>
              <w:rPr>
                <w:rFonts w:hint="eastAsia" w:ascii="宋体" w:hAnsi="宋体" w:cs="宋体"/>
                <w:color w:val="auto"/>
                <w:sz w:val="24"/>
                <w:szCs w:val="24"/>
                <w:highlight w:val="none"/>
                <w:lang w:val="en-US" w:eastAsia="zh-CN"/>
              </w:rPr>
              <w:t>10000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元（大写：</w:t>
            </w:r>
            <w:r>
              <w:rPr>
                <w:rFonts w:hint="eastAsia" w:ascii="宋体" w:hAnsi="宋体" w:cs="宋体"/>
                <w:color w:val="auto"/>
                <w:sz w:val="24"/>
                <w:szCs w:val="24"/>
                <w:highlight w:val="none"/>
                <w:lang w:val="en-US" w:eastAsia="zh-CN"/>
              </w:rPr>
              <w:t>壹万元整</w:t>
            </w:r>
            <w:r>
              <w:rPr>
                <w:rFonts w:hint="eastAsia" w:ascii="宋体" w:hAnsi="宋体" w:eastAsia="宋体" w:cs="宋体"/>
                <w:color w:val="auto"/>
                <w:sz w:val="24"/>
                <w:szCs w:val="24"/>
                <w:highlight w:val="none"/>
              </w:rPr>
              <w:t>）</w:t>
            </w:r>
          </w:p>
          <w:p w14:paraId="2E4FA6B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w:t>
            </w:r>
            <w:r>
              <w:rPr>
                <w:rFonts w:hint="eastAsia" w:ascii="宋体" w:hAnsi="宋体" w:eastAsia="宋体" w:cs="宋体"/>
                <w:color w:val="auto"/>
                <w:sz w:val="24"/>
                <w:szCs w:val="24"/>
                <w:highlight w:val="none"/>
                <w:lang w:val="en-US" w:eastAsia="zh-CN"/>
              </w:rPr>
              <w:t>截止日期</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 时</w:t>
            </w:r>
            <w:r>
              <w:rPr>
                <w:rFonts w:hint="eastAsia" w:ascii="宋体" w:hAnsi="宋体" w:eastAsia="宋体" w:cs="宋体"/>
                <w:color w:val="auto"/>
                <w:sz w:val="24"/>
                <w:szCs w:val="24"/>
                <w:highlight w:val="none"/>
                <w:lang w:eastAsia="zh-CN"/>
              </w:rPr>
              <w:t>之前，</w:t>
            </w:r>
          </w:p>
          <w:p w14:paraId="20F0853A">
            <w:pPr>
              <w:pStyle w:val="14"/>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（1）投标保证金以非现金形式的银行转账（网银或电汇转账的形式由供应商的基本账户汇出）、保函、支票、汇票、本票方式提交。 </w:t>
            </w:r>
          </w:p>
          <w:p w14:paraId="6E41E9FE">
            <w:pPr>
              <w:pStyle w:val="14"/>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 </w:t>
            </w:r>
          </w:p>
          <w:p w14:paraId="0038D602">
            <w:pPr>
              <w:pStyle w:val="14"/>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（3）供应商缴纳投标保证金时，需备注项目编号、项目名称（或项目简称），于投标文件上传截止时间前交至招标代理机构指定账户（以实际到账时间为准，逾期无效），公示期结束后予以退还。 </w:t>
            </w:r>
          </w:p>
          <w:p w14:paraId="7EE0D6A7">
            <w:pPr>
              <w:pStyle w:val="14"/>
              <w:rPr>
                <w:rFonts w:hint="eastAsia" w:ascii="宋体" w:hAnsi="宋体" w:eastAsia="宋体" w:cs="宋体"/>
                <w:color w:val="auto"/>
              </w:rPr>
            </w:pPr>
            <w:r>
              <w:rPr>
                <w:rFonts w:hint="eastAsia" w:ascii="宋体" w:hAnsi="宋体" w:eastAsia="宋体" w:cs="宋体"/>
                <w:color w:val="auto"/>
                <w:lang w:val="en-US" w:eastAsia="zh-CN"/>
              </w:rPr>
              <w:t>（4）投标保证金未按规定时间缴纳或提交金额不足的，其投标将被否决，供应商应充分考虑资金在途时间；</w:t>
            </w:r>
          </w:p>
          <w:p w14:paraId="001EFEDD">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招标人指定的开户银行及账号如下： </w:t>
            </w:r>
          </w:p>
          <w:p w14:paraId="25C46E81">
            <w:pPr>
              <w:pStyle w:val="151"/>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新疆嘉铭工程管理有限公司</w:t>
            </w:r>
          </w:p>
          <w:p w14:paraId="2E4DD9F6">
            <w:pPr>
              <w:pStyle w:val="151"/>
              <w:spacing w:line="340" w:lineRule="exac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收</w:t>
            </w:r>
            <w:r>
              <w:rPr>
                <w:rFonts w:hint="eastAsia" w:ascii="宋体" w:hAnsi="宋体" w:eastAsia="宋体" w:cs="宋体"/>
                <w:i w:val="0"/>
                <w:iCs w:val="0"/>
                <w:color w:val="auto"/>
                <w:sz w:val="24"/>
                <w:szCs w:val="24"/>
                <w:highlight w:val="none"/>
                <w:lang w:val="en-US" w:eastAsia="zh-CN"/>
              </w:rPr>
              <w:t>取账</w:t>
            </w:r>
            <w:r>
              <w:rPr>
                <w:rFonts w:hint="eastAsia" w:ascii="宋体" w:hAnsi="宋体" w:eastAsia="宋体" w:cs="宋体"/>
                <w:i w:val="0"/>
                <w:iCs w:val="0"/>
                <w:color w:val="auto"/>
                <w:sz w:val="24"/>
                <w:szCs w:val="24"/>
                <w:highlight w:val="none"/>
              </w:rPr>
              <w:t>号：</w:t>
            </w:r>
            <w:r>
              <w:rPr>
                <w:rFonts w:hint="eastAsia" w:ascii="宋体" w:hAnsi="宋体" w:eastAsia="宋体" w:cs="宋体"/>
                <w:i w:val="0"/>
                <w:iCs w:val="0"/>
                <w:color w:val="auto"/>
                <w:sz w:val="24"/>
                <w:szCs w:val="24"/>
                <w:highlight w:val="none"/>
                <w:lang w:val="en-US" w:eastAsia="zh-CN"/>
              </w:rPr>
              <w:t>30736801040009278</w:t>
            </w:r>
          </w:p>
          <w:p w14:paraId="3FE2F8B0">
            <w:pPr>
              <w:pStyle w:val="151"/>
              <w:spacing w:line="340" w:lineRule="exac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行号：103899473682</w:t>
            </w:r>
          </w:p>
          <w:p w14:paraId="717964D8">
            <w:pPr>
              <w:pStyle w:val="151"/>
              <w:spacing w:line="340" w:lineRule="exac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lang w:val="en-US" w:eastAsia="zh-CN"/>
              </w:rPr>
              <w:t>中国农业银行股份有限公司可克达拉市兵团支行</w:t>
            </w:r>
          </w:p>
          <w:p w14:paraId="08AAECE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退还时间：未</w:t>
            </w:r>
            <w:r>
              <w:rPr>
                <w:rFonts w:hint="eastAsia" w:ascii="宋体" w:hAnsi="宋体" w:eastAsia="宋体"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供应商的保证金在</w:t>
            </w:r>
            <w:r>
              <w:rPr>
                <w:rFonts w:hint="eastAsia" w:ascii="宋体" w:hAnsi="宋体" w:eastAsia="宋体"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通知书发出后5个工作日内退还，</w:t>
            </w:r>
            <w:r>
              <w:rPr>
                <w:rFonts w:hint="eastAsia" w:ascii="宋体" w:hAnsi="宋体" w:eastAsia="宋体"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 xml:space="preserve">供应商的保证金在采购合同签订后5个工作日内退还。 </w:t>
            </w:r>
          </w:p>
          <w:p w14:paraId="2ABB98D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备注须填写项目名称（项目名称可简写，但内容要明确）</w:t>
            </w:r>
          </w:p>
        </w:tc>
      </w:tr>
      <w:tr w14:paraId="429C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50" w:type="dxa"/>
            <w:noWrap w:val="0"/>
            <w:vAlign w:val="center"/>
          </w:tcPr>
          <w:p w14:paraId="722F4175">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9</w:t>
            </w:r>
          </w:p>
        </w:tc>
        <w:tc>
          <w:tcPr>
            <w:tcW w:w="1760" w:type="dxa"/>
            <w:noWrap w:val="0"/>
            <w:vAlign w:val="center"/>
          </w:tcPr>
          <w:p w14:paraId="0D7F6511">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评审办法</w:t>
            </w:r>
          </w:p>
        </w:tc>
        <w:tc>
          <w:tcPr>
            <w:tcW w:w="7153" w:type="dxa"/>
            <w:noWrap w:val="0"/>
            <w:vAlign w:val="center"/>
          </w:tcPr>
          <w:p w14:paraId="3F1C484A">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综合评分法，即指投标</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文件满足</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文件全部实质性要求且按照评审因素的量化指标评审得分最高的投标人为中标</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候选人的评标方法。每一投标人的最终得分为所有评委评分的算术平均值。得分相同的，报价较低的一方为</w:t>
            </w:r>
            <w:r>
              <w:rPr>
                <w:rFonts w:hint="eastAsia" w:ascii="宋体" w:hAnsi="宋体" w:cs="宋体"/>
                <w:bCs/>
                <w:color w:val="auto"/>
                <w:sz w:val="24"/>
                <w:szCs w:val="24"/>
                <w:highlight w:val="none"/>
                <w:lang w:val="en-US" w:eastAsia="zh-CN"/>
              </w:rPr>
              <w:t>推荐候选</w:t>
            </w:r>
            <w:r>
              <w:rPr>
                <w:rFonts w:hint="eastAsia" w:ascii="宋体" w:hAnsi="宋体" w:eastAsia="宋体" w:cs="宋体"/>
                <w:bCs/>
                <w:color w:val="auto"/>
                <w:sz w:val="24"/>
                <w:szCs w:val="24"/>
                <w:highlight w:val="none"/>
              </w:rPr>
              <w:t>中标</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人。得分且</w:t>
            </w:r>
            <w:r>
              <w:rPr>
                <w:rFonts w:hint="eastAsia" w:ascii="宋体" w:hAnsi="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相同的，技术指标较优的一方为</w:t>
            </w:r>
            <w:r>
              <w:rPr>
                <w:rFonts w:hint="eastAsia" w:ascii="宋体" w:hAnsi="宋体" w:cs="宋体"/>
                <w:bCs/>
                <w:color w:val="auto"/>
                <w:sz w:val="24"/>
                <w:szCs w:val="24"/>
                <w:highlight w:val="none"/>
                <w:lang w:val="en-US" w:eastAsia="zh-CN"/>
              </w:rPr>
              <w:t>推荐候选</w:t>
            </w:r>
            <w:r>
              <w:rPr>
                <w:rFonts w:hint="eastAsia" w:ascii="宋体" w:hAnsi="宋体" w:eastAsia="宋体" w:cs="宋体"/>
                <w:bCs/>
                <w:color w:val="auto"/>
                <w:sz w:val="24"/>
                <w:szCs w:val="24"/>
                <w:highlight w:val="none"/>
              </w:rPr>
              <w:t>中标</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人。</w:t>
            </w:r>
          </w:p>
          <w:p w14:paraId="535443D0">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default" w:ascii="宋体" w:hAnsi="宋体" w:eastAsia="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推荐候选中标人：</w:t>
            </w:r>
            <w:r>
              <w:rPr>
                <w:rFonts w:hint="eastAsia" w:ascii="宋体" w:hAnsi="宋体" w:cs="宋体"/>
                <w:b/>
                <w:bCs w:val="0"/>
                <w:color w:val="auto"/>
                <w:sz w:val="24"/>
                <w:szCs w:val="24"/>
                <w:highlight w:val="none"/>
                <w:u w:val="single"/>
                <w:lang w:val="en-US" w:eastAsia="zh-CN"/>
              </w:rPr>
              <w:t>三家</w:t>
            </w:r>
          </w:p>
        </w:tc>
      </w:tr>
      <w:tr w14:paraId="023D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0" w:type="dxa"/>
            <w:noWrap w:val="0"/>
            <w:vAlign w:val="center"/>
          </w:tcPr>
          <w:p w14:paraId="3E3C777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c>
          <w:tcPr>
            <w:tcW w:w="1760" w:type="dxa"/>
            <w:noWrap w:val="0"/>
            <w:vAlign w:val="center"/>
          </w:tcPr>
          <w:p w14:paraId="0DF1303B">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磋商有效期</w:t>
            </w:r>
          </w:p>
        </w:tc>
        <w:tc>
          <w:tcPr>
            <w:tcW w:w="7153" w:type="dxa"/>
            <w:noWrap w:val="0"/>
            <w:vAlign w:val="center"/>
          </w:tcPr>
          <w:p w14:paraId="50105BCB">
            <w:pPr>
              <w:keepNext w:val="0"/>
              <w:keepLines w:val="0"/>
              <w:pageBreakBefore w:val="0"/>
              <w:widowControl w:val="0"/>
              <w:kinsoku/>
              <w:overflowPunct/>
              <w:topLinePunct w:val="0"/>
              <w:bidi w:val="0"/>
              <w:adjustRightInd w:val="0"/>
              <w:snapToGrid w:val="0"/>
              <w:spacing w:line="240" w:lineRule="auto"/>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u w:val="none"/>
                <w:lang w:val="en-US" w:eastAsia="zh-CN"/>
              </w:rPr>
              <w:t>90</w:t>
            </w:r>
            <w:r>
              <w:rPr>
                <w:rFonts w:hint="eastAsia" w:ascii="宋体" w:hAnsi="宋体" w:eastAsia="宋体" w:cs="宋体"/>
                <w:b/>
                <w:bCs/>
                <w:color w:val="auto"/>
                <w:sz w:val="24"/>
                <w:szCs w:val="24"/>
                <w:highlight w:val="none"/>
              </w:rPr>
              <w:t>日（日历日）</w:t>
            </w:r>
          </w:p>
        </w:tc>
      </w:tr>
      <w:tr w14:paraId="259E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50" w:type="dxa"/>
            <w:noWrap w:val="0"/>
            <w:vAlign w:val="center"/>
          </w:tcPr>
          <w:p w14:paraId="748B02D1">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w:t>
            </w:r>
          </w:p>
        </w:tc>
        <w:tc>
          <w:tcPr>
            <w:tcW w:w="1760" w:type="dxa"/>
            <w:noWrap w:val="0"/>
            <w:vAlign w:val="center"/>
          </w:tcPr>
          <w:p w14:paraId="4C3FF7D3">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文件份数</w:t>
            </w:r>
          </w:p>
        </w:tc>
        <w:tc>
          <w:tcPr>
            <w:tcW w:w="7153" w:type="dxa"/>
            <w:noWrap w:val="0"/>
            <w:vAlign w:val="center"/>
          </w:tcPr>
          <w:p w14:paraId="765B74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中标单位</w:t>
            </w:r>
            <w:r>
              <w:rPr>
                <w:rFonts w:hint="eastAsia" w:ascii="宋体" w:hAnsi="宋体" w:cs="宋体"/>
                <w:color w:val="auto"/>
                <w:sz w:val="24"/>
                <w:szCs w:val="24"/>
                <w:highlight w:val="none"/>
                <w:lang w:val="en-US" w:eastAsia="zh-CN"/>
              </w:rPr>
              <w:t>需提供：</w:t>
            </w:r>
            <w:r>
              <w:rPr>
                <w:rFonts w:hint="eastAsia" w:ascii="宋体" w:hAnsi="宋体" w:cs="宋体"/>
                <w:color w:val="auto"/>
                <w:sz w:val="24"/>
                <w:szCs w:val="24"/>
                <w:highlight w:val="none"/>
              </w:rPr>
              <w:t>纸质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文件正本1份，副本2份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电子版投标文件一份（“U盘存储”）</w:t>
            </w:r>
          </w:p>
          <w:p w14:paraId="6C1731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val="en-US" w:eastAsia="zh-CN"/>
              </w:rPr>
              <w:t>纸质版</w:t>
            </w:r>
            <w:r>
              <w:rPr>
                <w:rFonts w:hint="eastAsia" w:ascii="宋体" w:hAnsi="宋体" w:cs="宋体"/>
                <w:b/>
                <w:bCs/>
                <w:color w:val="auto"/>
                <w:sz w:val="24"/>
                <w:szCs w:val="24"/>
                <w:highlight w:val="none"/>
              </w:rPr>
              <w:t>标书</w:t>
            </w:r>
            <w:r>
              <w:rPr>
                <w:rFonts w:hint="eastAsia" w:ascii="宋体" w:hAnsi="宋体" w:cs="宋体"/>
                <w:b/>
                <w:bCs/>
                <w:color w:val="auto"/>
                <w:sz w:val="24"/>
                <w:szCs w:val="24"/>
                <w:highlight w:val="none"/>
                <w:lang w:val="en-US" w:eastAsia="zh-CN"/>
              </w:rPr>
              <w:t>需胶装，领取中标通知书时，一并交付至代理公司。</w:t>
            </w:r>
          </w:p>
        </w:tc>
      </w:tr>
      <w:tr w14:paraId="54C3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0" w:type="dxa"/>
            <w:noWrap w:val="0"/>
            <w:vAlign w:val="center"/>
          </w:tcPr>
          <w:p w14:paraId="30A70143">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w:t>
            </w:r>
          </w:p>
        </w:tc>
        <w:tc>
          <w:tcPr>
            <w:tcW w:w="1760" w:type="dxa"/>
            <w:noWrap w:val="0"/>
            <w:vAlign w:val="center"/>
          </w:tcPr>
          <w:p w14:paraId="21BC823B">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是否允许投报进口产品</w:t>
            </w:r>
          </w:p>
        </w:tc>
        <w:tc>
          <w:tcPr>
            <w:tcW w:w="7153" w:type="dxa"/>
            <w:noWrap w:val="0"/>
            <w:vAlign w:val="center"/>
          </w:tcPr>
          <w:p w14:paraId="5EBD4257">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p w14:paraId="502057F4">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w:t>
            </w:r>
          </w:p>
        </w:tc>
      </w:tr>
      <w:tr w14:paraId="3E93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0" w:type="dxa"/>
            <w:noWrap w:val="0"/>
            <w:vAlign w:val="center"/>
          </w:tcPr>
          <w:p w14:paraId="3DEE39CE">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w:t>
            </w:r>
          </w:p>
        </w:tc>
        <w:tc>
          <w:tcPr>
            <w:tcW w:w="1760" w:type="dxa"/>
            <w:noWrap w:val="0"/>
            <w:vAlign w:val="center"/>
          </w:tcPr>
          <w:p w14:paraId="5D975606">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踏勘现场</w:t>
            </w:r>
          </w:p>
        </w:tc>
        <w:tc>
          <w:tcPr>
            <w:tcW w:w="7153" w:type="dxa"/>
            <w:noWrap w:val="0"/>
            <w:vAlign w:val="center"/>
          </w:tcPr>
          <w:p w14:paraId="2ABDA3D7">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不组织</w:t>
            </w:r>
          </w:p>
        </w:tc>
      </w:tr>
      <w:tr w14:paraId="622B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0" w:type="dxa"/>
            <w:noWrap w:val="0"/>
            <w:vAlign w:val="center"/>
          </w:tcPr>
          <w:p w14:paraId="53503900">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w:t>
            </w:r>
          </w:p>
        </w:tc>
        <w:tc>
          <w:tcPr>
            <w:tcW w:w="1760" w:type="dxa"/>
            <w:noWrap w:val="0"/>
            <w:vAlign w:val="center"/>
          </w:tcPr>
          <w:p w14:paraId="49BE30B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节能、环保要求</w:t>
            </w:r>
          </w:p>
        </w:tc>
        <w:tc>
          <w:tcPr>
            <w:tcW w:w="7153" w:type="dxa"/>
            <w:noWrap w:val="0"/>
            <w:vAlign w:val="center"/>
          </w:tcPr>
          <w:p w14:paraId="588F647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按国家有关节能环保政策执行</w:t>
            </w:r>
          </w:p>
        </w:tc>
      </w:tr>
      <w:tr w14:paraId="228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0" w:type="dxa"/>
            <w:noWrap w:val="0"/>
            <w:vAlign w:val="center"/>
          </w:tcPr>
          <w:p w14:paraId="1F588FC0">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5</w:t>
            </w:r>
          </w:p>
        </w:tc>
        <w:tc>
          <w:tcPr>
            <w:tcW w:w="1760" w:type="dxa"/>
            <w:noWrap w:val="0"/>
            <w:vAlign w:val="center"/>
          </w:tcPr>
          <w:p w14:paraId="19D5E128">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服务地点</w:t>
            </w:r>
          </w:p>
        </w:tc>
        <w:tc>
          <w:tcPr>
            <w:tcW w:w="7153" w:type="dxa"/>
            <w:noWrap w:val="0"/>
            <w:vAlign w:val="center"/>
          </w:tcPr>
          <w:p w14:paraId="1D42C34D">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用户指定地点</w:t>
            </w:r>
          </w:p>
        </w:tc>
      </w:tr>
      <w:tr w14:paraId="4347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50" w:type="dxa"/>
            <w:noWrap w:val="0"/>
            <w:vAlign w:val="center"/>
          </w:tcPr>
          <w:p w14:paraId="066444B6">
            <w:pPr>
              <w:keepNext w:val="0"/>
              <w:keepLines w:val="0"/>
              <w:pageBreakBefore w:val="0"/>
              <w:widowControl w:val="0"/>
              <w:tabs>
                <w:tab w:val="left" w:pos="265"/>
              </w:tabs>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w:t>
            </w:r>
          </w:p>
        </w:tc>
        <w:tc>
          <w:tcPr>
            <w:tcW w:w="1760" w:type="dxa"/>
            <w:noWrap w:val="0"/>
            <w:vAlign w:val="center"/>
          </w:tcPr>
          <w:p w14:paraId="6561E2C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合同履约限期</w:t>
            </w:r>
          </w:p>
        </w:tc>
        <w:tc>
          <w:tcPr>
            <w:tcW w:w="7153" w:type="dxa"/>
            <w:noWrap w:val="0"/>
            <w:vAlign w:val="center"/>
          </w:tcPr>
          <w:p w14:paraId="51236A89">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年。合同一年一签，合同期满后，供应商服务符合医院要求，可</w:t>
            </w:r>
            <w:r>
              <w:rPr>
                <w:rFonts w:hint="eastAsia" w:ascii="宋体" w:hAnsi="宋体" w:cs="宋体"/>
                <w:color w:val="auto"/>
                <w:sz w:val="24"/>
                <w:szCs w:val="24"/>
                <w:highlight w:val="none"/>
                <w:lang w:val="en-US" w:eastAsia="zh-CN"/>
              </w:rPr>
              <w:t>签订</w:t>
            </w:r>
            <w:r>
              <w:rPr>
                <w:rFonts w:hint="eastAsia" w:ascii="宋体" w:hAnsi="宋体" w:eastAsia="宋体" w:cs="宋体"/>
                <w:color w:val="auto"/>
                <w:sz w:val="24"/>
                <w:szCs w:val="24"/>
                <w:highlight w:val="none"/>
                <w:lang w:val="en-US" w:eastAsia="zh-CN"/>
              </w:rPr>
              <w:t>下一年度合同。</w:t>
            </w:r>
          </w:p>
        </w:tc>
      </w:tr>
      <w:tr w14:paraId="512E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0" w:type="dxa"/>
            <w:noWrap w:val="0"/>
            <w:vAlign w:val="center"/>
          </w:tcPr>
          <w:p w14:paraId="4CE78F6A">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p>
        </w:tc>
        <w:tc>
          <w:tcPr>
            <w:tcW w:w="1760" w:type="dxa"/>
            <w:noWrap w:val="0"/>
            <w:vAlign w:val="center"/>
          </w:tcPr>
          <w:p w14:paraId="085903E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w:t>
            </w:r>
          </w:p>
        </w:tc>
        <w:tc>
          <w:tcPr>
            <w:tcW w:w="7153" w:type="dxa"/>
            <w:noWrap w:val="0"/>
            <w:vAlign w:val="center"/>
          </w:tcPr>
          <w:p w14:paraId="58F2F2DE">
            <w:pPr>
              <w:keepNext w:val="0"/>
              <w:keepLines w:val="0"/>
              <w:pageBreakBefore w:val="0"/>
              <w:widowControl w:val="0"/>
              <w:kinsoku/>
              <w:overflowPunct/>
              <w:topLinePunct w:val="0"/>
              <w:bidi w:val="0"/>
              <w:adjustRightInd w:val="0"/>
              <w:snapToGrid w:val="0"/>
              <w:spacing w:line="240" w:lineRule="auto"/>
              <w:ind w:left="0" w:left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以合同约定为准</w:t>
            </w:r>
          </w:p>
        </w:tc>
      </w:tr>
      <w:tr w14:paraId="601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0" w:type="dxa"/>
            <w:noWrap w:val="0"/>
            <w:vAlign w:val="center"/>
          </w:tcPr>
          <w:p w14:paraId="43740B6E">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8</w:t>
            </w:r>
          </w:p>
        </w:tc>
        <w:tc>
          <w:tcPr>
            <w:tcW w:w="1760" w:type="dxa"/>
            <w:noWrap w:val="0"/>
            <w:vAlign w:val="center"/>
          </w:tcPr>
          <w:p w14:paraId="242D196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服务标准</w:t>
            </w:r>
          </w:p>
        </w:tc>
        <w:tc>
          <w:tcPr>
            <w:tcW w:w="7153" w:type="dxa"/>
            <w:noWrap w:val="0"/>
            <w:vAlign w:val="center"/>
          </w:tcPr>
          <w:p w14:paraId="696667BA">
            <w:pPr>
              <w:keepNext w:val="0"/>
              <w:keepLines w:val="0"/>
              <w:pageBreakBefore w:val="0"/>
              <w:widowControl w:val="0"/>
              <w:kinsoku/>
              <w:wordWrap w:val="0"/>
              <w:overflowPunct/>
              <w:topLinePunct w:val="0"/>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符合国家或行业相关标准</w:t>
            </w:r>
          </w:p>
        </w:tc>
      </w:tr>
      <w:tr w14:paraId="78E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50" w:type="dxa"/>
            <w:noWrap w:val="0"/>
            <w:vAlign w:val="center"/>
          </w:tcPr>
          <w:p w14:paraId="02BAFE09">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29</w:t>
            </w:r>
          </w:p>
        </w:tc>
        <w:tc>
          <w:tcPr>
            <w:tcW w:w="1760" w:type="dxa"/>
            <w:noWrap w:val="0"/>
            <w:vAlign w:val="center"/>
          </w:tcPr>
          <w:p w14:paraId="5BB2A8B6">
            <w:pPr>
              <w:keepNext w:val="0"/>
              <w:keepLines w:val="0"/>
              <w:pageBreakBefore w:val="0"/>
              <w:widowControl w:val="0"/>
              <w:kinsoku/>
              <w:overflowPunct/>
              <w:topLinePunct w:val="0"/>
              <w:bidi w:val="0"/>
              <w:adjustRightInd w:val="0"/>
              <w:snapToGrid w:val="0"/>
              <w:spacing w:line="240" w:lineRule="auto"/>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磋商轮数和最后报价的其他要求</w:t>
            </w:r>
          </w:p>
        </w:tc>
        <w:tc>
          <w:tcPr>
            <w:tcW w:w="7153" w:type="dxa"/>
            <w:noWrap w:val="0"/>
            <w:vAlign w:val="center"/>
          </w:tcPr>
          <w:p w14:paraId="62589C03">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r>
              <w:rPr>
                <w:rFonts w:hint="eastAsia" w:ascii="宋体" w:hAnsi="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rPr>
              <w:t>磋商轮数：多轮（具体由磋商小组决定）；</w:t>
            </w:r>
          </w:p>
          <w:p w14:paraId="4CDB2F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kern w:val="0"/>
                <w:sz w:val="24"/>
                <w:szCs w:val="24"/>
                <w:highlight w:val="none"/>
                <w:lang w:val="zh-CN"/>
              </w:rPr>
              <w:t>2</w:t>
            </w:r>
            <w:r>
              <w:rPr>
                <w:rFonts w:hint="eastAsia" w:ascii="宋体" w:hAnsi="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rPr>
              <w:t>磋商结束后，参加磋商的供应商在收到最终报价通知后，按照磋商小组要求</w:t>
            </w:r>
            <w:r>
              <w:rPr>
                <w:rFonts w:hint="eastAsia" w:ascii="宋体" w:hAnsi="宋体" w:cs="宋体"/>
                <w:bCs/>
                <w:color w:val="auto"/>
                <w:kern w:val="0"/>
                <w:sz w:val="24"/>
                <w:szCs w:val="24"/>
                <w:highlight w:val="none"/>
                <w:lang w:val="zh-CN"/>
              </w:rPr>
              <w:t>作</w:t>
            </w:r>
            <w:r>
              <w:rPr>
                <w:rFonts w:hint="eastAsia" w:ascii="宋体" w:hAnsi="宋体" w:eastAsia="宋体" w:cs="宋体"/>
                <w:bCs/>
                <w:color w:val="auto"/>
                <w:kern w:val="0"/>
                <w:sz w:val="24"/>
                <w:szCs w:val="24"/>
                <w:highlight w:val="none"/>
                <w:lang w:val="zh-CN"/>
              </w:rPr>
              <w:t>最后报价并签章提交（含修正的响应文件，如有）</w:t>
            </w:r>
          </w:p>
        </w:tc>
      </w:tr>
      <w:tr w14:paraId="35E6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50" w:type="dxa"/>
            <w:noWrap w:val="0"/>
            <w:vAlign w:val="center"/>
          </w:tcPr>
          <w:p w14:paraId="28E58FC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0</w:t>
            </w:r>
          </w:p>
        </w:tc>
        <w:tc>
          <w:tcPr>
            <w:tcW w:w="1760" w:type="dxa"/>
            <w:noWrap w:val="0"/>
            <w:vAlign w:val="center"/>
          </w:tcPr>
          <w:p w14:paraId="404526E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rPr>
              <w:t>代理</w:t>
            </w:r>
          </w:p>
          <w:p w14:paraId="36E9249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0"/>
                <w:sz w:val="24"/>
                <w:szCs w:val="24"/>
                <w:highlight w:val="none"/>
              </w:rPr>
              <w:t>服务费</w:t>
            </w:r>
          </w:p>
        </w:tc>
        <w:tc>
          <w:tcPr>
            <w:tcW w:w="7153" w:type="dxa"/>
            <w:noWrap w:val="0"/>
            <w:vAlign w:val="center"/>
          </w:tcPr>
          <w:p w14:paraId="658F1F7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 xml:space="preserve">采购人支付 </w:t>
            </w: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 xml:space="preserve">人支付 </w:t>
            </w:r>
          </w:p>
          <w:p w14:paraId="4350EF5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lang w:eastAsia="zh-CN"/>
              </w:rPr>
              <w:t xml:space="preserve">标准： </w:t>
            </w:r>
            <w:r>
              <w:rPr>
                <w:rFonts w:hint="eastAsia" w:ascii="宋体" w:hAnsi="宋体" w:eastAsia="宋体" w:cs="宋体"/>
                <w:color w:val="auto"/>
                <w:sz w:val="24"/>
                <w:szCs w:val="24"/>
                <w:highlight w:val="none"/>
                <w:lang w:val="en-US" w:eastAsia="zh-CN"/>
              </w:rPr>
              <w:t>按照《国家发展改革委关于进一步放开建设项目专业服务价格的通知》发改价格【2015】299 号文规定计取，以中标金额×服务年限为基准价计算招标代理服务费</w:t>
            </w:r>
            <w:r>
              <w:rPr>
                <w:rFonts w:hint="eastAsia" w:ascii="宋体" w:hAnsi="宋体" w:cs="宋体"/>
                <w:color w:val="auto"/>
                <w:sz w:val="24"/>
                <w:szCs w:val="24"/>
                <w:highlight w:val="none"/>
                <w:lang w:val="en-US" w:eastAsia="zh-CN"/>
              </w:rPr>
              <w:t>并下浮20%为最终代理服务费</w:t>
            </w:r>
            <w:r>
              <w:rPr>
                <w:rFonts w:hint="eastAsia" w:ascii="宋体" w:hAnsi="宋体" w:eastAsia="宋体" w:cs="宋体"/>
                <w:color w:val="auto"/>
                <w:sz w:val="24"/>
                <w:szCs w:val="24"/>
                <w:highlight w:val="none"/>
                <w:lang w:val="en-US" w:eastAsia="zh-CN"/>
              </w:rPr>
              <w:t>。</w:t>
            </w:r>
          </w:p>
          <w:p w14:paraId="51F30DD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lang w:eastAsia="zh-CN"/>
              </w:rPr>
              <w:t xml:space="preserve">时间： </w:t>
            </w:r>
            <w:r>
              <w:rPr>
                <w:rFonts w:hint="eastAsia" w:ascii="宋体" w:hAnsi="宋体" w:eastAsia="宋体" w:cs="宋体"/>
                <w:color w:val="auto"/>
                <w:sz w:val="24"/>
                <w:szCs w:val="24"/>
                <w:highlight w:val="none"/>
                <w:lang w:val="en-US" w:eastAsia="zh-CN"/>
              </w:rPr>
              <w:t>中标(成交)供应商向招标代理机构领取中标通知书前</w:t>
            </w:r>
          </w:p>
          <w:p w14:paraId="14D1A27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lang w:eastAsia="zh-CN"/>
              </w:rPr>
              <w:t xml:space="preserve">方式： </w:t>
            </w:r>
            <w:r>
              <w:rPr>
                <w:rFonts w:hint="eastAsia" w:ascii="宋体" w:hAnsi="宋体" w:eastAsia="宋体" w:cs="宋体"/>
                <w:color w:val="auto"/>
                <w:sz w:val="24"/>
                <w:szCs w:val="24"/>
                <w:highlight w:val="none"/>
                <w:lang w:val="en-US" w:eastAsia="zh-CN"/>
              </w:rPr>
              <w:t>电汇或转账</w:t>
            </w:r>
            <w:r>
              <w:rPr>
                <w:rFonts w:hint="eastAsia" w:ascii="宋体" w:hAnsi="宋体" w:eastAsia="宋体" w:cs="宋体"/>
                <w:color w:val="auto"/>
                <w:sz w:val="24"/>
                <w:szCs w:val="24"/>
                <w:highlight w:val="none"/>
                <w:lang w:eastAsia="zh-CN"/>
              </w:rPr>
              <w:t xml:space="preserve"> </w:t>
            </w:r>
          </w:p>
          <w:p w14:paraId="0D6A609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账户名称：新疆嘉铭工程管理有限公司</w:t>
            </w:r>
          </w:p>
          <w:p w14:paraId="5D9D30F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eastAsia="zh-CN"/>
              </w:rPr>
              <w:t>30736801040009278</w:t>
            </w:r>
          </w:p>
          <w:p w14:paraId="4D9FA5D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行号：103899473682</w:t>
            </w:r>
          </w:p>
          <w:p w14:paraId="0868C3D0">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r>
              <w:rPr>
                <w:rFonts w:hint="eastAsia" w:ascii="宋体" w:hAnsi="宋体" w:eastAsia="宋体" w:cs="宋体"/>
                <w:color w:val="auto"/>
                <w:sz w:val="24"/>
                <w:szCs w:val="24"/>
                <w:highlight w:val="none"/>
                <w:lang w:val="en-US" w:eastAsia="zh-CN"/>
              </w:rPr>
              <w:t>中国农业银行股份有限公司可克达拉市兵团支行</w:t>
            </w:r>
          </w:p>
        </w:tc>
      </w:tr>
      <w:tr w14:paraId="513E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0" w:type="dxa"/>
            <w:noWrap w:val="0"/>
            <w:vAlign w:val="center"/>
          </w:tcPr>
          <w:p w14:paraId="1335E45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p>
        </w:tc>
        <w:tc>
          <w:tcPr>
            <w:tcW w:w="1760" w:type="dxa"/>
            <w:noWrap w:val="0"/>
            <w:vAlign w:val="center"/>
          </w:tcPr>
          <w:p w14:paraId="3649E630">
            <w:pPr>
              <w:keepNext w:val="0"/>
              <w:keepLines w:val="0"/>
              <w:widowControl/>
              <w:suppressLineNumbers w:val="0"/>
              <w:jc w:val="left"/>
              <w:rPr>
                <w:color w:val="auto"/>
              </w:rPr>
            </w:pPr>
            <w:r>
              <w:rPr>
                <w:rFonts w:hint="eastAsia" w:ascii="宋体" w:hAnsi="宋体" w:eastAsia="宋体" w:cs="宋体"/>
                <w:color w:val="auto"/>
                <w:sz w:val="24"/>
                <w:szCs w:val="24"/>
                <w:highlight w:val="none"/>
                <w:lang w:val="en-US" w:eastAsia="zh-CN"/>
              </w:rPr>
              <w:t>关于推动解决政府采购异常低价</w:t>
            </w:r>
            <w:r>
              <w:rPr>
                <w:rFonts w:hint="eastAsia" w:ascii="宋体" w:hAnsi="宋体" w:cs="宋体"/>
                <w:color w:val="auto"/>
                <w:sz w:val="24"/>
                <w:szCs w:val="24"/>
                <w:highlight w:val="none"/>
                <w:lang w:val="en-US" w:eastAsia="zh-CN"/>
              </w:rPr>
              <w:t>（</w:t>
            </w:r>
            <w:r>
              <w:rPr>
                <w:rFonts w:ascii="宋体" w:hAnsi="宋体" w:eastAsia="宋体" w:cs="宋体"/>
                <w:color w:val="auto"/>
                <w:kern w:val="0"/>
                <w:sz w:val="24"/>
                <w:szCs w:val="24"/>
                <w:lang w:val="en-US" w:eastAsia="zh-CN" w:bidi="ar"/>
              </w:rPr>
              <w:t>财库〔2026〕2号</w:t>
            </w:r>
          </w:p>
          <w:p w14:paraId="6F9B27C3">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7153" w:type="dxa"/>
            <w:noWrap w:val="0"/>
            <w:vAlign w:val="center"/>
          </w:tcPr>
          <w:p w14:paraId="007E1486">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强化政府采购异常低价审查</w:t>
            </w:r>
          </w:p>
          <w:p w14:paraId="2A790091">
            <w:pPr>
              <w:pStyle w:val="11"/>
              <w:keepNext w:val="0"/>
              <w:keepLines w:val="0"/>
              <w:pageBreakBefore w:val="0"/>
              <w:widowControl w:val="0"/>
              <w:numPr>
                <w:ilvl w:val="0"/>
                <w:numId w:val="3"/>
              </w:numPr>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w:t>
            </w:r>
          </w:p>
          <w:p w14:paraId="29C21979">
            <w:pPr>
              <w:pStyle w:val="11"/>
              <w:keepNext w:val="0"/>
              <w:keepLines w:val="0"/>
              <w:pageBreakBefore w:val="0"/>
              <w:widowControl w:val="0"/>
              <w:numPr>
                <w:ilvl w:val="0"/>
                <w:numId w:val="0"/>
              </w:numPr>
              <w:kinsoku/>
              <w:overflowPunct/>
              <w:topLinePunct w:val="0"/>
              <w:bidi w:val="0"/>
              <w:adjustRightInd w:val="0"/>
              <w:snapToGrid w:val="0"/>
              <w:spacing w:line="240" w:lineRule="auto"/>
              <w:contextualSpacing/>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77F62300">
            <w:pPr>
              <w:pStyle w:val="11"/>
              <w:keepNext w:val="0"/>
              <w:keepLines w:val="0"/>
              <w:pageBreakBefore w:val="0"/>
              <w:widowControl w:val="0"/>
              <w:numPr>
                <w:ilvl w:val="0"/>
                <w:numId w:val="0"/>
              </w:numPr>
              <w:kinsoku/>
              <w:overflowPunct/>
              <w:topLinePunct w:val="0"/>
              <w:bidi w:val="0"/>
              <w:adjustRightInd w:val="0"/>
              <w:snapToGrid w:val="0"/>
              <w:spacing w:line="240" w:lineRule="auto"/>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6C799C1C">
            <w:pPr>
              <w:pStyle w:val="11"/>
              <w:keepNext w:val="0"/>
              <w:keepLines w:val="0"/>
              <w:pageBreakBefore w:val="0"/>
              <w:widowControl w:val="0"/>
              <w:numPr>
                <w:ilvl w:val="0"/>
                <w:numId w:val="0"/>
              </w:numPr>
              <w:kinsoku/>
              <w:overflowPunct/>
              <w:topLinePunct w:val="0"/>
              <w:bidi w:val="0"/>
              <w:adjustRightInd w:val="0"/>
              <w:snapToGrid w:val="0"/>
              <w:spacing w:line="240" w:lineRule="auto"/>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194B8A95">
            <w:pPr>
              <w:pStyle w:val="11"/>
              <w:keepNext w:val="0"/>
              <w:keepLines w:val="0"/>
              <w:pageBreakBefore w:val="0"/>
              <w:widowControl w:val="0"/>
              <w:numPr>
                <w:ilvl w:val="0"/>
                <w:numId w:val="0"/>
              </w:numPr>
              <w:kinsoku/>
              <w:overflowPunct/>
              <w:topLinePunct w:val="0"/>
              <w:bidi w:val="0"/>
              <w:adjustRightInd w:val="0"/>
              <w:snapToGrid w:val="0"/>
              <w:spacing w:line="240" w:lineRule="auto"/>
              <w:contextualSpacing/>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8B05B2">
            <w:pPr>
              <w:pStyle w:val="11"/>
              <w:keepNext w:val="0"/>
              <w:keepLines w:val="0"/>
              <w:pageBreakBefore w:val="0"/>
              <w:widowControl w:val="0"/>
              <w:numPr>
                <w:ilvl w:val="0"/>
                <w:numId w:val="0"/>
              </w:numPr>
              <w:kinsoku/>
              <w:overflowPunct/>
              <w:topLinePunct w:val="0"/>
              <w:bidi w:val="0"/>
              <w:adjustRightInd w:val="0"/>
              <w:snapToGrid w:val="0"/>
              <w:spacing w:line="24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D331B5">
            <w:pPr>
              <w:pStyle w:val="11"/>
              <w:keepNext w:val="0"/>
              <w:keepLines w:val="0"/>
              <w:pageBreakBefore w:val="0"/>
              <w:widowControl w:val="0"/>
              <w:numPr>
                <w:ilvl w:val="0"/>
                <w:numId w:val="0"/>
              </w:numPr>
              <w:kinsoku/>
              <w:overflowPunct/>
              <w:topLinePunct w:val="0"/>
              <w:bidi w:val="0"/>
              <w:adjustRightInd w:val="0"/>
              <w:snapToGrid w:val="0"/>
              <w:spacing w:line="24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6C2A6E">
            <w:pPr>
              <w:pStyle w:val="11"/>
              <w:keepNext w:val="0"/>
              <w:keepLines w:val="0"/>
              <w:pageBreakBefore w:val="0"/>
              <w:widowControl w:val="0"/>
              <w:numPr>
                <w:ilvl w:val="0"/>
                <w:numId w:val="0"/>
              </w:numPr>
              <w:kinsoku/>
              <w:overflowPunct/>
              <w:topLinePunct w:val="0"/>
              <w:bidi w:val="0"/>
              <w:adjustRightInd w:val="0"/>
              <w:snapToGrid w:val="0"/>
              <w:spacing w:line="24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9BD39D9">
            <w:pPr>
              <w:pStyle w:val="11"/>
              <w:keepNext w:val="0"/>
              <w:keepLines w:val="0"/>
              <w:pageBreakBefore w:val="0"/>
              <w:widowControl w:val="0"/>
              <w:numPr>
                <w:ilvl w:val="0"/>
                <w:numId w:val="0"/>
              </w:numPr>
              <w:kinsoku/>
              <w:overflowPunct/>
              <w:topLinePunct w:val="0"/>
              <w:bidi w:val="0"/>
              <w:adjustRightInd w:val="0"/>
              <w:snapToGrid w:val="0"/>
              <w:spacing w:line="240" w:lineRule="auto"/>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7259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750" w:type="dxa"/>
            <w:noWrap w:val="0"/>
            <w:vAlign w:val="center"/>
          </w:tcPr>
          <w:p w14:paraId="6EA397AE">
            <w:pPr>
              <w:pStyle w:val="11"/>
              <w:keepNext w:val="0"/>
              <w:keepLines w:val="0"/>
              <w:pageBreakBefore w:val="0"/>
              <w:widowControl w:val="0"/>
              <w:kinsoku/>
              <w:overflowPunct/>
              <w:topLinePunct w:val="0"/>
              <w:bidi w:val="0"/>
              <w:adjustRightInd w:val="0"/>
              <w:snapToGrid w:val="0"/>
              <w:spacing w:line="240" w:lineRule="auto"/>
              <w:ind w:left="480" w:leftChars="0" w:hanging="480" w:hangingChars="200"/>
              <w:contextualSpacing/>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1760" w:type="dxa"/>
            <w:noWrap w:val="0"/>
            <w:vAlign w:val="center"/>
          </w:tcPr>
          <w:p w14:paraId="478AFB35">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tc>
        <w:tc>
          <w:tcPr>
            <w:tcW w:w="7153" w:type="dxa"/>
            <w:noWrap w:val="0"/>
            <w:vAlign w:val="center"/>
          </w:tcPr>
          <w:p w14:paraId="3EA7D3B3">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"qq://txfile/"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www.creditchina.gov.cn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）、中国政府采购网（</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"qq://txfile/"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www.ccgp.gov.cn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）等渠道查询供应商主体信用记录。</w:t>
            </w:r>
          </w:p>
          <w:p w14:paraId="31F2921B">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供应商资格证明材料、法定代表人身份证明或授权书应加盖供应商公章；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其他证明供应商资格的文件或证明材料应加盖供应商公章，样式可参照“投标文件格式”编制；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采购文件中明确要求盖章或签字的，必须盖章或签字。</w:t>
            </w:r>
          </w:p>
          <w:p w14:paraId="4D4E9EE5">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投标人提供的投标文件应当使用采购文件所提供投标文件格式（表格可按照同样格式扩展）。未提供格式的，需要时由投标人用文字或者表格、图片等其它形式提供。</w:t>
            </w:r>
          </w:p>
          <w:p w14:paraId="0C74C293">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351B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750" w:type="dxa"/>
            <w:noWrap w:val="0"/>
            <w:vAlign w:val="center"/>
          </w:tcPr>
          <w:p w14:paraId="5C6C7A25">
            <w:pPr>
              <w:bidi w:val="0"/>
              <w:jc w:val="center"/>
              <w:rPr>
                <w:rFonts w:hint="default" w:eastAsia="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3</w:t>
            </w:r>
          </w:p>
        </w:tc>
        <w:tc>
          <w:tcPr>
            <w:tcW w:w="1760" w:type="dxa"/>
            <w:noWrap w:val="0"/>
            <w:vAlign w:val="center"/>
          </w:tcPr>
          <w:p w14:paraId="0891DE05">
            <w:pPr>
              <w:bidi w:val="0"/>
              <w:jc w:val="center"/>
              <w:rPr>
                <w:rFonts w:hint="eastAsia" w:ascii="宋体" w:hAnsi="宋体" w:eastAsia="宋体" w:cs="宋体"/>
                <w:color w:val="auto"/>
                <w:sz w:val="24"/>
                <w:szCs w:val="24"/>
                <w:highlight w:val="none"/>
              </w:rPr>
            </w:pPr>
            <w:r>
              <w:rPr>
                <w:rFonts w:hint="eastAsia"/>
                <w:b/>
                <w:bCs/>
                <w:color w:val="auto"/>
                <w:sz w:val="24"/>
                <w:szCs w:val="24"/>
                <w:highlight w:val="none"/>
                <w:lang w:eastAsia="zh-CN"/>
              </w:rPr>
              <w:t>特别说明</w:t>
            </w:r>
          </w:p>
        </w:tc>
        <w:tc>
          <w:tcPr>
            <w:tcW w:w="7153" w:type="dxa"/>
            <w:noWrap w:val="0"/>
            <w:vAlign w:val="center"/>
          </w:tcPr>
          <w:p w14:paraId="779CF6F9">
            <w:pPr>
              <w:spacing w:line="320" w:lineRule="exact"/>
              <w:jc w:val="both"/>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供应商在制作</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文件时必须设置好“资格审查”、“符合性审查”、“商务技术评审”的关联点。</w:t>
            </w:r>
          </w:p>
          <w:p w14:paraId="75A6BB00">
            <w:pPr>
              <w:spacing w:line="32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2.开标后在30分钟内做好投标文件解密。</w:t>
            </w:r>
          </w:p>
          <w:p w14:paraId="274038DC">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3.在代理机构“开启报价文件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开启签字时段”后10分钟内完成报价确认。</w:t>
            </w:r>
          </w:p>
        </w:tc>
      </w:tr>
      <w:bookmarkEnd w:id="28"/>
    </w:tbl>
    <w:p w14:paraId="5075CAF0">
      <w:pPr>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本表内容与</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其它内容不一致的，应当以本表内容为准。</w:t>
      </w:r>
    </w:p>
    <w:p w14:paraId="041B4FB4">
      <w:pPr>
        <w:numPr>
          <w:ilvl w:val="0"/>
          <w:numId w:val="0"/>
        </w:numPr>
        <w:spacing w:line="44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本表中“</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4"/>
          <w:sz w:val="36"/>
          <w:szCs w:val="24"/>
          <w:highlight w:val="none"/>
        </w:rPr>
        <w:instrText xml:space="preserve">□</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”标示选择使用该项</w:t>
      </w:r>
      <w:r>
        <w:rPr>
          <w:rFonts w:hint="eastAsia" w:ascii="宋体" w:hAnsi="宋体" w:eastAsia="宋体" w:cs="宋体"/>
          <w:color w:val="auto"/>
          <w:kern w:val="0"/>
          <w:sz w:val="24"/>
          <w:szCs w:val="24"/>
          <w:highlight w:val="none"/>
          <w:lang w:eastAsia="zh-CN"/>
        </w:rPr>
        <w:t>。</w:t>
      </w:r>
    </w:p>
    <w:bookmarkEnd w:id="6"/>
    <w:p w14:paraId="4B2D9D42">
      <w:pPr>
        <w:rPr>
          <w:rFonts w:hint="eastAsia" w:ascii="宋体" w:hAnsi="宋体" w:eastAsia="宋体" w:cs="宋体"/>
          <w:b/>
          <w:color w:val="auto"/>
          <w:sz w:val="28"/>
          <w:szCs w:val="28"/>
          <w:highlight w:val="none"/>
        </w:rPr>
      </w:pPr>
      <w:bookmarkStart w:id="29" w:name="_Toc16938518"/>
      <w:bookmarkEnd w:id="29"/>
      <w:bookmarkStart w:id="30" w:name="_Toc20823274"/>
      <w:bookmarkEnd w:id="30"/>
      <w:bookmarkStart w:id="31" w:name="_Toc120614213"/>
      <w:bookmarkEnd w:id="31"/>
      <w:bookmarkStart w:id="32" w:name="_Toc513029202"/>
      <w:bookmarkEnd w:id="32"/>
      <w:bookmarkStart w:id="33" w:name="_Toc455227390"/>
      <w:bookmarkEnd w:id="33"/>
      <w:bookmarkStart w:id="34" w:name="_Toc19157"/>
      <w:bookmarkStart w:id="35" w:name="_Toc23777"/>
      <w:bookmarkStart w:id="36" w:name="_Toc14386"/>
      <w:bookmarkStart w:id="37" w:name="_Toc28148"/>
      <w:bookmarkStart w:id="38" w:name="_Toc12316"/>
      <w:bookmarkStart w:id="39" w:name="_Toc11413"/>
      <w:bookmarkStart w:id="40" w:name="_Toc20669"/>
      <w:r>
        <w:rPr>
          <w:rFonts w:hint="eastAsia" w:ascii="宋体" w:hAnsi="宋体" w:eastAsia="宋体" w:cs="宋体"/>
          <w:b/>
          <w:color w:val="auto"/>
          <w:sz w:val="28"/>
          <w:szCs w:val="28"/>
          <w:highlight w:val="none"/>
        </w:rPr>
        <w:br w:type="page"/>
      </w:r>
    </w:p>
    <w:p w14:paraId="3EBAFE6B">
      <w:pPr>
        <w:pStyle w:val="3"/>
        <w:adjustRightInd w:val="0"/>
        <w:snapToGrid w:val="0"/>
        <w:spacing w:before="0" w:after="0"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投标人须知正文部分</w:t>
      </w:r>
      <w:bookmarkEnd w:id="34"/>
      <w:bookmarkEnd w:id="35"/>
      <w:bookmarkEnd w:id="36"/>
      <w:bookmarkEnd w:id="37"/>
    </w:p>
    <w:p w14:paraId="6A90B68B">
      <w:pPr>
        <w:pStyle w:val="3"/>
        <w:jc w:val="center"/>
        <w:rPr>
          <w:rFonts w:hint="eastAsia" w:ascii="宋体" w:hAnsi="宋体" w:eastAsia="宋体" w:cs="宋体"/>
          <w:color w:val="auto"/>
          <w:highlight w:val="none"/>
        </w:rPr>
      </w:pPr>
      <w:bookmarkStart w:id="41" w:name="_Toc3463"/>
      <w:r>
        <w:rPr>
          <w:rFonts w:hint="eastAsia" w:ascii="宋体" w:hAnsi="宋体" w:eastAsia="宋体" w:cs="宋体"/>
          <w:bCs/>
          <w:color w:val="auto"/>
          <w:highlight w:val="none"/>
          <w:lang w:val="en-US" w:eastAsia="zh-CN"/>
        </w:rPr>
        <w:t>一、</w:t>
      </w:r>
      <w:r>
        <w:rPr>
          <w:rFonts w:hint="eastAsia" w:ascii="宋体" w:hAnsi="宋体" w:eastAsia="宋体" w:cs="宋体"/>
          <w:bCs/>
          <w:color w:val="auto"/>
          <w:highlight w:val="none"/>
        </w:rPr>
        <w:t>说明</w:t>
      </w:r>
      <w:bookmarkEnd w:id="38"/>
      <w:bookmarkEnd w:id="39"/>
      <w:bookmarkEnd w:id="40"/>
      <w:bookmarkEnd w:id="41"/>
    </w:p>
    <w:p w14:paraId="473DC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1.1适用范围</w:t>
      </w:r>
    </w:p>
    <w:p w14:paraId="53AB97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1.1.1本磋商文件仅适用于本磋商公告中所述项目的货物及相关服务的采购。</w:t>
      </w:r>
    </w:p>
    <w:p w14:paraId="5F225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1.2定义</w:t>
      </w:r>
    </w:p>
    <w:p w14:paraId="27B83A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1.2.1“采购人”是指：详见供应商须知前附表</w:t>
      </w:r>
      <w:r>
        <w:rPr>
          <w:rFonts w:hint="eastAsia" w:ascii="宋体" w:hAnsi="宋体" w:eastAsia="宋体" w:cs="宋体"/>
          <w:color w:val="auto"/>
          <w:sz w:val="24"/>
          <w:szCs w:val="24"/>
          <w:highlight w:val="none"/>
          <w:lang w:eastAsia="zh-CN"/>
        </w:rPr>
        <w:t>。</w:t>
      </w:r>
    </w:p>
    <w:p w14:paraId="3A8489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1.2.2“采购代理机构”是指：详见供应商须知前附表</w:t>
      </w:r>
      <w:r>
        <w:rPr>
          <w:rFonts w:hint="eastAsia" w:ascii="宋体" w:hAnsi="宋体" w:eastAsia="宋体" w:cs="宋体"/>
          <w:color w:val="auto"/>
          <w:sz w:val="24"/>
          <w:szCs w:val="24"/>
          <w:highlight w:val="none"/>
          <w:lang w:eastAsia="zh-CN"/>
        </w:rPr>
        <w:t>。</w:t>
      </w:r>
    </w:p>
    <w:p w14:paraId="65E3CA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1.2.3“供应商”是指：响应磋商文件要求并且符合磋商文件规定资格条件和参加竞争性磋商的法人、其他组织或者自然人。</w:t>
      </w:r>
    </w:p>
    <w:p w14:paraId="448FE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“成交供应商”是指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是指经磋商小组评审，授予合同的供应商。</w:t>
      </w:r>
    </w:p>
    <w:p w14:paraId="0574CC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采购人和采购代理机构统称为招标采购单位。</w:t>
      </w:r>
    </w:p>
    <w:p w14:paraId="716256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1.3货物和服务</w:t>
      </w:r>
    </w:p>
    <w:p w14:paraId="47F891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1.3.1“货物”是指：供应商制造或</w:t>
      </w:r>
      <w:r>
        <w:rPr>
          <w:rFonts w:hint="eastAsia" w:ascii="宋体" w:hAnsi="宋体" w:eastAsia="宋体" w:cs="宋体"/>
          <w:color w:val="auto"/>
          <w:sz w:val="24"/>
          <w:szCs w:val="24"/>
          <w:highlight w:val="none"/>
          <w:lang w:eastAsia="zh-CN"/>
        </w:rPr>
        <w:t>经营</w:t>
      </w:r>
      <w:r>
        <w:rPr>
          <w:rFonts w:hint="eastAsia" w:ascii="宋体" w:hAnsi="宋体" w:eastAsia="宋体" w:cs="宋体"/>
          <w:color w:val="auto"/>
          <w:sz w:val="24"/>
          <w:szCs w:val="24"/>
          <w:highlight w:val="none"/>
        </w:rPr>
        <w:t>符合磋商文件要求的货物。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14:paraId="71A55D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1.3.2“服务”是指：除货物和工程以外的其他政府采购对象。包括：政府自身需要的服务和政府向社会公众提供的公共服务。</w:t>
      </w:r>
    </w:p>
    <w:p w14:paraId="76FD22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1.4磋商费用</w:t>
      </w:r>
    </w:p>
    <w:p w14:paraId="08CE0E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1.4.1供应商应承担所有与准备和参加竞争性磋商有关的费用。不论磋商的结果如何，采购单位均无义务和责任承担这些费用。</w:t>
      </w:r>
    </w:p>
    <w:p w14:paraId="7303EE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230C514">
      <w:pPr>
        <w:pStyle w:val="3"/>
        <w:rPr>
          <w:rFonts w:hint="eastAsia" w:ascii="宋体" w:hAnsi="宋体" w:eastAsia="宋体" w:cs="宋体"/>
          <w:color w:val="auto"/>
          <w:sz w:val="24"/>
          <w:szCs w:val="24"/>
          <w:highlight w:val="none"/>
        </w:rPr>
      </w:pPr>
      <w:bookmarkStart w:id="42" w:name="_Toc293736011"/>
      <w:bookmarkStart w:id="43" w:name="_Toc26068"/>
      <w:bookmarkStart w:id="44" w:name="_Toc446599311"/>
      <w:bookmarkStart w:id="45" w:name="_Toc293738992"/>
      <w:bookmarkStart w:id="46" w:name="_Toc16155"/>
      <w:bookmarkStart w:id="47" w:name="_Toc31622"/>
      <w:bookmarkStart w:id="48" w:name="_Toc27123"/>
      <w:bookmarkStart w:id="49" w:name="_Toc293736054"/>
      <w:bookmarkStart w:id="50" w:name="_Toc10113"/>
      <w:bookmarkStart w:id="51" w:name="_Toc19506"/>
      <w:bookmarkStart w:id="52" w:name="_Toc293736055"/>
      <w:bookmarkStart w:id="53" w:name="_Toc446599312"/>
      <w:bookmarkStart w:id="54" w:name="_Toc29642"/>
      <w:bookmarkStart w:id="55" w:name="_Toc293736012"/>
      <w:bookmarkStart w:id="56" w:name="_Toc293738993"/>
      <w:r>
        <w:rPr>
          <w:rFonts w:hint="eastAsia" w:ascii="宋体" w:hAnsi="宋体" w:eastAsia="宋体" w:cs="宋体"/>
          <w:color w:val="auto"/>
          <w:sz w:val="24"/>
          <w:szCs w:val="24"/>
          <w:highlight w:val="none"/>
        </w:rPr>
        <w:t>二、磋商文件</w:t>
      </w:r>
      <w:bookmarkEnd w:id="42"/>
      <w:bookmarkEnd w:id="43"/>
      <w:bookmarkEnd w:id="44"/>
      <w:bookmarkEnd w:id="45"/>
      <w:bookmarkEnd w:id="46"/>
      <w:bookmarkEnd w:id="47"/>
      <w:bookmarkEnd w:id="48"/>
      <w:bookmarkEnd w:id="49"/>
    </w:p>
    <w:p w14:paraId="77D7B4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.1磋商文件的构成</w:t>
      </w:r>
    </w:p>
    <w:p w14:paraId="3DA933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2.1.1磋商文件由下列文件以及在采购过程中发出的修正和补充文件组成：</w:t>
      </w:r>
    </w:p>
    <w:p w14:paraId="076508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磋商公告；</w:t>
      </w:r>
    </w:p>
    <w:p w14:paraId="03A321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供应商须知；</w:t>
      </w:r>
    </w:p>
    <w:p w14:paraId="0CD70E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采购需求</w:t>
      </w:r>
      <w:r>
        <w:rPr>
          <w:rFonts w:hint="eastAsia" w:ascii="宋体" w:hAnsi="宋体" w:eastAsia="宋体" w:cs="宋体"/>
          <w:color w:val="auto"/>
          <w:sz w:val="24"/>
          <w:szCs w:val="24"/>
          <w:highlight w:val="none"/>
        </w:rPr>
        <w:t>；</w:t>
      </w:r>
    </w:p>
    <w:p w14:paraId="4B221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评审方法；</w:t>
      </w:r>
    </w:p>
    <w:p w14:paraId="4C6744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w:t>
      </w:r>
    </w:p>
    <w:p w14:paraId="120B3F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响应文件格式；</w:t>
      </w:r>
    </w:p>
    <w:p w14:paraId="1035E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rPr>
        <w:t>在磋商过程中由采购单位发出的澄清和补充文件等。</w:t>
      </w:r>
    </w:p>
    <w:p w14:paraId="01670C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43C11D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2.2磋商文件的澄清</w:t>
      </w:r>
    </w:p>
    <w:p w14:paraId="18EE23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zh-CN"/>
        </w:rPr>
        <w:t>供应商在收到</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文件后，若有疑问需要澄清，应于收到</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文件后两日内正政采云平台上向采购人或采购代理机构（以下统称采购机构）提出，采购机构将及时予以解答，解答内容将送达所有参与</w:t>
      </w:r>
      <w:r>
        <w:rPr>
          <w:rFonts w:hint="eastAsia" w:ascii="宋体" w:hAnsi="宋体" w:eastAsia="宋体" w:cs="宋体"/>
          <w:color w:val="auto"/>
          <w:sz w:val="24"/>
          <w:szCs w:val="24"/>
          <w:highlight w:val="none"/>
        </w:rPr>
        <w:t>磋商采购活动</w:t>
      </w:r>
      <w:r>
        <w:rPr>
          <w:rFonts w:hint="eastAsia" w:ascii="宋体" w:hAnsi="宋体" w:eastAsia="宋体" w:cs="宋体"/>
          <w:color w:val="auto"/>
          <w:sz w:val="24"/>
          <w:szCs w:val="24"/>
          <w:highlight w:val="none"/>
          <w:lang w:val="zh-CN"/>
        </w:rPr>
        <w:t>的供应商。</w:t>
      </w:r>
    </w:p>
    <w:p w14:paraId="697BEB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2.3.磋商文件的修改</w:t>
      </w:r>
    </w:p>
    <w:p w14:paraId="196BC3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5BD84A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C618CE2">
      <w:pPr>
        <w:pStyle w:val="3"/>
        <w:rPr>
          <w:rFonts w:hint="eastAsia" w:ascii="宋体" w:hAnsi="宋体" w:eastAsia="宋体" w:cs="宋体"/>
          <w:b w:val="0"/>
          <w:bCs/>
          <w:color w:val="auto"/>
          <w:sz w:val="24"/>
          <w:szCs w:val="24"/>
          <w:highlight w:val="none"/>
          <w:lang w:eastAsia="zh-CN"/>
        </w:rPr>
      </w:pPr>
      <w:bookmarkStart w:id="57" w:name="_Toc6367"/>
      <w:r>
        <w:rPr>
          <w:rFonts w:hint="eastAsia" w:ascii="宋体" w:hAnsi="宋体" w:eastAsia="宋体" w:cs="宋体"/>
          <w:color w:val="auto"/>
          <w:sz w:val="24"/>
          <w:szCs w:val="24"/>
          <w:highlight w:val="none"/>
        </w:rPr>
        <w:t>三、</w:t>
      </w:r>
      <w:bookmarkEnd w:id="50"/>
      <w:bookmarkEnd w:id="51"/>
      <w:bookmarkEnd w:id="52"/>
      <w:bookmarkEnd w:id="53"/>
      <w:bookmarkEnd w:id="54"/>
      <w:bookmarkEnd w:id="55"/>
      <w:bookmarkEnd w:id="56"/>
      <w:r>
        <w:rPr>
          <w:rFonts w:hint="eastAsia" w:ascii="宋体" w:hAnsi="宋体" w:cs="宋体"/>
          <w:color w:val="auto"/>
          <w:sz w:val="24"/>
          <w:szCs w:val="24"/>
          <w:highlight w:val="none"/>
          <w:lang w:eastAsia="zh-CN"/>
        </w:rPr>
        <w:t>响应文件的编制</w:t>
      </w:r>
      <w:bookmarkEnd w:id="57"/>
    </w:p>
    <w:p w14:paraId="78434B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3.1响应文件的语言</w:t>
      </w:r>
    </w:p>
    <w:p w14:paraId="5B3ABF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1F6AA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3.2响应文件的构成</w:t>
      </w:r>
    </w:p>
    <w:p w14:paraId="2DFBF9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3.2.1供应商编制的响应文件应包括但不少于下列内容：</w:t>
      </w:r>
    </w:p>
    <w:p w14:paraId="1E05F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1.1响应文件封面（封面、目录、评审索引表）</w:t>
      </w:r>
    </w:p>
    <w:p w14:paraId="683538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资格文件</w:t>
      </w:r>
    </w:p>
    <w:p w14:paraId="4333FF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2.1满足《中华人民共和国政府采购法》第二十二条规定</w:t>
      </w:r>
      <w:r>
        <w:rPr>
          <w:rFonts w:hint="eastAsia" w:ascii="宋体" w:hAnsi="宋体" w:eastAsia="宋体" w:cs="宋体"/>
          <w:color w:val="auto"/>
          <w:sz w:val="24"/>
          <w:szCs w:val="24"/>
          <w:highlight w:val="none"/>
        </w:rPr>
        <w:t>；</w:t>
      </w:r>
    </w:p>
    <w:p w14:paraId="0771F7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2.2</w:t>
      </w:r>
      <w:r>
        <w:rPr>
          <w:rFonts w:hint="eastAsia" w:cs="宋体"/>
          <w:color w:val="auto"/>
          <w:sz w:val="24"/>
          <w:szCs w:val="24"/>
          <w:highlight w:val="none"/>
          <w:lang w:val="en-US" w:eastAsia="zh-CN"/>
        </w:rPr>
        <w:t>落实政府采购政策需满足的资格要求</w:t>
      </w:r>
      <w:r>
        <w:rPr>
          <w:rFonts w:hint="eastAsia" w:ascii="宋体" w:hAnsi="宋体" w:eastAsia="宋体" w:cs="宋体"/>
          <w:color w:val="auto"/>
          <w:sz w:val="24"/>
          <w:szCs w:val="24"/>
          <w:highlight w:val="none"/>
        </w:rPr>
        <w:t>；</w:t>
      </w:r>
    </w:p>
    <w:p w14:paraId="0409FD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2.3</w:t>
      </w:r>
      <w:r>
        <w:rPr>
          <w:rFonts w:hint="eastAsia" w:ascii="宋体" w:hAnsi="宋体" w:cs="宋体"/>
          <w:color w:val="auto"/>
          <w:sz w:val="24"/>
          <w:szCs w:val="24"/>
          <w:highlight w:val="none"/>
          <w:lang w:val="en-US" w:eastAsia="zh-CN"/>
        </w:rPr>
        <w:t>磋商保证金</w:t>
      </w:r>
      <w:r>
        <w:rPr>
          <w:rFonts w:hint="eastAsia" w:ascii="宋体" w:hAnsi="宋体" w:eastAsia="宋体" w:cs="宋体"/>
          <w:color w:val="auto"/>
          <w:sz w:val="24"/>
          <w:szCs w:val="24"/>
          <w:highlight w:val="none"/>
        </w:rPr>
        <w:t>；</w:t>
      </w:r>
    </w:p>
    <w:p w14:paraId="0DA95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本项目特定资格</w:t>
      </w:r>
      <w:r>
        <w:rPr>
          <w:rFonts w:hint="eastAsia" w:ascii="宋体" w:hAnsi="宋体" w:eastAsia="宋体" w:cs="宋体"/>
          <w:color w:val="auto"/>
          <w:sz w:val="24"/>
          <w:szCs w:val="24"/>
          <w:highlight w:val="none"/>
          <w:lang w:eastAsia="zh-CN"/>
        </w:rPr>
        <w:t>资质</w:t>
      </w:r>
      <w:r>
        <w:rPr>
          <w:rFonts w:hint="eastAsia" w:ascii="宋体" w:hAnsi="宋体" w:eastAsia="宋体" w:cs="宋体"/>
          <w:color w:val="auto"/>
          <w:sz w:val="24"/>
          <w:szCs w:val="24"/>
          <w:highlight w:val="none"/>
        </w:rPr>
        <w:t>；</w:t>
      </w:r>
    </w:p>
    <w:p w14:paraId="601E91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7C86D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3.1报价一览表</w:t>
      </w:r>
      <w:r>
        <w:rPr>
          <w:rFonts w:hint="eastAsia" w:ascii="宋体" w:hAnsi="宋体" w:eastAsia="宋体" w:cs="宋体"/>
          <w:color w:val="auto"/>
          <w:sz w:val="24"/>
          <w:szCs w:val="24"/>
          <w:highlight w:val="none"/>
        </w:rPr>
        <w:t>；</w:t>
      </w:r>
    </w:p>
    <w:p w14:paraId="281262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3.2报价明细表（如有）</w:t>
      </w:r>
      <w:r>
        <w:rPr>
          <w:rFonts w:hint="eastAsia" w:ascii="宋体" w:hAnsi="宋体" w:eastAsia="宋体" w:cs="宋体"/>
          <w:color w:val="auto"/>
          <w:sz w:val="24"/>
          <w:szCs w:val="24"/>
          <w:highlight w:val="none"/>
        </w:rPr>
        <w:t>；</w:t>
      </w:r>
    </w:p>
    <w:p w14:paraId="5EC22C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4商务技术文件</w:t>
      </w:r>
    </w:p>
    <w:p w14:paraId="5D891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4.1投标函；</w:t>
      </w:r>
    </w:p>
    <w:p w14:paraId="080B8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4.2供应商基本情况表；</w:t>
      </w:r>
    </w:p>
    <w:p w14:paraId="434BB4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4.3</w:t>
      </w:r>
      <w:r>
        <w:rPr>
          <w:rFonts w:hint="eastAsia" w:ascii="宋体" w:hAnsi="宋体" w:cs="宋体"/>
          <w:color w:val="auto"/>
          <w:sz w:val="24"/>
          <w:szCs w:val="24"/>
          <w:highlight w:val="none"/>
          <w:lang w:val="en-US" w:eastAsia="zh-CN"/>
        </w:rPr>
        <w:t>所投产品（服务）的相关技术、证明资料（如有）</w:t>
      </w:r>
      <w:r>
        <w:rPr>
          <w:rFonts w:hint="eastAsia" w:ascii="宋体" w:hAnsi="宋体" w:eastAsia="宋体" w:cs="宋体"/>
          <w:color w:val="auto"/>
          <w:sz w:val="24"/>
          <w:szCs w:val="24"/>
          <w:highlight w:val="none"/>
          <w:lang w:val="en-US" w:eastAsia="zh-CN"/>
        </w:rPr>
        <w:t>；</w:t>
      </w:r>
    </w:p>
    <w:p w14:paraId="4A40CD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4.4</w:t>
      </w:r>
      <w:r>
        <w:rPr>
          <w:rFonts w:hint="eastAsia" w:ascii="宋体" w:hAnsi="宋体" w:cs="宋体"/>
          <w:color w:val="auto"/>
          <w:sz w:val="24"/>
          <w:szCs w:val="24"/>
          <w:highlight w:val="none"/>
          <w:lang w:eastAsia="zh-CN"/>
        </w:rPr>
        <w:t>服务（技术）条款偏离表</w:t>
      </w:r>
      <w:r>
        <w:rPr>
          <w:rFonts w:hint="eastAsia" w:ascii="宋体" w:hAnsi="宋体" w:eastAsia="宋体" w:cs="宋体"/>
          <w:color w:val="auto"/>
          <w:sz w:val="24"/>
          <w:szCs w:val="24"/>
          <w:highlight w:val="none"/>
          <w:lang w:eastAsia="zh-CN"/>
        </w:rPr>
        <w:t>；</w:t>
      </w:r>
    </w:p>
    <w:p w14:paraId="38DAF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商务条款偏离表；</w:t>
      </w:r>
    </w:p>
    <w:p w14:paraId="319A4B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eastAsia="zh-CN"/>
        </w:rPr>
        <w:t>近三年类似业绩</w:t>
      </w:r>
      <w:r>
        <w:rPr>
          <w:rFonts w:hint="eastAsia" w:ascii="宋体" w:hAnsi="宋体" w:eastAsia="宋体" w:cs="宋体"/>
          <w:color w:val="auto"/>
          <w:sz w:val="24"/>
          <w:szCs w:val="24"/>
          <w:highlight w:val="none"/>
        </w:rPr>
        <w:t>；</w:t>
      </w:r>
    </w:p>
    <w:p w14:paraId="348947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4.7项目实施（服务）方案；</w:t>
      </w:r>
    </w:p>
    <w:p w14:paraId="2F8CF9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4.8服务承诺；</w:t>
      </w:r>
    </w:p>
    <w:p w14:paraId="47C059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lang w:eastAsia="zh-CN"/>
        </w:rPr>
        <w:t>服务</w:t>
      </w:r>
      <w:r>
        <w:rPr>
          <w:rFonts w:hint="eastAsia" w:ascii="宋体" w:hAnsi="宋体" w:cs="宋体"/>
          <w:color w:val="auto"/>
          <w:sz w:val="24"/>
          <w:szCs w:val="24"/>
          <w:highlight w:val="none"/>
          <w:lang w:val="en-US" w:eastAsia="zh-CN"/>
        </w:rPr>
        <w:t>团队</w:t>
      </w:r>
      <w:r>
        <w:rPr>
          <w:rFonts w:hint="eastAsia" w:ascii="宋体" w:hAnsi="宋体" w:eastAsia="宋体" w:cs="宋体"/>
          <w:color w:val="auto"/>
          <w:sz w:val="24"/>
          <w:szCs w:val="24"/>
          <w:highlight w:val="none"/>
        </w:rPr>
        <w:t>；</w:t>
      </w:r>
    </w:p>
    <w:p w14:paraId="065AF7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其他有利于投标的资料及证明文件等（如有）。</w:t>
      </w:r>
    </w:p>
    <w:p w14:paraId="70BD3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3.3响应文件编制</w:t>
      </w:r>
    </w:p>
    <w:p w14:paraId="2294B0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3.3.1响应文件应分为“封面”、“</w:t>
      </w:r>
      <w:r>
        <w:rPr>
          <w:rFonts w:hint="eastAsia" w:ascii="宋体" w:hAnsi="宋体" w:eastAsia="宋体" w:cs="宋体"/>
          <w:color w:val="auto"/>
          <w:sz w:val="24"/>
          <w:szCs w:val="24"/>
          <w:highlight w:val="none"/>
          <w:lang w:eastAsia="zh-CN"/>
        </w:rPr>
        <w:t>资格文件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商务技术</w:t>
      </w:r>
      <w:r>
        <w:rPr>
          <w:rFonts w:hint="eastAsia" w:ascii="宋体" w:hAnsi="宋体" w:eastAsia="宋体" w:cs="宋体"/>
          <w:color w:val="auto"/>
          <w:sz w:val="24"/>
          <w:szCs w:val="24"/>
          <w:highlight w:val="none"/>
        </w:rPr>
        <w:t>文件”四个部分组成。</w:t>
      </w:r>
    </w:p>
    <w:p w14:paraId="27100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资格</w:t>
      </w:r>
      <w:r>
        <w:rPr>
          <w:rFonts w:hint="eastAsia" w:ascii="宋体" w:hAnsi="宋体" w:eastAsia="宋体" w:cs="宋体"/>
          <w:color w:val="auto"/>
          <w:sz w:val="24"/>
          <w:szCs w:val="24"/>
          <w:highlight w:val="none"/>
        </w:rPr>
        <w:t>文件指供应商提交的证明其有资格参加投标和中标后有能力履行合同的文件。商务技术文件指供应商提交的能够证明其提供的</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服务符合竞争性磋商文件规定的文件。本次磋商，供应商须按竞争性磋商文件第二部分中规定提交</w:t>
      </w:r>
      <w:r>
        <w:rPr>
          <w:rFonts w:hint="eastAsia" w:ascii="宋体" w:hAnsi="宋体" w:eastAsia="宋体" w:cs="宋体"/>
          <w:color w:val="auto"/>
          <w:sz w:val="24"/>
          <w:szCs w:val="24"/>
          <w:highlight w:val="none"/>
          <w:lang w:eastAsia="zh-CN"/>
        </w:rPr>
        <w:t>资格、报价和</w:t>
      </w:r>
      <w:r>
        <w:rPr>
          <w:rFonts w:hint="eastAsia" w:ascii="宋体" w:hAnsi="宋体" w:eastAsia="宋体" w:cs="宋体"/>
          <w:color w:val="auto"/>
          <w:sz w:val="24"/>
          <w:szCs w:val="24"/>
          <w:highlight w:val="none"/>
        </w:rPr>
        <w:t>商务技术文件，若有缺失或无效，将导致投标被拒绝且不允许在开标后补正。</w:t>
      </w:r>
    </w:p>
    <w:p w14:paraId="26944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3.3.2磋商文件中提供格式的，响应文件须按照格式编制；表格样式不够或多余的，供应商根据实际情况可按照格式要求自行增加或减少。磋商文件中未提供格式的，供应商可根据实际情况自行提供。</w:t>
      </w:r>
    </w:p>
    <w:p w14:paraId="15C5F5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3.3.3供应商递交的响应文件及相关要求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按照磋商文件第二部分“供应商须知前附表”中的规定。</w:t>
      </w:r>
    </w:p>
    <w:p w14:paraId="09F0FA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395EDC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3.3.5供应商应认真阅读、并充分理解本文件的全部内容（包括所有的补充、修改内容），承诺并履行本文件中各项条款规定及要求。</w:t>
      </w:r>
    </w:p>
    <w:p w14:paraId="1D03F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3.3.6响应文件必须按本文件的全部内容，包括所有的补充通知进行编制。</w:t>
      </w:r>
    </w:p>
    <w:p w14:paraId="2FB7A8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3.3.7如因供应商只填写和提供了本文件要求的部分内容，而给评审造成困难，其可能导致的结果和责任由供应商自行承担。</w:t>
      </w:r>
    </w:p>
    <w:p w14:paraId="0A7279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3.4磋商报价要求</w:t>
      </w:r>
    </w:p>
    <w:p w14:paraId="79CABA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3.4.1供应商所提供的货物和服务均以人民币报价。</w:t>
      </w:r>
    </w:p>
    <w:p w14:paraId="2284C9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3.4.2商应按照“第</w:t>
      </w:r>
      <w:r>
        <w:rPr>
          <w:rFonts w:hint="eastAsia" w:ascii="宋体" w:hAnsi="宋体" w:eastAsia="宋体" w:cs="宋体"/>
          <w:color w:val="auto"/>
          <w:sz w:val="24"/>
          <w:szCs w:val="24"/>
          <w:highlight w:val="none"/>
          <w:lang w:eastAsia="zh-CN"/>
        </w:rPr>
        <w:t>三部分</w:t>
      </w:r>
      <w:r>
        <w:rPr>
          <w:rFonts w:hint="eastAsia" w:ascii="宋体" w:hAnsi="宋体" w:eastAsia="宋体" w:cs="宋体"/>
          <w:color w:val="auto"/>
          <w:sz w:val="24"/>
          <w:szCs w:val="24"/>
          <w:highlight w:val="none"/>
        </w:rPr>
        <w:t>”规定的货物、服务内容、责任范围以及合同条款进行报价。并按《</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BB63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》填写时应响应下列要求：</w:t>
      </w:r>
    </w:p>
    <w:p w14:paraId="113F4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对于报价免费的项目应标明“免费”；</w:t>
      </w:r>
    </w:p>
    <w:p w14:paraId="6B89C7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所有根据合同或其它原因应由供应商支付的税款和其它应交纳的费用都要包括在供应商提交的磋商总价中；</w:t>
      </w:r>
    </w:p>
    <w:p w14:paraId="2EF9DD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应包含货物运至最终目的地的运输、保险和伴随货物服务的有关费用。</w:t>
      </w:r>
    </w:p>
    <w:p w14:paraId="03EC5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每一种规格的货物、服务只允许有一个报价，否则将被视为无效投标。</w:t>
      </w:r>
    </w:p>
    <w:p w14:paraId="645506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供应商所报的总价在合同执行过程中是固定不变的，不得以任何理由予以变更。</w:t>
      </w:r>
    </w:p>
    <w:p w14:paraId="15A3C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供应商的最后磋商报价超过项目采购预算的为无效报价。</w:t>
      </w:r>
    </w:p>
    <w:p w14:paraId="61BC76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3.5备选方案</w:t>
      </w:r>
    </w:p>
    <w:p w14:paraId="52E7A5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3.5.1供应商应按照供应商须知前附表要求编制磋商备选方案，否则将被视为无效响应文件。</w:t>
      </w:r>
    </w:p>
    <w:p w14:paraId="365D07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3.6联合体投标</w:t>
      </w:r>
    </w:p>
    <w:p w14:paraId="3E89F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3.6.1两个以上供应商可以组成一个联合体，以一个供应商的身份共同参与磋商。</w:t>
      </w:r>
    </w:p>
    <w:p w14:paraId="3FE93E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204AB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3.6.3联合体各方之间必须签订联合磋商协议，明确约定联合体主体及各方承担的工作和相应的责任，其响应文件中必须提供联合磋商协议。</w:t>
      </w:r>
    </w:p>
    <w:p w14:paraId="139547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3.6.4以联合体形式参加政府采购活动的，联合体各方不得再单独参加或者与其他供应商另外组成联合体参加同一合同项下的政府采购活动。</w:t>
      </w:r>
    </w:p>
    <w:p w14:paraId="13B25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3.6.5采取联合体形式投标的，其响应文件必须由联合体所有成员或其各自正式授权的代表签署盖章，以便对所有成员作为整体及作为个体均具有法律约束力。</w:t>
      </w:r>
    </w:p>
    <w:p w14:paraId="1CCD5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3.6.6联合体成交的，联合体各方应当共同与采购人签订采购合同。</w:t>
      </w:r>
    </w:p>
    <w:p w14:paraId="4B09CB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3.6.7联合体中有同类资质的供应商按照联合体分工承担相同工作的，应当按照资质等级较低的供应商确定资质等级。</w:t>
      </w:r>
    </w:p>
    <w:p w14:paraId="6373F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3.7供应商资格证明文件</w:t>
      </w:r>
    </w:p>
    <w:p w14:paraId="7CA060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3.7.1供应商应提交证明其有资格参加磋商和成交后有能力履行合同的文件，并作为其响应文件的一部分。</w:t>
      </w:r>
    </w:p>
    <w:p w14:paraId="4427A5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3.7.2资格证明文件必须真实可靠、不得伪造。</w:t>
      </w:r>
    </w:p>
    <w:p w14:paraId="533DD7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3.7.3磋商文件要求或供应商认为需提供的其它相关资格证明材料。</w:t>
      </w:r>
    </w:p>
    <w:p w14:paraId="171D18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 证明投标货物、服务的合格性和符合磋商文件规定的文件。</w:t>
      </w:r>
    </w:p>
    <w:p w14:paraId="354BEF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3.8.磋商保证金</w:t>
      </w:r>
    </w:p>
    <w:p w14:paraId="3D49DB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3.8.1供应商应在须知前附表中规定的时间之前，通过企业银行</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账户，将所规定数额的保证金以转账或电汇方式缴纳至该项目所对应的保证金收取账号内。保证金缴纳时间以该项目所对应的保证金收取账号中显示的到账时间为准。</w:t>
      </w:r>
    </w:p>
    <w:p w14:paraId="59FEFC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3.8.2对于未能按要求提交保证金的将视为未响应磋商文件的要求，其响应文件无效。</w:t>
      </w:r>
    </w:p>
    <w:p w14:paraId="2725CC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3.8.3未成交的供应商，其保证金在成交公告发布后5个工作日内，按照磋商保证金的来款渠道原路退还至供应商缴纳保证金的企业银行</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账户内；如有质疑或投诉，政府采购代理机构将在质疑和投诉处理完毕后5个工作日内，按照保证金的来款渠道原路退还至供应商缴纳保证金的企业银行</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账户内。</w:t>
      </w:r>
    </w:p>
    <w:p w14:paraId="20EA4E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3.8.4成交供应商的磋商保证金,在供应商与采购人签订合同后5个工作日内，按照保证金的来款渠道原路退还至供应商缴纳保证金的企业银行</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账户内。</w:t>
      </w:r>
    </w:p>
    <w:p w14:paraId="14B4FF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3.8.5有下列情形之一的，保证金将被没收：</w:t>
      </w:r>
    </w:p>
    <w:p w14:paraId="74B961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供应商在响应文件中提供虚假资料的；</w:t>
      </w:r>
    </w:p>
    <w:p w14:paraId="13A693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除因不可抗力或磋商文件认可的情形以外，成交供应商不与采购人签订合同的；</w:t>
      </w:r>
    </w:p>
    <w:p w14:paraId="4BFB76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供应商与采购人、其他供应商或者采购代理机构恶意串通的；</w:t>
      </w:r>
    </w:p>
    <w:p w14:paraId="1BFE6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磋商文件规定的其他情形。</w:t>
      </w:r>
    </w:p>
    <w:p w14:paraId="523719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3.9.磋商的有效期</w:t>
      </w:r>
    </w:p>
    <w:p w14:paraId="76A53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3.9.1磋商有效期详见供应商须知前附表。供应商响应文件中有效期不足的将被视为无效文件。</w:t>
      </w:r>
    </w:p>
    <w:p w14:paraId="5BCA20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有效期内供应商未经采购结果确认磋商达成一致不得改变其磋商最后报价及承诺的全部义务。</w:t>
      </w:r>
    </w:p>
    <w:p w14:paraId="4EBB7A5A">
      <w:pPr>
        <w:pStyle w:val="11"/>
        <w:spacing w:line="360" w:lineRule="auto"/>
        <w:ind w:firstLine="480"/>
        <w:rPr>
          <w:rFonts w:hint="eastAsia" w:ascii="宋体" w:hAnsi="宋体" w:eastAsia="宋体" w:cs="宋体"/>
          <w:bCs/>
          <w:color w:val="auto"/>
          <w:kern w:val="0"/>
          <w:sz w:val="24"/>
          <w:szCs w:val="24"/>
          <w:highlight w:val="none"/>
        </w:rPr>
      </w:pPr>
    </w:p>
    <w:p w14:paraId="2A78FDBB">
      <w:pPr>
        <w:pStyle w:val="3"/>
        <w:rPr>
          <w:rFonts w:hint="eastAsia" w:ascii="宋体" w:hAnsi="宋体" w:eastAsia="宋体" w:cs="宋体"/>
          <w:b w:val="0"/>
          <w:bCs/>
          <w:color w:val="auto"/>
          <w:sz w:val="24"/>
          <w:szCs w:val="24"/>
          <w:highlight w:val="none"/>
        </w:rPr>
      </w:pPr>
      <w:bookmarkStart w:id="58" w:name="_Toc7126"/>
      <w:bookmarkStart w:id="59" w:name="_Toc19658"/>
      <w:bookmarkStart w:id="60" w:name="_Toc293736013"/>
      <w:bookmarkStart w:id="61" w:name="_Toc13278"/>
      <w:bookmarkStart w:id="62" w:name="_Toc446599313"/>
      <w:bookmarkStart w:id="63" w:name="_Toc26777"/>
      <w:bookmarkStart w:id="64" w:name="_Toc293738994"/>
      <w:bookmarkStart w:id="65" w:name="_Toc293736056"/>
      <w:r>
        <w:rPr>
          <w:rFonts w:hint="eastAsia" w:ascii="宋体" w:hAnsi="宋体" w:eastAsia="宋体" w:cs="宋体"/>
          <w:color w:val="auto"/>
          <w:sz w:val="24"/>
          <w:szCs w:val="24"/>
          <w:highlight w:val="none"/>
        </w:rPr>
        <w:t>四、响应文件的递交</w:t>
      </w:r>
      <w:bookmarkEnd w:id="58"/>
      <w:bookmarkEnd w:id="59"/>
      <w:bookmarkEnd w:id="60"/>
      <w:bookmarkEnd w:id="61"/>
      <w:bookmarkEnd w:id="62"/>
      <w:bookmarkEnd w:id="63"/>
      <w:bookmarkEnd w:id="64"/>
      <w:bookmarkEnd w:id="65"/>
    </w:p>
    <w:p w14:paraId="2C1797EE">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eastAsia="zh-CN"/>
        </w:rPr>
        <w:t>加</w:t>
      </w:r>
      <w:r>
        <w:rPr>
          <w:rFonts w:hint="eastAsia" w:ascii="宋体" w:hAnsi="宋体" w:eastAsia="宋体" w:cs="宋体"/>
          <w:color w:val="auto"/>
          <w:sz w:val="24"/>
          <w:highlight w:val="none"/>
        </w:rPr>
        <w:t>密与标记</w:t>
      </w:r>
    </w:p>
    <w:p w14:paraId="3A301A73">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投标人应通过电子投标文件制作工具严格按</w:t>
      </w:r>
      <w:r>
        <w:rPr>
          <w:rFonts w:hint="eastAsia" w:ascii="宋体" w:hAnsi="宋体" w:eastAsia="宋体" w:cs="宋体"/>
          <w:color w:val="auto"/>
          <w:sz w:val="24"/>
          <w:highlight w:val="none"/>
          <w:lang w:val="en-US" w:eastAsia="zh-CN"/>
        </w:rPr>
        <w:t>采购文件</w:t>
      </w:r>
      <w:r>
        <w:rPr>
          <w:rFonts w:hint="eastAsia" w:ascii="宋体" w:hAnsi="宋体" w:eastAsia="宋体" w:cs="宋体"/>
          <w:color w:val="auto"/>
          <w:sz w:val="24"/>
          <w:highlight w:val="none"/>
        </w:rPr>
        <w:t>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2652D42">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投标截止时间以政采云平台显示的时间为准，逾期系统将自动关闭，未完成上传的投标文件视为逾期送达，</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将被拒绝。</w:t>
      </w:r>
    </w:p>
    <w:p w14:paraId="293F6B0C">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如果投标人未按上述要求</w:t>
      </w:r>
      <w:r>
        <w:rPr>
          <w:rFonts w:hint="eastAsia" w:ascii="宋体" w:hAnsi="宋体" w:eastAsia="宋体" w:cs="宋体"/>
          <w:color w:val="auto"/>
          <w:sz w:val="24"/>
          <w:highlight w:val="none"/>
          <w:lang w:eastAsia="zh-CN"/>
        </w:rPr>
        <w:t>加</w:t>
      </w:r>
      <w:r>
        <w:rPr>
          <w:rFonts w:hint="eastAsia" w:ascii="宋体" w:hAnsi="宋体" w:eastAsia="宋体" w:cs="宋体"/>
          <w:color w:val="auto"/>
          <w:sz w:val="24"/>
          <w:highlight w:val="none"/>
        </w:rPr>
        <w:t>密及标记，采购代理机构对投标文件的误投和提前启封概不负责。对由此造成提前开</w:t>
      </w:r>
      <w:r>
        <w:rPr>
          <w:rFonts w:hint="eastAsia" w:ascii="宋体" w:hAnsi="宋体" w:eastAsia="宋体" w:cs="宋体"/>
          <w:color w:val="auto"/>
          <w:sz w:val="24"/>
          <w:highlight w:val="none"/>
          <w:lang w:eastAsia="zh-CN"/>
        </w:rPr>
        <w:t>启</w:t>
      </w:r>
      <w:r>
        <w:rPr>
          <w:rFonts w:hint="eastAsia" w:ascii="宋体" w:hAnsi="宋体" w:eastAsia="宋体" w:cs="宋体"/>
          <w:color w:val="auto"/>
          <w:sz w:val="24"/>
          <w:highlight w:val="none"/>
        </w:rPr>
        <w:t>的投标文件，采购代理机构有权予以拒绝，并退回投标人。</w:t>
      </w:r>
    </w:p>
    <w:p w14:paraId="5B0D6F23">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文件的递交</w:t>
      </w:r>
    </w:p>
    <w:p w14:paraId="0CD03273">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zh-CN"/>
        </w:rPr>
        <w:t>项目采用不见面开标。只需将加密电子投标文件（.</w:t>
      </w:r>
      <w:r>
        <w:rPr>
          <w:rFonts w:hint="eastAsia" w:ascii="宋体" w:hAnsi="宋体" w:eastAsia="宋体" w:cs="宋体"/>
          <w:color w:val="auto"/>
          <w:sz w:val="24"/>
          <w:highlight w:val="none"/>
        </w:rPr>
        <w:t>jmbs</w:t>
      </w:r>
      <w:r>
        <w:rPr>
          <w:rFonts w:hint="eastAsia" w:ascii="宋体" w:hAnsi="宋体" w:eastAsia="宋体" w:cs="宋体"/>
          <w:color w:val="auto"/>
          <w:sz w:val="24"/>
          <w:highlight w:val="none"/>
          <w:lang w:val="zh-CN"/>
        </w:rPr>
        <w:t>格式）在投标截止时间前通过</w:t>
      </w:r>
      <w:r>
        <w:rPr>
          <w:rFonts w:hint="eastAsia" w:ascii="宋体" w:hAnsi="宋体" w:eastAsia="宋体" w:cs="宋体"/>
          <w:color w:val="auto"/>
          <w:sz w:val="24"/>
          <w:highlight w:val="none"/>
        </w:rPr>
        <w:t>政采云</w:t>
      </w:r>
      <w:r>
        <w:rPr>
          <w:rFonts w:hint="eastAsia" w:ascii="宋体" w:hAnsi="宋体" w:eastAsia="宋体" w:cs="宋体"/>
          <w:color w:val="auto"/>
          <w:sz w:val="24"/>
          <w:highlight w:val="none"/>
          <w:lang w:val="zh-CN"/>
        </w:rPr>
        <w:t>平台上传</w:t>
      </w:r>
      <w:r>
        <w:rPr>
          <w:rFonts w:hint="eastAsia" w:ascii="宋体" w:hAnsi="宋体" w:cs="宋体"/>
          <w:color w:val="auto"/>
          <w:sz w:val="24"/>
          <w:szCs w:val="24"/>
          <w:highlight w:val="none"/>
          <w:lang w:val="zh-CN"/>
        </w:rPr>
        <w:t>完成。上传时必须得到电脑“上传成功”的确认回复后方为上传成</w:t>
      </w:r>
      <w:r>
        <w:rPr>
          <w:rFonts w:hint="eastAsia" w:ascii="宋体" w:hAnsi="宋体" w:eastAsia="宋体" w:cs="宋体"/>
          <w:color w:val="auto"/>
          <w:sz w:val="24"/>
          <w:highlight w:val="none"/>
          <w:lang w:val="zh-CN"/>
        </w:rPr>
        <w:t>功。逾期上传的或者未上传到平台的投标文件，采购人不予受理。</w:t>
      </w:r>
    </w:p>
    <w:p w14:paraId="6F24FC23">
      <w:pPr>
        <w:pageBreakBefore w:val="0"/>
        <w:widowControl w:val="0"/>
        <w:kinsoku/>
        <w:wordWrap/>
        <w:overflowPunct/>
        <w:topLinePunct w:val="0"/>
        <w:autoSpaceDE/>
        <w:autoSpaceDN/>
        <w:bidi w:val="0"/>
        <w:adjustRightInd w:val="0"/>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zh-CN"/>
        </w:rPr>
        <w:t xml:space="preserve"> 投标单位在投标截止时间前无需提供纸质投标文件，待中标（成交）</w:t>
      </w:r>
      <w:r>
        <w:rPr>
          <w:rFonts w:hint="eastAsia" w:ascii="宋体" w:hAnsi="宋体" w:eastAsia="宋体" w:cs="宋体"/>
          <w:b/>
          <w:bCs/>
          <w:color w:val="auto"/>
          <w:sz w:val="24"/>
          <w:highlight w:val="none"/>
        </w:rPr>
        <w:t>公示期满后由中标</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成交</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单位将纸质</w:t>
      </w:r>
      <w:r>
        <w:rPr>
          <w:rFonts w:hint="eastAsia" w:ascii="宋体" w:hAnsi="宋体" w:eastAsia="宋体" w:cs="宋体"/>
          <w:b/>
          <w:bCs/>
          <w:color w:val="auto"/>
          <w:sz w:val="24"/>
          <w:highlight w:val="none"/>
          <w:lang w:val="en-US" w:eastAsia="zh-CN"/>
        </w:rPr>
        <w:t>投标文件</w:t>
      </w:r>
      <w:r>
        <w:rPr>
          <w:rFonts w:hint="eastAsia" w:ascii="宋体" w:hAnsi="宋体" w:eastAsia="宋体" w:cs="宋体"/>
          <w:b/>
          <w:bCs/>
          <w:color w:val="auto"/>
          <w:sz w:val="24"/>
          <w:highlight w:val="none"/>
        </w:rPr>
        <w:t>（正本1份、副本2份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电子版投标文件1份</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送或</w:t>
      </w:r>
      <w:r>
        <w:rPr>
          <w:rFonts w:hint="eastAsia" w:ascii="宋体" w:hAnsi="宋体" w:eastAsia="宋体" w:cs="宋体"/>
          <w:b/>
          <w:bCs/>
          <w:color w:val="auto"/>
          <w:sz w:val="24"/>
          <w:highlight w:val="none"/>
        </w:rPr>
        <w:t>寄至</w:t>
      </w:r>
      <w:r>
        <w:rPr>
          <w:rFonts w:hint="eastAsia" w:ascii="宋体" w:hAnsi="宋体" w:cs="宋体"/>
          <w:b/>
          <w:bCs/>
          <w:color w:val="auto"/>
          <w:sz w:val="24"/>
          <w:highlight w:val="none"/>
          <w:lang w:val="en-US" w:eastAsia="zh-CN"/>
        </w:rPr>
        <w:t>华诚博远工程咨询有限公司</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未中标单位无需提供纸质投标文件。</w:t>
      </w:r>
    </w:p>
    <w:p w14:paraId="7D2A7159">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lang w:val="zh-CN"/>
        </w:rPr>
        <w:t>.3 纸质投标文件装订要求：投标文件要求</w:t>
      </w:r>
      <w:r>
        <w:rPr>
          <w:rFonts w:hint="eastAsia" w:ascii="宋体" w:hAnsi="宋体" w:cs="宋体"/>
          <w:color w:val="auto"/>
          <w:sz w:val="24"/>
          <w:highlight w:val="none"/>
          <w:lang w:val="en-US" w:eastAsia="zh-CN"/>
        </w:rPr>
        <w:t>胶装成册</w:t>
      </w:r>
      <w:r>
        <w:rPr>
          <w:rFonts w:hint="eastAsia" w:ascii="宋体" w:hAnsi="宋体" w:eastAsia="宋体" w:cs="宋体"/>
          <w:color w:val="auto"/>
          <w:sz w:val="24"/>
          <w:highlight w:val="none"/>
          <w:lang w:val="zh-CN"/>
        </w:rPr>
        <w:t>。</w:t>
      </w:r>
    </w:p>
    <w:p w14:paraId="04A23F58">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val="zh-CN"/>
        </w:rPr>
      </w:pPr>
    </w:p>
    <w:p w14:paraId="386571E5">
      <w:pPr>
        <w:pStyle w:val="3"/>
        <w:pageBreakBefore w:val="0"/>
        <w:widowControl w:val="0"/>
        <w:kinsoku/>
        <w:wordWrap/>
        <w:overflowPunct/>
        <w:topLinePunct w:val="0"/>
        <w:autoSpaceDE/>
        <w:autoSpaceDN/>
        <w:bidi w:val="0"/>
        <w:adjustRightInd w:val="0"/>
        <w:snapToGrid w:val="0"/>
        <w:spacing w:before="0" w:after="0" w:line="360" w:lineRule="auto"/>
        <w:jc w:val="center"/>
        <w:rPr>
          <w:rFonts w:hint="default" w:ascii="宋体" w:hAnsi="宋体" w:eastAsia="宋体" w:cs="宋体"/>
          <w:color w:val="auto"/>
          <w:sz w:val="28"/>
          <w:szCs w:val="28"/>
          <w:highlight w:val="none"/>
          <w:lang w:val="en-US" w:eastAsia="zh-CN"/>
        </w:rPr>
      </w:pPr>
      <w:bookmarkStart w:id="66" w:name="_Toc23628"/>
      <w:bookmarkStart w:id="67" w:name="_Toc3807"/>
      <w:bookmarkStart w:id="68" w:name="_Toc16287"/>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文件的</w:t>
      </w:r>
      <w:r>
        <w:rPr>
          <w:rFonts w:hint="eastAsia" w:ascii="宋体" w:hAnsi="宋体" w:eastAsia="宋体" w:cs="宋体"/>
          <w:color w:val="auto"/>
          <w:sz w:val="28"/>
          <w:szCs w:val="28"/>
          <w:highlight w:val="none"/>
          <w:lang w:val="en-US" w:eastAsia="zh-CN"/>
        </w:rPr>
        <w:t>解密</w:t>
      </w:r>
      <w:bookmarkEnd w:id="66"/>
      <w:bookmarkEnd w:id="67"/>
      <w:bookmarkEnd w:id="68"/>
    </w:p>
    <w:p w14:paraId="3F128200">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解</w:t>
      </w:r>
      <w:r>
        <w:rPr>
          <w:rFonts w:hint="eastAsia" w:ascii="宋体" w:hAnsi="宋体" w:eastAsia="宋体" w:cs="宋体"/>
          <w:color w:val="auto"/>
          <w:sz w:val="24"/>
          <w:highlight w:val="none"/>
        </w:rPr>
        <w:t>密</w:t>
      </w:r>
    </w:p>
    <w:p w14:paraId="2D7E0A37">
      <w:pPr>
        <w:pageBreakBefore w:val="0"/>
        <w:widowControl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政采云</w:t>
      </w:r>
      <w:r>
        <w:rPr>
          <w:rFonts w:hint="eastAsia" w:ascii="宋体" w:hAnsi="宋体" w:eastAsia="宋体" w:cs="宋体"/>
          <w:color w:val="auto"/>
          <w:sz w:val="24"/>
          <w:highlight w:val="none"/>
          <w:lang w:val="en-US" w:eastAsia="zh-CN"/>
        </w:rPr>
        <w:t>平台将在开标时间（投标文件解密时间）自动开启投标文件解密，投标人需在采购文件规定的时间内自行将投标文件进行解密。待开启签字时段提示时，及时进行签字确认。如因供应商自身原因导致在规定时间内无法正常解密的（如：浏览器故障、未安装相关驱动、网络故障、加密CA与解密CA不一致等），采购代理机构不予异常处理，视为供应商自动弃标。</w:t>
      </w:r>
    </w:p>
    <w:p w14:paraId="6B893DDA">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5.2 响应文件解密失败的异常处理</w:t>
      </w:r>
    </w:p>
    <w:p w14:paraId="24A66690">
      <w:pPr>
        <w:pageBreakBefore w:val="0"/>
        <w:widowControl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在响应文件解密截止时间前，如因政采云系统原因导致不能正常解密的，应及时联系代理机构项目负责人，经确认后将上传未加密的电子投标文件进行异常处理。如超过响应文件解密时间，不管什么原因采购代理机构一律不予异常处理，视为供应商自动弃标。</w:t>
      </w:r>
    </w:p>
    <w:p w14:paraId="1FC00EE0">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118AF4E5">
      <w:pPr>
        <w:pStyle w:val="3"/>
        <w:rPr>
          <w:rFonts w:hint="eastAsia" w:asciiTheme="minorEastAsia" w:hAnsiTheme="minorEastAsia" w:eastAsiaTheme="minorEastAsia" w:cstheme="minorEastAsia"/>
          <w:color w:val="auto"/>
          <w:sz w:val="24"/>
          <w:szCs w:val="24"/>
          <w:highlight w:val="none"/>
        </w:rPr>
      </w:pPr>
      <w:bookmarkStart w:id="69" w:name="_Toc293736057"/>
      <w:bookmarkStart w:id="70" w:name="_Toc446599314"/>
      <w:bookmarkStart w:id="71" w:name="_Toc293738995"/>
      <w:bookmarkStart w:id="72" w:name="_Toc293736014"/>
      <w:bookmarkStart w:id="73" w:name="_Toc18217"/>
      <w:bookmarkStart w:id="74" w:name="_Toc12422"/>
      <w:bookmarkStart w:id="75" w:name="_Toc4459"/>
      <w:bookmarkStart w:id="76" w:name="_Toc13428"/>
      <w:bookmarkStart w:id="77" w:name="_Toc541"/>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bookmarkEnd w:id="69"/>
      <w:bookmarkEnd w:id="70"/>
      <w:bookmarkEnd w:id="71"/>
      <w:bookmarkEnd w:id="72"/>
      <w:r>
        <w:rPr>
          <w:rFonts w:hint="eastAsia" w:asciiTheme="minorEastAsia" w:hAnsiTheme="minorEastAsia" w:eastAsiaTheme="minorEastAsia" w:cstheme="minorEastAsia"/>
          <w:color w:val="auto"/>
          <w:sz w:val="24"/>
          <w:szCs w:val="24"/>
          <w:highlight w:val="none"/>
        </w:rPr>
        <w:t>竞争性磋商程序</w:t>
      </w:r>
      <w:bookmarkEnd w:id="73"/>
      <w:bookmarkEnd w:id="74"/>
      <w:bookmarkEnd w:id="75"/>
      <w:bookmarkEnd w:id="76"/>
      <w:bookmarkEnd w:id="77"/>
    </w:p>
    <w:p w14:paraId="6E3BEAB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.1磋商小组的组成</w:t>
      </w:r>
    </w:p>
    <w:p w14:paraId="5041E91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.1.1磋商小组由采购人代表和有关技术、经济等方面的专家组成。全面负责对响应文件的审查、评审、磋商、打分等全部评审工作。磋商小组人数以及技术、经济方面的专家组成见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"file:///C:\\WordForm\\e944b4b1-01b6-4e42-b170-f783fcf7903a.doc" \l "_评标委员会"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供应商须知前附表</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w:t>
      </w:r>
    </w:p>
    <w:p w14:paraId="739A73A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.2磋商方法</w:t>
      </w:r>
    </w:p>
    <w:p w14:paraId="000D036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.2.1磋商小组将按照磋商文件确定的评审方法进行评审。磋商小组对响应文件的评审分为响应文件</w:t>
      </w:r>
      <w:r>
        <w:rPr>
          <w:rFonts w:hint="eastAsia" w:asciiTheme="minorEastAsia" w:hAnsiTheme="minorEastAsia" w:eastAsiaTheme="minorEastAsia" w:cstheme="minorEastAsia"/>
          <w:bCs/>
          <w:color w:val="auto"/>
          <w:sz w:val="24"/>
          <w:szCs w:val="24"/>
          <w:highlight w:val="none"/>
          <w:lang w:eastAsia="zh-CN"/>
        </w:rPr>
        <w:t>符合性审查</w:t>
      </w:r>
      <w:r>
        <w:rPr>
          <w:rFonts w:hint="eastAsia" w:asciiTheme="minorEastAsia" w:hAnsiTheme="minorEastAsia" w:eastAsiaTheme="minorEastAsia" w:cstheme="minorEastAsia"/>
          <w:bCs/>
          <w:color w:val="auto"/>
          <w:sz w:val="24"/>
          <w:szCs w:val="24"/>
          <w:highlight w:val="none"/>
        </w:rPr>
        <w:t>、澄清有关问题、比较与评价响应文件、推荐中标</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候选人名单。</w:t>
      </w:r>
    </w:p>
    <w:p w14:paraId="33C2D96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.2.1项目评审方法详见磋商文件“第四</w:t>
      </w:r>
      <w:r>
        <w:rPr>
          <w:rFonts w:hint="eastAsia" w:asciiTheme="minorEastAsia" w:hAnsiTheme="minorEastAsia" w:eastAsiaTheme="minorEastAsia" w:cstheme="minorEastAsia"/>
          <w:bCs/>
          <w:color w:val="auto"/>
          <w:sz w:val="24"/>
          <w:szCs w:val="24"/>
          <w:highlight w:val="none"/>
          <w:lang w:eastAsia="zh-CN"/>
        </w:rPr>
        <w:t>部分</w:t>
      </w:r>
      <w:r>
        <w:rPr>
          <w:rFonts w:hint="eastAsia" w:asciiTheme="minorEastAsia" w:hAnsiTheme="minorEastAsia" w:eastAsiaTheme="minorEastAsia" w:cstheme="minorEastAsia"/>
          <w:bCs/>
          <w:color w:val="auto"/>
          <w:sz w:val="24"/>
          <w:szCs w:val="24"/>
          <w:highlight w:val="none"/>
        </w:rPr>
        <w:t xml:space="preserve"> 评审方法”。</w:t>
      </w:r>
    </w:p>
    <w:p w14:paraId="0CAB83D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.3响应文件的初审</w:t>
      </w:r>
    </w:p>
    <w:p w14:paraId="1AEA186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初审分为资格</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和符合性</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w:t>
      </w:r>
    </w:p>
    <w:p w14:paraId="26E24CFC">
      <w:pPr>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.3.1资格</w:t>
      </w:r>
      <w:r>
        <w:rPr>
          <w:rFonts w:hint="eastAsia" w:asciiTheme="minorEastAsia" w:hAnsiTheme="minorEastAsia" w:eastAsiaTheme="minorEastAsia" w:cstheme="minorEastAsia"/>
          <w:bCs/>
          <w:color w:val="auto"/>
          <w:sz w:val="24"/>
          <w:szCs w:val="24"/>
          <w:highlight w:val="none"/>
          <w:lang w:eastAsia="zh-CN"/>
        </w:rPr>
        <w:t>审查</w:t>
      </w:r>
    </w:p>
    <w:p w14:paraId="65C60FF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采购人或招标代理机构</w:t>
      </w:r>
      <w:r>
        <w:rPr>
          <w:rFonts w:hint="eastAsia" w:asciiTheme="minorEastAsia" w:hAnsiTheme="minorEastAsia" w:eastAsiaTheme="minorEastAsia" w:cstheme="minorEastAsia"/>
          <w:bCs/>
          <w:color w:val="auto"/>
          <w:sz w:val="24"/>
          <w:szCs w:val="24"/>
          <w:highlight w:val="none"/>
        </w:rPr>
        <w:t>根据评审办法</w:t>
      </w:r>
      <w:r>
        <w:rPr>
          <w:rFonts w:hint="eastAsia" w:asciiTheme="minorEastAsia" w:hAnsiTheme="minorEastAsia" w:eastAsiaTheme="minorEastAsia" w:cstheme="minorEastAsia"/>
          <w:bCs/>
          <w:color w:val="auto"/>
          <w:sz w:val="24"/>
          <w:szCs w:val="24"/>
          <w:highlight w:val="none"/>
          <w:lang w:eastAsia="zh-CN"/>
        </w:rPr>
        <w:t>中资格审查</w:t>
      </w:r>
      <w:r>
        <w:rPr>
          <w:rFonts w:hint="eastAsia" w:asciiTheme="minorEastAsia" w:hAnsiTheme="minorEastAsia" w:eastAsiaTheme="minorEastAsia" w:cstheme="minorEastAsia"/>
          <w:bCs/>
          <w:color w:val="auto"/>
          <w:sz w:val="24"/>
          <w:szCs w:val="24"/>
          <w:highlight w:val="none"/>
        </w:rPr>
        <w:t>标准，对供应商的响应文件进行资格</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w:t>
      </w:r>
    </w:p>
    <w:p w14:paraId="4A00736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（2）在进行资格</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时，不得改变磋商文件中已载明的资格条件、标准和办法。资格性检查不合格的供应商的响应文件作无效文件处理。</w:t>
      </w:r>
    </w:p>
    <w:p w14:paraId="227476F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（3）供应商在递交响应文件的同时，应逐项对照上述资格性</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要求提交相应的资格证明文件供</w:t>
      </w:r>
      <w:r>
        <w:rPr>
          <w:rFonts w:hint="eastAsia" w:asciiTheme="minorEastAsia" w:hAnsiTheme="minorEastAsia" w:eastAsiaTheme="minorEastAsia" w:cstheme="minorEastAsia"/>
          <w:bCs/>
          <w:color w:val="auto"/>
          <w:sz w:val="24"/>
          <w:szCs w:val="24"/>
          <w:highlight w:val="none"/>
          <w:lang w:eastAsia="zh-CN"/>
        </w:rPr>
        <w:t>审查人员</w:t>
      </w:r>
      <w:r>
        <w:rPr>
          <w:rFonts w:hint="eastAsia" w:asciiTheme="minorEastAsia" w:hAnsiTheme="minorEastAsia" w:eastAsiaTheme="minorEastAsia" w:cstheme="minorEastAsia"/>
          <w:bCs/>
          <w:color w:val="auto"/>
          <w:sz w:val="24"/>
          <w:szCs w:val="24"/>
          <w:highlight w:val="none"/>
        </w:rPr>
        <w:t>核查，否则将不予采信。</w:t>
      </w:r>
    </w:p>
    <w:p w14:paraId="46B059B4">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（4）在评审中必要时可按供应商提供的联系方式就有关问题进行查询核实，或要求供应商做出澄清，查询及澄清结果将作为审查的依据。</w:t>
      </w:r>
    </w:p>
    <w:p w14:paraId="38D62FA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（5）通过全部资格</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条件合格的供应商才能通过资格</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，其响应文件方可进入下一个</w:t>
      </w:r>
      <w:r>
        <w:rPr>
          <w:rFonts w:hint="eastAsia" w:asciiTheme="minorEastAsia" w:hAnsiTheme="minorEastAsia" w:eastAsiaTheme="minorEastAsia" w:cstheme="minorEastAsia"/>
          <w:bCs/>
          <w:color w:val="auto"/>
          <w:sz w:val="24"/>
          <w:szCs w:val="24"/>
          <w:highlight w:val="none"/>
          <w:lang w:eastAsia="zh-CN"/>
        </w:rPr>
        <w:t>评审</w:t>
      </w:r>
      <w:r>
        <w:rPr>
          <w:rFonts w:hint="eastAsia" w:asciiTheme="minorEastAsia" w:hAnsiTheme="minorEastAsia" w:eastAsiaTheme="minorEastAsia" w:cstheme="minorEastAsia"/>
          <w:bCs/>
          <w:color w:val="auto"/>
          <w:sz w:val="24"/>
          <w:szCs w:val="24"/>
          <w:highlight w:val="none"/>
        </w:rPr>
        <w:t>阶段。</w:t>
      </w:r>
    </w:p>
    <w:p w14:paraId="4496CC1E">
      <w:pPr>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.3.2符合性</w:t>
      </w:r>
      <w:r>
        <w:rPr>
          <w:rFonts w:hint="eastAsia" w:asciiTheme="minorEastAsia" w:hAnsiTheme="minorEastAsia" w:eastAsiaTheme="minorEastAsia" w:cstheme="minorEastAsia"/>
          <w:bCs/>
          <w:color w:val="auto"/>
          <w:sz w:val="24"/>
          <w:szCs w:val="24"/>
          <w:highlight w:val="none"/>
          <w:lang w:eastAsia="zh-CN"/>
        </w:rPr>
        <w:t>审查</w:t>
      </w:r>
    </w:p>
    <w:p w14:paraId="72A2D7D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磋商小组根据评审办法</w:t>
      </w:r>
      <w:r>
        <w:rPr>
          <w:rFonts w:hint="eastAsia" w:asciiTheme="minorEastAsia" w:hAnsiTheme="minorEastAsia" w:eastAsiaTheme="minorEastAsia" w:cstheme="minorEastAsia"/>
          <w:bCs/>
          <w:color w:val="auto"/>
          <w:sz w:val="24"/>
          <w:szCs w:val="24"/>
          <w:highlight w:val="none"/>
          <w:lang w:eastAsia="zh-CN"/>
        </w:rPr>
        <w:t>中符合性审查</w:t>
      </w:r>
      <w:r>
        <w:rPr>
          <w:rFonts w:hint="eastAsia" w:asciiTheme="minorEastAsia" w:hAnsiTheme="minorEastAsia" w:eastAsiaTheme="minorEastAsia" w:cstheme="minorEastAsia"/>
          <w:bCs/>
          <w:color w:val="auto"/>
          <w:sz w:val="24"/>
          <w:szCs w:val="24"/>
          <w:highlight w:val="none"/>
        </w:rPr>
        <w:t>标准，对供应商的响应文件进行符合性</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。符合性</w:t>
      </w:r>
      <w:r>
        <w:rPr>
          <w:rFonts w:hint="eastAsia" w:asciiTheme="minorEastAsia" w:hAnsiTheme="minorEastAsia" w:eastAsiaTheme="minorEastAsia" w:cstheme="minorEastAsia"/>
          <w:bCs/>
          <w:color w:val="auto"/>
          <w:sz w:val="24"/>
          <w:szCs w:val="24"/>
          <w:highlight w:val="none"/>
          <w:lang w:eastAsia="zh-CN"/>
        </w:rPr>
        <w:t>审查</w:t>
      </w:r>
      <w:r>
        <w:rPr>
          <w:rFonts w:hint="eastAsia" w:asciiTheme="minorEastAsia" w:hAnsiTheme="minorEastAsia" w:eastAsiaTheme="minorEastAsia" w:cstheme="minorEastAsia"/>
          <w:bCs/>
          <w:color w:val="auto"/>
          <w:sz w:val="24"/>
          <w:szCs w:val="24"/>
          <w:highlight w:val="none"/>
        </w:rPr>
        <w:t>不合格的供应商的响应文件作无效文件处理。</w:t>
      </w:r>
    </w:p>
    <w:p w14:paraId="615ABCC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.4违法违规行为</w:t>
      </w:r>
    </w:p>
    <w:p w14:paraId="1BD34A9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.4.1在评审过程中，磋商小组发现供应商有下列情形之一的，作无效文件处理：</w:t>
      </w:r>
    </w:p>
    <w:p w14:paraId="5EFF0D4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（1）属于同一集团、协会、商会等组织成员的供应商按照该组织要求协同投标；</w:t>
      </w:r>
    </w:p>
    <w:p w14:paraId="0726249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（2）不同供应商的响应文件由同一单位或者个人编制；</w:t>
      </w:r>
    </w:p>
    <w:p w14:paraId="3F72A26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（3）不同供应商委托同一单位或者个人办理投标事宜；</w:t>
      </w:r>
    </w:p>
    <w:p w14:paraId="7F6E29B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（4）不同供应商的响应文件载明的项目管理成员为同一人；</w:t>
      </w:r>
    </w:p>
    <w:p w14:paraId="760DC84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（5）不同供应商的响应文件异常一致或者</w:t>
      </w:r>
      <w:r>
        <w:rPr>
          <w:rFonts w:hint="eastAsia" w:asciiTheme="minorEastAsia" w:hAnsiTheme="minorEastAsia" w:eastAsiaTheme="minorEastAsia" w:cstheme="minorEastAsia"/>
          <w:bCs/>
          <w:color w:val="auto"/>
          <w:sz w:val="24"/>
          <w:szCs w:val="24"/>
          <w:highlight w:val="none"/>
          <w:lang w:eastAsia="zh-CN"/>
        </w:rPr>
        <w:t>磋商报价</w:t>
      </w:r>
      <w:r>
        <w:rPr>
          <w:rFonts w:hint="eastAsia" w:asciiTheme="minorEastAsia" w:hAnsiTheme="minorEastAsia" w:eastAsiaTheme="minorEastAsia" w:cstheme="minorEastAsia"/>
          <w:bCs/>
          <w:color w:val="auto"/>
          <w:sz w:val="24"/>
          <w:szCs w:val="24"/>
          <w:highlight w:val="none"/>
        </w:rPr>
        <w:t>呈规律性差异；</w:t>
      </w:r>
    </w:p>
    <w:p w14:paraId="4FB159B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（6）不同供应商的响应文件相互混装；</w:t>
      </w:r>
    </w:p>
    <w:p w14:paraId="58675E7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（7）不同供应商的</w:t>
      </w:r>
      <w:r>
        <w:rPr>
          <w:rFonts w:hint="eastAsia" w:asciiTheme="minorEastAsia" w:hAnsiTheme="minorEastAsia" w:eastAsiaTheme="minorEastAsia" w:cstheme="minorEastAsia"/>
          <w:bCs/>
          <w:color w:val="auto"/>
          <w:sz w:val="24"/>
          <w:szCs w:val="24"/>
          <w:highlight w:val="none"/>
          <w:lang w:eastAsia="zh-CN"/>
        </w:rPr>
        <w:t>磋商保证金</w:t>
      </w:r>
      <w:r>
        <w:rPr>
          <w:rFonts w:hint="eastAsia" w:asciiTheme="minorEastAsia" w:hAnsiTheme="minorEastAsia" w:eastAsiaTheme="minorEastAsia" w:cstheme="minorEastAsia"/>
          <w:bCs/>
          <w:color w:val="auto"/>
          <w:sz w:val="24"/>
          <w:szCs w:val="24"/>
          <w:highlight w:val="none"/>
        </w:rPr>
        <w:t>从同一单位或者个人的账户转出；</w:t>
      </w:r>
    </w:p>
    <w:p w14:paraId="5F0961A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（8）使用伪造、变造的行政许可证件；</w:t>
      </w:r>
    </w:p>
    <w:p w14:paraId="4D822ED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（9）提供虚假的财务状况或者业绩；</w:t>
      </w:r>
    </w:p>
    <w:p w14:paraId="1B1029C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（10）提供虚假的项目负责人或者主要技术人员简历、劳动关系证明；</w:t>
      </w:r>
    </w:p>
    <w:p w14:paraId="0726F564">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（11）提供虚假的信用状况；</w:t>
      </w:r>
    </w:p>
    <w:p w14:paraId="4C8AF6A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（12）其他弄虚作假的行为。</w:t>
      </w:r>
    </w:p>
    <w:p w14:paraId="5ADE95F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 磋商小组审查响应文件是否完整、有无计算上的错误等。</w:t>
      </w:r>
    </w:p>
    <w:p w14:paraId="397E499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.5.1 响应文件的修正及澄清</w:t>
      </w:r>
    </w:p>
    <w:p w14:paraId="21E46DC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小组对确定为实质上响应磋商文件要求的响应文件进行校核，看其是否有计算或表达上的错误，算术错误将按以下方法更正：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1863C70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6495053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.5.3实质上没有响应磋商文件要求的响应文件将被视为无效文件。供应商不得通过修正或撤销不合要求的偏离从而使其成为实质上响应的文件。</w:t>
      </w:r>
    </w:p>
    <w:p w14:paraId="3C24DAB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w:t>
      </w:r>
      <w:r>
        <w:rPr>
          <w:rFonts w:hint="eastAsia" w:asciiTheme="minorEastAsia" w:hAnsiTheme="minorEastAsia" w:eastAsiaTheme="minorEastAsia" w:cstheme="minorEastAsia"/>
          <w:bCs/>
          <w:color w:val="auto"/>
          <w:sz w:val="24"/>
          <w:szCs w:val="24"/>
          <w:highlight w:val="none"/>
          <w:lang w:eastAsia="zh-CN"/>
        </w:rPr>
        <w:t>磋商报价</w:t>
      </w:r>
      <w:r>
        <w:rPr>
          <w:rFonts w:hint="eastAsia" w:asciiTheme="minorEastAsia" w:hAnsiTheme="minorEastAsia" w:eastAsiaTheme="minorEastAsia" w:cstheme="minorEastAsia"/>
          <w:bCs/>
          <w:color w:val="auto"/>
          <w:sz w:val="24"/>
          <w:szCs w:val="24"/>
          <w:highlight w:val="none"/>
        </w:rPr>
        <w:t>等实质性内容做任何更改。有关澄清的答复均应由供应商的法定代表人或授权代表作出签字</w:t>
      </w:r>
      <w:r>
        <w:rPr>
          <w:rFonts w:hint="eastAsia" w:asciiTheme="minorEastAsia" w:hAnsiTheme="minorEastAsia" w:eastAsiaTheme="minorEastAsia" w:cstheme="minorEastAsia"/>
          <w:bCs/>
          <w:color w:val="auto"/>
          <w:sz w:val="24"/>
          <w:szCs w:val="24"/>
          <w:highlight w:val="none"/>
          <w:lang w:eastAsia="zh-CN"/>
        </w:rPr>
        <w:t>或盖章</w:t>
      </w:r>
      <w:r>
        <w:rPr>
          <w:rFonts w:hint="eastAsia" w:asciiTheme="minorEastAsia" w:hAnsiTheme="minorEastAsia" w:eastAsiaTheme="minorEastAsia" w:cstheme="minorEastAsia"/>
          <w:bCs/>
          <w:color w:val="auto"/>
          <w:sz w:val="24"/>
          <w:szCs w:val="24"/>
          <w:highlight w:val="none"/>
        </w:rPr>
        <w:t>。</w:t>
      </w:r>
    </w:p>
    <w:p w14:paraId="532F923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.5.5供应商的澄清文件是其响应文件的组成部分。</w:t>
      </w:r>
    </w:p>
    <w:p w14:paraId="48CF470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.6磋商</w:t>
      </w:r>
    </w:p>
    <w:p w14:paraId="27C3483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.6.1磋商小组所有成员应当集中与单一供应商分别进行磋商，并给予所有参加磋商的供应商平等的磋商机会。</w:t>
      </w:r>
    </w:p>
    <w:p w14:paraId="70E0318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.6.2在磋商过程中，磋商小组可以根据磋商文件和磋商情况实质性变动采购需求中的技术、服务要求以及合同草案条款，但不得变动磋商文件中的其他内容。实质性变动的内容，须经采购人代表确认。</w:t>
      </w:r>
    </w:p>
    <w:p w14:paraId="3CA46EE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.6.3对磋商文件作出的实质性变动是磋商文件的有效组成部分，磋商小组应当及时通知所有参加磋商的供应商。</w:t>
      </w:r>
    </w:p>
    <w:p w14:paraId="142E01E3">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CBCEB4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.6.5磋商文件能够详细列明采购标的的技术、服务要求的，磋商结束后，磋商小组应当要求所有实质性响应的供应商在规定时间内提交最后报价，提交最后报价的供应商不得少于</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rPr>
        <w:t>家。</w:t>
      </w:r>
    </w:p>
    <w:p w14:paraId="02FB6C6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.5.6磋商文件不能详细列明采购标的的技术、服务要求，需经磋商由供应商提供最终设计方案或解决方案的，磋商结束后，磋商小组应当按照少数服从多数的原则投票推荐</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rPr>
        <w:t>家以上供应商的设计方案或者解决方案，并要求其在规定时间内提交最后报价。</w:t>
      </w:r>
    </w:p>
    <w:p w14:paraId="6A6A5FD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.6.7已提交响应文件的供应商，在提交最后报价之前，可以根据磋商情况退出磋商。其磋商保证金将予以退还。</w:t>
      </w:r>
    </w:p>
    <w:p w14:paraId="2C5DEE4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.6.8经磋商确定最终采购需求和提交最后报价的供应商后，由磋商小组采用综合评分法对提交最后报价的供应商的响应文件和最后报价进行综合评分。</w:t>
      </w:r>
    </w:p>
    <w:p w14:paraId="3F1767A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采购结果确认</w:t>
      </w:r>
    </w:p>
    <w:p w14:paraId="47705AB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磋商小组按照采购文件确定的评标方法、步骤、标准，对响应文件进行评审。</w:t>
      </w:r>
      <w:r>
        <w:rPr>
          <w:rFonts w:hint="eastAsia" w:asciiTheme="minorEastAsia" w:hAnsiTheme="minorEastAsia" w:eastAsiaTheme="minorEastAsia" w:cstheme="minorEastAsia"/>
          <w:bCs/>
          <w:color w:val="auto"/>
          <w:sz w:val="24"/>
          <w:szCs w:val="24"/>
          <w:highlight w:val="none"/>
          <w:lang w:val="en-US" w:eastAsia="zh-CN"/>
        </w:rPr>
        <w:t>本项目</w:t>
      </w:r>
      <w:r>
        <w:rPr>
          <w:rFonts w:hint="eastAsia" w:asciiTheme="minorEastAsia" w:hAnsiTheme="minorEastAsia" w:eastAsiaTheme="minorEastAsia" w:cstheme="minorEastAsia"/>
          <w:bCs/>
          <w:color w:val="auto"/>
          <w:sz w:val="24"/>
          <w:szCs w:val="24"/>
          <w:highlight w:val="none"/>
        </w:rPr>
        <w:t>按供应商</w:t>
      </w:r>
      <w:r>
        <w:rPr>
          <w:rFonts w:hint="eastAsia" w:asciiTheme="minorEastAsia" w:hAnsiTheme="minorEastAsia" w:eastAsiaTheme="minorEastAsia" w:cstheme="minorEastAsia"/>
          <w:b/>
          <w:bCs w:val="0"/>
          <w:color w:val="auto"/>
          <w:sz w:val="24"/>
          <w:szCs w:val="24"/>
          <w:highlight w:val="none"/>
        </w:rPr>
        <w:t>报价由</w:t>
      </w:r>
      <w:r>
        <w:rPr>
          <w:rFonts w:hint="eastAsia" w:asciiTheme="minorEastAsia" w:hAnsiTheme="minorEastAsia" w:eastAsiaTheme="minorEastAsia" w:cstheme="minorEastAsia"/>
          <w:b/>
          <w:bCs w:val="0"/>
          <w:color w:val="auto"/>
          <w:sz w:val="24"/>
          <w:szCs w:val="24"/>
          <w:highlight w:val="none"/>
          <w:lang w:val="en-US" w:eastAsia="zh-CN"/>
        </w:rPr>
        <w:t>低</w:t>
      </w:r>
      <w:r>
        <w:rPr>
          <w:rFonts w:hint="eastAsia" w:asciiTheme="minorEastAsia" w:hAnsiTheme="minorEastAsia" w:eastAsiaTheme="minorEastAsia" w:cstheme="minorEastAsia"/>
          <w:b/>
          <w:bCs w:val="0"/>
          <w:color w:val="auto"/>
          <w:sz w:val="24"/>
          <w:szCs w:val="24"/>
          <w:highlight w:val="none"/>
        </w:rPr>
        <w:t>到</w:t>
      </w:r>
      <w:r>
        <w:rPr>
          <w:rFonts w:hint="eastAsia" w:asciiTheme="minorEastAsia" w:hAnsiTheme="minorEastAsia" w:eastAsiaTheme="minorEastAsia" w:cstheme="minorEastAsia"/>
          <w:b/>
          <w:bCs w:val="0"/>
          <w:color w:val="auto"/>
          <w:sz w:val="24"/>
          <w:szCs w:val="24"/>
          <w:highlight w:val="none"/>
          <w:lang w:val="en-US" w:eastAsia="zh-CN"/>
        </w:rPr>
        <w:t>高</w:t>
      </w:r>
      <w:r>
        <w:rPr>
          <w:rFonts w:hint="eastAsia" w:asciiTheme="minorEastAsia" w:hAnsiTheme="minorEastAsia" w:eastAsiaTheme="minorEastAsia" w:cstheme="minorEastAsia"/>
          <w:bCs/>
          <w:color w:val="auto"/>
          <w:sz w:val="24"/>
          <w:szCs w:val="24"/>
          <w:highlight w:val="none"/>
        </w:rPr>
        <w:t>的顺序排列。得分且报价相同的，按技术指标优劣顺序排列。磋商小组依据对各响应文件的评审结果，按各供应商的得分由高到低的顺序向采购人推荐成交候选供应商。</w:t>
      </w:r>
    </w:p>
    <w:p w14:paraId="1E802771">
      <w:pPr>
        <w:spacing w:line="360" w:lineRule="auto"/>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6.7公示或公告</w:t>
      </w:r>
    </w:p>
    <w:p w14:paraId="5133977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.7.1成交供应商确定后，采购代理机构将在政府采购监管部门指定的媒体上发布成交公告，同时向成交供应商发出《成交通知书》。《成交通知书》是合同的组成部分,对成交供应商和采购人具有同等法律效力。</w:t>
      </w:r>
      <w:bookmarkStart w:id="78" w:name="_Toc293736058"/>
      <w:bookmarkStart w:id="79" w:name="_Toc293738996"/>
      <w:bookmarkStart w:id="80" w:name="_Toc446599315"/>
      <w:bookmarkStart w:id="81" w:name="_Toc293736015"/>
    </w:p>
    <w:p w14:paraId="76F912B0">
      <w:pPr>
        <w:pStyle w:val="37"/>
        <w:rPr>
          <w:rFonts w:hint="eastAsia" w:asciiTheme="minorEastAsia" w:hAnsiTheme="minorEastAsia" w:eastAsiaTheme="minorEastAsia" w:cstheme="minorEastAsia"/>
          <w:color w:val="auto"/>
          <w:highlight w:val="none"/>
        </w:rPr>
      </w:pPr>
    </w:p>
    <w:p w14:paraId="0B553B3A">
      <w:pPr>
        <w:pStyle w:val="3"/>
        <w:rPr>
          <w:rFonts w:hint="eastAsia" w:asciiTheme="minorEastAsia" w:hAnsiTheme="minorEastAsia" w:eastAsiaTheme="minorEastAsia" w:cstheme="minorEastAsia"/>
          <w:color w:val="auto"/>
          <w:sz w:val="24"/>
          <w:szCs w:val="24"/>
          <w:highlight w:val="none"/>
        </w:rPr>
      </w:pPr>
      <w:bookmarkStart w:id="82" w:name="_Toc17108"/>
      <w:bookmarkStart w:id="83" w:name="_Toc28461"/>
      <w:bookmarkStart w:id="84" w:name="_Toc28862"/>
      <w:bookmarkStart w:id="85" w:name="_Toc13086"/>
      <w:bookmarkStart w:id="86" w:name="_Toc18557"/>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、授予合同</w:t>
      </w:r>
      <w:bookmarkEnd w:id="78"/>
      <w:bookmarkEnd w:id="79"/>
      <w:bookmarkEnd w:id="80"/>
      <w:bookmarkEnd w:id="81"/>
      <w:bookmarkEnd w:id="82"/>
      <w:bookmarkEnd w:id="83"/>
      <w:bookmarkEnd w:id="84"/>
      <w:bookmarkEnd w:id="85"/>
      <w:bookmarkEnd w:id="86"/>
    </w:p>
    <w:p w14:paraId="3F52BDB5">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7.1 签订合同</w:t>
      </w:r>
    </w:p>
    <w:p w14:paraId="6FFA3DEF">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.1.1采购人应在成交通知书发出后30日内，根据成交结果和磋商文件、响应文件及有关补遗文件签订合同。</w:t>
      </w:r>
    </w:p>
    <w:p w14:paraId="216D931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.1.2采购人应按磋商文件要求和中标</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人的响应文件承诺订立书面合同，不得超出磋商文件和中标</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人响应文件的范围，也不得再另行订立背离合同实质性内容的其他协议。</w:t>
      </w:r>
    </w:p>
    <w:p w14:paraId="3E5C19B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.1.3采购人应在《中标</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通知书》发出之日起30天内与中标</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人签订合同。签订采购合同后7个工作日内，采购人应将报相关部门和政府采购代理机构备案</w:t>
      </w:r>
      <w:r>
        <w:rPr>
          <w:rFonts w:hint="eastAsia" w:asciiTheme="minorEastAsia" w:hAnsiTheme="minorEastAsia" w:eastAsiaTheme="minorEastAsia" w:cstheme="minorEastAsia"/>
          <w:bCs/>
          <w:color w:val="auto"/>
          <w:sz w:val="24"/>
          <w:szCs w:val="24"/>
          <w:highlight w:val="none"/>
          <w:lang w:eastAsia="zh-CN"/>
        </w:rPr>
        <w:t>并进行合同公示</w:t>
      </w:r>
      <w:r>
        <w:rPr>
          <w:rFonts w:hint="eastAsia" w:asciiTheme="minorEastAsia" w:hAnsiTheme="minorEastAsia" w:eastAsiaTheme="minorEastAsia" w:cstheme="minorEastAsia"/>
          <w:bCs/>
          <w:color w:val="auto"/>
          <w:sz w:val="24"/>
          <w:szCs w:val="24"/>
          <w:highlight w:val="none"/>
        </w:rPr>
        <w:t>。</w:t>
      </w:r>
    </w:p>
    <w:p w14:paraId="57AD080C">
      <w:pPr>
        <w:pStyle w:val="49"/>
        <w:rPr>
          <w:rFonts w:hint="eastAsia" w:asciiTheme="minorEastAsia" w:hAnsiTheme="minorEastAsia" w:eastAsiaTheme="minorEastAsia" w:cstheme="minorEastAsia"/>
          <w:bCs/>
          <w:color w:val="auto"/>
          <w:sz w:val="24"/>
          <w:szCs w:val="24"/>
          <w:highlight w:val="none"/>
        </w:rPr>
      </w:pPr>
    </w:p>
    <w:p w14:paraId="007293E8">
      <w:pPr>
        <w:pStyle w:val="3"/>
        <w:rPr>
          <w:rFonts w:hint="eastAsia" w:asciiTheme="minorEastAsia" w:hAnsiTheme="minorEastAsia" w:eastAsiaTheme="minorEastAsia" w:cstheme="minorEastAsia"/>
          <w:color w:val="auto"/>
          <w:sz w:val="24"/>
          <w:szCs w:val="24"/>
          <w:highlight w:val="none"/>
        </w:rPr>
      </w:pPr>
      <w:bookmarkStart w:id="87" w:name="_Toc293736016"/>
      <w:bookmarkStart w:id="88" w:name="_Toc293738997"/>
      <w:bookmarkStart w:id="89" w:name="_Toc446599316"/>
      <w:bookmarkStart w:id="90" w:name="_Toc293736059"/>
      <w:bookmarkStart w:id="91" w:name="_Toc30278"/>
      <w:bookmarkStart w:id="92" w:name="_Toc7482"/>
      <w:bookmarkStart w:id="93" w:name="_Toc32711"/>
      <w:bookmarkStart w:id="94" w:name="_Toc12820"/>
      <w:bookmarkStart w:id="95" w:name="_Toc20677"/>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、质疑</w:t>
      </w:r>
      <w:bookmarkEnd w:id="87"/>
      <w:bookmarkEnd w:id="88"/>
      <w:bookmarkEnd w:id="89"/>
      <w:bookmarkEnd w:id="90"/>
      <w:r>
        <w:rPr>
          <w:rFonts w:hint="eastAsia" w:asciiTheme="minorEastAsia" w:hAnsiTheme="minorEastAsia" w:eastAsiaTheme="minorEastAsia" w:cstheme="minorEastAsia"/>
          <w:color w:val="auto"/>
          <w:sz w:val="24"/>
          <w:szCs w:val="24"/>
          <w:highlight w:val="none"/>
        </w:rPr>
        <w:t>和投诉</w:t>
      </w:r>
      <w:bookmarkEnd w:id="91"/>
      <w:bookmarkEnd w:id="92"/>
      <w:bookmarkEnd w:id="93"/>
      <w:bookmarkEnd w:id="94"/>
      <w:bookmarkEnd w:id="95"/>
    </w:p>
    <w:p w14:paraId="6014860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96" w:name="_Toc446599317"/>
      <w:bookmarkStart w:id="97" w:name="_Toc293736060"/>
      <w:bookmarkStart w:id="98" w:name="_Toc293738998"/>
      <w:bookmarkStart w:id="99" w:name="_Toc293736017"/>
      <w:bookmarkStart w:id="100" w:name="_Toc294515577"/>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.1质疑</w:t>
      </w:r>
    </w:p>
    <w:p w14:paraId="522F81E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.1.1供应商提出质疑应当符合以下条件：</w:t>
      </w:r>
    </w:p>
    <w:p w14:paraId="0384970A">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如果供应商对此次采购活动有疑问，可依据《政府采购法》等相关规定，在规定的时间内以书面形式向采购人或代理机构提出质疑。质疑书应当包括下列主要内容：</w:t>
      </w:r>
    </w:p>
    <w:p w14:paraId="6C8253BA">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（1）质疑人的名称、地址、电话等；</w:t>
      </w:r>
    </w:p>
    <w:p w14:paraId="2CAC94FB">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（2）质疑人法人签章和单位公章；</w:t>
      </w:r>
    </w:p>
    <w:p w14:paraId="4C82A9BE">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（3）具体的质疑事项及事实依据；</w:t>
      </w:r>
    </w:p>
    <w:p w14:paraId="0EDE5213">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（4）明确的请求和必要（合法来源）的证明材料；</w:t>
      </w:r>
    </w:p>
    <w:p w14:paraId="180A4B2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（5）以联合体形式参与资格预审的，则必须联合体各方共同签署、盖章；</w:t>
      </w:r>
    </w:p>
    <w:p w14:paraId="49D7DB19">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（6）提起质疑的日期。</w:t>
      </w:r>
    </w:p>
    <w:p w14:paraId="5A3609F3">
      <w:pPr>
        <w:tabs>
          <w:tab w:val="left" w:pos="1875"/>
        </w:tabs>
        <w:adjustRightInd w:val="0"/>
        <w:snapToGrid w:val="0"/>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eastAsia="zh-CN"/>
        </w:rPr>
        <w:t>备注</w:t>
      </w:r>
      <w:r>
        <w:rPr>
          <w:rFonts w:hint="eastAsia" w:asciiTheme="minorEastAsia" w:hAnsiTheme="minorEastAsia" w:eastAsiaTheme="minorEastAsia" w:cstheme="minorEastAsia"/>
          <w:b/>
          <w:bCs w:val="0"/>
          <w:color w:val="auto"/>
          <w:sz w:val="24"/>
          <w:szCs w:val="24"/>
          <w:highlight w:val="none"/>
        </w:rPr>
        <w:t>：</w:t>
      </w:r>
      <w:r>
        <w:rPr>
          <w:rFonts w:hint="eastAsia" w:asciiTheme="minorEastAsia" w:hAnsiTheme="minorEastAsia" w:eastAsiaTheme="minorEastAsia" w:cstheme="minorEastAsia"/>
          <w:b/>
          <w:bCs w:val="0"/>
          <w:color w:val="auto"/>
          <w:sz w:val="24"/>
          <w:szCs w:val="24"/>
          <w:highlight w:val="none"/>
          <w:lang w:val="en-US" w:eastAsia="zh-CN"/>
        </w:rPr>
        <w:t>针对同一环节的质疑应当一次性提出，且质疑</w:t>
      </w:r>
      <w:r>
        <w:rPr>
          <w:rFonts w:hint="eastAsia" w:asciiTheme="minorEastAsia" w:hAnsiTheme="minorEastAsia" w:eastAsiaTheme="minorEastAsia" w:cstheme="minorEastAsia"/>
          <w:b/>
          <w:bCs w:val="0"/>
          <w:color w:val="auto"/>
          <w:sz w:val="24"/>
          <w:szCs w:val="24"/>
          <w:highlight w:val="none"/>
        </w:rPr>
        <w:t>未按上述程序规定的必备内容进行质疑的，采购人或代理机构将不予以受理。</w:t>
      </w:r>
    </w:p>
    <w:p w14:paraId="3F006D51">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8EC74E2">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.1.3质疑人可以委托代理人办理质疑事项，代理人办理质疑事项时，除提交质疑书外，还应当提交质疑人的授权委托书及代理人的有效身份证明，授权委托书应当载明委托代理的具体权限和事项。</w:t>
      </w:r>
    </w:p>
    <w:p w14:paraId="02851BC1">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.1.4被质疑人应当在受理质疑后7个工作日内作出答复，并以书面形式通知质疑人和其他有关供应商，答复内容仅限于供应商所质疑的内容，不得涉及国家秘密和商业秘密。</w:t>
      </w:r>
    </w:p>
    <w:p w14:paraId="67D1542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101" w:name="_Toc450546725"/>
      <w:bookmarkStart w:id="102" w:name="_Toc456336161"/>
      <w:bookmarkStart w:id="103" w:name="_Toc483174929"/>
      <w:bookmarkStart w:id="104" w:name="_Toc9365"/>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.2投诉</w:t>
      </w:r>
      <w:bookmarkEnd w:id="101"/>
      <w:bookmarkEnd w:id="102"/>
      <w:bookmarkEnd w:id="103"/>
      <w:bookmarkEnd w:id="104"/>
    </w:p>
    <w:p w14:paraId="702CC9A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.2.1质疑人如对被质疑人的质疑回复不满意或在规定时间内未做出回复的，可在答复期满后15个工作日内向本项目管辖内的政府采购监督部门提起投诉。供应商投诉应当有明确的请求和必要的证明材料。</w:t>
      </w:r>
    </w:p>
    <w:p w14:paraId="123644A6">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.2.2投诉人提起投诉应符合以下条件：</w:t>
      </w:r>
    </w:p>
    <w:p w14:paraId="2134F95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投诉人应是参与项目的供应商；</w:t>
      </w:r>
    </w:p>
    <w:p w14:paraId="1836CF9A">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投诉前已依法进行质疑；</w:t>
      </w:r>
    </w:p>
    <w:p w14:paraId="637F164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投诉书内容符合中华人民共和国财政部20号令《政府采购供应商投诉处理办法》的规定；</w:t>
      </w:r>
    </w:p>
    <w:p w14:paraId="46984CF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在投诉有效期内；</w:t>
      </w:r>
    </w:p>
    <w:p w14:paraId="5FECC75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同一投诉事项未经处理的；</w:t>
      </w:r>
    </w:p>
    <w:p w14:paraId="1B55B7F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GB" w:eastAsia="zh-CN"/>
        </w:rPr>
        <w:t>（</w:t>
      </w:r>
      <w:r>
        <w:rPr>
          <w:rFonts w:hint="eastAsia" w:asciiTheme="minorEastAsia" w:hAnsiTheme="minorEastAsia" w:eastAsiaTheme="minorEastAsia" w:cstheme="minorEastAsia"/>
          <w:bCs/>
          <w:color w:val="auto"/>
          <w:sz w:val="24"/>
          <w:szCs w:val="24"/>
          <w:highlight w:val="none"/>
          <w:lang w:val="en-GB"/>
        </w:rPr>
        <w:t>6</w:t>
      </w:r>
      <w:r>
        <w:rPr>
          <w:rFonts w:hint="eastAsia" w:asciiTheme="minorEastAsia" w:hAnsiTheme="minorEastAsia" w:eastAsiaTheme="minorEastAsia" w:cstheme="minorEastAsia"/>
          <w:bCs/>
          <w:color w:val="auto"/>
          <w:sz w:val="24"/>
          <w:szCs w:val="24"/>
          <w:highlight w:val="none"/>
          <w:lang w:val="en-GB" w:eastAsia="zh-CN"/>
        </w:rPr>
        <w:t>）</w:t>
      </w:r>
      <w:r>
        <w:rPr>
          <w:rFonts w:hint="eastAsia" w:asciiTheme="minorEastAsia" w:hAnsiTheme="minorEastAsia" w:eastAsiaTheme="minorEastAsia" w:cstheme="minorEastAsia"/>
          <w:bCs/>
          <w:color w:val="auto"/>
          <w:sz w:val="24"/>
          <w:szCs w:val="24"/>
          <w:highlight w:val="none"/>
        </w:rPr>
        <w:t>相关法律、法规和省级以上人民政府财政部门规定的其他条件。</w:t>
      </w:r>
    </w:p>
    <w:p w14:paraId="7A082436">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.2.3供应商投诉时，应当当面提交投诉书，投诉书应当包括下列主要内容：</w:t>
      </w:r>
    </w:p>
    <w:p w14:paraId="601DF71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投诉人的姓名或者名称、住所、联系方式及相关证明；</w:t>
      </w:r>
    </w:p>
    <w:p w14:paraId="61051E1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被投诉人的名称、住所、联系方式；</w:t>
      </w:r>
    </w:p>
    <w:p w14:paraId="3D73A2E4">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具体的投诉事项、事实根据和法律依据；</w:t>
      </w:r>
    </w:p>
    <w:p w14:paraId="1C12E163">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质疑和质疑答复情况及相关证明材料；</w:t>
      </w:r>
    </w:p>
    <w:p w14:paraId="09F047A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提起投诉的日期。</w:t>
      </w:r>
    </w:p>
    <w:p w14:paraId="59A8DF82">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投诉人为自然人的，应当由本人签字。投诉人为法人的，应当由其法定代表人签字并加盖单位公章。投诉人为其他组织的，应当由其主要负责人签字盖章并加盖单位公章。</w:t>
      </w:r>
    </w:p>
    <w:p w14:paraId="6CDDFBB4">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.2.4投诉人可以授权代理人办理投诉事务。代理人办理投诉事务时，除提交投诉书外，还应当向监督部门提交投诉人的授权委托书，授权委托书应当载明委托代理的具体权限和事项。</w:t>
      </w:r>
    </w:p>
    <w:p w14:paraId="748AE3A2">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.2.5投诉人不符合上述规定提起的投诉，政府采购监督部门不予受理。</w:t>
      </w:r>
    </w:p>
    <w:p w14:paraId="63FA8F0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p>
    <w:p w14:paraId="041F8E46">
      <w:pPr>
        <w:pStyle w:val="3"/>
        <w:rPr>
          <w:rFonts w:hint="eastAsia" w:asciiTheme="minorEastAsia" w:hAnsiTheme="minorEastAsia" w:eastAsiaTheme="minorEastAsia" w:cstheme="minorEastAsia"/>
          <w:b w:val="0"/>
          <w:bCs/>
          <w:color w:val="auto"/>
          <w:kern w:val="0"/>
          <w:sz w:val="24"/>
          <w:szCs w:val="24"/>
          <w:highlight w:val="none"/>
        </w:rPr>
      </w:pPr>
      <w:bookmarkStart w:id="105" w:name="_Toc10734"/>
      <w:bookmarkStart w:id="106" w:name="_Toc23074"/>
      <w:bookmarkStart w:id="107" w:name="_Toc21328"/>
      <w:bookmarkStart w:id="108" w:name="_Toc9814"/>
      <w:bookmarkStart w:id="109" w:name="_Toc10261"/>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、项目验收</w:t>
      </w:r>
      <w:bookmarkEnd w:id="96"/>
      <w:bookmarkEnd w:id="97"/>
      <w:bookmarkEnd w:id="98"/>
      <w:bookmarkEnd w:id="99"/>
      <w:bookmarkEnd w:id="100"/>
      <w:bookmarkEnd w:id="105"/>
      <w:bookmarkEnd w:id="106"/>
      <w:bookmarkEnd w:id="107"/>
      <w:bookmarkEnd w:id="108"/>
      <w:bookmarkEnd w:id="109"/>
    </w:p>
    <w:p w14:paraId="5947BA3C">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.1采购单位按照采购合同规定的技术、服务、安全标准对供应商履约情况进行验收，并出具验收书。验收书包括每一项技术、服务、安全标准的履约情况。</w:t>
      </w:r>
    </w:p>
    <w:p w14:paraId="1D13CC21">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.2验收标准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磋商文件、响应文件、采购合同规定的标准。</w:t>
      </w:r>
    </w:p>
    <w:p w14:paraId="5B76818E">
      <w:pPr>
        <w:wordWrap w:val="0"/>
        <w:topLinePunct/>
        <w:spacing w:line="360" w:lineRule="auto"/>
        <w:ind w:firstLine="420" w:firstLineChars="200"/>
        <w:rPr>
          <w:rFonts w:hint="eastAsia" w:asciiTheme="minorEastAsia" w:hAnsiTheme="minorEastAsia" w:eastAsiaTheme="minorEastAsia" w:cstheme="minorEastAsia"/>
          <w:color w:val="auto"/>
          <w:highlight w:val="none"/>
        </w:rPr>
      </w:pPr>
    </w:p>
    <w:p w14:paraId="6E9EB035">
      <w:pPr>
        <w:pStyle w:val="3"/>
        <w:rPr>
          <w:rFonts w:hint="eastAsia" w:asciiTheme="minorEastAsia" w:hAnsiTheme="minorEastAsia" w:eastAsiaTheme="minorEastAsia" w:cstheme="minorEastAsia"/>
          <w:color w:val="auto"/>
          <w:sz w:val="24"/>
          <w:szCs w:val="24"/>
          <w:highlight w:val="none"/>
        </w:rPr>
      </w:pPr>
      <w:bookmarkStart w:id="110" w:name="_Toc20528"/>
      <w:bookmarkStart w:id="111" w:name="_Toc293738999"/>
      <w:bookmarkStart w:id="112" w:name="_Toc6536"/>
      <w:bookmarkStart w:id="113" w:name="_Toc446599318"/>
      <w:bookmarkStart w:id="114" w:name="_Toc17416"/>
      <w:bookmarkStart w:id="115" w:name="_Toc29378"/>
      <w:bookmarkStart w:id="116" w:name="_Toc293736018"/>
      <w:bookmarkStart w:id="117" w:name="_Toc293736061"/>
      <w:bookmarkStart w:id="118" w:name="_Toc11511"/>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、适用法律</w:t>
      </w:r>
      <w:bookmarkEnd w:id="110"/>
      <w:bookmarkEnd w:id="111"/>
      <w:bookmarkEnd w:id="112"/>
      <w:bookmarkEnd w:id="113"/>
      <w:bookmarkEnd w:id="114"/>
      <w:bookmarkEnd w:id="115"/>
      <w:bookmarkEnd w:id="116"/>
      <w:bookmarkEnd w:id="117"/>
      <w:bookmarkEnd w:id="118"/>
    </w:p>
    <w:p w14:paraId="69B05637">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.1招标采购单位和供应商的一切招标投标活动均适用于《政府采购法》、《政府采购实施条例》、《政府采购竞争性磋商采购方式管理办法》等相关规定。</w:t>
      </w:r>
    </w:p>
    <w:p w14:paraId="148E46BE">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p>
    <w:p w14:paraId="2FE6EB29">
      <w:pPr>
        <w:pStyle w:val="3"/>
        <w:rPr>
          <w:rFonts w:hint="eastAsia" w:asciiTheme="minorEastAsia" w:hAnsiTheme="minorEastAsia" w:eastAsiaTheme="minorEastAsia" w:cstheme="minorEastAsia"/>
          <w:color w:val="auto"/>
          <w:sz w:val="24"/>
          <w:szCs w:val="24"/>
          <w:highlight w:val="none"/>
        </w:rPr>
      </w:pPr>
      <w:bookmarkStart w:id="119" w:name="_Toc4668"/>
      <w:bookmarkStart w:id="120" w:name="_Toc4661"/>
      <w:bookmarkStart w:id="121" w:name="_Toc272247702"/>
      <w:bookmarkStart w:id="122" w:name="_Toc5885"/>
      <w:bookmarkStart w:id="123" w:name="_Toc23207"/>
      <w:bookmarkStart w:id="124" w:name="_Toc446599319"/>
      <w:bookmarkStart w:id="125" w:name="_Toc4393"/>
      <w:bookmarkStart w:id="126" w:name="_Toc278891599"/>
      <w:bookmarkStart w:id="127" w:name="_Toc437611460"/>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、磋商文件的解释权</w:t>
      </w:r>
      <w:bookmarkEnd w:id="119"/>
      <w:bookmarkEnd w:id="120"/>
      <w:bookmarkEnd w:id="121"/>
      <w:bookmarkEnd w:id="122"/>
      <w:bookmarkEnd w:id="123"/>
      <w:bookmarkEnd w:id="124"/>
      <w:bookmarkEnd w:id="125"/>
      <w:bookmarkEnd w:id="126"/>
      <w:bookmarkEnd w:id="127"/>
    </w:p>
    <w:p w14:paraId="5A67EFD7">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.1本项目磋商文件的最终解释权为采购单位所有。</w:t>
      </w:r>
    </w:p>
    <w:p w14:paraId="25EE0DE5">
      <w:pPr>
        <w:wordWrap w:val="0"/>
        <w:topLinePunct/>
        <w:spacing w:line="360" w:lineRule="auto"/>
        <w:ind w:firstLine="480" w:firstLineChars="200"/>
        <w:rPr>
          <w:rFonts w:hint="eastAsia" w:asciiTheme="minorEastAsia" w:hAnsiTheme="minorEastAsia" w:eastAsiaTheme="minorEastAsia" w:cstheme="minorEastAsia"/>
          <w:bCs/>
          <w:color w:val="auto"/>
          <w:sz w:val="24"/>
          <w:szCs w:val="24"/>
          <w:highlight w:val="none"/>
        </w:rPr>
      </w:pPr>
    </w:p>
    <w:p w14:paraId="605A7E9A">
      <w:pPr>
        <w:pStyle w:val="3"/>
        <w:rPr>
          <w:rFonts w:hint="eastAsia" w:asciiTheme="minorEastAsia" w:hAnsiTheme="minorEastAsia" w:eastAsiaTheme="minorEastAsia" w:cstheme="minorEastAsia"/>
          <w:color w:val="auto"/>
          <w:sz w:val="24"/>
          <w:szCs w:val="24"/>
          <w:highlight w:val="none"/>
        </w:rPr>
      </w:pPr>
      <w:bookmarkStart w:id="128" w:name="_Toc21111"/>
      <w:bookmarkStart w:id="129" w:name="_Toc437611461"/>
      <w:bookmarkStart w:id="130" w:name="_Toc2488"/>
      <w:bookmarkStart w:id="131" w:name="_Toc6088"/>
      <w:bookmarkStart w:id="132" w:name="_Toc29415"/>
      <w:bookmarkStart w:id="133" w:name="_Toc21273"/>
      <w:bookmarkStart w:id="134" w:name="_Toc446599320"/>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、其他注意事项</w:t>
      </w:r>
      <w:bookmarkEnd w:id="128"/>
      <w:bookmarkEnd w:id="129"/>
      <w:bookmarkEnd w:id="130"/>
      <w:bookmarkEnd w:id="131"/>
      <w:bookmarkEnd w:id="132"/>
      <w:bookmarkEnd w:id="133"/>
      <w:bookmarkEnd w:id="134"/>
    </w:p>
    <w:p w14:paraId="41037C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.1单位负责人为同一人或者存在直接控股、管理关系的不同供应商，不得参加同一合同项下的政府采购活动。</w:t>
      </w:r>
    </w:p>
    <w:p w14:paraId="00609B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.2供应商为采购项目提供整体设计、规范编制或者项目管理、监理、检测等服务的供应商，不得再参加该采购项目的其他采购活动。</w:t>
      </w:r>
    </w:p>
    <w:p w14:paraId="7566A9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.3政府采购法第二十二条第一款第五项所称重大违法记录，是指供应商因违法经营受到刑事处罚或者责令停产停业、吊销许可证或者执照、较大数额</w:t>
      </w:r>
      <w:r>
        <w:rPr>
          <w:rFonts w:hint="eastAsia" w:asciiTheme="minorEastAsia" w:hAnsiTheme="minorEastAsia" w:eastAsiaTheme="minorEastAsia" w:cstheme="minorEastAsia"/>
          <w:color w:val="auto"/>
          <w:sz w:val="24"/>
          <w:szCs w:val="24"/>
          <w:highlight w:val="none"/>
          <w:lang w:eastAsia="zh-CN"/>
        </w:rPr>
        <w:t>（高于</w:t>
      </w:r>
      <w:r>
        <w:rPr>
          <w:rFonts w:hint="eastAsia" w:asciiTheme="minorEastAsia" w:hAnsiTheme="minorEastAsia" w:eastAsiaTheme="minorEastAsia" w:cstheme="minorEastAsia"/>
          <w:color w:val="auto"/>
          <w:sz w:val="24"/>
          <w:szCs w:val="24"/>
          <w:highlight w:val="none"/>
          <w:lang w:val="en-US" w:eastAsia="zh-CN"/>
        </w:rPr>
        <w:t>200万元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罚款等行政处罚。</w:t>
      </w:r>
    </w:p>
    <w:p w14:paraId="544901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.4按照财政部《关于规范政府采购行政处罚有关问题的通知》的规定，各级人民政府财政部门依法对参加政府采购活动的供应商作出的禁止参加政府采购活动等行政处罚决定在全国范围内生效。</w:t>
      </w:r>
    </w:p>
    <w:p w14:paraId="2A97F3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.5供应商在参加政府采购活动前3年内因违法经营被禁止在一定期限内参加政府采购活动，期限届满的，可以参加政府采购活动。</w:t>
      </w:r>
    </w:p>
    <w:p w14:paraId="381BC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54F95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1F02A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DD750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C477234">
      <w:pPr>
        <w:pStyle w:val="37"/>
        <w:ind w:left="0" w:leftChars="0" w:firstLine="0" w:firstLineChars="0"/>
        <w:rPr>
          <w:rFonts w:hint="eastAsia"/>
          <w:color w:val="auto"/>
        </w:rPr>
      </w:pPr>
    </w:p>
    <w:p w14:paraId="39785E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53508B69">
      <w:pPr>
        <w:rPr>
          <w:rFonts w:hint="eastAsia" w:ascii="宋体" w:hAnsi="宋体" w:eastAsia="宋体" w:cs="宋体"/>
          <w:b/>
          <w:bCs w:val="0"/>
          <w:color w:val="auto"/>
          <w:highlight w:val="yellow"/>
          <w:lang w:eastAsia="zh-CN"/>
        </w:rPr>
      </w:pPr>
      <w:bookmarkStart w:id="135" w:name="_Toc293736019"/>
      <w:bookmarkStart w:id="136" w:name="_Toc446599321"/>
      <w:bookmarkStart w:id="137" w:name="_Toc24574"/>
      <w:bookmarkStart w:id="138" w:name="_Toc293739000"/>
      <w:bookmarkStart w:id="139" w:name="_Toc24144"/>
      <w:bookmarkStart w:id="140" w:name="_Toc25987"/>
      <w:bookmarkStart w:id="141" w:name="_Toc293736062"/>
      <w:bookmarkStart w:id="142" w:name="_Toc6599"/>
      <w:r>
        <w:rPr>
          <w:rFonts w:hint="eastAsia" w:ascii="宋体" w:hAnsi="宋体" w:eastAsia="宋体" w:cs="宋体"/>
          <w:b/>
          <w:bCs w:val="0"/>
          <w:color w:val="auto"/>
          <w:highlight w:val="yellow"/>
          <w:lang w:eastAsia="zh-CN"/>
        </w:rPr>
        <w:br w:type="page"/>
      </w:r>
    </w:p>
    <w:bookmarkEnd w:id="135"/>
    <w:bookmarkEnd w:id="136"/>
    <w:bookmarkEnd w:id="137"/>
    <w:bookmarkEnd w:id="138"/>
    <w:bookmarkEnd w:id="139"/>
    <w:bookmarkEnd w:id="140"/>
    <w:bookmarkEnd w:id="141"/>
    <w:p w14:paraId="04747D16">
      <w:pPr>
        <w:pStyle w:val="2"/>
        <w:numPr>
          <w:ilvl w:val="0"/>
          <w:numId w:val="4"/>
        </w:numPr>
        <w:ind w:leftChars="0"/>
        <w:jc w:val="center"/>
        <w:rPr>
          <w:rFonts w:hint="eastAsia"/>
          <w:color w:val="auto"/>
          <w:lang w:eastAsia="zh-CN"/>
        </w:rPr>
      </w:pPr>
      <w:bookmarkStart w:id="143" w:name="_Toc27662"/>
      <w:r>
        <w:rPr>
          <w:rFonts w:hint="eastAsia" w:ascii="宋体" w:hAnsi="宋体" w:cs="宋体"/>
          <w:b/>
          <w:bCs w:val="0"/>
          <w:color w:val="auto"/>
          <w:highlight w:val="none"/>
          <w:lang w:eastAsia="zh-CN"/>
        </w:rPr>
        <w:t>采购需求</w:t>
      </w:r>
      <w:bookmarkEnd w:id="142"/>
      <w:bookmarkEnd w:id="143"/>
    </w:p>
    <w:p w14:paraId="3B1A94B5">
      <w:pPr>
        <w:rPr>
          <w:rFonts w:hint="eastAsia"/>
          <w:color w:val="auto"/>
          <w:lang w:eastAsia="zh-CN"/>
        </w:rPr>
      </w:pPr>
    </w:p>
    <w:p w14:paraId="21667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44" w:name="_Toc293736063"/>
      <w:bookmarkStart w:id="145" w:name="_Toc3868"/>
      <w:bookmarkStart w:id="146" w:name="_Toc9705"/>
      <w:bookmarkStart w:id="147" w:name="_Toc20901"/>
      <w:bookmarkStart w:id="148" w:name="_Toc293739001"/>
      <w:bookmarkStart w:id="149" w:name="_Toc293736020"/>
      <w:bookmarkStart w:id="150" w:name="_Toc22710"/>
      <w:bookmarkStart w:id="151" w:name="_Toc446599322"/>
      <w:r>
        <w:rPr>
          <w:rFonts w:hint="eastAsia" w:asciiTheme="minorEastAsia" w:hAnsiTheme="minorEastAsia" w:eastAsiaTheme="minorEastAsia" w:cstheme="minorEastAsia"/>
          <w:color w:val="auto"/>
          <w:sz w:val="24"/>
          <w:szCs w:val="24"/>
          <w:highlight w:val="none"/>
        </w:rPr>
        <w:t>1、运营期间由于运维需要产生的水电费用由</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方承担。其余人员工资、管井清淤、管网巡查、设备保养、年度零星检修费用、年度劳保及清洁费用、所有相关药剂费用、设备保养、污水分析检测等所有因运维修产生的费用由</w:t>
      </w:r>
      <w:r>
        <w:rPr>
          <w:rFonts w:hint="eastAsia" w:asciiTheme="minorEastAsia" w:hAnsiTheme="minorEastAsia" w:eastAsiaTheme="minorEastAsia" w:cstheme="minorEastAsia"/>
          <w:color w:val="auto"/>
          <w:sz w:val="24"/>
          <w:szCs w:val="24"/>
          <w:highlight w:val="none"/>
          <w:lang w:eastAsia="zh-CN"/>
        </w:rPr>
        <w:t>承包方</w:t>
      </w:r>
      <w:r>
        <w:rPr>
          <w:rFonts w:hint="eastAsia" w:asciiTheme="minorEastAsia" w:hAnsiTheme="minorEastAsia" w:eastAsiaTheme="minorEastAsia" w:cstheme="minorEastAsia"/>
          <w:color w:val="auto"/>
          <w:sz w:val="24"/>
          <w:szCs w:val="24"/>
          <w:highlight w:val="none"/>
        </w:rPr>
        <w:t>承担。</w:t>
      </w:r>
    </w:p>
    <w:p w14:paraId="51E7ED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负责污水处理站的日常运营、管理和维护工作，确保污水处理站稳定运行。</w:t>
      </w:r>
    </w:p>
    <w:p w14:paraId="2EA0CE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负责处理水质达到《医疗机构水污染物排放标准》（GB18466—2005）预处理排放标准。</w:t>
      </w:r>
    </w:p>
    <w:p w14:paraId="60481F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负责派遣驻点配备持证上岗的专业操作人员并在方案中附上用于本次项目的投入人员名单及有效证书、身份证复印件，配合环保部门定期填写数据资料。操作运行全套污水处理系统，并承担因此所产生的所有费用。</w:t>
      </w:r>
    </w:p>
    <w:p w14:paraId="11D17D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负责污水处理所需药剂的采购、运输、保管、投放等工作，并承担因此所产生的所有费用。</w:t>
      </w:r>
    </w:p>
    <w:p w14:paraId="7A0230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现提供的相关资质证明，需在合同期内应保证合法有效。</w:t>
      </w:r>
    </w:p>
    <w:p w14:paraId="3EC81C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必须保证污水处理结果符合国家标准和地方环保部门的要求。</w:t>
      </w:r>
    </w:p>
    <w:p w14:paraId="42816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全年每天</w:t>
      </w:r>
      <w:r>
        <w:rPr>
          <w:rFonts w:hint="eastAsia" w:asciiTheme="minorEastAsia" w:hAnsiTheme="minorEastAsia" w:eastAsiaTheme="minorEastAsia" w:cstheme="minorEastAsia"/>
          <w:color w:val="auto"/>
          <w:sz w:val="24"/>
          <w:szCs w:val="24"/>
          <w:highlight w:val="none"/>
          <w:lang w:val="en-US" w:eastAsia="zh-CN"/>
        </w:rPr>
        <w:t>24小时</w:t>
      </w:r>
      <w:r>
        <w:rPr>
          <w:rFonts w:hint="eastAsia" w:asciiTheme="minorEastAsia" w:hAnsiTheme="minorEastAsia" w:eastAsiaTheme="minorEastAsia" w:cstheme="minorEastAsia"/>
          <w:color w:val="auto"/>
          <w:sz w:val="24"/>
          <w:szCs w:val="24"/>
          <w:highlight w:val="none"/>
          <w:lang w:eastAsia="zh-CN"/>
        </w:rPr>
        <w:t>有人值守，并做好日常记录。</w:t>
      </w:r>
    </w:p>
    <w:p w14:paraId="4411A5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应按国家及地方污水排放标准和有关法规要求做好日常污水处理的监测和相关记录。</w:t>
      </w:r>
    </w:p>
    <w:p w14:paraId="2242B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采购方有权监督承包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污水处理站的运行情况，如承包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出现一年中3次以上环保、卫生部门监测不达标，采购方有权解除合同，由此造成的损失全部由承包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w:t>
      </w:r>
    </w:p>
    <w:p w14:paraId="49AD0B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应将污水处理系统运行的管理规章制度报采购方备案。</w:t>
      </w:r>
    </w:p>
    <w:p w14:paraId="61BC4C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必须妥善维护、使用、保管污水处理设施，保证污水处理主体设备的正常使用。</w:t>
      </w:r>
    </w:p>
    <w:p w14:paraId="0E782A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、除日常的维护工作，承包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还需负责对设备进行保养、维修和更换等工作，包括对所有设备的及时修理，确保其稳定运行并达到排放标准。每次维修或更换设备、配件时，承包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应提前以书面形式将详细内容报告给采购人，并得到采购人的同意后方可进行维修或更换。</w:t>
      </w:r>
    </w:p>
    <w:p w14:paraId="2F9D38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、在承包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运营期间，污水处理站的建筑物需装修或维修以及池底的构筑物损坏需进行维修，承包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应提前将详细内容以书面形式报采购方，该维修、装修费用均由承包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w:t>
      </w:r>
    </w:p>
    <w:p w14:paraId="4F7FFA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、在承包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运营期间，在国家有关法规、污水处理排放标准或环保主管部门的要求发生变化时，需要添加新设备，承包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应将添加新设备的目的和详细内容及价格以书面形式报采购方，经过采购方同意后方可实施。承包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添加新设备及土建的费用由采购方承担，设备升级由承包方承担。</w:t>
      </w:r>
    </w:p>
    <w:p w14:paraId="399279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应按国家及地方污水排放标准和有关法规要求做好日常污水处理的监测和相关记录的填报工作（含编写年度排污许可执行报告），并配合制定排污自行监测方案。</w:t>
      </w:r>
    </w:p>
    <w:p w14:paraId="7B7E9D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、在医院内工作和生活的承包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有关人员，应具备与工作岗位相关的必要的证件（如身份证、婚育状况证明、环境保护设施运行人员考试合格证书（污废水处理工）等），并提供相关人员资料向采购方报备。承包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自觉遵守国家法律法规以及采购方的规章制度，服从采购方的监督与管理，不得影响医院正常工作和生活。如有违反，采购方有权要求承包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更换工作人员，否则采购方有权解除合同，由此造成的损失全部由承包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承担。另外，承包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所聘请的工作人员工资福利、医疗保险、人身安全等突发伤亡等所产生的一切开支均由承包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负责。</w:t>
      </w:r>
    </w:p>
    <w:p w14:paraId="1BCA8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、由于承包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责任造成污水处理结果不达标而给采购方造成的损失及产生的费用，全部由承包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承担。如采购方因此受到有关部门罚款，罚款由承包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w:t>
      </w:r>
    </w:p>
    <w:p w14:paraId="6ECA5B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负责污水处理站在线监测设备的日常台账记录和日常保养、维修。</w:t>
      </w:r>
    </w:p>
    <w:p w14:paraId="528E3F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、不可抗力事件发生后，双方应通过友好协商，确定是否继续履行合同以及弥补损失的办法。</w:t>
      </w:r>
    </w:p>
    <w:p w14:paraId="11171D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、如因政府政策原因，造成合同需要进行变更，双方通过协商解决。</w:t>
      </w:r>
    </w:p>
    <w:p w14:paraId="39C165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未事先取得招标人书面同意，不得将本合同项下的任何义务转让给第三方或委托第三方执行（废气、废水检测除外），也不得挂靠其它公司资质进行经营。</w:t>
      </w:r>
    </w:p>
    <w:p w14:paraId="4B98F3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负责环保部门、卫生监督部门等所有部门工作检查中的汇报和答疑，且配合医院制作检查时所需材料，如安全生产检查、环保检查、医院巡查和复审等。</w:t>
      </w:r>
    </w:p>
    <w:p w14:paraId="6B78D7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、运营服务期限内，承包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自行承担各项费用、风险和所有责任，包括安全事故、污染事故和超标排放责任。负责项目设施的运营与维护，包含污水处理所需净水剂、消毒剂等药剂，负责废弃物的妥善处置，保证污水处理稳定达标排放。如环保有关部门监测或验收检查不达标，其一切后果由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承担。</w:t>
      </w:r>
    </w:p>
    <w:p w14:paraId="12DEB6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、本合同终止时，必须向招标人移交相关管理档案资料，否则招标人有权暂停支付应付承包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的费用。</w:t>
      </w:r>
    </w:p>
    <w:p w14:paraId="13415E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☆26、</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需有从事经营污水处理厂或三甲医院污水处理的运营经验和良好记录，检测和运维必须是两家持有相关资质的单位。</w:t>
      </w:r>
    </w:p>
    <w:p w14:paraId="78755A70">
      <w:pPr>
        <w:pStyle w:val="32"/>
        <w:rPr>
          <w:rFonts w:hint="eastAsia" w:ascii="仿宋_GB2312" w:hAnsi="仿宋_GB2312" w:eastAsia="仿宋_GB2312" w:cs="仿宋_GB2312"/>
          <w:b/>
          <w:color w:val="auto"/>
          <w:sz w:val="28"/>
          <w:szCs w:val="28"/>
        </w:rPr>
      </w:pPr>
    </w:p>
    <w:p w14:paraId="52E2214E">
      <w:pPr>
        <w:pStyle w:val="2"/>
        <w:pageBreakBefore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宋体" w:hAnsi="宋体" w:eastAsia="宋体" w:cs="宋体"/>
          <w:b/>
          <w:bCs w:val="0"/>
          <w:color w:val="auto"/>
          <w:highlight w:val="none"/>
          <w:lang w:eastAsia="zh-CN"/>
        </w:rPr>
      </w:pPr>
      <w:bookmarkStart w:id="152" w:name="_Toc14556"/>
      <w:r>
        <w:rPr>
          <w:rFonts w:hint="eastAsia" w:ascii="宋体" w:hAnsi="宋体" w:eastAsia="宋体" w:cs="宋体"/>
          <w:b/>
          <w:bCs w:val="0"/>
          <w:color w:val="auto"/>
          <w:highlight w:val="none"/>
          <w:lang w:eastAsia="zh-CN"/>
        </w:rPr>
        <w:t>第四部分</w:t>
      </w:r>
      <w:r>
        <w:rPr>
          <w:rFonts w:hint="eastAsia" w:ascii="宋体" w:hAnsi="宋体" w:eastAsia="宋体" w:cs="宋体"/>
          <w:b/>
          <w:bCs w:val="0"/>
          <w:color w:val="auto"/>
          <w:highlight w:val="none"/>
          <w:lang w:val="en-US" w:eastAsia="zh-CN"/>
        </w:rPr>
        <w:t xml:space="preserve">  </w:t>
      </w:r>
      <w:r>
        <w:rPr>
          <w:rFonts w:hint="eastAsia" w:ascii="宋体" w:hAnsi="宋体" w:eastAsia="宋体" w:cs="宋体"/>
          <w:b/>
          <w:bCs w:val="0"/>
          <w:color w:val="auto"/>
          <w:highlight w:val="none"/>
          <w:lang w:eastAsia="zh-CN"/>
        </w:rPr>
        <w:t>评审方法</w:t>
      </w:r>
      <w:bookmarkEnd w:id="144"/>
      <w:bookmarkEnd w:id="145"/>
      <w:bookmarkEnd w:id="146"/>
      <w:bookmarkEnd w:id="147"/>
      <w:bookmarkEnd w:id="148"/>
      <w:bookmarkEnd w:id="149"/>
      <w:bookmarkEnd w:id="150"/>
      <w:bookmarkEnd w:id="151"/>
      <w:bookmarkEnd w:id="152"/>
    </w:p>
    <w:p w14:paraId="2E3223B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bookmarkStart w:id="153" w:name="_Toc446599330"/>
      <w:bookmarkStart w:id="154" w:name="_Toc293736024"/>
      <w:bookmarkStart w:id="155" w:name="_Toc293736067"/>
      <w:bookmarkStart w:id="156" w:name="_Toc293739005"/>
      <w:r>
        <w:rPr>
          <w:rFonts w:hint="eastAsia" w:ascii="宋体" w:hAnsi="宋体" w:eastAsia="宋体" w:cs="宋体"/>
          <w:bCs/>
          <w:color w:val="auto"/>
          <w:sz w:val="24"/>
          <w:szCs w:val="24"/>
          <w:highlight w:val="none"/>
        </w:rPr>
        <w:t>1. 总则</w:t>
      </w:r>
    </w:p>
    <w:p w14:paraId="581D0E1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根据《中华人民共和国政府采购法》和《政府采购竞争性磋商采购方式管理暂行办法》（财库[2014]214号）等法律规章，结合采购项目特点制定本</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办法。</w:t>
      </w:r>
    </w:p>
    <w:p w14:paraId="17EACA1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由采购人代表和有关技术、经济等方面的专家组成。</w:t>
      </w:r>
    </w:p>
    <w:p w14:paraId="56262A1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 </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工作应遵循公平、公正、科学及择优的原则，并以相同的</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程序和标准对待所有的供应商。</w:t>
      </w:r>
    </w:p>
    <w:p w14:paraId="6278462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1.4 </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按照采购文件规定的评标方法和标准进行评标，并独立履行下列职责：</w:t>
      </w:r>
    </w:p>
    <w:p w14:paraId="26D8709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是否符合采购文件要求，并作出评价；</w:t>
      </w:r>
    </w:p>
    <w:p w14:paraId="53E562F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供应商对</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有关事项作出解释或者澄清；</w:t>
      </w:r>
    </w:p>
    <w:p w14:paraId="58C55A6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候选供应商名单，或者受采购人委托按照事先确定的办法直接确定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供应商；</w:t>
      </w:r>
    </w:p>
    <w:p w14:paraId="04E3255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工作的行为。</w:t>
      </w:r>
      <w:bookmarkStart w:id="157" w:name="_Toc217446098"/>
    </w:p>
    <w:p w14:paraId="1DF2BFB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1.5 </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过程严格保密。供应商对</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过程或合同授予决定施加影响的任何行为都可能导致其投标被拒绝。</w:t>
      </w:r>
    </w:p>
    <w:p w14:paraId="1520E65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决定</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的响应性依据</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本身的内容，而不寻求外部的证据。</w:t>
      </w:r>
    </w:p>
    <w:p w14:paraId="24159E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发现采购文件表述不明确或需要说明的事项，可提请采购单位书面解释说明。发现采购文件违反有关法律、法规和规章的，可以拒绝评标，并向采购单位书面说明情况。</w:t>
      </w:r>
    </w:p>
    <w:p w14:paraId="2D8DF6D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方法</w:t>
      </w:r>
    </w:p>
    <w:p w14:paraId="06A6F99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eastAsia="zh-CN"/>
        </w:rPr>
        <w:t>采用</w:t>
      </w:r>
      <w:r>
        <w:rPr>
          <w:rFonts w:hint="eastAsia" w:ascii="宋体" w:hAnsi="宋体" w:eastAsia="宋体" w:cs="宋体"/>
          <w:bCs/>
          <w:color w:val="auto"/>
          <w:sz w:val="24"/>
          <w:szCs w:val="24"/>
          <w:highlight w:val="none"/>
        </w:rPr>
        <w:t>：综合评分法。</w:t>
      </w:r>
      <w:bookmarkEnd w:id="157"/>
    </w:p>
    <w:p w14:paraId="3435500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bookmarkStart w:id="158" w:name="_Toc217446099"/>
      <w:r>
        <w:rPr>
          <w:rFonts w:hint="eastAsia" w:ascii="宋体" w:hAnsi="宋体" w:eastAsia="宋体" w:cs="宋体"/>
          <w:bCs/>
          <w:color w:val="auto"/>
          <w:sz w:val="24"/>
          <w:szCs w:val="24"/>
          <w:highlight w:val="none"/>
        </w:rPr>
        <w:t xml:space="preserve">3.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程序</w:t>
      </w:r>
    </w:p>
    <w:p w14:paraId="57876D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3.1资格</w:t>
      </w:r>
      <w:r>
        <w:rPr>
          <w:rFonts w:hint="eastAsia" w:ascii="宋体" w:hAnsi="宋体" w:eastAsia="宋体" w:cs="宋体"/>
          <w:bCs/>
          <w:color w:val="auto"/>
          <w:sz w:val="24"/>
          <w:szCs w:val="24"/>
          <w:highlight w:val="none"/>
          <w:lang w:eastAsia="zh-CN"/>
        </w:rPr>
        <w:t>性审查。采购人或采购代理机构根据供应商的响应文件进行资格审查，资格审查通过的单位进行符合性审查，未通过的单位予以废标处理。</w:t>
      </w:r>
    </w:p>
    <w:p w14:paraId="046F11DC">
      <w:pPr>
        <w:pStyle w:val="37"/>
        <w:rPr>
          <w:rFonts w:hint="eastAsia" w:ascii="宋体" w:hAnsi="宋体" w:eastAsia="宋体" w:cs="宋体"/>
          <w:bCs/>
          <w:color w:val="auto"/>
          <w:sz w:val="24"/>
          <w:szCs w:val="24"/>
          <w:highlight w:val="none"/>
          <w:lang w:eastAsia="zh-CN"/>
        </w:rPr>
      </w:pPr>
    </w:p>
    <w:p w14:paraId="28D4DFCB">
      <w:pP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br w:type="page"/>
      </w:r>
    </w:p>
    <w:p w14:paraId="09EDE3F4">
      <w:pPr>
        <w:spacing w:line="360" w:lineRule="auto"/>
        <w:jc w:val="center"/>
        <w:rPr>
          <w:rFonts w:hint="eastAsia" w:asciiTheme="minorEastAsia" w:hAnsiTheme="minorEastAsia" w:eastAsiaTheme="minorEastAsia" w:cstheme="minorEastAsia"/>
          <w:b/>
          <w:bCs/>
          <w:color w:val="auto"/>
          <w:kern w:val="0"/>
          <w:sz w:val="28"/>
          <w:szCs w:val="24"/>
          <w:highlight w:val="none"/>
        </w:rPr>
      </w:pPr>
      <w:r>
        <w:rPr>
          <w:rFonts w:hint="eastAsia" w:asciiTheme="minorEastAsia" w:hAnsiTheme="minorEastAsia" w:eastAsiaTheme="minorEastAsia" w:cstheme="minorEastAsia"/>
          <w:b/>
          <w:bCs/>
          <w:color w:val="auto"/>
          <w:kern w:val="0"/>
          <w:sz w:val="28"/>
          <w:szCs w:val="24"/>
          <w:highlight w:val="none"/>
          <w:lang w:eastAsia="zh-CN"/>
        </w:rPr>
        <w:t>资格性</w:t>
      </w:r>
      <w:r>
        <w:rPr>
          <w:rFonts w:hint="eastAsia" w:asciiTheme="minorEastAsia" w:hAnsiTheme="minorEastAsia" w:eastAsiaTheme="minorEastAsia" w:cstheme="minorEastAsia"/>
          <w:b/>
          <w:bCs/>
          <w:color w:val="auto"/>
          <w:kern w:val="0"/>
          <w:sz w:val="28"/>
          <w:szCs w:val="24"/>
          <w:highlight w:val="none"/>
        </w:rPr>
        <w:t>审查表</w:t>
      </w:r>
    </w:p>
    <w:tbl>
      <w:tblPr>
        <w:tblStyle w:val="39"/>
        <w:tblW w:w="10065" w:type="dxa"/>
        <w:tblInd w:w="-784" w:type="dxa"/>
        <w:tblLayout w:type="autofit"/>
        <w:tblCellMar>
          <w:top w:w="0" w:type="dxa"/>
          <w:left w:w="108" w:type="dxa"/>
          <w:bottom w:w="0" w:type="dxa"/>
          <w:right w:w="108" w:type="dxa"/>
        </w:tblCellMar>
      </w:tblPr>
      <w:tblGrid>
        <w:gridCol w:w="977"/>
        <w:gridCol w:w="877"/>
        <w:gridCol w:w="8211"/>
      </w:tblGrid>
      <w:tr w14:paraId="35FE92CD">
        <w:tblPrEx>
          <w:tblCellMar>
            <w:top w:w="0" w:type="dxa"/>
            <w:left w:w="108" w:type="dxa"/>
            <w:bottom w:w="0" w:type="dxa"/>
            <w:right w:w="108" w:type="dxa"/>
          </w:tblCellMar>
        </w:tblPrEx>
        <w:trPr>
          <w:trHeight w:val="504" w:hRule="exact"/>
        </w:trPr>
        <w:tc>
          <w:tcPr>
            <w:tcW w:w="100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14:paraId="1E3D6201">
            <w:pPr>
              <w:spacing w:line="360" w:lineRule="auto"/>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评审标准</w:t>
            </w:r>
          </w:p>
        </w:tc>
      </w:tr>
      <w:tr w14:paraId="3E5B09BE">
        <w:tblPrEx>
          <w:tblCellMar>
            <w:top w:w="0" w:type="dxa"/>
            <w:left w:w="108" w:type="dxa"/>
            <w:bottom w:w="0" w:type="dxa"/>
            <w:right w:w="108" w:type="dxa"/>
          </w:tblCellMar>
        </w:tblPrEx>
        <w:trPr>
          <w:trHeight w:val="42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tcPr>
          <w:p w14:paraId="55A7F719">
            <w:pPr>
              <w:jc w:val="center"/>
              <w:rPr>
                <w:rFonts w:asciiTheme="minorEastAsia" w:hAnsiTheme="minorEastAsia" w:cstheme="minorEastAsia"/>
                <w:color w:val="auto"/>
                <w:szCs w:val="21"/>
                <w:highlight w:val="none"/>
              </w:rPr>
            </w:pPr>
          </w:p>
          <w:p w14:paraId="0833E320">
            <w:pPr>
              <w:jc w:val="center"/>
              <w:rPr>
                <w:rFonts w:asciiTheme="minorEastAsia" w:hAnsiTheme="minorEastAsia" w:cstheme="minorEastAsia"/>
                <w:color w:val="auto"/>
                <w:szCs w:val="21"/>
                <w:highlight w:val="none"/>
              </w:rPr>
            </w:pPr>
          </w:p>
          <w:p w14:paraId="50706A29">
            <w:pPr>
              <w:jc w:val="center"/>
              <w:rPr>
                <w:rFonts w:asciiTheme="minorEastAsia" w:hAnsiTheme="minorEastAsia" w:cstheme="minorEastAsia"/>
                <w:color w:val="auto"/>
                <w:szCs w:val="21"/>
                <w:highlight w:val="none"/>
              </w:rPr>
            </w:pPr>
          </w:p>
          <w:p w14:paraId="2E431423">
            <w:pPr>
              <w:jc w:val="center"/>
              <w:rPr>
                <w:rFonts w:asciiTheme="minorEastAsia" w:hAnsiTheme="minorEastAsia" w:cstheme="minorEastAsia"/>
                <w:color w:val="auto"/>
                <w:szCs w:val="21"/>
                <w:highlight w:val="none"/>
              </w:rPr>
            </w:pPr>
          </w:p>
          <w:p w14:paraId="6533ACF9">
            <w:pPr>
              <w:jc w:val="center"/>
              <w:rPr>
                <w:rFonts w:asciiTheme="minorEastAsia" w:hAnsiTheme="minorEastAsia" w:cstheme="minorEastAsia"/>
                <w:color w:val="auto"/>
                <w:szCs w:val="21"/>
                <w:highlight w:val="none"/>
              </w:rPr>
            </w:pPr>
          </w:p>
          <w:p w14:paraId="756622F0">
            <w:pPr>
              <w:jc w:val="center"/>
              <w:rPr>
                <w:rFonts w:asciiTheme="minorEastAsia" w:hAnsiTheme="minorEastAsia" w:cstheme="minorEastAsia"/>
                <w:color w:val="auto"/>
                <w:szCs w:val="21"/>
                <w:highlight w:val="none"/>
              </w:rPr>
            </w:pPr>
          </w:p>
          <w:p w14:paraId="22ED0AFD">
            <w:pPr>
              <w:jc w:val="center"/>
              <w:rPr>
                <w:rFonts w:asciiTheme="minorEastAsia" w:hAnsiTheme="minorEastAsia" w:cstheme="minorEastAsia"/>
                <w:color w:val="auto"/>
                <w:szCs w:val="21"/>
                <w:highlight w:val="none"/>
              </w:rPr>
            </w:pPr>
          </w:p>
          <w:p w14:paraId="08EBF8BF">
            <w:pPr>
              <w:pStyle w:val="11"/>
              <w:rPr>
                <w:rFonts w:asciiTheme="minorEastAsia" w:hAnsiTheme="minorEastAsia" w:cstheme="minorEastAsia"/>
                <w:color w:val="auto"/>
                <w:szCs w:val="21"/>
                <w:highlight w:val="none"/>
              </w:rPr>
            </w:pPr>
          </w:p>
          <w:p w14:paraId="0575401B">
            <w:pPr>
              <w:rPr>
                <w:color w:val="auto"/>
                <w:highlight w:val="none"/>
              </w:rPr>
            </w:pPr>
          </w:p>
          <w:p w14:paraId="0F4DDAE8">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资格性评审</w:t>
            </w:r>
          </w:p>
          <w:p w14:paraId="70CE2ADF">
            <w:pPr>
              <w:jc w:val="center"/>
              <w:rPr>
                <w:rFonts w:asciiTheme="minorEastAsia" w:hAnsiTheme="minorEastAsia" w:cstheme="minorEastAsia"/>
                <w:color w:val="auto"/>
                <w:szCs w:val="21"/>
                <w:highlight w:val="none"/>
              </w:rPr>
            </w:pPr>
          </w:p>
        </w:tc>
        <w:tc>
          <w:tcPr>
            <w:tcW w:w="877" w:type="dxa"/>
            <w:tcBorders>
              <w:top w:val="single" w:color="000000" w:sz="4" w:space="0"/>
              <w:left w:val="single" w:color="000000" w:sz="4" w:space="0"/>
              <w:right w:val="single" w:color="000000" w:sz="4" w:space="0"/>
              <w:tl2br w:val="nil"/>
              <w:tr2bl w:val="nil"/>
            </w:tcBorders>
            <w:shd w:val="clear" w:color="auto" w:fill="FFFFFF"/>
            <w:vAlign w:val="center"/>
          </w:tcPr>
          <w:p w14:paraId="4A47CFBF">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A97498">
            <w:pPr>
              <w:jc w:val="both"/>
              <w:rPr>
                <w:color w:val="auto"/>
                <w:sz w:val="24"/>
                <w:highlight w:val="none"/>
              </w:rPr>
            </w:pPr>
            <w:r>
              <w:rPr>
                <w:rFonts w:hint="eastAsia" w:ascii="宋体" w:hAnsi="宋体" w:eastAsia="宋体" w:cs="宋体"/>
                <w:color w:val="auto"/>
                <w:kern w:val="0"/>
                <w:sz w:val="24"/>
                <w:highlight w:val="none"/>
              </w:rPr>
              <w:t>具有有效的营业执照</w:t>
            </w:r>
          </w:p>
        </w:tc>
      </w:tr>
      <w:tr w14:paraId="0086E6AB">
        <w:tblPrEx>
          <w:tblCellMar>
            <w:top w:w="0" w:type="dxa"/>
            <w:left w:w="108" w:type="dxa"/>
            <w:bottom w:w="0" w:type="dxa"/>
            <w:right w:w="108" w:type="dxa"/>
          </w:tblCellMar>
        </w:tblPrEx>
        <w:trPr>
          <w:trHeight w:val="445" w:hRule="exact"/>
        </w:trPr>
        <w:tc>
          <w:tcPr>
            <w:tcW w:w="977" w:type="dxa"/>
            <w:vMerge w:val="continue"/>
            <w:tcBorders>
              <w:left w:val="single" w:color="000000" w:sz="4" w:space="0"/>
              <w:right w:val="single" w:color="000000" w:sz="4" w:space="0"/>
              <w:tl2br w:val="nil"/>
              <w:tr2bl w:val="nil"/>
            </w:tcBorders>
            <w:shd w:val="clear" w:color="auto" w:fill="FFFFFF"/>
          </w:tcPr>
          <w:p w14:paraId="6275BF60">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866C4E3">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2</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75033B">
            <w:pPr>
              <w:jc w:val="both"/>
              <w:rPr>
                <w:color w:val="auto"/>
                <w:sz w:val="24"/>
                <w:highlight w:val="none"/>
              </w:rPr>
            </w:pPr>
            <w:r>
              <w:rPr>
                <w:rFonts w:hint="eastAsia" w:ascii="宋体" w:hAnsi="宋体" w:eastAsia="宋体" w:cs="宋体"/>
                <w:color w:val="auto"/>
                <w:kern w:val="0"/>
                <w:sz w:val="24"/>
                <w:highlight w:val="none"/>
              </w:rPr>
              <w:t>须具有近</w:t>
            </w:r>
            <w:r>
              <w:rPr>
                <w:rFonts w:hint="eastAsia" w:ascii="宋体" w:hAnsi="宋体" w:cs="宋体"/>
                <w:color w:val="auto"/>
                <w:kern w:val="0"/>
                <w:sz w:val="24"/>
                <w:highlight w:val="none"/>
                <w:lang w:val="en-US" w:eastAsia="zh-CN"/>
              </w:rPr>
              <w:t>三个月任意</w:t>
            </w:r>
            <w:r>
              <w:rPr>
                <w:rFonts w:hint="eastAsia" w:ascii="宋体" w:hAnsi="宋体" w:eastAsia="宋体" w:cs="宋体"/>
                <w:color w:val="auto"/>
                <w:kern w:val="0"/>
                <w:sz w:val="24"/>
                <w:highlight w:val="none"/>
              </w:rPr>
              <w:t>月纳税证明（新公司从成立之日起算）</w:t>
            </w:r>
          </w:p>
        </w:tc>
      </w:tr>
      <w:tr w14:paraId="08530E01">
        <w:tblPrEx>
          <w:tblCellMar>
            <w:top w:w="0" w:type="dxa"/>
            <w:left w:w="108" w:type="dxa"/>
            <w:bottom w:w="0" w:type="dxa"/>
            <w:right w:w="108" w:type="dxa"/>
          </w:tblCellMar>
        </w:tblPrEx>
        <w:trPr>
          <w:trHeight w:val="691" w:hRule="exact"/>
        </w:trPr>
        <w:tc>
          <w:tcPr>
            <w:tcW w:w="977" w:type="dxa"/>
            <w:vMerge w:val="continue"/>
            <w:tcBorders>
              <w:left w:val="single" w:color="000000" w:sz="4" w:space="0"/>
              <w:right w:val="single" w:color="000000" w:sz="4" w:space="0"/>
              <w:tl2br w:val="nil"/>
              <w:tr2bl w:val="nil"/>
            </w:tcBorders>
            <w:shd w:val="clear" w:color="auto" w:fill="FFFFFF"/>
          </w:tcPr>
          <w:p w14:paraId="2FEFF84E">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3B8CBF1">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3</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EF710">
            <w:pPr>
              <w:jc w:val="both"/>
              <w:rPr>
                <w:color w:val="auto"/>
                <w:sz w:val="24"/>
                <w:highlight w:val="none"/>
              </w:rPr>
            </w:pPr>
            <w:r>
              <w:rPr>
                <w:rFonts w:hint="eastAsia"/>
                <w:color w:val="auto"/>
                <w:sz w:val="24"/>
                <w:highlight w:val="none"/>
              </w:rPr>
              <w:t>须具备近一年财务审计报告</w:t>
            </w:r>
            <w:r>
              <w:rPr>
                <w:rFonts w:hint="eastAsia"/>
                <w:color w:val="auto"/>
                <w:sz w:val="24"/>
                <w:highlight w:val="none"/>
                <w:lang w:eastAsia="zh-CN"/>
              </w:rPr>
              <w:t>（</w:t>
            </w:r>
            <w:r>
              <w:rPr>
                <w:rFonts w:hint="eastAsia"/>
                <w:color w:val="auto"/>
                <w:sz w:val="24"/>
                <w:highlight w:val="none"/>
                <w:lang w:val="en-US" w:eastAsia="zh-CN"/>
              </w:rPr>
              <w:t>2024或2025年</w:t>
            </w:r>
            <w:r>
              <w:rPr>
                <w:rFonts w:hint="eastAsia"/>
                <w:color w:val="auto"/>
                <w:sz w:val="24"/>
                <w:highlight w:val="none"/>
                <w:lang w:eastAsia="zh-CN"/>
              </w:rPr>
              <w:t>）</w:t>
            </w:r>
            <w:r>
              <w:rPr>
                <w:rFonts w:hint="eastAsia"/>
                <w:color w:val="auto"/>
                <w:sz w:val="24"/>
                <w:highlight w:val="none"/>
              </w:rPr>
              <w:t>或银行提供的资信证明（新公司从成立之日起算）。</w:t>
            </w:r>
          </w:p>
        </w:tc>
      </w:tr>
      <w:tr w14:paraId="42FB4A73">
        <w:tblPrEx>
          <w:tblCellMar>
            <w:top w:w="0" w:type="dxa"/>
            <w:left w:w="108" w:type="dxa"/>
            <w:bottom w:w="0" w:type="dxa"/>
            <w:right w:w="108" w:type="dxa"/>
          </w:tblCellMar>
        </w:tblPrEx>
        <w:trPr>
          <w:trHeight w:val="711" w:hRule="exact"/>
        </w:trPr>
        <w:tc>
          <w:tcPr>
            <w:tcW w:w="977" w:type="dxa"/>
            <w:vMerge w:val="continue"/>
            <w:tcBorders>
              <w:left w:val="single" w:color="000000" w:sz="4" w:space="0"/>
              <w:right w:val="single" w:color="000000" w:sz="4" w:space="0"/>
              <w:tl2br w:val="nil"/>
              <w:tr2bl w:val="nil"/>
            </w:tcBorders>
            <w:shd w:val="clear" w:color="auto" w:fill="FFFFFF"/>
          </w:tcPr>
          <w:p w14:paraId="4CA79962">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9D99E14">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4</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C824A5">
            <w:pPr>
              <w:jc w:val="both"/>
              <w:rPr>
                <w:color w:val="auto"/>
                <w:sz w:val="24"/>
                <w:highlight w:val="none"/>
              </w:rPr>
            </w:pPr>
            <w:r>
              <w:rPr>
                <w:rFonts w:hint="eastAsia" w:ascii="宋体" w:cs="宋体"/>
                <w:color w:val="auto"/>
                <w:sz w:val="24"/>
                <w:highlight w:val="none"/>
              </w:rPr>
              <w:t>有近</w:t>
            </w:r>
            <w:r>
              <w:rPr>
                <w:rFonts w:hint="eastAsia" w:ascii="宋体" w:cs="宋体"/>
                <w:color w:val="auto"/>
                <w:sz w:val="24"/>
                <w:highlight w:val="none"/>
                <w:lang w:val="en-US" w:eastAsia="zh-CN"/>
              </w:rPr>
              <w:t>三个月任意</w:t>
            </w:r>
            <w:r>
              <w:rPr>
                <w:rFonts w:hint="eastAsia" w:ascii="宋体" w:cs="宋体"/>
                <w:color w:val="auto"/>
                <w:sz w:val="24"/>
                <w:highlight w:val="none"/>
              </w:rPr>
              <w:t>月社保证明（新公司从成立之日起算）。</w:t>
            </w:r>
          </w:p>
        </w:tc>
      </w:tr>
      <w:tr w14:paraId="184E30AF">
        <w:tblPrEx>
          <w:tblCellMar>
            <w:top w:w="0" w:type="dxa"/>
            <w:left w:w="108" w:type="dxa"/>
            <w:bottom w:w="0" w:type="dxa"/>
            <w:right w:w="108" w:type="dxa"/>
          </w:tblCellMar>
        </w:tblPrEx>
        <w:trPr>
          <w:trHeight w:val="511" w:hRule="exact"/>
        </w:trPr>
        <w:tc>
          <w:tcPr>
            <w:tcW w:w="977" w:type="dxa"/>
            <w:vMerge w:val="continue"/>
            <w:tcBorders>
              <w:left w:val="single" w:color="000000" w:sz="4" w:space="0"/>
              <w:right w:val="single" w:color="000000" w:sz="4" w:space="0"/>
              <w:tl2br w:val="nil"/>
              <w:tr2bl w:val="nil"/>
            </w:tcBorders>
            <w:shd w:val="clear" w:color="auto" w:fill="FFFFFF"/>
          </w:tcPr>
          <w:p w14:paraId="2C9B7DCB">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CCD0AD5">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5</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FD4AF2">
            <w:pPr>
              <w:jc w:val="both"/>
              <w:rPr>
                <w:color w:val="auto"/>
                <w:sz w:val="24"/>
                <w:highlight w:val="none"/>
              </w:rPr>
            </w:pPr>
            <w:r>
              <w:rPr>
                <w:rFonts w:hint="eastAsia"/>
                <w:color w:val="auto"/>
                <w:sz w:val="24"/>
                <w:highlight w:val="none"/>
              </w:rPr>
              <w:t xml:space="preserve">须具有履行合同所必须的设备和专业技术能力的承诺函 </w:t>
            </w:r>
          </w:p>
        </w:tc>
      </w:tr>
      <w:tr w14:paraId="67E1277A">
        <w:tblPrEx>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tcPr>
          <w:p w14:paraId="5F69E371">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55750571">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6</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3D9E43">
            <w:pPr>
              <w:jc w:val="both"/>
              <w:rPr>
                <w:color w:val="auto"/>
                <w:sz w:val="24"/>
                <w:highlight w:val="none"/>
              </w:rPr>
            </w:pPr>
            <w:r>
              <w:rPr>
                <w:rFonts w:hint="eastAsia"/>
                <w:color w:val="auto"/>
                <w:sz w:val="24"/>
                <w:highlight w:val="none"/>
              </w:rPr>
              <w:t>参加政府采购活动前3年内在经营活动中没有重大违法记录</w:t>
            </w:r>
            <w:r>
              <w:rPr>
                <w:rFonts w:hint="eastAsia"/>
                <w:color w:val="auto"/>
                <w:sz w:val="24"/>
                <w:highlight w:val="none"/>
                <w:lang w:val="en-US" w:eastAsia="zh-CN"/>
              </w:rPr>
              <w:t>及符合法律、行政法规规定的其他条件</w:t>
            </w:r>
            <w:r>
              <w:rPr>
                <w:rFonts w:hint="eastAsia"/>
                <w:color w:val="auto"/>
                <w:sz w:val="24"/>
                <w:highlight w:val="none"/>
              </w:rPr>
              <w:t>的书面声明</w:t>
            </w:r>
          </w:p>
        </w:tc>
      </w:tr>
      <w:tr w14:paraId="55D755D3">
        <w:tblPrEx>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tcPr>
          <w:p w14:paraId="44AA3102">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54FFFF89">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7</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4846A8">
            <w:pPr>
              <w:jc w:val="both"/>
              <w:rPr>
                <w:rFonts w:hint="default" w:eastAsia="宋体"/>
                <w:color w:val="auto"/>
                <w:sz w:val="24"/>
                <w:highlight w:val="none"/>
                <w:lang w:val="en-US" w:eastAsia="zh-CN"/>
              </w:rPr>
            </w:pPr>
            <w:r>
              <w:rPr>
                <w:rFonts w:hint="eastAsia"/>
                <w:color w:val="auto"/>
                <w:sz w:val="24"/>
                <w:highlight w:val="none"/>
              </w:rPr>
              <w:t>投标保证金凭证</w:t>
            </w:r>
            <w:r>
              <w:rPr>
                <w:rFonts w:hint="eastAsia"/>
                <w:color w:val="auto"/>
                <w:sz w:val="24"/>
                <w:highlight w:val="none"/>
                <w:lang w:val="en-US" w:eastAsia="zh-CN"/>
              </w:rPr>
              <w:t>或保函</w:t>
            </w:r>
          </w:p>
        </w:tc>
      </w:tr>
      <w:tr w14:paraId="5A8358E8">
        <w:tblPrEx>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tcPr>
          <w:p w14:paraId="685D96D5">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0BC44D85">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8</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66455D">
            <w:pPr>
              <w:jc w:val="both"/>
              <w:rPr>
                <w:color w:val="auto"/>
                <w:sz w:val="24"/>
                <w:highlight w:val="none"/>
              </w:rPr>
            </w:pPr>
            <w:r>
              <w:rPr>
                <w:rFonts w:hint="eastAsia"/>
                <w:color w:val="auto"/>
                <w:sz w:val="24"/>
                <w:highlight w:val="none"/>
              </w:rPr>
              <w:t>法人身份证明及身份证或法人授权委托书及委托代理人身份证</w:t>
            </w:r>
          </w:p>
        </w:tc>
      </w:tr>
      <w:tr w14:paraId="30D6BC38">
        <w:tblPrEx>
          <w:tblCellMar>
            <w:top w:w="0" w:type="dxa"/>
            <w:left w:w="108" w:type="dxa"/>
            <w:bottom w:w="0" w:type="dxa"/>
            <w:right w:w="108" w:type="dxa"/>
          </w:tblCellMar>
        </w:tblPrEx>
        <w:trPr>
          <w:trHeight w:val="1355" w:hRule="exact"/>
        </w:trPr>
        <w:tc>
          <w:tcPr>
            <w:tcW w:w="977" w:type="dxa"/>
            <w:vMerge w:val="continue"/>
            <w:tcBorders>
              <w:left w:val="single" w:color="000000" w:sz="4" w:space="0"/>
              <w:right w:val="single" w:color="000000" w:sz="4" w:space="0"/>
              <w:tl2br w:val="nil"/>
              <w:tr2bl w:val="nil"/>
            </w:tcBorders>
            <w:shd w:val="clear" w:color="auto" w:fill="FFFFFF"/>
          </w:tcPr>
          <w:p w14:paraId="2E607F6F">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5C06C7CB">
            <w:pPr>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9</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A38EED">
            <w:pPr>
              <w:jc w:val="both"/>
              <w:rPr>
                <w:color w:val="auto"/>
                <w:sz w:val="24"/>
                <w:highlight w:val="none"/>
              </w:rPr>
            </w:pPr>
            <w:r>
              <w:rPr>
                <w:rFonts w:hint="eastAsia" w:ascii="宋体" w:hAnsi="宋体" w:eastAsia="宋体" w:cs="宋体"/>
                <w:color w:val="auto"/>
                <w:kern w:val="0"/>
                <w:sz w:val="24"/>
                <w:highlight w:val="none"/>
              </w:rPr>
              <w:t>凡拟参加本次招标项目的投标人，如在“信用中国”网站（www.creditchina.gov.cn）被列入失信被执行人、</w:t>
            </w:r>
            <w:r>
              <w:rPr>
                <w:rFonts w:hint="eastAsia" w:ascii="宋体" w:hAnsi="宋体" w:cs="宋体"/>
                <w:color w:val="auto"/>
                <w:kern w:val="0"/>
                <w:sz w:val="24"/>
                <w:highlight w:val="none"/>
                <w:lang w:eastAsia="zh-CN"/>
              </w:rPr>
              <w:t>重大税收违法失信主体名单</w:t>
            </w:r>
            <w:r>
              <w:rPr>
                <w:rFonts w:hint="eastAsia" w:ascii="宋体" w:hAnsi="宋体" w:eastAsia="宋体" w:cs="宋体"/>
                <w:color w:val="auto"/>
                <w:kern w:val="0"/>
                <w:sz w:val="24"/>
                <w:highlight w:val="none"/>
              </w:rPr>
              <w:t>和中国政府采购网（www.ccgp.gov.cn）政府采购严重违法失信行为记录名单的（尚在处罚期内的），将拒绝其参加本次采购活动</w:t>
            </w:r>
          </w:p>
        </w:tc>
      </w:tr>
      <w:tr w14:paraId="5EF11DAC">
        <w:tblPrEx>
          <w:tblCellMar>
            <w:top w:w="0" w:type="dxa"/>
            <w:left w:w="108" w:type="dxa"/>
            <w:bottom w:w="0" w:type="dxa"/>
            <w:right w:w="108" w:type="dxa"/>
          </w:tblCellMar>
        </w:tblPrEx>
        <w:trPr>
          <w:trHeight w:val="438"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tcPr>
          <w:p w14:paraId="086B55BE">
            <w:pPr>
              <w:jc w:val="center"/>
              <w:rPr>
                <w:rFonts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B9BCF4C">
            <w:pPr>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10</w:t>
            </w:r>
          </w:p>
        </w:tc>
        <w:tc>
          <w:tcPr>
            <w:tcW w:w="821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77AB4C">
            <w:pPr>
              <w:jc w:val="both"/>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供应商提供中小企业声明函</w:t>
            </w:r>
          </w:p>
        </w:tc>
      </w:tr>
    </w:tbl>
    <w:p w14:paraId="5D2097FD">
      <w:pPr>
        <w:spacing w:line="400" w:lineRule="exact"/>
        <w:ind w:firstLine="482" w:firstLineChars="200"/>
        <w:rPr>
          <w:rFonts w:hint="eastAsia" w:ascii="宋体" w:hAnsi="宋体" w:eastAsia="宋体" w:cs="宋体"/>
          <w:b/>
          <w:color w:val="auto"/>
          <w:kern w:val="0"/>
          <w:sz w:val="24"/>
          <w:highlight w:val="none"/>
        </w:rPr>
      </w:pPr>
    </w:p>
    <w:p w14:paraId="34FC5FFF">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备注：如果投标文件中有一项未通过上述审查标准，将认定整个投标文件不响应采购文件而予以无效处理，并且不允许供应商通过修改或撤销其不符合要求的差异或保留，使之成为具有响应性的投标。</w:t>
      </w:r>
    </w:p>
    <w:p w14:paraId="5DDD76E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3.2符合性检查。依据采购文件的规定，从响应文件的有效性、完整性和对采购文件的响应程度进行审查，以确定是否对采购文件的实质性要求作出响应。</w:t>
      </w:r>
    </w:p>
    <w:p w14:paraId="7633495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供应商响应文件属于下列情况之一的，在符合性检查时按照无效投标处理：</w:t>
      </w:r>
    </w:p>
    <w:p w14:paraId="6490DE0D">
      <w:pPr>
        <w:pStyle w:val="37"/>
        <w:rPr>
          <w:rFonts w:hint="eastAsia"/>
          <w:color w:val="auto"/>
          <w:lang w:eastAsia="zh-CN"/>
        </w:rPr>
      </w:pPr>
    </w:p>
    <w:p w14:paraId="10EEC43B">
      <w:pP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br w:type="page"/>
      </w:r>
    </w:p>
    <w:p w14:paraId="700EBF6C">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color w:val="auto"/>
          <w:kern w:val="0"/>
          <w:sz w:val="28"/>
          <w:szCs w:val="24"/>
          <w:highlight w:val="none"/>
        </w:rPr>
      </w:pPr>
      <w:r>
        <w:rPr>
          <w:rFonts w:hint="eastAsia" w:asciiTheme="minorEastAsia" w:hAnsiTheme="minorEastAsia" w:eastAsiaTheme="minorEastAsia" w:cstheme="minorEastAsia"/>
          <w:b/>
          <w:bCs/>
          <w:color w:val="auto"/>
          <w:kern w:val="0"/>
          <w:sz w:val="28"/>
          <w:szCs w:val="24"/>
          <w:highlight w:val="none"/>
        </w:rPr>
        <w:t>符合性审查表</w:t>
      </w:r>
    </w:p>
    <w:tbl>
      <w:tblPr>
        <w:tblStyle w:val="39"/>
        <w:tblW w:w="0" w:type="auto"/>
        <w:jc w:val="center"/>
        <w:tblLayout w:type="autofit"/>
        <w:tblCellMar>
          <w:top w:w="0" w:type="dxa"/>
          <w:left w:w="108" w:type="dxa"/>
          <w:bottom w:w="0" w:type="dxa"/>
          <w:right w:w="108" w:type="dxa"/>
        </w:tblCellMar>
      </w:tblPr>
      <w:tblGrid>
        <w:gridCol w:w="958"/>
        <w:gridCol w:w="861"/>
        <w:gridCol w:w="7217"/>
      </w:tblGrid>
      <w:tr w14:paraId="2B95A430">
        <w:tblPrEx>
          <w:tblCellMar>
            <w:top w:w="0" w:type="dxa"/>
            <w:left w:w="108" w:type="dxa"/>
            <w:bottom w:w="0" w:type="dxa"/>
            <w:right w:w="108" w:type="dxa"/>
          </w:tblCellMar>
        </w:tblPrEx>
        <w:trPr>
          <w:trHeight w:val="488" w:hRule="exact"/>
          <w:jc w:val="center"/>
        </w:trPr>
        <w:tc>
          <w:tcPr>
            <w:tcW w:w="958" w:type="dxa"/>
            <w:vMerge w:val="restart"/>
            <w:tcBorders>
              <w:top w:val="single" w:color="000000" w:sz="4" w:space="0"/>
              <w:left w:val="single" w:color="000000" w:sz="4" w:space="0"/>
              <w:right w:val="single" w:color="000000" w:sz="4" w:space="0"/>
              <w:tl2br w:val="nil"/>
              <w:tr2bl w:val="nil"/>
            </w:tcBorders>
            <w:shd w:val="clear" w:color="auto" w:fill="FFFFFF"/>
          </w:tcPr>
          <w:p w14:paraId="4B0C9354">
            <w:pPr>
              <w:jc w:val="center"/>
              <w:rPr>
                <w:rFonts w:asciiTheme="minorEastAsia" w:hAnsiTheme="minorEastAsia" w:cstheme="minorEastAsia"/>
                <w:color w:val="auto"/>
                <w:szCs w:val="21"/>
                <w:highlight w:val="none"/>
              </w:rPr>
            </w:pPr>
          </w:p>
          <w:p w14:paraId="3FF7C42E">
            <w:pPr>
              <w:jc w:val="center"/>
              <w:rPr>
                <w:rFonts w:asciiTheme="minorEastAsia" w:hAnsiTheme="minorEastAsia" w:cstheme="minorEastAsia"/>
                <w:color w:val="auto"/>
                <w:szCs w:val="21"/>
                <w:highlight w:val="none"/>
              </w:rPr>
            </w:pPr>
          </w:p>
          <w:p w14:paraId="76630FE3">
            <w:pPr>
              <w:jc w:val="center"/>
              <w:rPr>
                <w:rFonts w:asciiTheme="minorEastAsia" w:hAnsiTheme="minorEastAsia" w:cstheme="minorEastAsia"/>
                <w:color w:val="auto"/>
                <w:szCs w:val="21"/>
                <w:highlight w:val="none"/>
              </w:rPr>
            </w:pPr>
          </w:p>
          <w:p w14:paraId="2659C4F8">
            <w:pPr>
              <w:jc w:val="center"/>
              <w:rPr>
                <w:rFonts w:asciiTheme="minorEastAsia" w:hAnsiTheme="minorEastAsia" w:cstheme="minorEastAsia"/>
                <w:color w:val="auto"/>
                <w:szCs w:val="21"/>
                <w:highlight w:val="none"/>
              </w:rPr>
            </w:pPr>
          </w:p>
          <w:p w14:paraId="2C325A1C">
            <w:pPr>
              <w:pStyle w:val="11"/>
              <w:rPr>
                <w:rFonts w:asciiTheme="minorEastAsia" w:hAnsiTheme="minorEastAsia" w:cstheme="minorEastAsia"/>
                <w:color w:val="auto"/>
                <w:szCs w:val="21"/>
                <w:highlight w:val="none"/>
              </w:rPr>
            </w:pPr>
          </w:p>
          <w:p w14:paraId="0EAFE435">
            <w:pPr>
              <w:rPr>
                <w:rFonts w:asciiTheme="minorEastAsia" w:hAnsiTheme="minorEastAsia" w:cstheme="minorEastAsia"/>
                <w:color w:val="auto"/>
                <w:szCs w:val="21"/>
                <w:highlight w:val="none"/>
              </w:rPr>
            </w:pPr>
          </w:p>
          <w:p w14:paraId="587F6FE7">
            <w:pPr>
              <w:pStyle w:val="11"/>
              <w:rPr>
                <w:rFonts w:asciiTheme="minorEastAsia" w:hAnsiTheme="minorEastAsia" w:cstheme="minorEastAsia"/>
                <w:color w:val="auto"/>
                <w:szCs w:val="21"/>
                <w:highlight w:val="none"/>
              </w:rPr>
            </w:pPr>
          </w:p>
          <w:p w14:paraId="5279273B">
            <w:pPr>
              <w:rPr>
                <w:color w:val="auto"/>
                <w:highlight w:val="none"/>
              </w:rPr>
            </w:pPr>
          </w:p>
          <w:p w14:paraId="4BC04B20">
            <w:pPr>
              <w:jc w:val="center"/>
              <w:rPr>
                <w:rFonts w:asciiTheme="minorEastAsia" w:hAnsiTheme="minorEastAsia" w:cstheme="minorEastAsia"/>
                <w:color w:val="auto"/>
                <w:szCs w:val="21"/>
                <w:highlight w:val="none"/>
              </w:rPr>
            </w:pPr>
          </w:p>
          <w:p w14:paraId="4881F708">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符合性</w:t>
            </w:r>
          </w:p>
          <w:p w14:paraId="3F350CD4">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审查</w:t>
            </w: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22AD4067">
            <w:pPr>
              <w:jc w:val="center"/>
              <w:rPr>
                <w:rFonts w:hint="eastAsia"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7BC297">
            <w:pPr>
              <w:jc w:val="both"/>
              <w:rPr>
                <w:color w:val="auto"/>
                <w:sz w:val="24"/>
                <w:highlight w:val="none"/>
              </w:rPr>
            </w:pPr>
            <w:r>
              <w:rPr>
                <w:rFonts w:hint="eastAsia"/>
                <w:color w:val="auto"/>
                <w:sz w:val="24"/>
                <w:highlight w:val="none"/>
              </w:rPr>
              <w:t>投标人名称是否与营业执照一致</w:t>
            </w:r>
          </w:p>
        </w:tc>
      </w:tr>
      <w:tr w14:paraId="725962EC">
        <w:tblPrEx>
          <w:tblCellMar>
            <w:top w:w="0" w:type="dxa"/>
            <w:left w:w="108" w:type="dxa"/>
            <w:bottom w:w="0" w:type="dxa"/>
            <w:right w:w="108" w:type="dxa"/>
          </w:tblCellMar>
        </w:tblPrEx>
        <w:trPr>
          <w:trHeight w:val="537"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1C283280">
            <w:pPr>
              <w:jc w:val="center"/>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6E68B9C1">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34E1DD">
            <w:pPr>
              <w:jc w:val="both"/>
              <w:rPr>
                <w:color w:val="auto"/>
                <w:sz w:val="24"/>
                <w:highlight w:val="none"/>
              </w:rPr>
            </w:pPr>
            <w:r>
              <w:rPr>
                <w:rFonts w:hint="eastAsia"/>
                <w:color w:val="auto"/>
                <w:sz w:val="24"/>
                <w:highlight w:val="none"/>
              </w:rPr>
              <w:t>按招标文件规定要求签署、盖章的</w:t>
            </w:r>
          </w:p>
        </w:tc>
      </w:tr>
      <w:tr w14:paraId="075A1E14">
        <w:tblPrEx>
          <w:tblCellMar>
            <w:top w:w="0" w:type="dxa"/>
            <w:left w:w="108" w:type="dxa"/>
            <w:bottom w:w="0" w:type="dxa"/>
            <w:right w:w="108" w:type="dxa"/>
          </w:tblCellMar>
        </w:tblPrEx>
        <w:trPr>
          <w:trHeight w:val="517"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0643B984">
            <w:pPr>
              <w:jc w:val="center"/>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482EC195">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9EA7C">
            <w:pPr>
              <w:jc w:val="both"/>
              <w:rPr>
                <w:color w:val="auto"/>
                <w:sz w:val="24"/>
                <w:highlight w:val="none"/>
              </w:rPr>
            </w:pPr>
            <w:r>
              <w:rPr>
                <w:rFonts w:hint="eastAsia"/>
                <w:color w:val="auto"/>
                <w:sz w:val="24"/>
                <w:highlight w:val="none"/>
              </w:rPr>
              <w:t>符合采购文件要求，投标有效期</w:t>
            </w:r>
            <w:r>
              <w:rPr>
                <w:rFonts w:hint="eastAsia"/>
                <w:b/>
                <w:bCs/>
                <w:color w:val="auto"/>
                <w:sz w:val="24"/>
                <w:highlight w:val="none"/>
              </w:rPr>
              <w:t>90天</w:t>
            </w:r>
          </w:p>
        </w:tc>
      </w:tr>
      <w:tr w14:paraId="08EF3194">
        <w:tblPrEx>
          <w:tblCellMar>
            <w:top w:w="0" w:type="dxa"/>
            <w:left w:w="108" w:type="dxa"/>
            <w:bottom w:w="0" w:type="dxa"/>
            <w:right w:w="108" w:type="dxa"/>
          </w:tblCellMar>
        </w:tblPrEx>
        <w:trPr>
          <w:trHeight w:val="582"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3A26F277">
            <w:pPr>
              <w:spacing w:line="403" w:lineRule="exact"/>
              <w:ind w:left="108"/>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76DA676A">
            <w:pPr>
              <w:spacing w:line="403" w:lineRule="exact"/>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967ADA">
            <w:pPr>
              <w:jc w:val="both"/>
              <w:rPr>
                <w:rFonts w:hint="eastAsia" w:eastAsia="宋体"/>
                <w:color w:val="auto"/>
                <w:sz w:val="24"/>
                <w:highlight w:val="none"/>
                <w:lang w:val="en-US" w:eastAsia="zh-CN"/>
              </w:rPr>
            </w:pPr>
            <w:r>
              <w:rPr>
                <w:rFonts w:hint="eastAsia"/>
                <w:color w:val="auto"/>
                <w:sz w:val="24"/>
                <w:highlight w:val="none"/>
              </w:rPr>
              <w:t>投标文件是否按照招标文件要求编写、</w:t>
            </w:r>
            <w:r>
              <w:rPr>
                <w:rFonts w:hint="eastAsia"/>
                <w:color w:val="auto"/>
                <w:sz w:val="24"/>
                <w:highlight w:val="none"/>
                <w:lang w:val="en-US" w:eastAsia="zh-CN"/>
              </w:rPr>
              <w:t>加密</w:t>
            </w:r>
          </w:p>
        </w:tc>
      </w:tr>
      <w:tr w14:paraId="6067AE7D">
        <w:tblPrEx>
          <w:tblCellMar>
            <w:top w:w="0" w:type="dxa"/>
            <w:left w:w="108" w:type="dxa"/>
            <w:bottom w:w="0" w:type="dxa"/>
            <w:right w:w="108" w:type="dxa"/>
          </w:tblCellMar>
        </w:tblPrEx>
        <w:trPr>
          <w:trHeight w:val="573"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2DF252E8">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FB16F01">
            <w:pPr>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9FCAF3">
            <w:pPr>
              <w:jc w:val="both"/>
              <w:rPr>
                <w:color w:val="auto"/>
                <w:sz w:val="24"/>
                <w:highlight w:val="none"/>
              </w:rPr>
            </w:pPr>
            <w:r>
              <w:rPr>
                <w:rFonts w:hint="eastAsia" w:ascii="宋体" w:hAnsi="宋体" w:cs="宋体"/>
                <w:color w:val="auto"/>
                <w:sz w:val="24"/>
                <w:highlight w:val="none"/>
              </w:rPr>
              <w:t>投标报价不得超过控制价</w:t>
            </w:r>
          </w:p>
        </w:tc>
      </w:tr>
      <w:tr w14:paraId="14888B01">
        <w:tblPrEx>
          <w:tblCellMar>
            <w:top w:w="0" w:type="dxa"/>
            <w:left w:w="108" w:type="dxa"/>
            <w:bottom w:w="0" w:type="dxa"/>
            <w:right w:w="108" w:type="dxa"/>
          </w:tblCellMar>
        </w:tblPrEx>
        <w:trPr>
          <w:trHeight w:val="499"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7AED3CEB">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3CCA5F88">
            <w:pPr>
              <w:spacing w:line="441" w:lineRule="exact"/>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F09D7C">
            <w:pPr>
              <w:jc w:val="both"/>
              <w:rPr>
                <w:color w:val="auto"/>
                <w:sz w:val="24"/>
                <w:highlight w:val="none"/>
              </w:rPr>
            </w:pPr>
            <w:r>
              <w:rPr>
                <w:rFonts w:hint="eastAsia"/>
                <w:color w:val="auto"/>
                <w:sz w:val="24"/>
                <w:highlight w:val="none"/>
              </w:rPr>
              <w:t>投标文件是否附有招标人不能接受的条件</w:t>
            </w:r>
          </w:p>
        </w:tc>
      </w:tr>
      <w:tr w14:paraId="03459E9B">
        <w:tblPrEx>
          <w:tblCellMar>
            <w:top w:w="0" w:type="dxa"/>
            <w:left w:w="108" w:type="dxa"/>
            <w:bottom w:w="0" w:type="dxa"/>
            <w:right w:w="108" w:type="dxa"/>
          </w:tblCellMar>
        </w:tblPrEx>
        <w:trPr>
          <w:trHeight w:val="555"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0612F4CA">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7F9EFBB7">
            <w:pPr>
              <w:spacing w:line="441" w:lineRule="exact"/>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53DA67">
            <w:pPr>
              <w:jc w:val="both"/>
              <w:rPr>
                <w:color w:val="auto"/>
                <w:sz w:val="24"/>
                <w:highlight w:val="none"/>
              </w:rPr>
            </w:pPr>
            <w:r>
              <w:rPr>
                <w:rFonts w:hint="eastAsia"/>
                <w:color w:val="auto"/>
                <w:sz w:val="24"/>
                <w:highlight w:val="none"/>
              </w:rPr>
              <w:t>投标人是否有违反招标投标纪律的</w:t>
            </w:r>
          </w:p>
        </w:tc>
      </w:tr>
      <w:tr w14:paraId="1B59CD98">
        <w:tblPrEx>
          <w:tblCellMar>
            <w:top w:w="0" w:type="dxa"/>
            <w:left w:w="108" w:type="dxa"/>
            <w:bottom w:w="0" w:type="dxa"/>
            <w:right w:w="108" w:type="dxa"/>
          </w:tblCellMar>
        </w:tblPrEx>
        <w:trPr>
          <w:trHeight w:val="517"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5DA470E6">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428EB1DF">
            <w:pPr>
              <w:spacing w:line="441" w:lineRule="exact"/>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8</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897478">
            <w:pPr>
              <w:jc w:val="both"/>
              <w:rPr>
                <w:color w:val="auto"/>
                <w:sz w:val="24"/>
                <w:highlight w:val="none"/>
              </w:rPr>
            </w:pPr>
            <w:r>
              <w:rPr>
                <w:rFonts w:hint="eastAsia"/>
                <w:color w:val="auto"/>
                <w:sz w:val="24"/>
                <w:highlight w:val="none"/>
              </w:rPr>
              <w:t>是否符合招标文件中规定的其他实质性要求</w:t>
            </w:r>
          </w:p>
        </w:tc>
      </w:tr>
      <w:tr w14:paraId="3643C63B">
        <w:tblPrEx>
          <w:tblCellMar>
            <w:top w:w="0" w:type="dxa"/>
            <w:left w:w="108" w:type="dxa"/>
            <w:bottom w:w="0" w:type="dxa"/>
            <w:right w:w="108" w:type="dxa"/>
          </w:tblCellMar>
        </w:tblPrEx>
        <w:trPr>
          <w:trHeight w:val="528" w:hRule="exact"/>
          <w:jc w:val="center"/>
        </w:trPr>
        <w:tc>
          <w:tcPr>
            <w:tcW w:w="958" w:type="dxa"/>
            <w:vMerge w:val="continue"/>
            <w:tcBorders>
              <w:left w:val="single" w:color="000000" w:sz="4" w:space="0"/>
              <w:right w:val="single" w:color="000000" w:sz="4" w:space="0"/>
              <w:tl2br w:val="nil"/>
              <w:tr2bl w:val="nil"/>
            </w:tcBorders>
            <w:shd w:val="clear" w:color="auto" w:fill="FFFFFF"/>
          </w:tcPr>
          <w:p w14:paraId="3B9EDF6A">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464971E1">
            <w:pPr>
              <w:spacing w:line="441" w:lineRule="exact"/>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9</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9D19CC">
            <w:pPr>
              <w:jc w:val="both"/>
              <w:rPr>
                <w:color w:val="auto"/>
                <w:sz w:val="24"/>
                <w:highlight w:val="none"/>
              </w:rPr>
            </w:pPr>
            <w:r>
              <w:rPr>
                <w:rFonts w:hint="eastAsia"/>
                <w:color w:val="auto"/>
                <w:sz w:val="24"/>
                <w:highlight w:val="none"/>
              </w:rPr>
              <w:t>商务条款未有偏离情况的</w:t>
            </w:r>
          </w:p>
        </w:tc>
      </w:tr>
      <w:tr w14:paraId="0E580F9E">
        <w:tblPrEx>
          <w:tblCellMar>
            <w:top w:w="0" w:type="dxa"/>
            <w:left w:w="108" w:type="dxa"/>
            <w:bottom w:w="0" w:type="dxa"/>
            <w:right w:w="108" w:type="dxa"/>
          </w:tblCellMar>
        </w:tblPrEx>
        <w:trPr>
          <w:trHeight w:val="535" w:hRule="exact"/>
          <w:jc w:val="center"/>
        </w:trPr>
        <w:tc>
          <w:tcPr>
            <w:tcW w:w="958" w:type="dxa"/>
            <w:vMerge w:val="continue"/>
            <w:tcBorders>
              <w:left w:val="single" w:color="000000" w:sz="4" w:space="0"/>
              <w:bottom w:val="single" w:color="000000" w:sz="4" w:space="0"/>
              <w:right w:val="single" w:color="000000" w:sz="4" w:space="0"/>
              <w:tl2br w:val="nil"/>
              <w:tr2bl w:val="nil"/>
            </w:tcBorders>
            <w:shd w:val="clear" w:color="auto" w:fill="FFFFFF"/>
          </w:tcPr>
          <w:p w14:paraId="7C72345C">
            <w:pPr>
              <w:spacing w:line="3106" w:lineRule="exact"/>
              <w:ind w:left="239"/>
              <w:jc w:val="left"/>
              <w:rPr>
                <w:rFonts w:asciiTheme="minorEastAsia" w:hAnsiTheme="minorEastAsia" w:cstheme="minorEastAsia"/>
                <w:color w:val="auto"/>
                <w:szCs w:val="21"/>
                <w:highlight w:val="none"/>
              </w:rPr>
            </w:pPr>
          </w:p>
        </w:tc>
        <w:tc>
          <w:tcPr>
            <w:tcW w:w="861"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14:paraId="038FEAA9">
            <w:pPr>
              <w:spacing w:line="441" w:lineRule="exact"/>
              <w:jc w:val="center"/>
              <w:rPr>
                <w:rFonts w:hint="eastAsia"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en-US" w:eastAsia="zh-CN"/>
              </w:rPr>
              <w:t>0</w:t>
            </w:r>
          </w:p>
        </w:tc>
        <w:tc>
          <w:tcPr>
            <w:tcW w:w="72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CEA65A">
            <w:pPr>
              <w:jc w:val="both"/>
              <w:rPr>
                <w:color w:val="auto"/>
                <w:sz w:val="24"/>
                <w:highlight w:val="none"/>
              </w:rPr>
            </w:pPr>
            <w:r>
              <w:rPr>
                <w:rFonts w:hint="eastAsia"/>
                <w:color w:val="auto"/>
                <w:sz w:val="24"/>
                <w:highlight w:val="none"/>
              </w:rPr>
              <w:t>符合招标文件的规定</w:t>
            </w:r>
          </w:p>
        </w:tc>
      </w:tr>
    </w:tbl>
    <w:p w14:paraId="1ADF7B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p>
    <w:p w14:paraId="395065E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备注：如果投标文件中有一项未通过上述审查标准，评标小组将认定整个投标文件不响应采购文件而予以无效处理，并且不允许供应商通过修改或撤销其不符合要求的差异或保留，使之成为具有响应性的投标。</w:t>
      </w:r>
    </w:p>
    <w:p w14:paraId="0FF8706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在响应文件符合性审查过程中，如果出现磋商小组成员意见不一致的情况，按照少数服从多数的原则确定，但不得违背政府采购基本原则和采购文件规定。</w:t>
      </w:r>
    </w:p>
    <w:p w14:paraId="7A663D5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3.2.2 </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08ABEB5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投标文件的范围或者改变响应文件的实质性内容。</w:t>
      </w:r>
      <w:bookmarkStart w:id="159" w:name="_Toc183682422"/>
      <w:bookmarkEnd w:id="159"/>
      <w:bookmarkStart w:id="160" w:name="_Toc183582287"/>
      <w:bookmarkEnd w:id="160"/>
      <w:bookmarkStart w:id="161" w:name="_Toc217446104"/>
      <w:bookmarkEnd w:id="161"/>
    </w:p>
    <w:p w14:paraId="0982789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3.4比较与评价。按采购文件中规定的评标方法和标准，对符合性审查合格的响应文件进行商务、技术和服务评估，综合比较与评价。</w:t>
      </w:r>
    </w:p>
    <w:p w14:paraId="2476221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2F079F4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w:t>
      </w:r>
      <w:r>
        <w:rPr>
          <w:rFonts w:hint="eastAsia" w:ascii="宋体" w:hAnsi="宋体" w:cs="宋体"/>
          <w:bCs/>
          <w:color w:val="auto"/>
          <w:sz w:val="24"/>
          <w:szCs w:val="24"/>
          <w:highlight w:val="none"/>
          <w:lang w:eastAsia="zh-CN"/>
        </w:rPr>
        <w:t>磋商报价</w:t>
      </w:r>
      <w:r>
        <w:rPr>
          <w:rFonts w:hint="eastAsia" w:ascii="宋体" w:hAnsi="宋体" w:eastAsia="宋体" w:cs="宋体"/>
          <w:bCs/>
          <w:color w:val="auto"/>
          <w:sz w:val="24"/>
          <w:szCs w:val="24"/>
          <w:highlight w:val="none"/>
          <w:lang w:eastAsia="zh-CN"/>
        </w:rPr>
        <w:t>由低到高顺序排列</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得分且</w:t>
      </w:r>
      <w:r>
        <w:rPr>
          <w:rFonts w:hint="eastAsia" w:ascii="宋体" w:hAnsi="宋体" w:cs="宋体"/>
          <w:bCs/>
          <w:color w:val="auto"/>
          <w:sz w:val="24"/>
          <w:szCs w:val="24"/>
          <w:highlight w:val="none"/>
          <w:lang w:eastAsia="zh-CN"/>
        </w:rPr>
        <w:t>磋商报价</w:t>
      </w:r>
      <w:r>
        <w:rPr>
          <w:rFonts w:hint="eastAsia" w:ascii="宋体" w:hAnsi="宋体" w:eastAsia="宋体" w:cs="宋体"/>
          <w:bCs/>
          <w:color w:val="auto"/>
          <w:sz w:val="24"/>
          <w:szCs w:val="24"/>
          <w:highlight w:val="none"/>
          <w:lang w:eastAsia="zh-CN"/>
        </w:rPr>
        <w:t>相同</w:t>
      </w:r>
      <w:r>
        <w:rPr>
          <w:rFonts w:hint="eastAsia" w:ascii="宋体" w:hAnsi="宋体" w:cs="宋体"/>
          <w:bCs/>
          <w:color w:val="auto"/>
          <w:sz w:val="24"/>
          <w:szCs w:val="24"/>
          <w:highlight w:val="none"/>
          <w:lang w:val="en-US" w:eastAsia="zh-CN"/>
        </w:rPr>
        <w:t>的，按技术指标由高到低</w:t>
      </w:r>
      <w:r>
        <w:rPr>
          <w:rFonts w:hint="eastAsia" w:ascii="宋体" w:hAnsi="宋体" w:eastAsia="宋体" w:cs="宋体"/>
          <w:bCs/>
          <w:color w:val="auto"/>
          <w:sz w:val="24"/>
          <w:szCs w:val="24"/>
          <w:highlight w:val="none"/>
          <w:lang w:eastAsia="zh-CN"/>
        </w:rPr>
        <w:t>排序。</w:t>
      </w:r>
    </w:p>
    <w:p w14:paraId="451F5CB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3.6编写评标报告。评标报告是磋商小组根据全体评标成员签字的原始评标记录和评标结果编写的报告，其主要内容包括：</w:t>
      </w:r>
    </w:p>
    <w:p w14:paraId="7D3457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05B04B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（2）购买采购文件的供应商名单和磋商小组成员名单；</w:t>
      </w:r>
    </w:p>
    <w:p w14:paraId="686B1A3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3542B4A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0F4B79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178A950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2" w:name="_Toc217446103"/>
      <w:r>
        <w:rPr>
          <w:rFonts w:hint="eastAsia" w:ascii="宋体" w:hAnsi="宋体" w:eastAsia="宋体" w:cs="宋体"/>
          <w:bCs/>
          <w:color w:val="auto"/>
          <w:sz w:val="24"/>
          <w:szCs w:val="24"/>
          <w:highlight w:val="none"/>
          <w:lang w:eastAsia="zh-CN"/>
        </w:rPr>
        <w:t>4. 评标细则及标准</w:t>
      </w:r>
      <w:bookmarkEnd w:id="162"/>
    </w:p>
    <w:p w14:paraId="21348E4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 磋商小组只对通过符合性审查的响应文件，根据采购文件的要求采用相同的评标程序、评分办法及标准进行评价和比较。</w:t>
      </w:r>
    </w:p>
    <w:p w14:paraId="7BC1EBD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 本次综合评分的因素是：价格、服务、业绩、对采购文件的响应程度和（如涉及）节能、环境标志产品及投标文件规范性等。</w:t>
      </w:r>
    </w:p>
    <w:p w14:paraId="66AAB27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 除价格因素外，磋商小组成员应依据响应文件规定的评分标准和方法独立对其他因素进行比较打分。</w:t>
      </w:r>
    </w:p>
    <w:p w14:paraId="619F9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 在评标过程中，响应文件有下列情况之一，磋商小组成员应当按照采购文件规定的非实质性偏离进行扣分：</w:t>
      </w:r>
    </w:p>
    <w:p w14:paraId="1588311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01096E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（2）响应文件未编制目录、页码；</w:t>
      </w:r>
    </w:p>
    <w:p w14:paraId="0124F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2D9E03F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48DEF98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787B723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4.5.1综合评审标准的制定以科学合理、降低磋商小组自由裁量权为原则。</w:t>
      </w:r>
    </w:p>
    <w:p w14:paraId="3BA26A7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4.5.2磋商小组将按照下述评审标准对通过符合性审查的响应文件进行详细评审，供应商评审得分等于所有评委评分的算术平均值，结果保留两位小数。</w:t>
      </w:r>
    </w:p>
    <w:p w14:paraId="2339A50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p w14:paraId="39EB6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2283"/>
        <w:gridCol w:w="2593"/>
        <w:gridCol w:w="2953"/>
      </w:tblGrid>
      <w:tr w14:paraId="44C1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08E62D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108560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593" w:type="dxa"/>
            <w:tcBorders>
              <w:top w:val="single" w:color="auto" w:sz="4" w:space="0"/>
              <w:left w:val="single" w:color="auto" w:sz="4" w:space="0"/>
              <w:bottom w:val="single" w:color="auto" w:sz="4" w:space="0"/>
              <w:right w:val="single" w:color="auto" w:sz="4" w:space="0"/>
            </w:tcBorders>
            <w:noWrap w:val="0"/>
            <w:vAlign w:val="center"/>
          </w:tcPr>
          <w:p w14:paraId="227C42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101E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r>
      <w:tr w14:paraId="73D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25A8DB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评标因素</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7955F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磋商报价</w:t>
            </w:r>
          </w:p>
        </w:tc>
        <w:tc>
          <w:tcPr>
            <w:tcW w:w="2593" w:type="dxa"/>
            <w:tcBorders>
              <w:top w:val="single" w:color="auto" w:sz="4" w:space="0"/>
              <w:left w:val="single" w:color="auto" w:sz="4" w:space="0"/>
              <w:bottom w:val="single" w:color="auto" w:sz="4" w:space="0"/>
              <w:right w:val="single" w:color="auto" w:sz="4" w:space="0"/>
            </w:tcBorders>
            <w:noWrap w:val="0"/>
            <w:vAlign w:val="center"/>
          </w:tcPr>
          <w:p w14:paraId="4CBDC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技术、商务部分</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E5368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合计</w:t>
            </w:r>
          </w:p>
        </w:tc>
      </w:tr>
      <w:tr w14:paraId="6128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3DCAA0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权重</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0911FD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tc>
        <w:tc>
          <w:tcPr>
            <w:tcW w:w="2593" w:type="dxa"/>
            <w:tcBorders>
              <w:top w:val="single" w:color="auto" w:sz="4" w:space="0"/>
              <w:left w:val="single" w:color="auto" w:sz="4" w:space="0"/>
              <w:bottom w:val="single" w:color="auto" w:sz="4" w:space="0"/>
              <w:right w:val="single" w:color="auto" w:sz="4" w:space="0"/>
            </w:tcBorders>
            <w:noWrap w:val="0"/>
            <w:vAlign w:val="center"/>
          </w:tcPr>
          <w:p w14:paraId="35D265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4A1F6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100%</w:t>
            </w:r>
          </w:p>
        </w:tc>
      </w:tr>
    </w:tbl>
    <w:p w14:paraId="1EF729EA">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rPr>
      </w:pPr>
    </w:p>
    <w:p w14:paraId="6A7E933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4.5.3 </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w:t>
      </w:r>
      <w:r>
        <w:rPr>
          <w:rFonts w:hint="eastAsia" w:ascii="宋体" w:hAnsi="宋体" w:cs="宋体"/>
          <w:bCs/>
          <w:color w:val="auto"/>
          <w:sz w:val="24"/>
          <w:szCs w:val="24"/>
          <w:highlight w:val="none"/>
          <w:lang w:eastAsia="zh-CN"/>
        </w:rPr>
        <w:t>磋商报价</w:t>
      </w:r>
      <w:r>
        <w:rPr>
          <w:rFonts w:hint="eastAsia" w:ascii="宋体" w:hAnsi="宋体" w:eastAsia="宋体" w:cs="宋体"/>
          <w:bCs/>
          <w:color w:val="auto"/>
          <w:sz w:val="24"/>
          <w:szCs w:val="24"/>
          <w:highlight w:val="none"/>
          <w:lang w:eastAsia="zh-CN"/>
        </w:rPr>
        <w:t>为评标基准价，其价格得分为满分。其他投标人的价格得分统一按照下列公式计算：价格得分=（评标基准价/</w:t>
      </w:r>
      <w:r>
        <w:rPr>
          <w:rFonts w:hint="eastAsia" w:ascii="宋体" w:hAnsi="宋体" w:cs="宋体"/>
          <w:bCs/>
          <w:color w:val="auto"/>
          <w:sz w:val="24"/>
          <w:szCs w:val="24"/>
          <w:highlight w:val="none"/>
          <w:lang w:eastAsia="zh-CN"/>
        </w:rPr>
        <w:t>磋商报价</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报价权重</w:t>
      </w:r>
      <w:r>
        <w:rPr>
          <w:rFonts w:hint="eastAsia" w:ascii="宋体" w:hAnsi="宋体" w:eastAsia="宋体" w:cs="宋体"/>
          <w:bCs/>
          <w:color w:val="auto"/>
          <w:sz w:val="24"/>
          <w:szCs w:val="24"/>
          <w:highlight w:val="none"/>
          <w:lang w:eastAsia="zh-CN"/>
        </w:rPr>
        <w:t>×100，如此类推，算出所有投标供应商的价格得分。</w:t>
      </w:r>
    </w:p>
    <w:p w14:paraId="573A639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71B850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3F4E346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10EEB46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3C408F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5FC942D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06CD933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5E1E3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61E0DA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2931FA7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51316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5B52804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17CAE1C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4F73F36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4038F96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12212E3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5A85228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14:paraId="78561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29A566FC">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B1474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 报价评审标准</w:t>
      </w:r>
    </w:p>
    <w:p w14:paraId="6CEEC2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报价评</w:t>
      </w:r>
      <w:r>
        <w:rPr>
          <w:rFonts w:hint="eastAsia" w:ascii="宋体" w:hAnsi="宋体" w:cs="宋体"/>
          <w:b/>
          <w:bCs/>
          <w:color w:val="auto"/>
          <w:sz w:val="24"/>
          <w:szCs w:val="24"/>
          <w:highlight w:val="none"/>
          <w:lang w:eastAsia="zh-CN"/>
        </w:rPr>
        <w:t>审</w:t>
      </w:r>
      <w:r>
        <w:rPr>
          <w:rFonts w:hint="eastAsia" w:ascii="宋体" w:hAnsi="宋体" w:cs="宋体"/>
          <w:b/>
          <w:bCs/>
          <w:color w:val="auto"/>
          <w:sz w:val="24"/>
          <w:szCs w:val="24"/>
          <w:highlight w:val="none"/>
        </w:rPr>
        <w:t>标准（</w:t>
      </w:r>
      <w:r>
        <w:rPr>
          <w:rFonts w:hint="eastAsia" w:ascii="宋体" w:hAnsi="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3</w:t>
      </w:r>
      <w:r>
        <w:rPr>
          <w:rFonts w:hint="eastAsia" w:ascii="宋体" w:hAnsi="宋体" w:cs="宋体"/>
          <w:b/>
          <w:color w:val="auto"/>
          <w:spacing w:val="-2"/>
          <w:sz w:val="24"/>
          <w:szCs w:val="24"/>
          <w:highlight w:val="none"/>
        </w:rPr>
        <w:t>0%</w:t>
      </w:r>
      <w:r>
        <w:rPr>
          <w:rFonts w:hint="eastAsia" w:ascii="宋体" w:hAnsi="宋体" w:cs="宋体"/>
          <w:b/>
          <w:bCs/>
          <w:color w:val="auto"/>
          <w:sz w:val="24"/>
          <w:szCs w:val="24"/>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49"/>
        <w:gridCol w:w="7690"/>
      </w:tblGrid>
      <w:tr w14:paraId="34E9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9" w:type="dxa"/>
            <w:noWrap w:val="0"/>
            <w:vAlign w:val="center"/>
          </w:tcPr>
          <w:p w14:paraId="5CFA764E">
            <w:pPr>
              <w:autoSpaceDE w:val="0"/>
              <w:autoSpaceDN w:val="0"/>
              <w:adjustRightInd w:val="0"/>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1349" w:type="dxa"/>
            <w:noWrap w:val="0"/>
            <w:vAlign w:val="center"/>
          </w:tcPr>
          <w:p w14:paraId="0550D484">
            <w:pPr>
              <w:autoSpaceDE w:val="0"/>
              <w:autoSpaceDN w:val="0"/>
              <w:adjustRightInd w:val="0"/>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评审因素</w:t>
            </w:r>
          </w:p>
        </w:tc>
        <w:tc>
          <w:tcPr>
            <w:tcW w:w="7690" w:type="dxa"/>
            <w:noWrap w:val="0"/>
            <w:vAlign w:val="center"/>
          </w:tcPr>
          <w:p w14:paraId="602745D5">
            <w:pPr>
              <w:autoSpaceDE w:val="0"/>
              <w:autoSpaceDN w:val="0"/>
              <w:adjustRightInd w:val="0"/>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评分标准</w:t>
            </w:r>
          </w:p>
        </w:tc>
      </w:tr>
      <w:tr w14:paraId="119F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9" w:type="dxa"/>
            <w:vMerge w:val="restart"/>
            <w:noWrap w:val="0"/>
            <w:vAlign w:val="center"/>
          </w:tcPr>
          <w:p w14:paraId="50B9AFAB">
            <w:pPr>
              <w:autoSpaceDE w:val="0"/>
              <w:autoSpaceDN w:val="0"/>
              <w:adjustRightInd w:val="0"/>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w:t>
            </w:r>
          </w:p>
        </w:tc>
        <w:tc>
          <w:tcPr>
            <w:tcW w:w="1349" w:type="dxa"/>
            <w:vMerge w:val="restart"/>
            <w:noWrap w:val="0"/>
            <w:vAlign w:val="center"/>
          </w:tcPr>
          <w:p w14:paraId="15897B05">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lang w:val="zh-CN"/>
              </w:rPr>
              <w:t>磋商报价</w:t>
            </w:r>
          </w:p>
        </w:tc>
        <w:tc>
          <w:tcPr>
            <w:tcW w:w="7690" w:type="dxa"/>
            <w:noWrap w:val="0"/>
            <w:vAlign w:val="center"/>
          </w:tcPr>
          <w:p w14:paraId="72037081">
            <w:pPr>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评标基准价即满足磋商文件要求且投标价格最低的投标报价。</w:t>
            </w:r>
          </w:p>
          <w:p w14:paraId="037FC909">
            <w:pPr>
              <w:autoSpaceDE w:val="0"/>
              <w:autoSpaceDN w:val="0"/>
              <w:adjustRightInd w:val="0"/>
              <w:rPr>
                <w:rFonts w:hint="eastAsia" w:ascii="宋体" w:hAnsi="宋体" w:cs="宋体"/>
                <w:color w:val="auto"/>
                <w:sz w:val="24"/>
                <w:highlight w:val="none"/>
              </w:rPr>
            </w:pPr>
            <w:r>
              <w:rPr>
                <w:rFonts w:hint="eastAsia" w:ascii="宋体" w:hAnsi="宋体" w:cs="宋体"/>
                <w:color w:val="auto"/>
                <w:sz w:val="24"/>
                <w:highlight w:val="none"/>
                <w:lang w:val="zh-CN"/>
              </w:rPr>
              <w:t>磋商报价得分=（评标基准价/投标报价）×</w:t>
            </w:r>
            <w:r>
              <w:rPr>
                <w:rFonts w:hint="eastAsia" w:ascii="宋体" w:hAnsi="宋体" w:cs="宋体"/>
                <w:color w:val="auto"/>
                <w:sz w:val="24"/>
                <w:highlight w:val="none"/>
              </w:rPr>
              <w:t>报价部分权重×100</w:t>
            </w:r>
          </w:p>
        </w:tc>
      </w:tr>
      <w:tr w14:paraId="2B9B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9" w:type="dxa"/>
            <w:vMerge w:val="continue"/>
            <w:noWrap w:val="0"/>
            <w:vAlign w:val="center"/>
          </w:tcPr>
          <w:p w14:paraId="469D6A68">
            <w:pPr>
              <w:autoSpaceDE w:val="0"/>
              <w:autoSpaceDN w:val="0"/>
              <w:adjustRightInd w:val="0"/>
              <w:jc w:val="center"/>
              <w:rPr>
                <w:rFonts w:hint="eastAsia" w:ascii="宋体" w:hAnsi="宋体" w:cs="宋体"/>
                <w:bCs/>
                <w:color w:val="auto"/>
                <w:sz w:val="24"/>
                <w:highlight w:val="none"/>
                <w:lang w:val="zh-CN"/>
              </w:rPr>
            </w:pPr>
          </w:p>
        </w:tc>
        <w:tc>
          <w:tcPr>
            <w:tcW w:w="1349" w:type="dxa"/>
            <w:vMerge w:val="continue"/>
            <w:noWrap w:val="0"/>
            <w:vAlign w:val="center"/>
          </w:tcPr>
          <w:p w14:paraId="79982B55">
            <w:pPr>
              <w:autoSpaceDE w:val="0"/>
              <w:autoSpaceDN w:val="0"/>
              <w:adjustRightInd w:val="0"/>
              <w:jc w:val="center"/>
              <w:rPr>
                <w:rFonts w:hint="eastAsia" w:ascii="宋体" w:hAnsi="宋体" w:cs="宋体"/>
                <w:color w:val="auto"/>
                <w:sz w:val="24"/>
                <w:highlight w:val="none"/>
                <w:lang w:val="zh-CN"/>
              </w:rPr>
            </w:pPr>
          </w:p>
        </w:tc>
        <w:tc>
          <w:tcPr>
            <w:tcW w:w="7690" w:type="dxa"/>
            <w:noWrap w:val="0"/>
            <w:vAlign w:val="center"/>
          </w:tcPr>
          <w:p w14:paraId="7EB67F32">
            <w:pPr>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因落实政府采购政策进行价格调整的，以调整后的价格计算评标基准价和磋商报价。</w:t>
            </w:r>
          </w:p>
        </w:tc>
      </w:tr>
      <w:tr w14:paraId="79D0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restart"/>
            <w:noWrap w:val="0"/>
            <w:vAlign w:val="center"/>
          </w:tcPr>
          <w:p w14:paraId="1382637A">
            <w:pPr>
              <w:jc w:val="center"/>
              <w:rPr>
                <w:rFonts w:hint="eastAsia" w:ascii="宋体" w:hAnsi="宋体" w:cs="宋体"/>
                <w:color w:val="auto"/>
                <w:sz w:val="24"/>
                <w:highlight w:val="none"/>
              </w:rPr>
            </w:pPr>
            <w:r>
              <w:rPr>
                <w:rFonts w:hint="eastAsia" w:ascii="宋体" w:hAnsi="宋体" w:cs="宋体"/>
                <w:color w:val="auto"/>
                <w:sz w:val="24"/>
                <w:highlight w:val="none"/>
              </w:rPr>
              <w:t>政府采购价格折扣优惠政策说明</w:t>
            </w:r>
          </w:p>
        </w:tc>
        <w:tc>
          <w:tcPr>
            <w:tcW w:w="1349" w:type="dxa"/>
            <w:vMerge w:val="restart"/>
            <w:noWrap w:val="0"/>
            <w:vAlign w:val="center"/>
          </w:tcPr>
          <w:p w14:paraId="182D6090">
            <w:pPr>
              <w:jc w:val="center"/>
              <w:rPr>
                <w:rFonts w:hint="eastAsia" w:ascii="宋体" w:hAnsi="宋体" w:cs="宋体"/>
                <w:color w:val="auto"/>
                <w:sz w:val="24"/>
                <w:highlight w:val="none"/>
              </w:rPr>
            </w:pPr>
            <w:r>
              <w:rPr>
                <w:rFonts w:hint="eastAsia" w:ascii="宋体" w:hAnsi="宋体" w:cs="宋体"/>
                <w:color w:val="auto"/>
                <w:sz w:val="24"/>
                <w:highlight w:val="none"/>
              </w:rPr>
              <w:t>中小企业</w:t>
            </w:r>
          </w:p>
        </w:tc>
        <w:tc>
          <w:tcPr>
            <w:tcW w:w="7690" w:type="dxa"/>
            <w:noWrap w:val="0"/>
            <w:vAlign w:val="center"/>
          </w:tcPr>
          <w:p w14:paraId="02A86877">
            <w:pPr>
              <w:rPr>
                <w:rFonts w:hint="eastAsia" w:ascii="宋体" w:hAnsi="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w:t>
            </w:r>
            <w:r>
              <w:rPr>
                <w:rFonts w:hint="eastAsia" w:ascii="宋体" w:hAnsi="宋体" w:eastAsia="宋体" w:cs="宋体"/>
                <w:color w:val="auto"/>
                <w:sz w:val="24"/>
                <w:highlight w:val="none"/>
                <w:lang w:eastAsia="zh-CN"/>
              </w:rPr>
              <w:t>微</w:t>
            </w:r>
            <w:r>
              <w:rPr>
                <w:rFonts w:hint="eastAsia" w:ascii="宋体" w:hAnsi="宋体" w:eastAsia="宋体" w:cs="宋体"/>
                <w:color w:val="auto"/>
                <w:sz w:val="24"/>
                <w:highlight w:val="none"/>
              </w:rPr>
              <w:t>企业提供《中小企业声明函》。</w:t>
            </w:r>
          </w:p>
        </w:tc>
      </w:tr>
      <w:tr w14:paraId="4278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39" w:type="dxa"/>
            <w:vMerge w:val="continue"/>
            <w:noWrap w:val="0"/>
            <w:vAlign w:val="center"/>
          </w:tcPr>
          <w:p w14:paraId="70107046">
            <w:pPr>
              <w:jc w:val="center"/>
              <w:rPr>
                <w:rFonts w:hint="eastAsia" w:ascii="宋体" w:hAnsi="宋体" w:cs="宋体"/>
                <w:color w:val="auto"/>
                <w:sz w:val="24"/>
                <w:highlight w:val="none"/>
              </w:rPr>
            </w:pPr>
          </w:p>
        </w:tc>
        <w:tc>
          <w:tcPr>
            <w:tcW w:w="1349" w:type="dxa"/>
            <w:vMerge w:val="continue"/>
            <w:noWrap w:val="0"/>
            <w:vAlign w:val="center"/>
          </w:tcPr>
          <w:p w14:paraId="2582DF2E">
            <w:pPr>
              <w:jc w:val="center"/>
              <w:rPr>
                <w:rFonts w:hint="eastAsia" w:ascii="宋体" w:hAnsi="宋体" w:cs="宋体"/>
                <w:color w:val="auto"/>
                <w:sz w:val="24"/>
                <w:highlight w:val="none"/>
              </w:rPr>
            </w:pPr>
          </w:p>
        </w:tc>
        <w:tc>
          <w:tcPr>
            <w:tcW w:w="7690" w:type="dxa"/>
            <w:noWrap w:val="0"/>
            <w:vAlign w:val="center"/>
          </w:tcPr>
          <w:p w14:paraId="7AFB6EC0">
            <w:pPr>
              <w:rPr>
                <w:rFonts w:hint="eastAsia" w:ascii="宋体" w:hAnsi="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797E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39" w:type="dxa"/>
            <w:vMerge w:val="continue"/>
            <w:noWrap w:val="0"/>
            <w:vAlign w:val="center"/>
          </w:tcPr>
          <w:p w14:paraId="5D6CE96F">
            <w:pPr>
              <w:jc w:val="center"/>
              <w:rPr>
                <w:rFonts w:hint="eastAsia" w:ascii="宋体" w:hAnsi="宋体" w:cs="宋体"/>
                <w:color w:val="auto"/>
                <w:sz w:val="24"/>
                <w:highlight w:val="none"/>
              </w:rPr>
            </w:pPr>
          </w:p>
        </w:tc>
        <w:tc>
          <w:tcPr>
            <w:tcW w:w="1349" w:type="dxa"/>
            <w:vMerge w:val="continue"/>
            <w:noWrap w:val="0"/>
            <w:vAlign w:val="center"/>
          </w:tcPr>
          <w:p w14:paraId="5DF870BD">
            <w:pPr>
              <w:jc w:val="center"/>
              <w:rPr>
                <w:rFonts w:hint="eastAsia" w:ascii="宋体" w:hAnsi="宋体" w:cs="宋体"/>
                <w:color w:val="auto"/>
                <w:sz w:val="24"/>
                <w:highlight w:val="none"/>
              </w:rPr>
            </w:pPr>
          </w:p>
        </w:tc>
        <w:tc>
          <w:tcPr>
            <w:tcW w:w="7690" w:type="dxa"/>
            <w:noWrap w:val="0"/>
            <w:vAlign w:val="center"/>
          </w:tcPr>
          <w:p w14:paraId="692CCF06">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598E74FF">
            <w:pPr>
              <w:rPr>
                <w:rFonts w:hint="eastAsia" w:ascii="宋体" w:hAnsi="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42D6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continue"/>
            <w:noWrap w:val="0"/>
            <w:vAlign w:val="center"/>
          </w:tcPr>
          <w:p w14:paraId="447C5C20">
            <w:pPr>
              <w:jc w:val="center"/>
              <w:rPr>
                <w:rFonts w:hint="eastAsia" w:ascii="宋体" w:hAnsi="宋体" w:cs="宋体"/>
                <w:color w:val="auto"/>
                <w:sz w:val="24"/>
                <w:highlight w:val="none"/>
              </w:rPr>
            </w:pPr>
          </w:p>
        </w:tc>
        <w:tc>
          <w:tcPr>
            <w:tcW w:w="1349" w:type="dxa"/>
            <w:noWrap w:val="0"/>
            <w:vAlign w:val="center"/>
          </w:tcPr>
          <w:p w14:paraId="667ED960">
            <w:pPr>
              <w:jc w:val="center"/>
              <w:rPr>
                <w:rFonts w:hint="eastAsia" w:ascii="宋体" w:hAnsi="宋体" w:cs="宋体"/>
                <w:color w:val="auto"/>
                <w:sz w:val="24"/>
                <w:highlight w:val="none"/>
              </w:rPr>
            </w:pPr>
            <w:r>
              <w:rPr>
                <w:rFonts w:hint="eastAsia" w:ascii="宋体" w:hAnsi="宋体" w:cs="宋体"/>
                <w:color w:val="auto"/>
                <w:sz w:val="24"/>
                <w:highlight w:val="none"/>
              </w:rPr>
              <w:t>监狱企业</w:t>
            </w:r>
          </w:p>
        </w:tc>
        <w:tc>
          <w:tcPr>
            <w:tcW w:w="7690" w:type="dxa"/>
            <w:noWrap w:val="0"/>
            <w:vAlign w:val="center"/>
          </w:tcPr>
          <w:p w14:paraId="10540594">
            <w:pPr>
              <w:rPr>
                <w:rFonts w:hint="eastAsia" w:ascii="宋体" w:hAnsi="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07D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continue"/>
            <w:noWrap w:val="0"/>
            <w:vAlign w:val="center"/>
          </w:tcPr>
          <w:p w14:paraId="0634F8F5">
            <w:pPr>
              <w:jc w:val="center"/>
              <w:rPr>
                <w:rFonts w:hint="eastAsia" w:ascii="宋体" w:hAnsi="宋体" w:cs="宋体"/>
                <w:color w:val="auto"/>
                <w:sz w:val="24"/>
                <w:highlight w:val="none"/>
              </w:rPr>
            </w:pPr>
          </w:p>
        </w:tc>
        <w:tc>
          <w:tcPr>
            <w:tcW w:w="1349" w:type="dxa"/>
            <w:noWrap w:val="0"/>
            <w:vAlign w:val="center"/>
          </w:tcPr>
          <w:p w14:paraId="7BC90FD2">
            <w:pPr>
              <w:jc w:val="center"/>
              <w:rPr>
                <w:rFonts w:hint="eastAsia" w:ascii="宋体" w:hAnsi="宋体" w:eastAsia="宋体" w:cs="宋体"/>
                <w:color w:val="auto"/>
                <w:sz w:val="24"/>
                <w:highlight w:val="none"/>
                <w:lang w:eastAsia="zh-CN"/>
              </w:rPr>
            </w:pPr>
            <w:r>
              <w:rPr>
                <w:rFonts w:hint="eastAsia" w:ascii="宋体" w:hAnsi="宋体" w:cs="宋体"/>
                <w:bCs/>
                <w:color w:val="auto"/>
                <w:sz w:val="24"/>
                <w:highlight w:val="none"/>
              </w:rPr>
              <w:t>残疾人福利性</w:t>
            </w:r>
            <w:r>
              <w:rPr>
                <w:rFonts w:hint="eastAsia" w:ascii="宋体" w:hAnsi="宋体" w:cs="宋体"/>
                <w:bCs/>
                <w:color w:val="auto"/>
                <w:sz w:val="24"/>
                <w:highlight w:val="none"/>
                <w:lang w:eastAsia="zh-CN"/>
              </w:rPr>
              <w:t>单位</w:t>
            </w:r>
          </w:p>
        </w:tc>
        <w:tc>
          <w:tcPr>
            <w:tcW w:w="7690" w:type="dxa"/>
            <w:noWrap w:val="0"/>
            <w:vAlign w:val="center"/>
          </w:tcPr>
          <w:p w14:paraId="5546FAAA">
            <w:pPr>
              <w:rPr>
                <w:rFonts w:hint="eastAsia" w:ascii="宋体" w:hAnsi="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3618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778" w:type="dxa"/>
            <w:gridSpan w:val="3"/>
            <w:noWrap w:val="0"/>
            <w:vAlign w:val="center"/>
          </w:tcPr>
          <w:p w14:paraId="45C7CFE9">
            <w:pPr>
              <w:rPr>
                <w:rFonts w:hint="eastAsia" w:ascii="宋体" w:hAnsi="宋体" w:cs="宋体"/>
                <w:b/>
                <w:color w:val="auto"/>
                <w:sz w:val="24"/>
                <w:highlight w:val="none"/>
                <w:lang w:val="zh-CN"/>
              </w:rPr>
            </w:pPr>
            <w:r>
              <w:rPr>
                <w:rFonts w:hint="eastAsia" w:ascii="宋体" w:hAnsi="宋体" w:cs="宋体"/>
                <w:b/>
                <w:color w:val="auto"/>
                <w:sz w:val="24"/>
                <w:highlight w:val="none"/>
                <w:lang w:val="zh-CN"/>
              </w:rPr>
              <w:t>评分注意事项：</w:t>
            </w:r>
          </w:p>
          <w:p w14:paraId="1407B249">
            <w:pPr>
              <w:rPr>
                <w:rFonts w:hint="eastAsia" w:ascii="宋体" w:hAnsi="宋体" w:cs="宋体"/>
                <w:b/>
                <w:color w:val="auto"/>
                <w:sz w:val="24"/>
                <w:highlight w:val="none"/>
                <w:lang w:val="zh-CN"/>
              </w:rPr>
            </w:pPr>
            <w:r>
              <w:rPr>
                <w:rFonts w:hint="eastAsia" w:ascii="宋体" w:hAnsi="宋体" w:cs="宋体"/>
                <w:color w:val="auto"/>
                <w:sz w:val="24"/>
                <w:highlight w:val="none"/>
                <w:lang w:val="zh-CN"/>
              </w:rPr>
              <w:t>因落实政府采购政策进行价格调整的，</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lang w:val="zh-CN"/>
              </w:rPr>
              <w:t>小组应记录价格调整的依据、计算过程及计算结果。</w:t>
            </w:r>
          </w:p>
        </w:tc>
      </w:tr>
      <w:tr w14:paraId="24D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778" w:type="dxa"/>
            <w:gridSpan w:val="3"/>
            <w:noWrap w:val="0"/>
            <w:vAlign w:val="center"/>
          </w:tcPr>
          <w:p w14:paraId="2CC93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Calibri" w:hAnsi="Calibri" w:cs="Calibri"/>
                <w:i w:val="0"/>
                <w:iCs w:val="0"/>
                <w:caps w:val="0"/>
                <w:color w:val="auto"/>
                <w:spacing w:val="0"/>
                <w:sz w:val="21"/>
                <w:szCs w:val="21"/>
                <w:highlight w:val="none"/>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政府采购评审中出现下列情形之一的，评审委员会应当启动异常低价投标（响应）审查程序：</w:t>
            </w:r>
          </w:p>
          <w:p w14:paraId="304B11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1.投标（响应）报价</w:t>
            </w:r>
            <w:r>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t>低于</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全部通过符合性审查供应商投标（响应）报价平均值50%的，即投标（响应）报价&lt;全部通过符合性审查供应商投标（响应）报价平均值×50%；</w:t>
            </w:r>
          </w:p>
          <w:p w14:paraId="7D6C1B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2.投标（响应）报价</w:t>
            </w:r>
            <w:r>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t>低于</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通过符合性审查的次低报价供应商投标（响应）报价50%的，即投标（响应）报价&lt;通过符合性审查的次低报价供应商投标（响应）报价×50%；</w:t>
            </w:r>
          </w:p>
          <w:p w14:paraId="52B21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3.投标（响应）报价</w:t>
            </w:r>
            <w:r>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t>低于</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采购项目最高限价45%的，即投标（响应）报价&lt;采购项目最高限价×45%；</w:t>
            </w:r>
          </w:p>
          <w:p w14:paraId="6FBFFE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cs="宋体"/>
                <w:color w:val="auto"/>
                <w:sz w:val="24"/>
                <w:highlight w:val="none"/>
                <w:lang w:val="zh-CN"/>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4.评审委员会基于专业判断，认为供应商报价过低，有可能影响产品质量或者不能诚信履约的其他情形。</w:t>
            </w:r>
          </w:p>
        </w:tc>
      </w:tr>
    </w:tbl>
    <w:p w14:paraId="7524C74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6095FD6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4.5.5 商务技术评审标准</w:t>
      </w:r>
    </w:p>
    <w:p w14:paraId="495A7C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70%</w:t>
      </w:r>
      <w:r>
        <w:rPr>
          <w:rFonts w:hint="eastAsia" w:ascii="宋体" w:hAnsi="宋体" w:cs="宋体"/>
          <w:b/>
          <w:color w:val="auto"/>
          <w:sz w:val="24"/>
          <w:szCs w:val="24"/>
          <w:highlight w:val="none"/>
        </w:rPr>
        <w:t>）</w:t>
      </w:r>
    </w:p>
    <w:tbl>
      <w:tblPr>
        <w:tblStyle w:val="3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4"/>
        <w:gridCol w:w="7937"/>
      </w:tblGrid>
      <w:tr w14:paraId="2912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4" w:type="dxa"/>
            <w:noWrap w:val="0"/>
            <w:vAlign w:val="center"/>
          </w:tcPr>
          <w:p w14:paraId="52842219">
            <w:pPr>
              <w:jc w:val="center"/>
              <w:rPr>
                <w:rFonts w:hint="eastAsia" w:ascii="宋体" w:hAnsi="宋体" w:eastAsia="宋体" w:cs="宋体"/>
                <w:bCs/>
                <w:color w:val="auto"/>
                <w:sz w:val="24"/>
                <w:highlight w:val="none"/>
              </w:rPr>
            </w:pPr>
            <w:bookmarkStart w:id="163" w:name="OLE_LINK1"/>
            <w:r>
              <w:rPr>
                <w:rFonts w:hint="eastAsia" w:ascii="宋体" w:hAnsi="宋体" w:eastAsia="宋体" w:cs="宋体"/>
                <w:bCs/>
                <w:color w:val="auto"/>
                <w:sz w:val="24"/>
                <w:highlight w:val="none"/>
              </w:rPr>
              <w:t>项目</w:t>
            </w:r>
          </w:p>
        </w:tc>
        <w:tc>
          <w:tcPr>
            <w:tcW w:w="794" w:type="dxa"/>
            <w:noWrap w:val="0"/>
            <w:vAlign w:val="center"/>
          </w:tcPr>
          <w:p w14:paraId="51F9EE1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分值</w:t>
            </w:r>
          </w:p>
        </w:tc>
        <w:tc>
          <w:tcPr>
            <w:tcW w:w="7937" w:type="dxa"/>
            <w:noWrap w:val="0"/>
            <w:vAlign w:val="center"/>
          </w:tcPr>
          <w:p w14:paraId="179ACD61">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内     容</w:t>
            </w:r>
          </w:p>
        </w:tc>
      </w:tr>
      <w:tr w14:paraId="010D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34" w:type="dxa"/>
            <w:noWrap w:val="0"/>
            <w:vAlign w:val="center"/>
          </w:tcPr>
          <w:p w14:paraId="323EF0B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客户</w:t>
            </w:r>
          </w:p>
          <w:p w14:paraId="27476454">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评价</w:t>
            </w:r>
          </w:p>
        </w:tc>
        <w:tc>
          <w:tcPr>
            <w:tcW w:w="794" w:type="dxa"/>
            <w:noWrap w:val="0"/>
            <w:vAlign w:val="center"/>
          </w:tcPr>
          <w:p w14:paraId="762C6B98">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3</w:t>
            </w:r>
          </w:p>
        </w:tc>
        <w:tc>
          <w:tcPr>
            <w:tcW w:w="7937" w:type="dxa"/>
            <w:noWrap w:val="0"/>
            <w:vAlign w:val="center"/>
          </w:tcPr>
          <w:p w14:paraId="685E8C9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供应商有</w:t>
            </w:r>
            <w:r>
              <w:rPr>
                <w:rFonts w:hint="eastAsia" w:ascii="宋体" w:hAnsi="宋体" w:cs="宋体"/>
                <w:bCs/>
                <w:color w:val="auto"/>
                <w:sz w:val="24"/>
                <w:highlight w:val="none"/>
                <w:lang w:val="en-US" w:eastAsia="zh-CN"/>
              </w:rPr>
              <w:t>其他</w:t>
            </w:r>
            <w:r>
              <w:rPr>
                <w:rFonts w:hint="eastAsia" w:ascii="宋体" w:hAnsi="宋体" w:eastAsia="宋体" w:cs="宋体"/>
                <w:bCs/>
                <w:color w:val="auto"/>
                <w:sz w:val="24"/>
                <w:highlight w:val="none"/>
              </w:rPr>
              <w:t>采购单位对</w:t>
            </w:r>
            <w:r>
              <w:rPr>
                <w:rFonts w:hint="eastAsia" w:ascii="宋体" w:hAnsi="宋体" w:cs="宋体"/>
                <w:bCs/>
                <w:color w:val="auto"/>
                <w:sz w:val="24"/>
                <w:highlight w:val="none"/>
                <w:lang w:val="en-US" w:eastAsia="zh-CN"/>
              </w:rPr>
              <w:t>本次</w:t>
            </w:r>
            <w:r>
              <w:rPr>
                <w:rFonts w:hint="eastAsia" w:ascii="宋体" w:hAnsi="宋体" w:eastAsia="宋体" w:cs="宋体"/>
                <w:bCs/>
                <w:color w:val="auto"/>
                <w:sz w:val="24"/>
                <w:highlight w:val="none"/>
              </w:rPr>
              <w:t>投标相关服务</w:t>
            </w:r>
            <w:r>
              <w:rPr>
                <w:rFonts w:hint="eastAsia" w:ascii="宋体" w:hAnsi="宋体" w:cs="宋体"/>
                <w:bCs/>
                <w:color w:val="auto"/>
                <w:sz w:val="24"/>
                <w:highlight w:val="none"/>
                <w:lang w:val="en-US" w:eastAsia="zh-CN"/>
              </w:rPr>
              <w:t>内容</w:t>
            </w:r>
            <w:r>
              <w:rPr>
                <w:rFonts w:hint="eastAsia" w:ascii="宋体" w:hAnsi="宋体" w:eastAsia="宋体" w:cs="宋体"/>
                <w:bCs/>
                <w:color w:val="auto"/>
                <w:sz w:val="24"/>
                <w:highlight w:val="none"/>
              </w:rPr>
              <w:t>的用户评价，评价等级为良好以上的。每提供一份得1分，最高</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分（须提供由客户盖章确认的证明材料，同一单位提供多份的只算一份用户证明）</w:t>
            </w:r>
          </w:p>
        </w:tc>
      </w:tr>
      <w:tr w14:paraId="00D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34" w:type="dxa"/>
            <w:noWrap w:val="0"/>
            <w:vAlign w:val="center"/>
          </w:tcPr>
          <w:p w14:paraId="4A1E9189">
            <w:pPr>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业绩</w:t>
            </w:r>
          </w:p>
        </w:tc>
        <w:tc>
          <w:tcPr>
            <w:tcW w:w="794" w:type="dxa"/>
            <w:noWrap w:val="0"/>
            <w:vAlign w:val="center"/>
          </w:tcPr>
          <w:p w14:paraId="0C88D51C">
            <w:pPr>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10</w:t>
            </w:r>
          </w:p>
        </w:tc>
        <w:tc>
          <w:tcPr>
            <w:tcW w:w="7937" w:type="dxa"/>
            <w:noWrap w:val="0"/>
            <w:vAlign w:val="center"/>
          </w:tcPr>
          <w:p w14:paraId="4E4384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月至今），污水处理站运维业绩5</w:t>
            </w:r>
            <w:r>
              <w:rPr>
                <w:rFonts w:hint="eastAsia" w:ascii="宋体" w:hAnsi="宋体" w:cs="宋体"/>
                <w:color w:val="auto"/>
                <w:sz w:val="24"/>
                <w:szCs w:val="24"/>
                <w:highlight w:val="none"/>
                <w:lang w:val="en-US" w:eastAsia="zh-CN"/>
              </w:rPr>
              <w:t>个</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个</w:t>
            </w:r>
            <w:r>
              <w:rPr>
                <w:rFonts w:hint="eastAsia" w:ascii="宋体" w:hAnsi="宋体" w:eastAsia="宋体" w:cs="宋体"/>
                <w:color w:val="auto"/>
                <w:sz w:val="24"/>
                <w:szCs w:val="24"/>
                <w:highlight w:val="none"/>
                <w:lang w:val="en-US" w:eastAsia="zh-CN"/>
              </w:rPr>
              <w:t>”指服务过5个不同的业主）。</w:t>
            </w:r>
            <w:r>
              <w:rPr>
                <w:rFonts w:hint="eastAsia" w:ascii="宋体" w:hAnsi="宋体" w:cs="宋体"/>
                <w:color w:val="auto"/>
                <w:sz w:val="24"/>
                <w:szCs w:val="24"/>
                <w:highlight w:val="none"/>
                <w:lang w:val="en-US" w:eastAsia="zh-CN"/>
              </w:rPr>
              <w:t>每提供1个有效业绩得2分。</w:t>
            </w:r>
          </w:p>
          <w:p w14:paraId="6B622016">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szCs w:val="24"/>
                <w:highlight w:val="none"/>
                <w:lang w:val="en-US" w:eastAsia="zh-CN"/>
              </w:rPr>
              <w:t>注：</w:t>
            </w:r>
            <w:r>
              <w:rPr>
                <w:rFonts w:hint="default" w:ascii="宋体" w:hAnsi="宋体" w:eastAsia="宋体" w:cs="宋体"/>
                <w:b/>
                <w:bCs/>
                <w:color w:val="auto"/>
                <w:kern w:val="0"/>
                <w:sz w:val="24"/>
                <w:szCs w:val="24"/>
                <w:highlight w:val="none"/>
                <w:lang w:val="en-US" w:eastAsia="zh-CN"/>
              </w:rPr>
              <w:t>有效业绩须提供中标通知书</w:t>
            </w:r>
            <w:r>
              <w:rPr>
                <w:rFonts w:hint="eastAsia" w:ascii="宋体" w:hAnsi="宋体" w:eastAsia="宋体" w:cs="宋体"/>
                <w:b/>
                <w:bCs/>
                <w:color w:val="auto"/>
                <w:kern w:val="0"/>
                <w:sz w:val="24"/>
                <w:szCs w:val="24"/>
                <w:highlight w:val="none"/>
                <w:lang w:val="en-US" w:eastAsia="zh-CN"/>
              </w:rPr>
              <w:t>或</w:t>
            </w:r>
            <w:r>
              <w:rPr>
                <w:rFonts w:hint="default" w:ascii="宋体" w:hAnsi="宋体" w:eastAsia="宋体" w:cs="宋体"/>
                <w:b/>
                <w:bCs/>
                <w:color w:val="auto"/>
                <w:kern w:val="0"/>
                <w:sz w:val="24"/>
                <w:szCs w:val="24"/>
                <w:highlight w:val="none"/>
                <w:lang w:val="en-US" w:eastAsia="zh-CN"/>
              </w:rPr>
              <w:t>采购合同，</w:t>
            </w:r>
            <w:r>
              <w:rPr>
                <w:rFonts w:hint="eastAsia" w:ascii="宋体" w:hAnsi="宋体" w:cs="宋体"/>
                <w:b/>
                <w:bCs/>
                <w:color w:val="auto"/>
                <w:kern w:val="0"/>
                <w:sz w:val="24"/>
                <w:szCs w:val="24"/>
                <w:highlight w:val="none"/>
                <w:lang w:val="en-US" w:eastAsia="zh-CN"/>
              </w:rPr>
              <w:t>以合同签订时间为准，</w:t>
            </w:r>
            <w:r>
              <w:rPr>
                <w:rFonts w:hint="default" w:ascii="宋体" w:hAnsi="宋体" w:eastAsia="宋体" w:cs="宋体"/>
                <w:b/>
                <w:bCs/>
                <w:color w:val="auto"/>
                <w:kern w:val="0"/>
                <w:sz w:val="24"/>
                <w:szCs w:val="24"/>
                <w:highlight w:val="none"/>
                <w:lang w:val="en-US" w:eastAsia="zh-CN"/>
              </w:rPr>
              <w:t>合同需清晰可辨认，如出现字体模糊不清，印章不清晰</w:t>
            </w:r>
            <w:r>
              <w:rPr>
                <w:rFonts w:hint="eastAsia" w:ascii="宋体" w:hAnsi="宋体" w:eastAsia="宋体" w:cs="宋体"/>
                <w:b/>
                <w:bCs/>
                <w:color w:val="auto"/>
                <w:kern w:val="0"/>
                <w:sz w:val="24"/>
                <w:szCs w:val="24"/>
                <w:highlight w:val="none"/>
                <w:lang w:val="en-US" w:eastAsia="zh-CN"/>
              </w:rPr>
              <w:t>等</w:t>
            </w:r>
            <w:r>
              <w:rPr>
                <w:rFonts w:hint="eastAsia" w:ascii="宋体" w:hAnsi="宋体" w:cs="宋体"/>
                <w:b/>
                <w:bCs/>
                <w:color w:val="auto"/>
                <w:kern w:val="0"/>
                <w:sz w:val="24"/>
                <w:szCs w:val="24"/>
                <w:highlight w:val="none"/>
                <w:lang w:val="en-US" w:eastAsia="zh-CN"/>
              </w:rPr>
              <w:t>导致专家无法辨认的</w:t>
            </w:r>
            <w:r>
              <w:rPr>
                <w:rFonts w:hint="default" w:ascii="宋体" w:hAnsi="宋体" w:eastAsia="宋体" w:cs="宋体"/>
                <w:b/>
                <w:bCs/>
                <w:color w:val="auto"/>
                <w:kern w:val="0"/>
                <w:sz w:val="24"/>
                <w:szCs w:val="24"/>
                <w:highlight w:val="none"/>
                <w:lang w:val="en-US" w:eastAsia="zh-CN"/>
              </w:rPr>
              <w:t>，视为无效业绩。</w:t>
            </w:r>
          </w:p>
        </w:tc>
      </w:tr>
      <w:tr w14:paraId="4C89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57E7868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人员</w:t>
            </w:r>
          </w:p>
          <w:p w14:paraId="5BA90A95">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配备</w:t>
            </w:r>
          </w:p>
        </w:tc>
        <w:tc>
          <w:tcPr>
            <w:tcW w:w="794" w:type="dxa"/>
            <w:noWrap w:val="0"/>
            <w:vAlign w:val="center"/>
          </w:tcPr>
          <w:p w14:paraId="25A8FADC">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8</w:t>
            </w:r>
          </w:p>
        </w:tc>
        <w:tc>
          <w:tcPr>
            <w:tcW w:w="7937" w:type="dxa"/>
            <w:noWrap w:val="0"/>
            <w:vAlign w:val="center"/>
          </w:tcPr>
          <w:p w14:paraId="6B4D5C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1、项目管理人员：必须熟知污水站运营要求，具备处理风险事故隐患及应急处置措施的能力，项目管理人员不少于2人，相关工作年限不少于</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US" w:eastAsia="zh-CN"/>
              </w:rPr>
              <w:t>年，具备中级及以上工程师职称。提供2人及以上得4分，少于2人不得分。</w:t>
            </w:r>
          </w:p>
          <w:p w14:paraId="39CBDDA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val="en-US" w:eastAsia="zh-CN"/>
              </w:rPr>
              <w:t>运维</w:t>
            </w:r>
            <w:r>
              <w:rPr>
                <w:rFonts w:hint="eastAsia" w:ascii="宋体" w:hAnsi="宋体" w:eastAsia="宋体" w:cs="宋体"/>
                <w:bCs/>
                <w:color w:val="auto"/>
                <w:sz w:val="24"/>
                <w:highlight w:val="none"/>
              </w:rPr>
              <w:t>人员需取得污水处理工证书，持证上岗，运维人员不少于4人，提供4人及以上得4分，少于4人不得分。</w:t>
            </w:r>
          </w:p>
          <w:p w14:paraId="404B11F3">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highlight w:val="none"/>
              </w:rPr>
              <w:t>须提供上述人员资格证书复印件、身份证复印件及劳动合同（或本单位近</w:t>
            </w:r>
            <w:r>
              <w:rPr>
                <w:rFonts w:hint="eastAsia" w:ascii="宋体" w:hAnsi="宋体" w:cs="宋体"/>
                <w:b/>
                <w:bCs w:val="0"/>
                <w:color w:val="auto"/>
                <w:sz w:val="24"/>
                <w:highlight w:val="none"/>
                <w:lang w:val="en-US" w:eastAsia="zh-CN"/>
              </w:rPr>
              <w:t>三个月</w:t>
            </w:r>
            <w:r>
              <w:rPr>
                <w:rFonts w:hint="eastAsia" w:ascii="宋体" w:hAnsi="宋体" w:eastAsia="宋体" w:cs="宋体"/>
                <w:b/>
                <w:bCs w:val="0"/>
                <w:color w:val="auto"/>
                <w:sz w:val="24"/>
                <w:highlight w:val="none"/>
              </w:rPr>
              <w:t>内任意一个月的社保缴费证明）等相关证明文件，否则视为无效。</w:t>
            </w:r>
          </w:p>
        </w:tc>
      </w:tr>
      <w:tr w14:paraId="61F8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3EDF6439">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污水站运行管理实施方案</w:t>
            </w:r>
          </w:p>
        </w:tc>
        <w:tc>
          <w:tcPr>
            <w:tcW w:w="794" w:type="dxa"/>
            <w:noWrap w:val="0"/>
            <w:vAlign w:val="center"/>
          </w:tcPr>
          <w:p w14:paraId="5A8E0D3A">
            <w:pPr>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5</w:t>
            </w:r>
          </w:p>
        </w:tc>
        <w:tc>
          <w:tcPr>
            <w:tcW w:w="7937" w:type="dxa"/>
            <w:noWrap w:val="0"/>
            <w:vAlign w:val="center"/>
          </w:tcPr>
          <w:p w14:paraId="39F4A7A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投标人针对本项目提供的项目实施方案，内容包含但不限于：</w:t>
            </w:r>
          </w:p>
          <w:p w14:paraId="082AC95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对项目的认识和理解；</w:t>
            </w:r>
          </w:p>
          <w:p w14:paraId="13B438B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日常运行管理项目维护方案；</w:t>
            </w:r>
          </w:p>
          <w:p w14:paraId="55C489C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整体运营管理服务理念、管理思路；</w:t>
            </w:r>
          </w:p>
          <w:p w14:paraId="59BE71B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自查自检制度；</w:t>
            </w:r>
          </w:p>
          <w:p w14:paraId="7F290B3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服务响应时间安排。</w:t>
            </w:r>
          </w:p>
          <w:p w14:paraId="76D72EEE">
            <w:pPr>
              <w:keepNext w:val="0"/>
              <w:keepLines w:val="0"/>
              <w:pageBreakBefore w:val="0"/>
              <w:widowControl w:val="0"/>
              <w:kinsoku/>
              <w:wordWrap/>
              <w:overflowPunct/>
              <w:topLinePunct w:val="0"/>
              <w:autoSpaceDE/>
              <w:autoSpaceDN/>
              <w:bidi w:val="0"/>
              <w:adjustRightInd/>
              <w:snapToGrid/>
              <w:ind w:firstLine="47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以上5个部分内容齐全，且同时满足内容详实，充分考虑项目实际的得</w:t>
            </w:r>
            <w:r>
              <w:rPr>
                <w:rFonts w:hint="eastAsia" w:ascii="宋体" w:hAnsi="宋体" w:cs="宋体"/>
                <w:snapToGrid w:val="0"/>
                <w:color w:val="auto"/>
                <w:spacing w:val="-2"/>
                <w:kern w:val="0"/>
                <w:sz w:val="24"/>
                <w:szCs w:val="24"/>
                <w:highlight w:val="none"/>
                <w:lang w:val="en-US" w:eastAsia="zh-CN" w:bidi="ar-SA"/>
              </w:rPr>
              <w:t>15</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cs="宋体"/>
                <w:snapToGrid w:val="0"/>
                <w:color w:val="auto"/>
                <w:spacing w:val="-2"/>
                <w:kern w:val="0"/>
                <w:sz w:val="24"/>
                <w:szCs w:val="24"/>
                <w:highlight w:val="none"/>
                <w:lang w:val="en-US" w:eastAsia="zh-CN" w:bidi="ar-SA"/>
              </w:rPr>
              <w:t>3</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cs="宋体"/>
                <w:snapToGrid w:val="0"/>
                <w:color w:val="auto"/>
                <w:spacing w:val="-2"/>
                <w:kern w:val="0"/>
                <w:sz w:val="24"/>
                <w:szCs w:val="24"/>
                <w:highlight w:val="none"/>
                <w:lang w:val="en-US" w:eastAsia="zh-CN" w:bidi="ar-SA"/>
              </w:rPr>
              <w:t>1.5</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7344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3889E1A1">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安全管理预案</w:t>
            </w:r>
          </w:p>
        </w:tc>
        <w:tc>
          <w:tcPr>
            <w:tcW w:w="794" w:type="dxa"/>
            <w:noWrap w:val="0"/>
            <w:vAlign w:val="center"/>
          </w:tcPr>
          <w:p w14:paraId="23FD6096">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p>
        </w:tc>
        <w:tc>
          <w:tcPr>
            <w:tcW w:w="7937" w:type="dxa"/>
            <w:noWrap w:val="0"/>
            <w:vAlign w:val="center"/>
          </w:tcPr>
          <w:p w14:paraId="623A442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安全管理措施方案包含但不限于：</w:t>
            </w:r>
          </w:p>
          <w:p w14:paraId="280A8C22">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安全管理制度</w:t>
            </w:r>
            <w:r>
              <w:rPr>
                <w:rFonts w:hint="eastAsia" w:ascii="宋体" w:hAnsi="宋体" w:eastAsia="宋体" w:cs="宋体"/>
                <w:bCs/>
                <w:color w:val="auto"/>
                <w:sz w:val="24"/>
                <w:highlight w:val="none"/>
                <w:lang w:eastAsia="zh-CN"/>
              </w:rPr>
              <w:t>；</w:t>
            </w:r>
          </w:p>
          <w:p w14:paraId="021D3731">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安全保证体系</w:t>
            </w:r>
            <w:r>
              <w:rPr>
                <w:rFonts w:hint="eastAsia" w:ascii="宋体" w:hAnsi="宋体" w:eastAsia="宋体" w:cs="宋体"/>
                <w:bCs/>
                <w:color w:val="auto"/>
                <w:sz w:val="24"/>
                <w:highlight w:val="none"/>
                <w:lang w:eastAsia="zh-CN"/>
              </w:rPr>
              <w:t>；</w:t>
            </w:r>
          </w:p>
          <w:p w14:paraId="37982672">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安全培训</w:t>
            </w:r>
            <w:r>
              <w:rPr>
                <w:rFonts w:hint="eastAsia" w:ascii="宋体" w:hAnsi="宋体" w:eastAsia="宋体" w:cs="宋体"/>
                <w:bCs/>
                <w:color w:val="auto"/>
                <w:sz w:val="24"/>
                <w:highlight w:val="none"/>
                <w:lang w:eastAsia="zh-CN"/>
              </w:rPr>
              <w:t>；</w:t>
            </w:r>
          </w:p>
          <w:p w14:paraId="5F5EBFA7">
            <w:pPr>
              <w:keepNext w:val="0"/>
              <w:keepLines w:val="0"/>
              <w:pageBreakBefore w:val="0"/>
              <w:widowControl w:val="0"/>
              <w:numPr>
                <w:ilvl w:val="0"/>
                <w:numId w:val="5"/>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安全承诺书</w:t>
            </w:r>
            <w:r>
              <w:rPr>
                <w:rFonts w:hint="eastAsia" w:ascii="宋体" w:hAnsi="宋体" w:eastAsia="宋体" w:cs="宋体"/>
                <w:bCs/>
                <w:color w:val="auto"/>
                <w:sz w:val="24"/>
                <w:highlight w:val="none"/>
                <w:lang w:eastAsia="zh-CN"/>
              </w:rPr>
              <w:t>。</w:t>
            </w:r>
          </w:p>
          <w:p w14:paraId="281CE3B8">
            <w:pPr>
              <w:keepNext w:val="0"/>
              <w:keepLines w:val="0"/>
              <w:pageBreakBefore w:val="0"/>
              <w:widowControl w:val="0"/>
              <w:kinsoku/>
              <w:wordWrap/>
              <w:overflowPunct/>
              <w:topLinePunct w:val="0"/>
              <w:autoSpaceDE/>
              <w:autoSpaceDN/>
              <w:bidi w:val="0"/>
              <w:adjustRightInd/>
              <w:snapToGrid/>
              <w:ind w:firstLine="47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以上</w:t>
            </w:r>
            <w:r>
              <w:rPr>
                <w:rFonts w:hint="eastAsia" w:ascii="宋体" w:hAnsi="宋体" w:eastAsia="宋体" w:cs="宋体"/>
                <w:snapToGrid w:val="0"/>
                <w:color w:val="auto"/>
                <w:spacing w:val="-2"/>
                <w:kern w:val="0"/>
                <w:sz w:val="24"/>
                <w:szCs w:val="24"/>
                <w:highlight w:val="none"/>
                <w:lang w:val="en-US" w:eastAsia="zh-CN" w:bidi="ar-SA"/>
              </w:rPr>
              <w:t>4</w:t>
            </w:r>
            <w:r>
              <w:rPr>
                <w:rFonts w:hint="eastAsia" w:ascii="宋体" w:hAnsi="宋体" w:eastAsia="宋体" w:cs="宋体"/>
                <w:snapToGrid w:val="0"/>
                <w:color w:val="auto"/>
                <w:spacing w:val="-2"/>
                <w:kern w:val="0"/>
                <w:sz w:val="24"/>
                <w:szCs w:val="24"/>
                <w:highlight w:val="none"/>
                <w:lang w:val="en-US" w:eastAsia="en-US" w:bidi="ar-SA"/>
              </w:rPr>
              <w:t>个部分内容齐全，且同时满足内容详实，充分考虑项目实际的得</w:t>
            </w:r>
            <w:r>
              <w:rPr>
                <w:rFonts w:hint="eastAsia" w:ascii="宋体" w:hAnsi="宋体" w:eastAsia="宋体" w:cs="宋体"/>
                <w:snapToGrid w:val="0"/>
                <w:color w:val="auto"/>
                <w:spacing w:val="-2"/>
                <w:kern w:val="0"/>
                <w:sz w:val="24"/>
                <w:szCs w:val="24"/>
                <w:highlight w:val="none"/>
                <w:lang w:val="en-US" w:eastAsia="zh-CN" w:bidi="ar-SA"/>
              </w:rPr>
              <w:t>8</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eastAsia="宋体" w:cs="宋体"/>
                <w:snapToGrid w:val="0"/>
                <w:color w:val="auto"/>
                <w:spacing w:val="-2"/>
                <w:kern w:val="0"/>
                <w:sz w:val="24"/>
                <w:szCs w:val="24"/>
                <w:highlight w:val="none"/>
                <w:lang w:val="en-US" w:eastAsia="zh-CN" w:bidi="ar-SA"/>
              </w:rPr>
              <w:t>1</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3B99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0ED90889">
            <w:pPr>
              <w:jc w:val="center"/>
              <w:rPr>
                <w:rFonts w:hint="eastAsia" w:ascii="宋体" w:hAnsi="宋体" w:eastAsia="宋体" w:cs="宋体"/>
                <w:bCs/>
                <w:color w:val="auto"/>
                <w:kern w:val="2"/>
                <w:sz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设施、设备维护方案</w:t>
            </w:r>
          </w:p>
        </w:tc>
        <w:tc>
          <w:tcPr>
            <w:tcW w:w="794" w:type="dxa"/>
            <w:noWrap w:val="0"/>
            <w:vAlign w:val="center"/>
          </w:tcPr>
          <w:p w14:paraId="59E93DB8">
            <w:pPr>
              <w:jc w:val="center"/>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sz w:val="24"/>
                <w:highlight w:val="none"/>
                <w:lang w:val="en-US" w:eastAsia="zh-CN"/>
              </w:rPr>
              <w:t>6</w:t>
            </w:r>
          </w:p>
        </w:tc>
        <w:tc>
          <w:tcPr>
            <w:tcW w:w="7937" w:type="dxa"/>
            <w:noWrap w:val="0"/>
            <w:vAlign w:val="center"/>
          </w:tcPr>
          <w:p w14:paraId="6D15A910">
            <w:pPr>
              <w:keepNext w:val="0"/>
              <w:keepLines w:val="0"/>
              <w:pageBreakBefore w:val="0"/>
              <w:widowControl w:val="0"/>
              <w:kinsoku/>
              <w:wordWrap/>
              <w:overflowPunct/>
              <w:topLinePunct w:val="0"/>
              <w:autoSpaceDE/>
              <w:autoSpaceDN/>
              <w:bidi w:val="0"/>
              <w:adjustRightInd/>
              <w:snapToGrid/>
              <w:ind w:left="480" w:hanging="480" w:hanging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供应商根据本项目实际情况编制设施、设备维护方案，内容包含但不限于：1、设施、设备维护保养制度；</w:t>
            </w:r>
          </w:p>
          <w:p w14:paraId="441F78F6">
            <w:pPr>
              <w:keepNext w:val="0"/>
              <w:keepLines w:val="0"/>
              <w:pageBreakBefore w:val="0"/>
              <w:widowControl w:val="0"/>
              <w:numPr>
                <w:ilvl w:val="0"/>
                <w:numId w:val="6"/>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设施、设备维护保养计划；</w:t>
            </w:r>
          </w:p>
          <w:p w14:paraId="6E8AA81F">
            <w:pPr>
              <w:keepNext w:val="0"/>
              <w:keepLines w:val="0"/>
              <w:pageBreakBefore w:val="0"/>
              <w:widowControl w:val="0"/>
              <w:numPr>
                <w:ilvl w:val="0"/>
                <w:numId w:val="6"/>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设施、设备运行故障鉴定及修复；</w:t>
            </w:r>
          </w:p>
          <w:p w14:paraId="49A9AEA7">
            <w:pPr>
              <w:keepNext w:val="0"/>
              <w:keepLines w:val="0"/>
              <w:pageBreakBefore w:val="0"/>
              <w:widowControl w:val="0"/>
              <w:numPr>
                <w:ilvl w:val="0"/>
                <w:numId w:val="6"/>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设施、设备操作培训；</w:t>
            </w:r>
          </w:p>
          <w:p w14:paraId="448F9704">
            <w:pPr>
              <w:keepNext w:val="0"/>
              <w:keepLines w:val="0"/>
              <w:pageBreakBefore w:val="0"/>
              <w:widowControl w:val="0"/>
              <w:numPr>
                <w:ilvl w:val="0"/>
                <w:numId w:val="6"/>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满足本项目需求的备品备件；</w:t>
            </w:r>
          </w:p>
          <w:p w14:paraId="4C069F7F">
            <w:pPr>
              <w:keepNext w:val="0"/>
              <w:keepLines w:val="0"/>
              <w:pageBreakBefore w:val="0"/>
              <w:widowControl w:val="0"/>
              <w:numPr>
                <w:ilvl w:val="0"/>
                <w:numId w:val="6"/>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设施设备出现重大事故应对机制。</w:t>
            </w:r>
          </w:p>
          <w:p w14:paraId="0E2BADE2">
            <w:pPr>
              <w:keepNext w:val="0"/>
              <w:keepLines w:val="0"/>
              <w:pageBreakBefore w:val="0"/>
              <w:widowControl w:val="0"/>
              <w:numPr>
                <w:ilvl w:val="0"/>
                <w:numId w:val="0"/>
              </w:numPr>
              <w:kinsoku/>
              <w:wordWrap/>
              <w:overflowPunct/>
              <w:topLinePunct w:val="0"/>
              <w:autoSpaceDE/>
              <w:autoSpaceDN/>
              <w:bidi w:val="0"/>
              <w:adjustRightInd/>
              <w:snapToGrid/>
              <w:ind w:left="0" w:leftChars="0" w:firstLine="472" w:firstLineChars="200"/>
              <w:jc w:val="left"/>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en-US" w:bidi="ar-SA"/>
              </w:rPr>
              <w:t>以上</w:t>
            </w:r>
            <w:r>
              <w:rPr>
                <w:rFonts w:hint="eastAsia" w:ascii="宋体" w:hAnsi="宋体" w:eastAsia="宋体" w:cs="宋体"/>
                <w:snapToGrid w:val="0"/>
                <w:color w:val="auto"/>
                <w:spacing w:val="-2"/>
                <w:kern w:val="0"/>
                <w:sz w:val="24"/>
                <w:szCs w:val="24"/>
                <w:highlight w:val="none"/>
                <w:lang w:val="en-US" w:eastAsia="zh-CN" w:bidi="ar-SA"/>
              </w:rPr>
              <w:t>6</w:t>
            </w:r>
            <w:r>
              <w:rPr>
                <w:rFonts w:hint="eastAsia" w:ascii="宋体" w:hAnsi="宋体" w:eastAsia="宋体" w:cs="宋体"/>
                <w:snapToGrid w:val="0"/>
                <w:color w:val="auto"/>
                <w:spacing w:val="-2"/>
                <w:kern w:val="0"/>
                <w:sz w:val="24"/>
                <w:szCs w:val="24"/>
                <w:highlight w:val="none"/>
                <w:lang w:val="en-US" w:eastAsia="en-US" w:bidi="ar-SA"/>
              </w:rPr>
              <w:t>个部分内容齐全，且同时满足内容详实，充分考虑项目实际的得</w:t>
            </w:r>
            <w:r>
              <w:rPr>
                <w:rFonts w:hint="eastAsia" w:ascii="宋体" w:hAnsi="宋体" w:eastAsia="宋体" w:cs="宋体"/>
                <w:snapToGrid w:val="0"/>
                <w:color w:val="auto"/>
                <w:spacing w:val="-2"/>
                <w:kern w:val="0"/>
                <w:sz w:val="24"/>
                <w:szCs w:val="24"/>
                <w:highlight w:val="none"/>
                <w:lang w:val="en-US" w:eastAsia="zh-CN" w:bidi="ar-SA"/>
              </w:rPr>
              <w:t>6</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eastAsia="宋体" w:cs="宋体"/>
                <w:snapToGrid w:val="0"/>
                <w:color w:val="auto"/>
                <w:spacing w:val="-2"/>
                <w:kern w:val="0"/>
                <w:sz w:val="24"/>
                <w:szCs w:val="24"/>
                <w:highlight w:val="none"/>
                <w:lang w:val="en-US" w:eastAsia="zh-CN" w:bidi="ar-SA"/>
              </w:rPr>
              <w:t>1</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eastAsia="宋体" w:cs="宋体"/>
                <w:snapToGrid w:val="0"/>
                <w:color w:val="auto"/>
                <w:spacing w:val="-2"/>
                <w:kern w:val="0"/>
                <w:sz w:val="24"/>
                <w:szCs w:val="24"/>
                <w:highlight w:val="none"/>
                <w:lang w:val="en-US" w:eastAsia="zh-CN" w:bidi="ar-SA"/>
              </w:rPr>
              <w:t>0.5</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1731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1FCDC819">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质量保证措施</w:t>
            </w:r>
          </w:p>
        </w:tc>
        <w:tc>
          <w:tcPr>
            <w:tcW w:w="794" w:type="dxa"/>
            <w:noWrap w:val="0"/>
            <w:vAlign w:val="center"/>
          </w:tcPr>
          <w:p w14:paraId="4FB0F47C">
            <w:pPr>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w:t>
            </w:r>
          </w:p>
        </w:tc>
        <w:tc>
          <w:tcPr>
            <w:tcW w:w="7937" w:type="dxa"/>
            <w:noWrap w:val="0"/>
            <w:vAlign w:val="center"/>
          </w:tcPr>
          <w:p w14:paraId="060C15B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质量保证措施包括但不限于：</w:t>
            </w:r>
          </w:p>
          <w:p w14:paraId="462223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1、完整的质量保证体系；</w:t>
            </w:r>
          </w:p>
          <w:p w14:paraId="6C6A981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2、确保质量的技术组织措施；</w:t>
            </w:r>
          </w:p>
          <w:p w14:paraId="1BB2B94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3、针对质量目标的保证措施；</w:t>
            </w:r>
          </w:p>
          <w:p w14:paraId="70B6715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4、针对质量控制的保证措施；</w:t>
            </w:r>
          </w:p>
          <w:p w14:paraId="6D4C18A0">
            <w:pPr>
              <w:keepNext w:val="0"/>
              <w:keepLines w:val="0"/>
              <w:pageBreakBefore w:val="0"/>
              <w:widowControl w:val="0"/>
              <w:kinsoku/>
              <w:wordWrap/>
              <w:overflowPunct/>
              <w:topLinePunct w:val="0"/>
              <w:autoSpaceDE/>
              <w:autoSpaceDN/>
              <w:bidi w:val="0"/>
              <w:adjustRightInd/>
              <w:snapToGrid/>
              <w:ind w:firstLine="47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以上</w:t>
            </w:r>
            <w:r>
              <w:rPr>
                <w:rFonts w:hint="eastAsia" w:ascii="宋体" w:hAnsi="宋体" w:eastAsia="宋体" w:cs="宋体"/>
                <w:snapToGrid w:val="0"/>
                <w:color w:val="auto"/>
                <w:spacing w:val="-2"/>
                <w:kern w:val="0"/>
                <w:sz w:val="24"/>
                <w:szCs w:val="24"/>
                <w:highlight w:val="none"/>
                <w:lang w:val="en-US" w:eastAsia="zh-CN" w:bidi="ar-SA"/>
              </w:rPr>
              <w:t>4</w:t>
            </w:r>
            <w:r>
              <w:rPr>
                <w:rFonts w:hint="eastAsia" w:ascii="宋体" w:hAnsi="宋体" w:eastAsia="宋体" w:cs="宋体"/>
                <w:snapToGrid w:val="0"/>
                <w:color w:val="auto"/>
                <w:spacing w:val="-2"/>
                <w:kern w:val="0"/>
                <w:sz w:val="24"/>
                <w:szCs w:val="24"/>
                <w:highlight w:val="none"/>
                <w:lang w:val="en-US" w:eastAsia="en-US" w:bidi="ar-SA"/>
              </w:rPr>
              <w:t>个部分内容齐全，且同时满足内容详实，充分考虑项目实际的得</w:t>
            </w:r>
            <w:r>
              <w:rPr>
                <w:rFonts w:hint="eastAsia" w:ascii="宋体" w:hAnsi="宋体" w:eastAsia="宋体" w:cs="宋体"/>
                <w:snapToGrid w:val="0"/>
                <w:color w:val="auto"/>
                <w:spacing w:val="-2"/>
                <w:kern w:val="0"/>
                <w:sz w:val="24"/>
                <w:szCs w:val="24"/>
                <w:highlight w:val="none"/>
                <w:lang w:val="en-US" w:eastAsia="zh-CN" w:bidi="ar-SA"/>
              </w:rPr>
              <w:t>8</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eastAsia="宋体" w:cs="宋体"/>
                <w:snapToGrid w:val="0"/>
                <w:color w:val="auto"/>
                <w:spacing w:val="-2"/>
                <w:kern w:val="0"/>
                <w:sz w:val="24"/>
                <w:szCs w:val="24"/>
                <w:highlight w:val="none"/>
                <w:lang w:val="en-US" w:eastAsia="zh-CN" w:bidi="ar-SA"/>
              </w:rPr>
              <w:t>1</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1881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4C440A50">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应急</w:t>
            </w:r>
          </w:p>
          <w:p w14:paraId="2F94A7D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预案</w:t>
            </w:r>
          </w:p>
        </w:tc>
        <w:tc>
          <w:tcPr>
            <w:tcW w:w="794" w:type="dxa"/>
            <w:noWrap w:val="0"/>
            <w:vAlign w:val="center"/>
          </w:tcPr>
          <w:p w14:paraId="6194D640">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8</w:t>
            </w:r>
          </w:p>
        </w:tc>
        <w:tc>
          <w:tcPr>
            <w:tcW w:w="7937" w:type="dxa"/>
            <w:noWrap w:val="0"/>
            <w:vAlign w:val="center"/>
          </w:tcPr>
          <w:p w14:paraId="6CDD5C1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针对本项目制定符合采购人需求的突发事件包括但不限于以下内容：</w:t>
            </w:r>
          </w:p>
          <w:p w14:paraId="1505179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突发事件应急处理小组及人员分工；</w:t>
            </w:r>
          </w:p>
          <w:p w14:paraId="0D8408F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突发事件防范；</w:t>
            </w:r>
          </w:p>
          <w:p w14:paraId="2505F9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可能突发的事件及处理；</w:t>
            </w:r>
          </w:p>
          <w:p w14:paraId="4ECCED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突发事件应急措施。</w:t>
            </w:r>
          </w:p>
          <w:p w14:paraId="68896279">
            <w:pPr>
              <w:keepNext w:val="0"/>
              <w:keepLines w:val="0"/>
              <w:pageBreakBefore w:val="0"/>
              <w:widowControl w:val="0"/>
              <w:kinsoku/>
              <w:wordWrap/>
              <w:overflowPunct/>
              <w:topLinePunct w:val="0"/>
              <w:autoSpaceDE/>
              <w:autoSpaceDN/>
              <w:bidi w:val="0"/>
              <w:adjustRightInd/>
              <w:snapToGrid/>
              <w:ind w:firstLine="47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以上</w:t>
            </w:r>
            <w:r>
              <w:rPr>
                <w:rFonts w:hint="eastAsia" w:ascii="宋体" w:hAnsi="宋体" w:eastAsia="宋体" w:cs="宋体"/>
                <w:snapToGrid w:val="0"/>
                <w:color w:val="auto"/>
                <w:spacing w:val="-2"/>
                <w:kern w:val="0"/>
                <w:sz w:val="24"/>
                <w:szCs w:val="24"/>
                <w:highlight w:val="none"/>
                <w:lang w:val="en-US" w:eastAsia="zh-CN" w:bidi="ar-SA"/>
              </w:rPr>
              <w:t>4</w:t>
            </w:r>
            <w:r>
              <w:rPr>
                <w:rFonts w:hint="eastAsia" w:ascii="宋体" w:hAnsi="宋体" w:eastAsia="宋体" w:cs="宋体"/>
                <w:snapToGrid w:val="0"/>
                <w:color w:val="auto"/>
                <w:spacing w:val="-2"/>
                <w:kern w:val="0"/>
                <w:sz w:val="24"/>
                <w:szCs w:val="24"/>
                <w:highlight w:val="none"/>
                <w:lang w:val="en-US" w:eastAsia="en-US" w:bidi="ar-SA"/>
              </w:rPr>
              <w:t>个部分内容齐全，且同时满足内容详实，充分考虑项目实际的得</w:t>
            </w:r>
            <w:r>
              <w:rPr>
                <w:rFonts w:hint="eastAsia" w:ascii="宋体" w:hAnsi="宋体" w:eastAsia="宋体" w:cs="宋体"/>
                <w:snapToGrid w:val="0"/>
                <w:color w:val="auto"/>
                <w:spacing w:val="-2"/>
                <w:kern w:val="0"/>
                <w:sz w:val="24"/>
                <w:szCs w:val="24"/>
                <w:highlight w:val="none"/>
                <w:lang w:val="en-US" w:eastAsia="zh-CN" w:bidi="ar-SA"/>
              </w:rPr>
              <w:t>8</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eastAsia="宋体" w:cs="宋体"/>
                <w:snapToGrid w:val="0"/>
                <w:color w:val="auto"/>
                <w:spacing w:val="-2"/>
                <w:kern w:val="0"/>
                <w:sz w:val="24"/>
                <w:szCs w:val="24"/>
                <w:highlight w:val="none"/>
                <w:lang w:val="en-US" w:eastAsia="zh-CN" w:bidi="ar-SA"/>
              </w:rPr>
              <w:t>1</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7A7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14:paraId="5BD9D058">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w:t>
            </w:r>
          </w:p>
          <w:p w14:paraId="541BEBDF">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w:t>
            </w:r>
          </w:p>
        </w:tc>
        <w:tc>
          <w:tcPr>
            <w:tcW w:w="794" w:type="dxa"/>
            <w:noWrap w:val="0"/>
            <w:vAlign w:val="center"/>
          </w:tcPr>
          <w:p w14:paraId="75D511B6">
            <w:pPr>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4</w:t>
            </w:r>
          </w:p>
        </w:tc>
        <w:tc>
          <w:tcPr>
            <w:tcW w:w="7937" w:type="dxa"/>
            <w:noWrap w:val="0"/>
            <w:vAlign w:val="center"/>
          </w:tcPr>
          <w:p w14:paraId="4F43D39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能结合采购人现有资源提出详细的技术培训方案，并提供了完整的相关培训资料，并有效提升工作质量。</w:t>
            </w:r>
            <w:bookmarkStart w:id="164" w:name="OLE_LINK80"/>
            <w:bookmarkStart w:id="165" w:name="OLE_LINK81"/>
            <w:r>
              <w:rPr>
                <w:rFonts w:hint="eastAsia" w:ascii="宋体" w:hAnsi="宋体" w:eastAsia="宋体" w:cs="宋体"/>
                <w:bCs/>
                <w:color w:val="auto"/>
                <w:sz w:val="24"/>
                <w:highlight w:val="none"/>
              </w:rPr>
              <w:t>方案</w:t>
            </w:r>
            <w:bookmarkEnd w:id="164"/>
            <w:bookmarkEnd w:id="165"/>
            <w:r>
              <w:rPr>
                <w:rFonts w:hint="eastAsia" w:ascii="宋体" w:hAnsi="宋体" w:eastAsia="宋体" w:cs="宋体"/>
                <w:bCs/>
                <w:color w:val="auto"/>
                <w:sz w:val="24"/>
                <w:highlight w:val="none"/>
              </w:rPr>
              <w:t>包括：</w:t>
            </w:r>
          </w:p>
          <w:p w14:paraId="5141DCDF">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培训目的（运营、安全、技能、运维）</w:t>
            </w:r>
          </w:p>
          <w:p w14:paraId="585C9656">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培训对象</w:t>
            </w:r>
          </w:p>
          <w:p w14:paraId="0ED241DE">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培训形式</w:t>
            </w:r>
          </w:p>
          <w:p w14:paraId="054F9474">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培训计划，</w:t>
            </w:r>
          </w:p>
          <w:p w14:paraId="344345B0">
            <w:pPr>
              <w:keepNext w:val="0"/>
              <w:keepLines w:val="0"/>
              <w:pageBreakBefore w:val="0"/>
              <w:widowControl w:val="0"/>
              <w:numPr>
                <w:ilvl w:val="0"/>
                <w:numId w:val="0"/>
              </w:numPr>
              <w:kinsoku/>
              <w:wordWrap/>
              <w:overflowPunct/>
              <w:topLinePunct w:val="0"/>
              <w:autoSpaceDE/>
              <w:autoSpaceDN/>
              <w:bidi w:val="0"/>
              <w:adjustRightInd/>
              <w:snapToGrid/>
              <w:ind w:firstLine="47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以上</w:t>
            </w:r>
            <w:r>
              <w:rPr>
                <w:rFonts w:hint="eastAsia" w:ascii="宋体" w:hAnsi="宋体" w:eastAsia="宋体" w:cs="宋体"/>
                <w:snapToGrid w:val="0"/>
                <w:color w:val="auto"/>
                <w:spacing w:val="-2"/>
                <w:kern w:val="0"/>
                <w:sz w:val="24"/>
                <w:szCs w:val="24"/>
                <w:highlight w:val="none"/>
                <w:lang w:val="en-US" w:eastAsia="zh-CN" w:bidi="ar-SA"/>
              </w:rPr>
              <w:t>4</w:t>
            </w:r>
            <w:r>
              <w:rPr>
                <w:rFonts w:hint="eastAsia" w:ascii="宋体" w:hAnsi="宋体" w:eastAsia="宋体" w:cs="宋体"/>
                <w:snapToGrid w:val="0"/>
                <w:color w:val="auto"/>
                <w:spacing w:val="-2"/>
                <w:kern w:val="0"/>
                <w:sz w:val="24"/>
                <w:szCs w:val="24"/>
                <w:highlight w:val="none"/>
                <w:lang w:val="en-US" w:eastAsia="en-US" w:bidi="ar-SA"/>
              </w:rPr>
              <w:t>个部分内容齐全，且同时满足内容详实，充分考虑项目实际的得</w:t>
            </w:r>
            <w:r>
              <w:rPr>
                <w:rFonts w:hint="eastAsia" w:ascii="宋体" w:hAnsi="宋体" w:cs="宋体"/>
                <w:snapToGrid w:val="0"/>
                <w:color w:val="auto"/>
                <w:spacing w:val="-2"/>
                <w:kern w:val="0"/>
                <w:sz w:val="24"/>
                <w:szCs w:val="24"/>
                <w:highlight w:val="none"/>
                <w:lang w:val="en-US" w:eastAsia="zh-CN" w:bidi="ar-SA"/>
              </w:rPr>
              <w:t>4</w:t>
            </w:r>
            <w:r>
              <w:rPr>
                <w:rFonts w:hint="eastAsia" w:ascii="宋体" w:hAnsi="宋体" w:eastAsia="宋体" w:cs="宋体"/>
                <w:snapToGrid w:val="0"/>
                <w:color w:val="auto"/>
                <w:spacing w:val="-2"/>
                <w:kern w:val="0"/>
                <w:sz w:val="24"/>
                <w:szCs w:val="24"/>
                <w:highlight w:val="none"/>
                <w:lang w:val="en-US" w:eastAsia="en-US" w:bidi="ar-SA"/>
              </w:rPr>
              <w:t>分。每有一项未提供扣</w:t>
            </w:r>
            <w:r>
              <w:rPr>
                <w:rFonts w:hint="eastAsia" w:ascii="宋体" w:hAnsi="宋体" w:cs="宋体"/>
                <w:snapToGrid w:val="0"/>
                <w:color w:val="auto"/>
                <w:spacing w:val="-2"/>
                <w:kern w:val="0"/>
                <w:sz w:val="24"/>
                <w:szCs w:val="24"/>
                <w:highlight w:val="none"/>
                <w:lang w:val="en-US" w:eastAsia="zh-CN" w:bidi="ar-SA"/>
              </w:rPr>
              <w:t>1</w:t>
            </w:r>
            <w:r>
              <w:rPr>
                <w:rFonts w:hint="eastAsia" w:ascii="宋体" w:hAnsi="宋体" w:eastAsia="宋体" w:cs="宋体"/>
                <w:snapToGrid w:val="0"/>
                <w:color w:val="auto"/>
                <w:spacing w:val="-2"/>
                <w:kern w:val="0"/>
                <w:sz w:val="24"/>
                <w:szCs w:val="24"/>
                <w:highlight w:val="none"/>
                <w:lang w:val="en-US" w:eastAsia="en-US" w:bidi="ar-SA"/>
              </w:rPr>
              <w:t>分，扣完为止；每有一处有缺陷扣</w:t>
            </w:r>
            <w:r>
              <w:rPr>
                <w:rFonts w:hint="eastAsia" w:ascii="宋体" w:hAnsi="宋体" w:eastAsia="宋体" w:cs="宋体"/>
                <w:snapToGrid w:val="0"/>
                <w:color w:val="auto"/>
                <w:spacing w:val="-2"/>
                <w:kern w:val="0"/>
                <w:sz w:val="24"/>
                <w:szCs w:val="24"/>
                <w:highlight w:val="none"/>
                <w:lang w:val="en-US" w:eastAsia="zh-CN" w:bidi="ar-SA"/>
              </w:rPr>
              <w:t>0.</w:t>
            </w:r>
            <w:r>
              <w:rPr>
                <w:rFonts w:hint="eastAsia" w:ascii="宋体" w:hAnsi="宋体" w:cs="宋体"/>
                <w:snapToGrid w:val="0"/>
                <w:color w:val="auto"/>
                <w:spacing w:val="-2"/>
                <w:kern w:val="0"/>
                <w:sz w:val="24"/>
                <w:szCs w:val="24"/>
                <w:highlight w:val="none"/>
                <w:lang w:val="en-US" w:eastAsia="zh-CN" w:bidi="ar-SA"/>
              </w:rPr>
              <w:t>5</w:t>
            </w:r>
            <w:r>
              <w:rPr>
                <w:rFonts w:hint="eastAsia" w:ascii="宋体" w:hAnsi="宋体" w:eastAsia="宋体" w:cs="宋体"/>
                <w:snapToGrid w:val="0"/>
                <w:color w:val="auto"/>
                <w:spacing w:val="-2"/>
                <w:kern w:val="0"/>
                <w:sz w:val="24"/>
                <w:szCs w:val="24"/>
                <w:highlight w:val="none"/>
                <w:lang w:val="en-US" w:eastAsia="en-US" w:bidi="ar-SA"/>
              </w:rPr>
              <w:t>分，扣完为止。（</w:t>
            </w:r>
            <w:r>
              <w:rPr>
                <w:rFonts w:hint="eastAsia" w:ascii="宋体" w:hAnsi="宋体" w:eastAsia="宋体" w:cs="宋体"/>
                <w:snapToGrid w:val="0"/>
                <w:color w:val="auto"/>
                <w:spacing w:val="-2"/>
                <w:kern w:val="0"/>
                <w:sz w:val="24"/>
                <w:szCs w:val="24"/>
                <w:highlight w:val="none"/>
                <w:lang w:val="en-US" w:eastAsia="zh-CN" w:bidi="ar-SA"/>
              </w:rPr>
              <w:t>“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bookmarkEnd w:id="163"/>
    </w:tbl>
    <w:p w14:paraId="34AF3DBB">
      <w:pPr>
        <w:spacing w:line="400" w:lineRule="exact"/>
        <w:jc w:val="center"/>
        <w:rPr>
          <w:rFonts w:hint="eastAsia" w:ascii="宋体" w:hAnsi="宋体" w:cs="宋体"/>
          <w:b/>
          <w:color w:val="auto"/>
          <w:sz w:val="24"/>
          <w:szCs w:val="24"/>
          <w:highlight w:val="none"/>
        </w:rPr>
      </w:pPr>
    </w:p>
    <w:p w14:paraId="339D6740">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说明：技术偏离表与投标人所提供的技术资料参数不符情况视为虚假应标，予以废标处理，其风险由投标人自行承担。</w:t>
      </w:r>
    </w:p>
    <w:p w14:paraId="3789885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4.5.6 供应商总分=商务部分得分+技术部分得分+报价部分得分，结果保留两位小数。</w:t>
      </w:r>
    </w:p>
    <w:p w14:paraId="346FA7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bookmarkStart w:id="166" w:name="_Toc217446060"/>
      <w:r>
        <w:rPr>
          <w:rFonts w:hint="eastAsia" w:ascii="宋体" w:hAnsi="宋体" w:eastAsia="宋体" w:cs="宋体"/>
          <w:bCs/>
          <w:color w:val="auto"/>
          <w:sz w:val="24"/>
          <w:szCs w:val="24"/>
          <w:highlight w:val="none"/>
          <w:lang w:val="en-US" w:eastAsia="zh-CN"/>
        </w:rPr>
        <w:t>5. 废标</w:t>
      </w:r>
    </w:p>
    <w:p w14:paraId="038E77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本次政府采购活动中，出现下列情形之一的，予以废标：</w:t>
      </w:r>
    </w:p>
    <w:p w14:paraId="2BAACF0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（1）符合专业条件的供应商或者对采购文件作实质响应的供应商不足三家的；</w:t>
      </w:r>
    </w:p>
    <w:p w14:paraId="49A879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（2）出现影响采购公正的违法、违规行为的；</w:t>
      </w:r>
    </w:p>
    <w:p w14:paraId="3ACA1F5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（3）供应商的报价均超过了采购预算，采购人不能支付的；</w:t>
      </w:r>
    </w:p>
    <w:p w14:paraId="1CF0ABC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（4）因重大变故，采购任务取消的。</w:t>
      </w:r>
    </w:p>
    <w:p w14:paraId="48FF76D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废标后，采购代理机构应在发布采购公告的媒体上发布废标公告，并公告废标的详细理由。</w:t>
      </w:r>
    </w:p>
    <w:p w14:paraId="62BE1F6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 定标</w:t>
      </w:r>
      <w:bookmarkEnd w:id="166"/>
      <w:bookmarkStart w:id="167" w:name="_Toc217446061"/>
    </w:p>
    <w:p w14:paraId="406C4C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6.1 定标原则</w:t>
      </w:r>
      <w:bookmarkEnd w:id="167"/>
      <w:r>
        <w:rPr>
          <w:rFonts w:hint="eastAsia" w:ascii="宋体" w:hAnsi="宋体" w:eastAsia="宋体" w:cs="宋体"/>
          <w:bCs/>
          <w:color w:val="auto"/>
          <w:sz w:val="24"/>
          <w:szCs w:val="24"/>
          <w:highlight w:val="none"/>
          <w:lang w:val="en-US" w:eastAsia="zh-CN"/>
        </w:rPr>
        <w:t>：本项目根据评标委员会推荐的中标（成交）候选人名单，按顺序确定成交人。</w:t>
      </w:r>
    </w:p>
    <w:p w14:paraId="1A3662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bookmarkStart w:id="168" w:name="_Toc217446062"/>
      <w:r>
        <w:rPr>
          <w:rFonts w:hint="eastAsia" w:ascii="宋体" w:hAnsi="宋体" w:eastAsia="宋体" w:cs="宋体"/>
          <w:bCs/>
          <w:color w:val="auto"/>
          <w:sz w:val="24"/>
          <w:szCs w:val="24"/>
          <w:highlight w:val="none"/>
          <w:lang w:val="en-US" w:eastAsia="zh-CN"/>
        </w:rPr>
        <w:t>6.2 定标程序</w:t>
      </w:r>
      <w:bookmarkEnd w:id="168"/>
    </w:p>
    <w:p w14:paraId="0D4E0E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6.2.1 评标委员会将评标情况写出书面报告，推荐中标（成交）候选人，并按照综合得分高低标明排列顺序。本项目采用综合评分法，评标结果按评审后得分由高到低顺序排列。得分相同的，按</w:t>
      </w:r>
      <w:r>
        <w:rPr>
          <w:rFonts w:hint="eastAsia" w:ascii="宋体" w:hAnsi="宋体" w:cs="宋体"/>
          <w:bCs/>
          <w:color w:val="auto"/>
          <w:sz w:val="24"/>
          <w:szCs w:val="24"/>
          <w:highlight w:val="none"/>
          <w:lang w:val="en-US" w:eastAsia="zh-CN"/>
        </w:rPr>
        <w:t>磋商报价</w:t>
      </w:r>
      <w:r>
        <w:rPr>
          <w:rFonts w:hint="eastAsia" w:ascii="宋体" w:hAnsi="宋体" w:eastAsia="宋体" w:cs="宋体"/>
          <w:bCs/>
          <w:color w:val="auto"/>
          <w:sz w:val="24"/>
          <w:szCs w:val="24"/>
          <w:highlight w:val="none"/>
          <w:lang w:val="en-US" w:eastAsia="zh-CN"/>
        </w:rPr>
        <w:t>由低到高顺序排列。得分且</w:t>
      </w:r>
      <w:r>
        <w:rPr>
          <w:rFonts w:hint="eastAsia" w:ascii="宋体" w:hAnsi="宋体" w:cs="宋体"/>
          <w:bCs/>
          <w:color w:val="auto"/>
          <w:sz w:val="24"/>
          <w:szCs w:val="24"/>
          <w:highlight w:val="none"/>
          <w:lang w:val="en-US" w:eastAsia="zh-CN"/>
        </w:rPr>
        <w:t>磋商报价</w:t>
      </w:r>
      <w:r>
        <w:rPr>
          <w:rFonts w:hint="eastAsia" w:ascii="宋体" w:hAnsi="宋体" w:eastAsia="宋体" w:cs="宋体"/>
          <w:bCs/>
          <w:color w:val="auto"/>
          <w:sz w:val="24"/>
          <w:szCs w:val="24"/>
          <w:highlight w:val="none"/>
          <w:lang w:val="en-US" w:eastAsia="zh-CN"/>
        </w:rPr>
        <w:t>相同的排序并列。</w:t>
      </w:r>
    </w:p>
    <w:p w14:paraId="2807B17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6.2.2 采购代理机构在评标结束后两个工作日内将评标报告送至采购人。</w:t>
      </w:r>
    </w:p>
    <w:p w14:paraId="09831C1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6.2.3 采购人应当自收到评审报告之日起5个工作日内在评审报告推荐的中标（成交）候选人中按顺序确定成交供应商。</w:t>
      </w:r>
    </w:p>
    <w:p w14:paraId="54CB02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6.2.4 根据采购人确定的中标（成交）人，采购人在采购公告发布的媒体上发布中标（成交）公告，同时向中标（成交）人发出中标（成交）通知书。</w:t>
      </w:r>
    </w:p>
    <w:p w14:paraId="1A91478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6.2.5 采购单位不退回投标文件和其他投标资料。</w:t>
      </w:r>
      <w:bookmarkEnd w:id="158"/>
    </w:p>
    <w:p w14:paraId="72DDEAD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bookmarkStart w:id="169" w:name="_Toc217446105"/>
      <w:bookmarkStart w:id="170" w:name="_Toc183582297"/>
      <w:bookmarkStart w:id="171" w:name="_Toc183682432"/>
      <w:bookmarkStart w:id="172" w:name="_Toc208849022"/>
      <w:r>
        <w:rPr>
          <w:rFonts w:hint="eastAsia" w:ascii="宋体" w:hAnsi="宋体" w:eastAsia="宋体" w:cs="宋体"/>
          <w:bCs/>
          <w:color w:val="auto"/>
          <w:sz w:val="24"/>
          <w:szCs w:val="24"/>
          <w:highlight w:val="none"/>
          <w:lang w:val="en-US" w:eastAsia="zh-CN"/>
        </w:rPr>
        <w:t xml:space="preserve">7. </w:t>
      </w:r>
      <w:bookmarkEnd w:id="169"/>
      <w:bookmarkEnd w:id="170"/>
      <w:bookmarkEnd w:id="171"/>
      <w:bookmarkEnd w:id="172"/>
      <w:r>
        <w:rPr>
          <w:rFonts w:hint="eastAsia" w:ascii="宋体" w:hAnsi="宋体" w:eastAsia="宋体" w:cs="宋体"/>
          <w:bCs/>
          <w:color w:val="auto"/>
          <w:sz w:val="24"/>
          <w:szCs w:val="24"/>
          <w:highlight w:val="none"/>
          <w:lang w:val="en-US" w:eastAsia="zh-CN"/>
        </w:rPr>
        <w:t>评标专家在政府采购活动中承担以下义务：</w:t>
      </w:r>
    </w:p>
    <w:p w14:paraId="1DC5BB5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7.1 遵纪守法，客观、公正、廉洁地履行职责。</w:t>
      </w:r>
    </w:p>
    <w:p w14:paraId="1206B51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7.2 按照政府采购法律法规和采购文件的规定要求对供应商的资格条件和供应商提供的产品价格、技术、服务等方面严格进行评判，提供科学合理、公平公正的评审意见，参与起草评审报告，并予签字确认。</w:t>
      </w:r>
    </w:p>
    <w:p w14:paraId="77E004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7.3 保守秘密。不得透露采购文件咨询情况，不得泄漏供应商的投标文件及知悉的商业秘密，不得向供应商透露评审情况。</w:t>
      </w:r>
    </w:p>
    <w:p w14:paraId="1E41CF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7.4 发现供应商在政府采购活动中有不正当竞争或恶意串通等违规行为，及时向政府采购评审工作的组织者或财政部门报告并加以制止。</w:t>
      </w:r>
    </w:p>
    <w:p w14:paraId="1EE88AB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发现采购人、政府采购代理机构及其工作人员在政府采购活动中有干预评审、发表倾向性和歧视性言论、受贿或者接受供应商的其他好处及其他违法违规行为，及时向财政部门报告。</w:t>
      </w:r>
    </w:p>
    <w:p w14:paraId="0E8D9E7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7.5 解答有关方面对政府采购评审工作中有关问题的询问，配合采购人或者政府采购代理机构答复供应商质疑，配合财政部门的投诉处理工作等事宜。</w:t>
      </w:r>
    </w:p>
    <w:p w14:paraId="3100445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7.6 法律、法规和规章规定的其他义务。</w:t>
      </w:r>
    </w:p>
    <w:p w14:paraId="5310DEA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 评审专家在政府采购活动中应当遵守以下工作纪律：</w:t>
      </w:r>
    </w:p>
    <w:p w14:paraId="59FD1C0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8.1 应邀按时参加评审和咨询活动。遇特殊情况不能出席或途中遇阻不能按时参加评审或咨询的，应及时告知财政部门或者采购人或者政府采购代理机构，不得私自转托他人。</w:t>
      </w:r>
    </w:p>
    <w:p w14:paraId="67676FF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8.2 不得参加与自己有利害关系的政府采购项目的评审活动。对与自己有利害关系的评审项目，如受到邀请，应主动提出回避。财政部门、采购人或政府采购代理机构也可要求该评审专家回避。</w:t>
      </w:r>
    </w:p>
    <w:p w14:paraId="12CF017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有利害关系主要是指三年内曾在参加该采购项目供应商中任职</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包括一般工作</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或担任顾问，配偶或直系亲属在参加该采购项目的供应商中任职或担任顾问，与参加该采购项目供应商发生过法律纠纷，以及其他可能影响公正评审的情况。</w:t>
      </w:r>
    </w:p>
    <w:p w14:paraId="318DE3A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8.3 评审或咨询过程中关闭通讯设备，不得与外界联系。因发生不可预见情况，确实需要与外界联系的，应当有在场工作人员陪同。</w:t>
      </w:r>
    </w:p>
    <w:p w14:paraId="256CEFD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8.4 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68A63B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8.5 在咨询工作中，严格执行国家产业政策和产品标准，认真听取咨询方的合理要求，提出科学合理的、无倾向性和歧视性的咨询方案，并对所提出的意见和建议承担个人责任。</w:t>
      </w:r>
    </w:p>
    <w:p w14:paraId="735D41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3136B249">
      <w:pPr>
        <w:pStyle w:val="37"/>
        <w:rPr>
          <w:rFonts w:hint="eastAsia" w:ascii="宋体" w:hAnsi="宋体" w:eastAsia="宋体" w:cs="宋体"/>
          <w:bCs/>
          <w:color w:val="auto"/>
          <w:sz w:val="24"/>
          <w:szCs w:val="24"/>
          <w:highlight w:val="none"/>
          <w:lang w:val="en-US" w:eastAsia="zh-CN"/>
        </w:rPr>
      </w:pPr>
    </w:p>
    <w:p w14:paraId="2FA33B21">
      <w:pPr>
        <w:rPr>
          <w:rFonts w:hint="eastAsia" w:ascii="宋体" w:hAnsi="宋体" w:eastAsia="宋体" w:cs="宋体"/>
          <w:b/>
          <w:bCs w:val="0"/>
          <w:color w:val="auto"/>
          <w:kern w:val="44"/>
          <w:sz w:val="32"/>
          <w:szCs w:val="44"/>
          <w:highlight w:val="none"/>
          <w:lang w:val="en-US" w:eastAsia="zh-CN" w:bidi="ar-SA"/>
        </w:rPr>
      </w:pPr>
      <w:bookmarkStart w:id="173" w:name="_Toc25262"/>
      <w:bookmarkStart w:id="174" w:name="_Toc17352"/>
      <w:bookmarkStart w:id="175" w:name="_Toc23075"/>
      <w:bookmarkStart w:id="176" w:name="_Toc2502"/>
      <w:r>
        <w:rPr>
          <w:rFonts w:hint="eastAsia" w:ascii="宋体" w:hAnsi="宋体" w:eastAsia="宋体" w:cs="宋体"/>
          <w:b/>
          <w:bCs w:val="0"/>
          <w:color w:val="auto"/>
          <w:kern w:val="44"/>
          <w:sz w:val="32"/>
          <w:szCs w:val="44"/>
          <w:highlight w:val="none"/>
          <w:lang w:val="en-US" w:eastAsia="zh-CN" w:bidi="ar-SA"/>
        </w:rPr>
        <w:br w:type="page"/>
      </w:r>
    </w:p>
    <w:p w14:paraId="3E1CA717">
      <w:pPr>
        <w:pStyle w:val="2"/>
        <w:numPr>
          <w:ilvl w:val="0"/>
          <w:numId w:val="0"/>
        </w:numPr>
        <w:spacing w:before="0" w:after="0" w:line="240" w:lineRule="auto"/>
        <w:jc w:val="center"/>
        <w:rPr>
          <w:rFonts w:hint="eastAsia" w:ascii="宋体" w:hAnsi="宋体" w:eastAsia="宋体" w:cs="宋体"/>
          <w:color w:val="auto"/>
          <w:highlight w:val="none"/>
        </w:rPr>
      </w:pPr>
      <w:bookmarkStart w:id="177" w:name="_Toc3363"/>
      <w:r>
        <w:rPr>
          <w:rFonts w:hint="eastAsia" w:ascii="宋体" w:hAnsi="宋体" w:eastAsia="宋体" w:cs="宋体"/>
          <w:b/>
          <w:bCs w:val="0"/>
          <w:color w:val="auto"/>
          <w:kern w:val="44"/>
          <w:sz w:val="32"/>
          <w:szCs w:val="44"/>
          <w:highlight w:val="none"/>
          <w:lang w:val="en-US" w:eastAsia="zh-CN" w:bidi="ar-SA"/>
        </w:rPr>
        <w:t xml:space="preserve">第五部分  </w:t>
      </w:r>
      <w:bookmarkEnd w:id="173"/>
      <w:r>
        <w:rPr>
          <w:rFonts w:hint="eastAsia" w:ascii="宋体" w:hAnsi="宋体" w:cs="宋体"/>
          <w:b/>
          <w:bCs w:val="0"/>
          <w:color w:val="auto"/>
          <w:kern w:val="44"/>
          <w:sz w:val="32"/>
          <w:szCs w:val="44"/>
          <w:highlight w:val="none"/>
          <w:lang w:val="en-US" w:eastAsia="zh-CN" w:bidi="ar-SA"/>
        </w:rPr>
        <w:t>政府采购合同</w:t>
      </w:r>
      <w:bookmarkEnd w:id="177"/>
    </w:p>
    <w:bookmarkEnd w:id="153"/>
    <w:bookmarkEnd w:id="154"/>
    <w:bookmarkEnd w:id="155"/>
    <w:bookmarkEnd w:id="156"/>
    <w:bookmarkEnd w:id="174"/>
    <w:bookmarkEnd w:id="175"/>
    <w:bookmarkEnd w:id="176"/>
    <w:p w14:paraId="71DE93B7">
      <w:pPr>
        <w:wordWrap w:val="0"/>
        <w:jc w:val="center"/>
        <w:rPr>
          <w:rFonts w:hint="eastAsia" w:eastAsia="宋体"/>
          <w:bCs/>
          <w:i w:val="0"/>
          <w:iCs w:val="0"/>
          <w:color w:val="auto"/>
          <w:sz w:val="24"/>
          <w:szCs w:val="24"/>
          <w:highlight w:val="none"/>
          <w:lang w:eastAsia="zh-CN"/>
        </w:rPr>
      </w:pPr>
      <w:bookmarkStart w:id="178" w:name="_Toc18082"/>
      <w:bookmarkStart w:id="179" w:name="_Toc257633148"/>
      <w:bookmarkStart w:id="180" w:name="_Toc21340"/>
      <w:bookmarkStart w:id="181" w:name="_Toc13678"/>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1A4C02E3">
      <w:pPr>
        <w:pStyle w:val="17"/>
        <w:spacing w:after="0"/>
        <w:jc w:val="both"/>
        <w:rPr>
          <w:rFonts w:ascii="宋体" w:hAnsi="宋体" w:cs="宋体"/>
          <w:b/>
          <w:bCs/>
          <w:i w:val="0"/>
          <w:iCs w:val="0"/>
          <w:color w:val="auto"/>
          <w:spacing w:val="-20"/>
          <w:kern w:val="44"/>
          <w:sz w:val="48"/>
          <w:szCs w:val="48"/>
          <w:highlight w:val="none"/>
        </w:rPr>
      </w:pPr>
    </w:p>
    <w:p w14:paraId="6A083F93">
      <w:pPr>
        <w:pStyle w:val="17"/>
        <w:spacing w:after="0"/>
        <w:jc w:val="center"/>
        <w:rPr>
          <w:rFonts w:ascii="宋体" w:hAnsi="宋体" w:cs="宋体"/>
          <w:b/>
          <w:bCs/>
          <w:i w:val="0"/>
          <w:iCs w:val="0"/>
          <w:color w:val="auto"/>
          <w:spacing w:val="-20"/>
          <w:kern w:val="44"/>
          <w:sz w:val="48"/>
          <w:szCs w:val="48"/>
          <w:highlight w:val="none"/>
        </w:rPr>
      </w:pPr>
    </w:p>
    <w:p w14:paraId="5135E343">
      <w:pPr>
        <w:pStyle w:val="17"/>
        <w:spacing w:after="0"/>
        <w:jc w:val="both"/>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182" w:name="_Toc31237"/>
      <w:bookmarkStart w:id="183" w:name="_Toc3714"/>
      <w:bookmarkStart w:id="184" w:name="_Toc1008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182"/>
      <w:bookmarkEnd w:id="183"/>
      <w:bookmarkEnd w:id="184"/>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185" w:name="_Toc1613"/>
      <w:bookmarkStart w:id="186" w:name="_Toc19383"/>
      <w:bookmarkStart w:id="187" w:name="_Toc8560"/>
      <w:r>
        <w:rPr>
          <w:rFonts w:hint="eastAsia" w:ascii="宋体" w:hAnsi="宋体" w:eastAsia="宋体" w:cs="宋体"/>
          <w:b/>
          <w:bCs/>
          <w:i w:val="0"/>
          <w:iCs w:val="0"/>
          <w:color w:val="auto"/>
          <w:spacing w:val="-20"/>
          <w:kern w:val="44"/>
          <w:sz w:val="44"/>
          <w:szCs w:val="44"/>
          <w:highlight w:val="none"/>
          <w:lang w:val="en-US" w:eastAsia="zh-CN" w:bidi="ar-SA"/>
        </w:rPr>
        <w:t>（服务类）</w:t>
      </w:r>
      <w:bookmarkEnd w:id="185"/>
      <w:bookmarkEnd w:id="186"/>
      <w:bookmarkEnd w:id="187"/>
    </w:p>
    <w:p w14:paraId="78DDAE5C">
      <w:pPr>
        <w:spacing w:line="480" w:lineRule="auto"/>
        <w:jc w:val="center"/>
        <w:rPr>
          <w:rFonts w:hint="eastAsia" w:ascii="宋体" w:hAnsi="宋体" w:eastAsia="宋体" w:cs="宋体"/>
          <w:b/>
          <w:i w:val="0"/>
          <w:iCs w:val="0"/>
          <w:color w:val="auto"/>
          <w:sz w:val="24"/>
          <w:szCs w:val="24"/>
          <w:highlight w:val="none"/>
        </w:rPr>
      </w:pPr>
    </w:p>
    <w:p w14:paraId="7788B2FC">
      <w:pPr>
        <w:spacing w:line="480" w:lineRule="auto"/>
        <w:jc w:val="center"/>
        <w:rPr>
          <w:rFonts w:hint="eastAsia" w:ascii="宋体" w:hAnsi="宋体" w:eastAsia="宋体" w:cs="宋体"/>
          <w:b/>
          <w:i w:val="0"/>
          <w:iCs w:val="0"/>
          <w:color w:val="auto"/>
          <w:sz w:val="24"/>
          <w:szCs w:val="24"/>
          <w:highlight w:val="none"/>
        </w:rPr>
      </w:pPr>
    </w:p>
    <w:p w14:paraId="5E5BC8DA">
      <w:pPr>
        <w:spacing w:line="480" w:lineRule="auto"/>
        <w:jc w:val="center"/>
        <w:rPr>
          <w:rFonts w:hint="eastAsia" w:ascii="宋体" w:hAnsi="宋体" w:eastAsia="宋体" w:cs="宋体"/>
          <w:b/>
          <w:i w:val="0"/>
          <w:iCs w:val="0"/>
          <w:color w:val="auto"/>
          <w:sz w:val="24"/>
          <w:szCs w:val="24"/>
          <w:highlight w:val="none"/>
        </w:rPr>
      </w:pPr>
    </w:p>
    <w:p w14:paraId="0083866C">
      <w:pPr>
        <w:spacing w:line="480" w:lineRule="auto"/>
        <w:jc w:val="both"/>
        <w:rPr>
          <w:rFonts w:hint="eastAsia" w:ascii="宋体" w:hAnsi="宋体" w:eastAsia="宋体" w:cs="宋体"/>
          <w:b/>
          <w:i w:val="0"/>
          <w:iCs w:val="0"/>
          <w:color w:val="auto"/>
          <w:sz w:val="24"/>
          <w:szCs w:val="24"/>
          <w:highlight w:val="none"/>
        </w:rPr>
      </w:pPr>
    </w:p>
    <w:p w14:paraId="55C3B597">
      <w:pPr>
        <w:pStyle w:val="3"/>
        <w:bidi w:val="0"/>
        <w:jc w:val="center"/>
        <w:rPr>
          <w:rFonts w:hint="eastAsia"/>
          <w:color w:val="auto"/>
          <w:sz w:val="36"/>
          <w:szCs w:val="36"/>
          <w:highlight w:val="none"/>
        </w:rPr>
      </w:pPr>
      <w:bookmarkStart w:id="188" w:name="_Toc9879"/>
      <w:bookmarkStart w:id="189" w:name="_Toc2449"/>
      <w:bookmarkStart w:id="190" w:name="_Toc6128"/>
      <w:r>
        <w:rPr>
          <w:rFonts w:hint="eastAsia"/>
          <w:color w:val="auto"/>
          <w:sz w:val="36"/>
          <w:szCs w:val="36"/>
          <w:highlight w:val="none"/>
        </w:rPr>
        <w:t>第一部分 合同书</w:t>
      </w:r>
      <w:bookmarkEnd w:id="188"/>
      <w:bookmarkEnd w:id="189"/>
      <w:bookmarkEnd w:id="190"/>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7"/>
        <w:rPr>
          <w:rFonts w:hint="eastAsia" w:ascii="宋体" w:hAnsi="宋体" w:eastAsia="宋体" w:cs="宋体"/>
          <w:i w:val="0"/>
          <w:iCs w:val="0"/>
          <w:color w:val="auto"/>
          <w:highlight w:val="none"/>
        </w:rPr>
      </w:pPr>
    </w:p>
    <w:p w14:paraId="69570DA0">
      <w:pPr>
        <w:pStyle w:val="17"/>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91" w:name="_Toc24059"/>
      <w:bookmarkStart w:id="192" w:name="_Toc2232"/>
      <w:bookmarkStart w:id="193" w:name="_Toc3029"/>
      <w:r>
        <w:rPr>
          <w:rFonts w:hint="eastAsia" w:ascii="宋体" w:hAnsi="宋体" w:eastAsia="宋体" w:cs="宋体"/>
          <w:b/>
          <w:bCs/>
          <w:i w:val="0"/>
          <w:iCs w:val="0"/>
          <w:color w:val="auto"/>
          <w:sz w:val="24"/>
          <w:szCs w:val="24"/>
          <w:highlight w:val="none"/>
          <w:lang w:val="zh-CN"/>
        </w:rPr>
        <w:t>1.1 合同组成部分</w:t>
      </w:r>
      <w:bookmarkEnd w:id="191"/>
      <w:bookmarkEnd w:id="192"/>
      <w:bookmarkEnd w:id="193"/>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94" w:name="_Toc6773"/>
      <w:bookmarkStart w:id="195" w:name="_Toc2918"/>
      <w:bookmarkStart w:id="196" w:name="_Toc18585"/>
      <w:bookmarkStart w:id="197" w:name="_Toc6311"/>
      <w:bookmarkStart w:id="198" w:name="_Toc22185"/>
      <w:r>
        <w:rPr>
          <w:rFonts w:hint="eastAsia" w:ascii="宋体" w:hAnsi="宋体" w:eastAsia="宋体" w:cs="宋体"/>
          <w:b/>
          <w:bCs/>
          <w:i w:val="0"/>
          <w:iCs w:val="0"/>
          <w:color w:val="auto"/>
          <w:sz w:val="24"/>
          <w:szCs w:val="24"/>
          <w:highlight w:val="none"/>
          <w:lang w:val="zh-CN"/>
        </w:rPr>
        <w:t xml:space="preserve">1.2 </w:t>
      </w:r>
      <w:bookmarkEnd w:id="194"/>
      <w:bookmarkEnd w:id="195"/>
      <w:bookmarkEnd w:id="196"/>
      <w:bookmarkEnd w:id="197"/>
      <w:bookmarkEnd w:id="198"/>
      <w:r>
        <w:rPr>
          <w:rFonts w:hint="eastAsia" w:ascii="宋体" w:hAnsi="宋体" w:eastAsia="宋体" w:cs="宋体"/>
          <w:b/>
          <w:bCs/>
          <w:i w:val="0"/>
          <w:iCs w:val="0"/>
          <w:color w:val="auto"/>
          <w:sz w:val="24"/>
          <w:szCs w:val="24"/>
          <w:highlight w:val="none"/>
          <w:lang w:val="zh-CN"/>
        </w:rPr>
        <w:t>服务</w:t>
      </w:r>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99" w:name="_Toc21631"/>
      <w:bookmarkStart w:id="200" w:name="_Toc21551"/>
      <w:bookmarkStart w:id="201" w:name="_Toc23292"/>
      <w:r>
        <w:rPr>
          <w:rFonts w:hint="eastAsia" w:ascii="宋体" w:hAnsi="宋体" w:eastAsia="宋体" w:cs="宋体"/>
          <w:b/>
          <w:bCs/>
          <w:i w:val="0"/>
          <w:iCs w:val="0"/>
          <w:color w:val="auto"/>
          <w:sz w:val="24"/>
          <w:szCs w:val="24"/>
          <w:highlight w:val="none"/>
          <w:lang w:val="zh-CN"/>
        </w:rPr>
        <w:t>1.3 价款</w:t>
      </w:r>
      <w:bookmarkEnd w:id="199"/>
      <w:bookmarkEnd w:id="200"/>
      <w:bookmarkEnd w:id="201"/>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3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02" w:name="_Toc10340"/>
      <w:bookmarkStart w:id="203" w:name="_Toc1814"/>
      <w:bookmarkStart w:id="204" w:name="_Toc22618"/>
      <w:r>
        <w:rPr>
          <w:rFonts w:hint="eastAsia" w:ascii="宋体" w:hAnsi="宋体" w:eastAsia="宋体" w:cs="宋体"/>
          <w:b/>
          <w:bCs/>
          <w:i w:val="0"/>
          <w:iCs w:val="0"/>
          <w:color w:val="auto"/>
          <w:sz w:val="24"/>
          <w:szCs w:val="24"/>
          <w:highlight w:val="none"/>
          <w:lang w:val="zh-CN"/>
        </w:rPr>
        <w:t>1.4 付款方式和发票开具方式</w:t>
      </w:r>
      <w:bookmarkEnd w:id="202"/>
      <w:bookmarkEnd w:id="203"/>
      <w:bookmarkEnd w:id="204"/>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05" w:name="_Toc19304"/>
      <w:bookmarkStart w:id="206" w:name="_Toc2846"/>
      <w:bookmarkStart w:id="207" w:name="_Toc32071"/>
      <w:r>
        <w:rPr>
          <w:rFonts w:hint="eastAsia" w:ascii="宋体" w:hAnsi="宋体" w:eastAsia="宋体" w:cs="宋体"/>
          <w:b/>
          <w:bCs/>
          <w:i w:val="0"/>
          <w:iCs w:val="0"/>
          <w:color w:val="auto"/>
          <w:sz w:val="24"/>
          <w:szCs w:val="24"/>
          <w:highlight w:val="none"/>
          <w:lang w:val="zh-CN"/>
        </w:rPr>
        <w:t>1.5 服务期限、地点和方式</w:t>
      </w:r>
      <w:bookmarkEnd w:id="205"/>
      <w:bookmarkEnd w:id="206"/>
      <w:bookmarkEnd w:id="207"/>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08" w:name="_Toc27250"/>
      <w:bookmarkStart w:id="209" w:name="_Toc21423"/>
      <w:bookmarkStart w:id="210" w:name="_Toc19554"/>
      <w:r>
        <w:rPr>
          <w:rFonts w:hint="eastAsia" w:ascii="宋体" w:hAnsi="宋体" w:eastAsia="宋体" w:cs="宋体"/>
          <w:b/>
          <w:bCs/>
          <w:i w:val="0"/>
          <w:iCs w:val="0"/>
          <w:color w:val="auto"/>
          <w:sz w:val="24"/>
          <w:szCs w:val="24"/>
          <w:highlight w:val="none"/>
          <w:lang w:val="zh-CN"/>
        </w:rPr>
        <w:t>1.6 违约责任</w:t>
      </w:r>
      <w:bookmarkEnd w:id="208"/>
      <w:bookmarkEnd w:id="209"/>
      <w:bookmarkEnd w:id="210"/>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11" w:name="_Toc16021"/>
      <w:bookmarkStart w:id="212" w:name="_Toc28375"/>
      <w:bookmarkStart w:id="213" w:name="_Toc15583"/>
      <w:r>
        <w:rPr>
          <w:rFonts w:hint="eastAsia" w:ascii="宋体" w:hAnsi="宋体" w:eastAsia="宋体" w:cs="宋体"/>
          <w:b/>
          <w:bCs/>
          <w:i w:val="0"/>
          <w:iCs w:val="0"/>
          <w:color w:val="auto"/>
          <w:sz w:val="24"/>
          <w:szCs w:val="24"/>
          <w:highlight w:val="none"/>
          <w:lang w:val="zh-CN"/>
        </w:rPr>
        <w:t>1.7 合同争议的解决</w:t>
      </w:r>
      <w:bookmarkEnd w:id="211"/>
      <w:bookmarkEnd w:id="212"/>
      <w:bookmarkEnd w:id="213"/>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14" w:name="_Toc15322"/>
      <w:bookmarkStart w:id="215" w:name="_Toc7245"/>
      <w:bookmarkStart w:id="216" w:name="_Toc11173"/>
      <w:r>
        <w:rPr>
          <w:rFonts w:hint="eastAsia" w:ascii="宋体" w:hAnsi="宋体" w:eastAsia="宋体" w:cs="宋体"/>
          <w:b/>
          <w:bCs/>
          <w:i w:val="0"/>
          <w:iCs w:val="0"/>
          <w:color w:val="auto"/>
          <w:sz w:val="24"/>
          <w:szCs w:val="24"/>
          <w:highlight w:val="none"/>
          <w:lang w:val="zh-CN"/>
        </w:rPr>
        <w:t>1.8 合同生效</w:t>
      </w:r>
      <w:bookmarkEnd w:id="214"/>
      <w:bookmarkEnd w:id="215"/>
      <w:bookmarkEnd w:id="216"/>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217"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218"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218"/>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pStyle w:val="3"/>
        <w:bidi w:val="0"/>
        <w:jc w:val="center"/>
        <w:rPr>
          <w:rFonts w:hint="eastAsia"/>
          <w:color w:val="auto"/>
          <w:sz w:val="36"/>
          <w:szCs w:val="36"/>
          <w:highlight w:val="none"/>
        </w:rPr>
      </w:pPr>
      <w:bookmarkStart w:id="219" w:name="_Toc11038"/>
      <w:bookmarkStart w:id="220" w:name="_Toc415"/>
      <w:bookmarkStart w:id="221" w:name="_Toc16962"/>
      <w:r>
        <w:rPr>
          <w:rFonts w:hint="eastAsia"/>
          <w:color w:val="auto"/>
          <w:sz w:val="36"/>
          <w:szCs w:val="36"/>
          <w:highlight w:val="none"/>
        </w:rPr>
        <w:t>第二部分 合同一般条款</w:t>
      </w:r>
      <w:bookmarkEnd w:id="217"/>
      <w:bookmarkEnd w:id="219"/>
      <w:bookmarkEnd w:id="220"/>
      <w:bookmarkEnd w:id="221"/>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22" w:name="_Toc16917"/>
      <w:bookmarkStart w:id="223" w:name="_Ref467379101"/>
      <w:bookmarkStart w:id="224" w:name="_Ref467379225"/>
      <w:bookmarkStart w:id="225" w:name="_Toc28763"/>
      <w:bookmarkStart w:id="226" w:name="_Toc279701240"/>
      <w:bookmarkStart w:id="227" w:name="_Ref467378404"/>
      <w:bookmarkStart w:id="228" w:name="_Ref467379214"/>
      <w:bookmarkStart w:id="229" w:name="_Toc19614"/>
      <w:bookmarkStart w:id="230" w:name="_Ref467378463"/>
      <w:bookmarkStart w:id="231" w:name="_Ref467379094"/>
      <w:bookmarkStart w:id="232" w:name="_Ref467379195"/>
      <w:bookmarkStart w:id="233" w:name="_Toc487900349"/>
      <w:bookmarkStart w:id="234" w:name="_Ref467378499"/>
      <w:bookmarkStart w:id="235" w:name="_Toc259093669"/>
      <w:bookmarkStart w:id="236" w:name="_Ref467379205"/>
      <w:bookmarkStart w:id="237" w:name="_Ref467379109"/>
      <w:r>
        <w:rPr>
          <w:rFonts w:hint="eastAsia" w:ascii="宋体" w:hAnsi="宋体" w:eastAsia="宋体" w:cs="宋体"/>
          <w:b/>
          <w:bCs/>
          <w:i w:val="0"/>
          <w:iCs w:val="0"/>
          <w:color w:val="auto"/>
          <w:sz w:val="24"/>
          <w:szCs w:val="24"/>
          <w:highlight w:val="none"/>
          <w:lang w:val="zh-CN"/>
        </w:rPr>
        <w:t>2.1 定义</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238" w:name="_Ref467378840"/>
      <w:r>
        <w:rPr>
          <w:rFonts w:hint="eastAsia" w:ascii="宋体" w:hAnsi="宋体" w:eastAsia="宋体" w:cs="宋体"/>
          <w:i w:val="0"/>
          <w:iCs w:val="0"/>
          <w:color w:val="auto"/>
          <w:sz w:val="24"/>
          <w:szCs w:val="24"/>
          <w:highlight w:val="none"/>
        </w:rPr>
        <w:t>2.1.4“甲方”系指与中标人签署合同的采购人</w:t>
      </w:r>
      <w:bookmarkEnd w:id="238"/>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239" w:name="_Ref467379400"/>
      <w:r>
        <w:rPr>
          <w:rFonts w:hint="eastAsia" w:ascii="宋体" w:hAnsi="宋体" w:eastAsia="宋体" w:cs="宋体"/>
          <w:i w:val="0"/>
          <w:iCs w:val="0"/>
          <w:color w:val="auto"/>
          <w:sz w:val="24"/>
          <w:szCs w:val="24"/>
          <w:highlight w:val="none"/>
        </w:rPr>
        <w:t>2.1.5“乙方”系指根据合同约定提供服务的中标人</w:t>
      </w:r>
      <w:bookmarkEnd w:id="239"/>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240" w:name="_Ref467379436"/>
      <w:r>
        <w:rPr>
          <w:rFonts w:hint="eastAsia" w:ascii="宋体" w:hAnsi="宋体" w:eastAsia="宋体" w:cs="宋体"/>
          <w:i w:val="0"/>
          <w:iCs w:val="0"/>
          <w:color w:val="auto"/>
          <w:sz w:val="24"/>
          <w:szCs w:val="24"/>
          <w:highlight w:val="none"/>
        </w:rPr>
        <w:t>2.1.6“现场”系指合同约定提供服务的地点。</w:t>
      </w:r>
      <w:bookmarkEnd w:id="240"/>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41" w:name="_Toc27635"/>
      <w:bookmarkStart w:id="242" w:name="_Toc259093670"/>
      <w:bookmarkStart w:id="243" w:name="_Toc13336"/>
      <w:bookmarkStart w:id="244" w:name="_Toc487900350"/>
      <w:bookmarkStart w:id="245" w:name="_Toc32504"/>
      <w:bookmarkStart w:id="246" w:name="_Toc279701241"/>
      <w:r>
        <w:rPr>
          <w:rFonts w:hint="eastAsia" w:ascii="宋体" w:hAnsi="宋体" w:eastAsia="宋体" w:cs="宋体"/>
          <w:b/>
          <w:bCs/>
          <w:i w:val="0"/>
          <w:iCs w:val="0"/>
          <w:color w:val="auto"/>
          <w:sz w:val="24"/>
          <w:szCs w:val="24"/>
          <w:highlight w:val="none"/>
          <w:lang w:val="zh-CN"/>
        </w:rPr>
        <w:t>2.2 技术规范</w:t>
      </w:r>
      <w:bookmarkEnd w:id="241"/>
      <w:bookmarkEnd w:id="242"/>
      <w:bookmarkEnd w:id="243"/>
      <w:bookmarkEnd w:id="244"/>
      <w:bookmarkEnd w:id="245"/>
      <w:bookmarkEnd w:id="246"/>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47" w:name="_Toc9829"/>
      <w:bookmarkStart w:id="248" w:name="_Toc31634"/>
      <w:bookmarkStart w:id="249" w:name="_Toc27853"/>
      <w:bookmarkStart w:id="250" w:name="_Toc279701242"/>
      <w:bookmarkStart w:id="251" w:name="_Toc259093671"/>
      <w:bookmarkStart w:id="252" w:name="_Toc487900351"/>
      <w:r>
        <w:rPr>
          <w:rFonts w:hint="eastAsia" w:ascii="宋体" w:hAnsi="宋体" w:eastAsia="宋体" w:cs="宋体"/>
          <w:b/>
          <w:bCs/>
          <w:i w:val="0"/>
          <w:iCs w:val="0"/>
          <w:color w:val="auto"/>
          <w:sz w:val="24"/>
          <w:szCs w:val="24"/>
          <w:highlight w:val="none"/>
          <w:lang w:val="zh-CN"/>
        </w:rPr>
        <w:t>2.3 知识产权</w:t>
      </w:r>
      <w:bookmarkEnd w:id="247"/>
      <w:bookmarkEnd w:id="248"/>
      <w:bookmarkEnd w:id="249"/>
      <w:bookmarkEnd w:id="250"/>
      <w:bookmarkEnd w:id="251"/>
      <w:bookmarkEnd w:id="252"/>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53" w:name="_Ref467379527"/>
      <w:bookmarkStart w:id="254" w:name="_Toc259093674"/>
      <w:bookmarkStart w:id="255" w:name="_Toc487900354"/>
      <w:bookmarkStart w:id="256" w:name="_Ref467379542"/>
      <w:bookmarkStart w:id="257" w:name="_Toc279701245"/>
      <w:bookmarkStart w:id="258" w:name="_Ref467379536"/>
      <w:bookmarkStart w:id="259" w:name="_Ref467378541"/>
      <w:bookmarkStart w:id="260" w:name="_Ref467378591"/>
      <w:bookmarkStart w:id="261" w:name="_Toc30272"/>
      <w:bookmarkStart w:id="262" w:name="_Toc19074"/>
      <w:bookmarkStart w:id="263" w:name="_Toc26182"/>
      <w:r>
        <w:rPr>
          <w:rFonts w:hint="eastAsia" w:ascii="宋体" w:hAnsi="宋体" w:eastAsia="宋体" w:cs="宋体"/>
          <w:b/>
          <w:bCs/>
          <w:i w:val="0"/>
          <w:iCs w:val="0"/>
          <w:color w:val="auto"/>
          <w:sz w:val="24"/>
          <w:szCs w:val="24"/>
          <w:highlight w:val="none"/>
          <w:lang w:val="zh-CN"/>
        </w:rPr>
        <w:t>2.</w:t>
      </w:r>
      <w:bookmarkEnd w:id="253"/>
      <w:bookmarkEnd w:id="254"/>
      <w:bookmarkEnd w:id="255"/>
      <w:bookmarkEnd w:id="256"/>
      <w:bookmarkEnd w:id="257"/>
      <w:bookmarkEnd w:id="258"/>
      <w:bookmarkEnd w:id="259"/>
      <w:bookmarkEnd w:id="260"/>
      <w:r>
        <w:rPr>
          <w:rFonts w:hint="eastAsia" w:ascii="宋体" w:hAnsi="宋体" w:eastAsia="宋体" w:cs="宋体"/>
          <w:b/>
          <w:bCs/>
          <w:i w:val="0"/>
          <w:iCs w:val="0"/>
          <w:color w:val="auto"/>
          <w:sz w:val="24"/>
          <w:szCs w:val="24"/>
          <w:highlight w:val="none"/>
          <w:lang w:val="zh-CN"/>
        </w:rPr>
        <w:t>4 履约检查和问题反馈</w:t>
      </w:r>
      <w:bookmarkEnd w:id="261"/>
      <w:bookmarkEnd w:id="262"/>
      <w:bookmarkEnd w:id="263"/>
    </w:p>
    <w:p w14:paraId="1F572855">
      <w:pPr>
        <w:spacing w:line="360" w:lineRule="auto"/>
        <w:ind w:firstLine="435"/>
        <w:rPr>
          <w:rFonts w:hint="eastAsia" w:ascii="宋体" w:hAnsi="宋体" w:eastAsia="宋体" w:cs="宋体"/>
          <w:i w:val="0"/>
          <w:iCs w:val="0"/>
          <w:color w:val="auto"/>
          <w:sz w:val="24"/>
          <w:szCs w:val="24"/>
          <w:highlight w:val="none"/>
        </w:rPr>
      </w:pPr>
      <w:bookmarkStart w:id="264" w:name="_Toc186431854"/>
      <w:bookmarkStart w:id="265" w:name="_Toc487900357"/>
      <w:bookmarkStart w:id="266" w:name="_Toc259093676"/>
      <w:bookmarkStart w:id="267" w:name="_Ref467379807"/>
      <w:bookmarkStart w:id="268" w:name="_Ref467379793"/>
      <w:bookmarkStart w:id="269" w:name="_Toc27970124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264"/>
      <w:bookmarkStart w:id="270" w:name="_Toc186431855"/>
      <w:r>
        <w:rPr>
          <w:rFonts w:hint="eastAsia" w:ascii="宋体" w:hAnsi="宋体" w:eastAsia="宋体" w:cs="宋体"/>
          <w:i w:val="0"/>
          <w:iCs w:val="0"/>
          <w:color w:val="auto"/>
          <w:sz w:val="24"/>
          <w:szCs w:val="24"/>
          <w:highlight w:val="none"/>
        </w:rPr>
        <w:t>。</w:t>
      </w:r>
    </w:p>
    <w:bookmarkEnd w:id="27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71" w:name="_Toc19219"/>
      <w:bookmarkStart w:id="272" w:name="_Toc7836"/>
      <w:bookmarkStart w:id="273" w:name="_Toc28451"/>
      <w:r>
        <w:rPr>
          <w:rFonts w:hint="eastAsia" w:ascii="宋体" w:hAnsi="宋体" w:eastAsia="宋体" w:cs="宋体"/>
          <w:b/>
          <w:bCs/>
          <w:i w:val="0"/>
          <w:iCs w:val="0"/>
          <w:color w:val="auto"/>
          <w:sz w:val="24"/>
          <w:szCs w:val="24"/>
          <w:highlight w:val="none"/>
          <w:lang w:val="zh-CN"/>
        </w:rPr>
        <w:t>2.5 结算方式和付款条件</w:t>
      </w:r>
      <w:bookmarkEnd w:id="265"/>
      <w:bookmarkEnd w:id="266"/>
      <w:bookmarkEnd w:id="267"/>
      <w:bookmarkEnd w:id="268"/>
      <w:bookmarkEnd w:id="269"/>
      <w:bookmarkEnd w:id="271"/>
      <w:bookmarkEnd w:id="272"/>
      <w:bookmarkEnd w:id="273"/>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74" w:name="_Toc259093677"/>
      <w:bookmarkStart w:id="275" w:name="_Ref467379923"/>
      <w:bookmarkStart w:id="276" w:name="_Toc487900358"/>
      <w:bookmarkStart w:id="277" w:name="_Ref467379852"/>
      <w:bookmarkStart w:id="278" w:name="_Toc279701248"/>
      <w:bookmarkStart w:id="279" w:name="_Ref467379863"/>
      <w:bookmarkStart w:id="280" w:name="_Toc3225"/>
      <w:bookmarkStart w:id="281" w:name="_Toc774"/>
      <w:bookmarkStart w:id="282" w:name="_Toc16110"/>
      <w:r>
        <w:rPr>
          <w:rFonts w:hint="eastAsia" w:ascii="宋体" w:hAnsi="宋体" w:eastAsia="宋体" w:cs="宋体"/>
          <w:b/>
          <w:bCs/>
          <w:i w:val="0"/>
          <w:iCs w:val="0"/>
          <w:color w:val="auto"/>
          <w:sz w:val="24"/>
          <w:szCs w:val="24"/>
          <w:highlight w:val="none"/>
          <w:lang w:val="zh-CN"/>
        </w:rPr>
        <w:t>2.6 技术资料</w:t>
      </w:r>
      <w:bookmarkEnd w:id="274"/>
      <w:bookmarkEnd w:id="275"/>
      <w:bookmarkEnd w:id="276"/>
      <w:bookmarkEnd w:id="277"/>
      <w:bookmarkEnd w:id="278"/>
      <w:bookmarkEnd w:id="279"/>
      <w:r>
        <w:rPr>
          <w:rFonts w:hint="eastAsia" w:ascii="宋体" w:hAnsi="宋体" w:eastAsia="宋体" w:cs="宋体"/>
          <w:b/>
          <w:bCs/>
          <w:i w:val="0"/>
          <w:iCs w:val="0"/>
          <w:color w:val="auto"/>
          <w:sz w:val="24"/>
          <w:szCs w:val="24"/>
          <w:highlight w:val="none"/>
          <w:lang w:val="zh-CN"/>
        </w:rPr>
        <w:t>和保密义务</w:t>
      </w:r>
      <w:bookmarkEnd w:id="280"/>
      <w:bookmarkEnd w:id="281"/>
      <w:bookmarkEnd w:id="282"/>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83" w:name="_Toc7860"/>
      <w:r>
        <w:rPr>
          <w:rFonts w:hint="eastAsia" w:ascii="宋体" w:hAnsi="宋体" w:eastAsia="宋体" w:cs="宋体"/>
          <w:b/>
          <w:bCs/>
          <w:i w:val="0"/>
          <w:iCs w:val="0"/>
          <w:color w:val="auto"/>
          <w:sz w:val="24"/>
          <w:szCs w:val="24"/>
          <w:highlight w:val="none"/>
          <w:lang w:val="zh-CN"/>
        </w:rPr>
        <w:t>2.7 质量保证</w:t>
      </w:r>
      <w:bookmarkEnd w:id="283"/>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284" w:name="_Toc22267"/>
      <w:r>
        <w:rPr>
          <w:rFonts w:hint="eastAsia" w:ascii="宋体" w:hAnsi="宋体" w:eastAsia="宋体" w:cs="宋体"/>
          <w:b/>
          <w:i w:val="0"/>
          <w:iCs w:val="0"/>
          <w:color w:val="auto"/>
          <w:sz w:val="24"/>
          <w:szCs w:val="24"/>
          <w:highlight w:val="none"/>
        </w:rPr>
        <w:t>2.8 延迟履行</w:t>
      </w:r>
      <w:bookmarkEnd w:id="284"/>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85" w:name="_Toc7502"/>
      <w:bookmarkStart w:id="286" w:name="_Toc259093683"/>
      <w:bookmarkStart w:id="287" w:name="_Toc279701254"/>
      <w:bookmarkStart w:id="288" w:name="_Toc487900364"/>
      <w:bookmarkStart w:id="289" w:name="_Ref467378121"/>
      <w:r>
        <w:rPr>
          <w:rFonts w:hint="eastAsia" w:ascii="宋体" w:hAnsi="宋体" w:eastAsia="宋体" w:cs="宋体"/>
          <w:b/>
          <w:bCs/>
          <w:i w:val="0"/>
          <w:iCs w:val="0"/>
          <w:color w:val="auto"/>
          <w:sz w:val="24"/>
          <w:szCs w:val="24"/>
          <w:highlight w:val="none"/>
          <w:lang w:val="zh-CN"/>
        </w:rPr>
        <w:t>2.9 合同变更</w:t>
      </w:r>
      <w:bookmarkEnd w:id="285"/>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290" w:name="_Toc487900369"/>
      <w:bookmarkStart w:id="291" w:name="_Toc259093688"/>
      <w:bookmarkStart w:id="292"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93" w:name="_Toc15237"/>
      <w:bookmarkStart w:id="294" w:name="_Toc10366"/>
      <w:bookmarkStart w:id="295" w:name="_Toc22955"/>
      <w:r>
        <w:rPr>
          <w:rFonts w:hint="eastAsia" w:ascii="宋体" w:hAnsi="宋体" w:eastAsia="宋体" w:cs="宋体"/>
          <w:b/>
          <w:bCs/>
          <w:i w:val="0"/>
          <w:iCs w:val="0"/>
          <w:color w:val="auto"/>
          <w:sz w:val="24"/>
          <w:szCs w:val="24"/>
          <w:highlight w:val="none"/>
          <w:lang w:val="zh-CN"/>
        </w:rPr>
        <w:t>2.10 合同转让</w:t>
      </w:r>
      <w:bookmarkEnd w:id="290"/>
      <w:bookmarkEnd w:id="291"/>
      <w:bookmarkEnd w:id="292"/>
      <w:r>
        <w:rPr>
          <w:rFonts w:hint="eastAsia" w:ascii="宋体" w:hAnsi="宋体" w:eastAsia="宋体" w:cs="宋体"/>
          <w:b/>
          <w:bCs/>
          <w:i w:val="0"/>
          <w:iCs w:val="0"/>
          <w:color w:val="auto"/>
          <w:sz w:val="24"/>
          <w:szCs w:val="24"/>
          <w:highlight w:val="none"/>
          <w:lang w:val="zh-CN"/>
        </w:rPr>
        <w:t>和分包</w:t>
      </w:r>
      <w:bookmarkEnd w:id="293"/>
      <w:bookmarkEnd w:id="294"/>
      <w:bookmarkEnd w:id="295"/>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96" w:name="_Toc14066"/>
      <w:bookmarkStart w:id="297" w:name="_Toc16508"/>
      <w:bookmarkStart w:id="298" w:name="_Toc13566"/>
      <w:r>
        <w:rPr>
          <w:rFonts w:hint="eastAsia" w:ascii="宋体" w:hAnsi="宋体" w:eastAsia="宋体" w:cs="宋体"/>
          <w:b/>
          <w:bCs/>
          <w:i w:val="0"/>
          <w:iCs w:val="0"/>
          <w:color w:val="auto"/>
          <w:sz w:val="24"/>
          <w:szCs w:val="24"/>
          <w:highlight w:val="none"/>
          <w:lang w:val="zh-CN"/>
        </w:rPr>
        <w:t>2.11 不可抗力</w:t>
      </w:r>
      <w:bookmarkEnd w:id="296"/>
      <w:bookmarkEnd w:id="297"/>
      <w:bookmarkEnd w:id="298"/>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99" w:name="_Toc689"/>
      <w:bookmarkStart w:id="300" w:name="_Toc259093684"/>
      <w:bookmarkStart w:id="301" w:name="_Toc279701255"/>
      <w:bookmarkStart w:id="302" w:name="_Toc487900365"/>
      <w:bookmarkStart w:id="303" w:name="_Toc6969"/>
      <w:bookmarkStart w:id="304" w:name="_Toc30676"/>
      <w:r>
        <w:rPr>
          <w:rFonts w:hint="eastAsia" w:ascii="宋体" w:hAnsi="宋体" w:eastAsia="宋体" w:cs="宋体"/>
          <w:b/>
          <w:bCs/>
          <w:i w:val="0"/>
          <w:iCs w:val="0"/>
          <w:color w:val="auto"/>
          <w:sz w:val="24"/>
          <w:szCs w:val="24"/>
          <w:highlight w:val="none"/>
          <w:lang w:val="zh-CN"/>
        </w:rPr>
        <w:t>2.12 税费</w:t>
      </w:r>
      <w:bookmarkEnd w:id="299"/>
      <w:bookmarkEnd w:id="300"/>
      <w:bookmarkEnd w:id="301"/>
      <w:bookmarkEnd w:id="302"/>
      <w:bookmarkEnd w:id="303"/>
      <w:bookmarkEnd w:id="304"/>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305" w:name="_Toc7102"/>
      <w:bookmarkStart w:id="306" w:name="_Toc279701258"/>
      <w:bookmarkStart w:id="307" w:name="_Toc8298"/>
      <w:bookmarkStart w:id="308" w:name="_Toc259093687"/>
      <w:bookmarkStart w:id="309" w:name="_Toc16959"/>
      <w:bookmarkStart w:id="310" w:name="_Toc487900368"/>
      <w:r>
        <w:rPr>
          <w:rFonts w:hint="eastAsia" w:ascii="宋体" w:hAnsi="宋体" w:eastAsia="宋体" w:cs="宋体"/>
          <w:b/>
          <w:bCs/>
          <w:i w:val="0"/>
          <w:iCs w:val="0"/>
          <w:color w:val="auto"/>
          <w:sz w:val="24"/>
          <w:szCs w:val="24"/>
          <w:highlight w:val="none"/>
          <w:lang w:val="zh-CN"/>
        </w:rPr>
        <w:t>2.13 乙方破产</w:t>
      </w:r>
      <w:bookmarkEnd w:id="305"/>
      <w:bookmarkEnd w:id="306"/>
      <w:bookmarkEnd w:id="307"/>
      <w:bookmarkEnd w:id="308"/>
      <w:bookmarkEnd w:id="309"/>
      <w:bookmarkEnd w:id="310"/>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311" w:name="_Toc29333"/>
      <w:bookmarkStart w:id="312" w:name="_Toc15387"/>
      <w:bookmarkStart w:id="313" w:name="_Toc6134"/>
      <w:r>
        <w:rPr>
          <w:rFonts w:hint="eastAsia" w:ascii="宋体" w:hAnsi="宋体" w:eastAsia="宋体" w:cs="宋体"/>
          <w:b/>
          <w:bCs/>
          <w:i w:val="0"/>
          <w:iCs w:val="0"/>
          <w:color w:val="auto"/>
          <w:sz w:val="24"/>
          <w:szCs w:val="24"/>
          <w:highlight w:val="none"/>
          <w:lang w:val="zh-CN"/>
        </w:rPr>
        <w:t>2.14 合同中止、终止</w:t>
      </w:r>
      <w:bookmarkEnd w:id="311"/>
      <w:bookmarkEnd w:id="312"/>
      <w:bookmarkEnd w:id="31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314" w:name="_Toc14563"/>
      <w:bookmarkStart w:id="315" w:name="_Toc1125"/>
      <w:bookmarkStart w:id="316" w:name="_Toc6596"/>
      <w:r>
        <w:rPr>
          <w:rFonts w:hint="eastAsia" w:ascii="宋体" w:hAnsi="宋体" w:eastAsia="宋体" w:cs="宋体"/>
          <w:b/>
          <w:bCs/>
          <w:i w:val="0"/>
          <w:iCs w:val="0"/>
          <w:color w:val="auto"/>
          <w:sz w:val="24"/>
          <w:szCs w:val="24"/>
          <w:highlight w:val="none"/>
          <w:lang w:val="zh-CN"/>
        </w:rPr>
        <w:t>2.15 检验和验收</w:t>
      </w:r>
      <w:bookmarkEnd w:id="314"/>
      <w:bookmarkEnd w:id="315"/>
      <w:bookmarkEnd w:id="316"/>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286"/>
    <w:bookmarkEnd w:id="287"/>
    <w:bookmarkEnd w:id="288"/>
    <w:bookmarkEnd w:id="289"/>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317" w:name="_Toc12773"/>
      <w:bookmarkStart w:id="318" w:name="_Toc10330"/>
      <w:bookmarkStart w:id="319" w:name="_Toc279701263"/>
      <w:bookmarkStart w:id="320" w:name="_Toc259093692"/>
      <w:bookmarkStart w:id="321" w:name="_Toc18567"/>
      <w:bookmarkStart w:id="322" w:name="_Toc4879003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317"/>
      <w:bookmarkEnd w:id="318"/>
      <w:bookmarkEnd w:id="319"/>
      <w:bookmarkEnd w:id="320"/>
      <w:bookmarkEnd w:id="321"/>
      <w:bookmarkEnd w:id="322"/>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323" w:name="_Toc12004"/>
      <w:bookmarkStart w:id="324" w:name="_Toc279701264"/>
      <w:bookmarkStart w:id="325" w:name="_Toc16673"/>
      <w:bookmarkStart w:id="326" w:name="_Toc3148"/>
      <w:bookmarkStart w:id="327" w:name="_Toc259093693"/>
      <w:bookmarkStart w:id="328" w:name="_Toc487900374"/>
      <w:r>
        <w:rPr>
          <w:rFonts w:hint="eastAsia" w:ascii="宋体" w:hAnsi="宋体" w:eastAsia="宋体" w:cs="宋体"/>
          <w:b/>
          <w:bCs/>
          <w:i w:val="0"/>
          <w:iCs w:val="0"/>
          <w:color w:val="auto"/>
          <w:sz w:val="24"/>
          <w:szCs w:val="24"/>
          <w:highlight w:val="none"/>
          <w:lang w:val="zh-CN"/>
        </w:rPr>
        <w:t>2.17 履约保证金</w:t>
      </w:r>
      <w:bookmarkEnd w:id="323"/>
      <w:bookmarkEnd w:id="324"/>
      <w:bookmarkEnd w:id="325"/>
      <w:bookmarkEnd w:id="326"/>
      <w:bookmarkEnd w:id="327"/>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8"/>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329" w:name="_Toc6885"/>
      <w:bookmarkStart w:id="330" w:name="_Toc14001"/>
      <w:bookmarkStart w:id="331" w:name="_Toc19890"/>
      <w:r>
        <w:rPr>
          <w:rFonts w:hint="eastAsia" w:ascii="宋体" w:hAnsi="宋体" w:eastAsia="宋体" w:cs="宋体"/>
          <w:b/>
          <w:bCs/>
          <w:i w:val="0"/>
          <w:iCs w:val="0"/>
          <w:color w:val="auto"/>
          <w:sz w:val="24"/>
          <w:szCs w:val="24"/>
          <w:highlight w:val="none"/>
          <w:lang w:val="zh-CN"/>
        </w:rPr>
        <w:t>2.18 合同份数</w:t>
      </w:r>
      <w:bookmarkEnd w:id="329"/>
      <w:bookmarkEnd w:id="330"/>
      <w:bookmarkEnd w:id="331"/>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pStyle w:val="3"/>
        <w:bidi w:val="0"/>
        <w:jc w:val="center"/>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332" w:name="_Toc3736"/>
      <w:bookmarkStart w:id="333" w:name="_Toc24501"/>
      <w:bookmarkStart w:id="334" w:name="_Toc21974"/>
      <w:r>
        <w:rPr>
          <w:rFonts w:hint="eastAsia"/>
          <w:color w:val="auto"/>
          <w:sz w:val="36"/>
          <w:szCs w:val="36"/>
          <w:highlight w:val="none"/>
        </w:rPr>
        <w:t>第三部分 合同专用条款</w:t>
      </w:r>
      <w:bookmarkEnd w:id="332"/>
      <w:bookmarkEnd w:id="333"/>
      <w:bookmarkEnd w:id="334"/>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0680BD1">
      <w:pPr>
        <w:pStyle w:val="99"/>
        <w:adjustRightInd w:val="0"/>
        <w:snapToGrid w:val="0"/>
        <w:spacing w:line="400" w:lineRule="exact"/>
        <w:ind w:firstLine="480" w:firstLineChars="200"/>
        <w:rPr>
          <w:rFonts w:hint="eastAsia" w:ascii="宋体" w:hAnsi="宋体" w:cs="宋体"/>
          <w:color w:val="auto"/>
          <w:sz w:val="24"/>
          <w:highlight w:val="none"/>
        </w:rPr>
      </w:pPr>
    </w:p>
    <w:p w14:paraId="70A7B9D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p>
    <w:p w14:paraId="5AE7FE64">
      <w:pPr>
        <w:rPr>
          <w:rFonts w:hint="eastAsia" w:ascii="宋体" w:hAnsi="宋体" w:eastAsia="宋体" w:cs="宋体"/>
          <w:b/>
          <w:bCs w:val="0"/>
          <w:color w:val="auto"/>
          <w:highlight w:val="none"/>
          <w:lang w:val="en-US" w:eastAsia="zh-CN"/>
        </w:rPr>
      </w:pPr>
      <w:bookmarkStart w:id="335" w:name="_Toc24120"/>
      <w:r>
        <w:rPr>
          <w:rFonts w:hint="eastAsia" w:ascii="宋体" w:hAnsi="宋体" w:eastAsia="宋体" w:cs="宋体"/>
          <w:b/>
          <w:bCs w:val="0"/>
          <w:color w:val="auto"/>
          <w:highlight w:val="none"/>
          <w:lang w:val="en-US" w:eastAsia="zh-CN"/>
        </w:rPr>
        <w:br w:type="page"/>
      </w:r>
    </w:p>
    <w:p w14:paraId="594D2447">
      <w:pPr>
        <w:pStyle w:val="2"/>
        <w:rPr>
          <w:rFonts w:hint="eastAsia" w:ascii="宋体" w:hAnsi="宋体" w:eastAsia="宋体" w:cs="宋体"/>
          <w:b/>
          <w:bCs w:val="0"/>
          <w:color w:val="auto"/>
          <w:highlight w:val="none"/>
          <w:lang w:eastAsia="zh-CN"/>
        </w:rPr>
      </w:pPr>
      <w:bookmarkStart w:id="336" w:name="_Toc2923"/>
      <w:r>
        <w:rPr>
          <w:rFonts w:hint="eastAsia" w:ascii="宋体" w:hAnsi="宋体" w:eastAsia="宋体" w:cs="宋体"/>
          <w:b/>
          <w:bCs w:val="0"/>
          <w:color w:val="auto"/>
          <w:highlight w:val="none"/>
          <w:lang w:val="en-US" w:eastAsia="zh-CN"/>
        </w:rPr>
        <w:t>第六部分  响应</w:t>
      </w:r>
      <w:r>
        <w:rPr>
          <w:rFonts w:hint="eastAsia" w:ascii="宋体" w:hAnsi="宋体" w:eastAsia="宋体" w:cs="宋体"/>
          <w:b/>
          <w:bCs w:val="0"/>
          <w:color w:val="auto"/>
          <w:highlight w:val="none"/>
          <w:lang w:eastAsia="zh-CN"/>
        </w:rPr>
        <w:t>文件格式</w:t>
      </w:r>
      <w:bookmarkEnd w:id="335"/>
      <w:bookmarkEnd w:id="336"/>
    </w:p>
    <w:p w14:paraId="62DBD09E">
      <w:pPr>
        <w:pStyle w:val="3"/>
        <w:jc w:val="center"/>
        <w:rPr>
          <w:rFonts w:hint="eastAsia" w:ascii="宋体" w:hAnsi="宋体" w:eastAsia="宋体" w:cs="宋体"/>
          <w:b/>
          <w:color w:val="auto"/>
          <w:sz w:val="24"/>
          <w:szCs w:val="24"/>
          <w:highlight w:val="none"/>
          <w:lang w:eastAsia="zh-CN"/>
        </w:rPr>
      </w:pPr>
      <w:bookmarkStart w:id="337" w:name="_Toc5242"/>
      <w:bookmarkStart w:id="338" w:name="_Toc19838"/>
      <w:bookmarkStart w:id="339" w:name="_Toc3432"/>
      <w:bookmarkStart w:id="340" w:name="_Toc25864"/>
      <w:bookmarkStart w:id="341" w:name="_Toc5639"/>
      <w:bookmarkStart w:id="342" w:name="_Toc24944"/>
      <w:r>
        <w:rPr>
          <w:rFonts w:hint="eastAsia" w:ascii="宋体" w:hAnsi="宋体" w:eastAsia="宋体" w:cs="宋体"/>
          <w:b/>
          <w:color w:val="auto"/>
          <w:sz w:val="24"/>
          <w:szCs w:val="24"/>
          <w:highlight w:val="none"/>
          <w:lang w:eastAsia="zh-CN"/>
        </w:rPr>
        <w:t>响应文件封面</w:t>
      </w:r>
      <w:bookmarkEnd w:id="337"/>
      <w:bookmarkEnd w:id="338"/>
      <w:bookmarkEnd w:id="339"/>
      <w:bookmarkEnd w:id="340"/>
      <w:bookmarkEnd w:id="341"/>
    </w:p>
    <w:p w14:paraId="47332881">
      <w:pPr>
        <w:autoSpaceDE w:val="0"/>
        <w:autoSpaceDN w:val="0"/>
        <w:adjustRightIn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（投标文件制作格式，仅供参考）</w:t>
      </w:r>
    </w:p>
    <w:p w14:paraId="5A1EAC29">
      <w:pPr>
        <w:autoSpaceDE w:val="0"/>
        <w:autoSpaceDN w:val="0"/>
        <w:adjustRightInd w:val="0"/>
        <w:jc w:val="right"/>
        <w:rPr>
          <w:rFonts w:hint="eastAsia" w:ascii="宋体" w:hAnsi="宋体" w:cs="宋体"/>
          <w:b/>
          <w:color w:val="auto"/>
          <w:spacing w:val="-6"/>
          <w:kern w:val="0"/>
          <w:sz w:val="32"/>
          <w:szCs w:val="32"/>
          <w:highlight w:val="none"/>
          <w:bdr w:val="single" w:color="auto" w:sz="4" w:space="0"/>
        </w:rPr>
      </w:pPr>
      <w:r>
        <w:rPr>
          <w:rFonts w:hint="eastAsia" w:ascii="宋体" w:hAnsi="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val="en-US" w:eastAsia="zh-CN"/>
        </w:rPr>
        <w:t>/</w:t>
      </w:r>
      <w:r>
        <w:rPr>
          <w:rFonts w:hint="eastAsia" w:ascii="宋体" w:hAnsi="宋体" w:cs="宋体"/>
          <w:b/>
          <w:color w:val="auto"/>
          <w:spacing w:val="-6"/>
          <w:kern w:val="0"/>
          <w:sz w:val="32"/>
          <w:szCs w:val="32"/>
          <w:highlight w:val="none"/>
          <w:bdr w:val="single" w:color="auto" w:sz="4" w:space="0"/>
        </w:rPr>
        <w:t>副本</w:t>
      </w:r>
    </w:p>
    <w:p w14:paraId="43C3AB36">
      <w:pPr>
        <w:pStyle w:val="17"/>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52"/>
          <w:szCs w:val="52"/>
          <w:highlight w:val="none"/>
          <w:lang w:val="en-US" w:eastAsia="zh-CN"/>
        </w:rPr>
        <w:t>伊犁哈萨克自治州奎屯医院污水处理站外包服务项目</w:t>
      </w:r>
    </w:p>
    <w:p w14:paraId="6F0F5456">
      <w:pPr>
        <w:keepNext w:val="0"/>
        <w:keepLines w:val="0"/>
        <w:pageBreakBefore w:val="0"/>
        <w:widowControl w:val="0"/>
        <w:kinsoku/>
        <w:wordWrap/>
        <w:overflowPunct/>
        <w:topLinePunct w:val="0"/>
        <w:autoSpaceDE/>
        <w:autoSpaceDN/>
        <w:bidi w:val="0"/>
        <w:adjustRightInd w:val="0"/>
        <w:snapToGrid w:val="0"/>
        <w:spacing w:line="240" w:lineRule="auto"/>
        <w:ind w:left="2520" w:leftChars="1200"/>
        <w:textAlignment w:val="auto"/>
        <w:rPr>
          <w:rFonts w:hint="eastAsia"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val="hr-HR"/>
        </w:rPr>
        <w:t>XJJM[2026]-108</w:t>
      </w:r>
      <w:r>
        <w:rPr>
          <w:rFonts w:hint="eastAsia" w:ascii="宋体" w:hAnsi="宋体" w:cs="宋体"/>
          <w:color w:val="auto"/>
          <w:sz w:val="32"/>
          <w:szCs w:val="32"/>
          <w:highlight w:val="none"/>
          <w:u w:val="none"/>
          <w:lang w:val="en-US" w:eastAsia="zh-CN"/>
        </w:rPr>
        <w:t>）</w:t>
      </w:r>
    </w:p>
    <w:p w14:paraId="5BB70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2"/>
          <w:szCs w:val="48"/>
          <w:highlight w:val="none"/>
        </w:rPr>
      </w:pPr>
    </w:p>
    <w:p w14:paraId="5BC46C8C">
      <w:pPr>
        <w:pStyle w:val="37"/>
        <w:rPr>
          <w:rFonts w:hint="eastAsia"/>
          <w:color w:val="auto"/>
          <w:highlight w:val="none"/>
        </w:rPr>
      </w:pPr>
    </w:p>
    <w:p w14:paraId="21C8C8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响应</w:t>
      </w:r>
      <w:r>
        <w:rPr>
          <w:rFonts w:hint="eastAsia" w:ascii="宋体" w:hAnsi="宋体" w:cs="宋体"/>
          <w:b/>
          <w:color w:val="auto"/>
          <w:sz w:val="72"/>
          <w:szCs w:val="72"/>
          <w:highlight w:val="none"/>
        </w:rPr>
        <w:t>文件</w:t>
      </w:r>
    </w:p>
    <w:p w14:paraId="537B5E90">
      <w:pPr>
        <w:spacing w:line="360" w:lineRule="auto"/>
        <w:jc w:val="center"/>
        <w:rPr>
          <w:rFonts w:hint="eastAsia" w:ascii="宋体" w:hAnsi="宋体" w:cs="宋体"/>
          <w:b/>
          <w:color w:val="auto"/>
          <w:sz w:val="24"/>
          <w:szCs w:val="48"/>
          <w:highlight w:val="none"/>
        </w:rPr>
      </w:pPr>
    </w:p>
    <w:p w14:paraId="38851A17">
      <w:pPr>
        <w:pStyle w:val="17"/>
        <w:rPr>
          <w:rFonts w:hint="eastAsia" w:ascii="宋体" w:hAnsi="宋体" w:cs="宋体"/>
          <w:b/>
          <w:color w:val="auto"/>
          <w:szCs w:val="48"/>
          <w:highlight w:val="none"/>
        </w:rPr>
      </w:pPr>
    </w:p>
    <w:p w14:paraId="5DCDBBA5">
      <w:pPr>
        <w:pStyle w:val="49"/>
        <w:tabs>
          <w:tab w:val="left" w:pos="924"/>
        </w:tabs>
        <w:rPr>
          <w:rFonts w:hint="eastAsia" w:hAnsi="宋体"/>
          <w:b/>
          <w:color w:val="auto"/>
          <w:szCs w:val="48"/>
          <w:highlight w:val="none"/>
        </w:rPr>
      </w:pPr>
    </w:p>
    <w:p w14:paraId="5DBA93B2">
      <w:pPr>
        <w:pStyle w:val="49"/>
        <w:tabs>
          <w:tab w:val="left" w:pos="924"/>
        </w:tabs>
        <w:rPr>
          <w:rFonts w:hint="eastAsia" w:hAnsi="宋体"/>
          <w:b/>
          <w:color w:val="auto"/>
          <w:szCs w:val="48"/>
          <w:highlight w:val="none"/>
        </w:rPr>
      </w:pPr>
    </w:p>
    <w:p w14:paraId="6F6E41D2">
      <w:pPr>
        <w:spacing w:line="360" w:lineRule="auto"/>
        <w:jc w:val="center"/>
        <w:rPr>
          <w:rFonts w:hint="eastAsia" w:ascii="宋体" w:hAnsi="宋体" w:cs="宋体"/>
          <w:b/>
          <w:color w:val="auto"/>
          <w:sz w:val="24"/>
          <w:szCs w:val="48"/>
          <w:highlight w:val="none"/>
        </w:rPr>
      </w:pPr>
    </w:p>
    <w:p w14:paraId="06EA7998">
      <w:pPr>
        <w:spacing w:line="360" w:lineRule="auto"/>
        <w:jc w:val="center"/>
        <w:rPr>
          <w:rFonts w:hint="eastAsia" w:ascii="宋体" w:hAnsi="宋体" w:cs="宋体"/>
          <w:b/>
          <w:color w:val="auto"/>
          <w:sz w:val="24"/>
          <w:szCs w:val="48"/>
          <w:highlight w:val="none"/>
        </w:rPr>
      </w:pPr>
    </w:p>
    <w:p w14:paraId="32320F14">
      <w:pPr>
        <w:spacing w:line="360" w:lineRule="auto"/>
        <w:jc w:val="center"/>
        <w:rPr>
          <w:rFonts w:hint="eastAsia" w:ascii="宋体" w:hAnsi="宋体" w:cs="宋体"/>
          <w:b/>
          <w:color w:val="auto"/>
          <w:sz w:val="24"/>
          <w:szCs w:val="48"/>
          <w:highlight w:val="none"/>
        </w:rPr>
      </w:pPr>
    </w:p>
    <w:p w14:paraId="73A1784A">
      <w:pPr>
        <w:spacing w:line="360" w:lineRule="auto"/>
        <w:jc w:val="center"/>
        <w:rPr>
          <w:rFonts w:hint="eastAsia" w:ascii="宋体" w:hAnsi="宋体" w:cs="宋体"/>
          <w:b/>
          <w:color w:val="auto"/>
          <w:sz w:val="24"/>
          <w:szCs w:val="48"/>
          <w:highlight w:val="none"/>
        </w:rPr>
      </w:pPr>
    </w:p>
    <w:p w14:paraId="4D9D65F5">
      <w:pPr>
        <w:spacing w:line="360" w:lineRule="auto"/>
        <w:ind w:left="1898" w:leftChars="904" w:firstLine="0" w:firstLineChars="0"/>
        <w:rPr>
          <w:rFonts w:hint="default" w:ascii="宋体" w:hAnsi="宋体" w:eastAsia="宋体" w:cs="宋体"/>
          <w:color w:val="auto"/>
          <w:sz w:val="30"/>
          <w:highlight w:val="none"/>
          <w:lang w:val="en-US" w:eastAsia="zh-CN"/>
        </w:rPr>
      </w:pPr>
      <w:r>
        <w:rPr>
          <w:rFonts w:hint="eastAsia" w:ascii="宋体" w:hAnsi="宋体" w:cs="宋体"/>
          <w:color w:val="auto"/>
          <w:sz w:val="30"/>
          <w:highlight w:val="none"/>
        </w:rPr>
        <w:t>投标单位：</w:t>
      </w:r>
      <w:r>
        <w:rPr>
          <w:rFonts w:hint="eastAsia" w:ascii="宋体" w:hAnsi="宋体" w:cs="宋体"/>
          <w:color w:val="auto"/>
          <w:sz w:val="30"/>
          <w:highlight w:val="none"/>
          <w:u w:val="single"/>
        </w:rPr>
        <w:t xml:space="preserve">   （全称）（</w:t>
      </w:r>
      <w:r>
        <w:rPr>
          <w:rFonts w:hint="eastAsia" w:ascii="宋体" w:hAnsi="宋体" w:cs="宋体"/>
          <w:color w:val="auto"/>
          <w:sz w:val="30"/>
          <w:highlight w:val="none"/>
          <w:u w:val="single"/>
          <w:lang w:eastAsia="zh-CN"/>
        </w:rPr>
        <w:t>公章</w:t>
      </w:r>
      <w:r>
        <w:rPr>
          <w:rFonts w:hint="eastAsia" w:ascii="宋体" w:hAnsi="宋体" w:cs="宋体"/>
          <w:color w:val="auto"/>
          <w:sz w:val="30"/>
          <w:highlight w:val="none"/>
          <w:u w:val="single"/>
        </w:rPr>
        <w:t>）</w:t>
      </w:r>
      <w:r>
        <w:rPr>
          <w:rFonts w:hint="eastAsia" w:ascii="宋体" w:hAnsi="宋体" w:cs="宋体"/>
          <w:color w:val="auto"/>
          <w:sz w:val="30"/>
          <w:highlight w:val="none"/>
          <w:u w:val="single"/>
          <w:lang w:val="en-US" w:eastAsia="zh-CN"/>
        </w:rPr>
        <w:t xml:space="preserve">          </w:t>
      </w:r>
    </w:p>
    <w:p w14:paraId="18D629DC">
      <w:pPr>
        <w:spacing w:line="360" w:lineRule="auto"/>
        <w:ind w:left="1898" w:leftChars="904" w:firstLine="0" w:firstLineChars="0"/>
        <w:rPr>
          <w:rFonts w:hint="eastAsia" w:ascii="宋体" w:hAnsi="宋体" w:cs="宋体"/>
          <w:color w:val="auto"/>
          <w:sz w:val="30"/>
          <w:highlight w:val="none"/>
        </w:rPr>
      </w:pPr>
      <w:r>
        <w:rPr>
          <w:rFonts w:hint="eastAsia" w:ascii="宋体" w:hAnsi="宋体" w:cs="宋体"/>
          <w:color w:val="auto"/>
          <w:sz w:val="30"/>
          <w:highlight w:val="none"/>
        </w:rPr>
        <w:t>法人代表或授权代表</w:t>
      </w:r>
    </w:p>
    <w:p w14:paraId="3B55BD91">
      <w:pPr>
        <w:spacing w:line="360" w:lineRule="auto"/>
        <w:ind w:left="1898" w:leftChars="904" w:firstLine="0" w:firstLineChars="0"/>
        <w:rPr>
          <w:rFonts w:hint="default" w:ascii="宋体" w:hAnsi="宋体" w:eastAsia="宋体" w:cs="宋体"/>
          <w:color w:val="auto"/>
          <w:sz w:val="30"/>
          <w:highlight w:val="none"/>
          <w:lang w:val="en-US" w:eastAsia="zh-CN"/>
        </w:rPr>
      </w:pPr>
      <w:r>
        <w:rPr>
          <w:rFonts w:hint="eastAsia" w:ascii="宋体" w:hAnsi="宋体" w:cs="宋体"/>
          <w:color w:val="auto"/>
          <w:sz w:val="30"/>
          <w:highlight w:val="none"/>
          <w:lang w:val="en-US" w:eastAsia="zh-CN"/>
        </w:rPr>
        <w:t>（</w:t>
      </w:r>
      <w:r>
        <w:rPr>
          <w:rFonts w:hint="eastAsia" w:ascii="宋体" w:hAnsi="宋体" w:cs="宋体"/>
          <w:color w:val="auto"/>
          <w:sz w:val="30"/>
          <w:highlight w:val="none"/>
        </w:rPr>
        <w:t>签字</w:t>
      </w:r>
      <w:r>
        <w:rPr>
          <w:rFonts w:hint="eastAsia" w:ascii="宋体" w:hAnsi="宋体" w:cs="宋体"/>
          <w:color w:val="auto"/>
          <w:sz w:val="30"/>
          <w:highlight w:val="none"/>
          <w:lang w:eastAsia="zh-CN"/>
        </w:rPr>
        <w:t>或盖章</w:t>
      </w:r>
      <w:r>
        <w:rPr>
          <w:rFonts w:hint="eastAsia" w:ascii="宋体" w:hAnsi="宋体" w:cs="宋体"/>
          <w:color w:val="auto"/>
          <w:sz w:val="30"/>
          <w:highlight w:val="none"/>
          <w:lang w:val="en-US" w:eastAsia="zh-CN"/>
        </w:rPr>
        <w:t>）</w:t>
      </w:r>
      <w:r>
        <w:rPr>
          <w:rFonts w:hint="eastAsia" w:ascii="宋体" w:hAnsi="宋体" w:cs="宋体"/>
          <w:color w:val="auto"/>
          <w:sz w:val="30"/>
          <w:highlight w:val="none"/>
        </w:rPr>
        <w:t>：</w:t>
      </w:r>
      <w:r>
        <w:rPr>
          <w:rFonts w:hint="eastAsia" w:ascii="宋体" w:hAnsi="宋体" w:cs="宋体"/>
          <w:color w:val="auto"/>
          <w:sz w:val="30"/>
          <w:highlight w:val="none"/>
          <w:u w:val="single"/>
          <w:lang w:val="en-US" w:eastAsia="zh-CN"/>
        </w:rPr>
        <w:t xml:space="preserve">                       </w:t>
      </w:r>
    </w:p>
    <w:p w14:paraId="4609F3F0">
      <w:pPr>
        <w:spacing w:line="360" w:lineRule="auto"/>
        <w:ind w:left="1898" w:leftChars="904" w:firstLine="0" w:firstLineChars="0"/>
        <w:rPr>
          <w:rFonts w:hint="default" w:ascii="宋体" w:hAnsi="宋体" w:cs="宋体"/>
          <w:color w:val="auto"/>
          <w:sz w:val="30"/>
          <w:highlight w:val="none"/>
          <w:u w:val="single"/>
          <w:lang w:val="en-US" w:eastAsia="zh-CN"/>
        </w:rPr>
      </w:pPr>
      <w:r>
        <w:rPr>
          <w:rFonts w:hint="eastAsia" w:ascii="宋体" w:hAnsi="宋体" w:cs="宋体"/>
          <w:color w:val="auto"/>
          <w:sz w:val="30"/>
          <w:highlight w:val="none"/>
        </w:rPr>
        <w:t>联系</w:t>
      </w:r>
      <w:r>
        <w:rPr>
          <w:rFonts w:hint="eastAsia" w:ascii="宋体" w:hAnsi="宋体" w:cs="宋体"/>
          <w:color w:val="auto"/>
          <w:sz w:val="30"/>
          <w:highlight w:val="none"/>
          <w:lang w:eastAsia="zh-CN"/>
        </w:rPr>
        <w:t>方式</w:t>
      </w:r>
      <w:r>
        <w:rPr>
          <w:rFonts w:hint="eastAsia" w:ascii="宋体" w:hAnsi="宋体" w:cs="宋体"/>
          <w:color w:val="auto"/>
          <w:sz w:val="30"/>
          <w:highlight w:val="none"/>
        </w:rPr>
        <w:t>：</w:t>
      </w:r>
      <w:r>
        <w:rPr>
          <w:rFonts w:hint="eastAsia" w:ascii="宋体" w:hAnsi="宋体" w:cs="宋体"/>
          <w:color w:val="auto"/>
          <w:sz w:val="30"/>
          <w:highlight w:val="none"/>
          <w:u w:val="single"/>
          <w:lang w:val="en-US" w:eastAsia="zh-CN"/>
        </w:rPr>
        <w:t xml:space="preserve">   （</w:t>
      </w:r>
      <w:r>
        <w:rPr>
          <w:rFonts w:hint="eastAsia" w:ascii="宋体" w:hAnsi="宋体" w:cs="宋体"/>
          <w:i/>
          <w:iCs/>
          <w:color w:val="auto"/>
          <w:sz w:val="30"/>
          <w:highlight w:val="none"/>
          <w:u w:val="single"/>
          <w:lang w:val="en-US" w:eastAsia="zh-CN"/>
        </w:rPr>
        <w:t>联系人及电话）</w:t>
      </w:r>
      <w:r>
        <w:rPr>
          <w:rFonts w:hint="eastAsia" w:ascii="宋体" w:hAnsi="宋体" w:cs="宋体"/>
          <w:color w:val="auto"/>
          <w:sz w:val="30"/>
          <w:highlight w:val="none"/>
          <w:u w:val="single"/>
          <w:lang w:val="en-US" w:eastAsia="zh-CN"/>
        </w:rPr>
        <w:t xml:space="preserve">          </w:t>
      </w:r>
    </w:p>
    <w:p w14:paraId="2BBED37B">
      <w:pPr>
        <w:spacing w:line="360" w:lineRule="auto"/>
        <w:ind w:left="1898" w:leftChars="904" w:firstLine="0" w:firstLineChars="0"/>
        <w:rPr>
          <w:rFonts w:hint="default" w:ascii="宋体" w:hAnsi="宋体" w:eastAsia="宋体" w:cs="宋体"/>
          <w:color w:val="auto"/>
          <w:sz w:val="30"/>
          <w:highlight w:val="none"/>
          <w:lang w:val="en-US" w:eastAsia="zh-CN"/>
        </w:rPr>
      </w:pPr>
      <w:r>
        <w:rPr>
          <w:rFonts w:hint="eastAsia" w:ascii="宋体" w:hAnsi="宋体" w:cs="宋体"/>
          <w:color w:val="auto"/>
          <w:sz w:val="30"/>
          <w:highlight w:val="none"/>
        </w:rPr>
        <w:t>单位地址：</w:t>
      </w:r>
      <w:r>
        <w:rPr>
          <w:rFonts w:hint="eastAsia" w:ascii="宋体" w:hAnsi="宋体" w:cs="宋体"/>
          <w:color w:val="auto"/>
          <w:sz w:val="30"/>
          <w:highlight w:val="none"/>
          <w:u w:val="single"/>
          <w:lang w:val="en-US" w:eastAsia="zh-CN"/>
        </w:rPr>
        <w:t xml:space="preserve">                             </w:t>
      </w:r>
    </w:p>
    <w:p w14:paraId="16DD1F74">
      <w:pPr>
        <w:spacing w:line="360" w:lineRule="auto"/>
        <w:ind w:left="1898" w:leftChars="904" w:firstLine="0" w:firstLineChars="0"/>
        <w:rPr>
          <w:rFonts w:hint="default" w:ascii="宋体" w:hAnsi="宋体" w:eastAsia="宋体" w:cs="宋体"/>
          <w:color w:val="auto"/>
          <w:sz w:val="30"/>
          <w:highlight w:val="none"/>
          <w:lang w:val="en-US" w:eastAsia="zh-CN"/>
        </w:rPr>
      </w:pPr>
      <w:r>
        <w:rPr>
          <w:rFonts w:hint="eastAsia" w:ascii="宋体" w:hAnsi="宋体" w:cs="宋体"/>
          <w:color w:val="auto"/>
          <w:sz w:val="30"/>
          <w:highlight w:val="none"/>
          <w:lang w:eastAsia="zh-CN"/>
        </w:rPr>
        <w:t>日</w:t>
      </w:r>
      <w:r>
        <w:rPr>
          <w:rFonts w:hint="eastAsia" w:ascii="宋体" w:hAnsi="宋体" w:cs="宋体"/>
          <w:color w:val="auto"/>
          <w:sz w:val="30"/>
          <w:highlight w:val="none"/>
          <w:lang w:val="en-US" w:eastAsia="zh-CN"/>
        </w:rPr>
        <w:t xml:space="preserve">    </w:t>
      </w:r>
      <w:r>
        <w:rPr>
          <w:rFonts w:hint="eastAsia" w:ascii="宋体" w:hAnsi="宋体" w:cs="宋体"/>
          <w:color w:val="auto"/>
          <w:sz w:val="30"/>
          <w:highlight w:val="none"/>
          <w:lang w:eastAsia="zh-CN"/>
        </w:rPr>
        <w:t>期</w:t>
      </w:r>
      <w:r>
        <w:rPr>
          <w:rFonts w:hint="eastAsia" w:ascii="宋体" w:hAnsi="宋体" w:cs="宋体"/>
          <w:color w:val="auto"/>
          <w:sz w:val="30"/>
          <w:highlight w:val="none"/>
        </w:rPr>
        <w:t>：</w:t>
      </w:r>
      <w:r>
        <w:rPr>
          <w:rFonts w:hint="eastAsia" w:ascii="宋体" w:hAnsi="宋体" w:cs="宋体"/>
          <w:color w:val="auto"/>
          <w:sz w:val="30"/>
          <w:highlight w:val="none"/>
          <w:u w:val="single"/>
          <w:lang w:val="en-US" w:eastAsia="zh-CN"/>
        </w:rPr>
        <w:t xml:space="preserve">                             </w:t>
      </w:r>
    </w:p>
    <w:p w14:paraId="71888C7F">
      <w:pPr>
        <w:pStyle w:val="11"/>
        <w:ind w:firstLine="600"/>
        <w:rPr>
          <w:rFonts w:hint="eastAsia" w:ascii="宋体" w:hAnsi="宋体" w:cs="宋体"/>
          <w:color w:val="auto"/>
          <w:sz w:val="30"/>
          <w:highlight w:val="none"/>
        </w:rPr>
      </w:pPr>
    </w:p>
    <w:p w14:paraId="60355331">
      <w:pPr>
        <w:pStyle w:val="11"/>
        <w:ind w:firstLine="600"/>
        <w:rPr>
          <w:rFonts w:hint="eastAsia" w:ascii="宋体" w:hAnsi="宋体" w:cs="宋体"/>
          <w:color w:val="auto"/>
          <w:sz w:val="30"/>
          <w:highlight w:val="none"/>
        </w:rPr>
      </w:pPr>
    </w:p>
    <w:p w14:paraId="336D9D57">
      <w:pPr>
        <w:pStyle w:val="11"/>
        <w:ind w:firstLine="600"/>
        <w:rPr>
          <w:rFonts w:hint="eastAsia" w:ascii="宋体" w:hAnsi="宋体" w:eastAsia="宋体" w:cs="宋体"/>
          <w:color w:val="auto"/>
          <w:sz w:val="30"/>
          <w:highlight w:val="none"/>
        </w:rPr>
      </w:pPr>
    </w:p>
    <w:p w14:paraId="57693D65">
      <w:pPr>
        <w:pStyle w:val="11"/>
        <w:ind w:firstLine="600"/>
        <w:rPr>
          <w:rFonts w:hint="eastAsia" w:ascii="宋体" w:hAnsi="宋体" w:eastAsia="宋体" w:cs="宋体"/>
          <w:color w:val="auto"/>
          <w:sz w:val="30"/>
          <w:highlight w:val="none"/>
        </w:rPr>
      </w:pPr>
    </w:p>
    <w:p w14:paraId="0EE8BE0D">
      <w:pPr>
        <w:pStyle w:val="11"/>
        <w:ind w:firstLine="600"/>
        <w:rPr>
          <w:rFonts w:hint="eastAsia" w:ascii="宋体" w:hAnsi="宋体" w:eastAsia="宋体" w:cs="宋体"/>
          <w:color w:val="auto"/>
          <w:sz w:val="30"/>
          <w:highlight w:val="none"/>
        </w:rPr>
      </w:pPr>
    </w:p>
    <w:p w14:paraId="41EA669D">
      <w:pPr>
        <w:pStyle w:val="11"/>
        <w:ind w:firstLine="600"/>
        <w:rPr>
          <w:rFonts w:hint="eastAsia" w:ascii="宋体" w:hAnsi="宋体" w:eastAsia="宋体" w:cs="宋体"/>
          <w:color w:val="auto"/>
          <w:sz w:val="30"/>
          <w:highlight w:val="none"/>
        </w:rPr>
      </w:pPr>
    </w:p>
    <w:p w14:paraId="6CE4CF16">
      <w:pPr>
        <w:pStyle w:val="11"/>
        <w:ind w:firstLine="600"/>
        <w:rPr>
          <w:rFonts w:hint="eastAsia" w:ascii="宋体" w:hAnsi="宋体" w:eastAsia="宋体" w:cs="宋体"/>
          <w:color w:val="auto"/>
          <w:sz w:val="30"/>
          <w:highlight w:val="none"/>
        </w:rPr>
        <w:sectPr>
          <w:footerReference r:id="rId6" w:type="default"/>
          <w:pgSz w:w="11906" w:h="16838"/>
          <w:pgMar w:top="1134" w:right="1134" w:bottom="1134" w:left="1134" w:header="850" w:footer="850" w:gutter="0"/>
          <w:pgNumType w:fmt="decimal"/>
          <w:cols w:space="720" w:num="1"/>
          <w:docGrid w:linePitch="312" w:charSpace="0"/>
        </w:sectPr>
      </w:pPr>
    </w:p>
    <w:p w14:paraId="2E482E9A">
      <w:pPr>
        <w:bidi w:val="0"/>
        <w:jc w:val="center"/>
        <w:rPr>
          <w:rFonts w:hint="eastAsia" w:ascii="Times New Roman" w:hAnsi="Times New Roman" w:eastAsia="宋体" w:cs="Times New Roman"/>
          <w:b/>
          <w:bCs/>
          <w:color w:val="auto"/>
          <w:sz w:val="24"/>
          <w:szCs w:val="24"/>
          <w:highlight w:val="none"/>
        </w:rPr>
      </w:pPr>
      <w:bookmarkStart w:id="343" w:name="_Toc1721037"/>
      <w:bookmarkStart w:id="344" w:name="_Toc1719141"/>
      <w:bookmarkStart w:id="345" w:name="_Toc3891637"/>
      <w:bookmarkStart w:id="346" w:name="_Toc13820"/>
      <w:bookmarkStart w:id="347" w:name="_Toc31656"/>
      <w:bookmarkStart w:id="348" w:name="_Toc30637"/>
      <w:bookmarkStart w:id="349" w:name="_Toc3891638"/>
      <w:bookmarkStart w:id="350" w:name="_Toc1721038"/>
      <w:bookmarkStart w:id="351" w:name="_Toc1719142"/>
      <w:r>
        <w:rPr>
          <w:rFonts w:hint="eastAsia" w:ascii="Times New Roman" w:hAnsi="Times New Roman" w:eastAsia="宋体" w:cs="Times New Roman"/>
          <w:b/>
          <w:bCs/>
          <w:color w:val="auto"/>
          <w:sz w:val="24"/>
          <w:szCs w:val="24"/>
          <w:highlight w:val="none"/>
        </w:rPr>
        <w:t>目录</w:t>
      </w:r>
      <w:bookmarkEnd w:id="343"/>
      <w:bookmarkEnd w:id="344"/>
      <w:bookmarkEnd w:id="345"/>
      <w:bookmarkEnd w:id="346"/>
      <w:bookmarkEnd w:id="347"/>
    </w:p>
    <w:p w14:paraId="647DF3A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（自行编制，</w:t>
      </w:r>
      <w:r>
        <w:rPr>
          <w:rFonts w:hint="eastAsia" w:ascii="宋体" w:hAnsi="宋体" w:cs="宋体"/>
          <w:bCs/>
          <w:color w:val="auto"/>
          <w:sz w:val="24"/>
          <w:szCs w:val="24"/>
          <w:highlight w:val="none"/>
        </w:rPr>
        <w:t>为便于查找，请标明页码</w:t>
      </w:r>
      <w:r>
        <w:rPr>
          <w:rFonts w:hint="eastAsia" w:ascii="宋体" w:hAnsi="宋体" w:cs="宋体"/>
          <w:color w:val="auto"/>
          <w:sz w:val="24"/>
          <w:szCs w:val="24"/>
          <w:highlight w:val="none"/>
        </w:rPr>
        <w:t>）</w:t>
      </w:r>
    </w:p>
    <w:p w14:paraId="1E31EBF6">
      <w:pPr>
        <w:spacing w:line="440" w:lineRule="exact"/>
        <w:ind w:firstLine="149" w:firstLineChars="62"/>
        <w:jc w:val="center"/>
        <w:rPr>
          <w:rFonts w:hint="eastAsia" w:ascii="宋体" w:hAnsi="宋体" w:eastAsia="宋体" w:cs="宋体"/>
          <w:b/>
          <w:bCs/>
          <w:color w:val="auto"/>
          <w:sz w:val="24"/>
          <w:szCs w:val="24"/>
          <w:highlight w:val="none"/>
        </w:rPr>
      </w:pPr>
    </w:p>
    <w:p w14:paraId="2BDDAB5E">
      <w:pPr>
        <w:spacing w:line="440" w:lineRule="exact"/>
        <w:ind w:firstLine="149" w:firstLineChars="62"/>
        <w:jc w:val="center"/>
        <w:rPr>
          <w:rFonts w:hint="eastAsia" w:ascii="宋体" w:hAnsi="宋体" w:eastAsia="宋体" w:cs="宋体"/>
          <w:b/>
          <w:bCs/>
          <w:color w:val="auto"/>
          <w:sz w:val="24"/>
          <w:szCs w:val="24"/>
          <w:highlight w:val="none"/>
        </w:rPr>
      </w:pPr>
    </w:p>
    <w:p w14:paraId="082886DC">
      <w:pPr>
        <w:spacing w:line="440" w:lineRule="exact"/>
        <w:ind w:firstLine="149" w:firstLineChars="62"/>
        <w:jc w:val="center"/>
        <w:rPr>
          <w:rFonts w:hint="eastAsia" w:ascii="宋体" w:hAnsi="宋体" w:eastAsia="宋体" w:cs="宋体"/>
          <w:b/>
          <w:bCs/>
          <w:color w:val="auto"/>
          <w:sz w:val="24"/>
          <w:szCs w:val="24"/>
          <w:highlight w:val="none"/>
        </w:rPr>
      </w:pPr>
    </w:p>
    <w:p w14:paraId="51EE7271">
      <w:pPr>
        <w:spacing w:line="440" w:lineRule="exact"/>
        <w:ind w:firstLine="149" w:firstLineChars="62"/>
        <w:jc w:val="center"/>
        <w:rPr>
          <w:rFonts w:hint="eastAsia" w:ascii="宋体" w:hAnsi="宋体" w:eastAsia="宋体" w:cs="宋体"/>
          <w:b/>
          <w:bCs/>
          <w:color w:val="auto"/>
          <w:sz w:val="24"/>
          <w:szCs w:val="24"/>
          <w:highlight w:val="none"/>
        </w:rPr>
      </w:pPr>
    </w:p>
    <w:p w14:paraId="01B5DF46">
      <w:pPr>
        <w:spacing w:line="440" w:lineRule="exact"/>
        <w:ind w:firstLine="149" w:firstLineChars="62"/>
        <w:jc w:val="center"/>
        <w:rPr>
          <w:rFonts w:hint="eastAsia" w:ascii="宋体" w:hAnsi="宋体" w:eastAsia="宋体" w:cs="宋体"/>
          <w:b/>
          <w:bCs/>
          <w:color w:val="auto"/>
          <w:sz w:val="24"/>
          <w:szCs w:val="24"/>
          <w:highlight w:val="none"/>
        </w:rPr>
      </w:pPr>
    </w:p>
    <w:p w14:paraId="4BA1FF82">
      <w:pPr>
        <w:spacing w:line="440" w:lineRule="exact"/>
        <w:ind w:firstLine="149" w:firstLineChars="62"/>
        <w:jc w:val="center"/>
        <w:rPr>
          <w:rFonts w:hint="eastAsia" w:ascii="宋体" w:hAnsi="宋体" w:eastAsia="宋体" w:cs="宋体"/>
          <w:b/>
          <w:bCs/>
          <w:color w:val="auto"/>
          <w:sz w:val="24"/>
          <w:szCs w:val="24"/>
          <w:highlight w:val="none"/>
        </w:rPr>
      </w:pPr>
    </w:p>
    <w:p w14:paraId="69ED0882">
      <w:pPr>
        <w:spacing w:line="440" w:lineRule="exact"/>
        <w:ind w:firstLine="149" w:firstLineChars="62"/>
        <w:jc w:val="center"/>
        <w:rPr>
          <w:rFonts w:hint="eastAsia" w:ascii="宋体" w:hAnsi="宋体" w:eastAsia="宋体" w:cs="宋体"/>
          <w:b/>
          <w:bCs/>
          <w:color w:val="auto"/>
          <w:sz w:val="24"/>
          <w:szCs w:val="24"/>
          <w:highlight w:val="none"/>
        </w:rPr>
      </w:pPr>
    </w:p>
    <w:p w14:paraId="23C76F95">
      <w:pPr>
        <w:spacing w:line="440" w:lineRule="exact"/>
        <w:ind w:firstLine="149" w:firstLineChars="62"/>
        <w:jc w:val="center"/>
        <w:rPr>
          <w:rFonts w:hint="eastAsia" w:ascii="宋体" w:hAnsi="宋体" w:eastAsia="宋体" w:cs="宋体"/>
          <w:b/>
          <w:bCs/>
          <w:color w:val="auto"/>
          <w:sz w:val="24"/>
          <w:szCs w:val="24"/>
          <w:highlight w:val="none"/>
        </w:rPr>
      </w:pPr>
    </w:p>
    <w:p w14:paraId="1C740313">
      <w:pPr>
        <w:spacing w:line="440" w:lineRule="exact"/>
        <w:ind w:firstLine="149" w:firstLineChars="62"/>
        <w:jc w:val="center"/>
        <w:rPr>
          <w:rFonts w:hint="eastAsia" w:ascii="宋体" w:hAnsi="宋体" w:eastAsia="宋体" w:cs="宋体"/>
          <w:b/>
          <w:bCs/>
          <w:color w:val="auto"/>
          <w:sz w:val="24"/>
          <w:szCs w:val="24"/>
          <w:highlight w:val="none"/>
        </w:rPr>
      </w:pPr>
    </w:p>
    <w:p w14:paraId="6CD4EDCA">
      <w:pPr>
        <w:spacing w:line="440" w:lineRule="exact"/>
        <w:ind w:firstLine="149" w:firstLineChars="62"/>
        <w:jc w:val="center"/>
        <w:rPr>
          <w:rFonts w:hint="eastAsia" w:ascii="宋体" w:hAnsi="宋体" w:eastAsia="宋体" w:cs="宋体"/>
          <w:b/>
          <w:bCs/>
          <w:color w:val="auto"/>
          <w:sz w:val="24"/>
          <w:szCs w:val="24"/>
          <w:highlight w:val="none"/>
        </w:rPr>
      </w:pPr>
    </w:p>
    <w:p w14:paraId="512F6E07">
      <w:pPr>
        <w:spacing w:line="440" w:lineRule="exact"/>
        <w:ind w:firstLine="149" w:firstLineChars="62"/>
        <w:jc w:val="center"/>
        <w:rPr>
          <w:rFonts w:hint="eastAsia" w:ascii="宋体" w:hAnsi="宋体" w:eastAsia="宋体" w:cs="宋体"/>
          <w:b/>
          <w:bCs/>
          <w:color w:val="auto"/>
          <w:sz w:val="24"/>
          <w:szCs w:val="24"/>
          <w:highlight w:val="none"/>
        </w:rPr>
      </w:pPr>
    </w:p>
    <w:p w14:paraId="503AE0CF">
      <w:pPr>
        <w:spacing w:line="440" w:lineRule="exact"/>
        <w:ind w:firstLine="149" w:firstLineChars="62"/>
        <w:jc w:val="center"/>
        <w:rPr>
          <w:rFonts w:hint="eastAsia" w:ascii="宋体" w:hAnsi="宋体" w:eastAsia="宋体" w:cs="宋体"/>
          <w:b/>
          <w:bCs/>
          <w:color w:val="auto"/>
          <w:sz w:val="24"/>
          <w:szCs w:val="24"/>
          <w:highlight w:val="none"/>
        </w:rPr>
      </w:pPr>
    </w:p>
    <w:p w14:paraId="3056E8D6">
      <w:pPr>
        <w:spacing w:line="440" w:lineRule="exact"/>
        <w:ind w:firstLine="149" w:firstLineChars="62"/>
        <w:jc w:val="center"/>
        <w:rPr>
          <w:rFonts w:hint="eastAsia" w:ascii="宋体" w:hAnsi="宋体" w:eastAsia="宋体" w:cs="宋体"/>
          <w:b/>
          <w:bCs/>
          <w:color w:val="auto"/>
          <w:sz w:val="24"/>
          <w:szCs w:val="24"/>
          <w:highlight w:val="none"/>
        </w:rPr>
      </w:pPr>
    </w:p>
    <w:p w14:paraId="35A8CEED">
      <w:pPr>
        <w:spacing w:line="440" w:lineRule="exact"/>
        <w:ind w:firstLine="149" w:firstLineChars="62"/>
        <w:jc w:val="center"/>
        <w:rPr>
          <w:rFonts w:hint="eastAsia" w:ascii="宋体" w:hAnsi="宋体" w:eastAsia="宋体" w:cs="宋体"/>
          <w:b/>
          <w:bCs/>
          <w:color w:val="auto"/>
          <w:sz w:val="24"/>
          <w:szCs w:val="24"/>
          <w:highlight w:val="none"/>
        </w:rPr>
      </w:pPr>
    </w:p>
    <w:bookmarkEnd w:id="178"/>
    <w:bookmarkEnd w:id="179"/>
    <w:bookmarkEnd w:id="180"/>
    <w:bookmarkEnd w:id="181"/>
    <w:bookmarkEnd w:id="342"/>
    <w:bookmarkEnd w:id="348"/>
    <w:bookmarkEnd w:id="349"/>
    <w:bookmarkEnd w:id="350"/>
    <w:bookmarkEnd w:id="351"/>
    <w:p w14:paraId="0CAD209D">
      <w:pPr>
        <w:rPr>
          <w:rFonts w:hint="eastAsia" w:asciiTheme="minorEastAsia" w:hAnsiTheme="minorEastAsia" w:eastAsiaTheme="minorEastAsia" w:cstheme="minorEastAsia"/>
          <w:b/>
          <w:bCs/>
          <w:color w:val="auto"/>
          <w:sz w:val="24"/>
          <w:szCs w:val="24"/>
          <w:highlight w:val="none"/>
          <w:lang w:eastAsia="zh-CN"/>
        </w:rPr>
      </w:pPr>
      <w:bookmarkStart w:id="352" w:name="_Toc19252"/>
      <w:bookmarkStart w:id="353" w:name="_Toc5742"/>
      <w:r>
        <w:rPr>
          <w:rFonts w:hint="eastAsia" w:asciiTheme="minorEastAsia" w:hAnsiTheme="minorEastAsia" w:eastAsiaTheme="minorEastAsia" w:cstheme="minorEastAsia"/>
          <w:b/>
          <w:bCs/>
          <w:color w:val="auto"/>
          <w:sz w:val="24"/>
          <w:szCs w:val="24"/>
          <w:highlight w:val="none"/>
          <w:lang w:eastAsia="zh-CN"/>
        </w:rPr>
        <w:br w:type="page"/>
      </w:r>
    </w:p>
    <w:p w14:paraId="4E9E55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资格审查</w:t>
      </w:r>
      <w:r>
        <w:rPr>
          <w:rFonts w:hint="eastAsia" w:asciiTheme="minorEastAsia" w:hAnsiTheme="minorEastAsia" w:eastAsiaTheme="minorEastAsia" w:cstheme="minorEastAsia"/>
          <w:b/>
          <w:bCs/>
          <w:color w:val="auto"/>
          <w:sz w:val="24"/>
          <w:szCs w:val="24"/>
          <w:highlight w:val="none"/>
        </w:rPr>
        <w:t>索引</w:t>
      </w:r>
      <w:r>
        <w:rPr>
          <w:rFonts w:hint="eastAsia" w:asciiTheme="minorEastAsia" w:hAnsiTheme="minorEastAsia" w:eastAsiaTheme="minorEastAsia" w:cstheme="minorEastAsia"/>
          <w:b/>
          <w:bCs/>
          <w:color w:val="auto"/>
          <w:sz w:val="24"/>
          <w:szCs w:val="24"/>
          <w:highlight w:val="none"/>
          <w:lang w:eastAsia="zh-CN"/>
        </w:rPr>
        <w:t>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4E22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26" w:type="dxa"/>
            <w:noWrap w:val="0"/>
            <w:vAlign w:val="center"/>
          </w:tcPr>
          <w:p w14:paraId="79DEAC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915" w:type="dxa"/>
            <w:noWrap w:val="0"/>
            <w:vAlign w:val="center"/>
          </w:tcPr>
          <w:p w14:paraId="5EF496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审</w:t>
            </w:r>
            <w:r>
              <w:rPr>
                <w:rFonts w:hint="eastAsia" w:asciiTheme="minorEastAsia" w:hAnsiTheme="minorEastAsia" w:eastAsiaTheme="minorEastAsia" w:cstheme="minorEastAsia"/>
                <w:b/>
                <w:bCs/>
                <w:color w:val="auto"/>
                <w:sz w:val="21"/>
                <w:szCs w:val="21"/>
                <w:highlight w:val="none"/>
                <w:lang w:eastAsia="zh-CN"/>
              </w:rPr>
              <w:t>查内容</w:t>
            </w:r>
          </w:p>
        </w:tc>
        <w:tc>
          <w:tcPr>
            <w:tcW w:w="1678" w:type="dxa"/>
            <w:noWrap w:val="0"/>
            <w:vAlign w:val="center"/>
          </w:tcPr>
          <w:p w14:paraId="26C626C9">
            <w:pPr>
              <w:spacing w:line="22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响应文件</w:t>
            </w:r>
          </w:p>
          <w:p w14:paraId="3926F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cs="宋体"/>
                <w:b/>
                <w:bCs/>
                <w:color w:val="auto"/>
                <w:szCs w:val="21"/>
                <w:highlight w:val="none"/>
                <w:lang w:val="en-US" w:eastAsia="zh-CN"/>
              </w:rPr>
              <w:t>对应页码</w:t>
            </w:r>
          </w:p>
        </w:tc>
      </w:tr>
      <w:tr w14:paraId="7D2B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826" w:type="dxa"/>
            <w:noWrap w:val="0"/>
            <w:vAlign w:val="center"/>
          </w:tcPr>
          <w:p w14:paraId="10BCAF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5C6BD6D6">
            <w:pPr>
              <w:jc w:val="both"/>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color w:val="auto"/>
                <w:kern w:val="0"/>
                <w:sz w:val="24"/>
                <w:highlight w:val="none"/>
              </w:rPr>
              <w:t>具有有效的营业执照</w:t>
            </w:r>
          </w:p>
        </w:tc>
        <w:tc>
          <w:tcPr>
            <w:tcW w:w="1678" w:type="dxa"/>
            <w:noWrap w:val="0"/>
            <w:vAlign w:val="center"/>
          </w:tcPr>
          <w:p w14:paraId="51AC28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7D8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26" w:type="dxa"/>
            <w:noWrap w:val="0"/>
            <w:vAlign w:val="center"/>
          </w:tcPr>
          <w:p w14:paraId="4086D1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464965FF">
            <w:pPr>
              <w:jc w:val="both"/>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color w:val="auto"/>
                <w:kern w:val="0"/>
                <w:sz w:val="24"/>
                <w:highlight w:val="none"/>
              </w:rPr>
              <w:t>须具有近</w:t>
            </w:r>
            <w:r>
              <w:rPr>
                <w:rFonts w:hint="eastAsia" w:ascii="宋体" w:hAnsi="宋体" w:cs="宋体"/>
                <w:color w:val="auto"/>
                <w:kern w:val="0"/>
                <w:sz w:val="24"/>
                <w:highlight w:val="none"/>
                <w:lang w:val="en-US" w:eastAsia="zh-CN"/>
              </w:rPr>
              <w:t>三个月任意</w:t>
            </w:r>
            <w:r>
              <w:rPr>
                <w:rFonts w:hint="eastAsia" w:ascii="宋体" w:hAnsi="宋体" w:eastAsia="宋体" w:cs="宋体"/>
                <w:color w:val="auto"/>
                <w:kern w:val="0"/>
                <w:sz w:val="24"/>
                <w:highlight w:val="none"/>
              </w:rPr>
              <w:t>月纳税证明（新公司从成立之日起算）</w:t>
            </w:r>
          </w:p>
        </w:tc>
        <w:tc>
          <w:tcPr>
            <w:tcW w:w="1678" w:type="dxa"/>
            <w:noWrap w:val="0"/>
            <w:vAlign w:val="center"/>
          </w:tcPr>
          <w:p w14:paraId="61C123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3F9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noWrap w:val="0"/>
            <w:vAlign w:val="center"/>
          </w:tcPr>
          <w:p w14:paraId="7949AA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0A91ECBF">
            <w:pPr>
              <w:jc w:val="both"/>
              <w:rPr>
                <w:rFonts w:hint="eastAsia" w:asciiTheme="minorEastAsia" w:hAnsiTheme="minorEastAsia" w:eastAsiaTheme="minorEastAsia" w:cstheme="minorEastAsia"/>
                <w:color w:val="auto"/>
                <w:sz w:val="21"/>
                <w:szCs w:val="21"/>
                <w:highlight w:val="none"/>
              </w:rPr>
            </w:pPr>
            <w:r>
              <w:rPr>
                <w:rFonts w:hint="eastAsia"/>
                <w:color w:val="auto"/>
                <w:sz w:val="24"/>
                <w:highlight w:val="none"/>
              </w:rPr>
              <w:t>须具备近一年财务审计报告</w:t>
            </w:r>
            <w:r>
              <w:rPr>
                <w:rFonts w:hint="eastAsia"/>
                <w:color w:val="auto"/>
                <w:sz w:val="24"/>
                <w:highlight w:val="none"/>
                <w:lang w:eastAsia="zh-CN"/>
              </w:rPr>
              <w:t>（</w:t>
            </w:r>
            <w:r>
              <w:rPr>
                <w:rFonts w:hint="eastAsia"/>
                <w:color w:val="auto"/>
                <w:sz w:val="24"/>
                <w:highlight w:val="none"/>
                <w:lang w:val="en-US" w:eastAsia="zh-CN"/>
              </w:rPr>
              <w:t>2024或2025年</w:t>
            </w:r>
            <w:r>
              <w:rPr>
                <w:rFonts w:hint="eastAsia"/>
                <w:color w:val="auto"/>
                <w:sz w:val="24"/>
                <w:highlight w:val="none"/>
                <w:lang w:eastAsia="zh-CN"/>
              </w:rPr>
              <w:t>）</w:t>
            </w:r>
            <w:r>
              <w:rPr>
                <w:rFonts w:hint="eastAsia"/>
                <w:color w:val="auto"/>
                <w:sz w:val="24"/>
                <w:highlight w:val="none"/>
              </w:rPr>
              <w:t>或银行提供的资信证明（新公司从成立之日起算）。</w:t>
            </w:r>
          </w:p>
        </w:tc>
        <w:tc>
          <w:tcPr>
            <w:tcW w:w="1678" w:type="dxa"/>
            <w:noWrap w:val="0"/>
            <w:vAlign w:val="center"/>
          </w:tcPr>
          <w:p w14:paraId="0869A6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6F3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826" w:type="dxa"/>
            <w:tcBorders>
              <w:top w:val="single" w:color="auto" w:sz="4" w:space="0"/>
              <w:bottom w:val="single" w:color="auto" w:sz="4" w:space="0"/>
            </w:tcBorders>
            <w:noWrap w:val="0"/>
            <w:vAlign w:val="center"/>
          </w:tcPr>
          <w:p w14:paraId="577406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4DB076B2">
            <w:pPr>
              <w:jc w:val="both"/>
              <w:rPr>
                <w:rFonts w:hint="eastAsia" w:asciiTheme="minorEastAsia" w:hAnsiTheme="minorEastAsia" w:eastAsiaTheme="minorEastAsia" w:cstheme="minorEastAsia"/>
                <w:color w:val="auto"/>
                <w:kern w:val="0"/>
                <w:sz w:val="21"/>
                <w:szCs w:val="21"/>
                <w:highlight w:val="none"/>
                <w:lang w:eastAsia="zh-CN"/>
              </w:rPr>
            </w:pPr>
            <w:r>
              <w:rPr>
                <w:rFonts w:hint="eastAsia" w:ascii="宋体" w:cs="宋体"/>
                <w:color w:val="auto"/>
                <w:sz w:val="24"/>
                <w:highlight w:val="none"/>
              </w:rPr>
              <w:t>有近</w:t>
            </w:r>
            <w:r>
              <w:rPr>
                <w:rFonts w:hint="eastAsia" w:ascii="宋体" w:cs="宋体"/>
                <w:color w:val="auto"/>
                <w:sz w:val="24"/>
                <w:highlight w:val="none"/>
                <w:lang w:val="en-US" w:eastAsia="zh-CN"/>
              </w:rPr>
              <w:t>三个月任意</w:t>
            </w:r>
            <w:r>
              <w:rPr>
                <w:rFonts w:hint="eastAsia" w:ascii="宋体" w:cs="宋体"/>
                <w:color w:val="auto"/>
                <w:sz w:val="24"/>
                <w:highlight w:val="none"/>
              </w:rPr>
              <w:t>月社保证明（新公司从成立之日起算）。</w:t>
            </w:r>
          </w:p>
        </w:tc>
        <w:tc>
          <w:tcPr>
            <w:tcW w:w="1678" w:type="dxa"/>
            <w:noWrap w:val="0"/>
            <w:vAlign w:val="center"/>
          </w:tcPr>
          <w:p w14:paraId="06932F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F613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26" w:type="dxa"/>
            <w:tcBorders>
              <w:top w:val="single" w:color="auto" w:sz="4" w:space="0"/>
              <w:bottom w:val="single" w:color="auto" w:sz="4" w:space="0"/>
            </w:tcBorders>
            <w:noWrap w:val="0"/>
            <w:vAlign w:val="center"/>
          </w:tcPr>
          <w:p w14:paraId="1C92DF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93E5830">
            <w:pPr>
              <w:jc w:val="both"/>
              <w:rPr>
                <w:rFonts w:hint="eastAsia" w:asciiTheme="minorEastAsia" w:hAnsiTheme="minorEastAsia" w:eastAsiaTheme="minorEastAsia" w:cstheme="minorEastAsia"/>
                <w:color w:val="auto"/>
                <w:kern w:val="0"/>
                <w:sz w:val="21"/>
                <w:szCs w:val="21"/>
                <w:highlight w:val="none"/>
                <w:lang w:eastAsia="zh-CN"/>
              </w:rPr>
            </w:pPr>
            <w:r>
              <w:rPr>
                <w:rFonts w:hint="eastAsia"/>
                <w:color w:val="auto"/>
                <w:sz w:val="24"/>
                <w:highlight w:val="none"/>
              </w:rPr>
              <w:t>须具有履行合同所必须的设备和专业技术能力的承诺函</w:t>
            </w:r>
          </w:p>
        </w:tc>
        <w:tc>
          <w:tcPr>
            <w:tcW w:w="1678" w:type="dxa"/>
            <w:noWrap w:val="0"/>
            <w:vAlign w:val="center"/>
          </w:tcPr>
          <w:p w14:paraId="226045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BF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826" w:type="dxa"/>
            <w:tcBorders>
              <w:top w:val="single" w:color="auto" w:sz="4" w:space="0"/>
              <w:bottom w:val="single" w:color="auto" w:sz="4" w:space="0"/>
            </w:tcBorders>
            <w:noWrap w:val="0"/>
            <w:vAlign w:val="center"/>
          </w:tcPr>
          <w:p w14:paraId="13F76D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915" w:type="dxa"/>
            <w:noWrap w:val="0"/>
            <w:vAlign w:val="center"/>
          </w:tcPr>
          <w:p w14:paraId="61A9ADC5">
            <w:pPr>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color w:val="auto"/>
                <w:sz w:val="24"/>
                <w:highlight w:val="none"/>
              </w:rPr>
              <w:t>参加政府采购活动前3年内在经营活动中没有重大违法记录</w:t>
            </w:r>
            <w:r>
              <w:rPr>
                <w:rFonts w:hint="eastAsia"/>
                <w:color w:val="auto"/>
                <w:sz w:val="24"/>
                <w:highlight w:val="none"/>
                <w:lang w:val="en-US" w:eastAsia="zh-CN"/>
              </w:rPr>
              <w:t>及符合法律、行政法规规定的其他条件</w:t>
            </w:r>
            <w:r>
              <w:rPr>
                <w:rFonts w:hint="eastAsia"/>
                <w:color w:val="auto"/>
                <w:sz w:val="24"/>
                <w:highlight w:val="none"/>
              </w:rPr>
              <w:t>的书面声明</w:t>
            </w:r>
          </w:p>
        </w:tc>
        <w:tc>
          <w:tcPr>
            <w:tcW w:w="1678" w:type="dxa"/>
            <w:noWrap w:val="0"/>
            <w:vAlign w:val="center"/>
          </w:tcPr>
          <w:p w14:paraId="596E48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2778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826" w:type="dxa"/>
            <w:tcBorders>
              <w:top w:val="single" w:color="auto" w:sz="4" w:space="0"/>
              <w:bottom w:val="single" w:color="auto" w:sz="4" w:space="0"/>
            </w:tcBorders>
            <w:noWrap w:val="0"/>
            <w:vAlign w:val="center"/>
          </w:tcPr>
          <w:p w14:paraId="3F6D58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5" w:type="dxa"/>
            <w:noWrap w:val="0"/>
            <w:vAlign w:val="center"/>
          </w:tcPr>
          <w:p w14:paraId="673C15B4">
            <w:pPr>
              <w:jc w:val="both"/>
              <w:rPr>
                <w:rFonts w:hint="eastAsia" w:asciiTheme="minorEastAsia" w:hAnsiTheme="minorEastAsia" w:eastAsiaTheme="minorEastAsia" w:cstheme="minorEastAsia"/>
                <w:color w:val="auto"/>
                <w:kern w:val="0"/>
                <w:sz w:val="24"/>
                <w:highlight w:val="none"/>
                <w:lang w:eastAsia="zh-CN"/>
              </w:rPr>
            </w:pPr>
            <w:r>
              <w:rPr>
                <w:rFonts w:hint="eastAsia"/>
                <w:color w:val="auto"/>
                <w:sz w:val="24"/>
                <w:highlight w:val="none"/>
              </w:rPr>
              <w:t>投标保证金凭证</w:t>
            </w:r>
          </w:p>
        </w:tc>
        <w:tc>
          <w:tcPr>
            <w:tcW w:w="1678" w:type="dxa"/>
            <w:noWrap w:val="0"/>
            <w:vAlign w:val="center"/>
          </w:tcPr>
          <w:p w14:paraId="709509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29FC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826" w:type="dxa"/>
            <w:tcBorders>
              <w:top w:val="single" w:color="auto" w:sz="4" w:space="0"/>
              <w:bottom w:val="single" w:color="auto" w:sz="4" w:space="0"/>
            </w:tcBorders>
            <w:noWrap w:val="0"/>
            <w:vAlign w:val="center"/>
          </w:tcPr>
          <w:p w14:paraId="22B516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915" w:type="dxa"/>
            <w:noWrap w:val="0"/>
            <w:vAlign w:val="center"/>
          </w:tcPr>
          <w:p w14:paraId="4EC19B42">
            <w:pPr>
              <w:jc w:val="both"/>
              <w:rPr>
                <w:rFonts w:hint="eastAsia" w:asciiTheme="minorEastAsia" w:hAnsiTheme="minorEastAsia" w:eastAsiaTheme="minorEastAsia" w:cstheme="minorEastAsia"/>
                <w:color w:val="auto"/>
                <w:sz w:val="24"/>
                <w:szCs w:val="24"/>
                <w:highlight w:val="none"/>
                <w:lang w:val="en-US" w:eastAsia="zh-CN"/>
              </w:rPr>
            </w:pPr>
            <w:r>
              <w:rPr>
                <w:rFonts w:hint="eastAsia"/>
                <w:color w:val="auto"/>
                <w:sz w:val="24"/>
                <w:highlight w:val="none"/>
              </w:rPr>
              <w:t>法人身份证明及身份证原件或法人授权委托书及委托代理人身份证原件</w:t>
            </w:r>
          </w:p>
        </w:tc>
        <w:tc>
          <w:tcPr>
            <w:tcW w:w="1678" w:type="dxa"/>
            <w:noWrap w:val="0"/>
            <w:vAlign w:val="center"/>
          </w:tcPr>
          <w:p w14:paraId="49FD74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EBB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jc w:val="center"/>
        </w:trPr>
        <w:tc>
          <w:tcPr>
            <w:tcW w:w="826" w:type="dxa"/>
            <w:tcBorders>
              <w:top w:val="single" w:color="auto" w:sz="4" w:space="0"/>
              <w:bottom w:val="single" w:color="auto" w:sz="4" w:space="0"/>
            </w:tcBorders>
            <w:noWrap w:val="0"/>
            <w:vAlign w:val="center"/>
          </w:tcPr>
          <w:p w14:paraId="0B0153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6915" w:type="dxa"/>
            <w:noWrap w:val="0"/>
            <w:vAlign w:val="center"/>
          </w:tcPr>
          <w:p w14:paraId="60A308FC">
            <w:pPr>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highlight w:val="none"/>
              </w:rPr>
              <w:t>凡拟参加本次招标项目的投标人，如在“信用中国”网站（www.creditchina.gov.cn）被列入失信被执行人、</w:t>
            </w:r>
            <w:r>
              <w:rPr>
                <w:rFonts w:hint="eastAsia" w:ascii="宋体" w:hAnsi="宋体" w:cs="宋体"/>
                <w:color w:val="auto"/>
                <w:kern w:val="0"/>
                <w:sz w:val="24"/>
                <w:highlight w:val="none"/>
                <w:lang w:eastAsia="zh-CN"/>
              </w:rPr>
              <w:t>重大税收违法失信主体名单</w:t>
            </w:r>
            <w:r>
              <w:rPr>
                <w:rFonts w:hint="eastAsia" w:ascii="宋体" w:hAnsi="宋体" w:eastAsia="宋体" w:cs="宋体"/>
                <w:color w:val="auto"/>
                <w:kern w:val="0"/>
                <w:sz w:val="24"/>
                <w:highlight w:val="none"/>
              </w:rPr>
              <w:t>和中国政府采购网（www.ccgp.gov.cn）政府采购严重违法失信行为记录名单的（尚在处罚期内的），将拒绝其参加本次采购活动</w:t>
            </w:r>
          </w:p>
        </w:tc>
        <w:tc>
          <w:tcPr>
            <w:tcW w:w="1678" w:type="dxa"/>
            <w:noWrap w:val="0"/>
            <w:vAlign w:val="center"/>
          </w:tcPr>
          <w:p w14:paraId="5CC28D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173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26" w:type="dxa"/>
            <w:tcBorders>
              <w:top w:val="single" w:color="auto" w:sz="4" w:space="0"/>
              <w:bottom w:val="single" w:color="auto" w:sz="4" w:space="0"/>
            </w:tcBorders>
            <w:noWrap w:val="0"/>
            <w:vAlign w:val="center"/>
          </w:tcPr>
          <w:p w14:paraId="7ECBFE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915" w:type="dxa"/>
            <w:noWrap w:val="0"/>
            <w:vAlign w:val="center"/>
          </w:tcPr>
          <w:p w14:paraId="5F9A7101">
            <w:pPr>
              <w:jc w:val="both"/>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中小企业声明函</w:t>
            </w:r>
          </w:p>
        </w:tc>
        <w:tc>
          <w:tcPr>
            <w:tcW w:w="1678" w:type="dxa"/>
            <w:noWrap w:val="0"/>
            <w:vAlign w:val="center"/>
          </w:tcPr>
          <w:p w14:paraId="676EB5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780600EE">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32C4D12F">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商务技术评审索引表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4749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4385C68">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37B17BBE">
            <w:pPr>
              <w:spacing w:line="22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内容</w:t>
            </w:r>
          </w:p>
        </w:tc>
        <w:tc>
          <w:tcPr>
            <w:tcW w:w="6578" w:type="dxa"/>
            <w:noWrap w:val="0"/>
            <w:vAlign w:val="center"/>
          </w:tcPr>
          <w:p w14:paraId="0ED42AA0">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529BAD10">
            <w:pPr>
              <w:spacing w:line="22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1A11B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bottom w:val="single" w:color="auto" w:sz="4" w:space="0"/>
            </w:tcBorders>
            <w:noWrap w:val="0"/>
            <w:vAlign w:val="center"/>
          </w:tcPr>
          <w:p w14:paraId="00EAD6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5BFDC4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578" w:type="dxa"/>
            <w:noWrap w:val="0"/>
            <w:vAlign w:val="center"/>
          </w:tcPr>
          <w:p w14:paraId="0E3D53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161" w:type="dxa"/>
            <w:noWrap w:val="0"/>
            <w:vAlign w:val="center"/>
          </w:tcPr>
          <w:p w14:paraId="282389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5B6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top w:val="single" w:color="auto" w:sz="4" w:space="0"/>
              <w:bottom w:val="single" w:color="auto" w:sz="4" w:space="0"/>
            </w:tcBorders>
            <w:noWrap w:val="0"/>
            <w:vAlign w:val="center"/>
          </w:tcPr>
          <w:p w14:paraId="6261C3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ECE4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578" w:type="dxa"/>
            <w:noWrap w:val="0"/>
            <w:vAlign w:val="center"/>
          </w:tcPr>
          <w:p w14:paraId="4D0E1D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161" w:type="dxa"/>
            <w:noWrap w:val="0"/>
            <w:vAlign w:val="center"/>
          </w:tcPr>
          <w:p w14:paraId="225FCF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2211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top w:val="single" w:color="auto" w:sz="4" w:space="0"/>
            </w:tcBorders>
            <w:noWrap w:val="0"/>
            <w:vAlign w:val="center"/>
          </w:tcPr>
          <w:p w14:paraId="551C31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49C587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578" w:type="dxa"/>
            <w:noWrap w:val="0"/>
            <w:vAlign w:val="center"/>
          </w:tcPr>
          <w:p w14:paraId="0D89E2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161" w:type="dxa"/>
            <w:noWrap w:val="0"/>
            <w:vAlign w:val="center"/>
          </w:tcPr>
          <w:p w14:paraId="2DDD70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79C06D7">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21A99045">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2EEFC70D">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4D1387C9">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06441781">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56EAC66F">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424FD236">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383D2289">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460AAF7A">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26088158">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bookmarkEnd w:id="352"/>
    <w:bookmarkEnd w:id="353"/>
    <w:p w14:paraId="00C7FE10">
      <w:pPr>
        <w:rPr>
          <w:rFonts w:hint="eastAsia" w:ascii="宋体" w:hAnsi="宋体" w:eastAsia="宋体" w:cs="宋体"/>
          <w:color w:val="auto"/>
          <w:sz w:val="24"/>
          <w:szCs w:val="24"/>
          <w:highlight w:val="none"/>
          <w:lang w:eastAsia="zh-CN"/>
        </w:rPr>
      </w:pPr>
      <w:bookmarkStart w:id="354" w:name="_Toc26592"/>
      <w:bookmarkStart w:id="355" w:name="_Toc1992"/>
      <w:bookmarkStart w:id="356" w:name="_Toc19452"/>
      <w:bookmarkStart w:id="357" w:name="_Toc3833"/>
      <w:bookmarkStart w:id="358" w:name="_Toc25269"/>
      <w:r>
        <w:rPr>
          <w:rFonts w:hint="eastAsia" w:ascii="宋体" w:hAnsi="宋体" w:eastAsia="宋体" w:cs="宋体"/>
          <w:color w:val="auto"/>
          <w:sz w:val="24"/>
          <w:szCs w:val="24"/>
          <w:highlight w:val="none"/>
          <w:lang w:eastAsia="zh-CN"/>
        </w:rPr>
        <w:br w:type="page"/>
      </w:r>
    </w:p>
    <w:p w14:paraId="3D81DC5A">
      <w:pPr>
        <w:pStyle w:val="3"/>
        <w:pageBreakBefore w:val="0"/>
        <w:widowControl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、资</w:t>
      </w:r>
      <w:r>
        <w:rPr>
          <w:rFonts w:hint="eastAsia" w:ascii="宋体" w:hAnsi="宋体" w:eastAsia="宋体" w:cs="宋体"/>
          <w:color w:val="auto"/>
          <w:sz w:val="24"/>
          <w:szCs w:val="24"/>
          <w:highlight w:val="none"/>
          <w:lang w:eastAsia="zh-CN"/>
        </w:rPr>
        <w:t>格</w:t>
      </w:r>
      <w:r>
        <w:rPr>
          <w:rFonts w:hint="eastAsia" w:ascii="宋体" w:hAnsi="宋体" w:eastAsia="宋体" w:cs="宋体"/>
          <w:color w:val="auto"/>
          <w:sz w:val="24"/>
          <w:szCs w:val="24"/>
          <w:highlight w:val="none"/>
        </w:rPr>
        <w:t>文件</w:t>
      </w:r>
      <w:bookmarkEnd w:id="354"/>
      <w:bookmarkEnd w:id="355"/>
      <w:bookmarkEnd w:id="356"/>
    </w:p>
    <w:p w14:paraId="7DEEF75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b/>
          <w:color w:val="auto"/>
          <w:sz w:val="24"/>
          <w:szCs w:val="24"/>
          <w:highlight w:val="none"/>
        </w:rPr>
      </w:pPr>
      <w:bookmarkStart w:id="359" w:name="_Toc1672"/>
      <w:bookmarkEnd w:id="359"/>
      <w:bookmarkStart w:id="360" w:name="_Toc31100"/>
      <w:bookmarkEnd w:id="360"/>
      <w:bookmarkStart w:id="361" w:name="_Toc16940"/>
      <w:bookmarkEnd w:id="361"/>
      <w:bookmarkStart w:id="362" w:name="_Toc9757"/>
      <w:bookmarkEnd w:id="362"/>
      <w:bookmarkStart w:id="363" w:name="_Toc20554"/>
      <w:bookmarkStart w:id="364" w:name="_Toc23977"/>
      <w:bookmarkStart w:id="365" w:name="_Toc22322"/>
      <w:r>
        <w:rPr>
          <w:rFonts w:hint="eastAsia" w:ascii="宋体" w:hAnsi="宋体" w:eastAsia="宋体" w:cs="宋体"/>
          <w:b/>
          <w:color w:val="auto"/>
          <w:sz w:val="24"/>
          <w:szCs w:val="24"/>
          <w:highlight w:val="none"/>
          <w:lang w:val="en-US" w:eastAsia="zh-CN"/>
        </w:rPr>
        <w:t>（一）满足《中华人民共和国政府采购法》第二十二条规定</w:t>
      </w:r>
      <w:bookmarkEnd w:id="363"/>
      <w:bookmarkEnd w:id="364"/>
      <w:bookmarkEnd w:id="365"/>
    </w:p>
    <w:p w14:paraId="4A792C09">
      <w:pPr>
        <w:pStyle w:val="4"/>
        <w:keepNext w:val="0"/>
        <w:keepLines w:val="0"/>
        <w:tabs>
          <w:tab w:val="left" w:pos="540"/>
        </w:tabs>
        <w:adjustRightInd w:val="0"/>
        <w:snapToGrid w:val="0"/>
        <w:spacing w:before="0" w:after="0" w:line="360" w:lineRule="auto"/>
        <w:jc w:val="center"/>
        <w:rPr>
          <w:rFonts w:hint="eastAsia"/>
          <w:color w:val="auto"/>
          <w:sz w:val="24"/>
          <w:szCs w:val="24"/>
          <w:highlight w:val="none"/>
          <w:lang w:eastAsia="zh-CN"/>
        </w:rPr>
      </w:pPr>
      <w:bookmarkStart w:id="366" w:name="_Toc11400"/>
      <w:bookmarkEnd w:id="366"/>
      <w:bookmarkStart w:id="367" w:name="_Toc20535"/>
      <w:bookmarkEnd w:id="367"/>
      <w:bookmarkStart w:id="368" w:name="_Toc513"/>
      <w:bookmarkEnd w:id="368"/>
      <w:bookmarkStart w:id="369" w:name="_Toc13670"/>
      <w:bookmarkEnd w:id="369"/>
      <w:bookmarkStart w:id="370" w:name="_Toc27002"/>
      <w:bookmarkEnd w:id="370"/>
      <w:bookmarkStart w:id="371" w:name="_Toc5001"/>
      <w:bookmarkEnd w:id="371"/>
      <w:bookmarkStart w:id="372" w:name="_Toc17503"/>
      <w:bookmarkEnd w:id="372"/>
      <w:bookmarkStart w:id="373" w:name="_Toc19478"/>
      <w:bookmarkEnd w:id="373"/>
      <w:bookmarkStart w:id="374" w:name="_Toc8540"/>
      <w:bookmarkEnd w:id="374"/>
      <w:bookmarkStart w:id="375" w:name="_Toc7141"/>
      <w:bookmarkEnd w:id="375"/>
      <w:bookmarkStart w:id="376" w:name="_Toc2373"/>
      <w:bookmarkEnd w:id="376"/>
      <w:bookmarkStart w:id="377" w:name="_Toc18030"/>
      <w:bookmarkEnd w:id="377"/>
      <w:bookmarkStart w:id="378" w:name="_Toc31244"/>
      <w:bookmarkEnd w:id="378"/>
      <w:bookmarkStart w:id="379" w:name="_Toc1155"/>
      <w:bookmarkStart w:id="380" w:name="_Toc19010"/>
      <w:bookmarkStart w:id="381" w:name="_Toc27675"/>
      <w:bookmarkStart w:id="382" w:name="_Toc13956"/>
      <w:bookmarkStart w:id="383" w:name="_Toc22646"/>
      <w:bookmarkStart w:id="384" w:name="_Toc15050"/>
      <w:bookmarkStart w:id="385" w:name="_Toc10363"/>
      <w:bookmarkStart w:id="386" w:name="_Toc24802"/>
      <w:bookmarkStart w:id="387" w:name="_Toc32320"/>
      <w:bookmarkStart w:id="388" w:name="_Toc18485"/>
      <w:bookmarkStart w:id="389" w:name="_Toc11335"/>
      <w:bookmarkStart w:id="390" w:name="_Toc31522"/>
      <w:r>
        <w:rPr>
          <w:rFonts w:hint="eastAsia"/>
          <w:color w:val="auto"/>
          <w:sz w:val="24"/>
          <w:szCs w:val="24"/>
          <w:highlight w:val="none"/>
          <w:lang w:val="en-US" w:eastAsia="zh-CN"/>
        </w:rPr>
        <w:t>1.</w:t>
      </w:r>
      <w:bookmarkEnd w:id="379"/>
      <w:bookmarkEnd w:id="380"/>
      <w:bookmarkEnd w:id="381"/>
      <w:r>
        <w:rPr>
          <w:rFonts w:hint="eastAsia"/>
          <w:color w:val="auto"/>
          <w:sz w:val="24"/>
          <w:szCs w:val="24"/>
          <w:highlight w:val="none"/>
          <w:lang w:eastAsia="zh-CN"/>
        </w:rPr>
        <w:t>政府采购供应商信用承诺函</w:t>
      </w:r>
      <w:bookmarkEnd w:id="382"/>
      <w:bookmarkEnd w:id="383"/>
      <w:bookmarkEnd w:id="384"/>
      <w:bookmarkEnd w:id="385"/>
      <w:bookmarkEnd w:id="386"/>
      <w:bookmarkEnd w:id="387"/>
    </w:p>
    <w:p w14:paraId="03CB9867">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r>
        <w:rPr>
          <w:rFonts w:hint="eastAsia" w:cs="宋体"/>
          <w:color w:val="auto"/>
          <w:sz w:val="24"/>
          <w:szCs w:val="24"/>
          <w:highlight w:val="none"/>
          <w:u w:val="single"/>
        </w:rPr>
        <w:t xml:space="preserve">                         </w:t>
      </w:r>
    </w:p>
    <w:p w14:paraId="6737BE19">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r>
        <w:rPr>
          <w:rFonts w:hint="eastAsia" w:cs="宋体"/>
          <w:color w:val="auto"/>
          <w:sz w:val="24"/>
          <w:szCs w:val="24"/>
          <w:highlight w:val="none"/>
          <w:u w:val="single"/>
        </w:rPr>
        <w:t xml:space="preserve">                         </w:t>
      </w:r>
    </w:p>
    <w:p w14:paraId="0C342015">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r>
        <w:rPr>
          <w:rFonts w:hint="eastAsia" w:cs="宋体"/>
          <w:color w:val="auto"/>
          <w:sz w:val="24"/>
          <w:szCs w:val="24"/>
          <w:highlight w:val="none"/>
          <w:u w:val="single"/>
        </w:rPr>
        <w:t xml:space="preserve">                         </w:t>
      </w:r>
    </w:p>
    <w:p w14:paraId="4E9AD21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6DC8EE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一、我单位（本人）符合《中华人民共和国政府采购法》第二十二条规定：</w:t>
      </w:r>
    </w:p>
    <w:p w14:paraId="43543092">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（一）具有独立承担民事责任的能力</w:t>
      </w:r>
      <w:r>
        <w:rPr>
          <w:rFonts w:hint="eastAsia" w:ascii="宋体" w:hAnsi="宋体" w:cs="宋体"/>
          <w:color w:val="auto"/>
          <w:sz w:val="24"/>
          <w:szCs w:val="24"/>
          <w:highlight w:val="none"/>
          <w:lang w:eastAsia="zh-CN"/>
        </w:rPr>
        <w:t>；</w:t>
      </w:r>
    </w:p>
    <w:p w14:paraId="050A723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（二）具有良好的商业信誉和健全的财务会计制度</w:t>
      </w:r>
      <w:r>
        <w:rPr>
          <w:rFonts w:hint="eastAsia" w:ascii="宋体" w:hAnsi="宋体" w:cs="宋体"/>
          <w:color w:val="auto"/>
          <w:sz w:val="24"/>
          <w:szCs w:val="24"/>
          <w:highlight w:val="none"/>
          <w:lang w:eastAsia="zh-CN"/>
        </w:rPr>
        <w:t>；</w:t>
      </w:r>
    </w:p>
    <w:p w14:paraId="0B533134">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（三）具有履行合同所必需的设备和专业技术能力</w:t>
      </w:r>
      <w:r>
        <w:rPr>
          <w:rFonts w:hint="eastAsia" w:ascii="宋体" w:hAnsi="宋体" w:cs="宋体"/>
          <w:color w:val="auto"/>
          <w:sz w:val="24"/>
          <w:szCs w:val="24"/>
          <w:highlight w:val="none"/>
          <w:lang w:eastAsia="zh-CN"/>
        </w:rPr>
        <w:t>；</w:t>
      </w:r>
    </w:p>
    <w:p w14:paraId="7990D1D9">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（四）有依法缴纳税收和社会保障资金的良好记录</w:t>
      </w:r>
      <w:r>
        <w:rPr>
          <w:rFonts w:hint="eastAsia" w:ascii="宋体" w:hAnsi="宋体" w:cs="宋体"/>
          <w:color w:val="auto"/>
          <w:sz w:val="24"/>
          <w:szCs w:val="24"/>
          <w:highlight w:val="none"/>
          <w:lang w:eastAsia="zh-CN"/>
        </w:rPr>
        <w:t>；</w:t>
      </w:r>
    </w:p>
    <w:p w14:paraId="7254E6E4">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（五）参加政府采购活动前三年内，在经营活动中没有重大违法记录</w:t>
      </w:r>
      <w:r>
        <w:rPr>
          <w:rFonts w:hint="eastAsia" w:ascii="宋体" w:hAnsi="宋体" w:cs="宋体"/>
          <w:color w:val="auto"/>
          <w:sz w:val="24"/>
          <w:szCs w:val="24"/>
          <w:highlight w:val="none"/>
          <w:lang w:eastAsia="zh-CN"/>
        </w:rPr>
        <w:t>；</w:t>
      </w:r>
    </w:p>
    <w:p w14:paraId="7E2DD65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（六）符合法律、行政法规规定的其他条件。</w:t>
      </w:r>
    </w:p>
    <w:p w14:paraId="4659F65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二、我单位（本人）未被列入严重违法失信名单、失信被执行人名单、重大税收违法案件当事人名单、政府采购严重违法失信行为记录名单。</w:t>
      </w:r>
    </w:p>
    <w:p w14:paraId="7397DA8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三、如果本公司（本人）有幸</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，在合同签订之前，采购单位有权要求本公司（本人）提供资格证明材料原件进行核验。</w:t>
      </w:r>
    </w:p>
    <w:p w14:paraId="2B31581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F45544E">
      <w:pPr>
        <w:adjustRightInd w:val="0"/>
        <w:snapToGrid w:val="0"/>
        <w:spacing w:line="360" w:lineRule="auto"/>
        <w:ind w:firstLine="480" w:firstLineChars="200"/>
        <w:rPr>
          <w:rFonts w:hint="eastAsia" w:ascii="宋体" w:hAnsi="宋体" w:cs="宋体"/>
          <w:color w:val="auto"/>
          <w:sz w:val="24"/>
          <w:szCs w:val="24"/>
          <w:highlight w:val="none"/>
        </w:rPr>
      </w:pPr>
    </w:p>
    <w:p w14:paraId="0F9656C3">
      <w:pPr>
        <w:adjustRightInd w:val="0"/>
        <w:snapToGrid w:val="0"/>
        <w:spacing w:line="360" w:lineRule="auto"/>
        <w:ind w:firstLine="480" w:firstLineChars="200"/>
        <w:rPr>
          <w:rFonts w:hint="eastAsia" w:cs="宋体"/>
          <w:color w:val="auto"/>
          <w:sz w:val="24"/>
          <w:szCs w:val="24"/>
          <w:highlight w:val="none"/>
          <w:u w:val="single"/>
        </w:rPr>
      </w:pPr>
      <w:r>
        <w:rPr>
          <w:rFonts w:hint="eastAsia" w:ascii="宋体" w:hAnsi="宋体" w:cs="宋体"/>
          <w:color w:val="auto"/>
          <w:sz w:val="24"/>
          <w:szCs w:val="24"/>
          <w:highlight w:val="none"/>
        </w:rPr>
        <w:t>供应商（印章）：</w:t>
      </w:r>
      <w:r>
        <w:rPr>
          <w:rFonts w:hint="eastAsia" w:cs="宋体"/>
          <w:color w:val="auto"/>
          <w:sz w:val="24"/>
          <w:szCs w:val="24"/>
          <w:highlight w:val="none"/>
          <w:u w:val="single"/>
        </w:rPr>
        <w:t xml:space="preserve">                   </w:t>
      </w:r>
    </w:p>
    <w:p w14:paraId="42E00F49">
      <w:pPr>
        <w:adjustRightInd w:val="0"/>
        <w:snapToGrid w:val="0"/>
        <w:spacing w:line="360" w:lineRule="auto"/>
        <w:ind w:firstLine="480" w:firstLineChars="200"/>
        <w:rPr>
          <w:rFonts w:hint="eastAsia" w:cs="宋体"/>
          <w:color w:val="auto"/>
          <w:sz w:val="24"/>
          <w:szCs w:val="24"/>
          <w:highlight w:val="none"/>
          <w:u w:val="single"/>
        </w:rPr>
      </w:pPr>
      <w:r>
        <w:rPr>
          <w:rFonts w:hint="eastAsia" w:ascii="宋体" w:hAnsi="宋体" w:cs="宋体"/>
          <w:color w:val="auto"/>
          <w:sz w:val="24"/>
          <w:szCs w:val="24"/>
          <w:highlight w:val="none"/>
        </w:rPr>
        <w:t>法定代表人、负责人、本人、或授权代表（签字或印章）：</w:t>
      </w:r>
      <w:r>
        <w:rPr>
          <w:rFonts w:hint="eastAsia" w:cs="宋体"/>
          <w:color w:val="auto"/>
          <w:sz w:val="24"/>
          <w:szCs w:val="24"/>
          <w:highlight w:val="none"/>
          <w:u w:val="single"/>
        </w:rPr>
        <w:t xml:space="preserve">                   </w:t>
      </w:r>
    </w:p>
    <w:p w14:paraId="4F31440D">
      <w:pPr>
        <w:adjustRightInd w:val="0"/>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日期：</w:t>
      </w:r>
      <w:r>
        <w:rPr>
          <w:rFonts w:hint="eastAsia"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cs="宋体"/>
          <w:color w:val="auto"/>
          <w:sz w:val="24"/>
          <w:szCs w:val="24"/>
          <w:highlight w:val="none"/>
          <w:u w:val="single"/>
        </w:rPr>
        <w:t xml:space="preserve">    </w:t>
      </w:r>
      <w:r>
        <w:rPr>
          <w:rFonts w:hint="eastAsia" w:ascii="宋体" w:hAnsi="宋体" w:cs="宋体"/>
          <w:color w:val="auto"/>
          <w:sz w:val="24"/>
          <w:szCs w:val="24"/>
          <w:highlight w:val="none"/>
        </w:rPr>
        <w:t>日</w:t>
      </w:r>
    </w:p>
    <w:p w14:paraId="74A34B51">
      <w:pPr>
        <w:adjustRightInd w:val="0"/>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备注：没有提供此项声明函的，视为未实质性响应采购文件要求，将按无效响应处理。</w:t>
      </w:r>
    </w:p>
    <w:p w14:paraId="199C1D17">
      <w:pPr>
        <w:rPr>
          <w:rFonts w:hint="eastAsia"/>
          <w:color w:val="auto"/>
          <w:sz w:val="24"/>
          <w:szCs w:val="24"/>
          <w:highlight w:val="none"/>
          <w:lang w:val="en-US" w:eastAsia="zh-CN"/>
        </w:rPr>
      </w:pPr>
      <w:bookmarkStart w:id="391" w:name="_Toc6909"/>
      <w:bookmarkStart w:id="392" w:name="_Toc22411"/>
      <w:bookmarkStart w:id="393" w:name="_Toc28"/>
      <w:bookmarkStart w:id="394" w:name="_Toc22976"/>
      <w:bookmarkStart w:id="395" w:name="_Toc18605"/>
      <w:r>
        <w:rPr>
          <w:rFonts w:hint="eastAsia"/>
          <w:color w:val="auto"/>
          <w:sz w:val="24"/>
          <w:szCs w:val="24"/>
          <w:highlight w:val="none"/>
          <w:lang w:val="en-US" w:eastAsia="zh-CN"/>
        </w:rPr>
        <w:br w:type="page"/>
      </w:r>
    </w:p>
    <w:p w14:paraId="3C18DC26">
      <w:pPr>
        <w:pStyle w:val="4"/>
        <w:keepNext w:val="0"/>
        <w:keepLines w:val="0"/>
        <w:tabs>
          <w:tab w:val="left" w:pos="540"/>
        </w:tabs>
        <w:adjustRightInd w:val="0"/>
        <w:snapToGrid w:val="0"/>
        <w:spacing w:line="360" w:lineRule="auto"/>
        <w:jc w:val="center"/>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法定代表人身份证明或授权委托书</w:t>
      </w:r>
      <w:bookmarkEnd w:id="388"/>
      <w:bookmarkEnd w:id="389"/>
      <w:bookmarkEnd w:id="391"/>
      <w:bookmarkEnd w:id="392"/>
      <w:bookmarkEnd w:id="393"/>
      <w:bookmarkEnd w:id="394"/>
      <w:bookmarkEnd w:id="395"/>
    </w:p>
    <w:p w14:paraId="6AAAA04E">
      <w:pPr>
        <w:adjustRightInd w:val="0"/>
        <w:snapToGrid w:val="0"/>
        <w:spacing w:line="360" w:lineRule="auto"/>
        <w:jc w:val="center"/>
        <w:rPr>
          <w:rFonts w:hint="eastAsia"/>
          <w:b/>
          <w:bCs/>
          <w:color w:val="auto"/>
          <w:sz w:val="24"/>
          <w:szCs w:val="24"/>
          <w:highlight w:val="none"/>
        </w:rPr>
      </w:pPr>
      <w:r>
        <w:rPr>
          <w:rFonts w:hint="eastAsia"/>
          <w:b/>
          <w:bCs/>
          <w:color w:val="auto"/>
          <w:sz w:val="24"/>
          <w:szCs w:val="24"/>
          <w:highlight w:val="none"/>
        </w:rPr>
        <w:t>法定代表人身份证明</w:t>
      </w:r>
    </w:p>
    <w:p w14:paraId="3DD3B0AE">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45C8640">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02DCAB6">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41C0B22">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B240447">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00F04BA">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0EEE709E">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系</w:t>
      </w:r>
      <w:r>
        <w:rPr>
          <w:rFonts w:hint="eastAsia" w:cs="宋体"/>
          <w:color w:val="auto"/>
          <w:sz w:val="24"/>
          <w:szCs w:val="24"/>
          <w:highlight w:val="none"/>
          <w:u w:val="single"/>
        </w:rPr>
        <w:t xml:space="preserve">  </w:t>
      </w:r>
      <w:r>
        <w:rPr>
          <w:rFonts w:hint="eastAsia" w:cs="宋体"/>
          <w:i/>
          <w:iCs/>
          <w:color w:val="auto"/>
          <w:sz w:val="24"/>
          <w:szCs w:val="24"/>
          <w:highlight w:val="none"/>
          <w:u w:val="single"/>
        </w:rPr>
        <w:t>（供应商名称）</w:t>
      </w:r>
      <w:r>
        <w:rPr>
          <w:rFonts w:hint="eastAsia" w:cs="宋体"/>
          <w:color w:val="auto"/>
          <w:sz w:val="24"/>
          <w:szCs w:val="24"/>
          <w:highlight w:val="none"/>
          <w:u w:val="single"/>
        </w:rPr>
        <w:t xml:space="preserve">  </w:t>
      </w:r>
      <w:r>
        <w:rPr>
          <w:rFonts w:hint="eastAsia" w:cs="宋体"/>
          <w:color w:val="auto"/>
          <w:sz w:val="24"/>
          <w:szCs w:val="24"/>
          <w:highlight w:val="none"/>
        </w:rPr>
        <w:t>的法定代表人。</w:t>
      </w:r>
    </w:p>
    <w:p w14:paraId="3A8F527D">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特此证明。</w:t>
      </w:r>
    </w:p>
    <w:p w14:paraId="328F376B">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1D26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880FE18">
            <w:pPr>
              <w:adjustRightInd w:val="0"/>
              <w:snapToGrid w:val="0"/>
              <w:spacing w:line="360" w:lineRule="auto"/>
              <w:jc w:val="center"/>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44AF099">
            <w:pPr>
              <w:adjustRightInd w:val="0"/>
              <w:snapToGrid w:val="0"/>
              <w:spacing w:line="360" w:lineRule="auto"/>
              <w:jc w:val="center"/>
              <w:rPr>
                <w:rFonts w:hint="eastAsia" w:cs="宋体"/>
                <w:color w:val="auto"/>
                <w:sz w:val="24"/>
                <w:szCs w:val="24"/>
                <w:highlight w:val="none"/>
              </w:rPr>
            </w:pPr>
            <w:r>
              <w:rPr>
                <w:rFonts w:hint="eastAsia" w:cs="宋体"/>
                <w:color w:val="auto"/>
                <w:sz w:val="24"/>
                <w:szCs w:val="24"/>
                <w:highlight w:val="none"/>
              </w:rPr>
              <w:t>身份证反面</w:t>
            </w:r>
          </w:p>
        </w:tc>
      </w:tr>
    </w:tbl>
    <w:p w14:paraId="6A943C29">
      <w:pPr>
        <w:pStyle w:val="11"/>
        <w:adjustRightInd w:val="0"/>
        <w:snapToGrid w:val="0"/>
        <w:spacing w:line="360" w:lineRule="auto"/>
        <w:ind w:firstLine="480"/>
        <w:rPr>
          <w:rFonts w:hint="eastAsia" w:cs="宋体"/>
          <w:color w:val="auto"/>
          <w:sz w:val="24"/>
          <w:highlight w:val="none"/>
        </w:rPr>
      </w:pPr>
    </w:p>
    <w:p w14:paraId="6C60CD47">
      <w:pPr>
        <w:pStyle w:val="11"/>
        <w:adjustRightInd w:val="0"/>
        <w:snapToGrid w:val="0"/>
        <w:spacing w:line="360" w:lineRule="auto"/>
        <w:ind w:firstLine="480"/>
        <w:rPr>
          <w:rFonts w:hint="eastAsia" w:cs="宋体"/>
          <w:color w:val="auto"/>
          <w:sz w:val="24"/>
          <w:highlight w:val="none"/>
        </w:rPr>
      </w:pPr>
    </w:p>
    <w:p w14:paraId="74D29F7C">
      <w:pPr>
        <w:adjustRightInd w:val="0"/>
        <w:snapToGrid w:val="0"/>
        <w:spacing w:line="360" w:lineRule="auto"/>
        <w:ind w:firstLine="480"/>
        <w:rPr>
          <w:rFonts w:hint="eastAsia" w:cs="宋体"/>
          <w:color w:val="auto"/>
          <w:sz w:val="24"/>
          <w:szCs w:val="24"/>
          <w:highlight w:val="none"/>
          <w:u w:val="single"/>
        </w:rPr>
      </w:pPr>
      <w:r>
        <w:rPr>
          <w:rFonts w:hint="eastAsia" w:cs="宋体"/>
          <w:color w:val="auto"/>
          <w:sz w:val="24"/>
          <w:szCs w:val="24"/>
          <w:highlight w:val="none"/>
        </w:rPr>
        <w:t>供应商名称（</w:t>
      </w:r>
      <w:r>
        <w:rPr>
          <w:rFonts w:hint="eastAsia" w:ascii="宋体" w:hAnsi="宋体" w:cs="宋体"/>
          <w:color w:val="auto"/>
          <w:kern w:val="0"/>
          <w:sz w:val="24"/>
          <w:szCs w:val="24"/>
          <w:highlight w:val="none"/>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508DDFD0">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日期：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6AD89F1">
      <w:pPr>
        <w:adjustRightInd w:val="0"/>
        <w:snapToGrid w:val="0"/>
        <w:spacing w:line="360" w:lineRule="auto"/>
        <w:ind w:firstLine="480"/>
        <w:rPr>
          <w:rFonts w:hint="eastAsia" w:cs="宋体"/>
          <w:color w:val="auto"/>
          <w:sz w:val="24"/>
          <w:szCs w:val="24"/>
          <w:highlight w:val="none"/>
        </w:rPr>
      </w:pPr>
    </w:p>
    <w:p w14:paraId="045917BC">
      <w:pPr>
        <w:adjustRightInd w:val="0"/>
        <w:snapToGrid w:val="0"/>
        <w:spacing w:line="360" w:lineRule="auto"/>
        <w:ind w:firstLine="482"/>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773C0729">
      <w:pPr>
        <w:adjustRightInd w:val="0"/>
        <w:snapToGrid w:val="0"/>
        <w:spacing w:line="360" w:lineRule="auto"/>
        <w:ind w:firstLine="480" w:firstLineChars="200"/>
        <w:rPr>
          <w:rFonts w:hint="eastAsia" w:ascii="宋体" w:hAnsi="宋体" w:cs="宋体"/>
          <w:color w:val="auto"/>
          <w:sz w:val="24"/>
          <w:highlight w:val="none"/>
        </w:rPr>
      </w:pPr>
    </w:p>
    <w:p w14:paraId="681DD3BF">
      <w:pPr>
        <w:adjustRightInd w:val="0"/>
        <w:snapToGrid w:val="0"/>
        <w:spacing w:line="360" w:lineRule="auto"/>
        <w:ind w:firstLine="480" w:firstLineChars="200"/>
        <w:rPr>
          <w:rFonts w:hint="eastAsia" w:ascii="宋体" w:hAnsi="宋体" w:cs="宋体"/>
          <w:color w:val="auto"/>
          <w:sz w:val="24"/>
          <w:highlight w:val="none"/>
        </w:rPr>
      </w:pPr>
    </w:p>
    <w:p w14:paraId="350A99D6">
      <w:pPr>
        <w:adjustRightInd w:val="0"/>
        <w:snapToGrid w:val="0"/>
        <w:spacing w:line="360" w:lineRule="auto"/>
        <w:ind w:firstLine="480" w:firstLineChars="200"/>
        <w:rPr>
          <w:rFonts w:hint="eastAsia" w:ascii="宋体" w:hAnsi="宋体" w:cs="宋体"/>
          <w:color w:val="auto"/>
          <w:sz w:val="24"/>
          <w:highlight w:val="none"/>
        </w:rPr>
      </w:pPr>
    </w:p>
    <w:p w14:paraId="44A60815">
      <w:pPr>
        <w:adjustRightInd w:val="0"/>
        <w:snapToGrid w:val="0"/>
        <w:spacing w:line="360" w:lineRule="auto"/>
        <w:ind w:firstLine="480" w:firstLineChars="200"/>
        <w:rPr>
          <w:rFonts w:hint="eastAsia" w:ascii="宋体" w:hAnsi="宋体" w:cs="宋体"/>
          <w:color w:val="auto"/>
          <w:sz w:val="24"/>
          <w:highlight w:val="none"/>
        </w:rPr>
      </w:pPr>
    </w:p>
    <w:p w14:paraId="1284E0AC">
      <w:pPr>
        <w:adjustRightInd w:val="0"/>
        <w:snapToGrid w:val="0"/>
        <w:spacing w:line="360" w:lineRule="auto"/>
        <w:ind w:firstLine="480" w:firstLineChars="200"/>
        <w:rPr>
          <w:rFonts w:hint="eastAsia" w:ascii="宋体" w:hAnsi="宋体" w:cs="宋体"/>
          <w:color w:val="auto"/>
          <w:sz w:val="24"/>
          <w:highlight w:val="none"/>
        </w:rPr>
      </w:pPr>
    </w:p>
    <w:p w14:paraId="4382B1B6">
      <w:pPr>
        <w:rPr>
          <w:rFonts w:hint="eastAsia" w:cs="宋体"/>
          <w:b/>
          <w:bCs/>
          <w:color w:val="auto"/>
          <w:sz w:val="24"/>
          <w:szCs w:val="24"/>
          <w:highlight w:val="none"/>
        </w:rPr>
      </w:pPr>
      <w:r>
        <w:rPr>
          <w:rFonts w:hint="eastAsia" w:cs="宋体"/>
          <w:b/>
          <w:bCs/>
          <w:color w:val="auto"/>
          <w:sz w:val="24"/>
          <w:szCs w:val="24"/>
          <w:highlight w:val="none"/>
        </w:rPr>
        <w:br w:type="page"/>
      </w:r>
    </w:p>
    <w:p w14:paraId="6F294C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b/>
          <w:bCs/>
          <w:color w:val="auto"/>
          <w:sz w:val="24"/>
          <w:szCs w:val="24"/>
          <w:highlight w:val="none"/>
        </w:rPr>
      </w:pPr>
      <w:r>
        <w:rPr>
          <w:rFonts w:hint="eastAsia" w:cs="宋体"/>
          <w:b/>
          <w:bCs/>
          <w:color w:val="auto"/>
          <w:sz w:val="24"/>
          <w:szCs w:val="24"/>
          <w:highlight w:val="none"/>
        </w:rPr>
        <w:t>法定代表人授权委托书</w:t>
      </w:r>
    </w:p>
    <w:p w14:paraId="0C695C8F">
      <w:pPr>
        <w:adjustRightInd w:val="0"/>
        <w:snapToGrid w:val="0"/>
        <w:spacing w:line="360" w:lineRule="auto"/>
        <w:ind w:firstLine="480" w:firstLineChars="200"/>
        <w:rPr>
          <w:rFonts w:hint="eastAsia"/>
          <w:color w:val="auto"/>
          <w:sz w:val="24"/>
          <w:szCs w:val="24"/>
          <w:highlight w:val="none"/>
        </w:rPr>
      </w:pPr>
    </w:p>
    <w:p w14:paraId="68C5B89D">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i/>
          <w:iCs/>
          <w:color w:val="auto"/>
          <w:sz w:val="24"/>
          <w:szCs w:val="24"/>
          <w:highlight w:val="none"/>
          <w:u w:val="single"/>
        </w:rPr>
        <w:t>（姓名）</w:t>
      </w:r>
      <w:r>
        <w:rPr>
          <w:rFonts w:hint="eastAsia" w:cs="宋体"/>
          <w:color w:val="auto"/>
          <w:sz w:val="24"/>
          <w:szCs w:val="24"/>
          <w:highlight w:val="none"/>
        </w:rPr>
        <w:t>系</w:t>
      </w:r>
      <w:r>
        <w:rPr>
          <w:rFonts w:hint="eastAsia" w:cs="宋体"/>
          <w:i/>
          <w:iCs/>
          <w:color w:val="auto"/>
          <w:sz w:val="24"/>
          <w:szCs w:val="24"/>
          <w:highlight w:val="none"/>
          <w:u w:val="single"/>
        </w:rPr>
        <w:t>（供应商名称）</w:t>
      </w:r>
      <w:r>
        <w:rPr>
          <w:rFonts w:hint="eastAsia" w:cs="宋体"/>
          <w:color w:val="auto"/>
          <w:sz w:val="24"/>
          <w:szCs w:val="24"/>
          <w:highlight w:val="none"/>
        </w:rPr>
        <w:t>的法人代表人，现授权委托公司正式员工</w:t>
      </w:r>
      <w:r>
        <w:rPr>
          <w:rFonts w:hint="eastAsia" w:cs="宋体"/>
          <w:i/>
          <w:iCs/>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i/>
          <w:iCs/>
          <w:color w:val="auto"/>
          <w:sz w:val="24"/>
          <w:szCs w:val="24"/>
          <w:highlight w:val="none"/>
          <w:u w:val="single"/>
        </w:rPr>
        <w:t>（采购人）</w:t>
      </w:r>
      <w:r>
        <w:rPr>
          <w:rFonts w:hint="eastAsia" w:cs="宋体"/>
          <w:color w:val="auto"/>
          <w:sz w:val="24"/>
          <w:szCs w:val="24"/>
          <w:highlight w:val="none"/>
        </w:rPr>
        <w:t>的</w:t>
      </w:r>
      <w:r>
        <w:rPr>
          <w:rFonts w:hint="eastAsia" w:cs="宋体"/>
          <w:i/>
          <w:iCs/>
          <w:color w:val="auto"/>
          <w:sz w:val="24"/>
          <w:szCs w:val="24"/>
          <w:highlight w:val="none"/>
          <w:u w:val="single"/>
        </w:rPr>
        <w:t>（项目名称及项目编号）</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59C922FC">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3938B865">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01C3BF0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7CE5596D">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代理人无转委托权。</w:t>
      </w:r>
    </w:p>
    <w:p w14:paraId="232F2C4F">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2668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40286E3B">
            <w:pPr>
              <w:spacing w:line="360" w:lineRule="auto"/>
              <w:jc w:val="center"/>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2C543EC8">
            <w:pPr>
              <w:spacing w:line="360" w:lineRule="auto"/>
              <w:jc w:val="center"/>
              <w:rPr>
                <w:rFonts w:hint="eastAsia" w:cs="宋体"/>
                <w:color w:val="auto"/>
                <w:sz w:val="24"/>
                <w:szCs w:val="24"/>
                <w:highlight w:val="none"/>
              </w:rPr>
            </w:pPr>
            <w:r>
              <w:rPr>
                <w:rFonts w:hint="eastAsia" w:cs="宋体"/>
                <w:color w:val="auto"/>
                <w:sz w:val="24"/>
                <w:szCs w:val="24"/>
                <w:highlight w:val="none"/>
              </w:rPr>
              <w:t>身份证反面</w:t>
            </w:r>
          </w:p>
        </w:tc>
      </w:tr>
    </w:tbl>
    <w:p w14:paraId="4D83144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8A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32EEA51E">
            <w:pPr>
              <w:spacing w:line="360" w:lineRule="auto"/>
              <w:jc w:val="center"/>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06177D4A">
            <w:pPr>
              <w:spacing w:line="360" w:lineRule="auto"/>
              <w:jc w:val="center"/>
              <w:rPr>
                <w:rFonts w:hint="eastAsia" w:cs="宋体"/>
                <w:color w:val="auto"/>
                <w:sz w:val="24"/>
                <w:szCs w:val="24"/>
                <w:highlight w:val="none"/>
              </w:rPr>
            </w:pPr>
            <w:r>
              <w:rPr>
                <w:rFonts w:hint="eastAsia" w:cs="宋体"/>
                <w:color w:val="auto"/>
                <w:sz w:val="24"/>
                <w:szCs w:val="24"/>
                <w:highlight w:val="none"/>
              </w:rPr>
              <w:t>身份证反面</w:t>
            </w:r>
          </w:p>
        </w:tc>
      </w:tr>
    </w:tbl>
    <w:p w14:paraId="45D0B1B9">
      <w:pPr>
        <w:pStyle w:val="11"/>
        <w:adjustRightInd w:val="0"/>
        <w:snapToGrid w:val="0"/>
        <w:spacing w:line="360" w:lineRule="auto"/>
        <w:ind w:firstLine="480"/>
        <w:rPr>
          <w:rFonts w:hint="eastAsia" w:ascii="宋体" w:hAnsi="宋体" w:cs="宋体"/>
          <w:color w:val="auto"/>
          <w:sz w:val="24"/>
          <w:highlight w:val="none"/>
        </w:rPr>
      </w:pPr>
    </w:p>
    <w:p w14:paraId="08C0849E">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供应商：（</w:t>
      </w:r>
      <w:r>
        <w:rPr>
          <w:rFonts w:hint="eastAsia" w:ascii="宋体" w:hAnsi="宋体" w:cs="宋体"/>
          <w:color w:val="auto"/>
          <w:kern w:val="0"/>
          <w:sz w:val="24"/>
          <w:szCs w:val="24"/>
          <w:highlight w:val="none"/>
        </w:rPr>
        <w:t>公章</w:t>
      </w:r>
      <w:r>
        <w:rPr>
          <w:rFonts w:hint="eastAsia" w:cs="宋体"/>
          <w:color w:val="auto"/>
          <w:sz w:val="24"/>
          <w:szCs w:val="24"/>
          <w:highlight w:val="none"/>
        </w:rPr>
        <w:t>）                       法定代表人：（</w:t>
      </w:r>
      <w:r>
        <w:rPr>
          <w:rFonts w:hint="eastAsia" w:ascii="宋体" w:hAnsi="宋体" w:cs="宋体"/>
          <w:color w:val="auto"/>
          <w:kern w:val="0"/>
          <w:sz w:val="24"/>
          <w:szCs w:val="24"/>
          <w:highlight w:val="none"/>
        </w:rPr>
        <w:t>签名或盖章</w:t>
      </w:r>
      <w:r>
        <w:rPr>
          <w:rFonts w:hint="eastAsia" w:cs="宋体"/>
          <w:color w:val="auto"/>
          <w:sz w:val="24"/>
          <w:szCs w:val="24"/>
          <w:highlight w:val="none"/>
        </w:rPr>
        <w:t>）</w:t>
      </w:r>
    </w:p>
    <w:p w14:paraId="7F7BF9A4">
      <w:pPr>
        <w:adjustRightInd w:val="0"/>
        <w:snapToGrid w:val="0"/>
        <w:spacing w:line="360" w:lineRule="auto"/>
        <w:ind w:firstLine="480"/>
        <w:rPr>
          <w:rFonts w:hint="eastAsia" w:cs="宋体"/>
          <w:color w:val="auto"/>
          <w:sz w:val="24"/>
          <w:szCs w:val="24"/>
          <w:highlight w:val="none"/>
        </w:rPr>
      </w:pPr>
    </w:p>
    <w:p w14:paraId="36B4148D">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日期：      年    月    日</w:t>
      </w:r>
    </w:p>
    <w:p w14:paraId="1D702279">
      <w:pPr>
        <w:adjustRightInd w:val="0"/>
        <w:snapToGrid w:val="0"/>
        <w:spacing w:line="360" w:lineRule="auto"/>
        <w:ind w:firstLine="480"/>
        <w:rPr>
          <w:rFonts w:hint="eastAsia" w:ascii="宋体" w:hAnsi="宋体" w:cs="宋体"/>
          <w:color w:val="auto"/>
          <w:highlight w:val="none"/>
        </w:rPr>
      </w:pPr>
    </w:p>
    <w:p w14:paraId="06DB3604">
      <w:pPr>
        <w:adjustRightInd w:val="0"/>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注：1.法定代表人本人作为公司代理人前来参与投标的，不提供此项证明文件。</w:t>
      </w:r>
    </w:p>
    <w:p w14:paraId="3CEB47CE">
      <w:pPr>
        <w:adjustRightInd w:val="0"/>
        <w:snapToGrid w:val="0"/>
        <w:spacing w:line="360" w:lineRule="auto"/>
        <w:ind w:firstLine="960" w:firstLineChars="400"/>
        <w:rPr>
          <w:rFonts w:hint="eastAsia" w:cs="宋体"/>
          <w:color w:val="auto"/>
          <w:sz w:val="24"/>
          <w:szCs w:val="24"/>
          <w:highlight w:val="none"/>
        </w:rPr>
      </w:pPr>
      <w:r>
        <w:rPr>
          <w:rFonts w:hint="eastAsia" w:cs="宋体"/>
          <w:color w:val="auto"/>
          <w:sz w:val="24"/>
          <w:szCs w:val="24"/>
          <w:highlight w:val="none"/>
        </w:rPr>
        <w:t>2.授权书上应当附有授权人和被授权人的居民身份证</w:t>
      </w:r>
      <w:r>
        <w:rPr>
          <w:rFonts w:hint="eastAsia" w:ascii="宋体" w:hAnsi="宋体" w:cs="宋体"/>
          <w:color w:val="auto"/>
          <w:sz w:val="24"/>
          <w:highlight w:val="none"/>
        </w:rPr>
        <w:t>扫描件</w:t>
      </w:r>
      <w:r>
        <w:rPr>
          <w:rFonts w:hint="eastAsia" w:cs="宋体"/>
          <w:color w:val="auto"/>
          <w:sz w:val="24"/>
          <w:szCs w:val="24"/>
          <w:highlight w:val="none"/>
        </w:rPr>
        <w:t>。</w:t>
      </w:r>
      <w:bookmarkStart w:id="396" w:name="_Toc3891644"/>
    </w:p>
    <w:bookmarkEnd w:id="396"/>
    <w:p w14:paraId="2D641061">
      <w:pPr>
        <w:rPr>
          <w:rFonts w:hint="eastAsia" w:cs="宋体"/>
          <w:color w:val="auto"/>
          <w:sz w:val="24"/>
          <w:szCs w:val="24"/>
          <w:highlight w:val="none"/>
          <w:lang w:val="en-US" w:eastAsia="zh-CN"/>
        </w:rPr>
      </w:pPr>
      <w:bookmarkStart w:id="397" w:name="_Toc14938"/>
      <w:bookmarkStart w:id="398" w:name="_Toc30584"/>
      <w:bookmarkStart w:id="399" w:name="_Toc27911"/>
      <w:r>
        <w:rPr>
          <w:rFonts w:hint="eastAsia" w:cs="宋体"/>
          <w:color w:val="auto"/>
          <w:sz w:val="24"/>
          <w:szCs w:val="24"/>
          <w:highlight w:val="none"/>
          <w:lang w:val="en-US" w:eastAsia="zh-CN"/>
        </w:rPr>
        <w:br w:type="page"/>
      </w:r>
    </w:p>
    <w:p w14:paraId="425726A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具有独立承担民事责任的能力</w:t>
      </w:r>
      <w:bookmarkEnd w:id="397"/>
      <w:bookmarkEnd w:id="398"/>
      <w:bookmarkEnd w:id="399"/>
    </w:p>
    <w:p w14:paraId="034C1D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eastAsia="zh-CN"/>
        </w:rPr>
        <w:t>提供有效《营业执照》或《事业单位法人证书》或《企业法人营业执照》扫描件加盖供应商公章</w:t>
      </w:r>
      <w:r>
        <w:rPr>
          <w:rFonts w:hint="eastAsia" w:cs="宋体"/>
          <w:color w:val="auto"/>
          <w:sz w:val="24"/>
          <w:szCs w:val="24"/>
          <w:highlight w:val="none"/>
        </w:rPr>
        <w:t>）</w:t>
      </w:r>
    </w:p>
    <w:p w14:paraId="07190C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631874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E7C0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607785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814A7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7C089E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4233A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2BECC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3C7164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33FEDD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753A2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0C5EA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4AD819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55DFB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246BEA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180C12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030B0A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74E457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33DFC5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18C6185B">
      <w:pPr>
        <w:rPr>
          <w:rFonts w:hint="eastAsia" w:ascii="宋体" w:cs="宋体"/>
          <w:color w:val="auto"/>
          <w:sz w:val="24"/>
          <w:szCs w:val="24"/>
          <w:highlight w:val="none"/>
          <w:lang w:val="en-US" w:eastAsia="zh-CN"/>
        </w:rPr>
      </w:pPr>
      <w:bookmarkStart w:id="400" w:name="_Toc1743"/>
      <w:bookmarkStart w:id="401" w:name="_Toc18671"/>
      <w:bookmarkStart w:id="402" w:name="_Toc18119"/>
      <w:r>
        <w:rPr>
          <w:rFonts w:hint="eastAsia" w:ascii="宋体" w:cs="宋体"/>
          <w:color w:val="auto"/>
          <w:sz w:val="24"/>
          <w:szCs w:val="24"/>
          <w:highlight w:val="none"/>
          <w:lang w:val="en-US" w:eastAsia="zh-CN"/>
        </w:rPr>
        <w:br w:type="page"/>
      </w:r>
    </w:p>
    <w:p w14:paraId="6B7B8980">
      <w:pPr>
        <w:pStyle w:val="4"/>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.具有良好的商业信誉和健全的财务会计制度</w:t>
      </w:r>
      <w:bookmarkEnd w:id="400"/>
      <w:bookmarkEnd w:id="401"/>
      <w:bookmarkEnd w:id="402"/>
    </w:p>
    <w:p w14:paraId="2C864D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color w:val="auto"/>
          <w:sz w:val="24"/>
          <w:highlight w:val="none"/>
        </w:rPr>
        <w:t>须具备近一年财务审计报告</w:t>
      </w:r>
      <w:r>
        <w:rPr>
          <w:rFonts w:hint="eastAsia"/>
          <w:color w:val="auto"/>
          <w:sz w:val="24"/>
          <w:highlight w:val="none"/>
          <w:lang w:eastAsia="zh-CN"/>
        </w:rPr>
        <w:t>（</w:t>
      </w:r>
      <w:r>
        <w:rPr>
          <w:rFonts w:hint="eastAsia"/>
          <w:color w:val="auto"/>
          <w:sz w:val="24"/>
          <w:highlight w:val="none"/>
          <w:lang w:val="en-US" w:eastAsia="zh-CN"/>
        </w:rPr>
        <w:t>2024或2025年</w:t>
      </w:r>
      <w:r>
        <w:rPr>
          <w:rFonts w:hint="eastAsia"/>
          <w:color w:val="auto"/>
          <w:sz w:val="24"/>
          <w:highlight w:val="none"/>
          <w:lang w:eastAsia="zh-CN"/>
        </w:rPr>
        <w:t>）</w:t>
      </w:r>
      <w:r>
        <w:rPr>
          <w:rFonts w:hint="eastAsia"/>
          <w:color w:val="auto"/>
          <w:sz w:val="24"/>
          <w:highlight w:val="none"/>
        </w:rPr>
        <w:t>或银行提供的资信证明（新公司从成立之日起算）</w:t>
      </w:r>
      <w:r>
        <w:rPr>
          <w:rFonts w:hint="eastAsia" w:ascii="宋体" w:hAnsi="宋体" w:eastAsia="宋体" w:cs="宋体"/>
          <w:color w:val="auto"/>
          <w:sz w:val="24"/>
          <w:szCs w:val="24"/>
          <w:highlight w:val="none"/>
          <w:lang w:val="zh-CN" w:eastAsia="zh-CN"/>
        </w:rPr>
        <w:t>加盖</w:t>
      </w:r>
      <w:r>
        <w:rPr>
          <w:rFonts w:hint="eastAsia" w:ascii="宋体" w:hAnsi="宋体" w:cs="宋体"/>
          <w:color w:val="auto"/>
          <w:sz w:val="24"/>
          <w:szCs w:val="24"/>
          <w:highlight w:val="none"/>
          <w:lang w:val="zh-CN" w:eastAsia="zh-CN"/>
        </w:rPr>
        <w:t>供应商公章</w:t>
      </w:r>
      <w:r>
        <w:rPr>
          <w:rFonts w:hint="eastAsia" w:ascii="宋体" w:hAnsi="宋体" w:eastAsia="宋体" w:cs="宋体"/>
          <w:color w:val="auto"/>
          <w:sz w:val="24"/>
          <w:szCs w:val="24"/>
          <w:highlight w:val="none"/>
          <w:lang w:val="zh-CN" w:eastAsia="zh-CN"/>
        </w:rPr>
        <w:t>）</w:t>
      </w:r>
    </w:p>
    <w:p w14:paraId="0CACAA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2D88D9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4C3C8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0757F6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0A79C0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09EAD1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198D34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1B2242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4F8514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372C01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48D69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3A8D5B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55717A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23265C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3F5BE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195BA4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p>
    <w:p w14:paraId="5ECE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67448D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p>
    <w:p w14:paraId="79106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p>
    <w:p w14:paraId="456207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bookmarkStart w:id="403" w:name="_Toc6336"/>
      <w:bookmarkStart w:id="404" w:name="_Toc3615"/>
      <w:bookmarkStart w:id="405" w:name="_Toc2254"/>
      <w:bookmarkStart w:id="406" w:name="_Toc13663"/>
      <w:bookmarkStart w:id="407" w:name="_Toc22037"/>
      <w:bookmarkStart w:id="408" w:name="_Toc8510"/>
      <w:bookmarkStart w:id="409" w:name="_Toc20975"/>
    </w:p>
    <w:p w14:paraId="0961F745">
      <w:pPr>
        <w:rPr>
          <w:rFonts w:hint="eastAsia" w:cs="宋体"/>
          <w:b/>
          <w:color w:val="auto"/>
          <w:sz w:val="24"/>
          <w:szCs w:val="24"/>
          <w:highlight w:val="none"/>
          <w:lang w:val="en-US" w:eastAsia="zh-CN"/>
        </w:rPr>
      </w:pPr>
      <w:r>
        <w:rPr>
          <w:rFonts w:hint="eastAsia" w:cs="宋体"/>
          <w:b/>
          <w:color w:val="auto"/>
          <w:sz w:val="24"/>
          <w:szCs w:val="24"/>
          <w:highlight w:val="none"/>
          <w:lang w:val="en-US" w:eastAsia="zh-CN"/>
        </w:rPr>
        <w:br w:type="page"/>
      </w:r>
    </w:p>
    <w:p w14:paraId="1FBCB91A">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5</w:t>
      </w:r>
      <w:r>
        <w:rPr>
          <w:rFonts w:hint="eastAsia" w:hAnsi="宋体" w:eastAsia="宋体" w:cs="宋体"/>
          <w:b/>
          <w:color w:val="auto"/>
          <w:sz w:val="24"/>
          <w:szCs w:val="24"/>
          <w:highlight w:val="none"/>
          <w:lang w:val="en-US" w:eastAsia="zh-CN"/>
        </w:rPr>
        <w:t>.</w:t>
      </w:r>
      <w:r>
        <w:rPr>
          <w:rFonts w:hint="eastAsia" w:ascii="宋体" w:hAnsi="宋体" w:eastAsia="宋体" w:cs="宋体"/>
          <w:color w:val="auto"/>
          <w:sz w:val="24"/>
          <w:szCs w:val="24"/>
          <w:highlight w:val="none"/>
        </w:rPr>
        <w:t>具有</w:t>
      </w:r>
      <w:r>
        <w:rPr>
          <w:rFonts w:hint="eastAsia" w:hAnsi="宋体" w:eastAsia="宋体" w:cs="宋体"/>
          <w:b/>
          <w:color w:val="auto"/>
          <w:sz w:val="24"/>
          <w:szCs w:val="24"/>
          <w:highlight w:val="none"/>
          <w:lang w:val="en-US" w:eastAsia="zh-CN"/>
        </w:rPr>
        <w:t>履行合同所必需的设备和专业技术能力</w:t>
      </w:r>
      <w:bookmarkEnd w:id="403"/>
      <w:bookmarkEnd w:id="404"/>
      <w:bookmarkEnd w:id="405"/>
      <w:bookmarkEnd w:id="406"/>
      <w:bookmarkEnd w:id="407"/>
      <w:bookmarkEnd w:id="408"/>
      <w:bookmarkEnd w:id="409"/>
    </w:p>
    <w:p w14:paraId="654E7EEB">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具有履行合同所必需的设备和专业技术能力声明函</w:t>
      </w:r>
    </w:p>
    <w:p w14:paraId="49AB26C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highlight w:val="none"/>
        </w:rPr>
      </w:pPr>
      <w:r>
        <w:rPr>
          <w:rFonts w:hint="eastAsia" w:ascii="宋体" w:hAnsi="宋体" w:cs="宋体"/>
          <w:i/>
          <w:iCs/>
          <w:color w:val="auto"/>
          <w:sz w:val="24"/>
          <w:highlight w:val="none"/>
          <w:u w:val="single"/>
          <w:lang w:eastAsia="zh-CN"/>
        </w:rPr>
        <w:t>（采购人</w:t>
      </w:r>
      <w:r>
        <w:rPr>
          <w:rFonts w:hint="eastAsia" w:ascii="宋体" w:hAnsi="宋体" w:cs="宋体"/>
          <w:i/>
          <w:iCs/>
          <w:color w:val="auto"/>
          <w:sz w:val="24"/>
          <w:highlight w:val="none"/>
          <w:u w:val="single"/>
          <w:lang w:val="en-US" w:eastAsia="zh-CN"/>
        </w:rPr>
        <w:t>/采购代理机构</w:t>
      </w:r>
      <w:r>
        <w:rPr>
          <w:rFonts w:hint="eastAsia" w:ascii="宋体" w:hAnsi="宋体" w:cs="宋体"/>
          <w:i/>
          <w:iCs/>
          <w:color w:val="auto"/>
          <w:sz w:val="24"/>
          <w:highlight w:val="none"/>
          <w:u w:val="single"/>
          <w:lang w:eastAsia="zh-CN"/>
        </w:rPr>
        <w:t>）</w:t>
      </w:r>
      <w:r>
        <w:rPr>
          <w:rFonts w:hint="eastAsia" w:ascii="宋体" w:hAnsi="宋体" w:cs="宋体"/>
          <w:color w:val="auto"/>
          <w:sz w:val="24"/>
          <w:highlight w:val="none"/>
        </w:rPr>
        <w:t>：</w:t>
      </w:r>
    </w:p>
    <w:p w14:paraId="5D9EDC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我方参加贵</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组织的</w:t>
      </w:r>
      <w:r>
        <w:rPr>
          <w:rFonts w:hint="eastAsia" w:ascii="宋体" w:hAnsi="宋体" w:cs="宋体"/>
          <w:color w:val="auto"/>
          <w:sz w:val="24"/>
          <w:szCs w:val="24"/>
          <w:highlight w:val="none"/>
          <w:u w:val="single"/>
          <w:lang w:val="en-US" w:eastAsia="zh-CN"/>
        </w:rPr>
        <w:t xml:space="preserve"> </w:t>
      </w:r>
      <w:r>
        <w:rPr>
          <w:rFonts w:hint="eastAsia" w:cs="宋体"/>
          <w:i/>
          <w:iCs/>
          <w:color w:val="auto"/>
          <w:sz w:val="24"/>
          <w:szCs w:val="24"/>
          <w:highlight w:val="none"/>
          <w:u w:val="single"/>
        </w:rPr>
        <w:t>（项目名称</w:t>
      </w:r>
      <w:r>
        <w:rPr>
          <w:rFonts w:hint="eastAsia" w:cs="宋体"/>
          <w:i/>
          <w:iCs/>
          <w:color w:val="auto"/>
          <w:sz w:val="24"/>
          <w:szCs w:val="24"/>
          <w:highlight w:val="none"/>
          <w:u w:val="single"/>
          <w:lang w:eastAsia="zh-CN"/>
        </w:rPr>
        <w:t>及项目编号</w:t>
      </w:r>
      <w:r>
        <w:rPr>
          <w:rFonts w:hint="eastAsia" w:cs="宋体"/>
          <w:i/>
          <w:iCs/>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采购活动，在此郑重声明：我公司</w:t>
      </w:r>
      <w:r>
        <w:rPr>
          <w:rFonts w:hint="eastAsia" w:ascii="宋体" w:hAnsi="宋体" w:cs="宋体"/>
          <w:color w:val="auto"/>
          <w:sz w:val="24"/>
          <w:szCs w:val="24"/>
          <w:highlight w:val="none"/>
          <w:lang w:val="en-US" w:eastAsia="zh-CN"/>
        </w:rPr>
        <w:t>具有履行合同所必需的设备和专业技术能力。</w:t>
      </w:r>
      <w:r>
        <w:rPr>
          <w:rFonts w:hint="eastAsia" w:ascii="宋体" w:hAnsi="宋体" w:eastAsia="宋体" w:cs="宋体"/>
          <w:color w:val="auto"/>
          <w:sz w:val="24"/>
          <w:szCs w:val="24"/>
          <w:highlight w:val="none"/>
        </w:rPr>
        <w:t>如果我方违反上述声明内容，愿意承担由此导致的一切不利后果和法律责任。</w:t>
      </w:r>
    </w:p>
    <w:p w14:paraId="41584B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DF1964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847A3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106D8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744FB4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26BBD9A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供应商名称（</w:t>
      </w:r>
      <w:r>
        <w:rPr>
          <w:rFonts w:hint="eastAsia" w:ascii="宋体" w:hAnsi="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u w:val="single"/>
          <w:lang w:val="en-US" w:eastAsia="zh-CN"/>
        </w:rPr>
        <w:t xml:space="preserve">                     </w:t>
      </w:r>
    </w:p>
    <w:p w14:paraId="0F003303">
      <w:pPr>
        <w:pStyle w:val="37"/>
        <w:keepNext w:val="0"/>
        <w:keepLines w:val="0"/>
        <w:pageBreakBefore w:val="0"/>
        <w:widowControl w:val="0"/>
        <w:kinsoku/>
        <w:wordWrap/>
        <w:overflowPunct/>
        <w:topLinePunct w:val="0"/>
        <w:bidi w:val="0"/>
        <w:adjustRightInd w:val="0"/>
        <w:snapToGrid w:val="0"/>
        <w:spacing w:after="0" w:line="360" w:lineRule="auto"/>
        <w:textAlignment w:val="auto"/>
        <w:rPr>
          <w:rFonts w:hint="default"/>
          <w:color w:val="auto"/>
          <w:highlight w:val="none"/>
          <w:lang w:val="en-US" w:eastAsia="zh-CN"/>
        </w:rPr>
      </w:pPr>
    </w:p>
    <w:p w14:paraId="2429AEB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b w:val="0"/>
          <w:bCs w:val="0"/>
          <w:color w:val="auto"/>
          <w:kern w:val="0"/>
          <w:sz w:val="24"/>
          <w:szCs w:val="24"/>
          <w:highlight w:val="none"/>
          <w:lang w:eastAsia="zh-CN"/>
        </w:rPr>
        <w:t>签名</w:t>
      </w:r>
      <w:r>
        <w:rPr>
          <w:rFonts w:hint="eastAsia" w:ascii="宋体" w:hAnsi="宋体" w:eastAsia="宋体" w:cs="宋体"/>
          <w:b w:val="0"/>
          <w:bCs w:val="0"/>
          <w:color w:val="auto"/>
          <w:kern w:val="0"/>
          <w:sz w:val="24"/>
          <w:szCs w:val="24"/>
          <w:highlight w:val="none"/>
          <w:lang w:eastAsia="zh-CN"/>
        </w:rPr>
        <w:t>或盖章</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u w:val="single"/>
          <w:lang w:val="en-US" w:eastAsia="zh-CN"/>
        </w:rPr>
        <w:t xml:space="preserve">                   </w:t>
      </w:r>
    </w:p>
    <w:p w14:paraId="1A4FB19A">
      <w:pPr>
        <w:pStyle w:val="37"/>
        <w:keepNext w:val="0"/>
        <w:keepLines w:val="0"/>
        <w:pageBreakBefore w:val="0"/>
        <w:widowControl w:val="0"/>
        <w:kinsoku/>
        <w:wordWrap/>
        <w:overflowPunct/>
        <w:topLinePunct w:val="0"/>
        <w:bidi w:val="0"/>
        <w:adjustRightInd w:val="0"/>
        <w:snapToGrid w:val="0"/>
        <w:spacing w:after="0" w:line="360" w:lineRule="auto"/>
        <w:textAlignment w:val="auto"/>
        <w:rPr>
          <w:rFonts w:hint="eastAsia"/>
          <w:color w:val="auto"/>
          <w:highlight w:val="none"/>
          <w:lang w:val="en-US" w:eastAsia="zh-CN"/>
        </w:rPr>
      </w:pPr>
    </w:p>
    <w:p w14:paraId="2CA7FB5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CE65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60397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118F7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038FBF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备注：没有提供此项声明函的，视为未实质性响应采购文件要求，将按无效响应处理。</w:t>
      </w:r>
    </w:p>
    <w:p w14:paraId="0B517B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0984B0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07BE5C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72BC5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984A6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hAnsi="宋体" w:eastAsia="宋体" w:cs="宋体"/>
          <w:b/>
          <w:color w:val="auto"/>
          <w:sz w:val="24"/>
          <w:szCs w:val="24"/>
          <w:highlight w:val="none"/>
          <w:lang w:val="en-US" w:eastAsia="zh-CN"/>
        </w:rPr>
      </w:pPr>
      <w:bookmarkStart w:id="410" w:name="_Toc14833"/>
      <w:bookmarkStart w:id="411" w:name="_Toc6393"/>
      <w:bookmarkStart w:id="412" w:name="_Toc28799"/>
      <w:bookmarkStart w:id="413" w:name="_Toc48"/>
      <w:bookmarkStart w:id="414" w:name="_Toc18647"/>
      <w:bookmarkStart w:id="415" w:name="_Toc31520"/>
      <w:bookmarkStart w:id="416" w:name="_Toc16454"/>
      <w:r>
        <w:rPr>
          <w:rFonts w:hint="eastAsia" w:cs="宋体"/>
          <w:b/>
          <w:color w:val="auto"/>
          <w:sz w:val="24"/>
          <w:szCs w:val="24"/>
          <w:highlight w:val="none"/>
          <w:lang w:val="en-US" w:eastAsia="zh-CN"/>
        </w:rPr>
        <w:t>6</w:t>
      </w:r>
      <w:r>
        <w:rPr>
          <w:rFonts w:hint="eastAsia" w:hAnsi="宋体" w:eastAsia="宋体" w:cs="宋体"/>
          <w:b/>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有</w:t>
      </w:r>
      <w:r>
        <w:rPr>
          <w:rFonts w:hint="eastAsia" w:hAnsi="宋体" w:eastAsia="宋体" w:cs="宋体"/>
          <w:b/>
          <w:color w:val="auto"/>
          <w:sz w:val="24"/>
          <w:szCs w:val="24"/>
          <w:highlight w:val="none"/>
          <w:lang w:val="en-US" w:eastAsia="zh-CN"/>
        </w:rPr>
        <w:t>依法缴纳税收和社会保障资金的良好记录</w:t>
      </w:r>
      <w:bookmarkEnd w:id="410"/>
      <w:bookmarkEnd w:id="411"/>
      <w:bookmarkEnd w:id="412"/>
      <w:bookmarkEnd w:id="413"/>
      <w:bookmarkEnd w:id="414"/>
      <w:bookmarkEnd w:id="415"/>
      <w:bookmarkEnd w:id="416"/>
    </w:p>
    <w:p w14:paraId="7DD96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提供税务机构出具的递交投标文件截止时间前</w:t>
      </w:r>
      <w:r>
        <w:rPr>
          <w:rFonts w:hint="eastAsia" w:ascii="宋体" w:hAnsi="宋体" w:cs="宋体"/>
          <w:color w:val="auto"/>
          <w:sz w:val="24"/>
          <w:szCs w:val="24"/>
          <w:highlight w:val="none"/>
          <w:lang w:val="en-US" w:eastAsia="zh-CN"/>
        </w:rPr>
        <w:t>近三个月</w:t>
      </w:r>
      <w:r>
        <w:rPr>
          <w:rFonts w:hint="default" w:ascii="宋体" w:hAnsi="宋体" w:eastAsia="宋体" w:cs="宋体"/>
          <w:color w:val="auto"/>
          <w:sz w:val="24"/>
          <w:szCs w:val="24"/>
          <w:highlight w:val="none"/>
          <w:lang w:val="en-US" w:eastAsia="zh-CN"/>
        </w:rPr>
        <w:t>任意一个月的依法缴纳税收等证明材料（刚成立不满一个月的企业，应提供依法缴纳税收承诺书；如依法免税的企业，应提供相应文件证明其依法免税），不含缴纳社保费用的完税证明。</w:t>
      </w:r>
      <w:r>
        <w:rPr>
          <w:rFonts w:hint="eastAsia" w:ascii="宋体" w:hAnsi="宋体" w:eastAsia="宋体" w:cs="宋体"/>
          <w:color w:val="auto"/>
          <w:sz w:val="24"/>
          <w:szCs w:val="24"/>
          <w:highlight w:val="none"/>
          <w:lang w:val="en-US" w:eastAsia="zh-CN"/>
        </w:rPr>
        <w:t>）</w:t>
      </w:r>
    </w:p>
    <w:p w14:paraId="5D1EB8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9C45E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23B6C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4798D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E622B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367AD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15922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FEC84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452BB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85424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98606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4E5D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82FAE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0416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553F9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C2FF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E385A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D8735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hAnsi="宋体" w:eastAsia="宋体" w:cs="宋体"/>
          <w:b/>
          <w:color w:val="auto"/>
          <w:sz w:val="24"/>
          <w:szCs w:val="24"/>
          <w:highlight w:val="none"/>
          <w:lang w:val="en-US" w:eastAsia="zh-CN"/>
        </w:rPr>
      </w:pPr>
      <w:bookmarkStart w:id="417" w:name="_Toc15767"/>
      <w:bookmarkStart w:id="418" w:name="_Toc1547"/>
      <w:bookmarkStart w:id="419" w:name="_Toc11814"/>
      <w:bookmarkStart w:id="420" w:name="_Toc22493"/>
      <w:bookmarkStart w:id="421" w:name="_Toc22858"/>
      <w:bookmarkStart w:id="422" w:name="_Toc19446"/>
      <w:bookmarkStart w:id="423" w:name="_Toc6771"/>
      <w:bookmarkStart w:id="424" w:name="_Toc30856"/>
      <w:bookmarkStart w:id="425" w:name="_Toc18265"/>
      <w:r>
        <w:rPr>
          <w:rFonts w:hint="eastAsia" w:cs="宋体"/>
          <w:b/>
          <w:color w:val="auto"/>
          <w:sz w:val="24"/>
          <w:szCs w:val="24"/>
          <w:highlight w:val="none"/>
          <w:lang w:val="en-US" w:eastAsia="zh-CN"/>
        </w:rPr>
        <w:t>7</w:t>
      </w:r>
      <w:r>
        <w:rPr>
          <w:rFonts w:hint="eastAsia" w:hAnsi="宋体" w:eastAsia="宋体" w:cs="宋体"/>
          <w:b/>
          <w:color w:val="auto"/>
          <w:sz w:val="24"/>
          <w:szCs w:val="24"/>
          <w:highlight w:val="none"/>
          <w:lang w:val="en-US" w:eastAsia="zh-CN"/>
        </w:rPr>
        <w:t>.参加政府采购活动前三年内，在经营活动中没有重大违法记录</w:t>
      </w:r>
      <w:bookmarkEnd w:id="417"/>
      <w:bookmarkEnd w:id="418"/>
      <w:bookmarkEnd w:id="419"/>
      <w:bookmarkEnd w:id="420"/>
      <w:bookmarkEnd w:id="421"/>
      <w:bookmarkEnd w:id="422"/>
      <w:bookmarkEnd w:id="423"/>
      <w:bookmarkEnd w:id="424"/>
      <w:bookmarkEnd w:id="425"/>
    </w:p>
    <w:p w14:paraId="4C5636A6">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前三年内没有重大违法记录及符合法律、行政法规规定的其他条件声明函</w:t>
      </w:r>
    </w:p>
    <w:p w14:paraId="17ECAD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highlight w:val="none"/>
        </w:rPr>
      </w:pPr>
      <w:r>
        <w:rPr>
          <w:rFonts w:hint="eastAsia" w:ascii="宋体" w:hAnsi="宋体" w:cs="宋体"/>
          <w:i/>
          <w:iCs/>
          <w:color w:val="auto"/>
          <w:sz w:val="24"/>
          <w:highlight w:val="none"/>
          <w:u w:val="single"/>
          <w:lang w:eastAsia="zh-CN"/>
        </w:rPr>
        <w:t>（采购人</w:t>
      </w:r>
      <w:r>
        <w:rPr>
          <w:rFonts w:hint="eastAsia" w:ascii="宋体" w:hAnsi="宋体" w:cs="宋体"/>
          <w:i/>
          <w:iCs/>
          <w:color w:val="auto"/>
          <w:sz w:val="24"/>
          <w:highlight w:val="none"/>
          <w:u w:val="single"/>
          <w:lang w:val="en-US" w:eastAsia="zh-CN"/>
        </w:rPr>
        <w:t>/采购代理机构</w:t>
      </w:r>
      <w:r>
        <w:rPr>
          <w:rFonts w:hint="eastAsia" w:ascii="宋体" w:hAnsi="宋体" w:cs="宋体"/>
          <w:i/>
          <w:iCs/>
          <w:color w:val="auto"/>
          <w:sz w:val="24"/>
          <w:highlight w:val="none"/>
          <w:u w:val="single"/>
          <w:lang w:eastAsia="zh-CN"/>
        </w:rPr>
        <w:t>）</w:t>
      </w:r>
      <w:r>
        <w:rPr>
          <w:rFonts w:hint="eastAsia" w:ascii="宋体" w:hAnsi="宋体" w:cs="宋体"/>
          <w:color w:val="auto"/>
          <w:sz w:val="24"/>
          <w:highlight w:val="none"/>
        </w:rPr>
        <w:t>：</w:t>
      </w:r>
    </w:p>
    <w:p w14:paraId="3FEB33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我方参加贵</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组织的</w:t>
      </w:r>
      <w:r>
        <w:rPr>
          <w:rFonts w:hint="eastAsia" w:ascii="宋体" w:hAnsi="宋体" w:cs="宋体"/>
          <w:color w:val="auto"/>
          <w:sz w:val="24"/>
          <w:szCs w:val="24"/>
          <w:highlight w:val="none"/>
          <w:u w:val="single"/>
          <w:lang w:val="en-US" w:eastAsia="zh-CN"/>
        </w:rPr>
        <w:t xml:space="preserve"> </w:t>
      </w:r>
      <w:r>
        <w:rPr>
          <w:rFonts w:hint="eastAsia" w:ascii="宋体" w:hAnsi="宋体" w:cs="宋体"/>
          <w:i/>
          <w:iCs/>
          <w:color w:val="auto"/>
          <w:sz w:val="24"/>
          <w:szCs w:val="24"/>
          <w:highlight w:val="none"/>
          <w:u w:val="single"/>
        </w:rPr>
        <w:t>（项目名称</w:t>
      </w:r>
      <w:r>
        <w:rPr>
          <w:rFonts w:hint="eastAsia" w:ascii="宋体" w:hAnsi="宋体" w:cs="宋体"/>
          <w:i/>
          <w:iCs/>
          <w:color w:val="auto"/>
          <w:sz w:val="24"/>
          <w:szCs w:val="24"/>
          <w:highlight w:val="none"/>
          <w:u w:val="single"/>
          <w:lang w:eastAsia="zh-CN"/>
        </w:rPr>
        <w:t>及</w:t>
      </w:r>
      <w:r>
        <w:rPr>
          <w:rFonts w:hint="eastAsia" w:ascii="宋体" w:hAnsi="宋体" w:cs="宋体"/>
          <w:i/>
          <w:iCs/>
          <w:color w:val="auto"/>
          <w:sz w:val="24"/>
          <w:szCs w:val="24"/>
          <w:highlight w:val="none"/>
          <w:u w:val="single"/>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采购活动，在此郑重声明：我公司严格按照《中华人民共和国公司法》以及相关法律法规合法诚信经营至今，在参加本次采购活动前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年内没有重大违法记录</w:t>
      </w:r>
      <w:r>
        <w:rPr>
          <w:rFonts w:hint="eastAsia" w:ascii="宋体" w:hAnsi="宋体" w:cs="宋体"/>
          <w:color w:val="auto"/>
          <w:sz w:val="24"/>
          <w:szCs w:val="24"/>
          <w:highlight w:val="none"/>
          <w:lang w:val="en-US" w:eastAsia="zh-CN"/>
        </w:rPr>
        <w:t>及符合法律、行政法规规定的其他条件</w:t>
      </w:r>
      <w:r>
        <w:rPr>
          <w:rFonts w:hint="eastAsia" w:ascii="宋体" w:hAnsi="宋体" w:eastAsia="宋体" w:cs="宋体"/>
          <w:color w:val="auto"/>
          <w:sz w:val="24"/>
          <w:szCs w:val="24"/>
          <w:highlight w:val="none"/>
        </w:rPr>
        <w:t>，没有隐瞒任何不良经营记录和违反商业道德的行为。</w:t>
      </w:r>
    </w:p>
    <w:p w14:paraId="039963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如果我方违反上述声明内容，愿意承担由此导致的一切不利后果和法律责任。</w:t>
      </w:r>
    </w:p>
    <w:p w14:paraId="083661C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E038C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47952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45624D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7822B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119A290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供应商名称（</w:t>
      </w:r>
      <w:r>
        <w:rPr>
          <w:rFonts w:hint="eastAsia" w:ascii="宋体" w:hAnsi="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u w:val="single"/>
          <w:lang w:val="en-US" w:eastAsia="zh-CN"/>
        </w:rPr>
        <w:t xml:space="preserve">                     </w:t>
      </w:r>
    </w:p>
    <w:p w14:paraId="3177B9B9">
      <w:pPr>
        <w:pStyle w:val="37"/>
        <w:keepNext w:val="0"/>
        <w:keepLines w:val="0"/>
        <w:pageBreakBefore w:val="0"/>
        <w:widowControl w:val="0"/>
        <w:kinsoku/>
        <w:wordWrap/>
        <w:overflowPunct/>
        <w:topLinePunct w:val="0"/>
        <w:bidi w:val="0"/>
        <w:adjustRightInd w:val="0"/>
        <w:snapToGrid w:val="0"/>
        <w:spacing w:after="0" w:line="360" w:lineRule="auto"/>
        <w:textAlignment w:val="auto"/>
        <w:rPr>
          <w:rFonts w:hint="default"/>
          <w:color w:val="auto"/>
          <w:highlight w:val="none"/>
          <w:lang w:val="en-US" w:eastAsia="zh-CN"/>
        </w:rPr>
      </w:pPr>
    </w:p>
    <w:p w14:paraId="02797F0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b w:val="0"/>
          <w:bCs w:val="0"/>
          <w:color w:val="auto"/>
          <w:kern w:val="0"/>
          <w:sz w:val="24"/>
          <w:szCs w:val="24"/>
          <w:highlight w:val="none"/>
          <w:lang w:eastAsia="zh-CN"/>
        </w:rPr>
        <w:t>签名</w:t>
      </w:r>
      <w:r>
        <w:rPr>
          <w:rFonts w:hint="eastAsia" w:ascii="宋体" w:hAnsi="宋体" w:eastAsia="宋体" w:cs="宋体"/>
          <w:b w:val="0"/>
          <w:bCs w:val="0"/>
          <w:color w:val="auto"/>
          <w:kern w:val="0"/>
          <w:sz w:val="24"/>
          <w:szCs w:val="24"/>
          <w:highlight w:val="none"/>
          <w:lang w:eastAsia="zh-CN"/>
        </w:rPr>
        <w:t>或盖章</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u w:val="single"/>
          <w:lang w:val="en-US" w:eastAsia="zh-CN"/>
        </w:rPr>
        <w:t xml:space="preserve">                   </w:t>
      </w:r>
    </w:p>
    <w:p w14:paraId="4C3196E3">
      <w:pPr>
        <w:pStyle w:val="37"/>
        <w:keepNext w:val="0"/>
        <w:keepLines w:val="0"/>
        <w:pageBreakBefore w:val="0"/>
        <w:widowControl w:val="0"/>
        <w:kinsoku/>
        <w:wordWrap/>
        <w:overflowPunct/>
        <w:topLinePunct w:val="0"/>
        <w:bidi w:val="0"/>
        <w:adjustRightInd w:val="0"/>
        <w:snapToGrid w:val="0"/>
        <w:spacing w:after="0" w:line="360" w:lineRule="auto"/>
        <w:textAlignment w:val="auto"/>
        <w:rPr>
          <w:rFonts w:hint="eastAsia"/>
          <w:color w:val="auto"/>
          <w:highlight w:val="none"/>
          <w:lang w:val="en-US" w:eastAsia="zh-CN"/>
        </w:rPr>
      </w:pPr>
    </w:p>
    <w:p w14:paraId="2233BE6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3345C9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C72C1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F4DF0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38DB909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备注：没有提供此项声明函的，视为未实质性响应采购文件要求，将按无效响应处理。</w:t>
      </w:r>
    </w:p>
    <w:p w14:paraId="5AB0A6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A77A9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6728BB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3CFCACE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2162E85">
      <w:pPr>
        <w:pStyle w:val="4"/>
        <w:keepNext w:val="0"/>
        <w:keepLines w:val="0"/>
        <w:pageBreakBefore w:val="0"/>
        <w:tabs>
          <w:tab w:val="left" w:pos="540"/>
        </w:tabs>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rPr>
      </w:pPr>
      <w:bookmarkStart w:id="426" w:name="_Toc9096"/>
      <w:bookmarkStart w:id="427" w:name="_Toc24924"/>
      <w:r>
        <w:rPr>
          <w:rFonts w:hint="eastAsia" w:ascii="宋体" w:hAnsi="宋体" w:eastAsia="宋体" w:cs="宋体"/>
          <w:color w:val="auto"/>
          <w:sz w:val="24"/>
          <w:szCs w:val="24"/>
          <w:highlight w:val="none"/>
          <w:lang w:val="en-US" w:eastAsia="zh-CN"/>
        </w:rPr>
        <w:t>（二）落实政府采购政策需满足的资格要求</w:t>
      </w:r>
      <w:bookmarkEnd w:id="426"/>
      <w:bookmarkEnd w:id="427"/>
    </w:p>
    <w:p w14:paraId="0106658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color w:val="auto"/>
          <w:sz w:val="24"/>
          <w:szCs w:val="24"/>
          <w:highlight w:val="none"/>
        </w:rPr>
      </w:pPr>
      <w:bookmarkStart w:id="428" w:name="_Toc9271"/>
      <w:bookmarkStart w:id="429" w:name="_Toc25529"/>
      <w:bookmarkStart w:id="430" w:name="_Toc1546"/>
      <w:bookmarkStart w:id="431" w:name="_Toc24020"/>
      <w:bookmarkStart w:id="432" w:name="_Toc30677"/>
      <w:bookmarkStart w:id="433" w:name="_Toc8775"/>
      <w:bookmarkStart w:id="434" w:name="_Toc1787"/>
      <w:bookmarkStart w:id="435" w:name="_Toc17331"/>
      <w:bookmarkStart w:id="436" w:name="_Toc22504"/>
      <w:r>
        <w:rPr>
          <w:rFonts w:hint="eastAsia"/>
          <w:color w:val="auto"/>
          <w:sz w:val="24"/>
          <w:szCs w:val="24"/>
          <w:highlight w:val="none"/>
        </w:rPr>
        <w:t>中小企业声明函</w:t>
      </w:r>
      <w:bookmarkEnd w:id="428"/>
      <w:bookmarkEnd w:id="429"/>
      <w:bookmarkEnd w:id="430"/>
      <w:r>
        <w:rPr>
          <w:rFonts w:hint="eastAsia"/>
          <w:color w:val="auto"/>
          <w:sz w:val="24"/>
          <w:szCs w:val="24"/>
          <w:highlight w:val="none"/>
          <w:lang w:eastAsia="zh-CN"/>
        </w:rPr>
        <w:t>（</w:t>
      </w:r>
      <w:r>
        <w:rPr>
          <w:rFonts w:hint="eastAsia"/>
          <w:color w:val="auto"/>
          <w:sz w:val="24"/>
          <w:szCs w:val="24"/>
          <w:highlight w:val="none"/>
          <w:lang w:val="en-US" w:eastAsia="zh-CN"/>
        </w:rPr>
        <w:t>服务</w:t>
      </w:r>
      <w:r>
        <w:rPr>
          <w:rFonts w:hint="eastAsia"/>
          <w:color w:val="auto"/>
          <w:sz w:val="24"/>
          <w:szCs w:val="24"/>
          <w:highlight w:val="none"/>
          <w:lang w:eastAsia="zh-CN"/>
        </w:rPr>
        <w:t>）</w:t>
      </w:r>
      <w:bookmarkEnd w:id="431"/>
      <w:bookmarkEnd w:id="432"/>
      <w:bookmarkEnd w:id="433"/>
      <w:bookmarkEnd w:id="434"/>
      <w:bookmarkEnd w:id="435"/>
      <w:bookmarkEnd w:id="436"/>
    </w:p>
    <w:p w14:paraId="27A50481">
      <w:pPr>
        <w:widowControl/>
        <w:adjustRightInd w:val="0"/>
        <w:snapToGrid w:val="0"/>
        <w:spacing w:line="360" w:lineRule="auto"/>
        <w:ind w:firstLine="567"/>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伊犁哈萨克自治州</w:t>
      </w:r>
      <w:r>
        <w:rPr>
          <w:rFonts w:hint="eastAsia" w:ascii="宋体" w:hAnsi="宋体" w:cs="宋体"/>
          <w:i w:val="0"/>
          <w:iCs w:val="0"/>
          <w:color w:val="auto"/>
          <w:sz w:val="24"/>
          <w:szCs w:val="24"/>
          <w:highlight w:val="none"/>
          <w:u w:val="single"/>
          <w:lang w:val="en-US" w:eastAsia="zh-CN"/>
        </w:rPr>
        <w:t>奎屯医院</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的</w:t>
      </w:r>
      <w:r>
        <w:rPr>
          <w:rFonts w:hint="eastAsia" w:ascii="宋体" w:hAnsi="宋体" w:cs="宋体"/>
          <w:color w:val="auto"/>
          <w:kern w:val="0"/>
          <w:sz w:val="24"/>
          <w:szCs w:val="24"/>
          <w:highlight w:val="none"/>
          <w:u w:val="single"/>
          <w:lang w:val="en-US" w:eastAsia="zh-CN" w:bidi="ar"/>
        </w:rPr>
        <w:t xml:space="preserve"> 伊犁哈萨克自治州奎屯医院污水处理站外包服务项目</w:t>
      </w:r>
      <w:r>
        <w:rPr>
          <w:rFonts w:hint="eastAsia" w:ascii="宋体" w:hAnsi="宋体" w:cs="宋体"/>
          <w:i w:val="0"/>
          <w:iCs w:val="0"/>
          <w:color w:val="auto"/>
          <w:sz w:val="24"/>
          <w:szCs w:val="24"/>
          <w:highlight w:val="none"/>
          <w:u w:val="single"/>
          <w:lang w:val="en-US" w:eastAsia="zh-CN"/>
        </w:rPr>
        <w:t>（项目编号：XJJM[2026]-108）</w:t>
      </w:r>
      <w:r>
        <w:rPr>
          <w:rFonts w:hint="eastAsia" w:ascii="宋体" w:hAnsi="宋体" w:cs="宋体"/>
          <w:i/>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采购活动，服务全部由符合政策要求的中小企业承接。相关企业（含联合体中的中小企业、签订分包意向协议的中小企业）的具体情况如下：</w:t>
      </w:r>
    </w:p>
    <w:p w14:paraId="7432AAC2">
      <w:pPr>
        <w:widowControl/>
        <w:adjustRightInd w:val="0"/>
        <w:snapToGrid w:val="0"/>
        <w:spacing w:line="360" w:lineRule="auto"/>
        <w:ind w:firstLine="567"/>
        <w:jc w:val="left"/>
        <w:rPr>
          <w:rFonts w:ascii="宋体" w:hAnsi="宋体" w:cs="宋体"/>
          <w:color w:val="auto"/>
          <w:sz w:val="24"/>
          <w:szCs w:val="24"/>
          <w:highlight w:val="none"/>
        </w:rPr>
      </w:pPr>
      <w:r>
        <w:rPr>
          <w:rFonts w:hint="eastAsia" w:ascii="宋体" w:hAnsi="宋体" w:cs="宋体"/>
          <w:iCs/>
          <w:color w:val="auto"/>
          <w:kern w:val="0"/>
          <w:sz w:val="24"/>
          <w:szCs w:val="24"/>
          <w:highlight w:val="none"/>
          <w:lang w:val="en-US" w:eastAsia="zh-CN" w:bidi="ar"/>
        </w:rPr>
        <w:t>1</w:t>
      </w:r>
      <w:r>
        <w:rPr>
          <w:rFonts w:hint="eastAsia" w:ascii="宋体" w:hAnsi="宋体" w:cs="宋体"/>
          <w:iCs/>
          <w:color w:val="auto"/>
          <w:kern w:val="0"/>
          <w:sz w:val="24"/>
          <w:szCs w:val="24"/>
          <w:highlight w:val="none"/>
          <w:lang w:bidi="ar"/>
        </w:rPr>
        <w:t>.</w:t>
      </w:r>
      <w:r>
        <w:rPr>
          <w:rFonts w:hint="eastAsia" w:ascii="宋体" w:hAnsi="宋体" w:cs="宋体"/>
          <w:iCs/>
          <w:color w:val="auto"/>
          <w:kern w:val="0"/>
          <w:sz w:val="24"/>
          <w:szCs w:val="24"/>
          <w:highlight w:val="none"/>
          <w:u w:val="single"/>
          <w:lang w:val="en-US" w:eastAsia="zh-CN" w:bidi="ar"/>
        </w:rPr>
        <w:t xml:space="preserve"> （   服务）</w:t>
      </w:r>
      <w:r>
        <w:rPr>
          <w:rFonts w:hint="eastAsia" w:ascii="宋体" w:hAnsi="宋体" w:cs="宋体"/>
          <w:i/>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，属于</w:t>
      </w:r>
      <w:r>
        <w:rPr>
          <w:rFonts w:hint="eastAsia" w:ascii="宋体" w:hAnsi="宋体" w:cs="宋体"/>
          <w:iCs/>
          <w:color w:val="auto"/>
          <w:kern w:val="0"/>
          <w:sz w:val="24"/>
          <w:szCs w:val="24"/>
          <w:highlight w:val="none"/>
          <w:u w:val="single"/>
          <w:lang w:bidi="ar"/>
        </w:rPr>
        <w:t xml:space="preserve"> </w:t>
      </w:r>
      <w:r>
        <w:rPr>
          <w:rFonts w:hint="eastAsia" w:ascii="宋体" w:hAnsi="宋体" w:cs="宋体"/>
          <w:iCs/>
          <w:color w:val="auto"/>
          <w:kern w:val="0"/>
          <w:sz w:val="24"/>
          <w:szCs w:val="24"/>
          <w:highlight w:val="none"/>
          <w:u w:val="single"/>
          <w:lang w:eastAsia="zh-CN" w:bidi="ar"/>
        </w:rPr>
        <w:t>（其他未列明行业）</w:t>
      </w:r>
      <w:r>
        <w:rPr>
          <w:rFonts w:hint="eastAsia" w:ascii="宋体" w:hAnsi="宋体" w:cs="宋体"/>
          <w:iCs/>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行业；参与上述标项的承接商为</w:t>
      </w:r>
      <w:r>
        <w:rPr>
          <w:rFonts w:hint="eastAsia" w:ascii="宋体" w:hAnsi="宋体" w:cs="宋体"/>
          <w:i/>
          <w:color w:val="auto"/>
          <w:kern w:val="0"/>
          <w:sz w:val="24"/>
          <w:szCs w:val="24"/>
          <w:highlight w:val="none"/>
          <w:u w:val="single"/>
          <w:lang w:bidi="ar"/>
        </w:rPr>
        <w:t>（企业名称）</w:t>
      </w:r>
      <w:r>
        <w:rPr>
          <w:rFonts w:hint="eastAsia" w:ascii="宋体" w:hAnsi="宋体" w:cs="宋体"/>
          <w:color w:val="auto"/>
          <w:kern w:val="0"/>
          <w:sz w:val="24"/>
          <w:szCs w:val="24"/>
          <w:highlight w:val="none"/>
          <w:lang w:bidi="ar"/>
        </w:rPr>
        <w:t>，从业人员</w:t>
      </w:r>
      <w:r>
        <w:rPr>
          <w:rFonts w:ascii="宋体" w:hAnsi="宋体" w:cs="宋体"/>
          <w:color w:val="auto"/>
          <w:kern w:val="0"/>
          <w:sz w:val="24"/>
          <w:szCs w:val="24"/>
          <w:highlight w:val="none"/>
          <w:u w:val="single"/>
          <w:lang w:eastAsia="zh-Hans" w:bidi="ar"/>
        </w:rPr>
        <w:t xml:space="preserve">    </w:t>
      </w:r>
      <w:r>
        <w:rPr>
          <w:rFonts w:hint="eastAsia" w:ascii="宋体" w:hAnsi="宋体" w:cs="宋体"/>
          <w:color w:val="auto"/>
          <w:kern w:val="0"/>
          <w:sz w:val="24"/>
          <w:szCs w:val="24"/>
          <w:highlight w:val="none"/>
          <w:lang w:bidi="ar"/>
        </w:rPr>
        <w:t>人，营业收入为</w:t>
      </w:r>
      <w:r>
        <w:rPr>
          <w:rFonts w:ascii="宋体" w:hAnsi="宋体" w:cs="宋体"/>
          <w:color w:val="auto"/>
          <w:kern w:val="0"/>
          <w:sz w:val="24"/>
          <w:szCs w:val="24"/>
          <w:highlight w:val="none"/>
          <w:u w:val="single"/>
          <w:lang w:eastAsia="zh-Hans" w:bidi="ar"/>
        </w:rPr>
        <w:t xml:space="preserve">    </w:t>
      </w:r>
      <w:r>
        <w:rPr>
          <w:rFonts w:hint="eastAsia" w:ascii="宋体" w:hAnsi="宋体" w:cs="宋体"/>
          <w:color w:val="auto"/>
          <w:kern w:val="0"/>
          <w:sz w:val="24"/>
          <w:szCs w:val="24"/>
          <w:highlight w:val="none"/>
          <w:lang w:bidi="ar"/>
        </w:rPr>
        <w:t>万元，资产总额为</w:t>
      </w:r>
      <w:r>
        <w:rPr>
          <w:rFonts w:ascii="宋体" w:hAnsi="宋体" w:cs="宋体"/>
          <w:color w:val="auto"/>
          <w:kern w:val="0"/>
          <w:sz w:val="24"/>
          <w:szCs w:val="24"/>
          <w:highlight w:val="none"/>
          <w:u w:val="single"/>
          <w:lang w:eastAsia="zh-Hans" w:bidi="ar"/>
        </w:rPr>
        <w:t xml:space="preserve">    </w:t>
      </w:r>
      <w:r>
        <w:rPr>
          <w:rFonts w:hint="eastAsia" w:ascii="宋体" w:hAnsi="宋体" w:cs="宋体"/>
          <w:color w:val="auto"/>
          <w:kern w:val="0"/>
          <w:sz w:val="24"/>
          <w:szCs w:val="24"/>
          <w:highlight w:val="none"/>
          <w:lang w:bidi="ar"/>
        </w:rPr>
        <w:t>万元，属于</w:t>
      </w:r>
      <w:r>
        <w:rPr>
          <w:rFonts w:hint="eastAsia" w:ascii="宋体" w:hAnsi="宋体" w:cs="宋体"/>
          <w:i/>
          <w:color w:val="auto"/>
          <w:kern w:val="0"/>
          <w:sz w:val="24"/>
          <w:szCs w:val="24"/>
          <w:highlight w:val="none"/>
          <w:u w:val="single"/>
          <w:lang w:bidi="ar"/>
        </w:rPr>
        <w:t>（中型企业、小型企业、微型企业）</w:t>
      </w:r>
      <w:r>
        <w:rPr>
          <w:rFonts w:hint="eastAsia" w:ascii="宋体" w:hAnsi="宋体" w:cs="宋体"/>
          <w:color w:val="auto"/>
          <w:kern w:val="0"/>
          <w:sz w:val="24"/>
          <w:szCs w:val="24"/>
          <w:highlight w:val="none"/>
          <w:lang w:bidi="ar"/>
        </w:rPr>
        <w:t>。</w:t>
      </w:r>
    </w:p>
    <w:p w14:paraId="0211D693">
      <w:pPr>
        <w:widowControl/>
        <w:adjustRightInd w:val="0"/>
        <w:snapToGrid w:val="0"/>
        <w:spacing w:line="360" w:lineRule="auto"/>
        <w:ind w:firstLine="567"/>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以上企业，不属于大企业的分支机构，不存在控股股东为大企业的情形，也不存在与大企业的负责人为同一人的情形。</w:t>
      </w:r>
    </w:p>
    <w:p w14:paraId="13FA8D19">
      <w:pPr>
        <w:widowControl/>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本企业对上述声明内容的真实性负责。如有虚假，将依法承担相应责任。</w:t>
      </w:r>
    </w:p>
    <w:p w14:paraId="38EEADAF">
      <w:pPr>
        <w:pStyle w:val="37"/>
        <w:spacing w:line="360" w:lineRule="auto"/>
        <w:ind w:firstLine="240"/>
        <w:rPr>
          <w:rFonts w:hint="eastAsia"/>
          <w:color w:val="auto"/>
          <w:highlight w:val="none"/>
        </w:rPr>
      </w:pPr>
    </w:p>
    <w:p w14:paraId="7601CE8F">
      <w:pPr>
        <w:widowControl/>
        <w:adjustRightInd w:val="0"/>
        <w:snapToGrid w:val="0"/>
        <w:spacing w:line="360" w:lineRule="auto"/>
        <w:ind w:firstLine="5280" w:firstLineChars="2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企业名称（盖章）：</w:t>
      </w:r>
      <w:r>
        <w:rPr>
          <w:rFonts w:hint="eastAsia" w:ascii="宋体" w:hAnsi="宋体" w:cs="宋体"/>
          <w:iCs/>
          <w:color w:val="auto"/>
          <w:kern w:val="0"/>
          <w:sz w:val="24"/>
          <w:szCs w:val="24"/>
          <w:highlight w:val="none"/>
          <w:u w:val="single"/>
          <w:lang w:bidi="ar"/>
        </w:rPr>
        <w:t>（投标单位盖章）</w:t>
      </w:r>
    </w:p>
    <w:p w14:paraId="747ED2BB">
      <w:pPr>
        <w:widowControl/>
        <w:adjustRightInd w:val="0"/>
        <w:snapToGrid w:val="0"/>
        <w:spacing w:line="360" w:lineRule="auto"/>
        <w:ind w:firstLine="5280" w:firstLineChars="2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日 期：</w:t>
      </w:r>
    </w:p>
    <w:p w14:paraId="429E793B">
      <w:pPr>
        <w:widowControl/>
        <w:adjustRightInd w:val="0"/>
        <w:snapToGrid w:val="0"/>
        <w:spacing w:line="360" w:lineRule="auto"/>
        <w:ind w:firstLine="5280" w:firstLineChars="2200"/>
        <w:jc w:val="left"/>
        <w:rPr>
          <w:rFonts w:hint="eastAsia" w:ascii="宋体" w:hAnsi="宋体" w:cs="宋体"/>
          <w:color w:val="auto"/>
          <w:kern w:val="0"/>
          <w:sz w:val="24"/>
          <w:szCs w:val="24"/>
          <w:highlight w:val="none"/>
          <w:lang w:bidi="ar"/>
        </w:rPr>
      </w:pPr>
    </w:p>
    <w:p w14:paraId="365A585D">
      <w:pPr>
        <w:adjustRightInd w:val="0"/>
        <w:snapToGrid w:val="0"/>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备注：从业人员、营业收入、资产总额填报上一年度数据，无上一年度数据的新成立企业可不填报。</w:t>
      </w:r>
    </w:p>
    <w:p w14:paraId="76CAD946">
      <w:pPr>
        <w:adjustRightInd w:val="0"/>
        <w:snapToGrid w:val="0"/>
        <w:spacing w:line="360" w:lineRule="auto"/>
        <w:ind w:firstLine="482" w:firstLineChars="200"/>
        <w:rPr>
          <w:rFonts w:hint="eastAsia"/>
          <w:b/>
          <w:bCs/>
          <w:color w:val="auto"/>
          <w:sz w:val="24"/>
          <w:szCs w:val="24"/>
          <w:highlight w:val="none"/>
        </w:rPr>
      </w:pPr>
    </w:p>
    <w:p w14:paraId="22CB8820">
      <w:pPr>
        <w:adjustRightInd w:val="0"/>
        <w:snapToGrid w:val="0"/>
        <w:spacing w:line="360" w:lineRule="auto"/>
        <w:ind w:firstLine="482" w:firstLineChars="200"/>
        <w:rPr>
          <w:rFonts w:hint="eastAsia"/>
          <w:b/>
          <w:bCs/>
          <w:color w:val="auto"/>
          <w:sz w:val="24"/>
          <w:szCs w:val="24"/>
          <w:highlight w:val="none"/>
        </w:rPr>
      </w:pPr>
    </w:p>
    <w:p w14:paraId="1BA2E2AD">
      <w:pPr>
        <w:adjustRightInd w:val="0"/>
        <w:snapToGrid w:val="0"/>
        <w:spacing w:line="360" w:lineRule="auto"/>
        <w:ind w:firstLine="482" w:firstLineChars="200"/>
        <w:rPr>
          <w:rFonts w:hint="eastAsia"/>
          <w:b/>
          <w:bCs/>
          <w:color w:val="auto"/>
          <w:sz w:val="24"/>
          <w:szCs w:val="24"/>
          <w:highlight w:val="none"/>
        </w:rPr>
      </w:pPr>
    </w:p>
    <w:p w14:paraId="571AB211">
      <w:pPr>
        <w:adjustRightInd w:val="0"/>
        <w:snapToGrid w:val="0"/>
        <w:spacing w:line="360" w:lineRule="auto"/>
        <w:ind w:firstLine="482" w:firstLineChars="200"/>
        <w:rPr>
          <w:rFonts w:hint="eastAsia"/>
          <w:b/>
          <w:bCs/>
          <w:color w:val="auto"/>
          <w:sz w:val="24"/>
          <w:szCs w:val="24"/>
          <w:highlight w:val="none"/>
        </w:rPr>
      </w:pPr>
    </w:p>
    <w:p w14:paraId="0C6AF11E">
      <w:pPr>
        <w:adjustRightInd w:val="0"/>
        <w:snapToGrid w:val="0"/>
        <w:spacing w:line="360" w:lineRule="auto"/>
        <w:ind w:firstLine="482" w:firstLineChars="200"/>
        <w:rPr>
          <w:rFonts w:hint="eastAsia"/>
          <w:b/>
          <w:bCs/>
          <w:color w:val="auto"/>
          <w:sz w:val="24"/>
          <w:szCs w:val="24"/>
          <w:highlight w:val="none"/>
        </w:rPr>
      </w:pPr>
    </w:p>
    <w:p w14:paraId="5FA9CD02">
      <w:pPr>
        <w:adjustRightInd w:val="0"/>
        <w:snapToGrid w:val="0"/>
        <w:spacing w:line="360" w:lineRule="auto"/>
        <w:ind w:firstLine="482" w:firstLineChars="200"/>
        <w:rPr>
          <w:rFonts w:hint="eastAsia"/>
          <w:b/>
          <w:bCs/>
          <w:color w:val="auto"/>
          <w:sz w:val="24"/>
          <w:szCs w:val="24"/>
          <w:highlight w:val="none"/>
        </w:rPr>
      </w:pPr>
    </w:p>
    <w:p w14:paraId="0E0C167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p>
    <w:p w14:paraId="723BBEF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p>
    <w:p w14:paraId="3169A6A7">
      <w:pPr>
        <w:rPr>
          <w:rFonts w:hint="eastAsia" w:ascii="Times New Roman" w:hAnsi="Times New Roman" w:eastAsia="宋体" w:cs="Times New Roman"/>
          <w:b/>
          <w:bCs/>
          <w:color w:val="auto"/>
          <w:sz w:val="24"/>
          <w:szCs w:val="24"/>
          <w:highlight w:val="none"/>
          <w:lang w:eastAsia="zh-CN"/>
        </w:rPr>
      </w:pPr>
      <w:bookmarkStart w:id="437" w:name="_Toc16185"/>
      <w:bookmarkStart w:id="438" w:name="_Toc22086"/>
      <w:r>
        <w:rPr>
          <w:rFonts w:hint="eastAsia" w:ascii="Times New Roman" w:hAnsi="Times New Roman" w:eastAsia="宋体" w:cs="Times New Roman"/>
          <w:b/>
          <w:bCs/>
          <w:color w:val="auto"/>
          <w:sz w:val="24"/>
          <w:szCs w:val="24"/>
          <w:highlight w:val="none"/>
          <w:lang w:eastAsia="zh-CN"/>
        </w:rPr>
        <w:br w:type="page"/>
      </w:r>
    </w:p>
    <w:p w14:paraId="1EF84D2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监狱企业声明函</w:t>
      </w:r>
      <w:bookmarkEnd w:id="437"/>
      <w:bookmarkEnd w:id="438"/>
    </w:p>
    <w:p w14:paraId="6F41BF1B">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（监狱企业适用）</w:t>
      </w:r>
    </w:p>
    <w:p w14:paraId="0025933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33A252E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sz w:val="24"/>
          <w:szCs w:val="24"/>
          <w:highlight w:val="none"/>
          <w:u w:val="single"/>
        </w:rPr>
        <w:t>（</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676F7EC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sz w:val="24"/>
          <w:szCs w:val="24"/>
          <w:highlight w:val="none"/>
          <w:u w:val="single"/>
        </w:rPr>
        <w:t>（</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41438BDA">
      <w:pPr>
        <w:keepNext w:val="0"/>
        <w:keepLines w:val="0"/>
        <w:pageBreakBefore w:val="0"/>
        <w:widowControl/>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1DCDCA31">
      <w:pPr>
        <w:keepNext w:val="0"/>
        <w:keepLines w:val="0"/>
        <w:pageBreakBefore w:val="0"/>
        <w:widowControl/>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宋体" w:hAnsi="宋体" w:eastAsia="宋体" w:cs="宋体"/>
          <w:color w:val="auto"/>
          <w:kern w:val="0"/>
          <w:sz w:val="24"/>
          <w:szCs w:val="24"/>
          <w:highlight w:val="none"/>
          <w:lang w:bidi="ar"/>
        </w:rPr>
      </w:pPr>
    </w:p>
    <w:p w14:paraId="4D250319">
      <w:pPr>
        <w:keepNext w:val="0"/>
        <w:keepLines w:val="0"/>
        <w:pageBreakBefore w:val="0"/>
        <w:widowControl/>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宋体" w:hAnsi="宋体" w:eastAsia="宋体" w:cs="宋体"/>
          <w:color w:val="auto"/>
          <w:kern w:val="0"/>
          <w:sz w:val="24"/>
          <w:szCs w:val="24"/>
          <w:highlight w:val="none"/>
          <w:lang w:bidi="ar"/>
        </w:rPr>
      </w:pPr>
    </w:p>
    <w:p w14:paraId="5408585A">
      <w:pPr>
        <w:keepNext w:val="0"/>
        <w:keepLines w:val="0"/>
        <w:pageBreakBefore w:val="0"/>
        <w:widowControl/>
        <w:kinsoku/>
        <w:wordWrap/>
        <w:overflowPunct/>
        <w:topLinePunct w:val="0"/>
        <w:autoSpaceDE/>
        <w:autoSpaceDN/>
        <w:bidi w:val="0"/>
        <w:adjustRightInd w:val="0"/>
        <w:snapToGrid w:val="0"/>
        <w:spacing w:line="400" w:lineRule="exact"/>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51FF6367">
      <w:pPr>
        <w:keepNext w:val="0"/>
        <w:keepLines w:val="0"/>
        <w:pageBreakBefore w:val="0"/>
        <w:widowControl/>
        <w:kinsoku/>
        <w:wordWrap/>
        <w:overflowPunct/>
        <w:topLinePunct w:val="0"/>
        <w:autoSpaceDE/>
        <w:autoSpaceDN/>
        <w:bidi w:val="0"/>
        <w:adjustRightInd w:val="0"/>
        <w:snapToGrid w:val="0"/>
        <w:spacing w:line="400" w:lineRule="exact"/>
        <w:ind w:left="0" w:firstLine="5280" w:firstLineChars="2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日 </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p>
    <w:p w14:paraId="4A8740D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7108DC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734C44F0">
      <w:pPr>
        <w:pageBreakBefore w:val="0"/>
        <w:tabs>
          <w:tab w:val="left" w:pos="2880"/>
        </w:tabs>
        <w:kinsoku/>
        <w:wordWrap/>
        <w:overflowPunct/>
        <w:topLinePunct w:val="0"/>
        <w:autoSpaceDE/>
        <w:autoSpaceDN/>
        <w:bidi w:val="0"/>
        <w:spacing w:line="360" w:lineRule="auto"/>
        <w:ind w:firstLine="569" w:firstLineChars="236"/>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2F618AE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266738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7117A3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C57DD0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368CB1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3D7A352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80FE28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161D8D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1D68DA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70BB4A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77E689A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65A72A09">
      <w:pPr>
        <w:rPr>
          <w:rFonts w:hint="eastAsia" w:ascii="Times New Roman" w:hAnsi="Times New Roman" w:eastAsia="宋体" w:cs="Times New Roman"/>
          <w:b/>
          <w:bCs/>
          <w:color w:val="auto"/>
          <w:sz w:val="24"/>
          <w:szCs w:val="24"/>
          <w:highlight w:val="none"/>
        </w:rPr>
      </w:pPr>
      <w:bookmarkStart w:id="439" w:name="_Toc23744"/>
      <w:bookmarkStart w:id="440" w:name="_Toc23989"/>
      <w:bookmarkStart w:id="441" w:name="_Toc12768"/>
      <w:bookmarkStart w:id="442" w:name="_Toc2567"/>
      <w:bookmarkStart w:id="443" w:name="_Toc3908"/>
      <w:bookmarkStart w:id="444" w:name="_Toc22171"/>
      <w:bookmarkStart w:id="445" w:name="_Toc30353"/>
      <w:bookmarkStart w:id="446" w:name="_Toc29650"/>
      <w:bookmarkStart w:id="447" w:name="_Toc28887"/>
      <w:r>
        <w:rPr>
          <w:rFonts w:hint="eastAsia" w:ascii="Times New Roman" w:hAnsi="Times New Roman" w:eastAsia="宋体" w:cs="Times New Roman"/>
          <w:b/>
          <w:bCs/>
          <w:color w:val="auto"/>
          <w:sz w:val="24"/>
          <w:szCs w:val="24"/>
          <w:highlight w:val="none"/>
        </w:rPr>
        <w:br w:type="page"/>
      </w:r>
    </w:p>
    <w:p w14:paraId="06FBB8C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残疾人福利性单位声明函</w:t>
      </w:r>
      <w:bookmarkEnd w:id="439"/>
      <w:bookmarkEnd w:id="440"/>
      <w:bookmarkEnd w:id="441"/>
      <w:bookmarkEnd w:id="442"/>
      <w:bookmarkEnd w:id="443"/>
      <w:bookmarkEnd w:id="444"/>
      <w:bookmarkEnd w:id="445"/>
      <w:bookmarkEnd w:id="446"/>
      <w:bookmarkEnd w:id="447"/>
    </w:p>
    <w:p w14:paraId="2128A3C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残疾人福利性单位</w:t>
      </w:r>
      <w:r>
        <w:rPr>
          <w:rFonts w:hint="eastAsia" w:ascii="宋体" w:hAnsi="宋体" w:eastAsia="宋体" w:cs="宋体"/>
          <w:color w:val="auto"/>
          <w:kern w:val="0"/>
          <w:sz w:val="21"/>
          <w:szCs w:val="21"/>
          <w:highlight w:val="none"/>
        </w:rPr>
        <w:t>适用）</w:t>
      </w:r>
    </w:p>
    <w:p w14:paraId="27A1A5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及</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741BCD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3CBFA1B7">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kern w:val="0"/>
          <w:sz w:val="24"/>
          <w:szCs w:val="24"/>
          <w:highlight w:val="none"/>
          <w:lang w:bidi="ar"/>
        </w:rPr>
      </w:pPr>
    </w:p>
    <w:p w14:paraId="7C1D4E2A">
      <w:pPr>
        <w:pStyle w:val="37"/>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highlight w:val="none"/>
        </w:rPr>
      </w:pPr>
    </w:p>
    <w:p w14:paraId="351DD1AF">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kern w:val="0"/>
          <w:sz w:val="24"/>
          <w:szCs w:val="24"/>
          <w:highlight w:val="none"/>
          <w:lang w:bidi="ar"/>
        </w:rPr>
      </w:pPr>
    </w:p>
    <w:p w14:paraId="0FC31D10">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3ABBB38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5A10C8A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30"/>
          <w:szCs w:val="30"/>
          <w:highlight w:val="none"/>
        </w:rPr>
      </w:pPr>
    </w:p>
    <w:p w14:paraId="6550E662">
      <w:pPr>
        <w:pStyle w:val="37"/>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highlight w:val="none"/>
        </w:rPr>
      </w:pPr>
    </w:p>
    <w:p w14:paraId="6B1CE80E">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2B10447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3E45FFA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350DF0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6EDEDAE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E7CF18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3ABDCF7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35489B6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7F44352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32062C4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BE73A83">
      <w:pPr>
        <w:rPr>
          <w:rFonts w:hint="eastAsia" w:ascii="宋体" w:hAnsi="宋体" w:eastAsia="宋体" w:cs="宋体"/>
          <w:color w:val="auto"/>
          <w:sz w:val="24"/>
          <w:szCs w:val="24"/>
          <w:highlight w:val="none"/>
        </w:rPr>
      </w:pPr>
      <w:bookmarkStart w:id="448" w:name="_Toc15662"/>
      <w:r>
        <w:rPr>
          <w:rFonts w:hint="eastAsia" w:ascii="宋体" w:hAnsi="宋体" w:eastAsia="宋体" w:cs="宋体"/>
          <w:color w:val="auto"/>
          <w:sz w:val="24"/>
          <w:szCs w:val="24"/>
          <w:highlight w:val="none"/>
        </w:rPr>
        <w:br w:type="page"/>
      </w:r>
    </w:p>
    <w:p w14:paraId="77334F2D">
      <w:pPr>
        <w:pStyle w:val="4"/>
        <w:pageBreakBefore w:val="0"/>
        <w:tabs>
          <w:tab w:val="left" w:pos="540"/>
        </w:tabs>
        <w:kinsoku/>
        <w:wordWrap/>
        <w:overflowPunct/>
        <w:topLinePunct w:val="0"/>
        <w:autoSpaceDE/>
        <w:autoSpaceDN/>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磋商保证金</w:t>
      </w:r>
      <w:bookmarkEnd w:id="448"/>
      <w:r>
        <w:rPr>
          <w:rFonts w:hint="eastAsia" w:ascii="宋体" w:cs="宋体"/>
          <w:color w:val="auto"/>
          <w:sz w:val="24"/>
          <w:szCs w:val="24"/>
          <w:highlight w:val="none"/>
          <w:lang w:val="en-US" w:eastAsia="zh-CN"/>
        </w:rPr>
        <w:t>或保函</w:t>
      </w:r>
    </w:p>
    <w:p w14:paraId="7E874C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提供磋商保证金或电子保函缴纳凭证截图并加盖</w:t>
      </w:r>
      <w:r>
        <w:rPr>
          <w:rFonts w:hint="eastAsia" w:ascii="宋体" w:hAnsi="宋体" w:eastAsia="宋体" w:cs="宋体"/>
          <w:bCs/>
          <w:color w:val="auto"/>
          <w:szCs w:val="21"/>
          <w:highlight w:val="none"/>
          <w:lang w:eastAsia="zh-CN"/>
        </w:rPr>
        <w:t>投标人</w:t>
      </w:r>
      <w:r>
        <w:rPr>
          <w:rFonts w:hint="eastAsia" w:ascii="宋体" w:hAnsi="宋体" w:cs="宋体"/>
          <w:color w:val="auto"/>
          <w:sz w:val="21"/>
          <w:szCs w:val="21"/>
          <w:highlight w:val="none"/>
          <w:lang w:eastAsia="zh-CN"/>
        </w:rPr>
        <w:t>公章</w:t>
      </w:r>
      <w:r>
        <w:rPr>
          <w:rFonts w:hint="eastAsia" w:ascii="宋体" w:hAnsi="宋体" w:eastAsia="宋体" w:cs="宋体"/>
          <w:color w:val="auto"/>
          <w:sz w:val="21"/>
          <w:szCs w:val="21"/>
          <w:highlight w:val="none"/>
        </w:rPr>
        <w:t>）</w:t>
      </w:r>
    </w:p>
    <w:p w14:paraId="792B60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51B0B7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60961F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CE668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88C87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664804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B1E5D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6EFD2A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29C954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A1405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3AA91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CC5D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B0C321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3F0C48C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7D4F6D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59B03CD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75AF152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65D90D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1D59468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10D3804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59BB9ED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01F0D1B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70A79E7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0D6A4D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617F6C4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5BF142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688E5180">
      <w:pPr>
        <w:rPr>
          <w:rFonts w:hint="eastAsia" w:ascii="宋体" w:hAnsi="宋体" w:eastAsia="宋体" w:cs="宋体"/>
          <w:color w:val="auto"/>
          <w:sz w:val="24"/>
          <w:szCs w:val="24"/>
          <w:highlight w:val="none"/>
        </w:rPr>
      </w:pPr>
      <w:bookmarkStart w:id="449" w:name="_Toc17905"/>
      <w:bookmarkStart w:id="450" w:name="_Toc22260"/>
      <w:bookmarkStart w:id="451" w:name="_Toc16250"/>
      <w:bookmarkStart w:id="452" w:name="_Toc26942"/>
      <w:bookmarkStart w:id="453" w:name="_Toc16769"/>
      <w:bookmarkStart w:id="454" w:name="_Toc9600"/>
      <w:r>
        <w:rPr>
          <w:rFonts w:hint="eastAsia" w:ascii="宋体" w:hAnsi="宋体" w:eastAsia="宋体" w:cs="宋体"/>
          <w:color w:val="auto"/>
          <w:sz w:val="24"/>
          <w:szCs w:val="24"/>
          <w:highlight w:val="none"/>
        </w:rPr>
        <w:br w:type="page"/>
      </w:r>
    </w:p>
    <w:p w14:paraId="18A32D2E">
      <w:pPr>
        <w:pStyle w:val="4"/>
        <w:keepNext w:val="0"/>
        <w:keepLines w:val="0"/>
        <w:pageBreakBefore w:val="0"/>
        <w:tabs>
          <w:tab w:val="left" w:pos="540"/>
        </w:tabs>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）本项目特定资格</w:t>
      </w:r>
      <w:r>
        <w:rPr>
          <w:rFonts w:hint="eastAsia" w:ascii="宋体" w:hAnsi="宋体" w:eastAsia="宋体" w:cs="宋体"/>
          <w:color w:val="auto"/>
          <w:sz w:val="24"/>
          <w:szCs w:val="24"/>
          <w:highlight w:val="none"/>
          <w:lang w:eastAsia="zh-CN"/>
        </w:rPr>
        <w:t>资质</w:t>
      </w:r>
      <w:bookmarkEnd w:id="449"/>
      <w:bookmarkEnd w:id="450"/>
      <w:bookmarkEnd w:id="451"/>
      <w:bookmarkEnd w:id="452"/>
      <w:bookmarkEnd w:id="453"/>
      <w:bookmarkEnd w:id="454"/>
    </w:p>
    <w:p w14:paraId="2588822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如有，提供相关资质证明材料并加盖投标人公章</w:t>
      </w:r>
      <w:r>
        <w:rPr>
          <w:rFonts w:hint="eastAsia" w:ascii="宋体" w:hAnsi="宋体" w:eastAsia="宋体" w:cs="宋体"/>
          <w:bCs/>
          <w:color w:val="auto"/>
          <w:szCs w:val="21"/>
          <w:highlight w:val="none"/>
        </w:rPr>
        <w:t>）</w:t>
      </w:r>
    </w:p>
    <w:p w14:paraId="34D7D9A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CFF268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3D0ADA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A30C84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191A6AA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E7BD61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9B7436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DDADC1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1BA3C9D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782967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678F3E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6DF456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96305E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1279381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67D9DF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10ADCB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6D39BA1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1E0356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04D731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1915E5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71FAE3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bookmarkEnd w:id="357"/>
    <w:bookmarkEnd w:id="390"/>
    <w:p w14:paraId="61C9487E">
      <w:pPr>
        <w:rPr>
          <w:rFonts w:hint="eastAsia" w:ascii="宋体" w:hAnsi="宋体" w:eastAsia="宋体" w:cs="宋体"/>
          <w:color w:val="auto"/>
          <w:sz w:val="24"/>
          <w:szCs w:val="24"/>
          <w:highlight w:val="none"/>
          <w:lang w:eastAsia="zh-CN"/>
        </w:rPr>
      </w:pPr>
      <w:bookmarkStart w:id="455" w:name="_Toc28207"/>
      <w:r>
        <w:rPr>
          <w:rFonts w:hint="eastAsia" w:ascii="宋体" w:hAnsi="宋体" w:eastAsia="宋体" w:cs="宋体"/>
          <w:color w:val="auto"/>
          <w:sz w:val="24"/>
          <w:szCs w:val="24"/>
          <w:highlight w:val="none"/>
          <w:lang w:eastAsia="zh-CN"/>
        </w:rPr>
        <w:br w:type="page"/>
      </w:r>
    </w:p>
    <w:p w14:paraId="610DF98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58"/>
      <w:bookmarkEnd w:id="455"/>
    </w:p>
    <w:p w14:paraId="466BAD58">
      <w:pPr>
        <w:pStyle w:val="4"/>
        <w:jc w:val="center"/>
        <w:rPr>
          <w:rFonts w:hint="eastAsia" w:ascii="宋体" w:hAnsi="宋体" w:eastAsia="宋体" w:cs="宋体"/>
          <w:color w:val="auto"/>
          <w:sz w:val="24"/>
          <w:szCs w:val="24"/>
          <w:highlight w:val="none"/>
          <w:lang w:eastAsia="zh-CN"/>
        </w:rPr>
      </w:pPr>
      <w:bookmarkStart w:id="456" w:name="_Toc10693"/>
      <w:bookmarkStart w:id="457" w:name="_Toc29266"/>
      <w:r>
        <w:rPr>
          <w:rFonts w:hint="eastAsia" w:ascii="宋体" w:hAnsi="宋体" w:eastAsia="宋体" w:cs="宋体"/>
          <w:color w:val="auto"/>
          <w:sz w:val="24"/>
          <w:szCs w:val="24"/>
          <w:highlight w:val="none"/>
          <w:lang w:eastAsia="zh-CN"/>
        </w:rPr>
        <w:t>（一）</w:t>
      </w:r>
      <w:bookmarkEnd w:id="456"/>
      <w:r>
        <w:rPr>
          <w:rFonts w:hint="eastAsia" w:ascii="宋体" w:hAnsi="宋体" w:eastAsia="宋体" w:cs="宋体"/>
          <w:color w:val="auto"/>
          <w:sz w:val="24"/>
          <w:szCs w:val="24"/>
          <w:highlight w:val="none"/>
          <w:lang w:eastAsia="zh-CN"/>
        </w:rPr>
        <w:t>报价一览表</w:t>
      </w:r>
      <w:bookmarkEnd w:id="457"/>
    </w:p>
    <w:p w14:paraId="025EC9BE">
      <w:pPr>
        <w:tabs>
          <w:tab w:val="left" w:pos="9135"/>
        </w:tabs>
        <w:spacing w:line="400" w:lineRule="atLeas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p>
    <w:p w14:paraId="659252A4">
      <w:pPr>
        <w:tabs>
          <w:tab w:val="left" w:pos="9135"/>
        </w:tabs>
        <w:spacing w:line="40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771"/>
      </w:tblGrid>
      <w:tr w14:paraId="3C35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19" w:type="dxa"/>
            <w:noWrap w:val="0"/>
            <w:vAlign w:val="center"/>
          </w:tcPr>
          <w:p w14:paraId="2B5593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磋商报价</w:t>
            </w:r>
          </w:p>
          <w:p w14:paraId="055371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（元）</w:t>
            </w:r>
          </w:p>
        </w:tc>
        <w:tc>
          <w:tcPr>
            <w:tcW w:w="7771" w:type="dxa"/>
            <w:noWrap w:val="0"/>
            <w:vAlign w:val="center"/>
          </w:tcPr>
          <w:p w14:paraId="7253796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小写：</w:t>
            </w:r>
            <w:r>
              <w:rPr>
                <w:rFonts w:hint="eastAsia" w:ascii="宋体" w:hAnsi="宋体" w:cs="宋体"/>
                <w:color w:val="auto"/>
                <w:sz w:val="24"/>
                <w:highlight w:val="none"/>
                <w:lang w:val="en-US" w:eastAsia="zh-CN"/>
              </w:rPr>
              <w:t xml:space="preserve">      /年</w:t>
            </w:r>
          </w:p>
          <w:p w14:paraId="0219498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4"/>
                <w:highlight w:val="none"/>
              </w:rPr>
              <w:t>大写：</w:t>
            </w:r>
            <w:r>
              <w:rPr>
                <w:rFonts w:hint="eastAsia" w:ascii="宋体" w:hAnsi="宋体" w:cs="宋体"/>
                <w:color w:val="auto"/>
                <w:sz w:val="24"/>
                <w:highlight w:val="none"/>
                <w:lang w:val="en-US" w:eastAsia="zh-CN"/>
              </w:rPr>
              <w:t xml:space="preserve">      /年</w:t>
            </w:r>
          </w:p>
        </w:tc>
      </w:tr>
      <w:tr w14:paraId="35BF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819" w:type="dxa"/>
            <w:noWrap w:val="0"/>
            <w:vAlign w:val="center"/>
          </w:tcPr>
          <w:p w14:paraId="192A18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合同履约期限</w:t>
            </w:r>
          </w:p>
        </w:tc>
        <w:tc>
          <w:tcPr>
            <w:tcW w:w="7771" w:type="dxa"/>
            <w:noWrap w:val="0"/>
            <w:vAlign w:val="center"/>
          </w:tcPr>
          <w:p w14:paraId="1543BDF2">
            <w:pPr>
              <w:pStyle w:val="3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lang w:val="en-US" w:eastAsia="zh-CN"/>
              </w:rPr>
            </w:pPr>
          </w:p>
        </w:tc>
      </w:tr>
      <w:tr w14:paraId="051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819" w:type="dxa"/>
            <w:noWrap w:val="0"/>
            <w:vAlign w:val="center"/>
          </w:tcPr>
          <w:p w14:paraId="46FD0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项目负责人</w:t>
            </w:r>
          </w:p>
        </w:tc>
        <w:tc>
          <w:tcPr>
            <w:tcW w:w="7771" w:type="dxa"/>
            <w:noWrap w:val="0"/>
            <w:vAlign w:val="center"/>
          </w:tcPr>
          <w:p w14:paraId="4B1BFC52">
            <w:pPr>
              <w:pStyle w:val="3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kern w:val="2"/>
                <w:sz w:val="24"/>
                <w:highlight w:val="none"/>
                <w:lang w:val="en-US" w:eastAsia="zh-CN" w:bidi="ar-SA"/>
              </w:rPr>
            </w:pPr>
          </w:p>
        </w:tc>
      </w:tr>
      <w:tr w14:paraId="6CE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9" w:type="dxa"/>
            <w:noWrap w:val="0"/>
            <w:vAlign w:val="center"/>
          </w:tcPr>
          <w:p w14:paraId="4F3585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771" w:type="dxa"/>
            <w:noWrap w:val="0"/>
            <w:vAlign w:val="center"/>
          </w:tcPr>
          <w:p w14:paraId="71BF3B87">
            <w:pPr>
              <w:pStyle w:val="3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rPr>
            </w:pPr>
            <w:r>
              <w:rPr>
                <w:rFonts w:hint="eastAsia" w:ascii="宋体" w:hAnsi="宋体" w:cs="宋体"/>
                <w:color w:val="auto"/>
                <w:sz w:val="24"/>
                <w:highlight w:val="none"/>
                <w:lang w:eastAsia="zh-CN"/>
              </w:rPr>
              <w:t>磋商报价是指所投服务报价合计，含提供服务所产生的一切费用。</w:t>
            </w:r>
          </w:p>
        </w:tc>
      </w:tr>
    </w:tbl>
    <w:p w14:paraId="3F7656A1">
      <w:pPr>
        <w:pStyle w:val="38"/>
        <w:rPr>
          <w:rFonts w:hint="eastAsia" w:ascii="宋体" w:hAnsi="宋体" w:eastAsia="宋体" w:cs="宋体"/>
          <w:color w:val="auto"/>
          <w:sz w:val="24"/>
          <w:highlight w:val="none"/>
        </w:rPr>
      </w:pPr>
    </w:p>
    <w:p w14:paraId="72FF5136">
      <w:pPr>
        <w:pStyle w:val="38"/>
        <w:rPr>
          <w:rFonts w:hint="eastAsia" w:ascii="宋体" w:hAnsi="宋体" w:eastAsia="宋体" w:cs="宋体"/>
          <w:color w:val="auto"/>
          <w:sz w:val="24"/>
          <w:highlight w:val="none"/>
        </w:rPr>
      </w:pPr>
    </w:p>
    <w:p w14:paraId="00D6981F">
      <w:pPr>
        <w:pStyle w:val="38"/>
        <w:rPr>
          <w:rFonts w:hint="eastAsia" w:ascii="宋体" w:hAnsi="宋体" w:eastAsia="宋体" w:cs="宋体"/>
          <w:color w:val="auto"/>
          <w:sz w:val="24"/>
          <w:highlight w:val="none"/>
        </w:rPr>
      </w:pPr>
    </w:p>
    <w:p w14:paraId="7903A766">
      <w:pPr>
        <w:keepNext w:val="0"/>
        <w:keepLines w:val="0"/>
        <w:pageBreakBefore w:val="0"/>
        <w:widowControl w:val="0"/>
        <w:tabs>
          <w:tab w:val="left" w:pos="9135"/>
        </w:tabs>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54CE6E63">
      <w:pPr>
        <w:keepNext w:val="0"/>
        <w:keepLines w:val="0"/>
        <w:pageBreakBefore w:val="0"/>
        <w:widowControl w:val="0"/>
        <w:tabs>
          <w:tab w:val="left" w:pos="9135"/>
        </w:tabs>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color w:val="auto"/>
          <w:sz w:val="24"/>
          <w:szCs w:val="24"/>
          <w:highlight w:val="none"/>
        </w:rPr>
      </w:pPr>
    </w:p>
    <w:p w14:paraId="233705B4">
      <w:pPr>
        <w:keepNext w:val="0"/>
        <w:keepLines w:val="0"/>
        <w:pageBreakBefore w:val="0"/>
        <w:widowControl w:val="0"/>
        <w:tabs>
          <w:tab w:val="left" w:pos="9135"/>
        </w:tabs>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签名</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3086E9EB">
      <w:pPr>
        <w:keepNext w:val="0"/>
        <w:keepLines w:val="0"/>
        <w:pageBreakBefore w:val="0"/>
        <w:widowControl w:val="0"/>
        <w:tabs>
          <w:tab w:val="left" w:pos="9135"/>
        </w:tabs>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color w:val="auto"/>
          <w:sz w:val="24"/>
          <w:szCs w:val="24"/>
          <w:highlight w:val="none"/>
        </w:rPr>
      </w:pPr>
    </w:p>
    <w:p w14:paraId="71E5E4E9">
      <w:pPr>
        <w:pStyle w:val="37"/>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w:t>
      </w:r>
    </w:p>
    <w:p w14:paraId="5B01CEB7">
      <w:pPr>
        <w:tabs>
          <w:tab w:val="left" w:pos="9135"/>
        </w:tabs>
        <w:spacing w:line="400" w:lineRule="atLeast"/>
        <w:rPr>
          <w:rFonts w:hint="eastAsia" w:ascii="宋体" w:hAnsi="宋体" w:eastAsia="宋体" w:cs="宋体"/>
          <w:color w:val="auto"/>
          <w:sz w:val="24"/>
          <w:highlight w:val="none"/>
        </w:rPr>
      </w:pPr>
    </w:p>
    <w:p w14:paraId="1207152D">
      <w:pPr>
        <w:tabs>
          <w:tab w:val="left" w:pos="9135"/>
        </w:tabs>
        <w:spacing w:line="400" w:lineRule="atLeast"/>
        <w:rPr>
          <w:rFonts w:hint="eastAsia" w:ascii="宋体" w:hAnsi="宋体" w:eastAsia="宋体" w:cs="宋体"/>
          <w:b w:val="0"/>
          <w:bCs w:val="0"/>
          <w:color w:val="auto"/>
          <w:kern w:val="0"/>
          <w:sz w:val="24"/>
          <w:szCs w:val="24"/>
          <w:highlight w:val="none"/>
        </w:rPr>
      </w:pPr>
    </w:p>
    <w:p w14:paraId="0EA941CD">
      <w:pPr>
        <w:tabs>
          <w:tab w:val="left" w:pos="9135"/>
        </w:tabs>
        <w:spacing w:line="400" w:lineRule="atLeast"/>
        <w:rPr>
          <w:rFonts w:hint="eastAsia" w:ascii="宋体" w:hAnsi="宋体" w:eastAsia="宋体" w:cs="宋体"/>
          <w:b w:val="0"/>
          <w:bCs w:val="0"/>
          <w:color w:val="auto"/>
          <w:kern w:val="0"/>
          <w:sz w:val="24"/>
          <w:szCs w:val="24"/>
          <w:highlight w:val="none"/>
        </w:rPr>
      </w:pPr>
    </w:p>
    <w:p w14:paraId="2A57A849">
      <w:pPr>
        <w:tabs>
          <w:tab w:val="left" w:pos="9135"/>
        </w:tabs>
        <w:spacing w:line="400" w:lineRule="atLeast"/>
        <w:rPr>
          <w:rFonts w:hint="eastAsia" w:ascii="宋体" w:hAnsi="宋体" w:eastAsia="宋体" w:cs="宋体"/>
          <w:b w:val="0"/>
          <w:bCs w:val="0"/>
          <w:color w:val="auto"/>
          <w:kern w:val="0"/>
          <w:sz w:val="24"/>
          <w:szCs w:val="24"/>
          <w:highlight w:val="none"/>
        </w:rPr>
      </w:pPr>
    </w:p>
    <w:p w14:paraId="10EF7AAB">
      <w:pPr>
        <w:tabs>
          <w:tab w:val="left" w:pos="9135"/>
        </w:tabs>
        <w:spacing w:line="400" w:lineRule="atLeast"/>
        <w:rPr>
          <w:rFonts w:hint="eastAsia" w:ascii="宋体" w:hAnsi="宋体" w:eastAsia="宋体" w:cs="宋体"/>
          <w:b w:val="0"/>
          <w:bCs w:val="0"/>
          <w:color w:val="auto"/>
          <w:kern w:val="0"/>
          <w:sz w:val="24"/>
          <w:szCs w:val="24"/>
          <w:highlight w:val="none"/>
        </w:rPr>
      </w:pPr>
    </w:p>
    <w:p w14:paraId="49416AF3">
      <w:pPr>
        <w:tabs>
          <w:tab w:val="left" w:pos="9135"/>
        </w:tabs>
        <w:spacing w:line="400" w:lineRule="atLeast"/>
        <w:rPr>
          <w:rFonts w:hint="eastAsia" w:ascii="宋体" w:hAnsi="宋体" w:eastAsia="宋体" w:cs="宋体"/>
          <w:b w:val="0"/>
          <w:bCs w:val="0"/>
          <w:color w:val="auto"/>
          <w:kern w:val="0"/>
          <w:sz w:val="24"/>
          <w:szCs w:val="24"/>
          <w:highlight w:val="none"/>
        </w:rPr>
      </w:pPr>
    </w:p>
    <w:p w14:paraId="2970497D">
      <w:pPr>
        <w:rPr>
          <w:rFonts w:hint="eastAsia" w:ascii="宋体" w:hAnsi="宋体" w:eastAsia="宋体" w:cs="宋体"/>
          <w:color w:val="auto"/>
          <w:sz w:val="24"/>
          <w:szCs w:val="24"/>
          <w:highlight w:val="none"/>
          <w:lang w:eastAsia="zh-CN"/>
        </w:rPr>
      </w:pPr>
      <w:bookmarkStart w:id="458" w:name="_Toc31367"/>
      <w:bookmarkStart w:id="459" w:name="_Toc23478"/>
      <w:bookmarkStart w:id="460" w:name="_Toc29193"/>
      <w:bookmarkStart w:id="461" w:name="_Toc29772"/>
      <w:bookmarkStart w:id="462" w:name="_Toc8870"/>
      <w:bookmarkStart w:id="463" w:name="_Toc25090"/>
      <w:bookmarkStart w:id="464" w:name="_Toc14960"/>
      <w:bookmarkStart w:id="465" w:name="_Toc25313"/>
      <w:bookmarkStart w:id="466" w:name="_Toc18970"/>
      <w:bookmarkStart w:id="467" w:name="_Toc23651"/>
      <w:r>
        <w:rPr>
          <w:rFonts w:hint="eastAsia" w:ascii="宋体" w:hAnsi="宋体" w:eastAsia="宋体" w:cs="宋体"/>
          <w:color w:val="auto"/>
          <w:sz w:val="24"/>
          <w:szCs w:val="24"/>
          <w:highlight w:val="none"/>
          <w:lang w:eastAsia="zh-CN"/>
        </w:rPr>
        <w:br w:type="page"/>
      </w:r>
    </w:p>
    <w:p w14:paraId="285B317A">
      <w:pPr>
        <w:pStyle w:val="3"/>
        <w:keepNext/>
        <w:keepLines/>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商务技术文件</w:t>
      </w:r>
      <w:bookmarkEnd w:id="458"/>
      <w:bookmarkEnd w:id="459"/>
      <w:bookmarkEnd w:id="460"/>
      <w:bookmarkEnd w:id="461"/>
      <w:bookmarkEnd w:id="462"/>
      <w:bookmarkEnd w:id="463"/>
    </w:p>
    <w:p w14:paraId="4D2EE1DE">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rPr>
      </w:pPr>
      <w:bookmarkStart w:id="468" w:name="_Toc26344"/>
      <w:bookmarkStart w:id="469" w:name="_Toc12767"/>
      <w:bookmarkStart w:id="470" w:name="_Toc22531"/>
      <w:bookmarkStart w:id="471" w:name="_Toc1688"/>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68"/>
      <w:bookmarkEnd w:id="469"/>
      <w:bookmarkEnd w:id="470"/>
      <w:bookmarkEnd w:id="471"/>
    </w:p>
    <w:p w14:paraId="047BAC7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i/>
          <w:iCs/>
          <w:color w:val="auto"/>
          <w:sz w:val="24"/>
          <w:highlight w:val="none"/>
          <w:u w:val="single"/>
          <w:lang w:eastAsia="zh-CN"/>
        </w:rPr>
        <w:t>（采购人</w:t>
      </w:r>
      <w:r>
        <w:rPr>
          <w:rFonts w:hint="eastAsia" w:ascii="宋体" w:hAnsi="宋体" w:eastAsia="宋体" w:cs="宋体"/>
          <w:i/>
          <w:iCs/>
          <w:color w:val="auto"/>
          <w:sz w:val="24"/>
          <w:highlight w:val="none"/>
          <w:u w:val="single"/>
          <w:lang w:val="en-US" w:eastAsia="zh-CN"/>
        </w:rPr>
        <w:t>/采购代理机构</w:t>
      </w:r>
      <w:r>
        <w:rPr>
          <w:rFonts w:hint="eastAsia" w:ascii="宋体" w:hAnsi="宋体" w:eastAsia="宋体" w:cs="宋体"/>
          <w:i/>
          <w:iCs/>
          <w:color w:val="auto"/>
          <w:sz w:val="24"/>
          <w:highlight w:val="none"/>
          <w:u w:val="single"/>
          <w:lang w:eastAsia="zh-CN"/>
        </w:rPr>
        <w:t>）</w:t>
      </w:r>
      <w:r>
        <w:rPr>
          <w:rFonts w:hint="eastAsia" w:ascii="宋体" w:hAnsi="宋体" w:eastAsia="宋体" w:cs="宋体"/>
          <w:color w:val="auto"/>
          <w:sz w:val="24"/>
          <w:highlight w:val="none"/>
        </w:rPr>
        <w:t>：</w:t>
      </w:r>
    </w:p>
    <w:p w14:paraId="33EAB9D1">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iCs/>
          <w:color w:val="auto"/>
          <w:sz w:val="24"/>
          <w:highlight w:val="none"/>
          <w:u w:val="single"/>
        </w:rPr>
        <w:t>项目名称</w:t>
      </w:r>
      <w:r>
        <w:rPr>
          <w:rFonts w:hint="eastAsia" w:ascii="宋体" w:hAnsi="宋体" w:eastAsia="宋体" w:cs="宋体"/>
          <w:i/>
          <w:iCs/>
          <w:color w:val="auto"/>
          <w:sz w:val="24"/>
          <w:highlight w:val="none"/>
          <w:u w:val="single"/>
          <w:lang w:val="en-US" w:eastAsia="zh-CN"/>
        </w:rPr>
        <w:t>及</w:t>
      </w:r>
      <w:r>
        <w:rPr>
          <w:rFonts w:hint="eastAsia" w:ascii="宋体" w:hAnsi="宋体" w:eastAsia="宋体" w:cs="宋体"/>
          <w:i/>
          <w:iCs/>
          <w:color w:val="auto"/>
          <w:sz w:val="24"/>
          <w:highlight w:val="none"/>
          <w:u w:val="single"/>
        </w:rPr>
        <w:t>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21B654D1">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中规定的</w:t>
      </w:r>
      <w:r>
        <w:rPr>
          <w:rFonts w:hint="eastAsia" w:ascii="宋体" w:hAnsi="宋体" w:eastAsia="宋体" w:cs="宋体"/>
          <w:color w:val="auto"/>
          <w:sz w:val="24"/>
          <w:highlight w:val="none"/>
          <w:lang w:eastAsia="zh-CN"/>
        </w:rPr>
        <w:t>磋商有效期</w:t>
      </w:r>
      <w:r>
        <w:rPr>
          <w:rFonts w:hint="eastAsia" w:ascii="宋体" w:hAnsi="宋体" w:eastAsia="宋体" w:cs="宋体"/>
          <w:color w:val="auto"/>
          <w:sz w:val="24"/>
          <w:highlight w:val="none"/>
        </w:rPr>
        <w:t>内遵守本</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文件中的承诺且在此期限期满之前均具有约束力。</w:t>
      </w:r>
    </w:p>
    <w:p w14:paraId="1DF37E58">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p>
    <w:p w14:paraId="0E61D969">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要求提供服务的</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详见</w:t>
      </w:r>
      <w:r>
        <w:rPr>
          <w:rFonts w:hint="eastAsia" w:ascii="宋体" w:hAnsi="宋体" w:eastAsia="宋体" w:cs="宋体"/>
          <w:color w:val="auto"/>
          <w:sz w:val="24"/>
          <w:highlight w:val="none"/>
          <w:lang w:eastAsia="zh-CN"/>
        </w:rPr>
        <w:t>报价一览表</w:t>
      </w:r>
      <w:r>
        <w:rPr>
          <w:rFonts w:hint="eastAsia" w:ascii="宋体" w:hAnsi="宋体" w:eastAsia="宋体" w:cs="宋体"/>
          <w:color w:val="auto"/>
          <w:sz w:val="24"/>
          <w:highlight w:val="none"/>
        </w:rPr>
        <w:t>。</w:t>
      </w:r>
    </w:p>
    <w:p w14:paraId="207501E9">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6FD844A5">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中的各项技术和服务要求，若有偏差，已在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文件偏离表中予以明确特别说明。</w:t>
      </w:r>
    </w:p>
    <w:p w14:paraId="7FD86FC1">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若超过项目预算</w:t>
      </w:r>
      <w:r>
        <w:rPr>
          <w:rFonts w:hint="eastAsia" w:ascii="宋体" w:hAnsi="宋体" w:eastAsia="宋体" w:cs="宋体"/>
          <w:color w:val="auto"/>
          <w:sz w:val="24"/>
          <w:highlight w:val="none"/>
          <w:lang w:val="en-US" w:eastAsia="zh-CN"/>
        </w:rPr>
        <w:t>或未按采购文件要求报价</w:t>
      </w:r>
      <w:r>
        <w:rPr>
          <w:rFonts w:hint="eastAsia" w:ascii="宋体" w:hAnsi="宋体" w:eastAsia="宋体" w:cs="宋体"/>
          <w:color w:val="auto"/>
          <w:sz w:val="24"/>
          <w:highlight w:val="none"/>
        </w:rPr>
        <w:t>时，投标将被拒绝。</w:t>
      </w:r>
    </w:p>
    <w:p w14:paraId="497B27BC">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27E1EFFE">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eastAsia="宋体" w:cs="宋体"/>
          <w:color w:val="auto"/>
          <w:sz w:val="24"/>
          <w:highlight w:val="none"/>
          <w:lang w:eastAsia="zh-CN"/>
        </w:rPr>
        <w:t>磋商有效期为</w:t>
      </w:r>
      <w:r>
        <w:rPr>
          <w:rFonts w:hint="eastAsia" w:ascii="宋体" w:hAnsi="宋体" w:eastAsia="宋体" w:cs="宋体"/>
          <w:color w:val="auto"/>
          <w:sz w:val="24"/>
          <w:highlight w:val="none"/>
          <w:u w:val="single"/>
          <w:lang w:val="en-US" w:eastAsia="zh-CN"/>
        </w:rPr>
        <w:t xml:space="preserve"> </w:t>
      </w:r>
      <w:r>
        <w:rPr>
          <w:rFonts w:hint="eastAsia" w:hAnsi="宋体" w:cs="宋体"/>
          <w:color w:val="auto"/>
          <w:sz w:val="24"/>
          <w:highlight w:val="none"/>
          <w:u w:val="single"/>
          <w:lang w:val="en-US" w:eastAsia="zh-CN"/>
        </w:rPr>
        <w:t>90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日（日历日），</w:t>
      </w:r>
      <w:r>
        <w:rPr>
          <w:rFonts w:hint="eastAsia" w:ascii="宋体" w:hAnsi="宋体" w:eastAsia="宋体" w:cs="宋体"/>
          <w:color w:val="auto"/>
          <w:sz w:val="24"/>
          <w:highlight w:val="none"/>
        </w:rPr>
        <w:t>如果在开标后规定的</w:t>
      </w:r>
      <w:r>
        <w:rPr>
          <w:rFonts w:hint="eastAsia" w:ascii="宋体" w:hAnsi="宋体" w:eastAsia="宋体" w:cs="宋体"/>
          <w:color w:val="auto"/>
          <w:sz w:val="24"/>
          <w:highlight w:val="none"/>
          <w:lang w:eastAsia="zh-CN"/>
        </w:rPr>
        <w:t>磋商有效期</w:t>
      </w:r>
      <w:r>
        <w:rPr>
          <w:rFonts w:hint="eastAsia" w:ascii="宋体" w:hAnsi="宋体" w:eastAsia="宋体" w:cs="宋体"/>
          <w:color w:val="auto"/>
          <w:sz w:val="24"/>
          <w:highlight w:val="none"/>
        </w:rPr>
        <w:t>内撤回投标，我方的</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可被贵方没收。</w:t>
      </w:r>
    </w:p>
    <w:p w14:paraId="70D5063B">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7E16D607">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7D383908">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文件，包括</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文件修改书（如有的话）、参考资料及有关附件，确认无误。</w:t>
      </w:r>
    </w:p>
    <w:p w14:paraId="4110AC64">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文件所列服务的，在不改变合同其他实质性条款的前提下，按相同或更优惠的折扣率保证</w:t>
      </w:r>
      <w:r>
        <w:rPr>
          <w:rFonts w:hint="eastAsia" w:ascii="宋体" w:hAnsi="宋体" w:eastAsia="宋体" w:cs="宋体"/>
          <w:color w:val="auto"/>
          <w:sz w:val="24"/>
          <w:highlight w:val="none"/>
          <w:lang w:val="en-US" w:eastAsia="zh-CN"/>
        </w:rPr>
        <w:t>提供服务</w:t>
      </w:r>
      <w:r>
        <w:rPr>
          <w:rFonts w:hint="eastAsia" w:ascii="宋体" w:hAnsi="宋体" w:eastAsia="宋体" w:cs="宋体"/>
          <w:color w:val="auto"/>
          <w:sz w:val="24"/>
          <w:highlight w:val="none"/>
        </w:rPr>
        <w:t>。</w:t>
      </w:r>
    </w:p>
    <w:p w14:paraId="61123F8B">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、我方承诺：接受</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文件中的全部条款且无任何异议，保证遵守</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文件的规定。</w:t>
      </w:r>
    </w:p>
    <w:p w14:paraId="7DCBDCBA">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87C193">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68D0220A">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22097537">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5E37FCCD">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186B2747">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20B04A48">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11D72F">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6E2733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4E3E890B">
      <w:pPr>
        <w:pStyle w:val="2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p w14:paraId="300E24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37DCBEB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CEF570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签名或盖章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0EBF9BC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0B18AD2">
      <w:pPr>
        <w:pStyle w:val="3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w:t>
      </w:r>
    </w:p>
    <w:p w14:paraId="5CB53E7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26A321D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2D969AB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327EFB5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01C0576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347F3BB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3C9EA58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1E6946C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p>
    <w:p w14:paraId="2327FC0B">
      <w:pPr>
        <w:rPr>
          <w:rFonts w:hint="eastAsia" w:ascii="宋体" w:hAnsi="宋体" w:eastAsia="宋体" w:cs="宋体"/>
          <w:color w:val="auto"/>
          <w:sz w:val="24"/>
          <w:szCs w:val="24"/>
          <w:highlight w:val="none"/>
          <w:lang w:eastAsia="zh-CN"/>
        </w:rPr>
      </w:pPr>
      <w:bookmarkStart w:id="472" w:name="_Toc217446088"/>
      <w:bookmarkStart w:id="473" w:name="_Toc27497"/>
      <w:bookmarkStart w:id="474" w:name="_Toc29934"/>
      <w:bookmarkStart w:id="475" w:name="_Toc17943"/>
      <w:bookmarkStart w:id="476" w:name="_Toc26956"/>
      <w:r>
        <w:rPr>
          <w:rFonts w:hint="eastAsia" w:ascii="宋体" w:hAnsi="宋体" w:eastAsia="宋体" w:cs="宋体"/>
          <w:color w:val="auto"/>
          <w:sz w:val="24"/>
          <w:szCs w:val="24"/>
          <w:highlight w:val="none"/>
          <w:lang w:eastAsia="zh-CN"/>
        </w:rPr>
        <w:br w:type="page"/>
      </w:r>
    </w:p>
    <w:p w14:paraId="01C74A1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（二）供应商基本情况表</w:t>
      </w:r>
      <w:bookmarkEnd w:id="472"/>
      <w:bookmarkEnd w:id="473"/>
      <w:bookmarkEnd w:id="474"/>
      <w:bookmarkEnd w:id="475"/>
      <w:bookmarkEnd w:id="47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7ADF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6E115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7828" w:type="dxa"/>
            <w:gridSpan w:val="6"/>
            <w:noWrap w:val="0"/>
            <w:vAlign w:val="center"/>
          </w:tcPr>
          <w:p w14:paraId="01EDDB8C">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 w:val="24"/>
                <w:szCs w:val="24"/>
                <w:highlight w:val="none"/>
              </w:rPr>
            </w:pPr>
          </w:p>
        </w:tc>
      </w:tr>
      <w:tr w14:paraId="34F2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4ED0B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2D21B3F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是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否</w:t>
            </w:r>
          </w:p>
        </w:tc>
      </w:tr>
      <w:tr w14:paraId="7E1D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E6F1B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6EB840E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 w:val="24"/>
                <w:szCs w:val="24"/>
                <w:highlight w:val="none"/>
              </w:rPr>
            </w:pPr>
          </w:p>
        </w:tc>
        <w:tc>
          <w:tcPr>
            <w:tcW w:w="1792" w:type="dxa"/>
            <w:noWrap w:val="0"/>
            <w:vAlign w:val="center"/>
          </w:tcPr>
          <w:p w14:paraId="09E310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090DD8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r>
      <w:tr w14:paraId="628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24CEC3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09B9B1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675146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3DB070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2782B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r>
      <w:tr w14:paraId="6B82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194EB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120" w:type="dxa"/>
            <w:noWrap w:val="0"/>
            <w:vAlign w:val="center"/>
          </w:tcPr>
          <w:p w14:paraId="6DAB8E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AB57A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78EC46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216B14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r>
      <w:tr w14:paraId="35FB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03F3F5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5482CE6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 w:val="24"/>
                <w:szCs w:val="24"/>
                <w:highlight w:val="none"/>
              </w:rPr>
            </w:pPr>
          </w:p>
        </w:tc>
      </w:tr>
      <w:tr w14:paraId="643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3DF45D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4918E6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ACA2D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noWrap w:val="0"/>
            <w:vAlign w:val="center"/>
          </w:tcPr>
          <w:p w14:paraId="110F76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FC56D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030" w:type="dxa"/>
            <w:noWrap w:val="0"/>
            <w:vAlign w:val="center"/>
          </w:tcPr>
          <w:p w14:paraId="1396C9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55EC9F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675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62E77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6F746A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2ED0C1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noWrap w:val="0"/>
            <w:vAlign w:val="center"/>
          </w:tcPr>
          <w:p w14:paraId="4671AB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1F06FE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030" w:type="dxa"/>
            <w:noWrap w:val="0"/>
            <w:vAlign w:val="center"/>
          </w:tcPr>
          <w:p w14:paraId="46D5EE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6E851A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561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07B172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565FB1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5516" w:type="dxa"/>
            <w:gridSpan w:val="4"/>
            <w:noWrap w:val="0"/>
            <w:vAlign w:val="center"/>
          </w:tcPr>
          <w:p w14:paraId="7D6568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674F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084E56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1FEF7D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vMerge w:val="restart"/>
            <w:noWrap w:val="0"/>
            <w:vAlign w:val="center"/>
          </w:tcPr>
          <w:p w14:paraId="6A9E29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053CCE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w:t>
            </w:r>
          </w:p>
        </w:tc>
        <w:tc>
          <w:tcPr>
            <w:tcW w:w="2418" w:type="dxa"/>
            <w:gridSpan w:val="2"/>
            <w:noWrap w:val="0"/>
            <w:vAlign w:val="center"/>
          </w:tcPr>
          <w:p w14:paraId="3244B9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59E0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0AE75B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419187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vMerge w:val="continue"/>
            <w:noWrap w:val="0"/>
            <w:vAlign w:val="center"/>
          </w:tcPr>
          <w:p w14:paraId="174DA6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0AA252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1DA08B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3A6B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DE28C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572F92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vMerge w:val="continue"/>
            <w:noWrap w:val="0"/>
            <w:vAlign w:val="center"/>
          </w:tcPr>
          <w:p w14:paraId="5C2CAC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414090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717AE5F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187C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7A5A6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2849B8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vMerge w:val="continue"/>
            <w:noWrap w:val="0"/>
            <w:vAlign w:val="center"/>
          </w:tcPr>
          <w:p w14:paraId="71096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71B7FE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528106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6482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19273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0B1011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306" w:type="dxa"/>
            <w:vMerge w:val="continue"/>
            <w:noWrap w:val="0"/>
            <w:vAlign w:val="center"/>
          </w:tcPr>
          <w:p w14:paraId="6D4ADB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p>
        </w:tc>
        <w:tc>
          <w:tcPr>
            <w:tcW w:w="1792" w:type="dxa"/>
            <w:noWrap w:val="0"/>
            <w:vAlign w:val="center"/>
          </w:tcPr>
          <w:p w14:paraId="0C7E44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7E8E81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4"/>
                <w:szCs w:val="24"/>
                <w:highlight w:val="none"/>
              </w:rPr>
            </w:pPr>
          </w:p>
        </w:tc>
      </w:tr>
      <w:tr w14:paraId="6552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121888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589A380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auto"/>
                <w:kern w:val="0"/>
                <w:sz w:val="24"/>
                <w:szCs w:val="24"/>
                <w:highlight w:val="none"/>
              </w:rPr>
            </w:pPr>
          </w:p>
        </w:tc>
      </w:tr>
      <w:tr w14:paraId="4088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520380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0EDAEA4E">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 w:val="24"/>
                <w:szCs w:val="24"/>
                <w:highlight w:val="none"/>
              </w:rPr>
            </w:pPr>
          </w:p>
        </w:tc>
      </w:tr>
    </w:tbl>
    <w:p w14:paraId="136F172D">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51D3D17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5A9A04B">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66BC973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526D859E">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71A57BE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eastAsia="宋体" w:cs="宋体"/>
          <w:b w:val="0"/>
          <w:bCs w:val="0"/>
          <w:color w:val="auto"/>
          <w:kern w:val="0"/>
          <w:sz w:val="24"/>
          <w:szCs w:val="24"/>
          <w:highlight w:val="none"/>
          <w:u w:val="single"/>
          <w:lang w:val="en-US" w:eastAsia="zh-CN"/>
        </w:rPr>
        <w:t xml:space="preserve">                   </w:t>
      </w:r>
    </w:p>
    <w:p w14:paraId="2B7C2CBA">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2A59051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7C53142">
      <w:pPr>
        <w:rPr>
          <w:rFonts w:hint="eastAsia" w:ascii="宋体" w:hAnsi="宋体" w:eastAsia="宋体" w:cs="宋体"/>
          <w:color w:val="auto"/>
          <w:sz w:val="24"/>
          <w:szCs w:val="24"/>
          <w:highlight w:val="none"/>
          <w:lang w:eastAsia="zh-CN"/>
        </w:rPr>
      </w:pPr>
      <w:bookmarkStart w:id="477" w:name="_Toc2128"/>
      <w:bookmarkStart w:id="478" w:name="_Toc2219"/>
      <w:bookmarkStart w:id="479" w:name="_Toc10050"/>
      <w:bookmarkStart w:id="480" w:name="_Toc6374"/>
      <w:r>
        <w:rPr>
          <w:rFonts w:hint="eastAsia" w:ascii="宋体" w:hAnsi="宋体" w:eastAsia="宋体" w:cs="宋体"/>
          <w:color w:val="auto"/>
          <w:sz w:val="24"/>
          <w:szCs w:val="24"/>
          <w:highlight w:val="none"/>
          <w:lang w:eastAsia="zh-CN"/>
        </w:rPr>
        <w:br w:type="page"/>
      </w:r>
    </w:p>
    <w:p w14:paraId="2699FC5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bookmarkEnd w:id="477"/>
      <w:r>
        <w:rPr>
          <w:rFonts w:hint="eastAsia" w:ascii="宋体" w:hAnsi="宋体" w:eastAsia="宋体" w:cs="宋体"/>
          <w:color w:val="auto"/>
          <w:sz w:val="24"/>
          <w:szCs w:val="24"/>
          <w:highlight w:val="none"/>
          <w:lang w:eastAsia="zh-CN"/>
        </w:rPr>
        <w:t>服务（技术）条款偏离表</w:t>
      </w:r>
      <w:bookmarkEnd w:id="478"/>
      <w:bookmarkEnd w:id="479"/>
      <w:bookmarkEnd w:id="480"/>
    </w:p>
    <w:p w14:paraId="37CF3710">
      <w:pPr>
        <w:spacing w:line="400" w:lineRule="atLeas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rPr>
        <w:t>：</w:t>
      </w:r>
    </w:p>
    <w:p w14:paraId="6B49B7E1">
      <w:pPr>
        <w:spacing w:line="400" w:lineRule="atLeas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27"/>
        <w:gridCol w:w="1722"/>
        <w:gridCol w:w="2044"/>
        <w:gridCol w:w="1242"/>
        <w:gridCol w:w="1075"/>
        <w:gridCol w:w="1180"/>
      </w:tblGrid>
      <w:tr w14:paraId="7BDD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1" w:hRule="atLeast"/>
          <w:jc w:val="center"/>
        </w:trPr>
        <w:tc>
          <w:tcPr>
            <w:tcW w:w="745" w:type="dxa"/>
            <w:noWrap w:val="0"/>
            <w:vAlign w:val="center"/>
          </w:tcPr>
          <w:p w14:paraId="50126C1E">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27" w:type="dxa"/>
            <w:noWrap w:val="0"/>
            <w:vAlign w:val="center"/>
          </w:tcPr>
          <w:p w14:paraId="2E937368">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服务要求</w:t>
            </w:r>
            <w:r>
              <w:rPr>
                <w:rFonts w:hint="eastAsia" w:ascii="宋体" w:hAnsi="宋体" w:eastAsia="宋体" w:cs="宋体"/>
                <w:color w:val="auto"/>
                <w:sz w:val="24"/>
                <w:highlight w:val="none"/>
                <w:lang w:eastAsia="zh-CN"/>
              </w:rPr>
              <w:t>条目号</w:t>
            </w:r>
          </w:p>
        </w:tc>
        <w:tc>
          <w:tcPr>
            <w:tcW w:w="1722" w:type="dxa"/>
            <w:noWrap w:val="0"/>
            <w:vAlign w:val="center"/>
          </w:tcPr>
          <w:p w14:paraId="47A21694">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文件要求</w:t>
            </w:r>
          </w:p>
        </w:tc>
        <w:tc>
          <w:tcPr>
            <w:tcW w:w="2044" w:type="dxa"/>
            <w:noWrap w:val="0"/>
            <w:vAlign w:val="center"/>
          </w:tcPr>
          <w:p w14:paraId="45644911">
            <w:pPr>
              <w:spacing w:line="40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投标响应情况</w:t>
            </w:r>
          </w:p>
        </w:tc>
        <w:tc>
          <w:tcPr>
            <w:tcW w:w="1242" w:type="dxa"/>
            <w:noWrap w:val="0"/>
            <w:vAlign w:val="center"/>
          </w:tcPr>
          <w:p w14:paraId="69A1DD6F">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75" w:type="dxa"/>
            <w:noWrap w:val="0"/>
            <w:vAlign w:val="center"/>
          </w:tcPr>
          <w:p w14:paraId="52C0A54C">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c>
          <w:tcPr>
            <w:tcW w:w="1180" w:type="dxa"/>
            <w:noWrap w:val="0"/>
            <w:vAlign w:val="center"/>
          </w:tcPr>
          <w:p w14:paraId="17B8CFB5">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对应页码</w:t>
            </w:r>
          </w:p>
        </w:tc>
      </w:tr>
      <w:tr w14:paraId="4D7D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14:paraId="473C5246">
            <w:pPr>
              <w:spacing w:line="400" w:lineRule="atLeast"/>
              <w:jc w:val="center"/>
              <w:rPr>
                <w:rFonts w:hint="eastAsia" w:ascii="宋体" w:hAnsi="宋体" w:eastAsia="宋体" w:cs="宋体"/>
                <w:color w:val="auto"/>
                <w:sz w:val="24"/>
                <w:highlight w:val="none"/>
              </w:rPr>
            </w:pPr>
          </w:p>
        </w:tc>
        <w:tc>
          <w:tcPr>
            <w:tcW w:w="1527" w:type="dxa"/>
            <w:noWrap w:val="0"/>
            <w:vAlign w:val="top"/>
          </w:tcPr>
          <w:p w14:paraId="1B92CABD">
            <w:pPr>
              <w:spacing w:line="400" w:lineRule="atLeast"/>
              <w:jc w:val="center"/>
              <w:rPr>
                <w:rFonts w:hint="eastAsia" w:ascii="宋体" w:hAnsi="宋体" w:eastAsia="宋体" w:cs="宋体"/>
                <w:color w:val="auto"/>
                <w:sz w:val="24"/>
                <w:highlight w:val="none"/>
              </w:rPr>
            </w:pPr>
          </w:p>
        </w:tc>
        <w:tc>
          <w:tcPr>
            <w:tcW w:w="1722" w:type="dxa"/>
            <w:noWrap w:val="0"/>
            <w:vAlign w:val="top"/>
          </w:tcPr>
          <w:p w14:paraId="4820688D">
            <w:pPr>
              <w:spacing w:line="400" w:lineRule="atLeast"/>
              <w:jc w:val="center"/>
              <w:rPr>
                <w:rFonts w:hint="eastAsia" w:ascii="宋体" w:hAnsi="宋体" w:eastAsia="宋体" w:cs="宋体"/>
                <w:color w:val="auto"/>
                <w:sz w:val="24"/>
                <w:highlight w:val="none"/>
              </w:rPr>
            </w:pPr>
          </w:p>
        </w:tc>
        <w:tc>
          <w:tcPr>
            <w:tcW w:w="2044" w:type="dxa"/>
            <w:noWrap w:val="0"/>
            <w:vAlign w:val="top"/>
          </w:tcPr>
          <w:p w14:paraId="5122B2E6">
            <w:pPr>
              <w:spacing w:line="400" w:lineRule="atLeast"/>
              <w:jc w:val="center"/>
              <w:rPr>
                <w:rFonts w:hint="eastAsia" w:ascii="宋体" w:hAnsi="宋体" w:eastAsia="宋体" w:cs="宋体"/>
                <w:color w:val="auto"/>
                <w:sz w:val="24"/>
                <w:highlight w:val="none"/>
              </w:rPr>
            </w:pPr>
          </w:p>
        </w:tc>
        <w:tc>
          <w:tcPr>
            <w:tcW w:w="1242" w:type="dxa"/>
            <w:noWrap w:val="0"/>
            <w:vAlign w:val="top"/>
          </w:tcPr>
          <w:p w14:paraId="71A7F818">
            <w:pPr>
              <w:spacing w:line="400" w:lineRule="atLeast"/>
              <w:jc w:val="center"/>
              <w:rPr>
                <w:rFonts w:hint="eastAsia" w:ascii="宋体" w:hAnsi="宋体" w:eastAsia="宋体" w:cs="宋体"/>
                <w:color w:val="auto"/>
                <w:sz w:val="24"/>
                <w:highlight w:val="none"/>
              </w:rPr>
            </w:pPr>
          </w:p>
        </w:tc>
        <w:tc>
          <w:tcPr>
            <w:tcW w:w="1075" w:type="dxa"/>
            <w:noWrap w:val="0"/>
            <w:vAlign w:val="top"/>
          </w:tcPr>
          <w:p w14:paraId="48D61B48">
            <w:pPr>
              <w:spacing w:line="400" w:lineRule="atLeast"/>
              <w:jc w:val="center"/>
              <w:rPr>
                <w:rFonts w:hint="eastAsia" w:ascii="宋体" w:hAnsi="宋体" w:eastAsia="宋体" w:cs="宋体"/>
                <w:color w:val="auto"/>
                <w:sz w:val="24"/>
                <w:highlight w:val="none"/>
              </w:rPr>
            </w:pPr>
          </w:p>
        </w:tc>
        <w:tc>
          <w:tcPr>
            <w:tcW w:w="1180" w:type="dxa"/>
            <w:noWrap w:val="0"/>
            <w:vAlign w:val="top"/>
          </w:tcPr>
          <w:p w14:paraId="0E4F5267">
            <w:pPr>
              <w:spacing w:line="400" w:lineRule="atLeast"/>
              <w:jc w:val="center"/>
              <w:rPr>
                <w:rFonts w:hint="eastAsia" w:ascii="宋体" w:hAnsi="宋体" w:eastAsia="宋体" w:cs="宋体"/>
                <w:color w:val="auto"/>
                <w:sz w:val="24"/>
                <w:highlight w:val="none"/>
              </w:rPr>
            </w:pPr>
          </w:p>
        </w:tc>
      </w:tr>
      <w:tr w14:paraId="5D3F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5" w:type="dxa"/>
            <w:noWrap w:val="0"/>
            <w:vAlign w:val="top"/>
          </w:tcPr>
          <w:p w14:paraId="07BDBB2A">
            <w:pPr>
              <w:spacing w:line="400" w:lineRule="atLeast"/>
              <w:jc w:val="center"/>
              <w:rPr>
                <w:rFonts w:hint="eastAsia" w:ascii="宋体" w:hAnsi="宋体" w:eastAsia="宋体" w:cs="宋体"/>
                <w:color w:val="auto"/>
                <w:sz w:val="24"/>
                <w:highlight w:val="none"/>
              </w:rPr>
            </w:pPr>
          </w:p>
        </w:tc>
        <w:tc>
          <w:tcPr>
            <w:tcW w:w="1527" w:type="dxa"/>
            <w:noWrap w:val="0"/>
            <w:vAlign w:val="top"/>
          </w:tcPr>
          <w:p w14:paraId="38FE1CE4">
            <w:pPr>
              <w:spacing w:line="400" w:lineRule="atLeast"/>
              <w:jc w:val="center"/>
              <w:rPr>
                <w:rFonts w:hint="eastAsia" w:ascii="宋体" w:hAnsi="宋体" w:eastAsia="宋体" w:cs="宋体"/>
                <w:color w:val="auto"/>
                <w:sz w:val="24"/>
                <w:highlight w:val="none"/>
              </w:rPr>
            </w:pPr>
          </w:p>
        </w:tc>
        <w:tc>
          <w:tcPr>
            <w:tcW w:w="1722" w:type="dxa"/>
            <w:noWrap w:val="0"/>
            <w:vAlign w:val="top"/>
          </w:tcPr>
          <w:p w14:paraId="69CED7AA">
            <w:pPr>
              <w:spacing w:line="400" w:lineRule="atLeast"/>
              <w:jc w:val="center"/>
              <w:rPr>
                <w:rFonts w:hint="eastAsia" w:ascii="宋体" w:hAnsi="宋体" w:eastAsia="宋体" w:cs="宋体"/>
                <w:color w:val="auto"/>
                <w:sz w:val="24"/>
                <w:highlight w:val="none"/>
              </w:rPr>
            </w:pPr>
          </w:p>
        </w:tc>
        <w:tc>
          <w:tcPr>
            <w:tcW w:w="2044" w:type="dxa"/>
            <w:noWrap w:val="0"/>
            <w:vAlign w:val="top"/>
          </w:tcPr>
          <w:p w14:paraId="193A2E5F">
            <w:pPr>
              <w:spacing w:line="400" w:lineRule="atLeast"/>
              <w:jc w:val="center"/>
              <w:rPr>
                <w:rFonts w:hint="eastAsia" w:ascii="宋体" w:hAnsi="宋体" w:eastAsia="宋体" w:cs="宋体"/>
                <w:color w:val="auto"/>
                <w:sz w:val="24"/>
                <w:highlight w:val="none"/>
              </w:rPr>
            </w:pPr>
          </w:p>
        </w:tc>
        <w:tc>
          <w:tcPr>
            <w:tcW w:w="1242" w:type="dxa"/>
            <w:noWrap w:val="0"/>
            <w:vAlign w:val="top"/>
          </w:tcPr>
          <w:p w14:paraId="4E02C65F">
            <w:pPr>
              <w:spacing w:line="400" w:lineRule="atLeast"/>
              <w:jc w:val="center"/>
              <w:rPr>
                <w:rFonts w:hint="eastAsia" w:ascii="宋体" w:hAnsi="宋体" w:eastAsia="宋体" w:cs="宋体"/>
                <w:color w:val="auto"/>
                <w:sz w:val="24"/>
                <w:highlight w:val="none"/>
              </w:rPr>
            </w:pPr>
          </w:p>
        </w:tc>
        <w:tc>
          <w:tcPr>
            <w:tcW w:w="1075" w:type="dxa"/>
            <w:noWrap w:val="0"/>
            <w:vAlign w:val="top"/>
          </w:tcPr>
          <w:p w14:paraId="36E38EF2">
            <w:pPr>
              <w:spacing w:line="400" w:lineRule="atLeast"/>
              <w:jc w:val="center"/>
              <w:rPr>
                <w:rFonts w:hint="eastAsia" w:ascii="宋体" w:hAnsi="宋体" w:eastAsia="宋体" w:cs="宋体"/>
                <w:color w:val="auto"/>
                <w:sz w:val="24"/>
                <w:highlight w:val="none"/>
              </w:rPr>
            </w:pPr>
          </w:p>
        </w:tc>
        <w:tc>
          <w:tcPr>
            <w:tcW w:w="1180" w:type="dxa"/>
            <w:noWrap w:val="0"/>
            <w:vAlign w:val="top"/>
          </w:tcPr>
          <w:p w14:paraId="1DB86B4E">
            <w:pPr>
              <w:spacing w:line="400" w:lineRule="atLeast"/>
              <w:jc w:val="center"/>
              <w:rPr>
                <w:rFonts w:hint="eastAsia" w:ascii="宋体" w:hAnsi="宋体" w:eastAsia="宋体" w:cs="宋体"/>
                <w:color w:val="auto"/>
                <w:sz w:val="24"/>
                <w:highlight w:val="none"/>
              </w:rPr>
            </w:pPr>
          </w:p>
        </w:tc>
      </w:tr>
      <w:tr w14:paraId="72AF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14:paraId="291E7C04">
            <w:pPr>
              <w:spacing w:line="400" w:lineRule="atLeast"/>
              <w:jc w:val="center"/>
              <w:rPr>
                <w:rFonts w:hint="eastAsia" w:ascii="宋体" w:hAnsi="宋体" w:eastAsia="宋体" w:cs="宋体"/>
                <w:color w:val="auto"/>
                <w:sz w:val="24"/>
                <w:highlight w:val="none"/>
              </w:rPr>
            </w:pPr>
          </w:p>
        </w:tc>
        <w:tc>
          <w:tcPr>
            <w:tcW w:w="1527" w:type="dxa"/>
            <w:noWrap w:val="0"/>
            <w:vAlign w:val="top"/>
          </w:tcPr>
          <w:p w14:paraId="76422150">
            <w:pPr>
              <w:spacing w:line="400" w:lineRule="atLeast"/>
              <w:jc w:val="center"/>
              <w:rPr>
                <w:rFonts w:hint="eastAsia" w:ascii="宋体" w:hAnsi="宋体" w:eastAsia="宋体" w:cs="宋体"/>
                <w:color w:val="auto"/>
                <w:sz w:val="24"/>
                <w:highlight w:val="none"/>
              </w:rPr>
            </w:pPr>
          </w:p>
        </w:tc>
        <w:tc>
          <w:tcPr>
            <w:tcW w:w="1722" w:type="dxa"/>
            <w:noWrap w:val="0"/>
            <w:vAlign w:val="top"/>
          </w:tcPr>
          <w:p w14:paraId="5631BF1B">
            <w:pPr>
              <w:spacing w:line="400" w:lineRule="atLeast"/>
              <w:jc w:val="center"/>
              <w:rPr>
                <w:rFonts w:hint="eastAsia" w:ascii="宋体" w:hAnsi="宋体" w:eastAsia="宋体" w:cs="宋体"/>
                <w:color w:val="auto"/>
                <w:sz w:val="24"/>
                <w:highlight w:val="none"/>
              </w:rPr>
            </w:pPr>
          </w:p>
        </w:tc>
        <w:tc>
          <w:tcPr>
            <w:tcW w:w="2044" w:type="dxa"/>
            <w:noWrap w:val="0"/>
            <w:vAlign w:val="top"/>
          </w:tcPr>
          <w:p w14:paraId="5BB3C547">
            <w:pPr>
              <w:spacing w:line="400" w:lineRule="atLeast"/>
              <w:jc w:val="center"/>
              <w:rPr>
                <w:rFonts w:hint="eastAsia" w:ascii="宋体" w:hAnsi="宋体" w:eastAsia="宋体" w:cs="宋体"/>
                <w:color w:val="auto"/>
                <w:sz w:val="24"/>
                <w:highlight w:val="none"/>
              </w:rPr>
            </w:pPr>
          </w:p>
        </w:tc>
        <w:tc>
          <w:tcPr>
            <w:tcW w:w="1242" w:type="dxa"/>
            <w:noWrap w:val="0"/>
            <w:vAlign w:val="top"/>
          </w:tcPr>
          <w:p w14:paraId="7D035086">
            <w:pPr>
              <w:spacing w:line="400" w:lineRule="atLeast"/>
              <w:jc w:val="center"/>
              <w:rPr>
                <w:rFonts w:hint="eastAsia" w:ascii="宋体" w:hAnsi="宋体" w:eastAsia="宋体" w:cs="宋体"/>
                <w:color w:val="auto"/>
                <w:sz w:val="24"/>
                <w:highlight w:val="none"/>
              </w:rPr>
            </w:pPr>
          </w:p>
        </w:tc>
        <w:tc>
          <w:tcPr>
            <w:tcW w:w="1075" w:type="dxa"/>
            <w:noWrap w:val="0"/>
            <w:vAlign w:val="top"/>
          </w:tcPr>
          <w:p w14:paraId="748AADD7">
            <w:pPr>
              <w:spacing w:line="400" w:lineRule="atLeast"/>
              <w:jc w:val="center"/>
              <w:rPr>
                <w:rFonts w:hint="eastAsia" w:ascii="宋体" w:hAnsi="宋体" w:eastAsia="宋体" w:cs="宋体"/>
                <w:color w:val="auto"/>
                <w:sz w:val="24"/>
                <w:highlight w:val="none"/>
              </w:rPr>
            </w:pPr>
          </w:p>
        </w:tc>
        <w:tc>
          <w:tcPr>
            <w:tcW w:w="1180" w:type="dxa"/>
            <w:noWrap w:val="0"/>
            <w:vAlign w:val="top"/>
          </w:tcPr>
          <w:p w14:paraId="249D5031">
            <w:pPr>
              <w:spacing w:line="400" w:lineRule="atLeast"/>
              <w:jc w:val="center"/>
              <w:rPr>
                <w:rFonts w:hint="eastAsia" w:ascii="宋体" w:hAnsi="宋体" w:eastAsia="宋体" w:cs="宋体"/>
                <w:color w:val="auto"/>
                <w:sz w:val="24"/>
                <w:highlight w:val="none"/>
              </w:rPr>
            </w:pPr>
          </w:p>
        </w:tc>
      </w:tr>
      <w:tr w14:paraId="4D38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14:paraId="6C0912EB">
            <w:pPr>
              <w:spacing w:line="400" w:lineRule="atLeast"/>
              <w:jc w:val="center"/>
              <w:rPr>
                <w:rFonts w:hint="eastAsia" w:ascii="宋体" w:hAnsi="宋体" w:eastAsia="宋体" w:cs="宋体"/>
                <w:color w:val="auto"/>
                <w:sz w:val="24"/>
                <w:highlight w:val="none"/>
              </w:rPr>
            </w:pPr>
          </w:p>
        </w:tc>
        <w:tc>
          <w:tcPr>
            <w:tcW w:w="1527" w:type="dxa"/>
            <w:noWrap w:val="0"/>
            <w:vAlign w:val="top"/>
          </w:tcPr>
          <w:p w14:paraId="7D5D3AF7">
            <w:pPr>
              <w:spacing w:line="400" w:lineRule="atLeast"/>
              <w:jc w:val="center"/>
              <w:rPr>
                <w:rFonts w:hint="eastAsia" w:ascii="宋体" w:hAnsi="宋体" w:eastAsia="宋体" w:cs="宋体"/>
                <w:color w:val="auto"/>
                <w:sz w:val="24"/>
                <w:highlight w:val="none"/>
              </w:rPr>
            </w:pPr>
          </w:p>
        </w:tc>
        <w:tc>
          <w:tcPr>
            <w:tcW w:w="1722" w:type="dxa"/>
            <w:noWrap w:val="0"/>
            <w:vAlign w:val="top"/>
          </w:tcPr>
          <w:p w14:paraId="17A42701">
            <w:pPr>
              <w:spacing w:line="400" w:lineRule="atLeast"/>
              <w:jc w:val="center"/>
              <w:rPr>
                <w:rFonts w:hint="eastAsia" w:ascii="宋体" w:hAnsi="宋体" w:eastAsia="宋体" w:cs="宋体"/>
                <w:color w:val="auto"/>
                <w:sz w:val="24"/>
                <w:highlight w:val="none"/>
              </w:rPr>
            </w:pPr>
          </w:p>
        </w:tc>
        <w:tc>
          <w:tcPr>
            <w:tcW w:w="2044" w:type="dxa"/>
            <w:noWrap w:val="0"/>
            <w:vAlign w:val="top"/>
          </w:tcPr>
          <w:p w14:paraId="735DC7A1">
            <w:pPr>
              <w:spacing w:line="400" w:lineRule="atLeast"/>
              <w:jc w:val="center"/>
              <w:rPr>
                <w:rFonts w:hint="eastAsia" w:ascii="宋体" w:hAnsi="宋体" w:eastAsia="宋体" w:cs="宋体"/>
                <w:color w:val="auto"/>
                <w:sz w:val="24"/>
                <w:highlight w:val="none"/>
              </w:rPr>
            </w:pPr>
          </w:p>
        </w:tc>
        <w:tc>
          <w:tcPr>
            <w:tcW w:w="1242" w:type="dxa"/>
            <w:noWrap w:val="0"/>
            <w:vAlign w:val="top"/>
          </w:tcPr>
          <w:p w14:paraId="62C09710">
            <w:pPr>
              <w:spacing w:line="400" w:lineRule="atLeast"/>
              <w:jc w:val="center"/>
              <w:rPr>
                <w:rFonts w:hint="eastAsia" w:ascii="宋体" w:hAnsi="宋体" w:eastAsia="宋体" w:cs="宋体"/>
                <w:color w:val="auto"/>
                <w:sz w:val="24"/>
                <w:highlight w:val="none"/>
              </w:rPr>
            </w:pPr>
          </w:p>
        </w:tc>
        <w:tc>
          <w:tcPr>
            <w:tcW w:w="1075" w:type="dxa"/>
            <w:noWrap w:val="0"/>
            <w:vAlign w:val="top"/>
          </w:tcPr>
          <w:p w14:paraId="7C99375F">
            <w:pPr>
              <w:spacing w:line="400" w:lineRule="atLeast"/>
              <w:jc w:val="center"/>
              <w:rPr>
                <w:rFonts w:hint="eastAsia" w:ascii="宋体" w:hAnsi="宋体" w:eastAsia="宋体" w:cs="宋体"/>
                <w:color w:val="auto"/>
                <w:sz w:val="24"/>
                <w:highlight w:val="none"/>
              </w:rPr>
            </w:pPr>
          </w:p>
        </w:tc>
        <w:tc>
          <w:tcPr>
            <w:tcW w:w="1180" w:type="dxa"/>
            <w:noWrap w:val="0"/>
            <w:vAlign w:val="top"/>
          </w:tcPr>
          <w:p w14:paraId="424122A9">
            <w:pPr>
              <w:spacing w:line="400" w:lineRule="atLeast"/>
              <w:jc w:val="center"/>
              <w:rPr>
                <w:rFonts w:hint="eastAsia" w:ascii="宋体" w:hAnsi="宋体" w:eastAsia="宋体" w:cs="宋体"/>
                <w:color w:val="auto"/>
                <w:sz w:val="24"/>
                <w:highlight w:val="none"/>
              </w:rPr>
            </w:pPr>
          </w:p>
        </w:tc>
      </w:tr>
      <w:tr w14:paraId="2F38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50C3C215">
            <w:pPr>
              <w:spacing w:line="400" w:lineRule="atLeast"/>
              <w:jc w:val="center"/>
              <w:rPr>
                <w:rFonts w:hint="eastAsia" w:ascii="宋体" w:hAnsi="宋体" w:eastAsia="宋体" w:cs="宋体"/>
                <w:color w:val="auto"/>
                <w:sz w:val="24"/>
                <w:highlight w:val="none"/>
              </w:rPr>
            </w:pPr>
          </w:p>
        </w:tc>
        <w:tc>
          <w:tcPr>
            <w:tcW w:w="1527" w:type="dxa"/>
            <w:noWrap w:val="0"/>
            <w:vAlign w:val="top"/>
          </w:tcPr>
          <w:p w14:paraId="7073512C">
            <w:pPr>
              <w:spacing w:line="400" w:lineRule="atLeast"/>
              <w:jc w:val="center"/>
              <w:rPr>
                <w:rFonts w:hint="eastAsia" w:ascii="宋体" w:hAnsi="宋体" w:eastAsia="宋体" w:cs="宋体"/>
                <w:color w:val="auto"/>
                <w:sz w:val="24"/>
                <w:highlight w:val="none"/>
              </w:rPr>
            </w:pPr>
          </w:p>
        </w:tc>
        <w:tc>
          <w:tcPr>
            <w:tcW w:w="1722" w:type="dxa"/>
            <w:noWrap w:val="0"/>
            <w:vAlign w:val="top"/>
          </w:tcPr>
          <w:p w14:paraId="2304B457">
            <w:pPr>
              <w:spacing w:line="400" w:lineRule="atLeast"/>
              <w:jc w:val="center"/>
              <w:rPr>
                <w:rFonts w:hint="eastAsia" w:ascii="宋体" w:hAnsi="宋体" w:eastAsia="宋体" w:cs="宋体"/>
                <w:color w:val="auto"/>
                <w:sz w:val="24"/>
                <w:highlight w:val="none"/>
              </w:rPr>
            </w:pPr>
          </w:p>
        </w:tc>
        <w:tc>
          <w:tcPr>
            <w:tcW w:w="2044" w:type="dxa"/>
            <w:noWrap w:val="0"/>
            <w:vAlign w:val="top"/>
          </w:tcPr>
          <w:p w14:paraId="4C544C14">
            <w:pPr>
              <w:spacing w:line="400" w:lineRule="atLeast"/>
              <w:jc w:val="center"/>
              <w:rPr>
                <w:rFonts w:hint="eastAsia" w:ascii="宋体" w:hAnsi="宋体" w:eastAsia="宋体" w:cs="宋体"/>
                <w:color w:val="auto"/>
                <w:sz w:val="24"/>
                <w:highlight w:val="none"/>
              </w:rPr>
            </w:pPr>
          </w:p>
        </w:tc>
        <w:tc>
          <w:tcPr>
            <w:tcW w:w="1242" w:type="dxa"/>
            <w:noWrap w:val="0"/>
            <w:vAlign w:val="top"/>
          </w:tcPr>
          <w:p w14:paraId="08A94AB2">
            <w:pPr>
              <w:spacing w:line="400" w:lineRule="atLeast"/>
              <w:jc w:val="center"/>
              <w:rPr>
                <w:rFonts w:hint="eastAsia" w:ascii="宋体" w:hAnsi="宋体" w:eastAsia="宋体" w:cs="宋体"/>
                <w:color w:val="auto"/>
                <w:sz w:val="24"/>
                <w:highlight w:val="none"/>
              </w:rPr>
            </w:pPr>
          </w:p>
        </w:tc>
        <w:tc>
          <w:tcPr>
            <w:tcW w:w="1075" w:type="dxa"/>
            <w:noWrap w:val="0"/>
            <w:vAlign w:val="top"/>
          </w:tcPr>
          <w:p w14:paraId="39780150">
            <w:pPr>
              <w:spacing w:line="400" w:lineRule="atLeast"/>
              <w:jc w:val="center"/>
              <w:rPr>
                <w:rFonts w:hint="eastAsia" w:ascii="宋体" w:hAnsi="宋体" w:eastAsia="宋体" w:cs="宋体"/>
                <w:color w:val="auto"/>
                <w:sz w:val="24"/>
                <w:highlight w:val="none"/>
              </w:rPr>
            </w:pPr>
          </w:p>
        </w:tc>
        <w:tc>
          <w:tcPr>
            <w:tcW w:w="1180" w:type="dxa"/>
            <w:noWrap w:val="0"/>
            <w:vAlign w:val="top"/>
          </w:tcPr>
          <w:p w14:paraId="7C7C3576">
            <w:pPr>
              <w:spacing w:line="400" w:lineRule="atLeast"/>
              <w:jc w:val="center"/>
              <w:rPr>
                <w:rFonts w:hint="eastAsia" w:ascii="宋体" w:hAnsi="宋体" w:eastAsia="宋体" w:cs="宋体"/>
                <w:color w:val="auto"/>
                <w:sz w:val="24"/>
                <w:highlight w:val="none"/>
              </w:rPr>
            </w:pPr>
          </w:p>
        </w:tc>
      </w:tr>
      <w:tr w14:paraId="2537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0B2A2765">
            <w:pPr>
              <w:spacing w:line="400" w:lineRule="atLeast"/>
              <w:jc w:val="center"/>
              <w:rPr>
                <w:rFonts w:hint="eastAsia" w:ascii="宋体" w:hAnsi="宋体" w:eastAsia="宋体" w:cs="宋体"/>
                <w:color w:val="auto"/>
                <w:sz w:val="24"/>
                <w:highlight w:val="none"/>
              </w:rPr>
            </w:pPr>
          </w:p>
        </w:tc>
        <w:tc>
          <w:tcPr>
            <w:tcW w:w="1527" w:type="dxa"/>
            <w:noWrap w:val="0"/>
            <w:vAlign w:val="top"/>
          </w:tcPr>
          <w:p w14:paraId="3597B16C">
            <w:pPr>
              <w:spacing w:line="400" w:lineRule="atLeast"/>
              <w:jc w:val="center"/>
              <w:rPr>
                <w:rFonts w:hint="eastAsia" w:ascii="宋体" w:hAnsi="宋体" w:eastAsia="宋体" w:cs="宋体"/>
                <w:color w:val="auto"/>
                <w:sz w:val="24"/>
                <w:highlight w:val="none"/>
              </w:rPr>
            </w:pPr>
          </w:p>
        </w:tc>
        <w:tc>
          <w:tcPr>
            <w:tcW w:w="1722" w:type="dxa"/>
            <w:noWrap w:val="0"/>
            <w:vAlign w:val="top"/>
          </w:tcPr>
          <w:p w14:paraId="4F9E2A0B">
            <w:pPr>
              <w:spacing w:line="400" w:lineRule="atLeast"/>
              <w:jc w:val="center"/>
              <w:rPr>
                <w:rFonts w:hint="eastAsia" w:ascii="宋体" w:hAnsi="宋体" w:eastAsia="宋体" w:cs="宋体"/>
                <w:color w:val="auto"/>
                <w:sz w:val="24"/>
                <w:highlight w:val="none"/>
              </w:rPr>
            </w:pPr>
          </w:p>
        </w:tc>
        <w:tc>
          <w:tcPr>
            <w:tcW w:w="2044" w:type="dxa"/>
            <w:noWrap w:val="0"/>
            <w:vAlign w:val="top"/>
          </w:tcPr>
          <w:p w14:paraId="39FC4343">
            <w:pPr>
              <w:spacing w:line="400" w:lineRule="atLeast"/>
              <w:jc w:val="center"/>
              <w:rPr>
                <w:rFonts w:hint="eastAsia" w:ascii="宋体" w:hAnsi="宋体" w:eastAsia="宋体" w:cs="宋体"/>
                <w:color w:val="auto"/>
                <w:sz w:val="24"/>
                <w:highlight w:val="none"/>
              </w:rPr>
            </w:pPr>
          </w:p>
        </w:tc>
        <w:tc>
          <w:tcPr>
            <w:tcW w:w="1242" w:type="dxa"/>
            <w:noWrap w:val="0"/>
            <w:vAlign w:val="top"/>
          </w:tcPr>
          <w:p w14:paraId="4FCDD7DB">
            <w:pPr>
              <w:spacing w:line="400" w:lineRule="atLeast"/>
              <w:jc w:val="center"/>
              <w:rPr>
                <w:rFonts w:hint="eastAsia" w:ascii="宋体" w:hAnsi="宋体" w:eastAsia="宋体" w:cs="宋体"/>
                <w:color w:val="auto"/>
                <w:sz w:val="24"/>
                <w:highlight w:val="none"/>
              </w:rPr>
            </w:pPr>
          </w:p>
        </w:tc>
        <w:tc>
          <w:tcPr>
            <w:tcW w:w="1075" w:type="dxa"/>
            <w:noWrap w:val="0"/>
            <w:vAlign w:val="top"/>
          </w:tcPr>
          <w:p w14:paraId="6AECA865">
            <w:pPr>
              <w:spacing w:line="400" w:lineRule="atLeast"/>
              <w:jc w:val="center"/>
              <w:rPr>
                <w:rFonts w:hint="eastAsia" w:ascii="宋体" w:hAnsi="宋体" w:eastAsia="宋体" w:cs="宋体"/>
                <w:color w:val="auto"/>
                <w:sz w:val="24"/>
                <w:highlight w:val="none"/>
              </w:rPr>
            </w:pPr>
          </w:p>
        </w:tc>
        <w:tc>
          <w:tcPr>
            <w:tcW w:w="1180" w:type="dxa"/>
            <w:noWrap w:val="0"/>
            <w:vAlign w:val="top"/>
          </w:tcPr>
          <w:p w14:paraId="2D02904E">
            <w:pPr>
              <w:spacing w:line="400" w:lineRule="atLeast"/>
              <w:jc w:val="center"/>
              <w:rPr>
                <w:rFonts w:hint="eastAsia" w:ascii="宋体" w:hAnsi="宋体" w:eastAsia="宋体" w:cs="宋体"/>
                <w:color w:val="auto"/>
                <w:sz w:val="24"/>
                <w:highlight w:val="none"/>
              </w:rPr>
            </w:pPr>
          </w:p>
        </w:tc>
      </w:tr>
      <w:tr w14:paraId="118E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3D5FAAC9">
            <w:pPr>
              <w:spacing w:line="400" w:lineRule="atLeast"/>
              <w:jc w:val="center"/>
              <w:rPr>
                <w:rFonts w:hint="eastAsia" w:ascii="宋体" w:hAnsi="宋体" w:eastAsia="宋体" w:cs="宋体"/>
                <w:color w:val="auto"/>
                <w:sz w:val="24"/>
                <w:highlight w:val="none"/>
              </w:rPr>
            </w:pPr>
          </w:p>
        </w:tc>
        <w:tc>
          <w:tcPr>
            <w:tcW w:w="1527" w:type="dxa"/>
            <w:noWrap w:val="0"/>
            <w:vAlign w:val="top"/>
          </w:tcPr>
          <w:p w14:paraId="28052FF5">
            <w:pPr>
              <w:spacing w:line="400" w:lineRule="atLeast"/>
              <w:jc w:val="center"/>
              <w:rPr>
                <w:rFonts w:hint="eastAsia" w:ascii="宋体" w:hAnsi="宋体" w:eastAsia="宋体" w:cs="宋体"/>
                <w:color w:val="auto"/>
                <w:sz w:val="24"/>
                <w:highlight w:val="none"/>
              </w:rPr>
            </w:pPr>
          </w:p>
        </w:tc>
        <w:tc>
          <w:tcPr>
            <w:tcW w:w="1722" w:type="dxa"/>
            <w:noWrap w:val="0"/>
            <w:vAlign w:val="top"/>
          </w:tcPr>
          <w:p w14:paraId="6E67ABC0">
            <w:pPr>
              <w:spacing w:line="400" w:lineRule="atLeast"/>
              <w:jc w:val="center"/>
              <w:rPr>
                <w:rFonts w:hint="eastAsia" w:ascii="宋体" w:hAnsi="宋体" w:eastAsia="宋体" w:cs="宋体"/>
                <w:color w:val="auto"/>
                <w:sz w:val="24"/>
                <w:highlight w:val="none"/>
              </w:rPr>
            </w:pPr>
          </w:p>
        </w:tc>
        <w:tc>
          <w:tcPr>
            <w:tcW w:w="2044" w:type="dxa"/>
            <w:noWrap w:val="0"/>
            <w:vAlign w:val="top"/>
          </w:tcPr>
          <w:p w14:paraId="6BB5AEFB">
            <w:pPr>
              <w:spacing w:line="400" w:lineRule="atLeast"/>
              <w:jc w:val="center"/>
              <w:rPr>
                <w:rFonts w:hint="eastAsia" w:ascii="宋体" w:hAnsi="宋体" w:eastAsia="宋体" w:cs="宋体"/>
                <w:color w:val="auto"/>
                <w:sz w:val="24"/>
                <w:highlight w:val="none"/>
              </w:rPr>
            </w:pPr>
          </w:p>
        </w:tc>
        <w:tc>
          <w:tcPr>
            <w:tcW w:w="1242" w:type="dxa"/>
            <w:noWrap w:val="0"/>
            <w:vAlign w:val="top"/>
          </w:tcPr>
          <w:p w14:paraId="6D90AEA5">
            <w:pPr>
              <w:spacing w:line="400" w:lineRule="atLeast"/>
              <w:jc w:val="center"/>
              <w:rPr>
                <w:rFonts w:hint="eastAsia" w:ascii="宋体" w:hAnsi="宋体" w:eastAsia="宋体" w:cs="宋体"/>
                <w:color w:val="auto"/>
                <w:sz w:val="24"/>
                <w:highlight w:val="none"/>
              </w:rPr>
            </w:pPr>
          </w:p>
        </w:tc>
        <w:tc>
          <w:tcPr>
            <w:tcW w:w="1075" w:type="dxa"/>
            <w:noWrap w:val="0"/>
            <w:vAlign w:val="top"/>
          </w:tcPr>
          <w:p w14:paraId="7ED9F14F">
            <w:pPr>
              <w:spacing w:line="400" w:lineRule="atLeast"/>
              <w:jc w:val="center"/>
              <w:rPr>
                <w:rFonts w:hint="eastAsia" w:ascii="宋体" w:hAnsi="宋体" w:eastAsia="宋体" w:cs="宋体"/>
                <w:color w:val="auto"/>
                <w:sz w:val="24"/>
                <w:highlight w:val="none"/>
              </w:rPr>
            </w:pPr>
          </w:p>
        </w:tc>
        <w:tc>
          <w:tcPr>
            <w:tcW w:w="1180" w:type="dxa"/>
            <w:noWrap w:val="0"/>
            <w:vAlign w:val="top"/>
          </w:tcPr>
          <w:p w14:paraId="1B728C53">
            <w:pPr>
              <w:spacing w:line="400" w:lineRule="atLeast"/>
              <w:jc w:val="center"/>
              <w:rPr>
                <w:rFonts w:hint="eastAsia" w:ascii="宋体" w:hAnsi="宋体" w:eastAsia="宋体" w:cs="宋体"/>
                <w:color w:val="auto"/>
                <w:sz w:val="24"/>
                <w:highlight w:val="none"/>
              </w:rPr>
            </w:pPr>
          </w:p>
        </w:tc>
      </w:tr>
      <w:tr w14:paraId="56DE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34BCF85D">
            <w:pPr>
              <w:spacing w:line="400" w:lineRule="atLeast"/>
              <w:jc w:val="center"/>
              <w:rPr>
                <w:rFonts w:hint="eastAsia" w:ascii="宋体" w:hAnsi="宋体" w:eastAsia="宋体" w:cs="宋体"/>
                <w:color w:val="auto"/>
                <w:sz w:val="24"/>
                <w:highlight w:val="none"/>
              </w:rPr>
            </w:pPr>
          </w:p>
        </w:tc>
        <w:tc>
          <w:tcPr>
            <w:tcW w:w="1527" w:type="dxa"/>
            <w:noWrap w:val="0"/>
            <w:vAlign w:val="top"/>
          </w:tcPr>
          <w:p w14:paraId="38984F8B">
            <w:pPr>
              <w:spacing w:line="400" w:lineRule="atLeast"/>
              <w:jc w:val="center"/>
              <w:rPr>
                <w:rFonts w:hint="eastAsia" w:ascii="宋体" w:hAnsi="宋体" w:eastAsia="宋体" w:cs="宋体"/>
                <w:color w:val="auto"/>
                <w:sz w:val="24"/>
                <w:highlight w:val="none"/>
              </w:rPr>
            </w:pPr>
          </w:p>
        </w:tc>
        <w:tc>
          <w:tcPr>
            <w:tcW w:w="1722" w:type="dxa"/>
            <w:noWrap w:val="0"/>
            <w:vAlign w:val="top"/>
          </w:tcPr>
          <w:p w14:paraId="4610A54F">
            <w:pPr>
              <w:spacing w:line="400" w:lineRule="atLeast"/>
              <w:jc w:val="center"/>
              <w:rPr>
                <w:rFonts w:hint="eastAsia" w:ascii="宋体" w:hAnsi="宋体" w:eastAsia="宋体" w:cs="宋体"/>
                <w:color w:val="auto"/>
                <w:sz w:val="24"/>
                <w:highlight w:val="none"/>
              </w:rPr>
            </w:pPr>
          </w:p>
        </w:tc>
        <w:tc>
          <w:tcPr>
            <w:tcW w:w="2044" w:type="dxa"/>
            <w:noWrap w:val="0"/>
            <w:vAlign w:val="top"/>
          </w:tcPr>
          <w:p w14:paraId="347412DA">
            <w:pPr>
              <w:spacing w:line="400" w:lineRule="atLeast"/>
              <w:jc w:val="center"/>
              <w:rPr>
                <w:rFonts w:hint="eastAsia" w:ascii="宋体" w:hAnsi="宋体" w:eastAsia="宋体" w:cs="宋体"/>
                <w:color w:val="auto"/>
                <w:sz w:val="24"/>
                <w:highlight w:val="none"/>
              </w:rPr>
            </w:pPr>
          </w:p>
        </w:tc>
        <w:tc>
          <w:tcPr>
            <w:tcW w:w="1242" w:type="dxa"/>
            <w:noWrap w:val="0"/>
            <w:vAlign w:val="top"/>
          </w:tcPr>
          <w:p w14:paraId="1EB37D19">
            <w:pPr>
              <w:spacing w:line="400" w:lineRule="atLeast"/>
              <w:jc w:val="center"/>
              <w:rPr>
                <w:rFonts w:hint="eastAsia" w:ascii="宋体" w:hAnsi="宋体" w:eastAsia="宋体" w:cs="宋体"/>
                <w:color w:val="auto"/>
                <w:sz w:val="24"/>
                <w:highlight w:val="none"/>
              </w:rPr>
            </w:pPr>
          </w:p>
        </w:tc>
        <w:tc>
          <w:tcPr>
            <w:tcW w:w="1075" w:type="dxa"/>
            <w:noWrap w:val="0"/>
            <w:vAlign w:val="top"/>
          </w:tcPr>
          <w:p w14:paraId="646F1226">
            <w:pPr>
              <w:spacing w:line="400" w:lineRule="atLeast"/>
              <w:jc w:val="center"/>
              <w:rPr>
                <w:rFonts w:hint="eastAsia" w:ascii="宋体" w:hAnsi="宋体" w:eastAsia="宋体" w:cs="宋体"/>
                <w:color w:val="auto"/>
                <w:sz w:val="24"/>
                <w:highlight w:val="none"/>
              </w:rPr>
            </w:pPr>
          </w:p>
        </w:tc>
        <w:tc>
          <w:tcPr>
            <w:tcW w:w="1180" w:type="dxa"/>
            <w:noWrap w:val="0"/>
            <w:vAlign w:val="top"/>
          </w:tcPr>
          <w:p w14:paraId="5EB62C68">
            <w:pPr>
              <w:spacing w:line="400" w:lineRule="atLeast"/>
              <w:jc w:val="center"/>
              <w:rPr>
                <w:rFonts w:hint="eastAsia" w:ascii="宋体" w:hAnsi="宋体" w:eastAsia="宋体" w:cs="宋体"/>
                <w:color w:val="auto"/>
                <w:sz w:val="24"/>
                <w:highlight w:val="none"/>
              </w:rPr>
            </w:pPr>
          </w:p>
        </w:tc>
      </w:tr>
      <w:tr w14:paraId="352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03F64872">
            <w:pPr>
              <w:spacing w:line="400" w:lineRule="atLeast"/>
              <w:jc w:val="center"/>
              <w:rPr>
                <w:rFonts w:hint="eastAsia" w:ascii="宋体" w:hAnsi="宋体" w:eastAsia="宋体" w:cs="宋体"/>
                <w:color w:val="auto"/>
                <w:sz w:val="24"/>
                <w:highlight w:val="none"/>
              </w:rPr>
            </w:pPr>
          </w:p>
        </w:tc>
        <w:tc>
          <w:tcPr>
            <w:tcW w:w="1527" w:type="dxa"/>
            <w:noWrap w:val="0"/>
            <w:vAlign w:val="top"/>
          </w:tcPr>
          <w:p w14:paraId="71F5CA48">
            <w:pPr>
              <w:spacing w:line="400" w:lineRule="atLeast"/>
              <w:jc w:val="center"/>
              <w:rPr>
                <w:rFonts w:hint="eastAsia" w:ascii="宋体" w:hAnsi="宋体" w:eastAsia="宋体" w:cs="宋体"/>
                <w:color w:val="auto"/>
                <w:sz w:val="24"/>
                <w:highlight w:val="none"/>
              </w:rPr>
            </w:pPr>
          </w:p>
        </w:tc>
        <w:tc>
          <w:tcPr>
            <w:tcW w:w="1722" w:type="dxa"/>
            <w:noWrap w:val="0"/>
            <w:vAlign w:val="top"/>
          </w:tcPr>
          <w:p w14:paraId="06C31D7E">
            <w:pPr>
              <w:spacing w:line="400" w:lineRule="atLeast"/>
              <w:jc w:val="center"/>
              <w:rPr>
                <w:rFonts w:hint="eastAsia" w:ascii="宋体" w:hAnsi="宋体" w:eastAsia="宋体" w:cs="宋体"/>
                <w:color w:val="auto"/>
                <w:sz w:val="24"/>
                <w:highlight w:val="none"/>
              </w:rPr>
            </w:pPr>
          </w:p>
        </w:tc>
        <w:tc>
          <w:tcPr>
            <w:tcW w:w="2044" w:type="dxa"/>
            <w:noWrap w:val="0"/>
            <w:vAlign w:val="top"/>
          </w:tcPr>
          <w:p w14:paraId="772DDD28">
            <w:pPr>
              <w:spacing w:line="400" w:lineRule="atLeast"/>
              <w:jc w:val="center"/>
              <w:rPr>
                <w:rFonts w:hint="eastAsia" w:ascii="宋体" w:hAnsi="宋体" w:eastAsia="宋体" w:cs="宋体"/>
                <w:color w:val="auto"/>
                <w:sz w:val="24"/>
                <w:highlight w:val="none"/>
              </w:rPr>
            </w:pPr>
          </w:p>
        </w:tc>
        <w:tc>
          <w:tcPr>
            <w:tcW w:w="1242" w:type="dxa"/>
            <w:noWrap w:val="0"/>
            <w:vAlign w:val="top"/>
          </w:tcPr>
          <w:p w14:paraId="66B72F99">
            <w:pPr>
              <w:spacing w:line="400" w:lineRule="atLeast"/>
              <w:jc w:val="center"/>
              <w:rPr>
                <w:rFonts w:hint="eastAsia" w:ascii="宋体" w:hAnsi="宋体" w:eastAsia="宋体" w:cs="宋体"/>
                <w:color w:val="auto"/>
                <w:sz w:val="24"/>
                <w:highlight w:val="none"/>
              </w:rPr>
            </w:pPr>
          </w:p>
        </w:tc>
        <w:tc>
          <w:tcPr>
            <w:tcW w:w="1075" w:type="dxa"/>
            <w:noWrap w:val="0"/>
            <w:vAlign w:val="top"/>
          </w:tcPr>
          <w:p w14:paraId="24E69DCE">
            <w:pPr>
              <w:spacing w:line="400" w:lineRule="atLeast"/>
              <w:jc w:val="center"/>
              <w:rPr>
                <w:rFonts w:hint="eastAsia" w:ascii="宋体" w:hAnsi="宋体" w:eastAsia="宋体" w:cs="宋体"/>
                <w:color w:val="auto"/>
                <w:sz w:val="24"/>
                <w:highlight w:val="none"/>
              </w:rPr>
            </w:pPr>
          </w:p>
        </w:tc>
        <w:tc>
          <w:tcPr>
            <w:tcW w:w="1180" w:type="dxa"/>
            <w:noWrap w:val="0"/>
            <w:vAlign w:val="top"/>
          </w:tcPr>
          <w:p w14:paraId="44CE338B">
            <w:pPr>
              <w:spacing w:line="400" w:lineRule="atLeast"/>
              <w:jc w:val="center"/>
              <w:rPr>
                <w:rFonts w:hint="eastAsia" w:ascii="宋体" w:hAnsi="宋体" w:eastAsia="宋体" w:cs="宋体"/>
                <w:color w:val="auto"/>
                <w:sz w:val="24"/>
                <w:highlight w:val="none"/>
              </w:rPr>
            </w:pPr>
          </w:p>
        </w:tc>
      </w:tr>
      <w:tr w14:paraId="081B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45" w:type="dxa"/>
            <w:noWrap w:val="0"/>
            <w:vAlign w:val="top"/>
          </w:tcPr>
          <w:p w14:paraId="7089AFAD">
            <w:pPr>
              <w:spacing w:line="400" w:lineRule="atLeast"/>
              <w:jc w:val="center"/>
              <w:rPr>
                <w:rFonts w:hint="eastAsia" w:ascii="宋体" w:hAnsi="宋体" w:eastAsia="宋体" w:cs="宋体"/>
                <w:color w:val="auto"/>
                <w:sz w:val="24"/>
                <w:highlight w:val="none"/>
              </w:rPr>
            </w:pPr>
          </w:p>
        </w:tc>
        <w:tc>
          <w:tcPr>
            <w:tcW w:w="1527" w:type="dxa"/>
            <w:noWrap w:val="0"/>
            <w:vAlign w:val="top"/>
          </w:tcPr>
          <w:p w14:paraId="00CCD9CC">
            <w:pPr>
              <w:spacing w:line="400" w:lineRule="atLeast"/>
              <w:jc w:val="center"/>
              <w:rPr>
                <w:rFonts w:hint="eastAsia" w:ascii="宋体" w:hAnsi="宋体" w:eastAsia="宋体" w:cs="宋体"/>
                <w:color w:val="auto"/>
                <w:sz w:val="24"/>
                <w:highlight w:val="none"/>
              </w:rPr>
            </w:pPr>
          </w:p>
        </w:tc>
        <w:tc>
          <w:tcPr>
            <w:tcW w:w="1722" w:type="dxa"/>
            <w:noWrap w:val="0"/>
            <w:vAlign w:val="top"/>
          </w:tcPr>
          <w:p w14:paraId="74C48033">
            <w:pPr>
              <w:spacing w:line="400" w:lineRule="atLeast"/>
              <w:jc w:val="center"/>
              <w:rPr>
                <w:rFonts w:hint="eastAsia" w:ascii="宋体" w:hAnsi="宋体" w:eastAsia="宋体" w:cs="宋体"/>
                <w:color w:val="auto"/>
                <w:sz w:val="24"/>
                <w:highlight w:val="none"/>
              </w:rPr>
            </w:pPr>
          </w:p>
        </w:tc>
        <w:tc>
          <w:tcPr>
            <w:tcW w:w="2044" w:type="dxa"/>
            <w:noWrap w:val="0"/>
            <w:vAlign w:val="top"/>
          </w:tcPr>
          <w:p w14:paraId="533238CE">
            <w:pPr>
              <w:spacing w:line="400" w:lineRule="atLeast"/>
              <w:jc w:val="center"/>
              <w:rPr>
                <w:rFonts w:hint="eastAsia" w:ascii="宋体" w:hAnsi="宋体" w:eastAsia="宋体" w:cs="宋体"/>
                <w:color w:val="auto"/>
                <w:sz w:val="24"/>
                <w:highlight w:val="none"/>
              </w:rPr>
            </w:pPr>
          </w:p>
        </w:tc>
        <w:tc>
          <w:tcPr>
            <w:tcW w:w="1242" w:type="dxa"/>
            <w:noWrap w:val="0"/>
            <w:vAlign w:val="top"/>
          </w:tcPr>
          <w:p w14:paraId="5A43D0C1">
            <w:pPr>
              <w:spacing w:line="400" w:lineRule="atLeast"/>
              <w:jc w:val="center"/>
              <w:rPr>
                <w:rFonts w:hint="eastAsia" w:ascii="宋体" w:hAnsi="宋体" w:eastAsia="宋体" w:cs="宋体"/>
                <w:color w:val="auto"/>
                <w:sz w:val="24"/>
                <w:highlight w:val="none"/>
              </w:rPr>
            </w:pPr>
          </w:p>
        </w:tc>
        <w:tc>
          <w:tcPr>
            <w:tcW w:w="1075" w:type="dxa"/>
            <w:noWrap w:val="0"/>
            <w:vAlign w:val="top"/>
          </w:tcPr>
          <w:p w14:paraId="435FB1AC">
            <w:pPr>
              <w:spacing w:line="400" w:lineRule="atLeast"/>
              <w:jc w:val="center"/>
              <w:rPr>
                <w:rFonts w:hint="eastAsia" w:ascii="宋体" w:hAnsi="宋体" w:eastAsia="宋体" w:cs="宋体"/>
                <w:color w:val="auto"/>
                <w:sz w:val="24"/>
                <w:highlight w:val="none"/>
              </w:rPr>
            </w:pPr>
          </w:p>
        </w:tc>
        <w:tc>
          <w:tcPr>
            <w:tcW w:w="1180" w:type="dxa"/>
            <w:noWrap w:val="0"/>
            <w:vAlign w:val="top"/>
          </w:tcPr>
          <w:p w14:paraId="025FCC01">
            <w:pPr>
              <w:spacing w:line="400" w:lineRule="atLeast"/>
              <w:jc w:val="center"/>
              <w:rPr>
                <w:rFonts w:hint="eastAsia" w:ascii="宋体" w:hAnsi="宋体" w:eastAsia="宋体" w:cs="宋体"/>
                <w:color w:val="auto"/>
                <w:sz w:val="24"/>
                <w:highlight w:val="none"/>
              </w:rPr>
            </w:pPr>
          </w:p>
        </w:tc>
      </w:tr>
    </w:tbl>
    <w:p w14:paraId="6BAB5147">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文件中“第三部分</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-服务（技术）要求</w:t>
      </w:r>
      <w:r>
        <w:rPr>
          <w:rFonts w:hint="eastAsia" w:ascii="宋体" w:hAnsi="宋体" w:eastAsia="宋体" w:cs="宋体"/>
          <w:color w:val="auto"/>
          <w:sz w:val="24"/>
          <w:szCs w:val="24"/>
          <w:highlight w:val="none"/>
        </w:rPr>
        <w:t>”逐条对应填写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偏离情况</w:t>
      </w:r>
      <w:r>
        <w:rPr>
          <w:rFonts w:hint="eastAsia" w:ascii="宋体" w:hAnsi="宋体" w:eastAsia="宋体" w:cs="宋体"/>
          <w:color w:val="auto"/>
          <w:sz w:val="24"/>
          <w:szCs w:val="24"/>
          <w:highlight w:val="none"/>
          <w:lang w:eastAsia="zh-CN"/>
        </w:rPr>
        <w:t>”填写“正偏离”或“负偏离”或“无偏离”</w:t>
      </w:r>
      <w:r>
        <w:rPr>
          <w:rFonts w:hint="eastAsia" w:ascii="宋体" w:hAnsi="宋体" w:eastAsia="宋体" w:cs="宋体"/>
          <w:color w:val="auto"/>
          <w:sz w:val="24"/>
          <w:szCs w:val="24"/>
          <w:highlight w:val="none"/>
        </w:rPr>
        <w:t>。</w:t>
      </w:r>
    </w:p>
    <w:p w14:paraId="52E6686D">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35D854AC">
      <w:pPr>
        <w:pStyle w:val="37"/>
        <w:keepNext w:val="0"/>
        <w:keepLines w:val="0"/>
        <w:pageBreakBefore w:val="0"/>
        <w:widowControl w:val="0"/>
        <w:kinsoku/>
        <w:wordWrap/>
        <w:overflowPunct/>
        <w:topLinePunct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2345B5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73135C7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45C18846">
      <w:pPr>
        <w:pStyle w:val="37"/>
        <w:keepNext w:val="0"/>
        <w:keepLines w:val="0"/>
        <w:pageBreakBefore w:val="0"/>
        <w:widowControl w:val="0"/>
        <w:kinsoku/>
        <w:wordWrap/>
        <w:overflowPunct/>
        <w:topLinePunct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661E6F3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eastAsia="宋体" w:cs="宋体"/>
          <w:b w:val="0"/>
          <w:bCs w:val="0"/>
          <w:color w:val="auto"/>
          <w:kern w:val="0"/>
          <w:sz w:val="24"/>
          <w:szCs w:val="24"/>
          <w:highlight w:val="none"/>
          <w:u w:val="single"/>
          <w:lang w:val="en-US" w:eastAsia="zh-CN"/>
        </w:rPr>
        <w:t xml:space="preserve">                   </w:t>
      </w:r>
    </w:p>
    <w:p w14:paraId="7015CAC3">
      <w:pPr>
        <w:pStyle w:val="37"/>
        <w:keepNext w:val="0"/>
        <w:keepLines w:val="0"/>
        <w:pageBreakBefore w:val="0"/>
        <w:widowControl w:val="0"/>
        <w:kinsoku/>
        <w:wordWrap/>
        <w:overflowPunct/>
        <w:topLinePunct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111A660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0F2672F">
      <w:pPr>
        <w:pStyle w:val="49"/>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u w:val="single"/>
        </w:rPr>
      </w:pPr>
    </w:p>
    <w:p w14:paraId="1A0739C4">
      <w:pPr>
        <w:pStyle w:val="49"/>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u w:val="single"/>
        </w:rPr>
      </w:pPr>
    </w:p>
    <w:p w14:paraId="39C78B84">
      <w:pPr>
        <w:rPr>
          <w:rFonts w:hint="eastAsia" w:ascii="宋体" w:hAnsi="宋体" w:eastAsia="宋体" w:cs="宋体"/>
          <w:color w:val="auto"/>
          <w:sz w:val="24"/>
          <w:szCs w:val="24"/>
          <w:highlight w:val="none"/>
          <w:lang w:eastAsia="zh-CN"/>
        </w:rPr>
      </w:pPr>
      <w:bookmarkStart w:id="481" w:name="_Toc15051"/>
      <w:bookmarkStart w:id="482" w:name="_Toc17616"/>
      <w:bookmarkStart w:id="483" w:name="_Toc22432"/>
      <w:bookmarkStart w:id="484" w:name="_Toc28285"/>
      <w:r>
        <w:rPr>
          <w:rFonts w:hint="eastAsia" w:ascii="宋体" w:hAnsi="宋体" w:eastAsia="宋体" w:cs="宋体"/>
          <w:color w:val="auto"/>
          <w:sz w:val="24"/>
          <w:szCs w:val="24"/>
          <w:highlight w:val="none"/>
          <w:lang w:eastAsia="zh-CN"/>
        </w:rPr>
        <w:br w:type="page"/>
      </w:r>
    </w:p>
    <w:p w14:paraId="468ADA2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cs="宋体"/>
          <w:color w:val="auto"/>
          <w:sz w:val="24"/>
          <w:szCs w:val="24"/>
          <w:highlight w:val="none"/>
          <w:lang w:val="en-US" w:eastAsia="zh-CN"/>
        </w:rPr>
        <w:t>核心参数</w:t>
      </w:r>
      <w:r>
        <w:rPr>
          <w:rFonts w:hint="eastAsia" w:ascii="宋体" w:hAnsi="宋体" w:eastAsia="宋体" w:cs="宋体"/>
          <w:color w:val="auto"/>
          <w:sz w:val="24"/>
          <w:szCs w:val="24"/>
          <w:highlight w:val="none"/>
          <w:lang w:eastAsia="zh-CN"/>
        </w:rPr>
        <w:t>条款偏离表</w:t>
      </w:r>
      <w:bookmarkEnd w:id="481"/>
      <w:bookmarkEnd w:id="482"/>
      <w:bookmarkEnd w:id="483"/>
      <w:bookmarkEnd w:id="484"/>
    </w:p>
    <w:p w14:paraId="31AB61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rPr>
        <w:t>：</w:t>
      </w:r>
    </w:p>
    <w:p w14:paraId="47D97F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40"/>
        <w:gridCol w:w="2495"/>
        <w:gridCol w:w="2741"/>
        <w:gridCol w:w="1444"/>
      </w:tblGrid>
      <w:tr w14:paraId="22F7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2" w:type="dxa"/>
            <w:noWrap w:val="0"/>
            <w:vAlign w:val="center"/>
          </w:tcPr>
          <w:p w14:paraId="2192FD53">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40" w:type="dxa"/>
            <w:noWrap w:val="0"/>
            <w:vAlign w:val="center"/>
          </w:tcPr>
          <w:p w14:paraId="5D8774D7">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条目号</w:t>
            </w:r>
          </w:p>
        </w:tc>
        <w:tc>
          <w:tcPr>
            <w:tcW w:w="2495" w:type="dxa"/>
            <w:noWrap w:val="0"/>
            <w:vAlign w:val="center"/>
          </w:tcPr>
          <w:p w14:paraId="16D6F887">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文件商务条款</w:t>
            </w:r>
          </w:p>
        </w:tc>
        <w:tc>
          <w:tcPr>
            <w:tcW w:w="2741" w:type="dxa"/>
            <w:noWrap w:val="0"/>
            <w:vAlign w:val="center"/>
          </w:tcPr>
          <w:p w14:paraId="26D50AD8">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lang w:val="en-US" w:eastAsia="zh-CN"/>
              </w:rPr>
              <w:t>文件</w:t>
            </w:r>
            <w:r>
              <w:rPr>
                <w:rFonts w:hint="eastAsia" w:ascii="宋体" w:hAnsi="宋体" w:eastAsia="宋体" w:cs="宋体"/>
                <w:color w:val="auto"/>
                <w:sz w:val="24"/>
                <w:highlight w:val="none"/>
              </w:rPr>
              <w:t>商务条款</w:t>
            </w:r>
          </w:p>
        </w:tc>
        <w:tc>
          <w:tcPr>
            <w:tcW w:w="1444" w:type="dxa"/>
            <w:noWrap w:val="0"/>
            <w:vAlign w:val="center"/>
          </w:tcPr>
          <w:p w14:paraId="55F8F97D">
            <w:pPr>
              <w:spacing w:line="40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偏离情况</w:t>
            </w:r>
          </w:p>
        </w:tc>
      </w:tr>
      <w:tr w14:paraId="232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35FBE736">
            <w:pPr>
              <w:spacing w:line="400" w:lineRule="atLeast"/>
              <w:jc w:val="center"/>
              <w:rPr>
                <w:rFonts w:hint="eastAsia" w:ascii="宋体" w:hAnsi="宋体" w:eastAsia="宋体" w:cs="宋体"/>
                <w:color w:val="auto"/>
                <w:sz w:val="24"/>
                <w:highlight w:val="none"/>
              </w:rPr>
            </w:pPr>
          </w:p>
        </w:tc>
        <w:tc>
          <w:tcPr>
            <w:tcW w:w="2140" w:type="dxa"/>
            <w:noWrap w:val="0"/>
            <w:vAlign w:val="top"/>
          </w:tcPr>
          <w:p w14:paraId="05B68165">
            <w:pPr>
              <w:spacing w:line="400" w:lineRule="atLeast"/>
              <w:jc w:val="center"/>
              <w:rPr>
                <w:rFonts w:hint="eastAsia" w:ascii="宋体" w:hAnsi="宋体" w:eastAsia="宋体" w:cs="宋体"/>
                <w:color w:val="auto"/>
                <w:sz w:val="24"/>
                <w:highlight w:val="none"/>
              </w:rPr>
            </w:pPr>
          </w:p>
        </w:tc>
        <w:tc>
          <w:tcPr>
            <w:tcW w:w="2495" w:type="dxa"/>
            <w:noWrap w:val="0"/>
            <w:vAlign w:val="top"/>
          </w:tcPr>
          <w:p w14:paraId="34C61FD3">
            <w:pPr>
              <w:spacing w:line="400" w:lineRule="atLeast"/>
              <w:jc w:val="center"/>
              <w:rPr>
                <w:rFonts w:hint="eastAsia" w:ascii="宋体" w:hAnsi="宋体" w:eastAsia="宋体" w:cs="宋体"/>
                <w:color w:val="auto"/>
                <w:sz w:val="24"/>
                <w:highlight w:val="none"/>
              </w:rPr>
            </w:pPr>
          </w:p>
        </w:tc>
        <w:tc>
          <w:tcPr>
            <w:tcW w:w="2741" w:type="dxa"/>
            <w:noWrap w:val="0"/>
            <w:vAlign w:val="top"/>
          </w:tcPr>
          <w:p w14:paraId="62546734">
            <w:pPr>
              <w:spacing w:line="400" w:lineRule="atLeast"/>
              <w:jc w:val="center"/>
              <w:rPr>
                <w:rFonts w:hint="eastAsia" w:ascii="宋体" w:hAnsi="宋体" w:eastAsia="宋体" w:cs="宋体"/>
                <w:color w:val="auto"/>
                <w:sz w:val="24"/>
                <w:highlight w:val="none"/>
              </w:rPr>
            </w:pPr>
          </w:p>
        </w:tc>
        <w:tc>
          <w:tcPr>
            <w:tcW w:w="1444" w:type="dxa"/>
            <w:noWrap w:val="0"/>
            <w:vAlign w:val="top"/>
          </w:tcPr>
          <w:p w14:paraId="24F9AF44">
            <w:pPr>
              <w:spacing w:line="400" w:lineRule="atLeast"/>
              <w:jc w:val="center"/>
              <w:rPr>
                <w:rFonts w:hint="eastAsia" w:ascii="宋体" w:hAnsi="宋体" w:eastAsia="宋体" w:cs="宋体"/>
                <w:color w:val="auto"/>
                <w:sz w:val="24"/>
                <w:highlight w:val="none"/>
              </w:rPr>
            </w:pPr>
          </w:p>
        </w:tc>
      </w:tr>
      <w:tr w14:paraId="5671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1619AD26">
            <w:pPr>
              <w:spacing w:line="400" w:lineRule="atLeast"/>
              <w:jc w:val="center"/>
              <w:rPr>
                <w:rFonts w:hint="eastAsia" w:ascii="宋体" w:hAnsi="宋体" w:eastAsia="宋体" w:cs="宋体"/>
                <w:color w:val="auto"/>
                <w:sz w:val="24"/>
                <w:highlight w:val="none"/>
              </w:rPr>
            </w:pPr>
          </w:p>
        </w:tc>
        <w:tc>
          <w:tcPr>
            <w:tcW w:w="2140" w:type="dxa"/>
            <w:noWrap w:val="0"/>
            <w:vAlign w:val="top"/>
          </w:tcPr>
          <w:p w14:paraId="1C0AF60F">
            <w:pPr>
              <w:spacing w:line="400" w:lineRule="atLeast"/>
              <w:jc w:val="center"/>
              <w:rPr>
                <w:rFonts w:hint="eastAsia" w:ascii="宋体" w:hAnsi="宋体" w:eastAsia="宋体" w:cs="宋体"/>
                <w:color w:val="auto"/>
                <w:sz w:val="24"/>
                <w:highlight w:val="none"/>
              </w:rPr>
            </w:pPr>
          </w:p>
        </w:tc>
        <w:tc>
          <w:tcPr>
            <w:tcW w:w="2495" w:type="dxa"/>
            <w:noWrap w:val="0"/>
            <w:vAlign w:val="top"/>
          </w:tcPr>
          <w:p w14:paraId="63C5E4A0">
            <w:pPr>
              <w:spacing w:line="400" w:lineRule="atLeast"/>
              <w:jc w:val="center"/>
              <w:rPr>
                <w:rFonts w:hint="eastAsia" w:ascii="宋体" w:hAnsi="宋体" w:eastAsia="宋体" w:cs="宋体"/>
                <w:color w:val="auto"/>
                <w:sz w:val="24"/>
                <w:highlight w:val="none"/>
              </w:rPr>
            </w:pPr>
          </w:p>
        </w:tc>
        <w:tc>
          <w:tcPr>
            <w:tcW w:w="2741" w:type="dxa"/>
            <w:noWrap w:val="0"/>
            <w:vAlign w:val="top"/>
          </w:tcPr>
          <w:p w14:paraId="0015D083">
            <w:pPr>
              <w:spacing w:line="400" w:lineRule="atLeast"/>
              <w:jc w:val="center"/>
              <w:rPr>
                <w:rFonts w:hint="eastAsia" w:ascii="宋体" w:hAnsi="宋体" w:eastAsia="宋体" w:cs="宋体"/>
                <w:color w:val="auto"/>
                <w:sz w:val="24"/>
                <w:highlight w:val="none"/>
              </w:rPr>
            </w:pPr>
          </w:p>
        </w:tc>
        <w:tc>
          <w:tcPr>
            <w:tcW w:w="1444" w:type="dxa"/>
            <w:noWrap w:val="0"/>
            <w:vAlign w:val="top"/>
          </w:tcPr>
          <w:p w14:paraId="5187683C">
            <w:pPr>
              <w:spacing w:line="400" w:lineRule="atLeast"/>
              <w:jc w:val="center"/>
              <w:rPr>
                <w:rFonts w:hint="eastAsia" w:ascii="宋体" w:hAnsi="宋体" w:eastAsia="宋体" w:cs="宋体"/>
                <w:color w:val="auto"/>
                <w:sz w:val="24"/>
                <w:highlight w:val="none"/>
              </w:rPr>
            </w:pPr>
          </w:p>
        </w:tc>
      </w:tr>
      <w:tr w14:paraId="29A1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3179F0AD">
            <w:pPr>
              <w:spacing w:line="400" w:lineRule="atLeast"/>
              <w:jc w:val="center"/>
              <w:rPr>
                <w:rFonts w:hint="eastAsia" w:ascii="宋体" w:hAnsi="宋体" w:eastAsia="宋体" w:cs="宋体"/>
                <w:color w:val="auto"/>
                <w:sz w:val="24"/>
                <w:highlight w:val="none"/>
              </w:rPr>
            </w:pPr>
          </w:p>
        </w:tc>
        <w:tc>
          <w:tcPr>
            <w:tcW w:w="2140" w:type="dxa"/>
            <w:noWrap w:val="0"/>
            <w:vAlign w:val="top"/>
          </w:tcPr>
          <w:p w14:paraId="5C2F0FF0">
            <w:pPr>
              <w:spacing w:line="400" w:lineRule="atLeast"/>
              <w:jc w:val="center"/>
              <w:rPr>
                <w:rFonts w:hint="eastAsia" w:ascii="宋体" w:hAnsi="宋体" w:eastAsia="宋体" w:cs="宋体"/>
                <w:color w:val="auto"/>
                <w:sz w:val="24"/>
                <w:highlight w:val="none"/>
              </w:rPr>
            </w:pPr>
          </w:p>
        </w:tc>
        <w:tc>
          <w:tcPr>
            <w:tcW w:w="2495" w:type="dxa"/>
            <w:noWrap w:val="0"/>
            <w:vAlign w:val="top"/>
          </w:tcPr>
          <w:p w14:paraId="2D60758E">
            <w:pPr>
              <w:spacing w:line="400" w:lineRule="atLeast"/>
              <w:jc w:val="center"/>
              <w:rPr>
                <w:rFonts w:hint="eastAsia" w:ascii="宋体" w:hAnsi="宋体" w:eastAsia="宋体" w:cs="宋体"/>
                <w:color w:val="auto"/>
                <w:sz w:val="24"/>
                <w:highlight w:val="none"/>
              </w:rPr>
            </w:pPr>
          </w:p>
        </w:tc>
        <w:tc>
          <w:tcPr>
            <w:tcW w:w="2741" w:type="dxa"/>
            <w:noWrap w:val="0"/>
            <w:vAlign w:val="top"/>
          </w:tcPr>
          <w:p w14:paraId="26F2AE5A">
            <w:pPr>
              <w:spacing w:line="400" w:lineRule="atLeast"/>
              <w:jc w:val="center"/>
              <w:rPr>
                <w:rFonts w:hint="eastAsia" w:ascii="宋体" w:hAnsi="宋体" w:eastAsia="宋体" w:cs="宋体"/>
                <w:color w:val="auto"/>
                <w:sz w:val="24"/>
                <w:highlight w:val="none"/>
              </w:rPr>
            </w:pPr>
          </w:p>
        </w:tc>
        <w:tc>
          <w:tcPr>
            <w:tcW w:w="1444" w:type="dxa"/>
            <w:noWrap w:val="0"/>
            <w:vAlign w:val="top"/>
          </w:tcPr>
          <w:p w14:paraId="1097C27C">
            <w:pPr>
              <w:spacing w:line="400" w:lineRule="atLeast"/>
              <w:jc w:val="center"/>
              <w:rPr>
                <w:rFonts w:hint="eastAsia" w:ascii="宋体" w:hAnsi="宋体" w:eastAsia="宋体" w:cs="宋体"/>
                <w:color w:val="auto"/>
                <w:sz w:val="24"/>
                <w:highlight w:val="none"/>
              </w:rPr>
            </w:pPr>
          </w:p>
        </w:tc>
      </w:tr>
      <w:tr w14:paraId="601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34677236">
            <w:pPr>
              <w:spacing w:line="400" w:lineRule="atLeast"/>
              <w:jc w:val="center"/>
              <w:rPr>
                <w:rFonts w:hint="eastAsia" w:ascii="宋体" w:hAnsi="宋体" w:eastAsia="宋体" w:cs="宋体"/>
                <w:color w:val="auto"/>
                <w:sz w:val="24"/>
                <w:highlight w:val="none"/>
              </w:rPr>
            </w:pPr>
          </w:p>
        </w:tc>
        <w:tc>
          <w:tcPr>
            <w:tcW w:w="2140" w:type="dxa"/>
            <w:noWrap w:val="0"/>
            <w:vAlign w:val="top"/>
          </w:tcPr>
          <w:p w14:paraId="34A491E9">
            <w:pPr>
              <w:spacing w:line="400" w:lineRule="atLeast"/>
              <w:jc w:val="center"/>
              <w:rPr>
                <w:rFonts w:hint="eastAsia" w:ascii="宋体" w:hAnsi="宋体" w:eastAsia="宋体" w:cs="宋体"/>
                <w:color w:val="auto"/>
                <w:sz w:val="24"/>
                <w:highlight w:val="none"/>
              </w:rPr>
            </w:pPr>
          </w:p>
        </w:tc>
        <w:tc>
          <w:tcPr>
            <w:tcW w:w="2495" w:type="dxa"/>
            <w:noWrap w:val="0"/>
            <w:vAlign w:val="top"/>
          </w:tcPr>
          <w:p w14:paraId="45D438CC">
            <w:pPr>
              <w:spacing w:line="400" w:lineRule="atLeast"/>
              <w:jc w:val="center"/>
              <w:rPr>
                <w:rFonts w:hint="eastAsia" w:ascii="宋体" w:hAnsi="宋体" w:eastAsia="宋体" w:cs="宋体"/>
                <w:color w:val="auto"/>
                <w:sz w:val="24"/>
                <w:highlight w:val="none"/>
              </w:rPr>
            </w:pPr>
          </w:p>
        </w:tc>
        <w:tc>
          <w:tcPr>
            <w:tcW w:w="2741" w:type="dxa"/>
            <w:noWrap w:val="0"/>
            <w:vAlign w:val="top"/>
          </w:tcPr>
          <w:p w14:paraId="40F7EB86">
            <w:pPr>
              <w:spacing w:line="400" w:lineRule="atLeast"/>
              <w:jc w:val="center"/>
              <w:rPr>
                <w:rFonts w:hint="eastAsia" w:ascii="宋体" w:hAnsi="宋体" w:eastAsia="宋体" w:cs="宋体"/>
                <w:color w:val="auto"/>
                <w:sz w:val="24"/>
                <w:highlight w:val="none"/>
              </w:rPr>
            </w:pPr>
          </w:p>
        </w:tc>
        <w:tc>
          <w:tcPr>
            <w:tcW w:w="1444" w:type="dxa"/>
            <w:noWrap w:val="0"/>
            <w:vAlign w:val="top"/>
          </w:tcPr>
          <w:p w14:paraId="675C82E6">
            <w:pPr>
              <w:spacing w:line="400" w:lineRule="atLeast"/>
              <w:jc w:val="center"/>
              <w:rPr>
                <w:rFonts w:hint="eastAsia" w:ascii="宋体" w:hAnsi="宋体" w:eastAsia="宋体" w:cs="宋体"/>
                <w:color w:val="auto"/>
                <w:sz w:val="24"/>
                <w:highlight w:val="none"/>
              </w:rPr>
            </w:pPr>
          </w:p>
        </w:tc>
      </w:tr>
      <w:tr w14:paraId="446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58A317B1">
            <w:pPr>
              <w:spacing w:line="400" w:lineRule="atLeast"/>
              <w:jc w:val="center"/>
              <w:rPr>
                <w:rFonts w:hint="eastAsia" w:ascii="宋体" w:hAnsi="宋体" w:eastAsia="宋体" w:cs="宋体"/>
                <w:color w:val="auto"/>
                <w:sz w:val="24"/>
                <w:highlight w:val="none"/>
              </w:rPr>
            </w:pPr>
          </w:p>
        </w:tc>
        <w:tc>
          <w:tcPr>
            <w:tcW w:w="2140" w:type="dxa"/>
            <w:noWrap w:val="0"/>
            <w:vAlign w:val="top"/>
          </w:tcPr>
          <w:p w14:paraId="40390BFD">
            <w:pPr>
              <w:spacing w:line="400" w:lineRule="atLeast"/>
              <w:jc w:val="center"/>
              <w:rPr>
                <w:rFonts w:hint="eastAsia" w:ascii="宋体" w:hAnsi="宋体" w:eastAsia="宋体" w:cs="宋体"/>
                <w:color w:val="auto"/>
                <w:sz w:val="24"/>
                <w:highlight w:val="none"/>
              </w:rPr>
            </w:pPr>
          </w:p>
        </w:tc>
        <w:tc>
          <w:tcPr>
            <w:tcW w:w="2495" w:type="dxa"/>
            <w:noWrap w:val="0"/>
            <w:vAlign w:val="top"/>
          </w:tcPr>
          <w:p w14:paraId="5FC7806E">
            <w:pPr>
              <w:spacing w:line="400" w:lineRule="atLeast"/>
              <w:jc w:val="center"/>
              <w:rPr>
                <w:rFonts w:hint="eastAsia" w:ascii="宋体" w:hAnsi="宋体" w:eastAsia="宋体" w:cs="宋体"/>
                <w:color w:val="auto"/>
                <w:sz w:val="24"/>
                <w:highlight w:val="none"/>
              </w:rPr>
            </w:pPr>
          </w:p>
        </w:tc>
        <w:tc>
          <w:tcPr>
            <w:tcW w:w="2741" w:type="dxa"/>
            <w:noWrap w:val="0"/>
            <w:vAlign w:val="top"/>
          </w:tcPr>
          <w:p w14:paraId="04F6C5B6">
            <w:pPr>
              <w:spacing w:line="400" w:lineRule="atLeast"/>
              <w:jc w:val="center"/>
              <w:rPr>
                <w:rFonts w:hint="eastAsia" w:ascii="宋体" w:hAnsi="宋体" w:eastAsia="宋体" w:cs="宋体"/>
                <w:color w:val="auto"/>
                <w:sz w:val="24"/>
                <w:highlight w:val="none"/>
              </w:rPr>
            </w:pPr>
          </w:p>
        </w:tc>
        <w:tc>
          <w:tcPr>
            <w:tcW w:w="1444" w:type="dxa"/>
            <w:noWrap w:val="0"/>
            <w:vAlign w:val="top"/>
          </w:tcPr>
          <w:p w14:paraId="4E83331A">
            <w:pPr>
              <w:spacing w:line="400" w:lineRule="atLeast"/>
              <w:jc w:val="center"/>
              <w:rPr>
                <w:rFonts w:hint="eastAsia" w:ascii="宋体" w:hAnsi="宋体" w:eastAsia="宋体" w:cs="宋体"/>
                <w:color w:val="auto"/>
                <w:sz w:val="24"/>
                <w:highlight w:val="none"/>
              </w:rPr>
            </w:pPr>
          </w:p>
        </w:tc>
      </w:tr>
      <w:tr w14:paraId="4E96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0DAA11DF">
            <w:pPr>
              <w:spacing w:line="400" w:lineRule="atLeast"/>
              <w:jc w:val="center"/>
              <w:rPr>
                <w:rFonts w:hint="eastAsia" w:ascii="宋体" w:hAnsi="宋体" w:eastAsia="宋体" w:cs="宋体"/>
                <w:color w:val="auto"/>
                <w:sz w:val="24"/>
                <w:highlight w:val="none"/>
              </w:rPr>
            </w:pPr>
          </w:p>
        </w:tc>
        <w:tc>
          <w:tcPr>
            <w:tcW w:w="2140" w:type="dxa"/>
            <w:noWrap w:val="0"/>
            <w:vAlign w:val="top"/>
          </w:tcPr>
          <w:p w14:paraId="1DC05F1E">
            <w:pPr>
              <w:spacing w:line="400" w:lineRule="atLeast"/>
              <w:jc w:val="center"/>
              <w:rPr>
                <w:rFonts w:hint="eastAsia" w:ascii="宋体" w:hAnsi="宋体" w:eastAsia="宋体" w:cs="宋体"/>
                <w:color w:val="auto"/>
                <w:sz w:val="24"/>
                <w:highlight w:val="none"/>
              </w:rPr>
            </w:pPr>
          </w:p>
        </w:tc>
        <w:tc>
          <w:tcPr>
            <w:tcW w:w="2495" w:type="dxa"/>
            <w:noWrap w:val="0"/>
            <w:vAlign w:val="top"/>
          </w:tcPr>
          <w:p w14:paraId="7CCF0F5B">
            <w:pPr>
              <w:spacing w:line="400" w:lineRule="atLeast"/>
              <w:jc w:val="center"/>
              <w:rPr>
                <w:rFonts w:hint="eastAsia" w:ascii="宋体" w:hAnsi="宋体" w:eastAsia="宋体" w:cs="宋体"/>
                <w:color w:val="auto"/>
                <w:sz w:val="24"/>
                <w:highlight w:val="none"/>
              </w:rPr>
            </w:pPr>
          </w:p>
        </w:tc>
        <w:tc>
          <w:tcPr>
            <w:tcW w:w="2741" w:type="dxa"/>
            <w:noWrap w:val="0"/>
            <w:vAlign w:val="top"/>
          </w:tcPr>
          <w:p w14:paraId="554078AC">
            <w:pPr>
              <w:spacing w:line="400" w:lineRule="atLeast"/>
              <w:jc w:val="center"/>
              <w:rPr>
                <w:rFonts w:hint="eastAsia" w:ascii="宋体" w:hAnsi="宋体" w:eastAsia="宋体" w:cs="宋体"/>
                <w:color w:val="auto"/>
                <w:sz w:val="24"/>
                <w:highlight w:val="none"/>
              </w:rPr>
            </w:pPr>
          </w:p>
        </w:tc>
        <w:tc>
          <w:tcPr>
            <w:tcW w:w="1444" w:type="dxa"/>
            <w:noWrap w:val="0"/>
            <w:vAlign w:val="top"/>
          </w:tcPr>
          <w:p w14:paraId="21065C8F">
            <w:pPr>
              <w:spacing w:line="400" w:lineRule="atLeast"/>
              <w:jc w:val="center"/>
              <w:rPr>
                <w:rFonts w:hint="eastAsia" w:ascii="宋体" w:hAnsi="宋体" w:eastAsia="宋体" w:cs="宋体"/>
                <w:color w:val="auto"/>
                <w:sz w:val="24"/>
                <w:highlight w:val="none"/>
              </w:rPr>
            </w:pPr>
          </w:p>
        </w:tc>
      </w:tr>
      <w:tr w14:paraId="37C2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66099836">
            <w:pPr>
              <w:spacing w:line="400" w:lineRule="atLeast"/>
              <w:jc w:val="center"/>
              <w:rPr>
                <w:rFonts w:hint="eastAsia" w:ascii="宋体" w:hAnsi="宋体" w:eastAsia="宋体" w:cs="宋体"/>
                <w:color w:val="auto"/>
                <w:sz w:val="24"/>
                <w:highlight w:val="none"/>
              </w:rPr>
            </w:pPr>
          </w:p>
        </w:tc>
        <w:tc>
          <w:tcPr>
            <w:tcW w:w="2140" w:type="dxa"/>
            <w:noWrap w:val="0"/>
            <w:vAlign w:val="top"/>
          </w:tcPr>
          <w:p w14:paraId="4F22E4A2">
            <w:pPr>
              <w:spacing w:line="400" w:lineRule="atLeast"/>
              <w:jc w:val="center"/>
              <w:rPr>
                <w:rFonts w:hint="eastAsia" w:ascii="宋体" w:hAnsi="宋体" w:eastAsia="宋体" w:cs="宋体"/>
                <w:color w:val="auto"/>
                <w:sz w:val="24"/>
                <w:highlight w:val="none"/>
              </w:rPr>
            </w:pPr>
          </w:p>
        </w:tc>
        <w:tc>
          <w:tcPr>
            <w:tcW w:w="2495" w:type="dxa"/>
            <w:noWrap w:val="0"/>
            <w:vAlign w:val="top"/>
          </w:tcPr>
          <w:p w14:paraId="2D0FA966">
            <w:pPr>
              <w:spacing w:line="400" w:lineRule="atLeast"/>
              <w:jc w:val="center"/>
              <w:rPr>
                <w:rFonts w:hint="eastAsia" w:ascii="宋体" w:hAnsi="宋体" w:eastAsia="宋体" w:cs="宋体"/>
                <w:color w:val="auto"/>
                <w:sz w:val="24"/>
                <w:highlight w:val="none"/>
              </w:rPr>
            </w:pPr>
          </w:p>
        </w:tc>
        <w:tc>
          <w:tcPr>
            <w:tcW w:w="2741" w:type="dxa"/>
            <w:noWrap w:val="0"/>
            <w:vAlign w:val="top"/>
          </w:tcPr>
          <w:p w14:paraId="0BB04164">
            <w:pPr>
              <w:spacing w:line="400" w:lineRule="atLeast"/>
              <w:jc w:val="center"/>
              <w:rPr>
                <w:rFonts w:hint="eastAsia" w:ascii="宋体" w:hAnsi="宋体" w:eastAsia="宋体" w:cs="宋体"/>
                <w:color w:val="auto"/>
                <w:sz w:val="24"/>
                <w:highlight w:val="none"/>
              </w:rPr>
            </w:pPr>
          </w:p>
        </w:tc>
        <w:tc>
          <w:tcPr>
            <w:tcW w:w="1444" w:type="dxa"/>
            <w:noWrap w:val="0"/>
            <w:vAlign w:val="top"/>
          </w:tcPr>
          <w:p w14:paraId="08D53595">
            <w:pPr>
              <w:spacing w:line="400" w:lineRule="atLeast"/>
              <w:jc w:val="center"/>
              <w:rPr>
                <w:rFonts w:hint="eastAsia" w:ascii="宋体" w:hAnsi="宋体" w:eastAsia="宋体" w:cs="宋体"/>
                <w:color w:val="auto"/>
                <w:sz w:val="24"/>
                <w:highlight w:val="none"/>
              </w:rPr>
            </w:pPr>
          </w:p>
        </w:tc>
      </w:tr>
      <w:tr w14:paraId="206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52962714">
            <w:pPr>
              <w:spacing w:line="400" w:lineRule="atLeast"/>
              <w:jc w:val="center"/>
              <w:rPr>
                <w:rFonts w:hint="eastAsia" w:ascii="宋体" w:hAnsi="宋体" w:eastAsia="宋体" w:cs="宋体"/>
                <w:color w:val="auto"/>
                <w:sz w:val="24"/>
                <w:highlight w:val="none"/>
              </w:rPr>
            </w:pPr>
          </w:p>
        </w:tc>
        <w:tc>
          <w:tcPr>
            <w:tcW w:w="2140" w:type="dxa"/>
            <w:noWrap w:val="0"/>
            <w:vAlign w:val="top"/>
          </w:tcPr>
          <w:p w14:paraId="2BA4D6D6">
            <w:pPr>
              <w:spacing w:line="400" w:lineRule="atLeast"/>
              <w:jc w:val="center"/>
              <w:rPr>
                <w:rFonts w:hint="eastAsia" w:ascii="宋体" w:hAnsi="宋体" w:eastAsia="宋体" w:cs="宋体"/>
                <w:color w:val="auto"/>
                <w:sz w:val="24"/>
                <w:highlight w:val="none"/>
              </w:rPr>
            </w:pPr>
          </w:p>
        </w:tc>
        <w:tc>
          <w:tcPr>
            <w:tcW w:w="2495" w:type="dxa"/>
            <w:noWrap w:val="0"/>
            <w:vAlign w:val="top"/>
          </w:tcPr>
          <w:p w14:paraId="2DA5DCD3">
            <w:pPr>
              <w:spacing w:line="400" w:lineRule="atLeast"/>
              <w:jc w:val="center"/>
              <w:rPr>
                <w:rFonts w:hint="eastAsia" w:ascii="宋体" w:hAnsi="宋体" w:eastAsia="宋体" w:cs="宋体"/>
                <w:color w:val="auto"/>
                <w:sz w:val="24"/>
                <w:highlight w:val="none"/>
              </w:rPr>
            </w:pPr>
          </w:p>
        </w:tc>
        <w:tc>
          <w:tcPr>
            <w:tcW w:w="2741" w:type="dxa"/>
            <w:noWrap w:val="0"/>
            <w:vAlign w:val="top"/>
          </w:tcPr>
          <w:p w14:paraId="4548B5C4">
            <w:pPr>
              <w:spacing w:line="400" w:lineRule="atLeast"/>
              <w:jc w:val="center"/>
              <w:rPr>
                <w:rFonts w:hint="eastAsia" w:ascii="宋体" w:hAnsi="宋体" w:eastAsia="宋体" w:cs="宋体"/>
                <w:color w:val="auto"/>
                <w:sz w:val="24"/>
                <w:highlight w:val="none"/>
              </w:rPr>
            </w:pPr>
          </w:p>
        </w:tc>
        <w:tc>
          <w:tcPr>
            <w:tcW w:w="1444" w:type="dxa"/>
            <w:noWrap w:val="0"/>
            <w:vAlign w:val="top"/>
          </w:tcPr>
          <w:p w14:paraId="4D97B710">
            <w:pPr>
              <w:spacing w:line="400" w:lineRule="atLeast"/>
              <w:jc w:val="center"/>
              <w:rPr>
                <w:rFonts w:hint="eastAsia" w:ascii="宋体" w:hAnsi="宋体" w:eastAsia="宋体" w:cs="宋体"/>
                <w:color w:val="auto"/>
                <w:sz w:val="24"/>
                <w:highlight w:val="none"/>
              </w:rPr>
            </w:pPr>
          </w:p>
        </w:tc>
      </w:tr>
      <w:tr w14:paraId="404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2A056EFF">
            <w:pPr>
              <w:spacing w:line="400" w:lineRule="atLeast"/>
              <w:jc w:val="center"/>
              <w:rPr>
                <w:rFonts w:hint="eastAsia" w:ascii="宋体" w:hAnsi="宋体" w:eastAsia="宋体" w:cs="宋体"/>
                <w:color w:val="auto"/>
                <w:sz w:val="24"/>
                <w:highlight w:val="none"/>
              </w:rPr>
            </w:pPr>
          </w:p>
        </w:tc>
        <w:tc>
          <w:tcPr>
            <w:tcW w:w="2140" w:type="dxa"/>
            <w:noWrap w:val="0"/>
            <w:vAlign w:val="top"/>
          </w:tcPr>
          <w:p w14:paraId="036E2DBC">
            <w:pPr>
              <w:spacing w:line="400" w:lineRule="atLeast"/>
              <w:jc w:val="center"/>
              <w:rPr>
                <w:rFonts w:hint="eastAsia" w:ascii="宋体" w:hAnsi="宋体" w:eastAsia="宋体" w:cs="宋体"/>
                <w:color w:val="auto"/>
                <w:sz w:val="24"/>
                <w:highlight w:val="none"/>
              </w:rPr>
            </w:pPr>
          </w:p>
        </w:tc>
        <w:tc>
          <w:tcPr>
            <w:tcW w:w="2495" w:type="dxa"/>
            <w:noWrap w:val="0"/>
            <w:vAlign w:val="top"/>
          </w:tcPr>
          <w:p w14:paraId="6EB34E20">
            <w:pPr>
              <w:spacing w:line="400" w:lineRule="atLeast"/>
              <w:jc w:val="center"/>
              <w:rPr>
                <w:rFonts w:hint="eastAsia" w:ascii="宋体" w:hAnsi="宋体" w:eastAsia="宋体" w:cs="宋体"/>
                <w:color w:val="auto"/>
                <w:sz w:val="24"/>
                <w:highlight w:val="none"/>
              </w:rPr>
            </w:pPr>
          </w:p>
        </w:tc>
        <w:tc>
          <w:tcPr>
            <w:tcW w:w="2741" w:type="dxa"/>
            <w:noWrap w:val="0"/>
            <w:vAlign w:val="top"/>
          </w:tcPr>
          <w:p w14:paraId="2C3A8273">
            <w:pPr>
              <w:spacing w:line="400" w:lineRule="atLeast"/>
              <w:jc w:val="center"/>
              <w:rPr>
                <w:rFonts w:hint="eastAsia" w:ascii="宋体" w:hAnsi="宋体" w:eastAsia="宋体" w:cs="宋体"/>
                <w:color w:val="auto"/>
                <w:sz w:val="24"/>
                <w:highlight w:val="none"/>
              </w:rPr>
            </w:pPr>
          </w:p>
        </w:tc>
        <w:tc>
          <w:tcPr>
            <w:tcW w:w="1444" w:type="dxa"/>
            <w:noWrap w:val="0"/>
            <w:vAlign w:val="top"/>
          </w:tcPr>
          <w:p w14:paraId="082FA5FA">
            <w:pPr>
              <w:spacing w:line="400" w:lineRule="atLeast"/>
              <w:jc w:val="center"/>
              <w:rPr>
                <w:rFonts w:hint="eastAsia" w:ascii="宋体" w:hAnsi="宋体" w:eastAsia="宋体" w:cs="宋体"/>
                <w:color w:val="auto"/>
                <w:sz w:val="24"/>
                <w:highlight w:val="none"/>
              </w:rPr>
            </w:pPr>
          </w:p>
        </w:tc>
      </w:tr>
      <w:tr w14:paraId="7B61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27F13F2B">
            <w:pPr>
              <w:spacing w:line="400" w:lineRule="atLeast"/>
              <w:jc w:val="center"/>
              <w:rPr>
                <w:rFonts w:hint="eastAsia" w:ascii="宋体" w:hAnsi="宋体" w:eastAsia="宋体" w:cs="宋体"/>
                <w:color w:val="auto"/>
                <w:sz w:val="24"/>
                <w:highlight w:val="none"/>
              </w:rPr>
            </w:pPr>
          </w:p>
        </w:tc>
        <w:tc>
          <w:tcPr>
            <w:tcW w:w="2140" w:type="dxa"/>
            <w:noWrap w:val="0"/>
            <w:vAlign w:val="top"/>
          </w:tcPr>
          <w:p w14:paraId="2488BC86">
            <w:pPr>
              <w:spacing w:line="400" w:lineRule="atLeast"/>
              <w:jc w:val="center"/>
              <w:rPr>
                <w:rFonts w:hint="eastAsia" w:ascii="宋体" w:hAnsi="宋体" w:eastAsia="宋体" w:cs="宋体"/>
                <w:color w:val="auto"/>
                <w:sz w:val="24"/>
                <w:highlight w:val="none"/>
              </w:rPr>
            </w:pPr>
          </w:p>
        </w:tc>
        <w:tc>
          <w:tcPr>
            <w:tcW w:w="2495" w:type="dxa"/>
            <w:noWrap w:val="0"/>
            <w:vAlign w:val="top"/>
          </w:tcPr>
          <w:p w14:paraId="48658E00">
            <w:pPr>
              <w:spacing w:line="400" w:lineRule="atLeast"/>
              <w:jc w:val="center"/>
              <w:rPr>
                <w:rFonts w:hint="eastAsia" w:ascii="宋体" w:hAnsi="宋体" w:eastAsia="宋体" w:cs="宋体"/>
                <w:color w:val="auto"/>
                <w:sz w:val="24"/>
                <w:highlight w:val="none"/>
              </w:rPr>
            </w:pPr>
          </w:p>
        </w:tc>
        <w:tc>
          <w:tcPr>
            <w:tcW w:w="2741" w:type="dxa"/>
            <w:noWrap w:val="0"/>
            <w:vAlign w:val="top"/>
          </w:tcPr>
          <w:p w14:paraId="44404B96">
            <w:pPr>
              <w:spacing w:line="400" w:lineRule="atLeast"/>
              <w:jc w:val="center"/>
              <w:rPr>
                <w:rFonts w:hint="eastAsia" w:ascii="宋体" w:hAnsi="宋体" w:eastAsia="宋体" w:cs="宋体"/>
                <w:color w:val="auto"/>
                <w:sz w:val="24"/>
                <w:highlight w:val="none"/>
              </w:rPr>
            </w:pPr>
          </w:p>
        </w:tc>
        <w:tc>
          <w:tcPr>
            <w:tcW w:w="1444" w:type="dxa"/>
            <w:noWrap w:val="0"/>
            <w:vAlign w:val="top"/>
          </w:tcPr>
          <w:p w14:paraId="3BB962DA">
            <w:pPr>
              <w:spacing w:line="400" w:lineRule="atLeast"/>
              <w:jc w:val="center"/>
              <w:rPr>
                <w:rFonts w:hint="eastAsia" w:ascii="宋体" w:hAnsi="宋体" w:eastAsia="宋体" w:cs="宋体"/>
                <w:color w:val="auto"/>
                <w:sz w:val="24"/>
                <w:highlight w:val="none"/>
              </w:rPr>
            </w:pPr>
          </w:p>
        </w:tc>
      </w:tr>
      <w:tr w14:paraId="5223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71C0BCFC">
            <w:pPr>
              <w:spacing w:line="400" w:lineRule="atLeast"/>
              <w:jc w:val="center"/>
              <w:rPr>
                <w:rFonts w:hint="eastAsia" w:ascii="宋体" w:hAnsi="宋体" w:eastAsia="宋体" w:cs="宋体"/>
                <w:color w:val="auto"/>
                <w:sz w:val="24"/>
                <w:highlight w:val="none"/>
              </w:rPr>
            </w:pPr>
          </w:p>
        </w:tc>
        <w:tc>
          <w:tcPr>
            <w:tcW w:w="2140" w:type="dxa"/>
            <w:noWrap w:val="0"/>
            <w:vAlign w:val="top"/>
          </w:tcPr>
          <w:p w14:paraId="5B420079">
            <w:pPr>
              <w:spacing w:line="400" w:lineRule="atLeast"/>
              <w:jc w:val="center"/>
              <w:rPr>
                <w:rFonts w:hint="eastAsia" w:ascii="宋体" w:hAnsi="宋体" w:eastAsia="宋体" w:cs="宋体"/>
                <w:color w:val="auto"/>
                <w:sz w:val="24"/>
                <w:highlight w:val="none"/>
              </w:rPr>
            </w:pPr>
          </w:p>
        </w:tc>
        <w:tc>
          <w:tcPr>
            <w:tcW w:w="2495" w:type="dxa"/>
            <w:noWrap w:val="0"/>
            <w:vAlign w:val="top"/>
          </w:tcPr>
          <w:p w14:paraId="02549375">
            <w:pPr>
              <w:spacing w:line="400" w:lineRule="atLeast"/>
              <w:jc w:val="center"/>
              <w:rPr>
                <w:rFonts w:hint="eastAsia" w:ascii="宋体" w:hAnsi="宋体" w:eastAsia="宋体" w:cs="宋体"/>
                <w:color w:val="auto"/>
                <w:sz w:val="24"/>
                <w:highlight w:val="none"/>
              </w:rPr>
            </w:pPr>
          </w:p>
        </w:tc>
        <w:tc>
          <w:tcPr>
            <w:tcW w:w="2741" w:type="dxa"/>
            <w:noWrap w:val="0"/>
            <w:vAlign w:val="top"/>
          </w:tcPr>
          <w:p w14:paraId="359778E8">
            <w:pPr>
              <w:spacing w:line="400" w:lineRule="atLeast"/>
              <w:jc w:val="center"/>
              <w:rPr>
                <w:rFonts w:hint="eastAsia" w:ascii="宋体" w:hAnsi="宋体" w:eastAsia="宋体" w:cs="宋体"/>
                <w:color w:val="auto"/>
                <w:sz w:val="24"/>
                <w:highlight w:val="none"/>
              </w:rPr>
            </w:pPr>
          </w:p>
        </w:tc>
        <w:tc>
          <w:tcPr>
            <w:tcW w:w="1444" w:type="dxa"/>
            <w:noWrap w:val="0"/>
            <w:vAlign w:val="top"/>
          </w:tcPr>
          <w:p w14:paraId="67CD0F5C">
            <w:pPr>
              <w:spacing w:line="400" w:lineRule="atLeast"/>
              <w:jc w:val="center"/>
              <w:rPr>
                <w:rFonts w:hint="eastAsia" w:ascii="宋体" w:hAnsi="宋体" w:eastAsia="宋体" w:cs="宋体"/>
                <w:color w:val="auto"/>
                <w:sz w:val="24"/>
                <w:highlight w:val="none"/>
              </w:rPr>
            </w:pPr>
          </w:p>
        </w:tc>
      </w:tr>
      <w:tr w14:paraId="01B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14:paraId="53A28F51">
            <w:pPr>
              <w:spacing w:line="400" w:lineRule="atLeast"/>
              <w:jc w:val="center"/>
              <w:rPr>
                <w:rFonts w:hint="eastAsia" w:ascii="宋体" w:hAnsi="宋体" w:eastAsia="宋体" w:cs="宋体"/>
                <w:color w:val="auto"/>
                <w:sz w:val="24"/>
                <w:highlight w:val="none"/>
              </w:rPr>
            </w:pPr>
          </w:p>
        </w:tc>
        <w:tc>
          <w:tcPr>
            <w:tcW w:w="2140" w:type="dxa"/>
            <w:noWrap w:val="0"/>
            <w:vAlign w:val="top"/>
          </w:tcPr>
          <w:p w14:paraId="2C6FE70C">
            <w:pPr>
              <w:spacing w:line="400" w:lineRule="atLeast"/>
              <w:jc w:val="center"/>
              <w:rPr>
                <w:rFonts w:hint="eastAsia" w:ascii="宋体" w:hAnsi="宋体" w:eastAsia="宋体" w:cs="宋体"/>
                <w:color w:val="auto"/>
                <w:sz w:val="24"/>
                <w:highlight w:val="none"/>
              </w:rPr>
            </w:pPr>
          </w:p>
        </w:tc>
        <w:tc>
          <w:tcPr>
            <w:tcW w:w="2495" w:type="dxa"/>
            <w:noWrap w:val="0"/>
            <w:vAlign w:val="top"/>
          </w:tcPr>
          <w:p w14:paraId="14F6C5F2">
            <w:pPr>
              <w:spacing w:line="400" w:lineRule="atLeast"/>
              <w:jc w:val="center"/>
              <w:rPr>
                <w:rFonts w:hint="eastAsia" w:ascii="宋体" w:hAnsi="宋体" w:eastAsia="宋体" w:cs="宋体"/>
                <w:color w:val="auto"/>
                <w:sz w:val="24"/>
                <w:highlight w:val="none"/>
              </w:rPr>
            </w:pPr>
          </w:p>
        </w:tc>
        <w:tc>
          <w:tcPr>
            <w:tcW w:w="2741" w:type="dxa"/>
            <w:noWrap w:val="0"/>
            <w:vAlign w:val="top"/>
          </w:tcPr>
          <w:p w14:paraId="431087B8">
            <w:pPr>
              <w:spacing w:line="400" w:lineRule="atLeast"/>
              <w:jc w:val="center"/>
              <w:rPr>
                <w:rFonts w:hint="eastAsia" w:ascii="宋体" w:hAnsi="宋体" w:eastAsia="宋体" w:cs="宋体"/>
                <w:color w:val="auto"/>
                <w:sz w:val="24"/>
                <w:highlight w:val="none"/>
              </w:rPr>
            </w:pPr>
          </w:p>
        </w:tc>
        <w:tc>
          <w:tcPr>
            <w:tcW w:w="1444" w:type="dxa"/>
            <w:noWrap w:val="0"/>
            <w:vAlign w:val="top"/>
          </w:tcPr>
          <w:p w14:paraId="2DE95642">
            <w:pPr>
              <w:spacing w:line="400" w:lineRule="atLeast"/>
              <w:jc w:val="center"/>
              <w:rPr>
                <w:rFonts w:hint="eastAsia" w:ascii="宋体" w:hAnsi="宋体" w:eastAsia="宋体" w:cs="宋体"/>
                <w:color w:val="auto"/>
                <w:sz w:val="24"/>
                <w:highlight w:val="none"/>
              </w:rPr>
            </w:pPr>
          </w:p>
        </w:tc>
      </w:tr>
    </w:tbl>
    <w:p w14:paraId="2A280FE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val="en-US" w:eastAsia="zh-CN"/>
        </w:rPr>
        <w:t>标</w:t>
      </w:r>
      <w:r>
        <w:rPr>
          <w:rStyle w:val="42"/>
          <w:rFonts w:hint="eastAsia" w:ascii="仿宋_GB2312" w:hAnsi="仿宋_GB2312" w:eastAsia="仿宋_GB2312" w:cs="仿宋_GB2312"/>
          <w:b w:val="0"/>
          <w:bCs w:val="0"/>
          <w:color w:val="auto"/>
          <w:spacing w:val="7"/>
          <w:sz w:val="32"/>
          <w:szCs w:val="32"/>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为核心参数请</w:t>
      </w:r>
      <w:r>
        <w:rPr>
          <w:rFonts w:hint="eastAsia" w:ascii="宋体" w:hAnsi="宋体" w:eastAsia="宋体" w:cs="宋体"/>
          <w:color w:val="auto"/>
          <w:sz w:val="24"/>
          <w:szCs w:val="24"/>
          <w:highlight w:val="none"/>
        </w:rPr>
        <w:t>逐条对应填写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cs="宋体"/>
          <w:color w:val="auto"/>
          <w:sz w:val="24"/>
          <w:szCs w:val="24"/>
          <w:highlight w:val="none"/>
          <w:lang w:val="en-US" w:eastAsia="zh-CN"/>
        </w:rPr>
        <w:t>核心参数</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为实质性响应条款，“</w:t>
      </w:r>
      <w:r>
        <w:rPr>
          <w:rFonts w:hint="eastAsia" w:ascii="宋体" w:hAnsi="宋体" w:eastAsia="宋体" w:cs="宋体"/>
          <w:color w:val="auto"/>
          <w:sz w:val="24"/>
          <w:szCs w:val="24"/>
          <w:highlight w:val="none"/>
        </w:rPr>
        <w:t>偏离情况</w:t>
      </w:r>
      <w:r>
        <w:rPr>
          <w:rFonts w:hint="eastAsia" w:ascii="宋体" w:hAnsi="宋体" w:eastAsia="宋体" w:cs="宋体"/>
          <w:color w:val="auto"/>
          <w:sz w:val="24"/>
          <w:szCs w:val="24"/>
          <w:highlight w:val="none"/>
          <w:lang w:eastAsia="zh-CN"/>
        </w:rPr>
        <w:t>”填写“正偏离”或“负偏离”或“无偏离”</w:t>
      </w:r>
      <w:r>
        <w:rPr>
          <w:rFonts w:hint="eastAsia" w:ascii="宋体" w:hAnsi="宋体" w:eastAsia="宋体" w:cs="宋体"/>
          <w:color w:val="auto"/>
          <w:sz w:val="24"/>
          <w:szCs w:val="24"/>
          <w:highlight w:val="none"/>
        </w:rPr>
        <w:t>。</w:t>
      </w:r>
    </w:p>
    <w:p w14:paraId="01AC285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513B87C3">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867D6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45BC5E4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065320DA">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75062D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eastAsia="宋体" w:cs="宋体"/>
          <w:b w:val="0"/>
          <w:bCs w:val="0"/>
          <w:color w:val="auto"/>
          <w:kern w:val="0"/>
          <w:sz w:val="24"/>
          <w:szCs w:val="24"/>
          <w:highlight w:val="none"/>
          <w:u w:val="single"/>
          <w:lang w:val="en-US" w:eastAsia="zh-CN"/>
        </w:rPr>
        <w:t xml:space="preserve">                   </w:t>
      </w:r>
    </w:p>
    <w:p w14:paraId="71C56518">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696683A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53BA0BC7">
      <w:pPr>
        <w:keepNext w:val="0"/>
        <w:keepLines w:val="0"/>
        <w:pageBreakBefore w:val="0"/>
        <w:widowControl w:val="0"/>
        <w:kinsoku/>
        <w:wordWrap/>
        <w:overflowPunct/>
        <w:topLinePunct w:val="0"/>
        <w:autoSpaceDE/>
        <w:autoSpaceDN/>
        <w:bidi w:val="0"/>
        <w:textAlignment w:val="auto"/>
        <w:rPr>
          <w:rFonts w:hint="eastAsia" w:ascii="宋体" w:hAnsi="宋体" w:eastAsia="宋体" w:cs="宋体"/>
          <w:color w:val="auto"/>
          <w:sz w:val="24"/>
          <w:szCs w:val="24"/>
          <w:highlight w:val="none"/>
        </w:rPr>
      </w:pPr>
    </w:p>
    <w:p w14:paraId="6503C6B5">
      <w:pPr>
        <w:rPr>
          <w:rFonts w:hint="eastAsia" w:ascii="宋体" w:hAnsi="宋体" w:eastAsia="宋体" w:cs="宋体"/>
          <w:color w:val="auto"/>
          <w:sz w:val="24"/>
          <w:szCs w:val="24"/>
          <w:highlight w:val="none"/>
          <w:lang w:eastAsia="zh-CN"/>
        </w:rPr>
      </w:pPr>
      <w:bookmarkStart w:id="485" w:name="_Toc4134"/>
      <w:bookmarkStart w:id="486" w:name="_Toc22773"/>
      <w:bookmarkStart w:id="487" w:name="_Toc15241"/>
      <w:bookmarkStart w:id="488" w:name="_Toc7509"/>
      <w:r>
        <w:rPr>
          <w:rFonts w:hint="eastAsia" w:ascii="宋体" w:hAnsi="宋体" w:eastAsia="宋体" w:cs="宋体"/>
          <w:color w:val="auto"/>
          <w:sz w:val="24"/>
          <w:szCs w:val="24"/>
          <w:highlight w:val="none"/>
          <w:lang w:eastAsia="zh-CN"/>
        </w:rPr>
        <w:br w:type="page"/>
      </w:r>
    </w:p>
    <w:p w14:paraId="4AC31DE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bookmarkEnd w:id="485"/>
      <w:bookmarkEnd w:id="486"/>
      <w:r>
        <w:rPr>
          <w:rFonts w:hint="eastAsia" w:ascii="宋体" w:hAnsi="宋体" w:eastAsia="宋体" w:cs="宋体"/>
          <w:color w:val="auto"/>
          <w:sz w:val="24"/>
          <w:szCs w:val="24"/>
          <w:highlight w:val="none"/>
          <w:lang w:eastAsia="zh-CN"/>
        </w:rPr>
        <w:t>近三年类似业绩</w:t>
      </w:r>
      <w:bookmarkEnd w:id="487"/>
      <w:bookmarkEnd w:id="488"/>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75"/>
        <w:gridCol w:w="3247"/>
        <w:gridCol w:w="1227"/>
        <w:gridCol w:w="1306"/>
        <w:gridCol w:w="1612"/>
        <w:gridCol w:w="1480"/>
      </w:tblGrid>
      <w:tr w14:paraId="7A4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644926A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7" w:type="dxa"/>
            <w:noWrap w:val="0"/>
            <w:vAlign w:val="center"/>
          </w:tcPr>
          <w:p w14:paraId="33E6C0A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227" w:type="dxa"/>
            <w:noWrap w:val="0"/>
            <w:vAlign w:val="center"/>
          </w:tcPr>
          <w:p w14:paraId="13DB9F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时间</w:t>
            </w:r>
          </w:p>
        </w:tc>
        <w:tc>
          <w:tcPr>
            <w:tcW w:w="1306" w:type="dxa"/>
            <w:noWrap w:val="0"/>
            <w:vAlign w:val="center"/>
          </w:tcPr>
          <w:p w14:paraId="4F0736F9">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612" w:type="dxa"/>
            <w:noWrap w:val="0"/>
            <w:vAlign w:val="center"/>
          </w:tcPr>
          <w:p w14:paraId="000F42E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480" w:type="dxa"/>
            <w:noWrap w:val="0"/>
            <w:vAlign w:val="center"/>
          </w:tcPr>
          <w:p w14:paraId="392D9E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6530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45A1A3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3247" w:type="dxa"/>
            <w:noWrap w:val="0"/>
            <w:vAlign w:val="center"/>
          </w:tcPr>
          <w:p w14:paraId="64E0CB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2C8148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7C78FE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5AFAE7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754C00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r w14:paraId="5AF7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3642A3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3247" w:type="dxa"/>
            <w:noWrap w:val="0"/>
            <w:vAlign w:val="center"/>
          </w:tcPr>
          <w:p w14:paraId="1EA321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4C6425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596094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04D6F1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5EEF3F8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r w14:paraId="5920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75371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3247" w:type="dxa"/>
            <w:noWrap w:val="0"/>
            <w:vAlign w:val="center"/>
          </w:tcPr>
          <w:p w14:paraId="4F691C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1C0CCC7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0967FF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15B96E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3BD5F0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r w14:paraId="0282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2EAC5F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p>
        </w:tc>
        <w:tc>
          <w:tcPr>
            <w:tcW w:w="3247" w:type="dxa"/>
            <w:noWrap w:val="0"/>
            <w:vAlign w:val="center"/>
          </w:tcPr>
          <w:p w14:paraId="02D1E0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402EB6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365C85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0DC7F2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16BB6B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r w14:paraId="235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0DE767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3247" w:type="dxa"/>
            <w:noWrap w:val="0"/>
            <w:vAlign w:val="center"/>
          </w:tcPr>
          <w:p w14:paraId="18D8B3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444C2B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3B0FD9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6715A7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791CC13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r w14:paraId="08C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0436F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3247" w:type="dxa"/>
            <w:noWrap w:val="0"/>
            <w:vAlign w:val="center"/>
          </w:tcPr>
          <w:p w14:paraId="07CB90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227" w:type="dxa"/>
            <w:noWrap w:val="0"/>
            <w:vAlign w:val="center"/>
          </w:tcPr>
          <w:p w14:paraId="6B1128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306" w:type="dxa"/>
            <w:noWrap w:val="0"/>
            <w:vAlign w:val="center"/>
          </w:tcPr>
          <w:p w14:paraId="1DA923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612" w:type="dxa"/>
            <w:noWrap w:val="0"/>
            <w:vAlign w:val="center"/>
          </w:tcPr>
          <w:p w14:paraId="7B48E6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c>
          <w:tcPr>
            <w:tcW w:w="1480" w:type="dxa"/>
            <w:noWrap w:val="0"/>
            <w:vAlign w:val="center"/>
          </w:tcPr>
          <w:p w14:paraId="5C60F2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highlight w:val="none"/>
              </w:rPr>
            </w:pPr>
          </w:p>
        </w:tc>
      </w:tr>
    </w:tbl>
    <w:p w14:paraId="37F08A61">
      <w:pPr>
        <w:spacing w:line="400" w:lineRule="atLeast"/>
        <w:rPr>
          <w:rFonts w:hint="eastAsia" w:ascii="宋体" w:hAnsi="宋体" w:eastAsia="宋体" w:cs="宋体"/>
          <w:color w:val="auto"/>
          <w:sz w:val="24"/>
          <w:highlight w:val="none"/>
        </w:rPr>
      </w:pPr>
    </w:p>
    <w:p w14:paraId="0EFDCD5C">
      <w:pP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注：</w:t>
      </w:r>
      <w:r>
        <w:rPr>
          <w:rFonts w:hint="eastAsia" w:ascii="宋体" w:hAnsi="宋体" w:eastAsia="宋体" w:cs="宋体"/>
          <w:b w:val="0"/>
          <w:bCs w:val="0"/>
          <w:color w:val="auto"/>
          <w:sz w:val="21"/>
          <w:szCs w:val="21"/>
          <w:highlight w:val="none"/>
        </w:rPr>
        <w:t>（有效业绩须提供中标通知书或采购合同，合同需清晰可辨认，如出现字体模糊不清，印章不清晰等，视为无效业绩。</w:t>
      </w:r>
      <w:bookmarkStart w:id="489" w:name="_Toc7097287"/>
      <w:bookmarkStart w:id="490" w:name="_Toc361398097"/>
      <w:r>
        <w:rPr>
          <w:rFonts w:hint="eastAsia" w:ascii="宋体" w:hAnsi="宋体" w:cs="宋体"/>
          <w:b w:val="0"/>
          <w:bCs w:val="0"/>
          <w:color w:val="auto"/>
          <w:sz w:val="21"/>
          <w:szCs w:val="21"/>
          <w:highlight w:val="none"/>
          <w:lang w:eastAsia="zh-CN"/>
        </w:rPr>
        <w:t>）</w:t>
      </w:r>
    </w:p>
    <w:p w14:paraId="4918A7F3">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0889D4B3">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5CB16992">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1B1130E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790F709B">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1B9B8BC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eastAsia="宋体" w:cs="宋体"/>
          <w:b w:val="0"/>
          <w:bCs w:val="0"/>
          <w:color w:val="auto"/>
          <w:kern w:val="0"/>
          <w:sz w:val="24"/>
          <w:szCs w:val="24"/>
          <w:highlight w:val="none"/>
          <w:u w:val="single"/>
          <w:lang w:val="en-US" w:eastAsia="zh-CN"/>
        </w:rPr>
        <w:t xml:space="preserve">                   </w:t>
      </w:r>
    </w:p>
    <w:p w14:paraId="4C81D94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F6BE40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1BDFB462">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0516D316">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D0913FB">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57D39E1C">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6C7CC6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6E22C69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bookmarkEnd w:id="489"/>
    <w:bookmarkEnd w:id="490"/>
    <w:p w14:paraId="3466B88C">
      <w:pPr>
        <w:rPr>
          <w:rFonts w:hint="eastAsia" w:ascii="宋体" w:hAnsi="宋体" w:eastAsia="宋体" w:cs="宋体"/>
          <w:color w:val="auto"/>
          <w:sz w:val="24"/>
          <w:szCs w:val="24"/>
          <w:highlight w:val="none"/>
          <w:lang w:eastAsia="zh-CN"/>
        </w:rPr>
      </w:pPr>
      <w:bookmarkStart w:id="491" w:name="_Toc14228"/>
      <w:bookmarkStart w:id="492" w:name="_Toc9030"/>
      <w:bookmarkStart w:id="493" w:name="_Toc864"/>
      <w:bookmarkStart w:id="494" w:name="_Toc62"/>
      <w:bookmarkStart w:id="495" w:name="_Toc7097293"/>
      <w:bookmarkStart w:id="496" w:name="_Toc7097288"/>
      <w:bookmarkStart w:id="497" w:name="_Toc361398098"/>
      <w:bookmarkStart w:id="498" w:name="_Toc217714332"/>
      <w:r>
        <w:rPr>
          <w:rFonts w:hint="eastAsia" w:ascii="宋体" w:hAnsi="宋体" w:eastAsia="宋体" w:cs="宋体"/>
          <w:color w:val="auto"/>
          <w:sz w:val="24"/>
          <w:szCs w:val="24"/>
          <w:highlight w:val="none"/>
          <w:lang w:eastAsia="zh-CN"/>
        </w:rPr>
        <w:br w:type="page"/>
      </w:r>
    </w:p>
    <w:p w14:paraId="4A7263C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）项目实施（服务）方案</w:t>
      </w:r>
      <w:bookmarkEnd w:id="491"/>
      <w:bookmarkEnd w:id="492"/>
      <w:bookmarkEnd w:id="493"/>
      <w:bookmarkEnd w:id="494"/>
    </w:p>
    <w:p w14:paraId="55116D68">
      <w:pPr>
        <w:jc w:val="center"/>
        <w:rPr>
          <w:rFonts w:hint="eastAsia" w:ascii="宋体" w:hAnsi="宋体" w:eastAsia="宋体" w:cs="宋体"/>
          <w:color w:val="auto"/>
          <w:highlight w:val="none"/>
        </w:rPr>
      </w:pPr>
      <w:r>
        <w:rPr>
          <w:rFonts w:hint="eastAsia" w:ascii="宋体" w:hAnsi="宋体" w:eastAsia="宋体" w:cs="宋体"/>
          <w:color w:val="auto"/>
          <w:highlight w:val="none"/>
        </w:rPr>
        <w:t>（格式自拟）</w:t>
      </w:r>
      <w:bookmarkEnd w:id="495"/>
    </w:p>
    <w:p w14:paraId="086CB00E">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1C6CC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由各供应商自行编写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内容详尽、易于理解和评审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并富有建设性的项目</w:t>
      </w:r>
      <w:r>
        <w:rPr>
          <w:rFonts w:hint="eastAsia" w:ascii="宋体" w:hAnsi="宋体" w:eastAsia="宋体" w:cs="宋体"/>
          <w:color w:val="auto"/>
          <w:sz w:val="24"/>
          <w:szCs w:val="24"/>
          <w:highlight w:val="none"/>
          <w:lang w:eastAsia="zh-CN"/>
        </w:rPr>
        <w:t>实施（服务）</w:t>
      </w:r>
      <w:r>
        <w:rPr>
          <w:rFonts w:hint="eastAsia" w:ascii="宋体" w:hAnsi="宋体" w:eastAsia="宋体" w:cs="宋体"/>
          <w:color w:val="auto"/>
          <w:sz w:val="24"/>
          <w:szCs w:val="24"/>
          <w:highlight w:val="none"/>
        </w:rPr>
        <w:t>方案将在评标时具有优势。</w:t>
      </w:r>
    </w:p>
    <w:p w14:paraId="29515C6B">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2A2722E2">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29531EC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50103F0">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8AFA4EE">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1B1D439D">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435B47F7">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7D109527">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77DF2F3">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6605623C">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2E604264">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49613967">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F72922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54256B68">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4AA08965">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4156EE1">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37149F10">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6357CC6D">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24279F1C">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p>
    <w:p w14:paraId="4890D779">
      <w:pPr>
        <w:rPr>
          <w:rFonts w:hint="eastAsia" w:ascii="宋体" w:hAnsi="宋体" w:eastAsia="宋体" w:cs="宋体"/>
          <w:color w:val="auto"/>
          <w:sz w:val="24"/>
          <w:szCs w:val="24"/>
          <w:highlight w:val="none"/>
          <w:lang w:eastAsia="zh-CN"/>
        </w:rPr>
      </w:pPr>
      <w:bookmarkStart w:id="499" w:name="_Toc6489"/>
      <w:bookmarkStart w:id="500" w:name="_Toc19132"/>
      <w:bookmarkStart w:id="501" w:name="_Toc20059"/>
      <w:bookmarkStart w:id="502" w:name="_Toc6429"/>
      <w:r>
        <w:rPr>
          <w:rFonts w:hint="eastAsia" w:ascii="宋体" w:hAnsi="宋体" w:eastAsia="宋体" w:cs="宋体"/>
          <w:color w:val="auto"/>
          <w:sz w:val="24"/>
          <w:szCs w:val="24"/>
          <w:highlight w:val="none"/>
          <w:lang w:eastAsia="zh-CN"/>
        </w:rPr>
        <w:br w:type="page"/>
      </w:r>
    </w:p>
    <w:p w14:paraId="501F3260">
      <w:pPr>
        <w:pStyle w:val="4"/>
        <w:keepNext/>
        <w:keepLines/>
        <w:pageBreakBefore w:val="0"/>
        <w:widowControl w:val="0"/>
        <w:numPr>
          <w:ilvl w:val="0"/>
          <w:numId w:val="8"/>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服务承诺</w:t>
      </w:r>
      <w:bookmarkEnd w:id="499"/>
      <w:bookmarkEnd w:id="500"/>
      <w:bookmarkEnd w:id="501"/>
    </w:p>
    <w:p w14:paraId="07F4C2CC">
      <w:pPr>
        <w:rPr>
          <w:rFonts w:hint="eastAsia"/>
          <w:color w:val="auto"/>
          <w:lang w:eastAsia="zh-CN"/>
        </w:rPr>
      </w:pPr>
    </w:p>
    <w:p w14:paraId="63EE9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zh-CN"/>
        </w:rPr>
      </w:pPr>
      <w:bookmarkStart w:id="503" w:name="_Toc8461"/>
      <w:r>
        <w:rPr>
          <w:rFonts w:hint="eastAsia" w:ascii="宋体" w:hAnsi="宋体" w:eastAsia="宋体" w:cs="宋体"/>
          <w:b/>
          <w:bCs/>
          <w:color w:val="auto"/>
          <w:sz w:val="32"/>
          <w:szCs w:val="32"/>
          <w:highlight w:val="none"/>
          <w:lang w:val="zh-CN"/>
        </w:rPr>
        <w:t>不参与围标串标承诺书</w:t>
      </w:r>
      <w:bookmarkEnd w:id="503"/>
    </w:p>
    <w:p w14:paraId="1A2A25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zh-CN"/>
        </w:rPr>
      </w:pPr>
    </w:p>
    <w:p w14:paraId="29FC6B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为诚实、客观、有序地参与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项目采购活动，愿就以下内容作出承诺：</w:t>
      </w:r>
    </w:p>
    <w:p w14:paraId="5AB15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一、严格遵守国家法律法规和行业规范，诚实守信，公平竞争，不参与任何形式的围标、串标行为，不与其他投标供应商存在控股、管理及其他关联关系。</w:t>
      </w:r>
    </w:p>
    <w:p w14:paraId="442CA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7AECB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三、若在招标投标过程中发现其他投标人或相关方有围标、串标等违法行为，及时告知采购人或代理机构，积极配合调查。</w:t>
      </w:r>
    </w:p>
    <w:p w14:paraId="303979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3B364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p>
    <w:p w14:paraId="72CFD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                             （公章）</w:t>
      </w:r>
    </w:p>
    <w:p w14:paraId="23886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法定代表人或委托代理人：             （签字）</w:t>
      </w:r>
    </w:p>
    <w:p w14:paraId="4E31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年   月   日</w:t>
      </w:r>
    </w:p>
    <w:p w14:paraId="42A9C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0C437B55">
      <w:pPr>
        <w:rPr>
          <w:rFonts w:hint="eastAsia" w:asciiTheme="majorEastAsia" w:hAnsiTheme="majorEastAsia" w:eastAsiaTheme="majorEastAsia" w:cstheme="majorEastAsia"/>
          <w:color w:val="auto"/>
          <w:lang w:val="en-US" w:eastAsia="zh-CN"/>
        </w:rPr>
      </w:pPr>
      <w:r>
        <w:rPr>
          <w:rFonts w:hint="eastAsia" w:ascii="仿宋" w:hAnsi="仿宋" w:eastAsia="仿宋" w:cs="仿宋"/>
          <w:b/>
          <w:bCs/>
          <w:color w:val="auto"/>
          <w:spacing w:val="1"/>
          <w:sz w:val="30"/>
          <w:szCs w:val="30"/>
        </w:rPr>
        <w:t>附件2-</w:t>
      </w:r>
      <w:r>
        <w:rPr>
          <w:rFonts w:hint="eastAsia" w:ascii="仿宋" w:hAnsi="仿宋" w:eastAsia="仿宋" w:cs="仿宋"/>
          <w:b/>
          <w:bCs/>
          <w:color w:val="auto"/>
          <w:spacing w:val="1"/>
          <w:sz w:val="30"/>
          <w:szCs w:val="30"/>
          <w:lang w:val="en-US" w:eastAsia="zh-CN"/>
        </w:rPr>
        <w:t>11</w:t>
      </w:r>
    </w:p>
    <w:p w14:paraId="31BB669B">
      <w:pPr>
        <w:autoSpaceDE w:val="0"/>
        <w:autoSpaceDN w:val="0"/>
        <w:adjustRightInd w:val="0"/>
        <w:spacing w:line="400" w:lineRule="exact"/>
        <w:jc w:val="center"/>
        <w:rPr>
          <w:rFonts w:ascii="仿宋" w:hAnsi="仿宋" w:eastAsia="仿宋" w:cs="仿宋"/>
          <w:color w:val="auto"/>
          <w:sz w:val="32"/>
          <w:szCs w:val="32"/>
        </w:rPr>
      </w:pPr>
      <w:r>
        <w:rPr>
          <w:rFonts w:hint="eastAsia" w:asciiTheme="majorEastAsia" w:hAnsiTheme="majorEastAsia" w:eastAsiaTheme="majorEastAsia" w:cstheme="majorEastAsia"/>
          <w:b/>
          <w:bCs/>
          <w:color w:val="auto"/>
          <w:sz w:val="32"/>
          <w:szCs w:val="32"/>
        </w:rPr>
        <w:t>供应商诚信承诺书</w:t>
      </w:r>
    </w:p>
    <w:p w14:paraId="791C3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bookmarkStart w:id="504" w:name="_Hlk182910040"/>
      <w:r>
        <w:rPr>
          <w:rFonts w:hint="eastAsia" w:ascii="宋体" w:hAnsi="宋体" w:eastAsia="宋体" w:cs="宋体"/>
          <w:color w:val="auto"/>
          <w:sz w:val="24"/>
          <w:szCs w:val="24"/>
          <w:highlight w:val="none"/>
          <w:lang w:val="zh-CN"/>
        </w:rPr>
        <w:t>为了诚实、客观、有序地参与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项目采购活动，愿就以下内容作出承诺：</w:t>
      </w:r>
    </w:p>
    <w:bookmarkEnd w:id="504"/>
    <w:p w14:paraId="42742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一、自觉遵守各项法律、法规、规章、制度以及社会公德，维护廉洁环境，与同场竞争的供应商平等参加招采购活动。</w:t>
      </w:r>
    </w:p>
    <w:p w14:paraId="5113A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参加采购代理机构组织的采购活动时，严格按照招标文件的规定和要求提供所需的相关材料，并对所提供的各类资料的真实性负责，不虚假应标，不虚列业绩；不以他人名义投标或者以其他方式弄虚作假，骗取中标。</w:t>
      </w:r>
    </w:p>
    <w:p w14:paraId="415F0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三、尊重参与采购活动各相关方的合法行为，接受采购活动依法形成的意见、结果。</w:t>
      </w:r>
    </w:p>
    <w:p w14:paraId="2D64C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bookmarkStart w:id="505" w:name="_Hlk182909516"/>
      <w:r>
        <w:rPr>
          <w:rFonts w:hint="eastAsia" w:ascii="宋体" w:hAnsi="宋体" w:eastAsia="宋体" w:cs="宋体"/>
          <w:color w:val="auto"/>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05"/>
    <w:p w14:paraId="2AB6E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4890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CFAC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七、认真履行成交人应承担的责任和义务，全面执行采购合同规定的各项内容，保质保量地按时提供采购物品。</w:t>
      </w:r>
    </w:p>
    <w:p w14:paraId="47290C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若本企业（单位）发生有悖于上述承诺的行为或形成恶意投诉，我们自愿接受《政府采购法》等有关法律法规中对供应商的相关处理：</w:t>
      </w:r>
      <w:bookmarkStart w:id="506" w:name="_Hlk182910718"/>
      <w:r>
        <w:rPr>
          <w:rFonts w:hint="eastAsia" w:ascii="宋体" w:hAnsi="宋体" w:eastAsia="宋体" w:cs="宋体"/>
          <w:color w:val="auto"/>
          <w:sz w:val="24"/>
          <w:szCs w:val="24"/>
          <w:highlight w:val="none"/>
          <w:lang w:val="zh-CN"/>
        </w:rPr>
        <w:t>自愿放弃中标资格、限制以后投标、记入不良信用档案、没收本次投标保证金，并愿意承担由此引起的其他法律责任。</w:t>
      </w:r>
      <w:bookmarkEnd w:id="506"/>
    </w:p>
    <w:p w14:paraId="0AE9EB94">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highlight w:val="none"/>
          <w:lang w:val="zh-CN"/>
        </w:rPr>
      </w:pPr>
      <w:bookmarkStart w:id="507" w:name="_Hlk182910783"/>
      <w:r>
        <w:rPr>
          <w:rFonts w:hint="eastAsia" w:ascii="宋体" w:hAnsi="宋体" w:eastAsia="宋体" w:cs="宋体"/>
          <w:color w:val="auto"/>
          <w:sz w:val="24"/>
          <w:szCs w:val="24"/>
          <w:highlight w:val="none"/>
          <w:lang w:val="zh-CN"/>
        </w:rPr>
        <w:t>供应商：             （公章）</w:t>
      </w:r>
    </w:p>
    <w:p w14:paraId="44DC3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法定代表人或委托代理人：             （签字）</w:t>
      </w:r>
    </w:p>
    <w:p w14:paraId="69805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年   月   日</w:t>
      </w:r>
      <w:bookmarkEnd w:id="507"/>
    </w:p>
    <w:p w14:paraId="382EDAE0">
      <w:pPr>
        <w:rPr>
          <w:rFonts w:hint="eastAsia" w:ascii="仿宋" w:hAnsi="仿宋" w:eastAsia="仿宋" w:cs="仿宋"/>
          <w:bCs/>
          <w:color w:val="auto"/>
          <w:kern w:val="0"/>
          <w:sz w:val="21"/>
          <w:szCs w:val="20"/>
          <w:lang w:val="zh-CN"/>
        </w:rPr>
      </w:pPr>
    </w:p>
    <w:p w14:paraId="72E7670C">
      <w:pPr>
        <w:rPr>
          <w:rFonts w:hint="eastAsia" w:ascii="宋体" w:hAnsi="宋体" w:eastAsia="宋体" w:cs="宋体"/>
          <w:color w:val="auto"/>
          <w:sz w:val="24"/>
          <w:szCs w:val="24"/>
          <w:highlight w:val="none"/>
          <w:lang w:eastAsia="zh-CN"/>
        </w:rPr>
      </w:pPr>
      <w:bookmarkStart w:id="508" w:name="_Toc13598"/>
      <w:bookmarkStart w:id="509" w:name="_Toc24488"/>
      <w:bookmarkStart w:id="510" w:name="_Toc1707"/>
    </w:p>
    <w:p w14:paraId="22D911D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）服务团队</w:t>
      </w:r>
      <w:bookmarkEnd w:id="508"/>
      <w:bookmarkEnd w:id="509"/>
      <w:bookmarkEnd w:id="510"/>
    </w:p>
    <w:p w14:paraId="467420CF">
      <w:pPr>
        <w:tabs>
          <w:tab w:val="center" w:pos="4252"/>
        </w:tabs>
        <w:rPr>
          <w:rFonts w:hint="eastAsia" w:ascii="宋体" w:hAnsi="宋体" w:eastAsia="宋体" w:cs="宋体"/>
          <w:color w:val="auto"/>
          <w:szCs w:val="21"/>
          <w:highlight w:val="none"/>
        </w:rPr>
      </w:pPr>
    </w:p>
    <w:p w14:paraId="1F1CF07A">
      <w:pPr>
        <w:spacing w:line="400" w:lineRule="atLeast"/>
        <w:ind w:left="2880" w:hanging="288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Cs w:val="21"/>
          <w:highlight w:val="none"/>
        </w:rPr>
        <w:t>项目名称：</w:t>
      </w:r>
    </w:p>
    <w:p w14:paraId="02CC26E9">
      <w:pPr>
        <w:tabs>
          <w:tab w:val="center" w:pos="4252"/>
        </w:tabs>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6"/>
        <w:gridCol w:w="1200"/>
        <w:gridCol w:w="2320"/>
        <w:gridCol w:w="1860"/>
        <w:gridCol w:w="1961"/>
      </w:tblGrid>
      <w:tr w14:paraId="5586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0" w:type="dxa"/>
            <w:noWrap w:val="0"/>
            <w:vAlign w:val="center"/>
          </w:tcPr>
          <w:p w14:paraId="01E9FFD7">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16" w:type="dxa"/>
            <w:noWrap w:val="0"/>
            <w:vAlign w:val="center"/>
          </w:tcPr>
          <w:p w14:paraId="2F6B9781">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1200" w:type="dxa"/>
            <w:noWrap w:val="0"/>
            <w:vAlign w:val="center"/>
          </w:tcPr>
          <w:p w14:paraId="4E5A2EBE">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职务</w:t>
            </w:r>
          </w:p>
        </w:tc>
        <w:tc>
          <w:tcPr>
            <w:tcW w:w="2320" w:type="dxa"/>
            <w:noWrap w:val="0"/>
            <w:vAlign w:val="center"/>
          </w:tcPr>
          <w:p w14:paraId="6BC0BB1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资质证书</w:t>
            </w:r>
          </w:p>
        </w:tc>
        <w:tc>
          <w:tcPr>
            <w:tcW w:w="1860" w:type="dxa"/>
            <w:noWrap w:val="0"/>
            <w:vAlign w:val="center"/>
          </w:tcPr>
          <w:p w14:paraId="5F1DE46D">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联系电话</w:t>
            </w:r>
          </w:p>
        </w:tc>
        <w:tc>
          <w:tcPr>
            <w:tcW w:w="1961" w:type="dxa"/>
            <w:noWrap w:val="0"/>
            <w:vAlign w:val="center"/>
          </w:tcPr>
          <w:p w14:paraId="7E8EF921">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w:t>
            </w:r>
          </w:p>
        </w:tc>
      </w:tr>
      <w:tr w14:paraId="712D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7BBBC50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516" w:type="dxa"/>
            <w:noWrap w:val="0"/>
            <w:vAlign w:val="center"/>
          </w:tcPr>
          <w:p w14:paraId="057AA207">
            <w:pPr>
              <w:spacing w:line="360" w:lineRule="auto"/>
              <w:jc w:val="center"/>
              <w:rPr>
                <w:rFonts w:hint="eastAsia" w:ascii="宋体" w:hAnsi="宋体" w:eastAsia="宋体" w:cs="宋体"/>
                <w:color w:val="auto"/>
                <w:szCs w:val="21"/>
                <w:highlight w:val="none"/>
              </w:rPr>
            </w:pPr>
          </w:p>
        </w:tc>
        <w:tc>
          <w:tcPr>
            <w:tcW w:w="1200" w:type="dxa"/>
            <w:noWrap w:val="0"/>
            <w:vAlign w:val="center"/>
          </w:tcPr>
          <w:p w14:paraId="5F37DC3D">
            <w:pPr>
              <w:spacing w:line="360" w:lineRule="auto"/>
              <w:jc w:val="center"/>
              <w:rPr>
                <w:rFonts w:hint="eastAsia" w:ascii="宋体" w:hAnsi="宋体" w:eastAsia="宋体" w:cs="宋体"/>
                <w:color w:val="auto"/>
                <w:szCs w:val="21"/>
                <w:highlight w:val="none"/>
              </w:rPr>
            </w:pPr>
          </w:p>
        </w:tc>
        <w:tc>
          <w:tcPr>
            <w:tcW w:w="2320" w:type="dxa"/>
            <w:noWrap w:val="0"/>
            <w:vAlign w:val="center"/>
          </w:tcPr>
          <w:p w14:paraId="5EDF2E66">
            <w:pPr>
              <w:spacing w:line="360" w:lineRule="auto"/>
              <w:jc w:val="center"/>
              <w:rPr>
                <w:rFonts w:hint="eastAsia" w:ascii="宋体" w:hAnsi="宋体" w:eastAsia="宋体" w:cs="宋体"/>
                <w:color w:val="auto"/>
                <w:szCs w:val="21"/>
                <w:highlight w:val="none"/>
              </w:rPr>
            </w:pPr>
          </w:p>
        </w:tc>
        <w:tc>
          <w:tcPr>
            <w:tcW w:w="1860" w:type="dxa"/>
            <w:noWrap w:val="0"/>
            <w:vAlign w:val="center"/>
          </w:tcPr>
          <w:p w14:paraId="12CE2D16">
            <w:pPr>
              <w:spacing w:line="360" w:lineRule="auto"/>
              <w:jc w:val="center"/>
              <w:rPr>
                <w:rFonts w:hint="eastAsia" w:ascii="宋体" w:hAnsi="宋体" w:eastAsia="宋体" w:cs="宋体"/>
                <w:color w:val="auto"/>
                <w:szCs w:val="21"/>
                <w:highlight w:val="none"/>
              </w:rPr>
            </w:pPr>
          </w:p>
        </w:tc>
        <w:tc>
          <w:tcPr>
            <w:tcW w:w="1961" w:type="dxa"/>
            <w:noWrap w:val="0"/>
            <w:vAlign w:val="center"/>
          </w:tcPr>
          <w:p w14:paraId="192461C3">
            <w:pPr>
              <w:spacing w:line="360" w:lineRule="auto"/>
              <w:jc w:val="center"/>
              <w:rPr>
                <w:rFonts w:hint="eastAsia" w:ascii="宋体" w:hAnsi="宋体" w:eastAsia="宋体" w:cs="宋体"/>
                <w:color w:val="auto"/>
                <w:szCs w:val="21"/>
                <w:highlight w:val="none"/>
              </w:rPr>
            </w:pPr>
          </w:p>
        </w:tc>
      </w:tr>
      <w:tr w14:paraId="4B2A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3DBD2B40">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516" w:type="dxa"/>
            <w:noWrap w:val="0"/>
            <w:vAlign w:val="center"/>
          </w:tcPr>
          <w:p w14:paraId="58EE3DF2">
            <w:pPr>
              <w:spacing w:line="360" w:lineRule="auto"/>
              <w:jc w:val="center"/>
              <w:rPr>
                <w:rFonts w:hint="eastAsia" w:ascii="宋体" w:hAnsi="宋体" w:eastAsia="宋体" w:cs="宋体"/>
                <w:color w:val="auto"/>
                <w:szCs w:val="21"/>
                <w:highlight w:val="none"/>
              </w:rPr>
            </w:pPr>
          </w:p>
        </w:tc>
        <w:tc>
          <w:tcPr>
            <w:tcW w:w="1200" w:type="dxa"/>
            <w:noWrap w:val="0"/>
            <w:vAlign w:val="center"/>
          </w:tcPr>
          <w:p w14:paraId="5A6E20DB">
            <w:pPr>
              <w:spacing w:line="360" w:lineRule="auto"/>
              <w:jc w:val="center"/>
              <w:rPr>
                <w:rFonts w:hint="eastAsia" w:ascii="宋体" w:hAnsi="宋体" w:eastAsia="宋体" w:cs="宋体"/>
                <w:color w:val="auto"/>
                <w:szCs w:val="21"/>
                <w:highlight w:val="none"/>
              </w:rPr>
            </w:pPr>
          </w:p>
        </w:tc>
        <w:tc>
          <w:tcPr>
            <w:tcW w:w="2320" w:type="dxa"/>
            <w:noWrap w:val="0"/>
            <w:vAlign w:val="center"/>
          </w:tcPr>
          <w:p w14:paraId="60228B89">
            <w:pPr>
              <w:spacing w:line="360" w:lineRule="auto"/>
              <w:jc w:val="center"/>
              <w:rPr>
                <w:rFonts w:hint="eastAsia" w:ascii="宋体" w:hAnsi="宋体" w:eastAsia="宋体" w:cs="宋体"/>
                <w:color w:val="auto"/>
                <w:szCs w:val="21"/>
                <w:highlight w:val="none"/>
              </w:rPr>
            </w:pPr>
          </w:p>
        </w:tc>
        <w:tc>
          <w:tcPr>
            <w:tcW w:w="1860" w:type="dxa"/>
            <w:noWrap w:val="0"/>
            <w:vAlign w:val="center"/>
          </w:tcPr>
          <w:p w14:paraId="06A43E2B">
            <w:pPr>
              <w:spacing w:line="360" w:lineRule="auto"/>
              <w:jc w:val="center"/>
              <w:rPr>
                <w:rFonts w:hint="eastAsia" w:ascii="宋体" w:hAnsi="宋体" w:eastAsia="宋体" w:cs="宋体"/>
                <w:color w:val="auto"/>
                <w:szCs w:val="21"/>
                <w:highlight w:val="none"/>
              </w:rPr>
            </w:pPr>
          </w:p>
        </w:tc>
        <w:tc>
          <w:tcPr>
            <w:tcW w:w="1961" w:type="dxa"/>
            <w:noWrap w:val="0"/>
            <w:vAlign w:val="center"/>
          </w:tcPr>
          <w:p w14:paraId="42826FA9">
            <w:pPr>
              <w:spacing w:line="360" w:lineRule="auto"/>
              <w:jc w:val="center"/>
              <w:rPr>
                <w:rFonts w:hint="eastAsia" w:ascii="宋体" w:hAnsi="宋体" w:eastAsia="宋体" w:cs="宋体"/>
                <w:color w:val="auto"/>
                <w:szCs w:val="21"/>
                <w:highlight w:val="none"/>
              </w:rPr>
            </w:pPr>
          </w:p>
        </w:tc>
      </w:tr>
      <w:tr w14:paraId="1F3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251CA9B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516" w:type="dxa"/>
            <w:noWrap w:val="0"/>
            <w:vAlign w:val="center"/>
          </w:tcPr>
          <w:p w14:paraId="3ADB70D9">
            <w:pPr>
              <w:spacing w:line="360" w:lineRule="auto"/>
              <w:jc w:val="center"/>
              <w:rPr>
                <w:rFonts w:hint="eastAsia" w:ascii="宋体" w:hAnsi="宋体" w:eastAsia="宋体" w:cs="宋体"/>
                <w:color w:val="auto"/>
                <w:szCs w:val="21"/>
                <w:highlight w:val="none"/>
              </w:rPr>
            </w:pPr>
          </w:p>
        </w:tc>
        <w:tc>
          <w:tcPr>
            <w:tcW w:w="1200" w:type="dxa"/>
            <w:noWrap w:val="0"/>
            <w:vAlign w:val="center"/>
          </w:tcPr>
          <w:p w14:paraId="2B6D2A5C">
            <w:pPr>
              <w:spacing w:line="360" w:lineRule="auto"/>
              <w:jc w:val="center"/>
              <w:rPr>
                <w:rFonts w:hint="eastAsia" w:ascii="宋体" w:hAnsi="宋体" w:eastAsia="宋体" w:cs="宋体"/>
                <w:color w:val="auto"/>
                <w:szCs w:val="21"/>
                <w:highlight w:val="none"/>
              </w:rPr>
            </w:pPr>
          </w:p>
        </w:tc>
        <w:tc>
          <w:tcPr>
            <w:tcW w:w="2320" w:type="dxa"/>
            <w:noWrap w:val="0"/>
            <w:vAlign w:val="center"/>
          </w:tcPr>
          <w:p w14:paraId="011CB59A">
            <w:pPr>
              <w:spacing w:line="360" w:lineRule="auto"/>
              <w:jc w:val="center"/>
              <w:rPr>
                <w:rFonts w:hint="eastAsia" w:ascii="宋体" w:hAnsi="宋体" w:eastAsia="宋体" w:cs="宋体"/>
                <w:color w:val="auto"/>
                <w:szCs w:val="21"/>
                <w:highlight w:val="none"/>
              </w:rPr>
            </w:pPr>
          </w:p>
        </w:tc>
        <w:tc>
          <w:tcPr>
            <w:tcW w:w="1860" w:type="dxa"/>
            <w:noWrap w:val="0"/>
            <w:vAlign w:val="center"/>
          </w:tcPr>
          <w:p w14:paraId="4D733DBB">
            <w:pPr>
              <w:spacing w:line="360" w:lineRule="auto"/>
              <w:jc w:val="center"/>
              <w:rPr>
                <w:rFonts w:hint="eastAsia" w:ascii="宋体" w:hAnsi="宋体" w:eastAsia="宋体" w:cs="宋体"/>
                <w:color w:val="auto"/>
                <w:szCs w:val="21"/>
                <w:highlight w:val="none"/>
              </w:rPr>
            </w:pPr>
          </w:p>
        </w:tc>
        <w:tc>
          <w:tcPr>
            <w:tcW w:w="1961" w:type="dxa"/>
            <w:noWrap w:val="0"/>
            <w:vAlign w:val="center"/>
          </w:tcPr>
          <w:p w14:paraId="3124257D">
            <w:pPr>
              <w:spacing w:line="360" w:lineRule="auto"/>
              <w:jc w:val="center"/>
              <w:rPr>
                <w:rFonts w:hint="eastAsia" w:ascii="宋体" w:hAnsi="宋体" w:eastAsia="宋体" w:cs="宋体"/>
                <w:color w:val="auto"/>
                <w:szCs w:val="21"/>
                <w:highlight w:val="none"/>
              </w:rPr>
            </w:pPr>
          </w:p>
        </w:tc>
      </w:tr>
      <w:tr w14:paraId="0A1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noWrap w:val="0"/>
            <w:vAlign w:val="center"/>
          </w:tcPr>
          <w:p w14:paraId="185C325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tc>
        <w:tc>
          <w:tcPr>
            <w:tcW w:w="1516" w:type="dxa"/>
            <w:noWrap w:val="0"/>
            <w:vAlign w:val="center"/>
          </w:tcPr>
          <w:p w14:paraId="6E9BD290">
            <w:pPr>
              <w:spacing w:line="360" w:lineRule="auto"/>
              <w:jc w:val="center"/>
              <w:rPr>
                <w:rFonts w:hint="eastAsia" w:ascii="宋体" w:hAnsi="宋体" w:eastAsia="宋体" w:cs="宋体"/>
                <w:color w:val="auto"/>
                <w:szCs w:val="21"/>
                <w:highlight w:val="none"/>
              </w:rPr>
            </w:pPr>
          </w:p>
        </w:tc>
        <w:tc>
          <w:tcPr>
            <w:tcW w:w="1200" w:type="dxa"/>
            <w:noWrap w:val="0"/>
            <w:vAlign w:val="center"/>
          </w:tcPr>
          <w:p w14:paraId="2F8BF0CA">
            <w:pPr>
              <w:spacing w:line="360" w:lineRule="auto"/>
              <w:jc w:val="center"/>
              <w:rPr>
                <w:rFonts w:hint="eastAsia" w:ascii="宋体" w:hAnsi="宋体" w:eastAsia="宋体" w:cs="宋体"/>
                <w:color w:val="auto"/>
                <w:szCs w:val="21"/>
                <w:highlight w:val="none"/>
              </w:rPr>
            </w:pPr>
          </w:p>
        </w:tc>
        <w:tc>
          <w:tcPr>
            <w:tcW w:w="2320" w:type="dxa"/>
            <w:noWrap w:val="0"/>
            <w:vAlign w:val="center"/>
          </w:tcPr>
          <w:p w14:paraId="4EF02C12">
            <w:pPr>
              <w:spacing w:line="360" w:lineRule="auto"/>
              <w:jc w:val="center"/>
              <w:rPr>
                <w:rFonts w:hint="eastAsia" w:ascii="宋体" w:hAnsi="宋体" w:eastAsia="宋体" w:cs="宋体"/>
                <w:color w:val="auto"/>
                <w:szCs w:val="21"/>
                <w:highlight w:val="none"/>
              </w:rPr>
            </w:pPr>
          </w:p>
        </w:tc>
        <w:tc>
          <w:tcPr>
            <w:tcW w:w="1860" w:type="dxa"/>
            <w:noWrap w:val="0"/>
            <w:vAlign w:val="center"/>
          </w:tcPr>
          <w:p w14:paraId="7E3EFF82">
            <w:pPr>
              <w:spacing w:line="360" w:lineRule="auto"/>
              <w:jc w:val="center"/>
              <w:rPr>
                <w:rFonts w:hint="eastAsia" w:ascii="宋体" w:hAnsi="宋体" w:eastAsia="宋体" w:cs="宋体"/>
                <w:color w:val="auto"/>
                <w:szCs w:val="21"/>
                <w:highlight w:val="none"/>
              </w:rPr>
            </w:pPr>
          </w:p>
        </w:tc>
        <w:tc>
          <w:tcPr>
            <w:tcW w:w="1961" w:type="dxa"/>
            <w:noWrap w:val="0"/>
            <w:vAlign w:val="center"/>
          </w:tcPr>
          <w:p w14:paraId="66756FA9">
            <w:pPr>
              <w:spacing w:line="360" w:lineRule="auto"/>
              <w:jc w:val="center"/>
              <w:rPr>
                <w:rFonts w:hint="eastAsia" w:ascii="宋体" w:hAnsi="宋体" w:eastAsia="宋体" w:cs="宋体"/>
                <w:color w:val="auto"/>
                <w:szCs w:val="21"/>
                <w:highlight w:val="none"/>
              </w:rPr>
            </w:pPr>
          </w:p>
        </w:tc>
      </w:tr>
    </w:tbl>
    <w:p w14:paraId="6EB3096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此表可延长</w:t>
      </w:r>
      <w:r>
        <w:rPr>
          <w:rFonts w:hint="eastAsia" w:ascii="宋体" w:hAnsi="宋体" w:cs="宋体"/>
          <w:b w:val="0"/>
          <w:bCs w:val="0"/>
          <w:color w:val="auto"/>
          <w:kern w:val="0"/>
          <w:sz w:val="24"/>
          <w:szCs w:val="24"/>
          <w:highlight w:val="none"/>
          <w:lang w:eastAsia="zh-CN"/>
        </w:rPr>
        <w:t>）</w:t>
      </w:r>
    </w:p>
    <w:p w14:paraId="5BE7729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562CED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6BCF8C7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102317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1FE58390">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lang w:val="en-US" w:eastAsia="zh-CN"/>
        </w:rPr>
      </w:pPr>
    </w:p>
    <w:p w14:paraId="6009159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eastAsia="宋体" w:cs="宋体"/>
          <w:b w:val="0"/>
          <w:bCs w:val="0"/>
          <w:color w:val="auto"/>
          <w:kern w:val="0"/>
          <w:sz w:val="24"/>
          <w:szCs w:val="24"/>
          <w:highlight w:val="none"/>
          <w:u w:val="single"/>
          <w:lang w:val="en-US" w:eastAsia="zh-CN"/>
        </w:rPr>
        <w:t xml:space="preserve">                   </w:t>
      </w:r>
    </w:p>
    <w:p w14:paraId="74E9F1CC">
      <w:pPr>
        <w:pStyle w:val="37"/>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p>
    <w:p w14:paraId="532DC5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CCC7D5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16E94B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1623D0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CC860F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F08084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EB45B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3D1128C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bookmarkEnd w:id="496"/>
    <w:bookmarkEnd w:id="497"/>
    <w:bookmarkEnd w:id="498"/>
    <w:bookmarkEnd w:id="502"/>
    <w:p w14:paraId="3CA4CE45">
      <w:pPr>
        <w:rPr>
          <w:rFonts w:hint="eastAsia" w:ascii="宋体" w:hAnsi="宋体" w:eastAsia="宋体" w:cs="宋体"/>
          <w:color w:val="auto"/>
          <w:sz w:val="24"/>
          <w:szCs w:val="24"/>
          <w:highlight w:val="none"/>
          <w:lang w:eastAsia="zh-CN"/>
        </w:rPr>
      </w:pPr>
      <w:bookmarkStart w:id="511" w:name="_Toc2523"/>
      <w:bookmarkStart w:id="512" w:name="_Toc8244"/>
      <w:bookmarkStart w:id="513" w:name="_Toc20526"/>
      <w:bookmarkStart w:id="514" w:name="_Toc16889"/>
      <w:bookmarkStart w:id="515" w:name="_Toc16135"/>
      <w:r>
        <w:rPr>
          <w:rFonts w:hint="eastAsia" w:ascii="宋体" w:hAnsi="宋体" w:eastAsia="宋体" w:cs="宋体"/>
          <w:color w:val="auto"/>
          <w:sz w:val="24"/>
          <w:szCs w:val="24"/>
          <w:highlight w:val="none"/>
          <w:lang w:eastAsia="zh-CN"/>
        </w:rPr>
        <w:br w:type="page"/>
      </w:r>
    </w:p>
    <w:p w14:paraId="7FB83D5D">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供应商认为需要提供的其它</w:t>
      </w:r>
      <w:r>
        <w:rPr>
          <w:rFonts w:hint="eastAsia" w:ascii="宋体" w:hAnsi="宋体" w:eastAsia="宋体" w:cs="宋体"/>
          <w:color w:val="auto"/>
          <w:sz w:val="24"/>
          <w:szCs w:val="24"/>
          <w:highlight w:val="none"/>
          <w:lang w:eastAsia="zh-CN"/>
        </w:rPr>
        <w:t>的资料</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承诺</w:t>
      </w:r>
      <w:r>
        <w:rPr>
          <w:rFonts w:hint="eastAsia" w:ascii="宋体" w:hAnsi="宋体" w:eastAsia="宋体" w:cs="宋体"/>
          <w:color w:val="auto"/>
          <w:sz w:val="24"/>
          <w:szCs w:val="24"/>
          <w:highlight w:val="none"/>
          <w:lang w:eastAsia="zh-CN"/>
        </w:rPr>
        <w:t>及证明文件等</w:t>
      </w:r>
      <w:bookmarkEnd w:id="511"/>
      <w:bookmarkEnd w:id="512"/>
      <w:bookmarkEnd w:id="513"/>
      <w:bookmarkEnd w:id="514"/>
    </w:p>
    <w:p w14:paraId="40114D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bookmarkEnd w:id="515"/>
    </w:p>
    <w:p w14:paraId="05C047C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2DCD8B1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154F537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337B7C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1705391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20AD70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2786D95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2099E02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52527A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872DC0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2ABDB03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3D3293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3391BAA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683EDF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E49DE1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388BB9F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215FCCE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E56E40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46A58D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30D56E7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2340D7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3DAEAD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3ED9A0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D504C23">
      <w:pPr>
        <w:rPr>
          <w:rFonts w:hint="eastAsia" w:ascii="宋体" w:hAnsi="宋体" w:eastAsia="宋体" w:cs="宋体"/>
          <w:b/>
          <w:bCs w:val="0"/>
          <w:color w:val="auto"/>
          <w:highlight w:val="none"/>
          <w:lang w:val="en-US" w:eastAsia="zh-CN"/>
        </w:rPr>
      </w:pPr>
      <w:bookmarkStart w:id="516" w:name="_Toc20856"/>
      <w:r>
        <w:rPr>
          <w:rFonts w:hint="eastAsia" w:ascii="宋体" w:hAnsi="宋体" w:eastAsia="宋体" w:cs="宋体"/>
          <w:b/>
          <w:bCs w:val="0"/>
          <w:color w:val="auto"/>
          <w:highlight w:val="none"/>
          <w:lang w:val="en-US" w:eastAsia="zh-CN"/>
        </w:rPr>
        <w:br w:type="page"/>
      </w:r>
    </w:p>
    <w:p w14:paraId="69F8E0C2">
      <w:pPr>
        <w:pStyle w:val="2"/>
        <w:rPr>
          <w:rFonts w:hint="eastAsia" w:ascii="宋体" w:hAnsi="宋体" w:eastAsia="宋体" w:cs="宋体"/>
          <w:b/>
          <w:bCs w:val="0"/>
          <w:color w:val="auto"/>
          <w:highlight w:val="none"/>
          <w:lang w:val="en-US" w:eastAsia="zh-CN"/>
        </w:rPr>
      </w:pPr>
      <w:bookmarkStart w:id="517" w:name="_Toc23981"/>
      <w:r>
        <w:rPr>
          <w:rFonts w:hint="eastAsia" w:ascii="宋体" w:hAnsi="宋体" w:eastAsia="宋体" w:cs="宋体"/>
          <w:b/>
          <w:bCs w:val="0"/>
          <w:color w:val="auto"/>
          <w:highlight w:val="none"/>
          <w:lang w:val="en-US" w:eastAsia="zh-CN"/>
        </w:rPr>
        <w:t>第七部分 附件</w:t>
      </w:r>
      <w:bookmarkEnd w:id="464"/>
      <w:bookmarkEnd w:id="465"/>
      <w:bookmarkEnd w:id="466"/>
      <w:bookmarkEnd w:id="467"/>
      <w:bookmarkEnd w:id="516"/>
      <w:bookmarkEnd w:id="517"/>
    </w:p>
    <w:p w14:paraId="7D52C796">
      <w:pPr>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5FAAC00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中小企业划型标准规定</w:t>
      </w:r>
    </w:p>
    <w:p w14:paraId="632BC2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08F4EA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663A2F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408C3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B295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四、各行业划型标准为：</w:t>
      </w:r>
    </w:p>
    <w:p w14:paraId="13C7313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337DC56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532E3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877A3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075EE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87ED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6342A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4B902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FC9F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94C4A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7521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3C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02BE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CBE009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F2411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A501C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5B07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五、企业类型的划分以统计部门的统计数据为依据。</w:t>
      </w:r>
    </w:p>
    <w:p w14:paraId="3BC6C0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290A92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75D4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65C7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九、本规定由工业和信息化部、国家统计局会同有关部门负责解释。</w:t>
      </w:r>
    </w:p>
    <w:p w14:paraId="1A7C6D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7" w:type="default"/>
      <w:footerReference r:id="rId8" w:type="default"/>
      <w:pgSz w:w="11906" w:h="16838"/>
      <w:pgMar w:top="1417" w:right="1134" w:bottom="1134" w:left="1134" w:header="850" w:footer="85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602B">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47908">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F4790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1F43">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AFA">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FF0AFA">
                    <w:pPr>
                      <w:pStyle w:val="2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951C">
    <w:pPr>
      <w:pStyle w:val="25"/>
      <w:tabs>
        <w:tab w:val="left" w:pos="5522"/>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33A24">
                          <w:pPr>
                            <w:pStyle w:val="2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F33A24">
                    <w:pPr>
                      <w:pStyle w:val="2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E74F">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8FBFD">
                          <w:pPr>
                            <w:pStyle w:val="2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B8FBFD">
                    <w:pPr>
                      <w:pStyle w:val="2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790F">
    <w:pPr>
      <w:widowControl w:val="0"/>
      <w:pBdr>
        <w:bottom w:val="none" w:color="auto" w:sz="0" w:space="0"/>
      </w:pBdr>
      <w:snapToGrid w:val="0"/>
      <w:jc w:val="right"/>
      <w:rPr>
        <w:rFonts w:ascii="等线" w:hAnsi="等线" w:eastAsia="等线"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E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07C2B"/>
    <w:multiLevelType w:val="singleLevel"/>
    <w:tmpl w:val="A6207C2B"/>
    <w:lvl w:ilvl="0" w:tentative="0">
      <w:start w:val="1"/>
      <w:numFmt w:val="decimal"/>
      <w:suff w:val="nothing"/>
      <w:lvlText w:val="%1、"/>
      <w:lvlJc w:val="left"/>
    </w:lvl>
  </w:abstractNum>
  <w:abstractNum w:abstractNumId="1">
    <w:nsid w:val="AAA3FB39"/>
    <w:multiLevelType w:val="singleLevel"/>
    <w:tmpl w:val="AAA3FB39"/>
    <w:lvl w:ilvl="0" w:tentative="0">
      <w:start w:val="1"/>
      <w:numFmt w:val="chineseCounting"/>
      <w:suff w:val="space"/>
      <w:lvlText w:val="第%1部分"/>
      <w:lvlJc w:val="left"/>
      <w:rPr>
        <w:rFonts w:hint="eastAsia"/>
        <w:b/>
        <w:bCs/>
      </w:rPr>
    </w:lvl>
  </w:abstractNum>
  <w:abstractNum w:abstractNumId="2">
    <w:nsid w:val="F9C626E4"/>
    <w:multiLevelType w:val="singleLevel"/>
    <w:tmpl w:val="F9C626E4"/>
    <w:lvl w:ilvl="0" w:tentative="0">
      <w:start w:val="7"/>
      <w:numFmt w:val="chineseCounting"/>
      <w:suff w:val="nothing"/>
      <w:lvlText w:val="（%1）"/>
      <w:lvlJc w:val="left"/>
      <w:rPr>
        <w:rFonts w:hint="eastAsia"/>
      </w:rPr>
    </w:lvl>
  </w:abstractNum>
  <w:abstractNum w:abstractNumId="3">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CA659EF"/>
    <w:multiLevelType w:val="singleLevel"/>
    <w:tmpl w:val="0CA659EF"/>
    <w:lvl w:ilvl="0" w:tentative="0">
      <w:start w:val="2"/>
      <w:numFmt w:val="decimal"/>
      <w:suff w:val="nothing"/>
      <w:lvlText w:val="%1、"/>
      <w:lvlJc w:val="left"/>
    </w:lvl>
  </w:abstractNum>
  <w:abstractNum w:abstractNumId="5">
    <w:nsid w:val="0FFE0F32"/>
    <w:multiLevelType w:val="singleLevel"/>
    <w:tmpl w:val="0FFE0F32"/>
    <w:lvl w:ilvl="0" w:tentative="0">
      <w:start w:val="1"/>
      <w:numFmt w:val="decimal"/>
      <w:suff w:val="nothing"/>
      <w:lvlText w:val="%1、"/>
      <w:lvlJc w:val="left"/>
    </w:lvl>
  </w:abstractNum>
  <w:abstractNum w:abstractNumId="6">
    <w:nsid w:val="7008E286"/>
    <w:multiLevelType w:val="singleLevel"/>
    <w:tmpl w:val="7008E286"/>
    <w:lvl w:ilvl="0" w:tentative="0">
      <w:start w:val="1"/>
      <w:numFmt w:val="chineseCounting"/>
      <w:suff w:val="nothing"/>
      <w:lvlText w:val="（%1）"/>
      <w:lvlJc w:val="left"/>
      <w:rPr>
        <w:rFonts w:hint="eastAsia"/>
      </w:rPr>
    </w:lvl>
  </w:abstractNum>
  <w:abstractNum w:abstractNumId="7">
    <w:nsid w:val="7C2D1A30"/>
    <w:multiLevelType w:val="singleLevel"/>
    <w:tmpl w:val="7C2D1A30"/>
    <w:lvl w:ilvl="0" w:tentative="0">
      <w:start w:val="3"/>
      <w:numFmt w:val="chineseCounting"/>
      <w:suff w:val="space"/>
      <w:lvlText w:val="第%1部分"/>
      <w:lvlJc w:val="left"/>
      <w:rPr>
        <w:rFonts w:hint="eastAsia"/>
        <w:b/>
        <w:bCs/>
      </w:rPr>
    </w:lvl>
  </w:abstractNum>
  <w:num w:numId="1">
    <w:abstractNumId w:val="3"/>
  </w:num>
  <w:num w:numId="2">
    <w:abstractNumId w:val="1"/>
  </w:num>
  <w:num w:numId="3">
    <w:abstractNumId w:val="6"/>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52125D"/>
    <w:rsid w:val="0000015D"/>
    <w:rsid w:val="00002BF7"/>
    <w:rsid w:val="000036A4"/>
    <w:rsid w:val="00004DE9"/>
    <w:rsid w:val="00004F0F"/>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0F59"/>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2EBC"/>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4D3E"/>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63BA"/>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0A2F"/>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1CC"/>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83C"/>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4E8A"/>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3021"/>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16777B"/>
    <w:rsid w:val="0147778C"/>
    <w:rsid w:val="014A562A"/>
    <w:rsid w:val="0152166C"/>
    <w:rsid w:val="01623D09"/>
    <w:rsid w:val="01D3689B"/>
    <w:rsid w:val="01E70628"/>
    <w:rsid w:val="01E96B3E"/>
    <w:rsid w:val="01FB6A73"/>
    <w:rsid w:val="020B2800"/>
    <w:rsid w:val="021011F1"/>
    <w:rsid w:val="021C6494"/>
    <w:rsid w:val="021E0B44"/>
    <w:rsid w:val="02385BC0"/>
    <w:rsid w:val="02537ED9"/>
    <w:rsid w:val="02703098"/>
    <w:rsid w:val="027443DD"/>
    <w:rsid w:val="02922A4D"/>
    <w:rsid w:val="02995184"/>
    <w:rsid w:val="02B703B8"/>
    <w:rsid w:val="02BC02C6"/>
    <w:rsid w:val="02C07C23"/>
    <w:rsid w:val="02FE40DF"/>
    <w:rsid w:val="03064AB8"/>
    <w:rsid w:val="031720BE"/>
    <w:rsid w:val="032112FF"/>
    <w:rsid w:val="032C4E72"/>
    <w:rsid w:val="034461F1"/>
    <w:rsid w:val="03587E2F"/>
    <w:rsid w:val="03600162"/>
    <w:rsid w:val="03713FE6"/>
    <w:rsid w:val="03B14F8F"/>
    <w:rsid w:val="03BB7FBE"/>
    <w:rsid w:val="03D80973"/>
    <w:rsid w:val="03F93A73"/>
    <w:rsid w:val="042046F5"/>
    <w:rsid w:val="042438DC"/>
    <w:rsid w:val="042C2237"/>
    <w:rsid w:val="04333FF8"/>
    <w:rsid w:val="04363AE8"/>
    <w:rsid w:val="043A4A52"/>
    <w:rsid w:val="04A078E9"/>
    <w:rsid w:val="04AE7B23"/>
    <w:rsid w:val="04B74C29"/>
    <w:rsid w:val="04BC0B75"/>
    <w:rsid w:val="04C3537C"/>
    <w:rsid w:val="04FD3055"/>
    <w:rsid w:val="055302A8"/>
    <w:rsid w:val="05801F36"/>
    <w:rsid w:val="05835C7C"/>
    <w:rsid w:val="05892345"/>
    <w:rsid w:val="0596396F"/>
    <w:rsid w:val="05B13412"/>
    <w:rsid w:val="05B72A07"/>
    <w:rsid w:val="05DD1F63"/>
    <w:rsid w:val="05DF03B2"/>
    <w:rsid w:val="05DF6D79"/>
    <w:rsid w:val="05F2634D"/>
    <w:rsid w:val="0604763E"/>
    <w:rsid w:val="060774EA"/>
    <w:rsid w:val="060B71A1"/>
    <w:rsid w:val="061D3091"/>
    <w:rsid w:val="061D6940"/>
    <w:rsid w:val="062065A2"/>
    <w:rsid w:val="06445A90"/>
    <w:rsid w:val="06683940"/>
    <w:rsid w:val="0698114A"/>
    <w:rsid w:val="06A260DB"/>
    <w:rsid w:val="06A3557F"/>
    <w:rsid w:val="06C54CB0"/>
    <w:rsid w:val="06C8511E"/>
    <w:rsid w:val="06ED1DBA"/>
    <w:rsid w:val="073065CD"/>
    <w:rsid w:val="0731401A"/>
    <w:rsid w:val="07B436A2"/>
    <w:rsid w:val="07BE63FF"/>
    <w:rsid w:val="07D96C1B"/>
    <w:rsid w:val="07DE5C0B"/>
    <w:rsid w:val="07E147B8"/>
    <w:rsid w:val="07E8334B"/>
    <w:rsid w:val="07F70D38"/>
    <w:rsid w:val="08066F25"/>
    <w:rsid w:val="085252F5"/>
    <w:rsid w:val="08634E11"/>
    <w:rsid w:val="086E2125"/>
    <w:rsid w:val="08712537"/>
    <w:rsid w:val="087A47B0"/>
    <w:rsid w:val="089E5A26"/>
    <w:rsid w:val="08AC1D6F"/>
    <w:rsid w:val="08AC272D"/>
    <w:rsid w:val="08CA6700"/>
    <w:rsid w:val="08E01CD2"/>
    <w:rsid w:val="090369F3"/>
    <w:rsid w:val="09071A9A"/>
    <w:rsid w:val="09446DAF"/>
    <w:rsid w:val="095A1F62"/>
    <w:rsid w:val="097A2018"/>
    <w:rsid w:val="09B3414B"/>
    <w:rsid w:val="09B41737"/>
    <w:rsid w:val="09B7394A"/>
    <w:rsid w:val="09C77F09"/>
    <w:rsid w:val="09F340E8"/>
    <w:rsid w:val="09FA15C4"/>
    <w:rsid w:val="0A1E0060"/>
    <w:rsid w:val="0A64571E"/>
    <w:rsid w:val="0A663A13"/>
    <w:rsid w:val="0A6B0722"/>
    <w:rsid w:val="0A732D15"/>
    <w:rsid w:val="0A8239F7"/>
    <w:rsid w:val="0A83110A"/>
    <w:rsid w:val="0AA7367A"/>
    <w:rsid w:val="0ABA6A9F"/>
    <w:rsid w:val="0AC719E9"/>
    <w:rsid w:val="0AD70176"/>
    <w:rsid w:val="0AE12C47"/>
    <w:rsid w:val="0AEB45DF"/>
    <w:rsid w:val="0B2C1A87"/>
    <w:rsid w:val="0B2E07E8"/>
    <w:rsid w:val="0B3441CC"/>
    <w:rsid w:val="0B5C46DD"/>
    <w:rsid w:val="0B68780A"/>
    <w:rsid w:val="0B7078E0"/>
    <w:rsid w:val="0B9219F7"/>
    <w:rsid w:val="0BD8633A"/>
    <w:rsid w:val="0BDE31F1"/>
    <w:rsid w:val="0BFC28FD"/>
    <w:rsid w:val="0C153254"/>
    <w:rsid w:val="0C265EEF"/>
    <w:rsid w:val="0C3705D6"/>
    <w:rsid w:val="0C7200CD"/>
    <w:rsid w:val="0C8B0E88"/>
    <w:rsid w:val="0C905542"/>
    <w:rsid w:val="0C957729"/>
    <w:rsid w:val="0CA778FA"/>
    <w:rsid w:val="0CD71C10"/>
    <w:rsid w:val="0CD849FA"/>
    <w:rsid w:val="0CDF6425"/>
    <w:rsid w:val="0CE3387A"/>
    <w:rsid w:val="0CF34325"/>
    <w:rsid w:val="0CF62EA7"/>
    <w:rsid w:val="0CFE2CC9"/>
    <w:rsid w:val="0D0C4BF1"/>
    <w:rsid w:val="0D1C451A"/>
    <w:rsid w:val="0D584344"/>
    <w:rsid w:val="0D5E5BB6"/>
    <w:rsid w:val="0D817CDD"/>
    <w:rsid w:val="0D8C77B4"/>
    <w:rsid w:val="0D9A1BBB"/>
    <w:rsid w:val="0DAE556B"/>
    <w:rsid w:val="0DCE7600"/>
    <w:rsid w:val="0DD405FA"/>
    <w:rsid w:val="0E0A401C"/>
    <w:rsid w:val="0E12729B"/>
    <w:rsid w:val="0E3D6F8A"/>
    <w:rsid w:val="0E5F599D"/>
    <w:rsid w:val="0E605777"/>
    <w:rsid w:val="0E886806"/>
    <w:rsid w:val="0E892719"/>
    <w:rsid w:val="0EAF61B1"/>
    <w:rsid w:val="0EB321BB"/>
    <w:rsid w:val="0ED979A5"/>
    <w:rsid w:val="0EDF62A7"/>
    <w:rsid w:val="0EE30F3F"/>
    <w:rsid w:val="0EF40E0C"/>
    <w:rsid w:val="0F044EEE"/>
    <w:rsid w:val="0F097AD2"/>
    <w:rsid w:val="0F0D0EA4"/>
    <w:rsid w:val="0F173B81"/>
    <w:rsid w:val="0F5D2CB0"/>
    <w:rsid w:val="0F5F0397"/>
    <w:rsid w:val="0F994834"/>
    <w:rsid w:val="0FC14BAE"/>
    <w:rsid w:val="0FC463B6"/>
    <w:rsid w:val="0FE15B66"/>
    <w:rsid w:val="0FF8717C"/>
    <w:rsid w:val="10330DAD"/>
    <w:rsid w:val="10345380"/>
    <w:rsid w:val="106F3E5C"/>
    <w:rsid w:val="107A6B0B"/>
    <w:rsid w:val="109E028E"/>
    <w:rsid w:val="10A15589"/>
    <w:rsid w:val="10A96860"/>
    <w:rsid w:val="10C15C25"/>
    <w:rsid w:val="10CD3604"/>
    <w:rsid w:val="10DF5C9C"/>
    <w:rsid w:val="11005969"/>
    <w:rsid w:val="1102449D"/>
    <w:rsid w:val="11091AB4"/>
    <w:rsid w:val="115C1DEA"/>
    <w:rsid w:val="11643444"/>
    <w:rsid w:val="1195598F"/>
    <w:rsid w:val="11985C5E"/>
    <w:rsid w:val="11D77F9A"/>
    <w:rsid w:val="11D84431"/>
    <w:rsid w:val="120565E5"/>
    <w:rsid w:val="121D6EB6"/>
    <w:rsid w:val="12222A5F"/>
    <w:rsid w:val="12242DA9"/>
    <w:rsid w:val="122B50E3"/>
    <w:rsid w:val="124741E6"/>
    <w:rsid w:val="126A6061"/>
    <w:rsid w:val="126C4610"/>
    <w:rsid w:val="127D2F5A"/>
    <w:rsid w:val="127F3C4B"/>
    <w:rsid w:val="128027B0"/>
    <w:rsid w:val="12881DA8"/>
    <w:rsid w:val="12B72298"/>
    <w:rsid w:val="12C34AFE"/>
    <w:rsid w:val="12CB18A0"/>
    <w:rsid w:val="12DD1BBF"/>
    <w:rsid w:val="12F87449"/>
    <w:rsid w:val="130C3737"/>
    <w:rsid w:val="130F6D46"/>
    <w:rsid w:val="13133623"/>
    <w:rsid w:val="132462F6"/>
    <w:rsid w:val="13336E3E"/>
    <w:rsid w:val="134E3A4D"/>
    <w:rsid w:val="13597AE3"/>
    <w:rsid w:val="136F2725"/>
    <w:rsid w:val="137479A9"/>
    <w:rsid w:val="137A414D"/>
    <w:rsid w:val="13936861"/>
    <w:rsid w:val="13A441A3"/>
    <w:rsid w:val="13A67713"/>
    <w:rsid w:val="13BA3963"/>
    <w:rsid w:val="13FD3CDB"/>
    <w:rsid w:val="141C2D20"/>
    <w:rsid w:val="14627FE2"/>
    <w:rsid w:val="14B05B25"/>
    <w:rsid w:val="14B73E1F"/>
    <w:rsid w:val="14BF5DE0"/>
    <w:rsid w:val="14EB6229"/>
    <w:rsid w:val="15010BE0"/>
    <w:rsid w:val="150D0533"/>
    <w:rsid w:val="155041B0"/>
    <w:rsid w:val="15521BF0"/>
    <w:rsid w:val="156404B5"/>
    <w:rsid w:val="156559DE"/>
    <w:rsid w:val="159A5AE5"/>
    <w:rsid w:val="15B100BB"/>
    <w:rsid w:val="15B8435D"/>
    <w:rsid w:val="15DE4983"/>
    <w:rsid w:val="15FB0884"/>
    <w:rsid w:val="16180218"/>
    <w:rsid w:val="1631473A"/>
    <w:rsid w:val="163F3B4C"/>
    <w:rsid w:val="16551BAC"/>
    <w:rsid w:val="165C6DCA"/>
    <w:rsid w:val="16781D3E"/>
    <w:rsid w:val="167C26C4"/>
    <w:rsid w:val="16A62C90"/>
    <w:rsid w:val="16A9014A"/>
    <w:rsid w:val="16AC2437"/>
    <w:rsid w:val="16D5092B"/>
    <w:rsid w:val="17047A76"/>
    <w:rsid w:val="172E0CF7"/>
    <w:rsid w:val="17343EB7"/>
    <w:rsid w:val="1747243C"/>
    <w:rsid w:val="174806A4"/>
    <w:rsid w:val="174849AE"/>
    <w:rsid w:val="175B112F"/>
    <w:rsid w:val="176534B8"/>
    <w:rsid w:val="176F4EEF"/>
    <w:rsid w:val="176F6E3D"/>
    <w:rsid w:val="177E44BC"/>
    <w:rsid w:val="178A7F7B"/>
    <w:rsid w:val="17B82E75"/>
    <w:rsid w:val="17C42352"/>
    <w:rsid w:val="17CA01A2"/>
    <w:rsid w:val="17CC5402"/>
    <w:rsid w:val="181D7F98"/>
    <w:rsid w:val="18291354"/>
    <w:rsid w:val="183803E2"/>
    <w:rsid w:val="18544AF5"/>
    <w:rsid w:val="1861483C"/>
    <w:rsid w:val="187148C3"/>
    <w:rsid w:val="189E6E71"/>
    <w:rsid w:val="18D102BE"/>
    <w:rsid w:val="18E335E4"/>
    <w:rsid w:val="18F6151F"/>
    <w:rsid w:val="191E2858"/>
    <w:rsid w:val="19341F4D"/>
    <w:rsid w:val="194B373A"/>
    <w:rsid w:val="194F4FD8"/>
    <w:rsid w:val="19AF4742"/>
    <w:rsid w:val="19CD4B54"/>
    <w:rsid w:val="19CF5E52"/>
    <w:rsid w:val="19DE6CED"/>
    <w:rsid w:val="19E25E4D"/>
    <w:rsid w:val="19EC040D"/>
    <w:rsid w:val="19F24C95"/>
    <w:rsid w:val="1A28175F"/>
    <w:rsid w:val="1A312930"/>
    <w:rsid w:val="1A46593A"/>
    <w:rsid w:val="1A472154"/>
    <w:rsid w:val="1A484C81"/>
    <w:rsid w:val="1A9B4DC1"/>
    <w:rsid w:val="1A9E5637"/>
    <w:rsid w:val="1AA11864"/>
    <w:rsid w:val="1AAA41EF"/>
    <w:rsid w:val="1AAC4325"/>
    <w:rsid w:val="1AB772B9"/>
    <w:rsid w:val="1AC5485C"/>
    <w:rsid w:val="1AD06319"/>
    <w:rsid w:val="1AD177BE"/>
    <w:rsid w:val="1AED005A"/>
    <w:rsid w:val="1B210BF7"/>
    <w:rsid w:val="1B2B711A"/>
    <w:rsid w:val="1B352404"/>
    <w:rsid w:val="1B356450"/>
    <w:rsid w:val="1B4D19EC"/>
    <w:rsid w:val="1B59213E"/>
    <w:rsid w:val="1B624CE1"/>
    <w:rsid w:val="1B83535C"/>
    <w:rsid w:val="1BAD248A"/>
    <w:rsid w:val="1BC207A0"/>
    <w:rsid w:val="1BD712B5"/>
    <w:rsid w:val="1BDB2C1D"/>
    <w:rsid w:val="1BEB0C7E"/>
    <w:rsid w:val="1C02130A"/>
    <w:rsid w:val="1C2F13E7"/>
    <w:rsid w:val="1C3F60F3"/>
    <w:rsid w:val="1C427F2F"/>
    <w:rsid w:val="1C8177A0"/>
    <w:rsid w:val="1C927539"/>
    <w:rsid w:val="1CA26E6B"/>
    <w:rsid w:val="1CB749BF"/>
    <w:rsid w:val="1CBB2985"/>
    <w:rsid w:val="1CBF1F20"/>
    <w:rsid w:val="1CE00EC4"/>
    <w:rsid w:val="1CF03F76"/>
    <w:rsid w:val="1D0D3CA0"/>
    <w:rsid w:val="1D181B85"/>
    <w:rsid w:val="1D1A4201"/>
    <w:rsid w:val="1D3C38E1"/>
    <w:rsid w:val="1D3F2526"/>
    <w:rsid w:val="1D4A5240"/>
    <w:rsid w:val="1D5B2879"/>
    <w:rsid w:val="1D8521C7"/>
    <w:rsid w:val="1D884F5D"/>
    <w:rsid w:val="1D943C17"/>
    <w:rsid w:val="1DEA1FEA"/>
    <w:rsid w:val="1DF57AB8"/>
    <w:rsid w:val="1E0F2F88"/>
    <w:rsid w:val="1E17083B"/>
    <w:rsid w:val="1E1A3944"/>
    <w:rsid w:val="1E1A4F84"/>
    <w:rsid w:val="1E202699"/>
    <w:rsid w:val="1E375865"/>
    <w:rsid w:val="1E533BEB"/>
    <w:rsid w:val="1E89503E"/>
    <w:rsid w:val="1EB66D3E"/>
    <w:rsid w:val="1ECC1B10"/>
    <w:rsid w:val="1EDF0728"/>
    <w:rsid w:val="1F3A5DE3"/>
    <w:rsid w:val="1F811C64"/>
    <w:rsid w:val="1F863097"/>
    <w:rsid w:val="1F8945F2"/>
    <w:rsid w:val="1FDE1343"/>
    <w:rsid w:val="1FF926D1"/>
    <w:rsid w:val="1FFF0B3A"/>
    <w:rsid w:val="2000527E"/>
    <w:rsid w:val="20035920"/>
    <w:rsid w:val="201160CA"/>
    <w:rsid w:val="203931EC"/>
    <w:rsid w:val="20563EDC"/>
    <w:rsid w:val="20657CBF"/>
    <w:rsid w:val="206C6FD6"/>
    <w:rsid w:val="20737D39"/>
    <w:rsid w:val="209C0405"/>
    <w:rsid w:val="20FB5B12"/>
    <w:rsid w:val="2102657B"/>
    <w:rsid w:val="210748E4"/>
    <w:rsid w:val="2114493E"/>
    <w:rsid w:val="2116472F"/>
    <w:rsid w:val="211F1734"/>
    <w:rsid w:val="214E56EB"/>
    <w:rsid w:val="215336B9"/>
    <w:rsid w:val="21A05430"/>
    <w:rsid w:val="21C1142A"/>
    <w:rsid w:val="21F370EB"/>
    <w:rsid w:val="21FA7BC8"/>
    <w:rsid w:val="22066484"/>
    <w:rsid w:val="2227302F"/>
    <w:rsid w:val="22496B1D"/>
    <w:rsid w:val="224F4AB9"/>
    <w:rsid w:val="227E3941"/>
    <w:rsid w:val="22876202"/>
    <w:rsid w:val="22975E54"/>
    <w:rsid w:val="22BA61A6"/>
    <w:rsid w:val="22D363EE"/>
    <w:rsid w:val="22D832C6"/>
    <w:rsid w:val="22E12559"/>
    <w:rsid w:val="22EA5D72"/>
    <w:rsid w:val="231F1167"/>
    <w:rsid w:val="2325451D"/>
    <w:rsid w:val="23391AB0"/>
    <w:rsid w:val="235C2BD4"/>
    <w:rsid w:val="236927BF"/>
    <w:rsid w:val="236E69A3"/>
    <w:rsid w:val="239B3725"/>
    <w:rsid w:val="23AA41E4"/>
    <w:rsid w:val="23C20136"/>
    <w:rsid w:val="23CF631A"/>
    <w:rsid w:val="23E14767"/>
    <w:rsid w:val="23EE46D2"/>
    <w:rsid w:val="23EE53EE"/>
    <w:rsid w:val="23F37E91"/>
    <w:rsid w:val="23FF4341"/>
    <w:rsid w:val="24151A48"/>
    <w:rsid w:val="241F1A4B"/>
    <w:rsid w:val="242E4677"/>
    <w:rsid w:val="24414013"/>
    <w:rsid w:val="246C4345"/>
    <w:rsid w:val="24747FE9"/>
    <w:rsid w:val="248215A8"/>
    <w:rsid w:val="249E0554"/>
    <w:rsid w:val="24BD491C"/>
    <w:rsid w:val="24CD0B4F"/>
    <w:rsid w:val="24D32F62"/>
    <w:rsid w:val="24D81537"/>
    <w:rsid w:val="24E858CB"/>
    <w:rsid w:val="24EB70A7"/>
    <w:rsid w:val="24F81438"/>
    <w:rsid w:val="251D2168"/>
    <w:rsid w:val="252C7800"/>
    <w:rsid w:val="252D1F22"/>
    <w:rsid w:val="254D69EA"/>
    <w:rsid w:val="2555132B"/>
    <w:rsid w:val="256E6445"/>
    <w:rsid w:val="2581038F"/>
    <w:rsid w:val="258D6114"/>
    <w:rsid w:val="25900E53"/>
    <w:rsid w:val="25B11518"/>
    <w:rsid w:val="25B44AAA"/>
    <w:rsid w:val="25B86563"/>
    <w:rsid w:val="25C34C29"/>
    <w:rsid w:val="25D05644"/>
    <w:rsid w:val="25FE4C06"/>
    <w:rsid w:val="26265037"/>
    <w:rsid w:val="2637307C"/>
    <w:rsid w:val="26485289"/>
    <w:rsid w:val="26807ACE"/>
    <w:rsid w:val="269A36F2"/>
    <w:rsid w:val="26AF17E3"/>
    <w:rsid w:val="26BE7EBA"/>
    <w:rsid w:val="26CF7759"/>
    <w:rsid w:val="26DA1936"/>
    <w:rsid w:val="26E41878"/>
    <w:rsid w:val="270C7ECD"/>
    <w:rsid w:val="270D2FA3"/>
    <w:rsid w:val="27893DAB"/>
    <w:rsid w:val="278D4858"/>
    <w:rsid w:val="27B87074"/>
    <w:rsid w:val="27C46EE5"/>
    <w:rsid w:val="27E0390D"/>
    <w:rsid w:val="27E21CEF"/>
    <w:rsid w:val="27F57A80"/>
    <w:rsid w:val="28061557"/>
    <w:rsid w:val="28090A48"/>
    <w:rsid w:val="28464EB7"/>
    <w:rsid w:val="285122C7"/>
    <w:rsid w:val="28AF7842"/>
    <w:rsid w:val="28C77545"/>
    <w:rsid w:val="28CB6BB5"/>
    <w:rsid w:val="28D9012F"/>
    <w:rsid w:val="290F029B"/>
    <w:rsid w:val="290F4933"/>
    <w:rsid w:val="2938027B"/>
    <w:rsid w:val="29601FE4"/>
    <w:rsid w:val="29816226"/>
    <w:rsid w:val="298A6908"/>
    <w:rsid w:val="29A053DC"/>
    <w:rsid w:val="29E32B93"/>
    <w:rsid w:val="29E854A6"/>
    <w:rsid w:val="29F10FDB"/>
    <w:rsid w:val="2A077209"/>
    <w:rsid w:val="2A1A66DA"/>
    <w:rsid w:val="2A2855AB"/>
    <w:rsid w:val="2A454950"/>
    <w:rsid w:val="2A5D4D9B"/>
    <w:rsid w:val="2A676E5E"/>
    <w:rsid w:val="2AC800C8"/>
    <w:rsid w:val="2AD058AF"/>
    <w:rsid w:val="2AD96DF8"/>
    <w:rsid w:val="2AEA129A"/>
    <w:rsid w:val="2AF31683"/>
    <w:rsid w:val="2B244F52"/>
    <w:rsid w:val="2B2D49EB"/>
    <w:rsid w:val="2B302B18"/>
    <w:rsid w:val="2B340F22"/>
    <w:rsid w:val="2B3E6CA6"/>
    <w:rsid w:val="2B683676"/>
    <w:rsid w:val="2B6D0E87"/>
    <w:rsid w:val="2B71701A"/>
    <w:rsid w:val="2B747E23"/>
    <w:rsid w:val="2B890BEA"/>
    <w:rsid w:val="2BC47845"/>
    <w:rsid w:val="2BDD67B9"/>
    <w:rsid w:val="2BE041B6"/>
    <w:rsid w:val="2C22032B"/>
    <w:rsid w:val="2C3C17A7"/>
    <w:rsid w:val="2C467803"/>
    <w:rsid w:val="2C4A68FF"/>
    <w:rsid w:val="2C5426F5"/>
    <w:rsid w:val="2C8E5964"/>
    <w:rsid w:val="2CA31F00"/>
    <w:rsid w:val="2CEC6B1D"/>
    <w:rsid w:val="2CF47464"/>
    <w:rsid w:val="2CFD1174"/>
    <w:rsid w:val="2D21418D"/>
    <w:rsid w:val="2D372E6C"/>
    <w:rsid w:val="2D64627A"/>
    <w:rsid w:val="2D67415A"/>
    <w:rsid w:val="2D730A2A"/>
    <w:rsid w:val="2D816BEE"/>
    <w:rsid w:val="2D8A6590"/>
    <w:rsid w:val="2D986EC3"/>
    <w:rsid w:val="2DD030F1"/>
    <w:rsid w:val="2DDE7B9A"/>
    <w:rsid w:val="2DE46B18"/>
    <w:rsid w:val="2DE7157C"/>
    <w:rsid w:val="2DF83A39"/>
    <w:rsid w:val="2E15498A"/>
    <w:rsid w:val="2E1818FA"/>
    <w:rsid w:val="2E310CF9"/>
    <w:rsid w:val="2E34449C"/>
    <w:rsid w:val="2E43788A"/>
    <w:rsid w:val="2E6D3CF6"/>
    <w:rsid w:val="2E76495E"/>
    <w:rsid w:val="2E8C6CBE"/>
    <w:rsid w:val="2ECF0E5B"/>
    <w:rsid w:val="2ED0787C"/>
    <w:rsid w:val="2ED346EB"/>
    <w:rsid w:val="2F254CD4"/>
    <w:rsid w:val="2F4405B0"/>
    <w:rsid w:val="2F550B41"/>
    <w:rsid w:val="2F685A3D"/>
    <w:rsid w:val="2F794765"/>
    <w:rsid w:val="2FB00DCA"/>
    <w:rsid w:val="2FCD7655"/>
    <w:rsid w:val="2FDB37C9"/>
    <w:rsid w:val="2FDE4FD2"/>
    <w:rsid w:val="30010C4A"/>
    <w:rsid w:val="3004472A"/>
    <w:rsid w:val="300B2A73"/>
    <w:rsid w:val="300D1C5A"/>
    <w:rsid w:val="30342EF2"/>
    <w:rsid w:val="3050190A"/>
    <w:rsid w:val="305247F6"/>
    <w:rsid w:val="307C218D"/>
    <w:rsid w:val="30C44045"/>
    <w:rsid w:val="30D36097"/>
    <w:rsid w:val="30E21CAB"/>
    <w:rsid w:val="31070477"/>
    <w:rsid w:val="310D4072"/>
    <w:rsid w:val="312132A7"/>
    <w:rsid w:val="31452D34"/>
    <w:rsid w:val="31822DF7"/>
    <w:rsid w:val="31863A5B"/>
    <w:rsid w:val="319B675C"/>
    <w:rsid w:val="31C615EA"/>
    <w:rsid w:val="31CB29E3"/>
    <w:rsid w:val="31D67BED"/>
    <w:rsid w:val="32005BDF"/>
    <w:rsid w:val="32385805"/>
    <w:rsid w:val="32546D64"/>
    <w:rsid w:val="3261739C"/>
    <w:rsid w:val="32833713"/>
    <w:rsid w:val="3284187F"/>
    <w:rsid w:val="3289186C"/>
    <w:rsid w:val="32A01FA9"/>
    <w:rsid w:val="32B47464"/>
    <w:rsid w:val="32C71E59"/>
    <w:rsid w:val="32CA4F81"/>
    <w:rsid w:val="32CA69E2"/>
    <w:rsid w:val="32D51FFE"/>
    <w:rsid w:val="32F35191"/>
    <w:rsid w:val="32FB322A"/>
    <w:rsid w:val="331208C1"/>
    <w:rsid w:val="332C55B2"/>
    <w:rsid w:val="335D5EB0"/>
    <w:rsid w:val="339548A2"/>
    <w:rsid w:val="33A51F6D"/>
    <w:rsid w:val="33A84FFE"/>
    <w:rsid w:val="33AF5B34"/>
    <w:rsid w:val="33AF647E"/>
    <w:rsid w:val="33C30645"/>
    <w:rsid w:val="33C34CDB"/>
    <w:rsid w:val="33D6173F"/>
    <w:rsid w:val="33F702EF"/>
    <w:rsid w:val="341102E5"/>
    <w:rsid w:val="341C4AEB"/>
    <w:rsid w:val="343F6112"/>
    <w:rsid w:val="344019D6"/>
    <w:rsid w:val="344A5131"/>
    <w:rsid w:val="34553690"/>
    <w:rsid w:val="345E211C"/>
    <w:rsid w:val="3461211F"/>
    <w:rsid w:val="346E6967"/>
    <w:rsid w:val="34814D76"/>
    <w:rsid w:val="34832964"/>
    <w:rsid w:val="34870AD4"/>
    <w:rsid w:val="34B0269C"/>
    <w:rsid w:val="34D003D8"/>
    <w:rsid w:val="34E41B48"/>
    <w:rsid w:val="34ED24BA"/>
    <w:rsid w:val="34F90408"/>
    <w:rsid w:val="34FB6670"/>
    <w:rsid w:val="350D526F"/>
    <w:rsid w:val="35237865"/>
    <w:rsid w:val="35315E89"/>
    <w:rsid w:val="3540076A"/>
    <w:rsid w:val="355326C8"/>
    <w:rsid w:val="35997A13"/>
    <w:rsid w:val="359C6310"/>
    <w:rsid w:val="35A3072E"/>
    <w:rsid w:val="35AD0569"/>
    <w:rsid w:val="35B45487"/>
    <w:rsid w:val="35BC2E47"/>
    <w:rsid w:val="35EC649F"/>
    <w:rsid w:val="35F2556C"/>
    <w:rsid w:val="35F745D6"/>
    <w:rsid w:val="36096D50"/>
    <w:rsid w:val="360C62D3"/>
    <w:rsid w:val="360F5582"/>
    <w:rsid w:val="36345EE6"/>
    <w:rsid w:val="3638300C"/>
    <w:rsid w:val="3645721A"/>
    <w:rsid w:val="366468EE"/>
    <w:rsid w:val="36822C0E"/>
    <w:rsid w:val="36985DB9"/>
    <w:rsid w:val="369C3ADB"/>
    <w:rsid w:val="369D1D95"/>
    <w:rsid w:val="36B3674F"/>
    <w:rsid w:val="36C4699B"/>
    <w:rsid w:val="36C46BAE"/>
    <w:rsid w:val="36C6075F"/>
    <w:rsid w:val="36D2467D"/>
    <w:rsid w:val="37030562"/>
    <w:rsid w:val="37074CED"/>
    <w:rsid w:val="370F3CC8"/>
    <w:rsid w:val="37111108"/>
    <w:rsid w:val="372134B9"/>
    <w:rsid w:val="3740235C"/>
    <w:rsid w:val="374874A7"/>
    <w:rsid w:val="374D7DDC"/>
    <w:rsid w:val="376A2689"/>
    <w:rsid w:val="376E66F5"/>
    <w:rsid w:val="377759CE"/>
    <w:rsid w:val="37784268"/>
    <w:rsid w:val="3790083E"/>
    <w:rsid w:val="37B85359"/>
    <w:rsid w:val="37CF3154"/>
    <w:rsid w:val="37E868CC"/>
    <w:rsid w:val="3806533B"/>
    <w:rsid w:val="38411EC3"/>
    <w:rsid w:val="38436108"/>
    <w:rsid w:val="385D2040"/>
    <w:rsid w:val="386C58FB"/>
    <w:rsid w:val="386D15ED"/>
    <w:rsid w:val="386F5D34"/>
    <w:rsid w:val="388E7B3B"/>
    <w:rsid w:val="389F7463"/>
    <w:rsid w:val="38BC43FE"/>
    <w:rsid w:val="38E7229C"/>
    <w:rsid w:val="38F77A7C"/>
    <w:rsid w:val="39007C46"/>
    <w:rsid w:val="390E5FBA"/>
    <w:rsid w:val="39233DD7"/>
    <w:rsid w:val="39312102"/>
    <w:rsid w:val="394A181A"/>
    <w:rsid w:val="394F164B"/>
    <w:rsid w:val="39641BFD"/>
    <w:rsid w:val="397365EB"/>
    <w:rsid w:val="397866BF"/>
    <w:rsid w:val="397D07CE"/>
    <w:rsid w:val="399212B7"/>
    <w:rsid w:val="399368AE"/>
    <w:rsid w:val="39A3465F"/>
    <w:rsid w:val="39CC4FC8"/>
    <w:rsid w:val="39F039A5"/>
    <w:rsid w:val="39F27746"/>
    <w:rsid w:val="3A2636DC"/>
    <w:rsid w:val="3A2E433E"/>
    <w:rsid w:val="3A3D6FB9"/>
    <w:rsid w:val="3A4F0AA8"/>
    <w:rsid w:val="3A540249"/>
    <w:rsid w:val="3A577D39"/>
    <w:rsid w:val="3A6A7A6C"/>
    <w:rsid w:val="3A774B99"/>
    <w:rsid w:val="3AB54628"/>
    <w:rsid w:val="3AD106A0"/>
    <w:rsid w:val="3AD5012E"/>
    <w:rsid w:val="3ADC3D9A"/>
    <w:rsid w:val="3ADD0D4C"/>
    <w:rsid w:val="3AE45C9E"/>
    <w:rsid w:val="3B0752BB"/>
    <w:rsid w:val="3B164288"/>
    <w:rsid w:val="3B1B050E"/>
    <w:rsid w:val="3B3E7727"/>
    <w:rsid w:val="3B540A84"/>
    <w:rsid w:val="3B5E1568"/>
    <w:rsid w:val="3B6650C4"/>
    <w:rsid w:val="3B744366"/>
    <w:rsid w:val="3B89436A"/>
    <w:rsid w:val="3B947431"/>
    <w:rsid w:val="3B98620E"/>
    <w:rsid w:val="3BA70CAA"/>
    <w:rsid w:val="3BC81113"/>
    <w:rsid w:val="3BE22E3E"/>
    <w:rsid w:val="3C0F11E1"/>
    <w:rsid w:val="3C1C08F5"/>
    <w:rsid w:val="3C270904"/>
    <w:rsid w:val="3C3555CB"/>
    <w:rsid w:val="3C4F6CF4"/>
    <w:rsid w:val="3C552056"/>
    <w:rsid w:val="3C555C6E"/>
    <w:rsid w:val="3C5E44F1"/>
    <w:rsid w:val="3C6873ED"/>
    <w:rsid w:val="3C78486F"/>
    <w:rsid w:val="3C965663"/>
    <w:rsid w:val="3CC0209C"/>
    <w:rsid w:val="3CC13E09"/>
    <w:rsid w:val="3CFA39F6"/>
    <w:rsid w:val="3D075E8B"/>
    <w:rsid w:val="3D190EB8"/>
    <w:rsid w:val="3D290E6A"/>
    <w:rsid w:val="3D412F9C"/>
    <w:rsid w:val="3D416E0F"/>
    <w:rsid w:val="3D885C52"/>
    <w:rsid w:val="3D90702A"/>
    <w:rsid w:val="3DB31829"/>
    <w:rsid w:val="3DC814FA"/>
    <w:rsid w:val="3DD337BF"/>
    <w:rsid w:val="3DDA6CB7"/>
    <w:rsid w:val="3DDC47DD"/>
    <w:rsid w:val="3DE232DC"/>
    <w:rsid w:val="3DE90459"/>
    <w:rsid w:val="3DF07D2A"/>
    <w:rsid w:val="3E183DA2"/>
    <w:rsid w:val="3E1A39C9"/>
    <w:rsid w:val="3E3C3A83"/>
    <w:rsid w:val="3E467691"/>
    <w:rsid w:val="3E4D66BD"/>
    <w:rsid w:val="3E573E64"/>
    <w:rsid w:val="3E6E176D"/>
    <w:rsid w:val="3E8101E0"/>
    <w:rsid w:val="3ED93D06"/>
    <w:rsid w:val="3EDE6349"/>
    <w:rsid w:val="3EFC708B"/>
    <w:rsid w:val="3EFF2568"/>
    <w:rsid w:val="3F0703D7"/>
    <w:rsid w:val="3F2747C1"/>
    <w:rsid w:val="3F751C3F"/>
    <w:rsid w:val="3F80388E"/>
    <w:rsid w:val="3F804BFC"/>
    <w:rsid w:val="3F871EEC"/>
    <w:rsid w:val="3F8A6C56"/>
    <w:rsid w:val="3F9335C1"/>
    <w:rsid w:val="3FA56E51"/>
    <w:rsid w:val="3FAA090B"/>
    <w:rsid w:val="3FAC7296"/>
    <w:rsid w:val="3FB965CD"/>
    <w:rsid w:val="3FD37E62"/>
    <w:rsid w:val="3FD74657"/>
    <w:rsid w:val="3FE36681"/>
    <w:rsid w:val="3FF51136"/>
    <w:rsid w:val="3FFD6C8D"/>
    <w:rsid w:val="40012419"/>
    <w:rsid w:val="40161AFD"/>
    <w:rsid w:val="40197CC6"/>
    <w:rsid w:val="40273D0A"/>
    <w:rsid w:val="40346BF3"/>
    <w:rsid w:val="403B7109"/>
    <w:rsid w:val="404623E2"/>
    <w:rsid w:val="405B446E"/>
    <w:rsid w:val="407E1612"/>
    <w:rsid w:val="40AE327E"/>
    <w:rsid w:val="40C304AF"/>
    <w:rsid w:val="40C652D1"/>
    <w:rsid w:val="40E343EA"/>
    <w:rsid w:val="410A78B3"/>
    <w:rsid w:val="413122BF"/>
    <w:rsid w:val="41456B3D"/>
    <w:rsid w:val="41472D43"/>
    <w:rsid w:val="415B1FFA"/>
    <w:rsid w:val="41717932"/>
    <w:rsid w:val="41951664"/>
    <w:rsid w:val="41A27AEC"/>
    <w:rsid w:val="41A46588"/>
    <w:rsid w:val="41BC5B38"/>
    <w:rsid w:val="41C1797D"/>
    <w:rsid w:val="41C53403"/>
    <w:rsid w:val="41E063B2"/>
    <w:rsid w:val="42291FBB"/>
    <w:rsid w:val="422D7467"/>
    <w:rsid w:val="4230334A"/>
    <w:rsid w:val="424711C0"/>
    <w:rsid w:val="424B6E23"/>
    <w:rsid w:val="42544394"/>
    <w:rsid w:val="42962F7E"/>
    <w:rsid w:val="42967AE7"/>
    <w:rsid w:val="42B71C32"/>
    <w:rsid w:val="42BF2417"/>
    <w:rsid w:val="42DA1CE1"/>
    <w:rsid w:val="42F41A74"/>
    <w:rsid w:val="42F4437C"/>
    <w:rsid w:val="432140C5"/>
    <w:rsid w:val="434F29C3"/>
    <w:rsid w:val="43666688"/>
    <w:rsid w:val="4371282F"/>
    <w:rsid w:val="439B0914"/>
    <w:rsid w:val="43A72708"/>
    <w:rsid w:val="43BA05BB"/>
    <w:rsid w:val="43C90ACF"/>
    <w:rsid w:val="43CA24AF"/>
    <w:rsid w:val="43D06C56"/>
    <w:rsid w:val="43D8596A"/>
    <w:rsid w:val="43EF0FE2"/>
    <w:rsid w:val="43F13908"/>
    <w:rsid w:val="440F088D"/>
    <w:rsid w:val="44410158"/>
    <w:rsid w:val="445B3F43"/>
    <w:rsid w:val="44636210"/>
    <w:rsid w:val="44780FD8"/>
    <w:rsid w:val="44BF4563"/>
    <w:rsid w:val="44D973DE"/>
    <w:rsid w:val="44E20BBB"/>
    <w:rsid w:val="44E36BB1"/>
    <w:rsid w:val="44EB5B15"/>
    <w:rsid w:val="44F80C11"/>
    <w:rsid w:val="453E2BF0"/>
    <w:rsid w:val="453F4FA5"/>
    <w:rsid w:val="454F6FF3"/>
    <w:rsid w:val="455A506F"/>
    <w:rsid w:val="45A33909"/>
    <w:rsid w:val="45BB1A5C"/>
    <w:rsid w:val="45BE5249"/>
    <w:rsid w:val="45C41F63"/>
    <w:rsid w:val="45D430C6"/>
    <w:rsid w:val="45E85CE9"/>
    <w:rsid w:val="460D5750"/>
    <w:rsid w:val="46156FBC"/>
    <w:rsid w:val="462206E9"/>
    <w:rsid w:val="463319CB"/>
    <w:rsid w:val="46345B87"/>
    <w:rsid w:val="463C56F5"/>
    <w:rsid w:val="465B295F"/>
    <w:rsid w:val="467702DD"/>
    <w:rsid w:val="467F70E2"/>
    <w:rsid w:val="468D2996"/>
    <w:rsid w:val="468E79C8"/>
    <w:rsid w:val="46BB74DD"/>
    <w:rsid w:val="46F25B5E"/>
    <w:rsid w:val="47023704"/>
    <w:rsid w:val="471D19C3"/>
    <w:rsid w:val="471F6F04"/>
    <w:rsid w:val="472105C7"/>
    <w:rsid w:val="47270052"/>
    <w:rsid w:val="472E0153"/>
    <w:rsid w:val="474451A1"/>
    <w:rsid w:val="4784080E"/>
    <w:rsid w:val="47911949"/>
    <w:rsid w:val="4798508E"/>
    <w:rsid w:val="479E6FA7"/>
    <w:rsid w:val="47A8105C"/>
    <w:rsid w:val="47B045A5"/>
    <w:rsid w:val="47C768E9"/>
    <w:rsid w:val="47E7599A"/>
    <w:rsid w:val="47F15442"/>
    <w:rsid w:val="47F41A4D"/>
    <w:rsid w:val="47FC6262"/>
    <w:rsid w:val="480E66C8"/>
    <w:rsid w:val="48142DC6"/>
    <w:rsid w:val="48304E3E"/>
    <w:rsid w:val="483418F2"/>
    <w:rsid w:val="484D62D8"/>
    <w:rsid w:val="485F237C"/>
    <w:rsid w:val="48611982"/>
    <w:rsid w:val="488D7223"/>
    <w:rsid w:val="48BF5433"/>
    <w:rsid w:val="48CE7418"/>
    <w:rsid w:val="48E90410"/>
    <w:rsid w:val="48FA5541"/>
    <w:rsid w:val="490E1422"/>
    <w:rsid w:val="4954753E"/>
    <w:rsid w:val="495523F7"/>
    <w:rsid w:val="495F4514"/>
    <w:rsid w:val="496F5FB7"/>
    <w:rsid w:val="49706721"/>
    <w:rsid w:val="4972249A"/>
    <w:rsid w:val="49844CAB"/>
    <w:rsid w:val="499B0E67"/>
    <w:rsid w:val="49AC4633"/>
    <w:rsid w:val="49AF43A5"/>
    <w:rsid w:val="49B20049"/>
    <w:rsid w:val="49CC7214"/>
    <w:rsid w:val="4A012E2B"/>
    <w:rsid w:val="4A240CC9"/>
    <w:rsid w:val="4A7D0DB9"/>
    <w:rsid w:val="4A915202"/>
    <w:rsid w:val="4AAF6DD6"/>
    <w:rsid w:val="4ABC1B7E"/>
    <w:rsid w:val="4ABE695E"/>
    <w:rsid w:val="4ABF1B34"/>
    <w:rsid w:val="4AD71745"/>
    <w:rsid w:val="4AED3C84"/>
    <w:rsid w:val="4B261479"/>
    <w:rsid w:val="4B487BD8"/>
    <w:rsid w:val="4B54263B"/>
    <w:rsid w:val="4B723DEC"/>
    <w:rsid w:val="4B8403A9"/>
    <w:rsid w:val="4BB3139E"/>
    <w:rsid w:val="4BBC4C93"/>
    <w:rsid w:val="4BC364BA"/>
    <w:rsid w:val="4BEC5B42"/>
    <w:rsid w:val="4C16091A"/>
    <w:rsid w:val="4C4908C3"/>
    <w:rsid w:val="4C630603"/>
    <w:rsid w:val="4C8A1C32"/>
    <w:rsid w:val="4CA07609"/>
    <w:rsid w:val="4CAE4474"/>
    <w:rsid w:val="4CD95F2E"/>
    <w:rsid w:val="4CDD7C2A"/>
    <w:rsid w:val="4CEA67EB"/>
    <w:rsid w:val="4CEB3486"/>
    <w:rsid w:val="4CEC4311"/>
    <w:rsid w:val="4D5B310E"/>
    <w:rsid w:val="4D6472C5"/>
    <w:rsid w:val="4D6611D1"/>
    <w:rsid w:val="4D7C5695"/>
    <w:rsid w:val="4D8F6BFD"/>
    <w:rsid w:val="4DAD6AA5"/>
    <w:rsid w:val="4DB20D79"/>
    <w:rsid w:val="4DDC6397"/>
    <w:rsid w:val="4DEC6CD7"/>
    <w:rsid w:val="4DF91468"/>
    <w:rsid w:val="4E1472CC"/>
    <w:rsid w:val="4E327DB5"/>
    <w:rsid w:val="4E4071AD"/>
    <w:rsid w:val="4E453121"/>
    <w:rsid w:val="4E4A7604"/>
    <w:rsid w:val="4E605A47"/>
    <w:rsid w:val="4E6508E9"/>
    <w:rsid w:val="4E6B689F"/>
    <w:rsid w:val="4E7836A3"/>
    <w:rsid w:val="4E7E3D18"/>
    <w:rsid w:val="4E8A2033"/>
    <w:rsid w:val="4E8E5131"/>
    <w:rsid w:val="4EA52348"/>
    <w:rsid w:val="4EAB10C6"/>
    <w:rsid w:val="4EAD62CE"/>
    <w:rsid w:val="4EBC4CF2"/>
    <w:rsid w:val="4ED053BA"/>
    <w:rsid w:val="4ED3034E"/>
    <w:rsid w:val="4EE4321B"/>
    <w:rsid w:val="4EFA29B0"/>
    <w:rsid w:val="4F04441F"/>
    <w:rsid w:val="4F095D2D"/>
    <w:rsid w:val="4F113C33"/>
    <w:rsid w:val="4F16058D"/>
    <w:rsid w:val="4F1C76BB"/>
    <w:rsid w:val="4F37063D"/>
    <w:rsid w:val="4F3A0F47"/>
    <w:rsid w:val="4F624B23"/>
    <w:rsid w:val="4F73064E"/>
    <w:rsid w:val="4F8F7860"/>
    <w:rsid w:val="4F90367A"/>
    <w:rsid w:val="4FC918B1"/>
    <w:rsid w:val="4FD20061"/>
    <w:rsid w:val="4FDD44A2"/>
    <w:rsid w:val="50096F88"/>
    <w:rsid w:val="501462CD"/>
    <w:rsid w:val="50154AD1"/>
    <w:rsid w:val="501A1195"/>
    <w:rsid w:val="5020676C"/>
    <w:rsid w:val="502760C7"/>
    <w:rsid w:val="502838B2"/>
    <w:rsid w:val="502F2D27"/>
    <w:rsid w:val="505A5A36"/>
    <w:rsid w:val="50636D84"/>
    <w:rsid w:val="506473FC"/>
    <w:rsid w:val="506C5B2C"/>
    <w:rsid w:val="50803A72"/>
    <w:rsid w:val="508358A5"/>
    <w:rsid w:val="50A8054F"/>
    <w:rsid w:val="50AC6291"/>
    <w:rsid w:val="50E22BB9"/>
    <w:rsid w:val="50F72818"/>
    <w:rsid w:val="51082263"/>
    <w:rsid w:val="510A3C02"/>
    <w:rsid w:val="510C2540"/>
    <w:rsid w:val="51145C6A"/>
    <w:rsid w:val="51662699"/>
    <w:rsid w:val="5198572E"/>
    <w:rsid w:val="51BC69A8"/>
    <w:rsid w:val="51C92E73"/>
    <w:rsid w:val="51E51A98"/>
    <w:rsid w:val="5201085F"/>
    <w:rsid w:val="52281A1B"/>
    <w:rsid w:val="523208A0"/>
    <w:rsid w:val="523B025A"/>
    <w:rsid w:val="52437B83"/>
    <w:rsid w:val="5245699D"/>
    <w:rsid w:val="52614E59"/>
    <w:rsid w:val="52633A4F"/>
    <w:rsid w:val="528374C6"/>
    <w:rsid w:val="528F19C6"/>
    <w:rsid w:val="52983C29"/>
    <w:rsid w:val="52CC3B94"/>
    <w:rsid w:val="52DC7DB4"/>
    <w:rsid w:val="52FA2762"/>
    <w:rsid w:val="5302038E"/>
    <w:rsid w:val="53157A4A"/>
    <w:rsid w:val="53221C49"/>
    <w:rsid w:val="532408EC"/>
    <w:rsid w:val="53256E3A"/>
    <w:rsid w:val="53574187"/>
    <w:rsid w:val="536A2750"/>
    <w:rsid w:val="53881011"/>
    <w:rsid w:val="53891790"/>
    <w:rsid w:val="53991EB9"/>
    <w:rsid w:val="539F2EA5"/>
    <w:rsid w:val="53B65CA9"/>
    <w:rsid w:val="53C27B7A"/>
    <w:rsid w:val="53C6520D"/>
    <w:rsid w:val="53CC0C88"/>
    <w:rsid w:val="53D224B3"/>
    <w:rsid w:val="53DB75F2"/>
    <w:rsid w:val="540A3C52"/>
    <w:rsid w:val="540A5EA3"/>
    <w:rsid w:val="543109BA"/>
    <w:rsid w:val="544B4C90"/>
    <w:rsid w:val="545C6EC8"/>
    <w:rsid w:val="548C46CA"/>
    <w:rsid w:val="549777FD"/>
    <w:rsid w:val="54AF3253"/>
    <w:rsid w:val="54F907A4"/>
    <w:rsid w:val="55000AEA"/>
    <w:rsid w:val="55307659"/>
    <w:rsid w:val="5541746F"/>
    <w:rsid w:val="556645F8"/>
    <w:rsid w:val="55852C7F"/>
    <w:rsid w:val="55BA3084"/>
    <w:rsid w:val="55C55567"/>
    <w:rsid w:val="55E0339D"/>
    <w:rsid w:val="56582A17"/>
    <w:rsid w:val="566E223B"/>
    <w:rsid w:val="569E47FB"/>
    <w:rsid w:val="56B63238"/>
    <w:rsid w:val="56C143DD"/>
    <w:rsid w:val="56D15222"/>
    <w:rsid w:val="57050D14"/>
    <w:rsid w:val="571050A0"/>
    <w:rsid w:val="571922FD"/>
    <w:rsid w:val="572727CF"/>
    <w:rsid w:val="57563A10"/>
    <w:rsid w:val="577A7AEB"/>
    <w:rsid w:val="577B59BA"/>
    <w:rsid w:val="57876F3A"/>
    <w:rsid w:val="57A77B24"/>
    <w:rsid w:val="57C93BCD"/>
    <w:rsid w:val="57D1072E"/>
    <w:rsid w:val="581630AE"/>
    <w:rsid w:val="58225E0E"/>
    <w:rsid w:val="583B103E"/>
    <w:rsid w:val="58424AB5"/>
    <w:rsid w:val="586754BA"/>
    <w:rsid w:val="5868641C"/>
    <w:rsid w:val="586B78FF"/>
    <w:rsid w:val="589A727B"/>
    <w:rsid w:val="58C77D96"/>
    <w:rsid w:val="58D05A14"/>
    <w:rsid w:val="58D273AD"/>
    <w:rsid w:val="59023C09"/>
    <w:rsid w:val="595455B5"/>
    <w:rsid w:val="59575208"/>
    <w:rsid w:val="595F0197"/>
    <w:rsid w:val="598E498E"/>
    <w:rsid w:val="59A017A0"/>
    <w:rsid w:val="59D220B1"/>
    <w:rsid w:val="59F22154"/>
    <w:rsid w:val="5A072091"/>
    <w:rsid w:val="5A07278A"/>
    <w:rsid w:val="5A0A2170"/>
    <w:rsid w:val="5A1048E4"/>
    <w:rsid w:val="5A250D38"/>
    <w:rsid w:val="5A4F3C35"/>
    <w:rsid w:val="5A592E3F"/>
    <w:rsid w:val="5A6E148A"/>
    <w:rsid w:val="5A9164F8"/>
    <w:rsid w:val="5A9970C2"/>
    <w:rsid w:val="5AB521E6"/>
    <w:rsid w:val="5ABF12B7"/>
    <w:rsid w:val="5AD4003F"/>
    <w:rsid w:val="5AE7689A"/>
    <w:rsid w:val="5AEB1D12"/>
    <w:rsid w:val="5AF21D0D"/>
    <w:rsid w:val="5AFD292B"/>
    <w:rsid w:val="5B0E4FB1"/>
    <w:rsid w:val="5B12588A"/>
    <w:rsid w:val="5B163C90"/>
    <w:rsid w:val="5B1F1240"/>
    <w:rsid w:val="5B305BA0"/>
    <w:rsid w:val="5B524A50"/>
    <w:rsid w:val="5B674ECD"/>
    <w:rsid w:val="5B7A4984"/>
    <w:rsid w:val="5B9802BD"/>
    <w:rsid w:val="5B990DDB"/>
    <w:rsid w:val="5BA07554"/>
    <w:rsid w:val="5BC416A9"/>
    <w:rsid w:val="5BE03AD5"/>
    <w:rsid w:val="5BE701A7"/>
    <w:rsid w:val="5BE70AC5"/>
    <w:rsid w:val="5BE81346"/>
    <w:rsid w:val="5BF84A80"/>
    <w:rsid w:val="5C1D5966"/>
    <w:rsid w:val="5C2926E6"/>
    <w:rsid w:val="5C2C1198"/>
    <w:rsid w:val="5C2F5FC8"/>
    <w:rsid w:val="5C3F683A"/>
    <w:rsid w:val="5C4C054D"/>
    <w:rsid w:val="5C540E99"/>
    <w:rsid w:val="5C5A60FF"/>
    <w:rsid w:val="5C5F68AD"/>
    <w:rsid w:val="5C6402E7"/>
    <w:rsid w:val="5C73547D"/>
    <w:rsid w:val="5C766B76"/>
    <w:rsid w:val="5C7E60FB"/>
    <w:rsid w:val="5CE01DE0"/>
    <w:rsid w:val="5D0F3D7C"/>
    <w:rsid w:val="5D1171C3"/>
    <w:rsid w:val="5D150487"/>
    <w:rsid w:val="5D1A2A7C"/>
    <w:rsid w:val="5D1B7F69"/>
    <w:rsid w:val="5D2C75B6"/>
    <w:rsid w:val="5D3649BD"/>
    <w:rsid w:val="5D565960"/>
    <w:rsid w:val="5D573851"/>
    <w:rsid w:val="5D734503"/>
    <w:rsid w:val="5D93648C"/>
    <w:rsid w:val="5DC664B8"/>
    <w:rsid w:val="5DE15411"/>
    <w:rsid w:val="5DF14806"/>
    <w:rsid w:val="5DF50013"/>
    <w:rsid w:val="5E083EFA"/>
    <w:rsid w:val="5E117F39"/>
    <w:rsid w:val="5E303C41"/>
    <w:rsid w:val="5E4044BD"/>
    <w:rsid w:val="5E4C6E9B"/>
    <w:rsid w:val="5E632471"/>
    <w:rsid w:val="5E863619"/>
    <w:rsid w:val="5E882159"/>
    <w:rsid w:val="5E8C5954"/>
    <w:rsid w:val="5E94715A"/>
    <w:rsid w:val="5E98323E"/>
    <w:rsid w:val="5EA90CA0"/>
    <w:rsid w:val="5F0F70FF"/>
    <w:rsid w:val="5F2A7A3E"/>
    <w:rsid w:val="5F381FDB"/>
    <w:rsid w:val="5F4F1518"/>
    <w:rsid w:val="5F5521EA"/>
    <w:rsid w:val="5F6D7EDA"/>
    <w:rsid w:val="5F9518CA"/>
    <w:rsid w:val="5F972372"/>
    <w:rsid w:val="5F9A004A"/>
    <w:rsid w:val="5FC11B8B"/>
    <w:rsid w:val="5FDE3D68"/>
    <w:rsid w:val="5FF213B9"/>
    <w:rsid w:val="5FF226BE"/>
    <w:rsid w:val="6004506B"/>
    <w:rsid w:val="600E71BC"/>
    <w:rsid w:val="601201C1"/>
    <w:rsid w:val="604003E3"/>
    <w:rsid w:val="604F42C0"/>
    <w:rsid w:val="6058330C"/>
    <w:rsid w:val="609B1E7E"/>
    <w:rsid w:val="60B65D19"/>
    <w:rsid w:val="60DB582B"/>
    <w:rsid w:val="61043076"/>
    <w:rsid w:val="6109328C"/>
    <w:rsid w:val="610E5A47"/>
    <w:rsid w:val="61127D2A"/>
    <w:rsid w:val="61272EA6"/>
    <w:rsid w:val="6137289C"/>
    <w:rsid w:val="6162299C"/>
    <w:rsid w:val="61812CD7"/>
    <w:rsid w:val="61A80D15"/>
    <w:rsid w:val="61F14216"/>
    <w:rsid w:val="62242DB4"/>
    <w:rsid w:val="626A084D"/>
    <w:rsid w:val="627A0751"/>
    <w:rsid w:val="628B60ED"/>
    <w:rsid w:val="628C5F22"/>
    <w:rsid w:val="62C24E6C"/>
    <w:rsid w:val="62D60A84"/>
    <w:rsid w:val="62E37F5D"/>
    <w:rsid w:val="62E41CCF"/>
    <w:rsid w:val="631A0F8F"/>
    <w:rsid w:val="631B7697"/>
    <w:rsid w:val="631C52FD"/>
    <w:rsid w:val="63211453"/>
    <w:rsid w:val="63236775"/>
    <w:rsid w:val="63383313"/>
    <w:rsid w:val="63390458"/>
    <w:rsid w:val="634467FD"/>
    <w:rsid w:val="63451A7E"/>
    <w:rsid w:val="634632A4"/>
    <w:rsid w:val="635D206F"/>
    <w:rsid w:val="637E7E6A"/>
    <w:rsid w:val="640C67DF"/>
    <w:rsid w:val="64610CE9"/>
    <w:rsid w:val="646F6853"/>
    <w:rsid w:val="64813139"/>
    <w:rsid w:val="64CD4361"/>
    <w:rsid w:val="64CE04C8"/>
    <w:rsid w:val="64D74BF5"/>
    <w:rsid w:val="64DC1AA7"/>
    <w:rsid w:val="64E56BB3"/>
    <w:rsid w:val="64EE4632"/>
    <w:rsid w:val="64F63B27"/>
    <w:rsid w:val="65031DA0"/>
    <w:rsid w:val="654E162E"/>
    <w:rsid w:val="65633682"/>
    <w:rsid w:val="65633D39"/>
    <w:rsid w:val="657C4227"/>
    <w:rsid w:val="658629C7"/>
    <w:rsid w:val="65AA2760"/>
    <w:rsid w:val="65BF752E"/>
    <w:rsid w:val="65C75E92"/>
    <w:rsid w:val="662A2A16"/>
    <w:rsid w:val="663A71E2"/>
    <w:rsid w:val="663E69E2"/>
    <w:rsid w:val="66624AC4"/>
    <w:rsid w:val="669E7FD2"/>
    <w:rsid w:val="66AC478B"/>
    <w:rsid w:val="66C93F10"/>
    <w:rsid w:val="66CB4B3F"/>
    <w:rsid w:val="66CB790E"/>
    <w:rsid w:val="66D97E53"/>
    <w:rsid w:val="66DE37E3"/>
    <w:rsid w:val="66ED50C5"/>
    <w:rsid w:val="6719080F"/>
    <w:rsid w:val="672C7BF9"/>
    <w:rsid w:val="673E213F"/>
    <w:rsid w:val="674B29EC"/>
    <w:rsid w:val="674C5903"/>
    <w:rsid w:val="67776BA1"/>
    <w:rsid w:val="677B0DB5"/>
    <w:rsid w:val="677D408C"/>
    <w:rsid w:val="678468F7"/>
    <w:rsid w:val="678621C2"/>
    <w:rsid w:val="6796319D"/>
    <w:rsid w:val="679A4C3E"/>
    <w:rsid w:val="67C77394"/>
    <w:rsid w:val="67DA238A"/>
    <w:rsid w:val="67F73C7E"/>
    <w:rsid w:val="680D3662"/>
    <w:rsid w:val="68332830"/>
    <w:rsid w:val="684D7CB7"/>
    <w:rsid w:val="685935E5"/>
    <w:rsid w:val="686E4199"/>
    <w:rsid w:val="6888733C"/>
    <w:rsid w:val="68945B31"/>
    <w:rsid w:val="68A04182"/>
    <w:rsid w:val="68B3184E"/>
    <w:rsid w:val="68C33D20"/>
    <w:rsid w:val="68E00589"/>
    <w:rsid w:val="68E00B13"/>
    <w:rsid w:val="68F551AA"/>
    <w:rsid w:val="69197C1D"/>
    <w:rsid w:val="691F5B14"/>
    <w:rsid w:val="693613AC"/>
    <w:rsid w:val="693E160F"/>
    <w:rsid w:val="69BF35EE"/>
    <w:rsid w:val="69D5262D"/>
    <w:rsid w:val="69E20CF4"/>
    <w:rsid w:val="6A406CD7"/>
    <w:rsid w:val="6A406CE0"/>
    <w:rsid w:val="6A4A65E1"/>
    <w:rsid w:val="6A5C18FD"/>
    <w:rsid w:val="6A6B167A"/>
    <w:rsid w:val="6A734615"/>
    <w:rsid w:val="6A7A02E7"/>
    <w:rsid w:val="6A800F11"/>
    <w:rsid w:val="6A840C8C"/>
    <w:rsid w:val="6A9B6716"/>
    <w:rsid w:val="6A9E0341"/>
    <w:rsid w:val="6A9E05A7"/>
    <w:rsid w:val="6AA3671B"/>
    <w:rsid w:val="6AAE7116"/>
    <w:rsid w:val="6AC17F28"/>
    <w:rsid w:val="6AC326FD"/>
    <w:rsid w:val="6AD15B89"/>
    <w:rsid w:val="6AE81278"/>
    <w:rsid w:val="6B657E75"/>
    <w:rsid w:val="6B7943F0"/>
    <w:rsid w:val="6B7E0EC4"/>
    <w:rsid w:val="6B99520C"/>
    <w:rsid w:val="6B9B38B7"/>
    <w:rsid w:val="6BBD3773"/>
    <w:rsid w:val="6BE41209"/>
    <w:rsid w:val="6BE74161"/>
    <w:rsid w:val="6BF608B1"/>
    <w:rsid w:val="6C0B7144"/>
    <w:rsid w:val="6C1D1EC4"/>
    <w:rsid w:val="6C3E68E0"/>
    <w:rsid w:val="6C47110C"/>
    <w:rsid w:val="6C6B4DFB"/>
    <w:rsid w:val="6C8C09E7"/>
    <w:rsid w:val="6CC8224D"/>
    <w:rsid w:val="6CD76ABF"/>
    <w:rsid w:val="6D132A5D"/>
    <w:rsid w:val="6D1E603D"/>
    <w:rsid w:val="6D5216B1"/>
    <w:rsid w:val="6D665341"/>
    <w:rsid w:val="6D836174"/>
    <w:rsid w:val="6D8C3201"/>
    <w:rsid w:val="6D9115EF"/>
    <w:rsid w:val="6DA02D87"/>
    <w:rsid w:val="6DBE1390"/>
    <w:rsid w:val="6DE60787"/>
    <w:rsid w:val="6DE76703"/>
    <w:rsid w:val="6DEB45FA"/>
    <w:rsid w:val="6E0E0C26"/>
    <w:rsid w:val="6E2C3B9C"/>
    <w:rsid w:val="6E477D47"/>
    <w:rsid w:val="6E502867"/>
    <w:rsid w:val="6E513E51"/>
    <w:rsid w:val="6E5B1D61"/>
    <w:rsid w:val="6E7E12A0"/>
    <w:rsid w:val="6E976E60"/>
    <w:rsid w:val="6E9E3C70"/>
    <w:rsid w:val="6EBD7AA5"/>
    <w:rsid w:val="6F106AA9"/>
    <w:rsid w:val="6F212B04"/>
    <w:rsid w:val="6F240E42"/>
    <w:rsid w:val="6F3829E8"/>
    <w:rsid w:val="6F47666A"/>
    <w:rsid w:val="6F5A6ABC"/>
    <w:rsid w:val="6F6C4D78"/>
    <w:rsid w:val="6F775B12"/>
    <w:rsid w:val="6F8930EB"/>
    <w:rsid w:val="6FA26D85"/>
    <w:rsid w:val="6FB53A26"/>
    <w:rsid w:val="6FB57CB8"/>
    <w:rsid w:val="6FBB7E54"/>
    <w:rsid w:val="6FD3048F"/>
    <w:rsid w:val="6FD35267"/>
    <w:rsid w:val="6FEA5300"/>
    <w:rsid w:val="6FF54D6B"/>
    <w:rsid w:val="70210F8A"/>
    <w:rsid w:val="702119D7"/>
    <w:rsid w:val="70402B58"/>
    <w:rsid w:val="70423DF3"/>
    <w:rsid w:val="70827ED1"/>
    <w:rsid w:val="708E42F1"/>
    <w:rsid w:val="708F3534"/>
    <w:rsid w:val="7093022F"/>
    <w:rsid w:val="70A638A4"/>
    <w:rsid w:val="70CE2391"/>
    <w:rsid w:val="70F817F1"/>
    <w:rsid w:val="70FC24C5"/>
    <w:rsid w:val="71220E80"/>
    <w:rsid w:val="716C5C89"/>
    <w:rsid w:val="716F24BA"/>
    <w:rsid w:val="7170328E"/>
    <w:rsid w:val="71791D68"/>
    <w:rsid w:val="718331D3"/>
    <w:rsid w:val="71BC3FFC"/>
    <w:rsid w:val="71C42AE5"/>
    <w:rsid w:val="71C57B3B"/>
    <w:rsid w:val="72011A28"/>
    <w:rsid w:val="7204296F"/>
    <w:rsid w:val="725C69B6"/>
    <w:rsid w:val="72610B3E"/>
    <w:rsid w:val="72712A3F"/>
    <w:rsid w:val="72BC6071"/>
    <w:rsid w:val="72D46D88"/>
    <w:rsid w:val="72D75763"/>
    <w:rsid w:val="72EE1FBA"/>
    <w:rsid w:val="7304755E"/>
    <w:rsid w:val="73171CA3"/>
    <w:rsid w:val="733F2267"/>
    <w:rsid w:val="735C324C"/>
    <w:rsid w:val="73727F0B"/>
    <w:rsid w:val="7375030D"/>
    <w:rsid w:val="738A2431"/>
    <w:rsid w:val="73A46481"/>
    <w:rsid w:val="73D00EB5"/>
    <w:rsid w:val="73E664D9"/>
    <w:rsid w:val="73FF12FD"/>
    <w:rsid w:val="74033A4E"/>
    <w:rsid w:val="74297CC7"/>
    <w:rsid w:val="742B1FE0"/>
    <w:rsid w:val="742D3B64"/>
    <w:rsid w:val="74626AE3"/>
    <w:rsid w:val="746F2C65"/>
    <w:rsid w:val="748440A7"/>
    <w:rsid w:val="74981FF4"/>
    <w:rsid w:val="74A97274"/>
    <w:rsid w:val="74BA06CD"/>
    <w:rsid w:val="74D379E1"/>
    <w:rsid w:val="74F160B9"/>
    <w:rsid w:val="74FA13BB"/>
    <w:rsid w:val="75086A21"/>
    <w:rsid w:val="75144B05"/>
    <w:rsid w:val="751722F8"/>
    <w:rsid w:val="753161AE"/>
    <w:rsid w:val="7548217D"/>
    <w:rsid w:val="754D70FE"/>
    <w:rsid w:val="755A3AFE"/>
    <w:rsid w:val="75632BA7"/>
    <w:rsid w:val="756B7F54"/>
    <w:rsid w:val="756F72A4"/>
    <w:rsid w:val="75AB413E"/>
    <w:rsid w:val="75CB54E1"/>
    <w:rsid w:val="760D0D18"/>
    <w:rsid w:val="761A15FE"/>
    <w:rsid w:val="76375C9A"/>
    <w:rsid w:val="763C5D0A"/>
    <w:rsid w:val="763E2A36"/>
    <w:rsid w:val="766E27F2"/>
    <w:rsid w:val="7681073F"/>
    <w:rsid w:val="76830F93"/>
    <w:rsid w:val="76B32A3E"/>
    <w:rsid w:val="76D6415E"/>
    <w:rsid w:val="76D80CE3"/>
    <w:rsid w:val="76F75171"/>
    <w:rsid w:val="77075720"/>
    <w:rsid w:val="7707575C"/>
    <w:rsid w:val="770C6363"/>
    <w:rsid w:val="771D64E7"/>
    <w:rsid w:val="772C132D"/>
    <w:rsid w:val="7739441A"/>
    <w:rsid w:val="773D0465"/>
    <w:rsid w:val="77526C08"/>
    <w:rsid w:val="776E01EB"/>
    <w:rsid w:val="77841137"/>
    <w:rsid w:val="778B4A53"/>
    <w:rsid w:val="77A2369A"/>
    <w:rsid w:val="77C5612C"/>
    <w:rsid w:val="77E51F05"/>
    <w:rsid w:val="77E837A3"/>
    <w:rsid w:val="77F4039A"/>
    <w:rsid w:val="78136043"/>
    <w:rsid w:val="781454A1"/>
    <w:rsid w:val="78277BFB"/>
    <w:rsid w:val="784651FA"/>
    <w:rsid w:val="785E4B2C"/>
    <w:rsid w:val="786B2585"/>
    <w:rsid w:val="787D267C"/>
    <w:rsid w:val="7886716E"/>
    <w:rsid w:val="78A4003D"/>
    <w:rsid w:val="78B845F8"/>
    <w:rsid w:val="78BA52CD"/>
    <w:rsid w:val="78D268B3"/>
    <w:rsid w:val="78EF57FD"/>
    <w:rsid w:val="790F2FD4"/>
    <w:rsid w:val="79541688"/>
    <w:rsid w:val="79607369"/>
    <w:rsid w:val="79671759"/>
    <w:rsid w:val="79673B28"/>
    <w:rsid w:val="797075DA"/>
    <w:rsid w:val="79A16664"/>
    <w:rsid w:val="79A731EA"/>
    <w:rsid w:val="79E32DA6"/>
    <w:rsid w:val="79E75E88"/>
    <w:rsid w:val="79E8213C"/>
    <w:rsid w:val="7A1962D7"/>
    <w:rsid w:val="7A1B3C8B"/>
    <w:rsid w:val="7A3C3862"/>
    <w:rsid w:val="7A7E219D"/>
    <w:rsid w:val="7A9C474B"/>
    <w:rsid w:val="7AA4721B"/>
    <w:rsid w:val="7ABD1DBC"/>
    <w:rsid w:val="7AD268B9"/>
    <w:rsid w:val="7B0040A1"/>
    <w:rsid w:val="7B191DBE"/>
    <w:rsid w:val="7B2366D3"/>
    <w:rsid w:val="7B2712B4"/>
    <w:rsid w:val="7B276391"/>
    <w:rsid w:val="7B363838"/>
    <w:rsid w:val="7B4414D8"/>
    <w:rsid w:val="7B65510B"/>
    <w:rsid w:val="7B6E04ED"/>
    <w:rsid w:val="7B7D5F7C"/>
    <w:rsid w:val="7B9854E0"/>
    <w:rsid w:val="7B9E2238"/>
    <w:rsid w:val="7BA80079"/>
    <w:rsid w:val="7BAE6AB2"/>
    <w:rsid w:val="7BB114E4"/>
    <w:rsid w:val="7BB368A2"/>
    <w:rsid w:val="7BB41C3D"/>
    <w:rsid w:val="7BC7773B"/>
    <w:rsid w:val="7BDC50A2"/>
    <w:rsid w:val="7C081A8C"/>
    <w:rsid w:val="7C132407"/>
    <w:rsid w:val="7C18457A"/>
    <w:rsid w:val="7C4B4301"/>
    <w:rsid w:val="7C5C4B32"/>
    <w:rsid w:val="7C6077C0"/>
    <w:rsid w:val="7C6558D0"/>
    <w:rsid w:val="7C7B2841"/>
    <w:rsid w:val="7C865339"/>
    <w:rsid w:val="7CA63CDF"/>
    <w:rsid w:val="7CA76FDA"/>
    <w:rsid w:val="7CD87D18"/>
    <w:rsid w:val="7CEE4295"/>
    <w:rsid w:val="7D09128A"/>
    <w:rsid w:val="7D0B0461"/>
    <w:rsid w:val="7D0F2F68"/>
    <w:rsid w:val="7D282903"/>
    <w:rsid w:val="7D401A7F"/>
    <w:rsid w:val="7D4071CA"/>
    <w:rsid w:val="7D53640E"/>
    <w:rsid w:val="7D741635"/>
    <w:rsid w:val="7D9D09C0"/>
    <w:rsid w:val="7DB27E72"/>
    <w:rsid w:val="7DB303AF"/>
    <w:rsid w:val="7DBC6EA6"/>
    <w:rsid w:val="7DC354CD"/>
    <w:rsid w:val="7DD56239"/>
    <w:rsid w:val="7DE71B9A"/>
    <w:rsid w:val="7DF838D1"/>
    <w:rsid w:val="7E002EC9"/>
    <w:rsid w:val="7E015867"/>
    <w:rsid w:val="7E226135"/>
    <w:rsid w:val="7E2F166A"/>
    <w:rsid w:val="7E4455CB"/>
    <w:rsid w:val="7E525E1A"/>
    <w:rsid w:val="7E5B0B2B"/>
    <w:rsid w:val="7E631DD5"/>
    <w:rsid w:val="7E672D78"/>
    <w:rsid w:val="7E753116"/>
    <w:rsid w:val="7E897702"/>
    <w:rsid w:val="7EC00FD6"/>
    <w:rsid w:val="7EC62364"/>
    <w:rsid w:val="7ECB44A7"/>
    <w:rsid w:val="7EFC7B34"/>
    <w:rsid w:val="7F0A4FAE"/>
    <w:rsid w:val="7F0B22F0"/>
    <w:rsid w:val="7F476610"/>
    <w:rsid w:val="7F4C39AE"/>
    <w:rsid w:val="7F567244"/>
    <w:rsid w:val="7F761634"/>
    <w:rsid w:val="7F800765"/>
    <w:rsid w:val="7F8A5140"/>
    <w:rsid w:val="7F8E48CA"/>
    <w:rsid w:val="7FA3022B"/>
    <w:rsid w:val="7FD75920"/>
    <w:rsid w:val="7FEB16FE"/>
    <w:rsid w:val="7FEE40C2"/>
    <w:rsid w:val="7FF5738C"/>
    <w:rsid w:val="7FFC76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autoRedefine/>
    <w:qFormat/>
    <w:uiPriority w:val="9"/>
    <w:pPr>
      <w:keepNext/>
      <w:keepLines/>
      <w:spacing w:line="360" w:lineRule="auto"/>
      <w:ind w:left="0" w:leftChars="0"/>
      <w:jc w:val="center"/>
      <w:outlineLvl w:val="0"/>
    </w:pPr>
    <w:rPr>
      <w:bCs/>
      <w:kern w:val="44"/>
      <w:sz w:val="32"/>
      <w:szCs w:val="44"/>
    </w:rPr>
  </w:style>
  <w:style w:type="paragraph" w:styleId="3">
    <w:name w:val="heading 2"/>
    <w:basedOn w:val="1"/>
    <w:next w:val="1"/>
    <w:link w:val="52"/>
    <w:autoRedefine/>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link w:val="68"/>
    <w:autoRedefine/>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54"/>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56"/>
    <w:autoRedefine/>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57"/>
    <w:autoRedefine/>
    <w:qFormat/>
    <w:uiPriority w:val="0"/>
    <w:pPr>
      <w:tabs>
        <w:tab w:val="left" w:pos="1800"/>
        <w:tab w:val="clear" w:pos="1440"/>
      </w:tabs>
      <w:ind w:left="1276" w:hanging="1276"/>
      <w:outlineLvl w:val="6"/>
    </w:pPr>
  </w:style>
  <w:style w:type="paragraph" w:styleId="9">
    <w:name w:val="heading 8"/>
    <w:basedOn w:val="8"/>
    <w:next w:val="1"/>
    <w:link w:val="58"/>
    <w:autoRedefine/>
    <w:qFormat/>
    <w:uiPriority w:val="0"/>
    <w:pPr>
      <w:ind w:left="1418" w:hanging="1418"/>
      <w:outlineLvl w:val="7"/>
    </w:pPr>
  </w:style>
  <w:style w:type="paragraph" w:styleId="10">
    <w:name w:val="heading 9"/>
    <w:basedOn w:val="9"/>
    <w:next w:val="1"/>
    <w:link w:val="59"/>
    <w:autoRedefine/>
    <w:qFormat/>
    <w:uiPriority w:val="0"/>
    <w:pPr>
      <w:tabs>
        <w:tab w:val="left" w:pos="2160"/>
        <w:tab w:val="clear" w:pos="1800"/>
      </w:tabs>
      <w:ind w:left="1559" w:hanging="1559"/>
      <w:outlineLvl w:val="8"/>
    </w:pPr>
  </w:style>
  <w:style w:type="character" w:default="1" w:styleId="41">
    <w:name w:val="Default Paragraph Font"/>
    <w:autoRedefine/>
    <w:unhideWhenUsed/>
    <w:qFormat/>
    <w:uiPriority w:val="1"/>
  </w:style>
  <w:style w:type="table" w:default="1" w:styleId="39">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next w:val="1"/>
    <w:link w:val="60"/>
    <w:autoRedefine/>
    <w:unhideWhenUsed/>
    <w:qFormat/>
    <w:uiPriority w:val="0"/>
    <w:pPr>
      <w:ind w:firstLine="420" w:firstLineChars="200"/>
    </w:pPr>
  </w:style>
  <w:style w:type="paragraph" w:styleId="12">
    <w:name w:val="index 5"/>
    <w:basedOn w:val="1"/>
    <w:next w:val="1"/>
    <w:autoRedefine/>
    <w:qFormat/>
    <w:uiPriority w:val="0"/>
    <w:pPr>
      <w:ind w:left="800" w:leftChars="800"/>
    </w:pPr>
    <w:rPr>
      <w:szCs w:val="20"/>
      <w:lang w:bidi="he-IL"/>
    </w:rPr>
  </w:style>
  <w:style w:type="paragraph" w:styleId="13">
    <w:name w:val="Document Map"/>
    <w:basedOn w:val="1"/>
    <w:link w:val="61"/>
    <w:autoRedefine/>
    <w:qFormat/>
    <w:uiPriority w:val="0"/>
    <w:rPr>
      <w:rFonts w:ascii="宋体"/>
      <w:sz w:val="18"/>
      <w:szCs w:val="18"/>
    </w:rPr>
  </w:style>
  <w:style w:type="paragraph" w:styleId="14">
    <w:name w:val="toa heading"/>
    <w:basedOn w:val="1"/>
    <w:next w:val="1"/>
    <w:autoRedefine/>
    <w:qFormat/>
    <w:uiPriority w:val="0"/>
    <w:pPr>
      <w:spacing w:before="120"/>
    </w:pPr>
    <w:rPr>
      <w:rFonts w:ascii="Arial" w:hAnsi="Arial"/>
      <w:sz w:val="24"/>
      <w:szCs w:val="21"/>
    </w:rPr>
  </w:style>
  <w:style w:type="paragraph" w:styleId="15">
    <w:name w:val="annotation text"/>
    <w:basedOn w:val="1"/>
    <w:link w:val="62"/>
    <w:autoRedefine/>
    <w:qFormat/>
    <w:uiPriority w:val="0"/>
    <w:pPr>
      <w:jc w:val="left"/>
    </w:pPr>
  </w:style>
  <w:style w:type="paragraph" w:styleId="16">
    <w:name w:val="Salutation"/>
    <w:basedOn w:val="1"/>
    <w:next w:val="1"/>
    <w:autoRedefine/>
    <w:qFormat/>
    <w:uiPriority w:val="99"/>
    <w:rPr>
      <w:rFonts w:ascii="宋体"/>
      <w:b/>
      <w:sz w:val="28"/>
    </w:rPr>
  </w:style>
  <w:style w:type="paragraph" w:styleId="17">
    <w:name w:val="Body Text"/>
    <w:basedOn w:val="1"/>
    <w:autoRedefine/>
    <w:unhideWhenUsed/>
    <w:qFormat/>
    <w:uiPriority w:val="0"/>
    <w:pPr>
      <w:spacing w:after="120"/>
    </w:pPr>
  </w:style>
  <w:style w:type="paragraph" w:styleId="18">
    <w:name w:val="Body Text Indent"/>
    <w:basedOn w:val="1"/>
    <w:autoRedefine/>
    <w:qFormat/>
    <w:uiPriority w:val="0"/>
    <w:pPr>
      <w:ind w:firstLine="830" w:firstLineChars="352"/>
    </w:pPr>
    <w:rPr>
      <w:rFonts w:ascii="仿宋_GB2312" w:eastAsia="仿宋_GB2312"/>
      <w:sz w:val="32"/>
      <w:szCs w:val="20"/>
    </w:rPr>
  </w:style>
  <w:style w:type="paragraph" w:styleId="19">
    <w:name w:val="List 2"/>
    <w:basedOn w:val="1"/>
    <w:next w:val="20"/>
    <w:autoRedefine/>
    <w:qFormat/>
    <w:uiPriority w:val="0"/>
    <w:pPr>
      <w:ind w:left="100" w:leftChars="200" w:hanging="200" w:hangingChars="200"/>
    </w:pPr>
  </w:style>
  <w:style w:type="paragraph" w:styleId="20">
    <w:name w:val="Plain Text"/>
    <w:basedOn w:val="1"/>
    <w:link w:val="63"/>
    <w:autoRedefine/>
    <w:qFormat/>
    <w:uiPriority w:val="0"/>
    <w:rPr>
      <w:rFonts w:ascii="宋体" w:hAnsi="Courier New"/>
      <w:szCs w:val="21"/>
    </w:rPr>
  </w:style>
  <w:style w:type="paragraph" w:styleId="2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autoRedefine/>
    <w:unhideWhenUsed/>
    <w:qFormat/>
    <w:uiPriority w:val="39"/>
    <w:pPr>
      <w:ind w:left="840" w:leftChars="400"/>
    </w:pPr>
  </w:style>
  <w:style w:type="paragraph" w:styleId="23">
    <w:name w:val="Date"/>
    <w:basedOn w:val="1"/>
    <w:next w:val="1"/>
    <w:autoRedefine/>
    <w:qFormat/>
    <w:uiPriority w:val="0"/>
    <w:pPr>
      <w:ind w:left="100" w:leftChars="2500"/>
    </w:pPr>
    <w:rPr>
      <w:rFonts w:ascii="宋体" w:hAnsi="Courier New" w:cs="Courier New"/>
      <w:szCs w:val="21"/>
    </w:rPr>
  </w:style>
  <w:style w:type="paragraph" w:styleId="24">
    <w:name w:val="Balloon Text"/>
    <w:basedOn w:val="1"/>
    <w:autoRedefine/>
    <w:semiHidden/>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sz w:val="18"/>
      <w:szCs w:val="18"/>
    </w:rPr>
  </w:style>
  <w:style w:type="paragraph" w:styleId="26">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tabs>
        <w:tab w:val="right" w:leader="dot" w:pos="8222"/>
      </w:tabs>
      <w:spacing w:line="440" w:lineRule="exact"/>
      <w:ind w:right="231" w:rightChars="110"/>
    </w:pPr>
    <w:rPr>
      <w:rFonts w:ascii="Times New Roman" w:hAnsi="Times New Roman" w:eastAsia="宋体"/>
      <w:sz w:val="21"/>
    </w:rPr>
  </w:style>
  <w:style w:type="paragraph" w:styleId="28">
    <w:name w:val="footnote text"/>
    <w:basedOn w:val="1"/>
    <w:next w:val="12"/>
    <w:autoRedefine/>
    <w:qFormat/>
    <w:uiPriority w:val="0"/>
    <w:pPr>
      <w:snapToGrid w:val="0"/>
      <w:jc w:val="left"/>
    </w:pPr>
    <w:rPr>
      <w:sz w:val="18"/>
    </w:rPr>
  </w:style>
  <w:style w:type="paragraph" w:styleId="29">
    <w:name w:val="toc 6"/>
    <w:basedOn w:val="1"/>
    <w:next w:val="1"/>
    <w:qFormat/>
    <w:uiPriority w:val="0"/>
    <w:pPr>
      <w:ind w:left="2100" w:leftChars="1000"/>
    </w:pPr>
    <w:rPr>
      <w:rFonts w:ascii="Calibri" w:hAnsi="Calibri"/>
    </w:rPr>
  </w:style>
  <w:style w:type="paragraph" w:styleId="30">
    <w:name w:val="Body Text Indent 3"/>
    <w:basedOn w:val="1"/>
    <w:link w:val="65"/>
    <w:autoRedefine/>
    <w:unhideWhenUsed/>
    <w:qFormat/>
    <w:uiPriority w:val="0"/>
    <w:pPr>
      <w:spacing w:after="120"/>
      <w:ind w:left="420" w:leftChars="200"/>
    </w:pPr>
    <w:rPr>
      <w:sz w:val="16"/>
      <w:szCs w:val="16"/>
    </w:rPr>
  </w:style>
  <w:style w:type="paragraph" w:styleId="31">
    <w:name w:val="toc 2"/>
    <w:basedOn w:val="1"/>
    <w:next w:val="1"/>
    <w:autoRedefine/>
    <w:qFormat/>
    <w:uiPriority w:val="39"/>
    <w:pPr>
      <w:tabs>
        <w:tab w:val="right" w:leader="dot" w:pos="8222"/>
      </w:tabs>
      <w:ind w:left="420" w:leftChars="200"/>
      <w:jc w:val="left"/>
    </w:pPr>
    <w:rPr>
      <w:sz w:val="28"/>
    </w:rPr>
  </w:style>
  <w:style w:type="paragraph" w:styleId="32">
    <w:name w:val="HTML Preformatted"/>
    <w:basedOn w:val="1"/>
    <w:qFormat/>
    <w:uiPriority w:val="0"/>
    <w:rPr>
      <w:rFonts w:ascii="Courier New" w:hAnsi="Courier New"/>
      <w:sz w:val="20"/>
    </w:rPr>
  </w:style>
  <w:style w:type="paragraph" w:styleId="3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autoRedefine/>
    <w:qFormat/>
    <w:uiPriority w:val="0"/>
    <w:pPr>
      <w:widowControl w:val="0"/>
      <w:jc w:val="center"/>
    </w:pPr>
    <w:rPr>
      <w:kern w:val="2"/>
      <w:szCs w:val="24"/>
    </w:rPr>
  </w:style>
  <w:style w:type="paragraph" w:styleId="35">
    <w:name w:val="Title"/>
    <w:basedOn w:val="3"/>
    <w:next w:val="1"/>
    <w:link w:val="66"/>
    <w:autoRedefine/>
    <w:qFormat/>
    <w:uiPriority w:val="0"/>
    <w:pPr>
      <w:jc w:val="both"/>
    </w:pPr>
    <w:rPr>
      <w:rFonts w:ascii="宋体" w:hAnsi="宋体"/>
      <w:sz w:val="44"/>
    </w:rPr>
  </w:style>
  <w:style w:type="paragraph" w:styleId="36">
    <w:name w:val="annotation subject"/>
    <w:basedOn w:val="15"/>
    <w:next w:val="15"/>
    <w:link w:val="67"/>
    <w:autoRedefine/>
    <w:qFormat/>
    <w:uiPriority w:val="99"/>
    <w:rPr>
      <w:b/>
      <w:sz w:val="28"/>
      <w:szCs w:val="20"/>
    </w:rPr>
  </w:style>
  <w:style w:type="paragraph" w:styleId="37">
    <w:name w:val="Body Text First Indent"/>
    <w:basedOn w:val="17"/>
    <w:autoRedefine/>
    <w:qFormat/>
    <w:uiPriority w:val="0"/>
    <w:pPr>
      <w:snapToGrid/>
      <w:spacing w:after="120" w:afterLines="0" w:line="240" w:lineRule="auto"/>
      <w:ind w:firstLine="420" w:firstLineChars="100"/>
    </w:pPr>
    <w:rPr>
      <w:sz w:val="21"/>
      <w:szCs w:val="24"/>
    </w:rPr>
  </w:style>
  <w:style w:type="paragraph" w:styleId="38">
    <w:name w:val="Body Text First Indent 2"/>
    <w:basedOn w:val="18"/>
    <w:autoRedefine/>
    <w:qFormat/>
    <w:uiPriority w:val="0"/>
    <w:pPr>
      <w:spacing w:after="120" w:line="240" w:lineRule="auto"/>
      <w:ind w:left="420" w:leftChars="200" w:firstLine="420" w:firstLineChars="200"/>
    </w:pPr>
    <w:rPr>
      <w:sz w:val="21"/>
      <w:szCs w:val="24"/>
    </w:rPr>
  </w:style>
  <w:style w:type="table" w:styleId="40">
    <w:name w:val="Table Grid"/>
    <w:basedOn w:val="3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autoRedefine/>
    <w:qFormat/>
    <w:uiPriority w:val="0"/>
    <w:rPr>
      <w:b/>
      <w:bCs/>
    </w:rPr>
  </w:style>
  <w:style w:type="character" w:styleId="43">
    <w:name w:val="page number"/>
    <w:basedOn w:val="41"/>
    <w:autoRedefine/>
    <w:qFormat/>
    <w:uiPriority w:val="0"/>
  </w:style>
  <w:style w:type="character" w:styleId="44">
    <w:name w:val="Emphasis"/>
    <w:basedOn w:val="41"/>
    <w:autoRedefine/>
    <w:qFormat/>
    <w:uiPriority w:val="0"/>
    <w:rPr>
      <w:i/>
    </w:rPr>
  </w:style>
  <w:style w:type="character" w:styleId="45">
    <w:name w:val="Hyperlink"/>
    <w:basedOn w:val="41"/>
    <w:autoRedefine/>
    <w:qFormat/>
    <w:uiPriority w:val="99"/>
    <w:rPr>
      <w:color w:val="0000FF"/>
      <w:u w:val="single"/>
    </w:rPr>
  </w:style>
  <w:style w:type="character" w:styleId="46">
    <w:name w:val="annotation reference"/>
    <w:basedOn w:val="41"/>
    <w:autoRedefine/>
    <w:unhideWhenUsed/>
    <w:qFormat/>
    <w:uiPriority w:val="0"/>
    <w:rPr>
      <w:sz w:val="21"/>
      <w:szCs w:val="21"/>
    </w:rPr>
  </w:style>
  <w:style w:type="character" w:styleId="47">
    <w:name w:val="HTML Sample"/>
    <w:basedOn w:val="41"/>
    <w:autoRedefine/>
    <w:semiHidden/>
    <w:unhideWhenUsed/>
    <w:qFormat/>
    <w:uiPriority w:val="0"/>
    <w:rPr>
      <w:rFonts w:ascii="Courier New" w:hAnsi="Courier New"/>
    </w:rPr>
  </w:style>
  <w:style w:type="paragraph" w:customStyle="1" w:styleId="48">
    <w:name w:val="BodyText"/>
    <w:basedOn w:val="1"/>
    <w:qFormat/>
    <w:uiPriority w:val="0"/>
    <w:pPr>
      <w:tabs>
        <w:tab w:val="left" w:pos="562"/>
        <w:tab w:val="left" w:pos="3372"/>
        <w:tab w:val="left" w:pos="3653"/>
      </w:tabs>
      <w:jc w:val="both"/>
      <w:textAlignment w:val="baseline"/>
    </w:pPr>
    <w:rPr>
      <w:rFonts w:ascii="Times New Roman" w:hAnsi="Times New Roman" w:eastAsia="宋体"/>
      <w:kern w:val="2"/>
      <w:sz w:val="24"/>
      <w:szCs w:val="24"/>
      <w:lang w:val="en-US" w:eastAsia="zh-CN" w:bidi="ar-SA"/>
    </w:rPr>
  </w:style>
  <w:style w:type="paragraph" w:customStyle="1" w:styleId="49">
    <w:name w:val="Default"/>
    <w:next w:val="50"/>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大标题"/>
    <w:basedOn w:val="1"/>
    <w:next w:val="38"/>
    <w:autoRedefine/>
    <w:qFormat/>
    <w:uiPriority w:val="0"/>
    <w:pPr>
      <w:jc w:val="center"/>
    </w:pPr>
    <w:rPr>
      <w:rFonts w:ascii="Arial" w:hAnsi="Arial" w:eastAsia="宋体" w:cs="Times New Roman"/>
      <w:b/>
      <w:sz w:val="28"/>
      <w:szCs w:val="24"/>
    </w:rPr>
  </w:style>
  <w:style w:type="character" w:customStyle="1" w:styleId="51">
    <w:name w:val="标题 1 Char"/>
    <w:link w:val="2"/>
    <w:autoRedefine/>
    <w:qFormat/>
    <w:uiPriority w:val="9"/>
    <w:rPr>
      <w:rFonts w:ascii="Cambria" w:hAnsi="Cambria" w:eastAsia="宋体"/>
      <w:b/>
      <w:bCs/>
      <w:kern w:val="44"/>
      <w:sz w:val="32"/>
      <w:szCs w:val="44"/>
    </w:rPr>
  </w:style>
  <w:style w:type="character" w:customStyle="1" w:styleId="52">
    <w:name w:val="标题 2 Char"/>
    <w:link w:val="3"/>
    <w:autoRedefine/>
    <w:qFormat/>
    <w:uiPriority w:val="0"/>
    <w:rPr>
      <w:rFonts w:ascii="Cambria" w:hAnsi="Cambria" w:eastAsia="宋体"/>
      <w:b/>
      <w:kern w:val="2"/>
      <w:sz w:val="28"/>
      <w:szCs w:val="28"/>
    </w:rPr>
  </w:style>
  <w:style w:type="character" w:customStyle="1" w:styleId="53">
    <w:name w:val="标题 3 字符"/>
    <w:link w:val="4"/>
    <w:autoRedefine/>
    <w:semiHidden/>
    <w:qFormat/>
    <w:locked/>
    <w:uiPriority w:val="99"/>
    <w:rPr>
      <w:rFonts w:cs="Times New Roman"/>
      <w:b/>
      <w:bCs/>
      <w:sz w:val="32"/>
      <w:szCs w:val="32"/>
    </w:rPr>
  </w:style>
  <w:style w:type="character" w:customStyle="1" w:styleId="54">
    <w:name w:val="标题 4 Char"/>
    <w:link w:val="5"/>
    <w:autoRedefine/>
    <w:qFormat/>
    <w:uiPriority w:val="0"/>
    <w:rPr>
      <w:rFonts w:ascii="Arial" w:hAnsi="Arial" w:eastAsia="黑体"/>
      <w:b/>
      <w:bCs/>
      <w:kern w:val="2"/>
      <w:sz w:val="28"/>
      <w:szCs w:val="28"/>
    </w:rPr>
  </w:style>
  <w:style w:type="character" w:customStyle="1" w:styleId="55">
    <w:name w:val="标题 5 Char"/>
    <w:link w:val="6"/>
    <w:autoRedefine/>
    <w:qFormat/>
    <w:uiPriority w:val="0"/>
    <w:rPr>
      <w:rFonts w:ascii="Calibri" w:hAnsi="Calibri"/>
      <w:b/>
      <w:bCs/>
      <w:kern w:val="2"/>
      <w:sz w:val="28"/>
      <w:szCs w:val="28"/>
    </w:rPr>
  </w:style>
  <w:style w:type="character" w:customStyle="1" w:styleId="56">
    <w:name w:val="标题 6 Char"/>
    <w:link w:val="7"/>
    <w:autoRedefine/>
    <w:qFormat/>
    <w:uiPriority w:val="0"/>
    <w:rPr>
      <w:b/>
      <w:bCs/>
      <w:kern w:val="2"/>
      <w:sz w:val="30"/>
      <w:szCs w:val="18"/>
    </w:rPr>
  </w:style>
  <w:style w:type="character" w:customStyle="1" w:styleId="57">
    <w:name w:val="标题 7 Char"/>
    <w:link w:val="8"/>
    <w:autoRedefine/>
    <w:qFormat/>
    <w:uiPriority w:val="0"/>
    <w:rPr>
      <w:b/>
      <w:bCs/>
      <w:kern w:val="2"/>
      <w:sz w:val="30"/>
      <w:szCs w:val="18"/>
    </w:rPr>
  </w:style>
  <w:style w:type="character" w:customStyle="1" w:styleId="58">
    <w:name w:val="标题 8 Char"/>
    <w:link w:val="9"/>
    <w:autoRedefine/>
    <w:qFormat/>
    <w:uiPriority w:val="0"/>
    <w:rPr>
      <w:b/>
      <w:bCs/>
      <w:kern w:val="2"/>
      <w:sz w:val="30"/>
      <w:szCs w:val="18"/>
    </w:rPr>
  </w:style>
  <w:style w:type="character" w:customStyle="1" w:styleId="59">
    <w:name w:val="标题 9 Char"/>
    <w:link w:val="10"/>
    <w:autoRedefine/>
    <w:qFormat/>
    <w:uiPriority w:val="0"/>
    <w:rPr>
      <w:b/>
      <w:bCs/>
      <w:kern w:val="2"/>
      <w:sz w:val="30"/>
      <w:szCs w:val="18"/>
    </w:rPr>
  </w:style>
  <w:style w:type="character" w:customStyle="1" w:styleId="60">
    <w:name w:val="正文缩进 Char"/>
    <w:link w:val="11"/>
    <w:autoRedefine/>
    <w:qFormat/>
    <w:uiPriority w:val="0"/>
    <w:rPr>
      <w:rFonts w:ascii="Calibri" w:hAnsi="Calibri" w:eastAsia="宋体"/>
      <w:kern w:val="2"/>
      <w:sz w:val="21"/>
      <w:szCs w:val="22"/>
      <w:lang w:val="en-US" w:eastAsia="zh-CN" w:bidi="ar-SA"/>
    </w:rPr>
  </w:style>
  <w:style w:type="character" w:customStyle="1" w:styleId="61">
    <w:name w:val="文档结构图 Char"/>
    <w:basedOn w:val="41"/>
    <w:link w:val="13"/>
    <w:autoRedefine/>
    <w:qFormat/>
    <w:uiPriority w:val="0"/>
    <w:rPr>
      <w:rFonts w:ascii="宋体" w:hAnsi="Calibri"/>
      <w:kern w:val="2"/>
      <w:sz w:val="18"/>
      <w:szCs w:val="18"/>
    </w:rPr>
  </w:style>
  <w:style w:type="character" w:customStyle="1" w:styleId="62">
    <w:name w:val="批注文字 Char"/>
    <w:basedOn w:val="41"/>
    <w:link w:val="15"/>
    <w:autoRedefine/>
    <w:qFormat/>
    <w:uiPriority w:val="0"/>
    <w:rPr>
      <w:rFonts w:ascii="Calibri" w:hAnsi="Calibri"/>
      <w:kern w:val="2"/>
      <w:sz w:val="21"/>
      <w:szCs w:val="22"/>
    </w:rPr>
  </w:style>
  <w:style w:type="character" w:customStyle="1" w:styleId="63">
    <w:name w:val="纯文本 Char"/>
    <w:link w:val="20"/>
    <w:autoRedefine/>
    <w:qFormat/>
    <w:locked/>
    <w:uiPriority w:val="0"/>
    <w:rPr>
      <w:rFonts w:ascii="宋体" w:hAnsi="Courier New" w:eastAsia="宋体" w:cs="Courier New"/>
      <w:kern w:val="2"/>
      <w:sz w:val="21"/>
      <w:szCs w:val="21"/>
    </w:rPr>
  </w:style>
  <w:style w:type="character" w:customStyle="1" w:styleId="64">
    <w:name w:val="页眉 Char"/>
    <w:link w:val="26"/>
    <w:autoRedefine/>
    <w:qFormat/>
    <w:uiPriority w:val="99"/>
    <w:rPr>
      <w:rFonts w:ascii="Calibri" w:hAnsi="Calibri" w:eastAsia="宋体" w:cs="Times New Roman"/>
      <w:kern w:val="2"/>
      <w:sz w:val="18"/>
      <w:szCs w:val="18"/>
    </w:rPr>
  </w:style>
  <w:style w:type="character" w:customStyle="1" w:styleId="65">
    <w:name w:val="正文文本缩进 3 Char"/>
    <w:basedOn w:val="41"/>
    <w:link w:val="30"/>
    <w:autoRedefine/>
    <w:semiHidden/>
    <w:qFormat/>
    <w:uiPriority w:val="0"/>
    <w:rPr>
      <w:rFonts w:ascii="Calibri" w:hAnsi="Calibri"/>
      <w:kern w:val="2"/>
      <w:sz w:val="16"/>
      <w:szCs w:val="16"/>
    </w:rPr>
  </w:style>
  <w:style w:type="character" w:customStyle="1" w:styleId="66">
    <w:name w:val="标题 Char"/>
    <w:link w:val="35"/>
    <w:autoRedefine/>
    <w:qFormat/>
    <w:uiPriority w:val="0"/>
    <w:rPr>
      <w:rFonts w:ascii="宋体" w:hAnsi="宋体" w:eastAsia="宋体"/>
      <w:b/>
      <w:kern w:val="2"/>
      <w:sz w:val="44"/>
      <w:szCs w:val="28"/>
    </w:rPr>
  </w:style>
  <w:style w:type="character" w:customStyle="1" w:styleId="67">
    <w:name w:val="批注主题 Char"/>
    <w:link w:val="36"/>
    <w:autoRedefine/>
    <w:qFormat/>
    <w:uiPriority w:val="99"/>
    <w:rPr>
      <w:b/>
      <w:kern w:val="2"/>
      <w:sz w:val="28"/>
    </w:rPr>
  </w:style>
  <w:style w:type="character" w:customStyle="1" w:styleId="68">
    <w:name w:val="标题 3 Char"/>
    <w:link w:val="4"/>
    <w:autoRedefine/>
    <w:qFormat/>
    <w:uiPriority w:val="0"/>
    <w:rPr>
      <w:rFonts w:ascii="仿宋_GB2312" w:hAnsi="宋体" w:eastAsia="宋体"/>
      <w:b/>
      <w:kern w:val="2"/>
      <w:sz w:val="32"/>
      <w:szCs w:val="32"/>
    </w:rPr>
  </w:style>
  <w:style w:type="paragraph" w:customStyle="1" w:styleId="69">
    <w:name w:val="标题 5（有编号）（绿盟科技）"/>
    <w:basedOn w:val="1"/>
    <w:next w:val="70"/>
    <w:autoRedefine/>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7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71">
    <w:name w:val="批注主题 Char1"/>
    <w:basedOn w:val="62"/>
    <w:autoRedefine/>
    <w:qFormat/>
    <w:uiPriority w:val="0"/>
    <w:rPr>
      <w:rFonts w:ascii="Calibri" w:hAnsi="Calibri"/>
      <w:b/>
      <w:bCs/>
      <w:kern w:val="2"/>
      <w:sz w:val="21"/>
      <w:szCs w:val="22"/>
    </w:rPr>
  </w:style>
  <w:style w:type="character" w:customStyle="1" w:styleId="72">
    <w:name w:val="普通文字 Char Char2"/>
    <w:autoRedefine/>
    <w:qFormat/>
    <w:uiPriority w:val="0"/>
    <w:rPr>
      <w:rFonts w:ascii="宋体" w:hAnsi="Courier New" w:cs="Courier New"/>
      <w:kern w:val="2"/>
      <w:sz w:val="21"/>
      <w:szCs w:val="21"/>
    </w:rPr>
  </w:style>
  <w:style w:type="character" w:customStyle="1" w:styleId="73">
    <w:name w:val="font21"/>
    <w:basedOn w:val="41"/>
    <w:autoRedefine/>
    <w:qFormat/>
    <w:uiPriority w:val="0"/>
    <w:rPr>
      <w:rFonts w:hint="eastAsia" w:ascii="宋体" w:hAnsi="宋体" w:eastAsia="宋体" w:cs="宋体"/>
      <w:color w:val="000000"/>
      <w:sz w:val="24"/>
      <w:szCs w:val="24"/>
      <w:u w:val="none"/>
    </w:rPr>
  </w:style>
  <w:style w:type="character" w:customStyle="1" w:styleId="74">
    <w:name w:val="需求样式 Char"/>
    <w:link w:val="75"/>
    <w:autoRedefine/>
    <w:qFormat/>
    <w:uiPriority w:val="0"/>
    <w:rPr>
      <w:b/>
      <w:bCs/>
      <w:kern w:val="44"/>
      <w:sz w:val="32"/>
      <w:szCs w:val="28"/>
    </w:rPr>
  </w:style>
  <w:style w:type="paragraph" w:customStyle="1" w:styleId="75">
    <w:name w:val="需求样式"/>
    <w:basedOn w:val="2"/>
    <w:link w:val="74"/>
    <w:autoRedefine/>
    <w:qFormat/>
    <w:uiPriority w:val="0"/>
    <w:pPr>
      <w:spacing w:before="120" w:after="120" w:line="360" w:lineRule="auto"/>
      <w:ind w:left="425" w:hanging="425"/>
    </w:pPr>
    <w:rPr>
      <w:rFonts w:ascii="Calibri" w:hAnsi="Calibri"/>
      <w:szCs w:val="28"/>
    </w:rPr>
  </w:style>
  <w:style w:type="character" w:customStyle="1" w:styleId="76">
    <w:name w:val="bookmark-item uuid-1536114797846 code-23002"/>
    <w:basedOn w:val="41"/>
    <w:autoRedefine/>
    <w:qFormat/>
    <w:uiPriority w:val="0"/>
  </w:style>
  <w:style w:type="character" w:customStyle="1" w:styleId="77">
    <w:name w:val="font51"/>
    <w:basedOn w:val="41"/>
    <w:autoRedefine/>
    <w:qFormat/>
    <w:uiPriority w:val="0"/>
    <w:rPr>
      <w:rFonts w:hint="eastAsia" w:ascii="宋体" w:hAnsi="宋体" w:eastAsia="宋体" w:cs="宋体"/>
      <w:color w:val="000000"/>
      <w:sz w:val="20"/>
      <w:szCs w:val="20"/>
      <w:u w:val="none"/>
    </w:rPr>
  </w:style>
  <w:style w:type="character" w:customStyle="1" w:styleId="78">
    <w:name w:val="2册标题2 Char"/>
    <w:link w:val="79"/>
    <w:autoRedefine/>
    <w:qFormat/>
    <w:uiPriority w:val="0"/>
    <w:rPr>
      <w:rFonts w:ascii="Arial" w:hAnsi="Arial" w:eastAsia="黑体"/>
      <w:kern w:val="2"/>
      <w:sz w:val="30"/>
    </w:rPr>
  </w:style>
  <w:style w:type="paragraph" w:customStyle="1" w:styleId="79">
    <w:name w:val="2册标题2"/>
    <w:basedOn w:val="1"/>
    <w:next w:val="1"/>
    <w:link w:val="78"/>
    <w:autoRedefine/>
    <w:qFormat/>
    <w:uiPriority w:val="0"/>
    <w:pPr>
      <w:spacing w:beforeLines="50" w:afterLines="50" w:line="300" w:lineRule="auto"/>
      <w:outlineLvl w:val="1"/>
    </w:pPr>
    <w:rPr>
      <w:rFonts w:ascii="Arial" w:hAnsi="Arial" w:eastAsia="黑体"/>
      <w:sz w:val="30"/>
      <w:szCs w:val="20"/>
    </w:rPr>
  </w:style>
  <w:style w:type="character" w:customStyle="1" w:styleId="80">
    <w:name w:val="font81"/>
    <w:basedOn w:val="41"/>
    <w:autoRedefine/>
    <w:qFormat/>
    <w:uiPriority w:val="0"/>
    <w:rPr>
      <w:rFonts w:hint="default" w:ascii="Calibri" w:hAnsi="Calibri" w:cs="Calibri"/>
      <w:color w:val="000000"/>
      <w:sz w:val="20"/>
      <w:szCs w:val="20"/>
      <w:u w:val="none"/>
    </w:rPr>
  </w:style>
  <w:style w:type="character" w:customStyle="1" w:styleId="81">
    <w:name w:val="case31"/>
    <w:autoRedefine/>
    <w:qFormat/>
    <w:uiPriority w:val="0"/>
    <w:rPr>
      <w:rFonts w:hint="default"/>
      <w:spacing w:val="390"/>
      <w:sz w:val="21"/>
      <w:szCs w:val="21"/>
    </w:rPr>
  </w:style>
  <w:style w:type="character" w:customStyle="1" w:styleId="82">
    <w:name w:val="font41"/>
    <w:basedOn w:val="41"/>
    <w:autoRedefine/>
    <w:qFormat/>
    <w:uiPriority w:val="0"/>
    <w:rPr>
      <w:rFonts w:hint="eastAsia" w:ascii="宋体" w:hAnsi="宋体" w:eastAsia="宋体" w:cs="宋体"/>
      <w:b/>
      <w:color w:val="000000"/>
      <w:sz w:val="18"/>
      <w:szCs w:val="18"/>
      <w:u w:val="none"/>
    </w:rPr>
  </w:style>
  <w:style w:type="paragraph" w:customStyle="1" w:styleId="83">
    <w:name w:val="Normal_16"/>
    <w:autoRedefine/>
    <w:qFormat/>
    <w:uiPriority w:val="0"/>
    <w:rPr>
      <w:rFonts w:ascii="黑体" w:hAnsi="黑体" w:eastAsia="黑体" w:cs="Times New Roman"/>
      <w:b/>
      <w:sz w:val="32"/>
      <w:szCs w:val="24"/>
      <w:lang w:val="en-US" w:eastAsia="zh-CN" w:bidi="ar-SA"/>
    </w:rPr>
  </w:style>
  <w:style w:type="paragraph" w:customStyle="1" w:styleId="84">
    <w:name w:val="默认段落字体 Para Char"/>
    <w:basedOn w:val="1"/>
    <w:autoRedefine/>
    <w:qFormat/>
    <w:uiPriority w:val="0"/>
    <w:pPr>
      <w:adjustRightInd w:val="0"/>
      <w:spacing w:line="360" w:lineRule="auto"/>
    </w:pPr>
    <w:rPr>
      <w:rFonts w:eastAsia="微软雅黑"/>
      <w:szCs w:val="24"/>
    </w:rPr>
  </w:style>
  <w:style w:type="paragraph" w:customStyle="1" w:styleId="85">
    <w:name w:val="SF正文"/>
    <w:basedOn w:val="1"/>
    <w:autoRedefine/>
    <w:qFormat/>
    <w:uiPriority w:val="0"/>
    <w:pPr>
      <w:spacing w:line="460" w:lineRule="exact"/>
      <w:ind w:firstLine="200" w:firstLineChars="200"/>
    </w:pPr>
    <w:rPr>
      <w:rFonts w:ascii="Century Gothic" w:hAnsi="Century Gothic" w:eastAsia="宋体"/>
      <w:sz w:val="24"/>
      <w:szCs w:val="24"/>
    </w:rPr>
  </w:style>
  <w:style w:type="paragraph" w:customStyle="1" w:styleId="86">
    <w:name w:val="No Spacing"/>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9">
    <w:name w:val="缺省文本"/>
    <w:autoRedefine/>
    <w:qFormat/>
    <w:uiPriority w:val="0"/>
    <w:pPr>
      <w:widowControl w:val="0"/>
      <w:autoSpaceDE w:val="0"/>
      <w:autoSpaceDN w:val="0"/>
      <w:adjustRightInd w:val="0"/>
      <w:spacing w:after="0" w:line="240" w:lineRule="auto"/>
    </w:pPr>
    <w:rPr>
      <w:rFonts w:ascii="Times New Roman" w:hAnsi="Times New Roman" w:eastAsia="宋体" w:cs="Times New Roman"/>
      <w:color w:val="000000"/>
      <w:sz w:val="20"/>
      <w:szCs w:val="20"/>
      <w:lang w:val="en-US" w:eastAsia="zh-CN" w:bidi="ar-SA"/>
    </w:rPr>
  </w:style>
  <w:style w:type="paragraph" w:customStyle="1" w:styleId="90">
    <w:name w:val="标书正文"/>
    <w:basedOn w:val="1"/>
    <w:autoRedefine/>
    <w:qFormat/>
    <w:uiPriority w:val="99"/>
    <w:pPr>
      <w:spacing w:line="560" w:lineRule="exact"/>
      <w:ind w:firstLine="723" w:firstLineChars="200"/>
      <w:jc w:val="center"/>
    </w:pPr>
    <w:rPr>
      <w:rFonts w:ascii="仿宋_GB2312" w:eastAsia="仿宋_GB2312"/>
      <w:b/>
      <w:sz w:val="36"/>
    </w:rPr>
  </w:style>
  <w:style w:type="paragraph" w:customStyle="1" w:styleId="91">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92">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_4"/>
    <w:next w:val="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首行缩进"/>
    <w:basedOn w:val="93"/>
    <w:qFormat/>
    <w:uiPriority w:val="0"/>
    <w:pPr>
      <w:ind w:firstLine="480" w:firstLineChars="200"/>
    </w:pPr>
    <w:rPr>
      <w:lang w:val="zh-CN"/>
    </w:rPr>
  </w:style>
  <w:style w:type="paragraph" w:customStyle="1" w:styleId="95">
    <w:name w:val="日期_0"/>
    <w:basedOn w:val="87"/>
    <w:next w:val="87"/>
    <w:autoRedefine/>
    <w:qFormat/>
    <w:uiPriority w:val="0"/>
    <w:pPr>
      <w:ind w:left="100" w:leftChars="2500"/>
    </w:pPr>
    <w:rPr>
      <w:kern w:val="0"/>
      <w:sz w:val="20"/>
    </w:rPr>
  </w:style>
  <w:style w:type="paragraph" w:customStyle="1" w:styleId="96">
    <w:name w:val="Normal_5"/>
    <w:autoRedefine/>
    <w:qFormat/>
    <w:uiPriority w:val="0"/>
    <w:rPr>
      <w:rFonts w:ascii="黑体" w:hAnsi="黑体" w:eastAsia="黑体" w:cs="Times New Roman"/>
      <w:b/>
      <w:sz w:val="32"/>
      <w:szCs w:val="24"/>
      <w:lang w:val="en-US" w:eastAsia="zh-CN" w:bidi="ar-SA"/>
    </w:rPr>
  </w:style>
  <w:style w:type="paragraph" w:customStyle="1" w:styleId="9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1_0"/>
    <w:next w:val="10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00">
    <w:name w:val="正文首行缩进1"/>
    <w:basedOn w:val="101"/>
    <w:unhideWhenUsed/>
    <w:qFormat/>
    <w:uiPriority w:val="99"/>
    <w:pPr>
      <w:ind w:firstLine="420" w:firstLineChars="100"/>
    </w:pPr>
    <w:rPr>
      <w:szCs w:val="22"/>
    </w:rPr>
  </w:style>
  <w:style w:type="paragraph" w:customStyle="1" w:styleId="101">
    <w:name w:val="正文文本_0_0"/>
    <w:basedOn w:val="102"/>
    <w:qFormat/>
    <w:uiPriority w:val="0"/>
    <w:pPr>
      <w:spacing w:after="120"/>
    </w:pPr>
    <w:rPr>
      <w:kern w:val="0"/>
      <w:sz w:val="20"/>
    </w:rPr>
  </w:style>
  <w:style w:type="paragraph" w:customStyle="1" w:styleId="102">
    <w:name w:val="正文_12_0"/>
    <w:basedOn w:val="103"/>
    <w:qFormat/>
    <w:uiPriority w:val="0"/>
    <w:rPr>
      <w:rFonts w:cs="Calibri"/>
      <w:szCs w:val="21"/>
    </w:rPr>
  </w:style>
  <w:style w:type="paragraph" w:customStyle="1" w:styleId="103">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列出段落1"/>
    <w:basedOn w:val="1"/>
    <w:autoRedefine/>
    <w:qFormat/>
    <w:uiPriority w:val="34"/>
    <w:pPr>
      <w:ind w:firstLine="420" w:firstLineChars="200"/>
    </w:pPr>
  </w:style>
  <w:style w:type="paragraph" w:customStyle="1" w:styleId="10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Normal"/>
    <w:autoRedefine/>
    <w:qFormat/>
    <w:uiPriority w:val="0"/>
    <w:rPr>
      <w:rFonts w:ascii="Times New Roman" w:hAnsi="Times New Roman" w:eastAsia="Times New Roman" w:cs="Times New Roman"/>
      <w:sz w:val="24"/>
      <w:szCs w:val="24"/>
      <w:lang w:val="en-US" w:eastAsia="zh-CN" w:bidi="ar-SA"/>
    </w:rPr>
  </w:style>
  <w:style w:type="paragraph" w:customStyle="1" w:styleId="107">
    <w:name w:val="样式3"/>
    <w:basedOn w:val="20"/>
    <w:autoRedefine/>
    <w:qFormat/>
    <w:uiPriority w:val="0"/>
    <w:pPr>
      <w:spacing w:line="240" w:lineRule="atLeast"/>
      <w:outlineLvl w:val="0"/>
    </w:pPr>
    <w:rPr>
      <w:sz w:val="28"/>
      <w:szCs w:val="24"/>
    </w:rPr>
  </w:style>
  <w:style w:type="paragraph" w:customStyle="1" w:styleId="108">
    <w:name w:val="标题 2_0_0"/>
    <w:basedOn w:val="109"/>
    <w:next w:val="99"/>
    <w:autoRedefine/>
    <w:qFormat/>
    <w:uiPriority w:val="0"/>
    <w:pPr>
      <w:outlineLvl w:val="1"/>
    </w:pPr>
    <w:rPr>
      <w:rFonts w:ascii="Calibri" w:hAnsi="Calibri" w:eastAsia="宋体"/>
      <w:lang w:eastAsia="zh-CN"/>
    </w:rPr>
  </w:style>
  <w:style w:type="paragraph" w:customStyle="1" w:styleId="109">
    <w:name w:val="标题 3_0_0"/>
    <w:basedOn w:val="110"/>
    <w:next w:val="110"/>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0">
    <w:name w:val="正文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11">
    <w:name w:val="Normal_11"/>
    <w:autoRedefine/>
    <w:qFormat/>
    <w:uiPriority w:val="0"/>
    <w:rPr>
      <w:rFonts w:ascii="黑体" w:hAnsi="黑体" w:eastAsia="黑体" w:cs="Times New Roman"/>
      <w:b/>
      <w:sz w:val="32"/>
      <w:szCs w:val="24"/>
      <w:lang w:val="en-US" w:eastAsia="zh-CN" w:bidi="ar-SA"/>
    </w:rPr>
  </w:style>
  <w:style w:type="paragraph" w:customStyle="1" w:styleId="112">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113">
    <w:name w:val="标题 3_0"/>
    <w:basedOn w:val="88"/>
    <w:next w:val="88"/>
    <w:autoRedefine/>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114">
    <w:name w:val="修订1"/>
    <w:autoRedefine/>
    <w:semiHidden/>
    <w:qFormat/>
    <w:uiPriority w:val="99"/>
    <w:rPr>
      <w:rFonts w:ascii="Times New Roman" w:hAnsi="Times New Roman" w:eastAsia="宋体" w:cs="Times New Roman"/>
      <w:kern w:val="2"/>
      <w:sz w:val="21"/>
      <w:szCs w:val="22"/>
      <w:lang w:val="en-US" w:eastAsia="zh-CN" w:bidi="ar-SA"/>
    </w:rPr>
  </w:style>
  <w:style w:type="paragraph" w:customStyle="1" w:styleId="115">
    <w:name w:val="正文文本缩进_1"/>
    <w:basedOn w:val="97"/>
    <w:autoRedefine/>
    <w:qFormat/>
    <w:uiPriority w:val="0"/>
    <w:pPr>
      <w:spacing w:line="500" w:lineRule="exact"/>
      <w:ind w:left="1588" w:leftChars="832" w:firstLine="433" w:firstLineChars="196"/>
    </w:pPr>
    <w:rPr>
      <w:kern w:val="0"/>
      <w:sz w:val="24"/>
    </w:rPr>
  </w:style>
  <w:style w:type="paragraph" w:customStyle="1" w:styleId="116">
    <w:name w:val="样式 样式 样式 左侧:  2 字符1 + 首行缩进:  2 字符1 + 首行缩进:  2 字符"/>
    <w:basedOn w:val="1"/>
    <w:autoRedefine/>
    <w:qFormat/>
    <w:uiPriority w:val="0"/>
    <w:pPr>
      <w:widowControl/>
      <w:adjustRightInd w:val="0"/>
      <w:spacing w:before="60" w:beforeLines="0" w:after="120" w:afterLines="0" w:line="440" w:lineRule="atLeast"/>
      <w:ind w:firstLine="480"/>
      <w:textAlignment w:val="baseline"/>
    </w:pPr>
    <w:rPr>
      <w:sz w:val="24"/>
    </w:rPr>
  </w:style>
  <w:style w:type="paragraph" w:customStyle="1" w:styleId="117">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118">
    <w:name w:val="正文文本_1"/>
    <w:basedOn w:val="105"/>
    <w:autoRedefine/>
    <w:qFormat/>
    <w:uiPriority w:val="0"/>
    <w:pPr>
      <w:spacing w:after="120"/>
    </w:pPr>
    <w:rPr>
      <w:kern w:val="0"/>
      <w:sz w:val="20"/>
    </w:rPr>
  </w:style>
  <w:style w:type="paragraph" w:customStyle="1" w:styleId="119">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列出段落2"/>
    <w:basedOn w:val="1"/>
    <w:autoRedefine/>
    <w:qFormat/>
    <w:uiPriority w:val="34"/>
    <w:pPr>
      <w:ind w:firstLine="420" w:firstLineChars="200"/>
    </w:pPr>
    <w:rPr>
      <w:rFonts w:ascii="Calibri" w:hAnsi="Calibri" w:eastAsia="宋体" w:cs="Times New Roman"/>
    </w:rPr>
  </w:style>
  <w:style w:type="paragraph" w:customStyle="1" w:styleId="121">
    <w:name w:val="Normal_3"/>
    <w:autoRedefine/>
    <w:qFormat/>
    <w:uiPriority w:val="0"/>
    <w:rPr>
      <w:rFonts w:ascii="黑体" w:hAnsi="黑体" w:eastAsia="黑体" w:cs="Times New Roman"/>
      <w:b/>
      <w:sz w:val="32"/>
      <w:szCs w:val="24"/>
      <w:lang w:val="en-US" w:eastAsia="zh-CN" w:bidi="ar-SA"/>
    </w:rPr>
  </w:style>
  <w:style w:type="paragraph" w:customStyle="1" w:styleId="122">
    <w:name w:val="_Style 70"/>
    <w:basedOn w:val="1"/>
    <w:next w:val="123"/>
    <w:autoRedefine/>
    <w:qFormat/>
    <w:uiPriority w:val="99"/>
    <w:pPr>
      <w:ind w:firstLine="420" w:firstLineChars="200"/>
    </w:pPr>
    <w:rPr>
      <w:rFonts w:ascii="Calibri" w:hAnsi="Calibri"/>
      <w:szCs w:val="22"/>
    </w:rPr>
  </w:style>
  <w:style w:type="paragraph" w:styleId="123">
    <w:name w:val="List Paragraph"/>
    <w:basedOn w:val="1"/>
    <w:autoRedefine/>
    <w:qFormat/>
    <w:uiPriority w:val="1"/>
    <w:pPr>
      <w:ind w:firstLine="420" w:firstLineChars="200"/>
    </w:pPr>
  </w:style>
  <w:style w:type="paragraph" w:customStyle="1" w:styleId="124">
    <w:name w:val="正文文本缩进_0_0"/>
    <w:basedOn w:val="93"/>
    <w:autoRedefine/>
    <w:qFormat/>
    <w:uiPriority w:val="0"/>
    <w:pPr>
      <w:spacing w:line="500" w:lineRule="exact"/>
      <w:ind w:left="1588" w:leftChars="832" w:firstLine="433" w:firstLineChars="196"/>
    </w:pPr>
    <w:rPr>
      <w:kern w:val="0"/>
      <w:sz w:val="24"/>
    </w:rPr>
  </w:style>
  <w:style w:type="paragraph" w:customStyle="1" w:styleId="125">
    <w:name w:val="Table Paragraph"/>
    <w:basedOn w:val="1"/>
    <w:autoRedefine/>
    <w:qFormat/>
    <w:uiPriority w:val="1"/>
    <w:rPr>
      <w:rFonts w:ascii="宋体" w:hAnsi="宋体" w:eastAsia="宋体" w:cs="宋体"/>
      <w:lang w:val="zh-CN" w:eastAsia="zh-CN" w:bidi="zh-CN"/>
    </w:rPr>
  </w:style>
  <w:style w:type="paragraph" w:customStyle="1" w:styleId="12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Normal_13"/>
    <w:autoRedefine/>
    <w:qFormat/>
    <w:uiPriority w:val="0"/>
    <w:rPr>
      <w:rFonts w:ascii="黑体" w:hAnsi="黑体" w:eastAsia="黑体" w:cs="Times New Roman"/>
      <w:b/>
      <w:sz w:val="32"/>
      <w:szCs w:val="24"/>
      <w:lang w:val="en-US" w:eastAsia="zh-CN" w:bidi="ar-SA"/>
    </w:rPr>
  </w:style>
  <w:style w:type="paragraph" w:customStyle="1" w:styleId="128">
    <w:name w:val="标题 2_0"/>
    <w:basedOn w:val="88"/>
    <w:next w:val="88"/>
    <w:autoRedefine/>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129">
    <w:name w:val="正文_0_0_1"/>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30">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31">
    <w:name w:val="TOC Heading"/>
    <w:basedOn w:val="2"/>
    <w:next w:val="1"/>
    <w:autoRedefine/>
    <w:unhideWhenUsed/>
    <w:qFormat/>
    <w:uiPriority w:val="39"/>
    <w:pPr>
      <w:widowControl/>
      <w:spacing w:before="240" w:after="0" w:line="259" w:lineRule="auto"/>
      <w:jc w:val="left"/>
      <w:outlineLvl w:val="9"/>
    </w:pPr>
    <w:rPr>
      <w:rFonts w:ascii="Cambria" w:hAnsi="Cambria" w:eastAsia="宋体" w:cs="Times New Roman"/>
      <w:bCs w:val="0"/>
      <w:color w:val="366091"/>
      <w:kern w:val="0"/>
      <w:sz w:val="32"/>
      <w:szCs w:val="32"/>
    </w:rPr>
  </w:style>
  <w:style w:type="paragraph" w:customStyle="1" w:styleId="13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3">
    <w:name w:val="样式2"/>
    <w:basedOn w:val="1"/>
    <w:autoRedefine/>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3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135">
    <w:name w:val="font31"/>
    <w:basedOn w:val="41"/>
    <w:autoRedefine/>
    <w:qFormat/>
    <w:uiPriority w:val="0"/>
    <w:rPr>
      <w:rFonts w:hint="eastAsia" w:ascii="宋体" w:hAnsi="宋体" w:eastAsia="宋体" w:cs="宋体"/>
      <w:color w:val="FF0000"/>
      <w:sz w:val="18"/>
      <w:szCs w:val="18"/>
      <w:u w:val="none"/>
    </w:rPr>
  </w:style>
  <w:style w:type="character" w:customStyle="1" w:styleId="136">
    <w:name w:val="NormalCharacter"/>
    <w:autoRedefine/>
    <w:semiHidden/>
    <w:qFormat/>
    <w:uiPriority w:val="0"/>
  </w:style>
  <w:style w:type="paragraph" w:customStyle="1" w:styleId="137">
    <w:name w:val="188"/>
    <w:basedOn w:val="1"/>
    <w:autoRedefine/>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38">
    <w:name w:val="List Paragraph1"/>
    <w:basedOn w:val="1"/>
    <w:autoRedefine/>
    <w:qFormat/>
    <w:uiPriority w:val="34"/>
    <w:pPr>
      <w:ind w:firstLine="420" w:firstLineChars="200"/>
    </w:pPr>
  </w:style>
  <w:style w:type="paragraph" w:customStyle="1" w:styleId="139">
    <w:name w:val="答复表头"/>
    <w:basedOn w:val="140"/>
    <w:next w:val="1"/>
    <w:autoRedefine/>
    <w:qFormat/>
    <w:uiPriority w:val="0"/>
    <w:pPr>
      <w:tabs>
        <w:tab w:val="left" w:pos="480"/>
      </w:tabs>
    </w:pPr>
    <w:rPr>
      <w:rFonts w:ascii="Calibri" w:hAnsi="Calibri" w:eastAsia="宋体" w:cs="Times New Roman"/>
      <w:b/>
    </w:rPr>
  </w:style>
  <w:style w:type="paragraph" w:customStyle="1" w:styleId="140">
    <w:name w:val="正表头"/>
    <w:basedOn w:val="1"/>
    <w:autoRedefine/>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character" w:customStyle="1" w:styleId="141">
    <w:name w:val="font11"/>
    <w:basedOn w:val="41"/>
    <w:autoRedefine/>
    <w:qFormat/>
    <w:uiPriority w:val="0"/>
    <w:rPr>
      <w:rFonts w:hint="eastAsia" w:ascii="宋体" w:hAnsi="宋体" w:eastAsia="宋体" w:cs="宋体"/>
      <w:b/>
      <w:bCs/>
      <w:color w:val="000000"/>
      <w:sz w:val="24"/>
      <w:szCs w:val="24"/>
      <w:u w:val="none"/>
    </w:rPr>
  </w:style>
  <w:style w:type="character" w:customStyle="1" w:styleId="142">
    <w:name w:val="font01"/>
    <w:basedOn w:val="41"/>
    <w:autoRedefine/>
    <w:qFormat/>
    <w:uiPriority w:val="0"/>
    <w:rPr>
      <w:rFonts w:hint="eastAsia" w:ascii="宋体" w:hAnsi="宋体" w:eastAsia="宋体" w:cs="宋体"/>
      <w:color w:val="000000"/>
      <w:sz w:val="24"/>
      <w:szCs w:val="24"/>
      <w:u w:val="none"/>
    </w:rPr>
  </w:style>
  <w:style w:type="paragraph" w:customStyle="1" w:styleId="143">
    <w:name w:val="正文文本_0"/>
    <w:basedOn w:val="99"/>
    <w:autoRedefine/>
    <w:qFormat/>
    <w:uiPriority w:val="0"/>
    <w:pPr>
      <w:spacing w:after="120"/>
    </w:pPr>
    <w:rPr>
      <w:kern w:val="0"/>
      <w:sz w:val="20"/>
    </w:rPr>
  </w:style>
  <w:style w:type="character" w:customStyle="1" w:styleId="144">
    <w:name w:val="样式 仿宋"/>
    <w:autoRedefine/>
    <w:qFormat/>
    <w:uiPriority w:val="99"/>
    <w:rPr>
      <w:rFonts w:ascii="仿宋" w:hAnsi="仿宋" w:eastAsia="仿宋"/>
      <w:kern w:val="1"/>
    </w:rPr>
  </w:style>
  <w:style w:type="paragraph" w:customStyle="1" w:styleId="145">
    <w:name w:val="列表段落1"/>
    <w:basedOn w:val="1"/>
    <w:autoRedefine/>
    <w:qFormat/>
    <w:uiPriority w:val="34"/>
    <w:pPr>
      <w:ind w:firstLine="420" w:firstLineChars="200"/>
      <w:jc w:val="left"/>
    </w:pPr>
    <w:rPr>
      <w:rFonts w:cs="黑体"/>
      <w:kern w:val="0"/>
      <w:sz w:val="22"/>
      <w:lang w:eastAsia="en-US"/>
    </w:rPr>
  </w:style>
  <w:style w:type="paragraph" w:customStyle="1" w:styleId="146">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table" w:customStyle="1" w:styleId="147">
    <w:name w:val="Table Normal"/>
    <w:autoRedefine/>
    <w:semiHidden/>
    <w:unhideWhenUsed/>
    <w:qFormat/>
    <w:uiPriority w:val="0"/>
    <w:tblPr>
      <w:tblCellMar>
        <w:top w:w="0" w:type="dxa"/>
        <w:left w:w="0" w:type="dxa"/>
        <w:bottom w:w="0" w:type="dxa"/>
        <w:right w:w="0" w:type="dxa"/>
      </w:tblCellMar>
    </w:tblPr>
  </w:style>
  <w:style w:type="paragraph" w:customStyle="1" w:styleId="14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9">
    <w:name w:val="Normal_1"/>
    <w:autoRedefine/>
    <w:qFormat/>
    <w:uiPriority w:val="0"/>
    <w:rPr>
      <w:rFonts w:ascii="黑体" w:hAnsi="黑体" w:eastAsia="黑体" w:cs="Times New Roman"/>
      <w:b/>
      <w:sz w:val="32"/>
      <w:szCs w:val="24"/>
      <w:lang w:val="en-US" w:eastAsia="zh-CN" w:bidi="ar-SA"/>
    </w:rPr>
  </w:style>
  <w:style w:type="paragraph" w:customStyle="1" w:styleId="150">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51">
    <w:name w:val="正文_2"/>
    <w:basedOn w:val="152"/>
    <w:qFormat/>
    <w:uiPriority w:val="0"/>
    <w:rPr>
      <w:rFonts w:ascii="Times New Roman" w:hAnsi="Times New Roman"/>
      <w:szCs w:val="24"/>
    </w:rPr>
  </w:style>
  <w:style w:type="paragraph" w:customStyle="1" w:styleId="152">
    <w:name w:val="正文_3"/>
    <w:basedOn w:val="93"/>
    <w:next w:val="14"/>
    <w:qFormat/>
    <w:uiPriority w:val="0"/>
    <w:pPr>
      <w:widowControl w:val="0"/>
      <w:jc w:val="both"/>
    </w:pPr>
    <w:rPr>
      <w:rFonts w:ascii="Calibri" w:hAnsi="Calibri" w:eastAsia="宋体" w:cs="Times New Roman"/>
      <w:lang w:val="en-US" w:eastAsia="zh-CN" w:bidi="ar-SA"/>
    </w:rPr>
  </w:style>
  <w:style w:type="paragraph" w:customStyle="1" w:styleId="153">
    <w:name w:val="索引 11"/>
    <w:next w:val="1"/>
    <w:qFormat/>
    <w:uiPriority w:val="0"/>
    <w:pPr>
      <w:widowControl w:val="0"/>
      <w:spacing w:line="360" w:lineRule="auto"/>
      <w:jc w:val="both"/>
    </w:pPr>
    <w:rPr>
      <w:rFonts w:ascii="仿宋_GB2312" w:hAnsi="等线" w:eastAsia="仿宋_GB2312" w:cs="Times New Roman"/>
      <w:kern w:val="2"/>
      <w:sz w:val="24"/>
      <w:szCs w:val="20"/>
      <w:lang w:val="en-US" w:eastAsia="zh-CN" w:bidi="ar-SA"/>
    </w:rPr>
  </w:style>
  <w:style w:type="paragraph" w:customStyle="1" w:styleId="154">
    <w:name w:val="纯文本1"/>
    <w:qFormat/>
    <w:uiPriority w:val="0"/>
    <w:pPr>
      <w:widowControl w:val="0"/>
      <w:jc w:val="both"/>
    </w:pPr>
    <w:rPr>
      <w:rFonts w:ascii="宋体" w:hAnsi="Courier New" w:eastAsia="等线" w:cs="Times New Roman"/>
      <w:kern w:val="0"/>
      <w:sz w:val="20"/>
      <w:szCs w:val="20"/>
      <w:lang w:val="en-US" w:eastAsia="zh-CN" w:bidi="ar-SA"/>
    </w:rPr>
  </w:style>
  <w:style w:type="paragraph" w:customStyle="1" w:styleId="155">
    <w:name w:val="Normal_26"/>
    <w:qFormat/>
    <w:uiPriority w:val="0"/>
    <w:rPr>
      <w:rFonts w:ascii="Times New Roman" w:hAnsi="Times New Roman" w:eastAsia="Times New Roman" w:cs="Times New Roman"/>
      <w:sz w:val="24"/>
      <w:szCs w:val="24"/>
      <w:lang w:val="en-US" w:eastAsia="zh-CN" w:bidi="ar-SA"/>
    </w:rPr>
  </w:style>
  <w:style w:type="paragraph" w:customStyle="1" w:styleId="156">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8">
    <w:name w:val="正文缩进2"/>
    <w:basedOn w:val="1"/>
    <w:qFormat/>
    <w:uiPriority w:val="0"/>
    <w:pPr>
      <w:wordWrap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14637</Words>
  <Characters>15859</Characters>
  <Lines>224</Lines>
  <Paragraphs>63</Paragraphs>
  <TotalTime>70</TotalTime>
  <ScaleCrop>false</ScaleCrop>
  <LinksUpToDate>false</LinksUpToDate>
  <CharactersWithSpaces>15975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Administrator</cp:lastModifiedBy>
  <cp:lastPrinted>2024-04-05T03:32:00Z</cp:lastPrinted>
  <dcterms:modified xsi:type="dcterms:W3CDTF">2026-06-05T04:39:09Z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15E669E608654B6F87302A9BD0DD89D8_13</vt:lpwstr>
  </property>
  <property fmtid="{D5CDD505-2E9C-101B-9397-08002B2CF9AE}" pid="4" name="KSOTemplateDocerSaveRecord">
    <vt:lpwstr>eyJoZGlkIjoiYjkwYzZhMjFhYTFlMDY5OGJhNjc3NDIyMzI2MmQ3NmQiLCJ1c2VySWQiOiIyNjU0NzMzMjcifQ==</vt:lpwstr>
  </property>
</Properties>
</file>