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shd w:val="clea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AA269">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新疆师范大学关于采购超星读秀知识库和</w:t>
                            </w:r>
                          </w:p>
                          <w:p w14:paraId="40B30BE5">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超星百链云服务平台的采购</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4D1AA269">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新疆师范大学关于采购超星读秀知识库和</w:t>
                      </w:r>
                    </w:p>
                    <w:p w14:paraId="40B30BE5">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超星百链云服务平台的采购</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（项目编号：SJX-2026-456）</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shd w:val="clea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日期：2026年06月02日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日期：2026年06月02日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hd w:val="clea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shd w:val="clear"/>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shd w:val="clear"/>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shd w:val="clear"/>
        <w:rPr>
          <w:rFonts w:hint="eastAsia" w:ascii="方正仿宋_GB2312" w:hAnsi="方正仿宋_GB2312" w:eastAsia="方正仿宋_GB2312" w:cs="方正仿宋_GB2312"/>
          <w:highlight w:val="none"/>
          <w:lang w:val="en-US" w:eastAsia="zh-CN"/>
        </w:rPr>
      </w:pPr>
    </w:p>
    <w:p w14:paraId="3A6111CF">
      <w:pPr>
        <w:pStyle w:val="18"/>
        <w:shd w:val="clear"/>
        <w:rPr>
          <w:rFonts w:hint="eastAsia" w:ascii="方正仿宋_GB2312" w:hAnsi="方正仿宋_GB2312" w:eastAsia="方正仿宋_GB2312" w:cs="方正仿宋_GB2312"/>
          <w:highlight w:val="none"/>
          <w:lang w:val="en-US" w:eastAsia="zh-CN"/>
        </w:rPr>
      </w:pPr>
    </w:p>
    <w:p w14:paraId="3A20253B">
      <w:pPr>
        <w:shd w:val="clea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shd w:val="clea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shd w:val="clea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西安超星教育科技有限公司  </w:t>
      </w:r>
    </w:p>
    <w:p w14:paraId="311F154E">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4529"/>
      <w:bookmarkStart w:id="3" w:name="_Toc19547"/>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456</w:t>
      </w:r>
    </w:p>
    <w:p w14:paraId="7365F29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项目名称：新疆师范大学关于采购超星读秀知识库和超星百链云服务平台的采购</w:t>
      </w:r>
    </w:p>
    <w:p w14:paraId="3D6B5B2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预算金额（元）：220000</w:t>
      </w:r>
      <w:r>
        <w:rPr>
          <w:rFonts w:hint="eastAsia" w:ascii="方正仿宋_GB2312" w:hAnsi="方正仿宋_GB2312" w:eastAsia="方正仿宋_GB2312" w:cs="方正仿宋_GB2312"/>
          <w:sz w:val="24"/>
          <w:szCs w:val="24"/>
          <w:highlight w:val="none"/>
          <w:lang w:val="en-US" w:eastAsia="zh-CN"/>
        </w:rPr>
        <w:t>.00</w:t>
      </w:r>
    </w:p>
    <w:p w14:paraId="6D42AD7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最高限价（元）：220000</w:t>
      </w:r>
      <w:r>
        <w:rPr>
          <w:rFonts w:hint="eastAsia" w:ascii="方正仿宋_GB2312" w:hAnsi="方正仿宋_GB2312" w:eastAsia="方正仿宋_GB2312" w:cs="方正仿宋_GB2312"/>
          <w:sz w:val="24"/>
          <w:szCs w:val="24"/>
          <w:highlight w:val="none"/>
          <w:lang w:val="en-US" w:eastAsia="zh-CN"/>
        </w:rPr>
        <w:t>.00</w:t>
      </w:r>
    </w:p>
    <w:p w14:paraId="69338CE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采购需求：超星读秀知识库和超星百链云服务平台，具体详见采购需求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新疆师范大学关于采购超星读秀知识库和超星百链云服务平台的采购</w:t>
      </w:r>
    </w:p>
    <w:p w14:paraId="476E9D8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预算金额（元）:220000</w:t>
      </w:r>
      <w:r>
        <w:rPr>
          <w:rFonts w:hint="eastAsia" w:ascii="方正仿宋_GB2312" w:hAnsi="方正仿宋_GB2312" w:eastAsia="方正仿宋_GB2312" w:cs="方正仿宋_GB2312"/>
          <w:sz w:val="24"/>
          <w:szCs w:val="24"/>
          <w:highlight w:val="none"/>
          <w:lang w:val="en-US" w:eastAsia="zh-CN"/>
        </w:rPr>
        <w:t>.00</w:t>
      </w:r>
    </w:p>
    <w:p w14:paraId="265A234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简要规格描述或项目基本概况介绍、用途：超星读秀知识库和超星百链云服务平台，具体详见采购需求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11536"/>
      <w:bookmarkStart w:id="5" w:name="_Toc22225"/>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40FD6A9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18866"/>
      <w:bookmarkStart w:id="7" w:name="_Toc21064"/>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时间：2026年06月03日至2025年06月17日，每天上午00:00至14:00，下午14:00至23:59（北京时间，法定节假日除外）</w:t>
      </w:r>
    </w:p>
    <w:p w14:paraId="1218F1E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31756"/>
      <w:bookmarkStart w:id="9" w:name="_Toc18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29746"/>
      <w:bookmarkStart w:id="11" w:name="_Toc6472"/>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21840"/>
      <w:bookmarkStart w:id="13" w:name="_Toc1059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29642"/>
      <w:bookmarkStart w:id="15" w:name="_Toc1385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shd w:val="clear"/>
        <w:rPr>
          <w:rFonts w:hint="eastAsia" w:ascii="方正仿宋_GB2312" w:hAnsi="方正仿宋_GB2312" w:eastAsia="方正仿宋_GB2312" w:cs="方正仿宋_GB2312"/>
          <w:highlight w:val="none"/>
          <w:lang w:val="en-US" w:eastAsia="zh-CN"/>
        </w:rPr>
      </w:pPr>
    </w:p>
    <w:p w14:paraId="58554929">
      <w:pPr>
        <w:pStyle w:val="21"/>
        <w:shd w:val="clear"/>
        <w:rPr>
          <w:rFonts w:hint="eastAsia" w:ascii="方正仿宋_GB2312" w:hAnsi="方正仿宋_GB2312" w:eastAsia="方正仿宋_GB2312" w:cs="方正仿宋_GB2312"/>
          <w:highlight w:val="none"/>
          <w:lang w:val="en-US" w:eastAsia="zh-CN"/>
        </w:rPr>
      </w:pPr>
    </w:p>
    <w:p w14:paraId="56FDA001">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shd w:val="clear"/>
        <w:bidi w:val="0"/>
        <w:jc w:val="center"/>
        <w:rPr>
          <w:rFonts w:hint="eastAsia" w:ascii="方正仿宋_GB2312" w:hAnsi="方正仿宋_GB2312" w:eastAsia="方正仿宋_GB2312" w:cs="方正仿宋_GB2312"/>
          <w:highlight w:val="none"/>
          <w:lang w:val="en-US" w:eastAsia="zh-CN"/>
        </w:rPr>
      </w:pPr>
      <w:bookmarkStart w:id="16" w:name="_Toc19632"/>
      <w:bookmarkStart w:id="17" w:name="_Toc2068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shd w:val="clea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shd w:val="clear"/>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4502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超星读秀知识库和超星百链云服务平台</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项目预算金额：22万元</w:t>
            </w:r>
          </w:p>
          <w:p w14:paraId="55455A6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最高限价：22万元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4400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shd w:val="clear"/>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shd w:val="clear"/>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shd w:val="clear"/>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shd w:val="clear"/>
        <w:rPr>
          <w:rFonts w:hint="eastAsia" w:ascii="方正仿宋_GB2312" w:hAnsi="方正仿宋_GB2312" w:eastAsia="方正仿宋_GB2312" w:cs="方正仿宋_GB2312"/>
          <w:highlight w:val="none"/>
          <w:lang w:val="en-US" w:eastAsia="zh-CN"/>
        </w:rPr>
      </w:pPr>
    </w:p>
    <w:p w14:paraId="248E2662">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shd w:val="clear"/>
        <w:bidi w:val="0"/>
        <w:jc w:val="center"/>
        <w:rPr>
          <w:rFonts w:hint="eastAsia" w:ascii="方正仿宋_GB2312" w:hAnsi="方正仿宋_GB2312" w:eastAsia="方正仿宋_GB2312" w:cs="方正仿宋_GB2312"/>
          <w:sz w:val="32"/>
          <w:szCs w:val="32"/>
          <w:highlight w:val="none"/>
          <w:lang w:val="en-US" w:eastAsia="zh-CN"/>
        </w:rPr>
      </w:pPr>
      <w:bookmarkStart w:id="18" w:name="_Toc24813"/>
      <w:bookmarkStart w:id="19" w:name="_Toc23225"/>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shd w:val="clear"/>
        <w:bidi w:val="0"/>
        <w:rPr>
          <w:rFonts w:hint="eastAsia" w:ascii="方正仿宋_GB2312" w:hAnsi="方正仿宋_GB2312" w:eastAsia="方正仿宋_GB2312" w:cs="方正仿宋_GB2312"/>
          <w:highlight w:val="none"/>
        </w:rPr>
      </w:pPr>
      <w:bookmarkStart w:id="20" w:name="_Toc12569"/>
      <w:bookmarkStart w:id="21" w:name="_Toc15221"/>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shd w:val="clea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14556"/>
      <w:bookmarkStart w:id="26" w:name="_Toc4581"/>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shd w:val="clea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shd w:val="clea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20722"/>
      <w:bookmarkStart w:id="29" w:name="_Toc9690"/>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shd w:val="clea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shd w:val="clea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shd w:val="clea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hd w:val="clear"/>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hd w:val="clear"/>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hd w:val="clear"/>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hd w:val="clear"/>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hd w:val="clear"/>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hd w:val="clear"/>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hd w:val="clear"/>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hd w:val="clear"/>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hd w:val="clear"/>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hd w:val="clear"/>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hd w:val="clear"/>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hd w:val="clear"/>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hd w:val="clear"/>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hd w:val="clear"/>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hd w:val="clear"/>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hd w:val="clear"/>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hd w:val="clear"/>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shd w:val="clear"/>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hd w:val="clea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hd w:val="clear"/>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hd w:val="clea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hd w:val="clea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hd w:val="clea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hd w:val="clear"/>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shd w:val="clear"/>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shd w:val="clear"/>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shd w:val="clear"/>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hd w:val="clear"/>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hd w:val="clear"/>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hd w:val="clear"/>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hd w:val="clear"/>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hd w:val="clear"/>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hd w:val="clear"/>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shd w:val="clea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shd w:val="clea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shd w:val="clea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hd w:val="clear"/>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hd w:val="clear"/>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shd w:val="clear"/>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shd w:val="clear"/>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hd w:val="clear"/>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hd w:val="clear"/>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shd w:val="clea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CF71888">
      <w:pPr>
        <w:shd w:val="clea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7A35B2D3">
      <w:pPr>
        <w:shd w:val="clea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超星读秀需实现：图书多字段 / 知识点检索、试读、文献传递、馆藏联合查询、图书被引与馆藏分析。超星百链云需实现：中外文资源统一检索、元数据整合、跨馆文献传递、传递管理与统计。</w:t>
      </w:r>
    </w:p>
    <w:p w14:paraId="7F3C435E">
      <w:pPr>
        <w:shd w:val="clea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6F55B5E0">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本次采购标的需达成高效、稳定、便捷的服务目标，构建一站式电子资源服务平台，满足图书与中外文文献检索、获取、管理需求；</w:t>
      </w:r>
    </w:p>
    <w:p w14:paraId="762458A6">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138D17AB">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超星读秀学术搜索</w:t>
            </w:r>
          </w:p>
        </w:tc>
        <w:tc>
          <w:tcPr>
            <w:tcW w:w="3150" w:type="dxa"/>
            <w:noWrap w:val="0"/>
            <w:vAlign w:val="center"/>
          </w:tcPr>
          <w:p w14:paraId="5A8D4215">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r w14:paraId="2A82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3FA3225A">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2</w:t>
            </w:r>
          </w:p>
        </w:tc>
        <w:tc>
          <w:tcPr>
            <w:tcW w:w="3630" w:type="dxa"/>
            <w:noWrap w:val="0"/>
            <w:vAlign w:val="center"/>
          </w:tcPr>
          <w:p w14:paraId="5FD4DBEF">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超星百链云图书馆</w:t>
            </w:r>
          </w:p>
        </w:tc>
        <w:tc>
          <w:tcPr>
            <w:tcW w:w="3150" w:type="dxa"/>
            <w:noWrap w:val="0"/>
            <w:vAlign w:val="center"/>
          </w:tcPr>
          <w:p w14:paraId="6779D8CB">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4C08A037">
            <w:pPr>
              <w:keepNext w:val="0"/>
              <w:keepLines w:val="0"/>
              <w:pageBreakBefore w:val="0"/>
              <w:widowControl w:val="0"/>
              <w:shd w:val="clear"/>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59DC3B69">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39CF1BB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（一）超星读秀学术搜索、超星百链云图书馆</w:t>
      </w:r>
    </w:p>
    <w:p w14:paraId="6DC859E9">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2" w:firstLineChars="200"/>
        <w:textAlignment w:val="auto"/>
        <w:rPr>
          <w:rFonts w:hint="eastAsia" w:ascii="方正仿宋_GB2312" w:hAnsi="方正仿宋_GB2312" w:eastAsia="方正仿宋_GB2312" w:cs="方正仿宋_GB2312"/>
          <w:b/>
          <w:bCs/>
          <w:color w:val="auto"/>
          <w:sz w:val="24"/>
          <w:szCs w:val="24"/>
          <w:highlight w:val="none"/>
          <w:lang w:eastAsia="zh-CN"/>
        </w:rPr>
      </w:pPr>
      <w:r>
        <w:rPr>
          <w:rFonts w:hint="eastAsia" w:ascii="方正仿宋_GB2312" w:hAnsi="方正仿宋_GB2312" w:eastAsia="方正仿宋_GB2312" w:cs="方正仿宋_GB2312"/>
          <w:b/>
          <w:bCs/>
          <w:color w:val="auto"/>
          <w:sz w:val="24"/>
          <w:szCs w:val="24"/>
          <w:highlight w:val="none"/>
          <w:lang w:eastAsia="zh-CN"/>
        </w:rPr>
        <w:t>超星读秀学术搜索</w:t>
      </w:r>
    </w:p>
    <w:p w14:paraId="668EC4F7">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1.平台需满足书名、作者、主题词等基本字段搜索、章节名称搜索、正文搜索。</w:t>
      </w:r>
    </w:p>
    <w:p w14:paraId="4759755E">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2.提供二次搜索，且提供布尔逻辑的高级搜索、专业搜索等功能。</w:t>
      </w:r>
    </w:p>
    <w:p w14:paraId="5F8CC5F0">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3.★平台需支持知识点搜索，用户可在图书资料中通过搜索找到所需知识点并直接阅读，阅读中提供文字提取、查看来源等功能。要求提供功能截图或承诺</w:t>
      </w:r>
    </w:p>
    <w:p w14:paraId="38E60D6F">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4.平台需涵盖知识点、图书类型，为读者提供海量信息资源多面搜索服务。</w:t>
      </w:r>
    </w:p>
    <w:p w14:paraId="159AD36A">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5.★平台中至少包含700万种中文图书信息，涵盖中国图书馆分类法22个分类，每个分类细分到第三级子类。要求提供功能截图或承诺</w:t>
      </w:r>
    </w:p>
    <w:p w14:paraId="2BC5347A">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6.★平台需支持千余家单位馆藏的联合目录查询。要求提供功能截图或承诺</w:t>
      </w:r>
    </w:p>
    <w:p w14:paraId="1661E8D0">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7.平台支持纸质图书和电子图书统一检索，平台支持按照馆藏纸书和电子图书进行筛选。且针对图书的检索结果可按照类型、年代、学科、作者进行筛选。</w:t>
      </w:r>
    </w:p>
    <w:p w14:paraId="39BC8B0A">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8.平台可以提供图书试读功能，可以对封面页、前言页、目次页、版权页、正文部分页等进行试读。</w:t>
      </w:r>
    </w:p>
    <w:p w14:paraId="336FF83B">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9.平台需提供通过Email的方式向读者进行文献资源的传递服务，可提供文献传递服务的图书总量不低于349万种。</w:t>
      </w:r>
    </w:p>
    <w:p w14:paraId="008CE17F">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10.对于本馆没有的图书，需支持荐购功能，有关图书信息不需手动填写，系统自动填充。</w:t>
      </w:r>
    </w:p>
    <w:p w14:paraId="7F50B56B">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11.提供中外文词典翻译、同义词、相关词、共现词的提示。</w:t>
      </w:r>
    </w:p>
    <w:p w14:paraId="23DD71BA">
      <w:pPr>
        <w:keepNext w:val="0"/>
        <w:keepLines w:val="0"/>
        <w:pageBreakBefore w:val="0"/>
        <w:widowControl w:val="0"/>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12.需要能查询到图书的被引用情况。提供100年来中文图书被引用情况的分析，尤其可对每种中文图书是否有被引用及具体的被引用情况进行查询，从而作为评价中文图书学术影响力的重要指标和依据。</w:t>
      </w:r>
    </w:p>
    <w:p w14:paraId="04D4B7BE">
      <w:pPr>
        <w:keepNext w:val="0"/>
        <w:keepLines w:val="0"/>
        <w:pageBreakBefore w:val="0"/>
        <w:widowControl w:val="0"/>
        <w:shd w:val="clear"/>
        <w:kinsoku/>
        <w:wordWrap/>
        <w:overflowPunct/>
        <w:topLinePunct w:val="0"/>
        <w:autoSpaceDE/>
        <w:autoSpaceDN/>
        <w:bidi w:val="0"/>
        <w:adjustRightInd w:val="0"/>
        <w:snapToGrid w:val="0"/>
        <w:spacing w:line="240" w:lineRule="auto"/>
        <w:ind w:firstLine="480" w:firstLineChars="200"/>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13.提供按主题对馆藏结构进行分析，提供全国图书馆纸本和电子本图书的收藏排行。</w:t>
      </w:r>
    </w:p>
    <w:p w14:paraId="35DBBDC0">
      <w:pPr>
        <w:keepNext w:val="0"/>
        <w:keepLines w:val="0"/>
        <w:pageBreakBefore w:val="0"/>
        <w:widowControl w:val="0"/>
        <w:shd w:val="clear"/>
        <w:kinsoku/>
        <w:wordWrap/>
        <w:overflowPunct/>
        <w:topLinePunct w:val="0"/>
        <w:autoSpaceDE/>
        <w:autoSpaceDN/>
        <w:bidi w:val="0"/>
        <w:adjustRightInd w:val="0"/>
        <w:snapToGrid w:val="0"/>
        <w:spacing w:line="240" w:lineRule="auto"/>
        <w:ind w:left="547" w:leftChars="228" w:firstLine="0" w:firstLineChars="0"/>
        <w:textAlignment w:val="auto"/>
        <w:rPr>
          <w:rFonts w:hint="eastAsia" w:ascii="方正仿宋_GB2312" w:hAnsi="方正仿宋_GB2312" w:eastAsia="方正仿宋_GB2312" w:cs="方正仿宋_GB2312"/>
          <w:b/>
          <w:bCs/>
          <w:color w:val="auto"/>
          <w:sz w:val="24"/>
          <w:szCs w:val="24"/>
          <w:highlight w:val="none"/>
          <w:lang w:eastAsia="zh-CN"/>
        </w:rPr>
      </w:pPr>
      <w:r>
        <w:rPr>
          <w:rFonts w:hint="eastAsia" w:ascii="方正仿宋_GB2312" w:hAnsi="方正仿宋_GB2312" w:eastAsia="方正仿宋_GB2312" w:cs="方正仿宋_GB2312"/>
          <w:b/>
          <w:bCs/>
          <w:color w:val="auto"/>
          <w:sz w:val="24"/>
          <w:szCs w:val="24"/>
          <w:highlight w:val="none"/>
          <w:lang w:eastAsia="zh-CN"/>
        </w:rPr>
        <w:t>超星百链云图书馆</w:t>
      </w:r>
    </w:p>
    <w:p w14:paraId="4D82FCD2">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（一）统一检索平台</w:t>
      </w:r>
    </w:p>
    <w:p w14:paraId="49D7825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★1.支持统一检索,实现基于中外文资源元数据的检索，可以针对期刊/学位论文/会议论文/报纸/视频等模块同时检索，并可以实现各模块独立检索。要求提供功能截图或承诺</w:t>
      </w:r>
    </w:p>
    <w:p w14:paraId="212123A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2.通过资源调度openURL规则允许定义获取中外文原文资源链接在网页的调用位置和方式。</w:t>
      </w:r>
    </w:p>
    <w:p w14:paraId="187ECB5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3.检索对期刊/学位论文/会议论文/报纸/视频等模块中任何一种资源时，同时显示其他全部相关资源信息。</w:t>
      </w:r>
    </w:p>
    <w:p w14:paraId="4D98845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4.元数据支持自动去除数据中重复内容，并自动提取题名、刊名目录等关键字段。</w:t>
      </w:r>
    </w:p>
    <w:p w14:paraId="6A947ED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（二）文献传递平台</w:t>
      </w:r>
    </w:p>
    <w:p w14:paraId="6F1A02B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1.文献传递系统和元数据仓储的统一检索系统集成，检索系统将申请传递功能自动内嵌。</w:t>
      </w:r>
    </w:p>
    <w:p w14:paraId="5EB68A31">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★2.对于本馆资源之外资源可以实现所有整合的图书馆相互文献传递。要求提供功能截图或承诺</w:t>
      </w:r>
    </w:p>
    <w:p w14:paraId="11FB387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3.提供文献传递功能及文献传递管理处理后台。</w:t>
      </w:r>
    </w:p>
    <w:p w14:paraId="0647273B">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★4.文献传递系统应可嵌入在资源检索系统中，根据检索结果可直接发请求到文献传递系统。要求提供功能截图或承诺</w:t>
      </w:r>
    </w:p>
    <w:p w14:paraId="055E5661">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5.参考咨询员工作量统计；</w:t>
      </w:r>
    </w:p>
    <w:p w14:paraId="541ED483">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1）统计数据揭示字段：咨询标题、类型（期刊或其他）、数据来源（数据库）、读者单位名称、提交时间等。</w:t>
      </w:r>
    </w:p>
    <w:p w14:paraId="7A93E038">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2）统计界面提供按“读者单位”、“邮箱”、“咨询标题”等字段检索。</w:t>
      </w:r>
    </w:p>
    <w:p w14:paraId="5D405FC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（三）元数据</w:t>
      </w:r>
    </w:p>
    <w:p w14:paraId="41226ADE">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必需收集近10年以上的有效元数据，元数据包含外文全文Springer，Elsevier，OVID，wiley，EBSCO等主流数据库；元数据收集工作由中标方独立完成。</w:t>
      </w:r>
    </w:p>
    <w:p w14:paraId="07FDA01D">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1.整合中文期刊不少于2万种，整合外文期刊不少于6万种。</w:t>
      </w:r>
    </w:p>
    <w:p w14:paraId="30B6CE8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2.整合的全国其它图书馆数不少于1000家。</w:t>
      </w:r>
    </w:p>
    <w:p w14:paraId="0BC2B93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★3.涵盖不少于500余个中外文数据库资源，提交数据库清单。要求提供功能截图或承诺</w:t>
      </w:r>
    </w:p>
    <w:p w14:paraId="4CDDD661">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4.检索时间反馈为秒级；查全率应为90%以上。</w:t>
      </w:r>
    </w:p>
    <w:p w14:paraId="509EDF7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5.期刊检索结果具有按照年代、学科、刊种等信息的聚类功能。</w:t>
      </w:r>
    </w:p>
    <w:p w14:paraId="079880F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6.检索结果支持按照相似度、时间、学术价值等维度排序。</w:t>
      </w:r>
    </w:p>
    <w:p w14:paraId="411BF73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7.中文期刊和外文期刊分开检索，并且能够直接链接到来源库全文下载网页，对于同一篇文章同时多个数据商都有的情况，可以列出文章出自多个数据商来源。</w:t>
      </w:r>
    </w:p>
    <w:p w14:paraId="0BE3748B">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8.快速检索帮助读者像利用搜索引擎一样检索学术资源。</w:t>
      </w:r>
    </w:p>
    <w:p w14:paraId="123E92B2">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9.多面搜索： 检索任何一种资源时，同时显示其他相关资源信息。 </w:t>
      </w:r>
    </w:p>
    <w:p w14:paraId="62FA53F4">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10.全文传递响应时间在48小时之内。</w:t>
      </w:r>
    </w:p>
    <w:p w14:paraId="0DFA361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11. 提供全国各地图书馆共享服务平台案例证明，保证文献传递满足率与服务质量。</w:t>
      </w:r>
    </w:p>
    <w:p w14:paraId="30D2F9B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12.数据整合方式必须以元数据方式整合。</w:t>
      </w:r>
    </w:p>
    <w:p w14:paraId="165BD59F">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13.中文全文传递获取的满足率达到或超过96%；外文全文传递获取的满足率达到或超过90%。</w:t>
      </w:r>
    </w:p>
    <w:p w14:paraId="0BC523B0">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14.同时满足下列功能: 满足期刊、学位论文、会议论文等资源的搜索；同时满足的获取方式包括本馆和非本馆的资源获取等。</w:t>
      </w:r>
    </w:p>
    <w:p w14:paraId="02FDF725">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shd w:val="clear"/>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hd w:val="clea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shd w:val="clea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shd w:val="clea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shd w:val="clea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shd w:val="clea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7134"/>
      <w:bookmarkStart w:id="36" w:name="_Toc2226"/>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shd w:val="clea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202D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60205CCB">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2D29E6C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落实政府采购政策的资格要求</w:t>
            </w:r>
          </w:p>
        </w:tc>
        <w:tc>
          <w:tcPr>
            <w:tcW w:w="5228" w:type="dxa"/>
            <w:vAlign w:val="center"/>
          </w:tcPr>
          <w:p w14:paraId="389F9E8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bookmarkStart w:id="158" w:name="_GoBack"/>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p w14:paraId="63A33B3C">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leftChars="0" w:right="0" w:righ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供应商请根据要求单独上传《中小企业声明函》，格式以采购文件要求为准。</w:t>
            </w:r>
            <w:bookmarkEnd w:id="158"/>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284C64DA">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10</w:t>
            </w:r>
          </w:p>
        </w:tc>
        <w:tc>
          <w:tcPr>
            <w:tcW w:w="2536" w:type="dxa"/>
            <w:vAlign w:val="center"/>
          </w:tcPr>
          <w:p w14:paraId="12E1EC72">
            <w:pPr>
              <w:keepNext w:val="0"/>
              <w:keepLines w:val="0"/>
              <w:pageBreakBefore w:val="0"/>
              <w:widowControl w:val="0"/>
              <w:numPr>
                <w:ilvl w:val="0"/>
                <w:numId w:val="0"/>
              </w:numPr>
              <w:shd w:val="clea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074A8DE8">
      <w:pPr>
        <w:pStyle w:val="21"/>
        <w:widowControl w:val="0"/>
        <w:numPr>
          <w:ilvl w:val="0"/>
          <w:numId w:val="0"/>
        </w:numPr>
        <w:shd w:val="clea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shd w:val="clea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8052"/>
      <w:bookmarkStart w:id="38" w:name="_Toc31406"/>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shd w:val="clea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shd w:val="clear"/>
        <w:jc w:val="center"/>
        <w:rPr>
          <w:rFonts w:hint="eastAsia" w:ascii="方正仿宋_GB2312" w:hAnsi="方正仿宋_GB2312" w:eastAsia="方正仿宋_GB2312" w:cs="方正仿宋_GB2312"/>
          <w:b/>
          <w:bCs/>
          <w:highlight w:val="none"/>
          <w:lang w:val="en-US" w:eastAsia="zh-CN"/>
        </w:rPr>
      </w:pPr>
    </w:p>
    <w:p w14:paraId="6A1C401D">
      <w:pPr>
        <w:pStyle w:val="21"/>
        <w:shd w:val="clear"/>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shd w:val="clear"/>
        <w:bidi w:val="0"/>
        <w:rPr>
          <w:rFonts w:hint="eastAsia" w:ascii="方正仿宋_GB2312" w:hAnsi="方正仿宋_GB2312" w:eastAsia="方正仿宋_GB2312" w:cs="方正仿宋_GB2312"/>
          <w:highlight w:val="none"/>
          <w:lang w:val="en-US" w:eastAsia="zh-CN"/>
        </w:rPr>
      </w:pPr>
    </w:p>
    <w:p w14:paraId="03CA288A">
      <w:pPr>
        <w:numPr>
          <w:ilvl w:val="0"/>
          <w:numId w:val="14"/>
        </w:numPr>
        <w:shd w:val="clea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shd w:val="clea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shd w:val="clea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shd w:val="clea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shd w:val="clea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shd w:val="clea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shd w:val="clea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shd w:val="clea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shd w:val="clea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shd w:val="clea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shd w:val="clea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shd w:val="clea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shd w:val="clear"/>
        <w:bidi w:val="0"/>
        <w:rPr>
          <w:rFonts w:hint="eastAsia" w:ascii="方正仿宋_GB2312" w:hAnsi="方正仿宋_GB2312" w:eastAsia="方正仿宋_GB2312" w:cs="方正仿宋_GB2312"/>
          <w:highlight w:val="none"/>
          <w:lang w:val="en-US" w:eastAsia="zh-CN"/>
        </w:rPr>
      </w:pPr>
      <w:bookmarkStart w:id="45" w:name="_Toc12610"/>
      <w:bookmarkStart w:id="46" w:name="_Toc8937"/>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shd w:val="clear"/>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shd w:val="clear"/>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hd w:val="clea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shd w:val="clear"/>
        <w:rPr>
          <w:rFonts w:hint="eastAsia" w:ascii="方正仿宋_GB2312" w:hAnsi="方正仿宋_GB2312" w:eastAsia="方正仿宋_GB2312" w:cs="方正仿宋_GB2312"/>
          <w:highlight w:val="none"/>
          <w:lang w:val="en-US" w:eastAsia="zh-CN"/>
        </w:rPr>
      </w:pPr>
    </w:p>
    <w:p w14:paraId="1897DD71">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hd w:val="clear"/>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4675"/>
      <w:bookmarkStart w:id="48" w:name="_Toc24875"/>
      <w:bookmarkStart w:id="49" w:name="_Toc19416"/>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shd w:val="clear"/>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hd w:val="clear"/>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hd w:val="clear"/>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hd w:val="clea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25253"/>
      <w:bookmarkStart w:id="51" w:name="_Toc10357"/>
      <w:bookmarkStart w:id="52" w:name="_Toc2905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4987"/>
      <w:bookmarkStart w:id="54" w:name="_Toc15961"/>
      <w:bookmarkStart w:id="55" w:name="_Toc1555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7925"/>
      <w:bookmarkStart w:id="57" w:name="_Toc7250"/>
      <w:bookmarkStart w:id="58" w:name="_Toc1732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6047"/>
      <w:bookmarkStart w:id="60" w:name="_Toc27172"/>
      <w:bookmarkStart w:id="61" w:name="_Toc11599"/>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22391"/>
      <w:bookmarkStart w:id="63" w:name="_Toc14978"/>
      <w:bookmarkStart w:id="64" w:name="_Toc27815"/>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26661"/>
      <w:bookmarkStart w:id="66" w:name="_Toc6644"/>
      <w:bookmarkStart w:id="67" w:name="_Toc873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hd w:val="clea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hd w:val="clear"/>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hd w:val="clear"/>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18767"/>
      <w:bookmarkStart w:id="69" w:name="_Toc31768"/>
      <w:bookmarkStart w:id="70" w:name="_Toc21978"/>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hd w:val="clea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hd w:val="clear"/>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hd w:val="clear"/>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shd w:val="clea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shd w:val="clea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shd w:val="clea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shd w:val="clea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7FA60B6">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shd w:val="clea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hd w:val="clear"/>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hd w:val="clear"/>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hd w:val="clear"/>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hd w:val="clear"/>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hd w:val="clea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hd w:val="clear"/>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3780"/>
      <w:bookmarkStart w:id="72" w:name="_Toc21494"/>
      <w:bookmarkStart w:id="73" w:name="_Toc8229"/>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hd w:val="clear"/>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hd w:val="clea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hd w:val="clea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hd w:val="clea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hd w:val="clea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hd w:val="clea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hd w:val="clea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hd w:val="clea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hd w:val="clear"/>
        <w:spacing w:line="360" w:lineRule="auto"/>
        <w:rPr>
          <w:rFonts w:hint="eastAsia" w:ascii="仿宋" w:hAnsi="仿宋" w:eastAsia="仿宋" w:cs="仿宋"/>
          <w:sz w:val="24"/>
          <w:szCs w:val="24"/>
          <w:highlight w:val="none"/>
        </w:rPr>
      </w:pPr>
    </w:p>
    <w:p w14:paraId="3DC80C07">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hd w:val="clear"/>
        <w:spacing w:line="360" w:lineRule="auto"/>
        <w:ind w:firstLine="480" w:firstLineChars="200"/>
        <w:rPr>
          <w:rFonts w:hint="eastAsia" w:ascii="仿宋" w:hAnsi="仿宋" w:eastAsia="仿宋" w:cs="仿宋"/>
          <w:sz w:val="24"/>
          <w:szCs w:val="24"/>
          <w:highlight w:val="none"/>
        </w:rPr>
      </w:pPr>
    </w:p>
    <w:p w14:paraId="5C6A5A49">
      <w:pPr>
        <w:shd w:val="clea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hd w:val="clea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shd w:val="clear"/>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hd w:val="clear"/>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295"/>
      <w:bookmarkStart w:id="75" w:name="_Toc8232"/>
      <w:bookmarkStart w:id="76" w:name="_Toc31541"/>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21299"/>
      <w:bookmarkStart w:id="78" w:name="_Toc30568"/>
      <w:bookmarkStart w:id="79" w:name="_Toc21344"/>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30909"/>
      <w:bookmarkStart w:id="81" w:name="_Toc26890"/>
      <w:bookmarkStart w:id="82" w:name="_Toc31267"/>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24165"/>
      <w:bookmarkStart w:id="84" w:name="_Toc31038"/>
      <w:bookmarkStart w:id="85" w:name="_Toc30794"/>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hd w:val="clea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shd w:val="clear"/>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hd w:val="clea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26817"/>
      <w:bookmarkStart w:id="87" w:name="_Toc15134"/>
      <w:bookmarkStart w:id="88" w:name="_Toc25764"/>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hd w:val="clear"/>
        <w:spacing w:line="240" w:lineRule="auto"/>
        <w:rPr>
          <w:rFonts w:hint="eastAsia" w:ascii="方正仿宋_GB2312" w:hAnsi="方正仿宋_GB2312" w:eastAsia="方正仿宋_GB2312" w:cs="方正仿宋_GB2312"/>
          <w:sz w:val="21"/>
          <w:highlight w:val="none"/>
          <w:lang w:val="en-US" w:eastAsia="zh-CN"/>
        </w:rPr>
      </w:pPr>
    </w:p>
    <w:p w14:paraId="16D33198">
      <w:pPr>
        <w:shd w:val="clea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hd w:val="clear"/>
        <w:spacing w:line="240" w:lineRule="auto"/>
        <w:rPr>
          <w:rFonts w:hint="eastAsia" w:ascii="方正仿宋_GB2312" w:hAnsi="方正仿宋_GB2312" w:eastAsia="方正仿宋_GB2312" w:cs="方正仿宋_GB2312"/>
          <w:sz w:val="21"/>
          <w:highlight w:val="none"/>
          <w:lang w:val="en-US" w:eastAsia="zh-CN"/>
        </w:rPr>
      </w:pPr>
    </w:p>
    <w:p w14:paraId="43FEF725">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shd w:val="clear"/>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shd w:val="clear"/>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shd w:val="clear"/>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shd w:val="clear"/>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shd w:val="clear"/>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shd w:val="clear"/>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shd w:val="clear"/>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hd w:val="clear"/>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hd w:val="clear"/>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28372"/>
      <w:bookmarkStart w:id="90" w:name="_Toc10007"/>
      <w:bookmarkStart w:id="91" w:name="_Toc28873"/>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hd w:val="clear"/>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hd w:val="clear"/>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hd w:val="clear"/>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hd w:val="clear"/>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shd w:val="clear"/>
        <w:rPr>
          <w:rFonts w:hint="eastAsia" w:ascii="方正仿宋_GB2312" w:hAnsi="方正仿宋_GB2312" w:eastAsia="方正仿宋_GB2312" w:cs="方正仿宋_GB2312"/>
          <w:highlight w:val="none"/>
          <w:lang w:val="en-US" w:eastAsia="zh-CN"/>
        </w:rPr>
      </w:pPr>
    </w:p>
    <w:p w14:paraId="2322EAC5">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shd w:val="clear"/>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32732"/>
      <w:bookmarkStart w:id="93" w:name="_Toc16592"/>
      <w:bookmarkStart w:id="94" w:name="_Toc25135"/>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shd w:val="clear"/>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shd w:val="clear"/>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shd w:val="clear"/>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hd w:val="clea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hd w:val="clea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hd w:val="clea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shd w:val="clear"/>
        <w:rPr>
          <w:rFonts w:hint="eastAsia" w:ascii="方正仿宋_GB2312" w:hAnsi="方正仿宋_GB2312" w:eastAsia="方正仿宋_GB2312" w:cs="方正仿宋_GB2312"/>
          <w:highlight w:val="none"/>
          <w:lang w:val="en-US" w:eastAsia="zh-CN"/>
        </w:rPr>
      </w:pPr>
    </w:p>
    <w:p w14:paraId="50964EA2">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hd w:val="clear"/>
        <w:spacing w:line="360" w:lineRule="auto"/>
        <w:rPr>
          <w:rFonts w:hint="eastAsia" w:ascii="方正仿宋_GB2312" w:hAnsi="方正仿宋_GB2312" w:eastAsia="方正仿宋_GB2312" w:cs="方正仿宋_GB2312"/>
          <w:sz w:val="24"/>
          <w:szCs w:val="24"/>
          <w:highlight w:val="none"/>
          <w:lang w:val="en-US" w:eastAsia="zh-CN"/>
        </w:rPr>
      </w:pPr>
    </w:p>
    <w:p w14:paraId="327728B7">
      <w:pPr>
        <w:shd w:val="clear"/>
        <w:spacing w:line="360" w:lineRule="auto"/>
        <w:rPr>
          <w:rFonts w:hint="eastAsia" w:ascii="方正仿宋_GB2312" w:hAnsi="方正仿宋_GB2312" w:eastAsia="方正仿宋_GB2312" w:cs="方正仿宋_GB2312"/>
          <w:sz w:val="24"/>
          <w:szCs w:val="24"/>
          <w:highlight w:val="none"/>
          <w:lang w:val="en-US" w:eastAsia="zh-CN"/>
        </w:rPr>
      </w:pPr>
    </w:p>
    <w:p w14:paraId="200868C3">
      <w:pPr>
        <w:shd w:val="clea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hd w:val="clea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shd w:val="clear"/>
        <w:rPr>
          <w:rFonts w:hint="eastAsia" w:ascii="方正仿宋_GB2312" w:hAnsi="方正仿宋_GB2312" w:eastAsia="方正仿宋_GB2312" w:cs="方正仿宋_GB2312"/>
          <w:sz w:val="24"/>
          <w:szCs w:val="24"/>
          <w:highlight w:val="none"/>
          <w:lang w:val="en-US" w:eastAsia="zh-CN"/>
        </w:rPr>
      </w:pPr>
    </w:p>
    <w:p w14:paraId="3702596A">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shd w:val="clear"/>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28719"/>
      <w:bookmarkStart w:id="96" w:name="_Toc17260"/>
      <w:bookmarkStart w:id="97" w:name="_Toc27376"/>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shd w:val="clear"/>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hd w:val="clea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shd w:val="clear"/>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hd w:val="clea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hd w:val="clea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shd w:val="clear"/>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30559"/>
      <w:bookmarkStart w:id="99" w:name="_Toc21037"/>
      <w:bookmarkStart w:id="100" w:name="_Toc29837"/>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shd w:val="clear"/>
        <w:rPr>
          <w:rFonts w:hint="eastAsia" w:ascii="方正仿宋_GB2312" w:hAnsi="方正仿宋_GB2312" w:eastAsia="方正仿宋_GB2312" w:cs="方正仿宋_GB2312"/>
          <w:sz w:val="24"/>
          <w:szCs w:val="24"/>
          <w:highlight w:val="none"/>
          <w:lang w:val="en-US" w:eastAsia="zh-CN"/>
        </w:rPr>
      </w:pPr>
    </w:p>
    <w:p w14:paraId="623FB0C0">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shd w:val="clear"/>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12415"/>
      <w:bookmarkStart w:id="102" w:name="_Toc7558"/>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shd w:val="clear"/>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shd w:val="clear"/>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shd w:val="clea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shd w:val="clea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shd w:val="clea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shd w:val="clear"/>
        <w:rPr>
          <w:rFonts w:hint="eastAsia" w:ascii="仿宋" w:hAnsi="仿宋" w:eastAsia="仿宋" w:cs="仿宋"/>
          <w:sz w:val="24"/>
          <w:szCs w:val="24"/>
          <w:highlight w:val="none"/>
          <w:lang w:val="en-US" w:eastAsia="zh-CN"/>
        </w:rPr>
      </w:pPr>
    </w:p>
    <w:p w14:paraId="3C1BAF5D">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shd w:val="clear"/>
        <w:rPr>
          <w:rFonts w:hint="eastAsia" w:ascii="仿宋" w:hAnsi="仿宋" w:eastAsia="仿宋" w:cs="仿宋"/>
          <w:sz w:val="24"/>
          <w:szCs w:val="24"/>
          <w:highlight w:val="none"/>
          <w:lang w:val="en-US" w:eastAsia="zh-CN"/>
        </w:rPr>
      </w:pPr>
    </w:p>
    <w:p w14:paraId="54C24103">
      <w:pPr>
        <w:numPr>
          <w:ilvl w:val="0"/>
          <w:numId w:val="0"/>
        </w:numPr>
        <w:shd w:val="clear"/>
        <w:rPr>
          <w:rFonts w:hint="eastAsia" w:ascii="仿宋" w:hAnsi="仿宋" w:eastAsia="仿宋" w:cs="仿宋"/>
          <w:sz w:val="24"/>
          <w:szCs w:val="24"/>
          <w:highlight w:val="none"/>
          <w:lang w:val="en-US" w:eastAsia="zh-CN"/>
        </w:rPr>
      </w:pPr>
    </w:p>
    <w:p w14:paraId="702D9FA7">
      <w:pPr>
        <w:numPr>
          <w:ilvl w:val="0"/>
          <w:numId w:val="0"/>
        </w:numPr>
        <w:shd w:val="clear"/>
        <w:rPr>
          <w:rFonts w:hint="eastAsia" w:ascii="仿宋" w:hAnsi="仿宋" w:eastAsia="仿宋" w:cs="仿宋"/>
          <w:sz w:val="24"/>
          <w:szCs w:val="24"/>
          <w:highlight w:val="none"/>
          <w:lang w:val="en-US" w:eastAsia="zh-CN"/>
        </w:rPr>
      </w:pPr>
    </w:p>
    <w:p w14:paraId="2D36BBFB">
      <w:pPr>
        <w:numPr>
          <w:ilvl w:val="0"/>
          <w:numId w:val="0"/>
        </w:numPr>
        <w:shd w:val="clear"/>
        <w:rPr>
          <w:rFonts w:hint="eastAsia" w:ascii="仿宋" w:hAnsi="仿宋" w:eastAsia="仿宋" w:cs="仿宋"/>
          <w:sz w:val="24"/>
          <w:szCs w:val="24"/>
          <w:highlight w:val="none"/>
          <w:lang w:val="en-US" w:eastAsia="zh-CN"/>
        </w:rPr>
      </w:pPr>
    </w:p>
    <w:p w14:paraId="65648A25">
      <w:pPr>
        <w:numPr>
          <w:ilvl w:val="0"/>
          <w:numId w:val="0"/>
        </w:numPr>
        <w:shd w:val="clear"/>
        <w:rPr>
          <w:rFonts w:hint="eastAsia" w:ascii="仿宋" w:hAnsi="仿宋" w:eastAsia="仿宋" w:cs="仿宋"/>
          <w:sz w:val="24"/>
          <w:szCs w:val="24"/>
          <w:highlight w:val="none"/>
          <w:lang w:val="en-US" w:eastAsia="zh-CN"/>
        </w:rPr>
      </w:pPr>
    </w:p>
    <w:p w14:paraId="578C81A6">
      <w:pPr>
        <w:numPr>
          <w:ilvl w:val="0"/>
          <w:numId w:val="0"/>
        </w:numPr>
        <w:shd w:val="clear"/>
        <w:rPr>
          <w:rFonts w:hint="eastAsia" w:ascii="仿宋" w:hAnsi="仿宋" w:eastAsia="仿宋" w:cs="仿宋"/>
          <w:sz w:val="24"/>
          <w:szCs w:val="24"/>
          <w:highlight w:val="none"/>
          <w:lang w:val="en-US" w:eastAsia="zh-CN"/>
        </w:rPr>
      </w:pPr>
    </w:p>
    <w:p w14:paraId="383F9826">
      <w:pPr>
        <w:numPr>
          <w:ilvl w:val="0"/>
          <w:numId w:val="0"/>
        </w:numPr>
        <w:shd w:val="clear"/>
        <w:rPr>
          <w:rFonts w:hint="eastAsia" w:ascii="仿宋" w:hAnsi="仿宋" w:eastAsia="仿宋" w:cs="仿宋"/>
          <w:sz w:val="24"/>
          <w:szCs w:val="24"/>
          <w:highlight w:val="none"/>
          <w:lang w:val="en-US" w:eastAsia="zh-CN"/>
        </w:rPr>
      </w:pPr>
    </w:p>
    <w:p w14:paraId="572DAA56">
      <w:pPr>
        <w:numPr>
          <w:ilvl w:val="0"/>
          <w:numId w:val="0"/>
        </w:numPr>
        <w:shd w:val="clear"/>
        <w:rPr>
          <w:rFonts w:hint="eastAsia" w:ascii="仿宋" w:hAnsi="仿宋" w:eastAsia="仿宋" w:cs="仿宋"/>
          <w:sz w:val="24"/>
          <w:szCs w:val="24"/>
          <w:highlight w:val="none"/>
          <w:lang w:val="en-US" w:eastAsia="zh-CN"/>
        </w:rPr>
      </w:pPr>
    </w:p>
    <w:p w14:paraId="21B33726">
      <w:pPr>
        <w:numPr>
          <w:ilvl w:val="0"/>
          <w:numId w:val="0"/>
        </w:numPr>
        <w:shd w:val="clear"/>
        <w:rPr>
          <w:rFonts w:hint="eastAsia" w:ascii="仿宋" w:hAnsi="仿宋" w:eastAsia="仿宋" w:cs="仿宋"/>
          <w:sz w:val="24"/>
          <w:szCs w:val="24"/>
          <w:highlight w:val="none"/>
          <w:lang w:val="en-US" w:eastAsia="zh-CN"/>
        </w:rPr>
      </w:pPr>
    </w:p>
    <w:p w14:paraId="4EC07DF0">
      <w:pPr>
        <w:numPr>
          <w:ilvl w:val="0"/>
          <w:numId w:val="0"/>
        </w:numPr>
        <w:shd w:val="clear"/>
        <w:rPr>
          <w:rFonts w:hint="eastAsia" w:ascii="仿宋" w:hAnsi="仿宋" w:eastAsia="仿宋" w:cs="仿宋"/>
          <w:sz w:val="24"/>
          <w:szCs w:val="24"/>
          <w:highlight w:val="none"/>
          <w:lang w:val="en-US" w:eastAsia="zh-CN"/>
        </w:rPr>
      </w:pPr>
    </w:p>
    <w:p w14:paraId="61D8E7C6">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shd w:val="clea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shd w:val="clea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shd w:val="clea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shd w:val="clea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shd w:val="clear"/>
        <w:rPr>
          <w:rFonts w:hint="eastAsia" w:ascii="仿宋" w:hAnsi="仿宋" w:eastAsia="仿宋" w:cs="仿宋"/>
          <w:sz w:val="24"/>
          <w:szCs w:val="24"/>
          <w:highlight w:val="none"/>
          <w:lang w:val="en-US" w:eastAsia="zh-CN"/>
        </w:rPr>
      </w:pPr>
    </w:p>
    <w:p w14:paraId="6E3E1512">
      <w:pPr>
        <w:numPr>
          <w:ilvl w:val="0"/>
          <w:numId w:val="0"/>
        </w:numPr>
        <w:shd w:val="clear"/>
        <w:rPr>
          <w:rFonts w:hint="eastAsia" w:ascii="仿宋" w:hAnsi="仿宋" w:eastAsia="仿宋" w:cs="仿宋"/>
          <w:sz w:val="24"/>
          <w:szCs w:val="24"/>
          <w:highlight w:val="none"/>
          <w:lang w:val="en-US" w:eastAsia="zh-CN"/>
        </w:rPr>
      </w:pPr>
    </w:p>
    <w:p w14:paraId="5655A207">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shd w:val="clear"/>
        <w:rPr>
          <w:rFonts w:hint="eastAsia" w:ascii="仿宋" w:hAnsi="仿宋" w:eastAsia="仿宋" w:cs="仿宋"/>
          <w:sz w:val="24"/>
          <w:szCs w:val="24"/>
          <w:highlight w:val="none"/>
          <w:lang w:val="en-US" w:eastAsia="zh-CN"/>
        </w:rPr>
      </w:pPr>
    </w:p>
    <w:p w14:paraId="4B2EFE94">
      <w:pPr>
        <w:numPr>
          <w:ilvl w:val="0"/>
          <w:numId w:val="0"/>
        </w:numPr>
        <w:shd w:val="clea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shd w:val="clea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shd w:val="clear"/>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shd w:val="clear"/>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shd w:val="clear"/>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shd w:val="clea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shd w:val="clea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shd w:val="clea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shd w:val="clea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hd w:val="clear"/>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shd w:val="clea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hd w:val="clear"/>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shd w:val="clear"/>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hd w:val="clear"/>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shd w:val="clear"/>
        <w:rPr>
          <w:rFonts w:hint="eastAsia" w:ascii="方正仿宋_GB2312" w:hAnsi="方正仿宋_GB2312" w:eastAsia="方正仿宋_GB2312" w:cs="方正仿宋_GB2312"/>
          <w:highlight w:val="none"/>
          <w:lang w:val="en-US" w:eastAsia="zh-CN"/>
        </w:rPr>
      </w:pPr>
    </w:p>
    <w:p w14:paraId="42C2CBF9">
      <w:pPr>
        <w:shd w:val="clea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hd w:val="clear"/>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Ref467988543"/>
      <w:bookmarkStart w:id="105" w:name="_Toc480942355"/>
      <w:bookmarkStart w:id="106" w:name="_Toc216582819"/>
      <w:bookmarkStart w:id="107" w:name="_Toc520356224"/>
      <w:bookmarkStart w:id="108" w:name="_Toc21320"/>
      <w:bookmarkStart w:id="109" w:name="_Toc507399535"/>
      <w:bookmarkStart w:id="110" w:name="_Toc4183"/>
      <w:bookmarkStart w:id="111" w:name="_Toc9592"/>
      <w:bookmarkStart w:id="112" w:name="_Toc20238"/>
      <w:bookmarkStart w:id="113" w:name="_Toc31949"/>
      <w:bookmarkStart w:id="114" w:name="_Toc19452"/>
      <w:bookmarkStart w:id="115" w:name="_Toc17143"/>
      <w:bookmarkStart w:id="116" w:name="_Toc21379"/>
      <w:bookmarkStart w:id="117" w:name="_Toc15963"/>
      <w:bookmarkStart w:id="118" w:name="_Toc8281"/>
      <w:bookmarkStart w:id="119" w:name="_Toc3420"/>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1212"/>
      <w:bookmarkEnd w:id="120"/>
      <w:bookmarkStart w:id="121" w:name="_Hlt520273973"/>
      <w:bookmarkEnd w:id="121"/>
      <w:bookmarkStart w:id="122" w:name="_Hlt520274393"/>
      <w:bookmarkEnd w:id="122"/>
      <w:bookmarkStart w:id="123" w:name="_Hlt520350918"/>
      <w:bookmarkEnd w:id="123"/>
      <w:bookmarkStart w:id="124" w:name="_Hlt520274065"/>
      <w:bookmarkEnd w:id="124"/>
      <w:bookmarkStart w:id="125" w:name="_Hlt520274407"/>
      <w:bookmarkEnd w:id="125"/>
      <w:bookmarkStart w:id="126" w:name="_Hlt520350957"/>
      <w:bookmarkEnd w:id="126"/>
      <w:bookmarkStart w:id="127" w:name="_Hlt520343392"/>
      <w:bookmarkEnd w:id="127"/>
      <w:bookmarkStart w:id="128" w:name="_Hlt520273711"/>
      <w:bookmarkEnd w:id="128"/>
      <w:bookmarkStart w:id="129" w:name="_Hlt520274911"/>
      <w:bookmarkEnd w:id="129"/>
      <w:bookmarkStart w:id="130" w:name="_Hlt520343000"/>
      <w:bookmarkEnd w:id="130"/>
      <w:bookmarkStart w:id="131" w:name="_Toc216513801"/>
      <w:bookmarkStart w:id="132" w:name="_Toc21658282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hd w:val="clea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hd w:val="clea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hd w:val="clear"/>
        <w:spacing w:line="440" w:lineRule="exact"/>
        <w:ind w:left="1080" w:hanging="1080"/>
        <w:rPr>
          <w:rFonts w:hint="eastAsia" w:ascii="方正仿宋_GB2312" w:hAnsi="方正仿宋_GB2312" w:eastAsia="方正仿宋_GB2312" w:cs="方正仿宋_GB2312"/>
          <w:sz w:val="24"/>
          <w:highlight w:val="none"/>
        </w:rPr>
      </w:pPr>
    </w:p>
    <w:p w14:paraId="536CB34D">
      <w:pPr>
        <w:shd w:val="clea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hd w:val="clear"/>
        <w:spacing w:line="360" w:lineRule="auto"/>
        <w:ind w:left="1157" w:leftChars="257" w:hanging="540"/>
        <w:rPr>
          <w:rFonts w:hint="eastAsia" w:ascii="方正仿宋_GB2312" w:hAnsi="方正仿宋_GB2312" w:eastAsia="方正仿宋_GB2312" w:cs="方正仿宋_GB2312"/>
          <w:sz w:val="24"/>
          <w:highlight w:val="none"/>
        </w:rPr>
      </w:pPr>
    </w:p>
    <w:p w14:paraId="64D2EC09">
      <w:pPr>
        <w:shd w:val="clea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hd w:val="clea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772FD7CE">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04D826A0">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5F058E33">
      <w:pPr>
        <w:shd w:val="clear"/>
        <w:spacing w:line="440" w:lineRule="exact"/>
        <w:ind w:left="1157" w:leftChars="257" w:hanging="540"/>
        <w:rPr>
          <w:rFonts w:hint="eastAsia" w:ascii="方正仿宋_GB2312" w:hAnsi="方正仿宋_GB2312" w:eastAsia="方正仿宋_GB2312" w:cs="方正仿宋_GB2312"/>
          <w:sz w:val="24"/>
          <w:highlight w:val="none"/>
        </w:rPr>
      </w:pPr>
    </w:p>
    <w:p w14:paraId="68D0EE03">
      <w:pPr>
        <w:shd w:val="clear"/>
        <w:spacing w:line="440" w:lineRule="exact"/>
        <w:ind w:left="1080" w:hanging="1080"/>
        <w:rPr>
          <w:rFonts w:hint="eastAsia" w:ascii="方正仿宋_GB2312" w:hAnsi="方正仿宋_GB2312" w:eastAsia="方正仿宋_GB2312" w:cs="方正仿宋_GB2312"/>
          <w:sz w:val="24"/>
          <w:highlight w:val="none"/>
        </w:rPr>
      </w:pPr>
    </w:p>
    <w:p w14:paraId="13E561AF">
      <w:pPr>
        <w:shd w:val="clea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hd w:val="clea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hd w:val="clea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hd w:val="clea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hd w:val="clear"/>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22102"/>
      <w:bookmarkStart w:id="134" w:name="_Toc20782"/>
      <w:bookmarkStart w:id="135" w:name="_Toc571"/>
      <w:bookmarkStart w:id="136" w:name="_Toc24678"/>
      <w:bookmarkStart w:id="137" w:name="_Toc8649"/>
      <w:bookmarkStart w:id="138" w:name="_Toc6927"/>
      <w:bookmarkStart w:id="139" w:name="_Toc15106"/>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hd w:val="clear"/>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hd w:val="clear"/>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7316"/>
      <w:bookmarkStart w:id="141" w:name="_Toc31463"/>
      <w:bookmarkStart w:id="142" w:name="_Toc24685"/>
      <w:bookmarkStart w:id="143" w:name="_Toc25967"/>
      <w:bookmarkStart w:id="144" w:name="_Toc28181"/>
      <w:bookmarkStart w:id="145" w:name="_Toc14307"/>
      <w:bookmarkStart w:id="146" w:name="_Toc27637"/>
      <w:bookmarkStart w:id="147" w:name="_Toc26104"/>
      <w:bookmarkStart w:id="148" w:name="_Toc16938"/>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hd w:val="clea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shd w:val="clea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hd w:val="clea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shd w:val="clea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hd w:val="clear"/>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hd w:val="clea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shd w:val="clear"/>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shd w:val="clear"/>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1413"/>
      <w:bookmarkStart w:id="150" w:name="_Toc25574"/>
      <w:bookmarkStart w:id="151" w:name="_Toc2994"/>
      <w:bookmarkStart w:id="152" w:name="_Toc21100"/>
      <w:bookmarkStart w:id="153" w:name="_Toc8576"/>
      <w:bookmarkStart w:id="154" w:name="_Toc28409"/>
      <w:bookmarkStart w:id="155" w:name="_Toc19434"/>
      <w:bookmarkStart w:id="156" w:name="_Toc5748"/>
      <w:bookmarkStart w:id="157" w:name="_Toc17857"/>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hd w:val="clear"/>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hd w:val="clear"/>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hd w:val="clear"/>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hd w:val="clear"/>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hd w:val="clear"/>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hd w:val="clear"/>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hd w:val="clear"/>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shd w:val="clea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shd w:val="clea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hd w:val="clear"/>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shd w:val="clear"/>
        <w:rPr>
          <w:rFonts w:hint="eastAsia" w:ascii="方正仿宋_GB2312" w:hAnsi="方正仿宋_GB2312" w:eastAsia="方正仿宋_GB2312" w:cs="方正仿宋_GB2312"/>
          <w:highlight w:val="none"/>
          <w:lang w:val="en-US" w:eastAsia="zh-CN"/>
        </w:rPr>
      </w:pPr>
    </w:p>
    <w:p w14:paraId="643E3CCC">
      <w:pPr>
        <w:pStyle w:val="21"/>
        <w:shd w:val="clear"/>
        <w:rPr>
          <w:rFonts w:hint="eastAsia" w:ascii="方正仿宋_GB2312" w:hAnsi="方正仿宋_GB2312" w:eastAsia="方正仿宋_GB2312" w:cs="方正仿宋_GB2312"/>
          <w:highlight w:val="none"/>
          <w:lang w:val="en-US" w:eastAsia="zh-CN"/>
        </w:rPr>
      </w:pPr>
    </w:p>
    <w:p w14:paraId="0696E019">
      <w:pPr>
        <w:shd w:val="clea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ED5B6200-CE0D-4419-B35F-0D4D5E330797}"/>
  </w:font>
  <w:font w:name="微软雅黑">
    <w:panose1 w:val="020B0503020204020204"/>
    <w:charset w:val="86"/>
    <w:family w:val="auto"/>
    <w:pitch w:val="default"/>
    <w:sig w:usb0="80000287" w:usb1="2ACF3C50" w:usb2="00000016" w:usb3="00000000" w:csb0="0004001F" w:csb1="00000000"/>
    <w:embedRegular r:id="rId2" w:fontKey="{5092EEEB-4019-4B53-81BE-9B4211541463}"/>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AAB7D927-C9F1-477C-A7BC-02D4F7AAF87B}"/>
  </w:font>
  <w:font w:name="Microsoft JhengHei UI">
    <w:panose1 w:val="020B0604030504040204"/>
    <w:charset w:val="88"/>
    <w:family w:val="auto"/>
    <w:pitch w:val="default"/>
    <w:sig w:usb0="000002A7" w:usb1="28CF4400" w:usb2="00000016" w:usb3="00000000" w:csb0="00100009" w:csb1="00000000"/>
    <w:embedRegular r:id="rId4" w:fontKey="{F403A59B-93B9-4016-9B0F-15C1BF33D24E}"/>
  </w:font>
  <w:font w:name="仿宋">
    <w:panose1 w:val="02010609060101010101"/>
    <w:charset w:val="86"/>
    <w:family w:val="auto"/>
    <w:pitch w:val="default"/>
    <w:sig w:usb0="800002BF" w:usb1="38CF7CFA" w:usb2="00000016" w:usb3="00000000" w:csb0="00040001" w:csb1="00000000"/>
    <w:embedRegular r:id="rId5" w:fontKey="{672F3E99-08BE-469E-B54A-2357E80D6992}"/>
  </w:font>
  <w:font w:name="WPSEMBED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16F6B9E"/>
    <w:rsid w:val="02965394"/>
    <w:rsid w:val="02C848FD"/>
    <w:rsid w:val="03E86B73"/>
    <w:rsid w:val="046049D3"/>
    <w:rsid w:val="046C12B8"/>
    <w:rsid w:val="04E55CB7"/>
    <w:rsid w:val="05910CAE"/>
    <w:rsid w:val="07011CC2"/>
    <w:rsid w:val="07644792"/>
    <w:rsid w:val="07CF32D1"/>
    <w:rsid w:val="080D2DB2"/>
    <w:rsid w:val="09284798"/>
    <w:rsid w:val="0A7D7D7B"/>
    <w:rsid w:val="0AA277E2"/>
    <w:rsid w:val="0B582E15"/>
    <w:rsid w:val="0C006EB6"/>
    <w:rsid w:val="0C7F2260"/>
    <w:rsid w:val="0C85560D"/>
    <w:rsid w:val="0EBB5316"/>
    <w:rsid w:val="0F2B6FD9"/>
    <w:rsid w:val="0FA1275E"/>
    <w:rsid w:val="0FB04F4B"/>
    <w:rsid w:val="10160EE0"/>
    <w:rsid w:val="119A02EF"/>
    <w:rsid w:val="12286C45"/>
    <w:rsid w:val="1238447B"/>
    <w:rsid w:val="137155C7"/>
    <w:rsid w:val="13AA77E2"/>
    <w:rsid w:val="14161132"/>
    <w:rsid w:val="14545C9B"/>
    <w:rsid w:val="14F72E20"/>
    <w:rsid w:val="169C4B4F"/>
    <w:rsid w:val="16D1045C"/>
    <w:rsid w:val="183C240D"/>
    <w:rsid w:val="186B2D7E"/>
    <w:rsid w:val="1AA24D9F"/>
    <w:rsid w:val="1AF87C33"/>
    <w:rsid w:val="1B666609"/>
    <w:rsid w:val="1BA535D6"/>
    <w:rsid w:val="1BE063BC"/>
    <w:rsid w:val="1C136791"/>
    <w:rsid w:val="1F1D16D5"/>
    <w:rsid w:val="1FB3368F"/>
    <w:rsid w:val="218F3F36"/>
    <w:rsid w:val="223340FF"/>
    <w:rsid w:val="22F10EAE"/>
    <w:rsid w:val="244B3825"/>
    <w:rsid w:val="24EC4023"/>
    <w:rsid w:val="260E7FC9"/>
    <w:rsid w:val="275D1F11"/>
    <w:rsid w:val="27AF1308"/>
    <w:rsid w:val="284C20F7"/>
    <w:rsid w:val="284F1BF3"/>
    <w:rsid w:val="28DA2E89"/>
    <w:rsid w:val="2A4254F9"/>
    <w:rsid w:val="2C163734"/>
    <w:rsid w:val="2C631E73"/>
    <w:rsid w:val="2C7F1309"/>
    <w:rsid w:val="2D1F32F4"/>
    <w:rsid w:val="2F1E127D"/>
    <w:rsid w:val="2F2A1907"/>
    <w:rsid w:val="31420B49"/>
    <w:rsid w:val="314B3E80"/>
    <w:rsid w:val="316B4522"/>
    <w:rsid w:val="31E16592"/>
    <w:rsid w:val="323B4D81"/>
    <w:rsid w:val="345179FF"/>
    <w:rsid w:val="34B70380"/>
    <w:rsid w:val="356B689E"/>
    <w:rsid w:val="36287CF1"/>
    <w:rsid w:val="37CE2EB9"/>
    <w:rsid w:val="387419B3"/>
    <w:rsid w:val="3A222DD9"/>
    <w:rsid w:val="3AE174A3"/>
    <w:rsid w:val="3D7D7AB7"/>
    <w:rsid w:val="43446334"/>
    <w:rsid w:val="43BF696D"/>
    <w:rsid w:val="443864E5"/>
    <w:rsid w:val="44A84E71"/>
    <w:rsid w:val="451470DE"/>
    <w:rsid w:val="455B38F4"/>
    <w:rsid w:val="458B2B6A"/>
    <w:rsid w:val="46D5626E"/>
    <w:rsid w:val="471E7C15"/>
    <w:rsid w:val="477DCE1E"/>
    <w:rsid w:val="49627B61"/>
    <w:rsid w:val="4A792A63"/>
    <w:rsid w:val="4B3A721E"/>
    <w:rsid w:val="4CD602C8"/>
    <w:rsid w:val="4E7736AC"/>
    <w:rsid w:val="4F481721"/>
    <w:rsid w:val="4F8B6063"/>
    <w:rsid w:val="4F8C5937"/>
    <w:rsid w:val="53F341D7"/>
    <w:rsid w:val="56737851"/>
    <w:rsid w:val="57191D3D"/>
    <w:rsid w:val="573E1E21"/>
    <w:rsid w:val="57792C45"/>
    <w:rsid w:val="586D09FC"/>
    <w:rsid w:val="59975042"/>
    <w:rsid w:val="59D719D6"/>
    <w:rsid w:val="5AF52032"/>
    <w:rsid w:val="5B487E91"/>
    <w:rsid w:val="5B8830B8"/>
    <w:rsid w:val="5BE10DB9"/>
    <w:rsid w:val="5CF9550F"/>
    <w:rsid w:val="5DC0337C"/>
    <w:rsid w:val="5E16636E"/>
    <w:rsid w:val="5EDC39C3"/>
    <w:rsid w:val="5EFEBDE8"/>
    <w:rsid w:val="5F7F061D"/>
    <w:rsid w:val="60D53F77"/>
    <w:rsid w:val="61706241"/>
    <w:rsid w:val="61AA2758"/>
    <w:rsid w:val="61D513C0"/>
    <w:rsid w:val="63B862F6"/>
    <w:rsid w:val="63EC30F8"/>
    <w:rsid w:val="64C64FF0"/>
    <w:rsid w:val="652B4CC4"/>
    <w:rsid w:val="66D93700"/>
    <w:rsid w:val="68556DB7"/>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FFF37D2"/>
    <w:rsid w:val="70DE2EF1"/>
    <w:rsid w:val="71206B5B"/>
    <w:rsid w:val="733A5527"/>
    <w:rsid w:val="73691968"/>
    <w:rsid w:val="737E256B"/>
    <w:rsid w:val="74626AE3"/>
    <w:rsid w:val="75053C12"/>
    <w:rsid w:val="75E26EC3"/>
    <w:rsid w:val="76D94C82"/>
    <w:rsid w:val="777C7EBC"/>
    <w:rsid w:val="77B05DB7"/>
    <w:rsid w:val="7904460D"/>
    <w:rsid w:val="7A400965"/>
    <w:rsid w:val="7BD31D9F"/>
    <w:rsid w:val="7BF42DEB"/>
    <w:rsid w:val="7C5F4108"/>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3472</Words>
  <Characters>4025</Characters>
  <Lines>0</Lines>
  <Paragraphs>0</Paragraphs>
  <TotalTime>10</TotalTime>
  <ScaleCrop>false</ScaleCrop>
  <LinksUpToDate>false</LinksUpToDate>
  <CharactersWithSpaces>4208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2026-06-03T10:51:21Z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A538B4B5A0894EB79D0F514D4A557C07_13</vt:lpwstr>
  </property>
  <property fmtid="{D5CDD505-2E9C-101B-9397-08002B2CF9AE}" pid="6" name="KSOTemplateDocerSaveRecord">
    <vt:lpwstr>eyJoZGlkIjoiYTY0ZGVhMzY2Mjc2ZTVmNTg0OTc4MWEzZmNmZjdjMjUiLCJ1c2VySWQiOiI0NTE3ODAxODIifQ==</vt:lpwstr>
  </property>
</Properties>
</file>