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C3256">
      <w:pPr>
        <w:adjustRightInd w:val="0"/>
        <w:snapToGrid w:val="0"/>
        <w:spacing w:line="800" w:lineRule="exact"/>
        <w:jc w:val="center"/>
        <w:rPr>
          <w:rFonts w:ascii="宋体" w:hAnsi="宋体" w:cs="宋体"/>
          <w:b/>
          <w:color w:val="auto"/>
          <w:sz w:val="72"/>
          <w:szCs w:val="72"/>
          <w:highlight w:val="none"/>
        </w:rPr>
      </w:pPr>
      <w:r>
        <w:rPr>
          <w:rFonts w:hint="eastAsia" w:ascii="宋体" w:hAnsi="宋体" w:cs="宋体"/>
          <w:b/>
          <w:color w:val="auto"/>
          <w:sz w:val="72"/>
          <w:szCs w:val="72"/>
          <w:highlight w:val="none"/>
        </w:rPr>
        <w:drawing>
          <wp:anchor distT="0" distB="0" distL="114300" distR="114300" simplePos="0" relativeHeight="251662336" behindDoc="0" locked="0" layoutInCell="1" allowOverlap="1">
            <wp:simplePos x="0" y="0"/>
            <wp:positionH relativeFrom="column">
              <wp:posOffset>-4445</wp:posOffset>
            </wp:positionH>
            <wp:positionV relativeFrom="paragraph">
              <wp:posOffset>-12700</wp:posOffset>
            </wp:positionV>
            <wp:extent cx="834390" cy="1076325"/>
            <wp:effectExtent l="0" t="0" r="3810" b="9525"/>
            <wp:wrapSquare wrapText="bothSides"/>
            <wp:docPr id="3" name="图片 3" descr="盛世乾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盛世乾元logo"/>
                    <pic:cNvPicPr>
                      <a:picLocks noChangeAspect="1"/>
                    </pic:cNvPicPr>
                  </pic:nvPicPr>
                  <pic:blipFill>
                    <a:blip r:embed="rId13"/>
                    <a:stretch>
                      <a:fillRect/>
                    </a:stretch>
                  </pic:blipFill>
                  <pic:spPr>
                    <a:xfrm>
                      <a:off x="0" y="0"/>
                      <a:ext cx="834390" cy="1076325"/>
                    </a:xfrm>
                    <a:prstGeom prst="rect">
                      <a:avLst/>
                    </a:prstGeom>
                  </pic:spPr>
                </pic:pic>
              </a:graphicData>
            </a:graphic>
          </wp:anchor>
        </w:drawing>
      </w:r>
    </w:p>
    <w:p w14:paraId="5FF6B7CF">
      <w:pPr>
        <w:adjustRightInd w:val="0"/>
        <w:snapToGrid w:val="0"/>
        <w:spacing w:line="800" w:lineRule="exact"/>
        <w:jc w:val="center"/>
        <w:rPr>
          <w:rFonts w:ascii="宋体" w:hAnsi="宋体" w:cs="宋体"/>
          <w:b/>
          <w:color w:val="auto"/>
          <w:sz w:val="72"/>
          <w:szCs w:val="72"/>
          <w:highlight w:val="none"/>
        </w:rPr>
      </w:pPr>
    </w:p>
    <w:p w14:paraId="354B22CD">
      <w:pPr>
        <w:adjustRightInd w:val="0"/>
        <w:snapToGrid w:val="0"/>
        <w:spacing w:line="800" w:lineRule="exact"/>
        <w:jc w:val="center"/>
        <w:rPr>
          <w:rFonts w:ascii="宋体" w:hAnsi="宋体" w:cs="宋体"/>
          <w:b/>
          <w:color w:val="auto"/>
          <w:sz w:val="72"/>
          <w:szCs w:val="72"/>
          <w:highlight w:val="none"/>
        </w:rPr>
      </w:pPr>
    </w:p>
    <w:p w14:paraId="5FBDFD1C">
      <w:pPr>
        <w:adjustRightInd w:val="0"/>
        <w:snapToGrid w:val="0"/>
        <w:spacing w:line="800" w:lineRule="exact"/>
        <w:jc w:val="center"/>
        <w:outlineLvl w:val="0"/>
        <w:rPr>
          <w:rFonts w:ascii="宋体" w:hAnsi="宋体" w:cs="宋体"/>
          <w:b/>
          <w:color w:val="auto"/>
          <w:sz w:val="72"/>
          <w:szCs w:val="72"/>
          <w:highlight w:val="none"/>
        </w:rPr>
      </w:pPr>
      <w:bookmarkStart w:id="0" w:name="_Toc13532"/>
      <w:r>
        <w:rPr>
          <w:rFonts w:hint="eastAsia" w:ascii="宋体" w:hAnsi="宋体" w:cs="宋体"/>
          <w:b/>
          <w:color w:val="auto"/>
          <w:sz w:val="72"/>
          <w:szCs w:val="72"/>
          <w:highlight w:val="none"/>
        </w:rPr>
        <w:t>采购文件</w:t>
      </w:r>
      <w:bookmarkEnd w:id="0"/>
    </w:p>
    <w:p w14:paraId="47096C08">
      <w:pPr>
        <w:adjustRightInd w:val="0"/>
        <w:snapToGrid w:val="0"/>
        <w:spacing w:line="800" w:lineRule="exact"/>
        <w:jc w:val="center"/>
        <w:rPr>
          <w:rFonts w:ascii="宋体" w:hAnsi="宋体" w:cs="宋体"/>
          <w:b/>
          <w:color w:val="auto"/>
          <w:sz w:val="72"/>
          <w:szCs w:val="72"/>
          <w:highlight w:val="none"/>
        </w:rPr>
      </w:pPr>
    </w:p>
    <w:p w14:paraId="0DE309EF">
      <w:pPr>
        <w:adjustRightInd w:val="0"/>
        <w:snapToGrid w:val="0"/>
        <w:spacing w:line="800" w:lineRule="exact"/>
        <w:jc w:val="center"/>
        <w:outlineLvl w:val="0"/>
        <w:rPr>
          <w:rFonts w:ascii="宋体" w:hAnsi="宋体" w:cs="宋体"/>
          <w:b/>
          <w:color w:val="auto"/>
          <w:sz w:val="30"/>
          <w:szCs w:val="30"/>
          <w:highlight w:val="none"/>
        </w:rPr>
      </w:pPr>
      <w:bookmarkStart w:id="1" w:name="_Toc22751"/>
      <w:r>
        <w:rPr>
          <w:rFonts w:hint="eastAsia" w:ascii="宋体" w:hAnsi="宋体" w:cs="宋体"/>
          <w:b/>
          <w:color w:val="auto"/>
          <w:sz w:val="30"/>
          <w:szCs w:val="30"/>
          <w:highlight w:val="none"/>
        </w:rPr>
        <w:t>项目编号：</w:t>
      </w:r>
      <w:bookmarkEnd w:id="1"/>
      <w:r>
        <w:rPr>
          <w:rFonts w:hint="eastAsia" w:ascii="宋体" w:hAnsi="宋体" w:cs="宋体"/>
          <w:b/>
          <w:color w:val="auto"/>
          <w:sz w:val="30"/>
          <w:szCs w:val="30"/>
          <w:highlight w:val="none"/>
        </w:rPr>
        <w:t>SSQYZB-CG2026058</w:t>
      </w:r>
    </w:p>
    <w:p w14:paraId="3AC47385">
      <w:pPr>
        <w:autoSpaceDE w:val="0"/>
        <w:autoSpaceDN w:val="0"/>
        <w:adjustRightInd w:val="0"/>
        <w:spacing w:line="440" w:lineRule="exact"/>
        <w:ind w:firstLine="843" w:firstLineChars="300"/>
        <w:rPr>
          <w:rFonts w:ascii="宋体" w:hAnsi="宋体" w:cs="宋体"/>
          <w:b/>
          <w:color w:val="auto"/>
          <w:sz w:val="28"/>
          <w:szCs w:val="28"/>
          <w:highlight w:val="none"/>
        </w:rPr>
      </w:pPr>
    </w:p>
    <w:p w14:paraId="18B4165A">
      <w:pPr>
        <w:pStyle w:val="2"/>
        <w:ind w:firstLine="0" w:firstLineChars="0"/>
        <w:rPr>
          <w:rFonts w:ascii="宋体" w:hAnsi="宋体" w:cs="宋体"/>
          <w:b/>
          <w:color w:val="auto"/>
          <w:sz w:val="28"/>
          <w:szCs w:val="28"/>
          <w:highlight w:val="none"/>
        </w:rPr>
      </w:pPr>
    </w:p>
    <w:p w14:paraId="4FB5B17F">
      <w:pPr>
        <w:autoSpaceDE w:val="0"/>
        <w:autoSpaceDN w:val="0"/>
        <w:adjustRightInd w:val="0"/>
        <w:spacing w:line="480" w:lineRule="auto"/>
        <w:ind w:firstLine="843" w:firstLineChars="300"/>
        <w:rPr>
          <w:rFonts w:ascii="宋体" w:hAnsi="宋体" w:cs="宋体"/>
          <w:b/>
          <w:color w:val="auto"/>
          <w:sz w:val="28"/>
          <w:szCs w:val="28"/>
          <w:highlight w:val="none"/>
        </w:rPr>
      </w:pPr>
    </w:p>
    <w:p w14:paraId="2CE8F9CB">
      <w:pPr>
        <w:spacing w:line="600" w:lineRule="auto"/>
        <w:ind w:firstLine="578" w:firstLineChars="192"/>
        <w:outlineLvl w:val="0"/>
        <w:rPr>
          <w:rFonts w:ascii="宋体" w:hAnsi="宋体" w:cs="宋体"/>
          <w:b/>
          <w:color w:val="auto"/>
          <w:sz w:val="30"/>
          <w:szCs w:val="30"/>
          <w:highlight w:val="none"/>
        </w:rPr>
      </w:pPr>
      <w:bookmarkStart w:id="2" w:name="_Toc16785"/>
      <w:r>
        <w:rPr>
          <w:rFonts w:hint="eastAsia" w:ascii="宋体" w:hAnsi="宋体" w:cs="宋体"/>
          <w:b/>
          <w:color w:val="auto"/>
          <w:sz w:val="30"/>
          <w:szCs w:val="30"/>
          <w:highlight w:val="none"/>
        </w:rPr>
        <w:t>项目名称：</w:t>
      </w:r>
      <w:bookmarkEnd w:id="2"/>
      <w:r>
        <w:rPr>
          <w:rFonts w:hint="eastAsia" w:ascii="宋体" w:hAnsi="宋体" w:cs="宋体"/>
          <w:bCs/>
          <w:color w:val="auto"/>
          <w:sz w:val="30"/>
          <w:szCs w:val="30"/>
          <w:highlight w:val="none"/>
        </w:rPr>
        <w:t>新疆维吾尔自治区某单位大宗物资采购项目（蔬菜、水果及干果类）</w:t>
      </w:r>
    </w:p>
    <w:p w14:paraId="2479675A">
      <w:pPr>
        <w:spacing w:line="600" w:lineRule="auto"/>
        <w:ind w:firstLine="578" w:firstLineChars="192"/>
        <w:rPr>
          <w:rFonts w:ascii="宋体" w:hAnsi="宋体" w:cs="宋体"/>
          <w:b/>
          <w:color w:val="auto"/>
          <w:kern w:val="0"/>
          <w:sz w:val="30"/>
          <w:szCs w:val="30"/>
          <w:highlight w:val="none"/>
          <w:lang w:bidi="en-US"/>
        </w:rPr>
      </w:pPr>
      <w:r>
        <w:rPr>
          <w:rFonts w:hint="eastAsia" w:ascii="宋体" w:hAnsi="宋体" w:cs="宋体"/>
          <w:b/>
          <w:color w:val="auto"/>
          <w:sz w:val="30"/>
          <w:szCs w:val="30"/>
          <w:highlight w:val="none"/>
        </w:rPr>
        <w:t>采购人：</w:t>
      </w:r>
      <w:r>
        <w:rPr>
          <w:rFonts w:hint="eastAsia" w:ascii="宋体" w:hAnsi="宋体" w:cs="宋体"/>
          <w:bCs/>
          <w:color w:val="auto"/>
          <w:sz w:val="30"/>
          <w:szCs w:val="30"/>
          <w:highlight w:val="none"/>
          <w:lang w:val="zh-CN"/>
        </w:rPr>
        <w:t>新疆维吾尔自治区某单位</w:t>
      </w:r>
    </w:p>
    <w:p w14:paraId="0C1D6FED">
      <w:pPr>
        <w:spacing w:line="600" w:lineRule="auto"/>
        <w:ind w:firstLine="602" w:firstLineChars="20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联系人：陆先生</w:t>
      </w:r>
    </w:p>
    <w:p w14:paraId="3E8E0352">
      <w:pPr>
        <w:spacing w:line="600" w:lineRule="auto"/>
        <w:ind w:firstLine="602" w:firstLineChars="200"/>
        <w:rPr>
          <w:rFonts w:ascii="宋体" w:hAnsi="宋体" w:cs="仿宋"/>
          <w:color w:val="auto"/>
          <w:kern w:val="0"/>
          <w:sz w:val="28"/>
          <w:szCs w:val="28"/>
          <w:highlight w:val="none"/>
        </w:rPr>
      </w:pPr>
      <w:r>
        <w:rPr>
          <w:rFonts w:hint="eastAsia" w:ascii="宋体" w:hAnsi="宋体" w:cs="宋体"/>
          <w:b/>
          <w:color w:val="auto"/>
          <w:kern w:val="0"/>
          <w:sz w:val="30"/>
          <w:szCs w:val="30"/>
          <w:highlight w:val="none"/>
        </w:rPr>
        <w:t>联系电话：0991-5537188</w:t>
      </w:r>
    </w:p>
    <w:p w14:paraId="606AD754">
      <w:pPr>
        <w:spacing w:line="440" w:lineRule="exact"/>
        <w:rPr>
          <w:rFonts w:ascii="宋体" w:hAnsi="宋体" w:cs="宋体"/>
          <w:b/>
          <w:color w:val="auto"/>
          <w:sz w:val="30"/>
          <w:szCs w:val="30"/>
          <w:highlight w:val="none"/>
        </w:rPr>
      </w:pPr>
    </w:p>
    <w:p w14:paraId="411C37E6">
      <w:pPr>
        <w:spacing w:line="440" w:lineRule="exact"/>
        <w:ind w:firstLine="762" w:firstLineChars="253"/>
        <w:rPr>
          <w:rFonts w:ascii="宋体" w:hAnsi="宋体" w:cs="宋体"/>
          <w:b/>
          <w:color w:val="auto"/>
          <w:sz w:val="30"/>
          <w:szCs w:val="30"/>
          <w:highlight w:val="none"/>
        </w:rPr>
      </w:pPr>
      <w:r>
        <w:rPr>
          <w:rFonts w:hint="eastAsia" w:ascii="宋体" w:hAnsi="宋体" w:cs="宋体"/>
          <w:b/>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442595</wp:posOffset>
                </wp:positionH>
                <wp:positionV relativeFrom="paragraph">
                  <wp:posOffset>70485</wp:posOffset>
                </wp:positionV>
                <wp:extent cx="500062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000625" cy="0"/>
                        </a:xfrm>
                        <a:prstGeom prst="line">
                          <a:avLst/>
                        </a:prstGeom>
                        <a:ln w="12700" cap="flat"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margin-left:34.85pt;margin-top:5.55pt;height:0pt;width:393.75pt;z-index:251660288;mso-width-relative:page;mso-height-relative:page;" filled="f" stroked="t" coordsize="21600,21600" o:gfxdata="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o8FD9YAAAAIAQAADwAAAAAAAAABACAAAAAiAAAAZHJzL2Rvd25yZXYueG1sUEsBAhQAFAAAAAgA&#10;h07iQBCm/WbuAQAA2gMAAA4AAAAAAAAAAQAgAAAAJQEAAGRycy9lMm9Eb2MueG1sUEsFBgAAAAAG&#10;AAYAWQEAAIUFAAAAAA==&#10;">
                <v:fill on="f" focussize="0,0"/>
                <v:stroke weight="1pt" color="#000000" joinstyle="round" dashstyle="1 1"/>
                <v:imagedata o:title=""/>
                <o:lock v:ext="edit" aspectratio="f"/>
              </v:line>
            </w:pict>
          </mc:Fallback>
        </mc:AlternateContent>
      </w:r>
    </w:p>
    <w:p w14:paraId="218B5FD9">
      <w:pPr>
        <w:spacing w:line="440" w:lineRule="exact"/>
        <w:ind w:firstLine="762" w:firstLineChars="253"/>
        <w:rPr>
          <w:rFonts w:ascii="宋体" w:hAnsi="宋体" w:cs="宋体"/>
          <w:b/>
          <w:color w:val="auto"/>
          <w:sz w:val="30"/>
          <w:szCs w:val="30"/>
          <w:highlight w:val="none"/>
        </w:rPr>
      </w:pPr>
    </w:p>
    <w:p w14:paraId="39A4A5FA">
      <w:pPr>
        <w:spacing w:line="600" w:lineRule="auto"/>
        <w:ind w:firstLine="602" w:firstLineChars="200"/>
        <w:rPr>
          <w:rFonts w:ascii="宋体" w:hAnsi="宋体" w:cs="宋体"/>
          <w:b/>
          <w:color w:val="auto"/>
          <w:sz w:val="30"/>
          <w:szCs w:val="30"/>
          <w:highlight w:val="none"/>
        </w:rPr>
      </w:pPr>
      <w:r>
        <w:rPr>
          <w:rFonts w:hint="eastAsia" w:ascii="宋体" w:hAnsi="宋体" w:cs="宋体"/>
          <w:b/>
          <w:color w:val="auto"/>
          <w:sz w:val="30"/>
          <w:szCs w:val="30"/>
          <w:highlight w:val="none"/>
        </w:rPr>
        <w:t>采购代理机构：</w:t>
      </w:r>
      <w:r>
        <w:rPr>
          <w:rFonts w:hint="eastAsia" w:ascii="宋体" w:hAnsi="宋体" w:cs="宋体"/>
          <w:bCs/>
          <w:color w:val="auto"/>
          <w:sz w:val="30"/>
          <w:szCs w:val="30"/>
          <w:highlight w:val="none"/>
        </w:rPr>
        <w:t>新疆盛世乾元工程项目管理咨询有限公司</w:t>
      </w:r>
    </w:p>
    <w:p w14:paraId="13383885">
      <w:pPr>
        <w:spacing w:line="600" w:lineRule="auto"/>
        <w:ind w:firstLine="587" w:firstLineChars="195"/>
        <w:rPr>
          <w:rFonts w:ascii="宋体" w:hAnsi="宋体" w:cs="宋体"/>
          <w:b/>
          <w:color w:val="auto"/>
          <w:sz w:val="30"/>
          <w:szCs w:val="30"/>
          <w:highlight w:val="none"/>
        </w:rPr>
      </w:pPr>
      <w:r>
        <w:rPr>
          <w:rFonts w:hint="eastAsia" w:ascii="宋体" w:hAnsi="宋体" w:cs="宋体"/>
          <w:b/>
          <w:color w:val="auto"/>
          <w:kern w:val="0"/>
          <w:sz w:val="30"/>
          <w:szCs w:val="30"/>
          <w:highlight w:val="none"/>
        </w:rPr>
        <w:t>联系人：</w:t>
      </w:r>
      <w:r>
        <w:rPr>
          <w:rFonts w:hint="eastAsia" w:ascii="宋体" w:hAnsi="宋体" w:cs="宋体"/>
          <w:bCs/>
          <w:color w:val="auto"/>
          <w:kern w:val="0"/>
          <w:sz w:val="30"/>
          <w:szCs w:val="30"/>
          <w:highlight w:val="none"/>
        </w:rPr>
        <w:t>蔡海涛、任广文、董乐</w:t>
      </w:r>
    </w:p>
    <w:p w14:paraId="08189A92">
      <w:pPr>
        <w:spacing w:line="600" w:lineRule="auto"/>
        <w:ind w:firstLine="602" w:firstLineChars="200"/>
        <w:rPr>
          <w:rFonts w:ascii="宋体" w:hAnsi="宋体" w:cs="宋体"/>
          <w:b/>
          <w:color w:val="auto"/>
          <w:sz w:val="30"/>
          <w:szCs w:val="30"/>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b/>
          <w:color w:val="auto"/>
          <w:kern w:val="0"/>
          <w:sz w:val="30"/>
          <w:szCs w:val="30"/>
          <w:highlight w:val="none"/>
        </w:rPr>
        <w:t>联系电话：</w:t>
      </w:r>
      <w:r>
        <w:rPr>
          <w:rFonts w:hint="eastAsia" w:ascii="宋体" w:hAnsi="宋体" w:cs="宋体"/>
          <w:bCs/>
          <w:color w:val="auto"/>
          <w:sz w:val="30"/>
          <w:szCs w:val="30"/>
          <w:highlight w:val="none"/>
        </w:rPr>
        <w:t>0991-4659594、18129205025</w:t>
      </w:r>
    </w:p>
    <w:sdt>
      <w:sdtPr>
        <w:rPr>
          <w:rFonts w:ascii="宋体" w:hAnsi="宋体"/>
          <w:color w:val="auto"/>
          <w:highlight w:val="none"/>
        </w:rPr>
        <w:id w:val="147474441"/>
        <w15:color w:val="DBDBDB"/>
        <w:docPartObj>
          <w:docPartGallery w:val="Table of Contents"/>
          <w:docPartUnique/>
        </w:docPartObj>
      </w:sdtPr>
      <w:sdtEndPr>
        <w:rPr>
          <w:rFonts w:ascii="宋体" w:hAnsi="宋体"/>
          <w:color w:val="auto"/>
          <w:highlight w:val="none"/>
        </w:rPr>
      </w:sdtEndPr>
      <w:sdtContent>
        <w:p w14:paraId="77EC5ACE">
          <w:pPr>
            <w:jc w:val="center"/>
            <w:rPr>
              <w:color w:val="auto"/>
              <w:highlight w:val="none"/>
            </w:rPr>
          </w:pPr>
          <w:r>
            <w:rPr>
              <w:rFonts w:hint="eastAsia"/>
              <w:b/>
              <w:bCs/>
              <w:color w:val="auto"/>
              <w:sz w:val="28"/>
              <w:szCs w:val="28"/>
              <w:highlight w:val="none"/>
            </w:rPr>
            <w:t>目  录</w:t>
          </w:r>
        </w:p>
        <w:p w14:paraId="3CAB0FC0">
          <w:pPr>
            <w:pStyle w:val="47"/>
            <w:tabs>
              <w:tab w:val="right" w:leader="dot" w:pos="970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p>
        <w:p w14:paraId="6F30078C">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"_Toc9599" </w:instrText>
          </w:r>
          <w:r>
            <w:rPr>
              <w:color w:val="auto"/>
              <w:highlight w:val="none"/>
            </w:rPr>
            <w:fldChar w:fldCharType="separate"/>
          </w:r>
          <w:r>
            <w:rPr>
              <w:rFonts w:hint="eastAsia"/>
              <w:bCs/>
              <w:color w:val="auto"/>
              <w:kern w:val="2"/>
              <w:sz w:val="28"/>
              <w:szCs w:val="28"/>
              <w:highlight w:val="none"/>
            </w:rPr>
            <w:t>第一章  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_Toc9599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3069AC21">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"_Toc2841" </w:instrText>
          </w:r>
          <w:r>
            <w:rPr>
              <w:color w:val="auto"/>
              <w:highlight w:val="none"/>
            </w:rPr>
            <w:fldChar w:fldCharType="separate"/>
          </w:r>
          <w:r>
            <w:rPr>
              <w:rFonts w:hint="eastAsia"/>
              <w:bCs/>
              <w:color w:val="auto"/>
              <w:sz w:val="28"/>
              <w:szCs w:val="28"/>
              <w:highlight w:val="none"/>
            </w:rPr>
            <w:t>第二章  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_Toc2841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color w:val="auto"/>
              <w:sz w:val="28"/>
              <w:szCs w:val="28"/>
              <w:highlight w:val="none"/>
            </w:rPr>
            <w:fldChar w:fldCharType="end"/>
          </w:r>
        </w:p>
        <w:p w14:paraId="523BE7E8">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"_Toc9167" </w:instrText>
          </w:r>
          <w:r>
            <w:rPr>
              <w:color w:val="auto"/>
              <w:highlight w:val="none"/>
            </w:rPr>
            <w:fldChar w:fldCharType="separate"/>
          </w:r>
          <w:r>
            <w:rPr>
              <w:rFonts w:hint="eastAsia"/>
              <w:bCs/>
              <w:color w:val="auto"/>
              <w:sz w:val="28"/>
              <w:szCs w:val="28"/>
              <w:highlight w:val="none"/>
            </w:rPr>
            <w:t>第三章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_Toc9167 \h </w:instrText>
          </w:r>
          <w:r>
            <w:rPr>
              <w:color w:val="auto"/>
              <w:sz w:val="28"/>
              <w:szCs w:val="28"/>
              <w:highlight w:val="none"/>
            </w:rPr>
            <w:fldChar w:fldCharType="separate"/>
          </w:r>
          <w:r>
            <w:rPr>
              <w:color w:val="auto"/>
              <w:sz w:val="28"/>
              <w:szCs w:val="28"/>
              <w:highlight w:val="none"/>
            </w:rPr>
            <w:t>12</w:t>
          </w:r>
          <w:r>
            <w:rPr>
              <w:color w:val="auto"/>
              <w:sz w:val="28"/>
              <w:szCs w:val="28"/>
              <w:highlight w:val="none"/>
            </w:rPr>
            <w:fldChar w:fldCharType="end"/>
          </w:r>
          <w:r>
            <w:rPr>
              <w:color w:val="auto"/>
              <w:sz w:val="28"/>
              <w:szCs w:val="28"/>
              <w:highlight w:val="none"/>
            </w:rPr>
            <w:fldChar w:fldCharType="end"/>
          </w:r>
        </w:p>
        <w:p w14:paraId="648C4FCE">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"_Toc17422" </w:instrText>
          </w:r>
          <w:r>
            <w:rPr>
              <w:color w:val="auto"/>
              <w:highlight w:val="none"/>
            </w:rPr>
            <w:fldChar w:fldCharType="separate"/>
          </w:r>
          <w:r>
            <w:rPr>
              <w:rFonts w:hint="eastAsia" w:asciiTheme="minorEastAsia" w:hAnsiTheme="minorEastAsia" w:eastAsiaTheme="minorEastAsia" w:cstheme="minorEastAsia"/>
              <w:bCs/>
              <w:color w:val="auto"/>
              <w:sz w:val="28"/>
              <w:szCs w:val="28"/>
              <w:highlight w:val="none"/>
            </w:rPr>
            <w:t xml:space="preserve">第四章  </w:t>
          </w:r>
          <w:r>
            <w:rPr>
              <w:rFonts w:hint="eastAsia" w:ascii="宋体" w:hAnsi="宋体" w:cs="宋体"/>
              <w:bCs/>
              <w:color w:val="auto"/>
              <w:sz w:val="28"/>
              <w:szCs w:val="28"/>
              <w:highlight w:val="none"/>
            </w:rPr>
            <w:t>合同条款</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_Toc17422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color w:val="auto"/>
              <w:sz w:val="28"/>
              <w:szCs w:val="28"/>
              <w:highlight w:val="none"/>
            </w:rPr>
            <w:fldChar w:fldCharType="end"/>
          </w:r>
        </w:p>
        <w:p w14:paraId="53430323">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"_Toc10164" </w:instrText>
          </w:r>
          <w:r>
            <w:rPr>
              <w:color w:val="auto"/>
              <w:highlight w:val="none"/>
            </w:rPr>
            <w:fldChar w:fldCharType="separate"/>
          </w:r>
          <w:r>
            <w:rPr>
              <w:rFonts w:hint="eastAsia" w:asciiTheme="minorEastAsia" w:hAnsiTheme="minorEastAsia" w:eastAsiaTheme="minorEastAsia" w:cstheme="minorEastAsia"/>
              <w:bCs/>
              <w:color w:val="auto"/>
              <w:sz w:val="28"/>
              <w:szCs w:val="28"/>
              <w:highlight w:val="none"/>
            </w:rPr>
            <w:t xml:space="preserve">第五章  </w:t>
          </w:r>
          <w:r>
            <w:rPr>
              <w:rFonts w:hint="eastAsia" w:ascii="宋体" w:hAnsi="宋体" w:cs="宋体"/>
              <w:bCs/>
              <w:color w:val="auto"/>
              <w:sz w:val="28"/>
              <w:szCs w:val="28"/>
              <w:highlight w:val="none"/>
            </w:rPr>
            <w:t>采购需求及技术要求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_Toc10164 \h </w:instrText>
          </w:r>
          <w:r>
            <w:rPr>
              <w:color w:val="auto"/>
              <w:sz w:val="28"/>
              <w:szCs w:val="28"/>
              <w:highlight w:val="none"/>
            </w:rPr>
            <w:fldChar w:fldCharType="separate"/>
          </w:r>
          <w:r>
            <w:rPr>
              <w:color w:val="auto"/>
              <w:sz w:val="28"/>
              <w:szCs w:val="28"/>
              <w:highlight w:val="none"/>
            </w:rPr>
            <w:t>3</w:t>
          </w:r>
          <w:r>
            <w:rPr>
              <w:rFonts w:hint="eastAsia"/>
              <w:color w:val="auto"/>
              <w:sz w:val="28"/>
              <w:szCs w:val="28"/>
              <w:highlight w:val="none"/>
              <w:lang w:val="en-US" w:eastAsia="zh-CN"/>
            </w:rPr>
            <w:t>8</w:t>
          </w:r>
          <w:r>
            <w:rPr>
              <w:color w:val="auto"/>
              <w:sz w:val="28"/>
              <w:szCs w:val="28"/>
              <w:highlight w:val="none"/>
            </w:rPr>
            <w:fldChar w:fldCharType="end"/>
          </w:r>
          <w:r>
            <w:rPr>
              <w:color w:val="auto"/>
              <w:sz w:val="28"/>
              <w:szCs w:val="28"/>
              <w:highlight w:val="none"/>
            </w:rPr>
            <w:fldChar w:fldCharType="end"/>
          </w:r>
        </w:p>
        <w:p w14:paraId="63E88C63">
          <w:pPr>
            <w:pStyle w:val="47"/>
            <w:tabs>
              <w:tab w:val="right" w:leader="dot" w:pos="9708"/>
            </w:tabs>
            <w:spacing w:line="360" w:lineRule="auto"/>
            <w:rPr>
              <w:rFonts w:hint="eastAsia" w:eastAsia="宋体"/>
              <w:color w:val="auto"/>
              <w:sz w:val="28"/>
              <w:szCs w:val="28"/>
              <w:highlight w:val="none"/>
              <w:lang w:val="en-US" w:eastAsia="zh-CN"/>
            </w:rPr>
          </w:pPr>
          <w:r>
            <w:rPr>
              <w:color w:val="auto"/>
              <w:highlight w:val="none"/>
            </w:rPr>
            <w:fldChar w:fldCharType="begin"/>
          </w:r>
          <w:r>
            <w:rPr>
              <w:color w:val="auto"/>
              <w:highlight w:val="none"/>
            </w:rPr>
            <w:instrText xml:space="preserve"> HYPERLINK \l "_Toc32387" </w:instrText>
          </w:r>
          <w:r>
            <w:rPr>
              <w:color w:val="auto"/>
              <w:highlight w:val="none"/>
            </w:rPr>
            <w:fldChar w:fldCharType="separate"/>
          </w:r>
          <w:r>
            <w:rPr>
              <w:rFonts w:hint="eastAsia" w:asciiTheme="minorEastAsia" w:hAnsiTheme="minorEastAsia" w:eastAsiaTheme="minorEastAsia" w:cstheme="minorEastAsia"/>
              <w:bCs/>
              <w:color w:val="auto"/>
              <w:sz w:val="28"/>
              <w:szCs w:val="28"/>
              <w:highlight w:val="none"/>
            </w:rPr>
            <w:t>第六章  评标标准及办法</w:t>
          </w:r>
          <w:r>
            <w:rPr>
              <w:color w:val="auto"/>
              <w:sz w:val="28"/>
              <w:szCs w:val="28"/>
              <w:highlight w:val="none"/>
            </w:rPr>
            <w:tab/>
          </w:r>
          <w:r>
            <w:rPr>
              <w:rFonts w:hint="eastAsia"/>
              <w:color w:val="auto"/>
              <w:sz w:val="28"/>
              <w:szCs w:val="28"/>
              <w:highlight w:val="none"/>
              <w:lang w:val="en-US" w:eastAsia="zh-CN"/>
            </w:rPr>
            <w:t>4</w:t>
          </w:r>
          <w:r>
            <w:rPr>
              <w:color w:val="auto"/>
              <w:sz w:val="28"/>
              <w:szCs w:val="28"/>
              <w:highlight w:val="none"/>
            </w:rPr>
            <w:fldChar w:fldCharType="end"/>
          </w:r>
          <w:r>
            <w:rPr>
              <w:rFonts w:hint="eastAsia"/>
              <w:color w:val="auto"/>
              <w:sz w:val="28"/>
              <w:szCs w:val="28"/>
              <w:highlight w:val="none"/>
              <w:lang w:val="en-US" w:eastAsia="zh-CN"/>
            </w:rPr>
            <w:t>0</w:t>
          </w:r>
        </w:p>
        <w:p w14:paraId="27A6FECE">
          <w:pPr>
            <w:pStyle w:val="47"/>
            <w:tabs>
              <w:tab w:val="right" w:leader="dot" w:pos="9708"/>
            </w:tabs>
            <w:spacing w:line="360" w:lineRule="auto"/>
            <w:rPr>
              <w:color w:val="auto"/>
              <w:sz w:val="28"/>
              <w:szCs w:val="28"/>
              <w:highlight w:val="none"/>
            </w:rPr>
          </w:pPr>
          <w:r>
            <w:rPr>
              <w:color w:val="auto"/>
              <w:highlight w:val="none"/>
            </w:rPr>
            <w:fldChar w:fldCharType="begin"/>
          </w:r>
          <w:r>
            <w:rPr>
              <w:color w:val="auto"/>
              <w:highlight w:val="none"/>
            </w:rPr>
            <w:instrText xml:space="preserve"> HYPERLINK \l "_Toc14690" </w:instrText>
          </w:r>
          <w:r>
            <w:rPr>
              <w:color w:val="auto"/>
              <w:highlight w:val="none"/>
            </w:rPr>
            <w:fldChar w:fldCharType="separate"/>
          </w:r>
          <w:r>
            <w:rPr>
              <w:rFonts w:hint="eastAsia" w:ascii="宋体" w:hAnsi="宋体" w:cs="宋体"/>
              <w:bCs/>
              <w:color w:val="auto"/>
              <w:sz w:val="28"/>
              <w:szCs w:val="28"/>
              <w:highlight w:val="none"/>
            </w:rPr>
            <w:t>第七章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_Toc14690 \h </w:instrText>
          </w:r>
          <w:r>
            <w:rPr>
              <w:color w:val="auto"/>
              <w:sz w:val="28"/>
              <w:szCs w:val="28"/>
              <w:highlight w:val="none"/>
            </w:rPr>
            <w:fldChar w:fldCharType="separate"/>
          </w:r>
          <w:r>
            <w:rPr>
              <w:color w:val="auto"/>
              <w:sz w:val="28"/>
              <w:szCs w:val="28"/>
              <w:highlight w:val="none"/>
            </w:rPr>
            <w:t>44</w:t>
          </w:r>
          <w:r>
            <w:rPr>
              <w:color w:val="auto"/>
              <w:sz w:val="28"/>
              <w:szCs w:val="28"/>
              <w:highlight w:val="none"/>
            </w:rPr>
            <w:fldChar w:fldCharType="end"/>
          </w:r>
          <w:r>
            <w:rPr>
              <w:color w:val="auto"/>
              <w:sz w:val="28"/>
              <w:szCs w:val="28"/>
              <w:highlight w:val="none"/>
            </w:rPr>
            <w:fldChar w:fldCharType="end"/>
          </w:r>
        </w:p>
        <w:p w14:paraId="43A5E408">
          <w:pPr>
            <w:rPr>
              <w:color w:val="auto"/>
              <w:highlight w:val="none"/>
            </w:rPr>
          </w:pPr>
          <w:r>
            <w:rPr>
              <w:color w:val="auto"/>
              <w:highlight w:val="none"/>
            </w:rPr>
            <w:fldChar w:fldCharType="end"/>
          </w:r>
        </w:p>
      </w:sdtContent>
    </w:sdt>
    <w:p w14:paraId="54B9AEDA">
      <w:pPr>
        <w:tabs>
          <w:tab w:val="left" w:pos="3921"/>
          <w:tab w:val="center" w:pos="5194"/>
        </w:tabs>
        <w:spacing w:line="600" w:lineRule="auto"/>
        <w:ind w:firstLine="562" w:firstLineChars="200"/>
        <w:jc w:val="left"/>
        <w:rPr>
          <w:rFonts w:ascii="宋体" w:hAnsi="宋体" w:cs="宋体"/>
          <w:b/>
          <w:color w:val="auto"/>
          <w:sz w:val="28"/>
          <w:szCs w:val="28"/>
          <w:highlight w:val="none"/>
        </w:rPr>
        <w:sectPr>
          <w:headerReference r:id="rId3" w:type="default"/>
          <w:footerReference r:id="rId4" w:type="default"/>
          <w:pgSz w:w="11906" w:h="16839"/>
          <w:pgMar w:top="1431" w:right="1111" w:bottom="1156" w:left="1087" w:header="0" w:footer="996" w:gutter="0"/>
          <w:pgNumType w:start="1"/>
          <w:cols w:space="720" w:num="1"/>
        </w:sectPr>
      </w:pPr>
      <w:r>
        <w:rPr>
          <w:rFonts w:hint="eastAsia" w:ascii="宋体" w:hAnsi="宋体" w:cs="宋体"/>
          <w:b/>
          <w:color w:val="auto"/>
          <w:sz w:val="28"/>
          <w:szCs w:val="28"/>
          <w:highlight w:val="none"/>
        </w:rPr>
        <w:tab/>
      </w:r>
    </w:p>
    <w:p w14:paraId="2C51EFB9">
      <w:pPr>
        <w:tabs>
          <w:tab w:val="left" w:pos="3921"/>
          <w:tab w:val="center" w:pos="5194"/>
        </w:tabs>
        <w:spacing w:line="360" w:lineRule="auto"/>
        <w:jc w:val="center"/>
        <w:outlineLvl w:val="0"/>
        <w:rPr>
          <w:b/>
          <w:bCs/>
          <w:color w:val="auto"/>
          <w:sz w:val="28"/>
          <w:szCs w:val="28"/>
          <w:highlight w:val="none"/>
        </w:rPr>
      </w:pPr>
      <w:bookmarkStart w:id="3" w:name="_Toc9599"/>
      <w:r>
        <w:rPr>
          <w:rFonts w:hint="eastAsia"/>
          <w:b/>
          <w:bCs/>
          <w:color w:val="auto"/>
          <w:sz w:val="28"/>
          <w:szCs w:val="28"/>
          <w:highlight w:val="none"/>
        </w:rPr>
        <w:t>第一章  招标公告</w:t>
      </w:r>
      <w:bookmarkEnd w:id="3"/>
    </w:p>
    <w:p w14:paraId="389F43D0">
      <w:pPr>
        <w:pStyle w:val="25"/>
        <w:widowControl/>
        <w:spacing w:before="255" w:beforeAutospacing="0" w:after="255" w:afterAutospacing="0" w:line="300" w:lineRule="atLeast"/>
        <w:rPr>
          <w:rFonts w:ascii="黑体" w:hAnsi="宋体" w:eastAsia="黑体" w:cs="黑体"/>
          <w:color w:val="auto"/>
          <w:sz w:val="27"/>
          <w:szCs w:val="27"/>
          <w:highlight w:val="none"/>
        </w:rPr>
      </w:pPr>
      <w:r>
        <w:rPr>
          <w:rStyle w:val="32"/>
          <w:rFonts w:ascii="黑体" w:hAnsi="宋体" w:eastAsia="黑体" w:cs="黑体"/>
          <w:color w:val="auto"/>
          <w:sz w:val="27"/>
          <w:szCs w:val="27"/>
          <w:highlight w:val="none"/>
        </w:rPr>
        <w:t>一、项目基本情况</w:t>
      </w:r>
    </w:p>
    <w:p w14:paraId="2953AFEF">
      <w:pPr>
        <w:pStyle w:val="25"/>
        <w:widowControl/>
        <w:spacing w:before="75" w:beforeAutospacing="0" w:after="75" w:afterAutospacing="0" w:line="300" w:lineRule="atLeast"/>
        <w:ind w:firstLine="420"/>
        <w:rPr>
          <w:rFonts w:eastAsia="仿宋"/>
          <w:color w:val="auto"/>
          <w:highlight w:val="none"/>
        </w:rPr>
      </w:pPr>
      <w:r>
        <w:rPr>
          <w:rFonts w:ascii="仿宋" w:hAnsi="仿宋" w:eastAsia="仿宋" w:cs="仿宋"/>
          <w:color w:val="auto"/>
          <w:sz w:val="27"/>
          <w:szCs w:val="27"/>
          <w:highlight w:val="none"/>
        </w:rPr>
        <w:t>项目编号：</w:t>
      </w:r>
      <w:r>
        <w:rPr>
          <w:rFonts w:hint="eastAsia" w:ascii="仿宋" w:hAnsi="仿宋" w:eastAsia="仿宋" w:cs="仿宋"/>
          <w:color w:val="auto"/>
          <w:sz w:val="27"/>
          <w:szCs w:val="27"/>
          <w:highlight w:val="none"/>
        </w:rPr>
        <w:t>SSQYZB-CG2026058</w:t>
      </w:r>
    </w:p>
    <w:p w14:paraId="5F602954">
      <w:pPr>
        <w:pStyle w:val="25"/>
        <w:widowControl/>
        <w:spacing w:before="75" w:beforeAutospacing="0" w:after="75" w:afterAutospacing="0" w:line="300" w:lineRule="atLeast"/>
        <w:ind w:firstLine="420"/>
        <w:rPr>
          <w:rFonts w:eastAsia="仿宋"/>
          <w:color w:val="auto"/>
          <w:highlight w:val="none"/>
        </w:rPr>
      </w:pPr>
      <w:r>
        <w:rPr>
          <w:rFonts w:hint="eastAsia" w:ascii="仿宋" w:hAnsi="仿宋" w:eastAsia="仿宋" w:cs="仿宋"/>
          <w:color w:val="auto"/>
          <w:sz w:val="27"/>
          <w:szCs w:val="27"/>
          <w:highlight w:val="none"/>
        </w:rPr>
        <w:t>项目名称：新疆维吾尔自治区某单位大宗物资采购项目（蔬菜、水果及干果类）</w:t>
      </w:r>
    </w:p>
    <w:p w14:paraId="658D98EA">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采购方式：公开招标</w:t>
      </w:r>
    </w:p>
    <w:p w14:paraId="44D1D433">
      <w:pPr>
        <w:pStyle w:val="25"/>
        <w:widowControl/>
        <w:spacing w:before="75" w:beforeAutospacing="0" w:after="75" w:afterAutospacing="0" w:line="300" w:lineRule="atLeast"/>
        <w:ind w:firstLine="420"/>
        <w:rPr>
          <w:rFonts w:eastAsia="仿宋"/>
          <w:color w:val="auto"/>
          <w:highlight w:val="none"/>
        </w:rPr>
      </w:pPr>
      <w:r>
        <w:rPr>
          <w:rFonts w:hint="eastAsia" w:ascii="仿宋" w:hAnsi="仿宋" w:eastAsia="仿宋" w:cs="仿宋"/>
          <w:color w:val="auto"/>
          <w:sz w:val="27"/>
          <w:szCs w:val="27"/>
          <w:highlight w:val="none"/>
        </w:rPr>
        <w:t>预算金额（元）：1900000</w:t>
      </w:r>
    </w:p>
    <w:p w14:paraId="33318439">
      <w:pPr>
        <w:pStyle w:val="25"/>
        <w:widowControl/>
        <w:spacing w:before="75" w:beforeAutospacing="0" w:after="75" w:afterAutospacing="0" w:line="300" w:lineRule="atLeast"/>
        <w:ind w:firstLine="42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最高限价（元）：/</w:t>
      </w:r>
    </w:p>
    <w:p w14:paraId="41F6E4D2">
      <w:pPr>
        <w:pStyle w:val="25"/>
        <w:widowControl/>
        <w:spacing w:before="75" w:beforeAutospacing="0" w:after="75" w:afterAutospacing="0" w:line="300" w:lineRule="atLeast"/>
        <w:ind w:firstLine="420"/>
        <w:rPr>
          <w:rFonts w:ascii="仿宋" w:hAnsi="仿宋" w:eastAsia="仿宋" w:cs="仿宋"/>
          <w:color w:val="auto"/>
          <w:sz w:val="27"/>
          <w:szCs w:val="27"/>
          <w:highlight w:val="none"/>
          <w:shd w:val="clear" w:color="auto" w:fill="F7F7F7"/>
        </w:rPr>
      </w:pPr>
      <w:r>
        <w:rPr>
          <w:rFonts w:hint="eastAsia" w:ascii="仿宋" w:hAnsi="仿宋" w:eastAsia="仿宋" w:cs="仿宋"/>
          <w:color w:val="auto"/>
          <w:sz w:val="27"/>
          <w:szCs w:val="27"/>
          <w:highlight w:val="none"/>
        </w:rPr>
        <w:t>采购需求：</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标项名称:新疆维吾尔自治区某单位大宗物资采购项目（蔬菜、水果及干果类）</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数量:1</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预算金额（元）：1900000</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xml:space="preserve">  单位：批</w:t>
      </w:r>
    </w:p>
    <w:p w14:paraId="0F77E9F4">
      <w:pPr>
        <w:pStyle w:val="25"/>
        <w:widowControl/>
        <w:spacing w:before="75" w:beforeAutospacing="0" w:after="75" w:afterAutospacing="0" w:line="300" w:lineRule="atLeast"/>
        <w:ind w:firstLine="420"/>
        <w:rPr>
          <w:color w:val="auto"/>
          <w:highlight w:val="none"/>
        </w:rPr>
      </w:pPr>
      <w:r>
        <w:rPr>
          <w:rFonts w:ascii="Calibri" w:hAnsi="Calibri" w:eastAsia="仿宋" w:cs="Calibri"/>
          <w:color w:val="auto"/>
          <w:sz w:val="27"/>
          <w:szCs w:val="27"/>
          <w:highlight w:val="none"/>
          <w:shd w:val="clear" w:color="auto" w:fill="F7F7F7"/>
        </w:rPr>
        <w:t> </w:t>
      </w:r>
      <w:r>
        <w:rPr>
          <w:rFonts w:hint="eastAsia" w:ascii="仿宋" w:hAnsi="仿宋" w:eastAsia="仿宋" w:cs="仿宋"/>
          <w:color w:val="auto"/>
          <w:sz w:val="27"/>
          <w:szCs w:val="27"/>
          <w:highlight w:val="none"/>
          <w:shd w:val="clear" w:color="auto" w:fill="F7F7F7"/>
        </w:rPr>
        <w:t xml:space="preserve">  简要规格描述或项目基本概况介绍、用途：大宗物资采购，包含各类蔬菜及冬菜品种、水果、干果类（包含各类水果及干果品种）。（具体详见采购文件采购需求）</w:t>
      </w:r>
      <w:r>
        <w:rPr>
          <w:rFonts w:hint="eastAsia" w:ascii="仿宋" w:hAnsi="仿宋" w:eastAsia="仿宋" w:cs="仿宋"/>
          <w:color w:val="auto"/>
          <w:sz w:val="27"/>
          <w:szCs w:val="27"/>
          <w:highlight w:val="none"/>
          <w:shd w:val="clear" w:color="auto" w:fill="F7F7F7"/>
        </w:rPr>
        <w:br w:type="textWrapping"/>
      </w:r>
      <w:r>
        <w:rPr>
          <w:rFonts w:hint="eastAsia" w:ascii="仿宋" w:hAnsi="仿宋" w:eastAsia="仿宋" w:cs="仿宋"/>
          <w:color w:val="auto"/>
          <w:sz w:val="27"/>
          <w:szCs w:val="27"/>
          <w:highlight w:val="none"/>
          <w:shd w:val="clear" w:color="auto" w:fill="F7F7F7"/>
        </w:rPr>
        <w:t>   备注：/</w:t>
      </w:r>
    </w:p>
    <w:p w14:paraId="36D856D6">
      <w:pPr>
        <w:pStyle w:val="25"/>
        <w:widowControl/>
        <w:spacing w:before="75" w:beforeAutospacing="0" w:after="75" w:afterAutospacing="0"/>
        <w:rPr>
          <w:color w:val="auto"/>
          <w:highlight w:val="none"/>
        </w:rPr>
      </w:pPr>
      <w:r>
        <w:rPr>
          <w:rFonts w:ascii="Calibri" w:hAnsi="Calibri" w:eastAsia="仿宋" w:cs="Calibri"/>
          <w:color w:val="auto"/>
          <w:sz w:val="27"/>
          <w:szCs w:val="27"/>
          <w:highlight w:val="none"/>
          <w:shd w:val="clear" w:color="auto" w:fill="F7F7F7"/>
        </w:rPr>
        <w:t> </w:t>
      </w:r>
      <w:r>
        <w:rPr>
          <w:rFonts w:hint="eastAsia" w:ascii="仿宋" w:hAnsi="仿宋" w:eastAsia="仿宋" w:cs="仿宋"/>
          <w:color w:val="auto"/>
          <w:sz w:val="27"/>
          <w:szCs w:val="27"/>
          <w:highlight w:val="none"/>
          <w:shd w:val="clear" w:color="auto" w:fill="F7F7F7"/>
        </w:rPr>
        <w:t xml:space="preserve"> </w:t>
      </w:r>
    </w:p>
    <w:p w14:paraId="3DDFB4C2">
      <w:pPr>
        <w:pStyle w:val="25"/>
        <w:widowControl/>
        <w:spacing w:before="75" w:beforeAutospacing="0" w:after="75" w:afterAutospacing="0" w:line="300" w:lineRule="atLeast"/>
        <w:ind w:firstLine="420"/>
        <w:rPr>
          <w:rFonts w:eastAsia="仿宋"/>
          <w:color w:val="auto"/>
          <w:highlight w:val="none"/>
        </w:rPr>
      </w:pPr>
      <w:r>
        <w:rPr>
          <w:rFonts w:hint="eastAsia" w:ascii="仿宋" w:hAnsi="仿宋" w:eastAsia="仿宋" w:cs="仿宋"/>
          <w:color w:val="auto"/>
          <w:sz w:val="27"/>
          <w:szCs w:val="27"/>
          <w:highlight w:val="none"/>
        </w:rPr>
        <w:t>合同履约期限：标项1，自合同生效之日起一年</w:t>
      </w:r>
    </w:p>
    <w:p w14:paraId="784E3634">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本项目（否）接受联合体投标。</w:t>
      </w:r>
    </w:p>
    <w:p w14:paraId="0B9116A4">
      <w:pPr>
        <w:pStyle w:val="25"/>
        <w:widowControl/>
        <w:spacing w:before="75" w:beforeAutospacing="0" w:after="75" w:afterAutospacing="0" w:line="300" w:lineRule="atLeast"/>
        <w:rPr>
          <w:color w:val="auto"/>
          <w:highlight w:val="none"/>
        </w:rPr>
      </w:pPr>
    </w:p>
    <w:p w14:paraId="216B5BF4">
      <w:pPr>
        <w:pStyle w:val="25"/>
        <w:widowControl/>
        <w:spacing w:before="75" w:beforeAutospacing="0" w:after="75" w:afterAutospacing="0" w:line="300" w:lineRule="atLeast"/>
        <w:rPr>
          <w:color w:val="auto"/>
          <w:highlight w:val="none"/>
        </w:rPr>
      </w:pPr>
      <w:r>
        <w:rPr>
          <w:rStyle w:val="32"/>
          <w:rFonts w:ascii="黑体" w:hAnsi="宋体" w:eastAsia="黑体" w:cs="黑体"/>
          <w:color w:val="auto"/>
          <w:sz w:val="27"/>
          <w:szCs w:val="27"/>
          <w:highlight w:val="none"/>
        </w:rPr>
        <w:t>二、申请人的资格要求：</w:t>
      </w:r>
    </w:p>
    <w:p w14:paraId="4DD02828">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1.满足《中华人民共和国政府采购法》第二十二条规定；</w:t>
      </w:r>
    </w:p>
    <w:p w14:paraId="1F2AAA2B">
      <w:pPr>
        <w:pStyle w:val="25"/>
        <w:widowControl/>
        <w:spacing w:before="75" w:beforeAutospacing="0" w:after="75" w:afterAutospacing="0" w:line="300" w:lineRule="atLeast"/>
        <w:ind w:firstLine="420"/>
        <w:rPr>
          <w:rFonts w:eastAsia="仿宋"/>
          <w:color w:val="auto"/>
          <w:highlight w:val="none"/>
        </w:rPr>
      </w:pPr>
      <w:r>
        <w:rPr>
          <w:rFonts w:hint="eastAsia" w:ascii="仿宋" w:hAnsi="仿宋" w:eastAsia="仿宋" w:cs="仿宋"/>
          <w:color w:val="auto"/>
          <w:sz w:val="27"/>
          <w:szCs w:val="27"/>
          <w:highlight w:val="none"/>
        </w:rPr>
        <w:t>2.落实政府采购政策需满足的资格要求：本项目专门面向中小企业采购。</w:t>
      </w:r>
    </w:p>
    <w:p w14:paraId="54AE6658">
      <w:pPr>
        <w:pStyle w:val="25"/>
        <w:widowControl/>
        <w:spacing w:before="75" w:beforeAutospacing="0" w:after="75" w:afterAutospacing="0" w:line="300" w:lineRule="atLeast"/>
        <w:ind w:firstLine="42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3.本项目的特定资格要求：无</w:t>
      </w:r>
    </w:p>
    <w:p w14:paraId="01E23EEA">
      <w:pPr>
        <w:pStyle w:val="25"/>
        <w:widowControl/>
        <w:spacing w:before="255" w:beforeAutospacing="0" w:after="255" w:afterAutospacing="0" w:line="300" w:lineRule="atLeast"/>
        <w:rPr>
          <w:rFonts w:ascii="黑体" w:hAnsi="宋体" w:eastAsia="黑体" w:cs="黑体"/>
          <w:color w:val="auto"/>
          <w:sz w:val="27"/>
          <w:szCs w:val="27"/>
          <w:highlight w:val="none"/>
        </w:rPr>
      </w:pPr>
      <w:r>
        <w:rPr>
          <w:rStyle w:val="32"/>
          <w:rFonts w:ascii="黑体" w:hAnsi="宋体" w:eastAsia="黑体" w:cs="黑体"/>
          <w:color w:val="auto"/>
          <w:sz w:val="27"/>
          <w:szCs w:val="27"/>
          <w:highlight w:val="none"/>
        </w:rPr>
        <w:t>三、获取</w:t>
      </w:r>
      <w:r>
        <w:rPr>
          <w:rStyle w:val="32"/>
          <w:rFonts w:hint="eastAsia" w:ascii="黑体" w:hAnsi="宋体" w:eastAsia="黑体" w:cs="黑体"/>
          <w:color w:val="auto"/>
          <w:sz w:val="27"/>
          <w:szCs w:val="27"/>
          <w:highlight w:val="none"/>
        </w:rPr>
        <w:t>采购文件</w:t>
      </w:r>
    </w:p>
    <w:p w14:paraId="2E2EBC3C">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时间：2026年05月25日至2026年06月04日，每天上午00:00至14:00，下午14:00至23:59（北京时间）</w:t>
      </w:r>
    </w:p>
    <w:p w14:paraId="7242D8EA">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地点：政采云平台（https://login.zcygov.cn/user-login/#/login）</w:t>
      </w:r>
    </w:p>
    <w:p w14:paraId="7B096E14">
      <w:pPr>
        <w:pStyle w:val="25"/>
        <w:widowControl/>
        <w:spacing w:before="75" w:beforeAutospacing="0" w:after="75" w:afterAutospacing="0" w:line="300" w:lineRule="atLeast"/>
        <w:ind w:firstLine="42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方式：供应商登录政采云平台https://www.zcygov.cn/在线申请获取采购文件（进入“项目采购”应用，在获取采购文件菜单中选择项目，申请获取采购文件</w:t>
      </w:r>
    </w:p>
    <w:p w14:paraId="48BE3C8C">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售价（元）：0</w:t>
      </w:r>
    </w:p>
    <w:p w14:paraId="23B79C77">
      <w:pPr>
        <w:pStyle w:val="25"/>
        <w:widowControl/>
        <w:spacing w:before="255" w:beforeAutospacing="0" w:after="255" w:afterAutospacing="0" w:line="300" w:lineRule="atLeast"/>
        <w:rPr>
          <w:rFonts w:ascii="黑体" w:hAnsi="宋体" w:eastAsia="黑体" w:cs="黑体"/>
          <w:color w:val="auto"/>
          <w:sz w:val="27"/>
          <w:szCs w:val="27"/>
          <w:highlight w:val="none"/>
        </w:rPr>
      </w:pPr>
      <w:r>
        <w:rPr>
          <w:rStyle w:val="32"/>
          <w:rFonts w:ascii="黑体" w:hAnsi="宋体" w:eastAsia="黑体" w:cs="黑体"/>
          <w:color w:val="auto"/>
          <w:sz w:val="27"/>
          <w:szCs w:val="27"/>
          <w:highlight w:val="none"/>
        </w:rPr>
        <w:t>四、提交</w:t>
      </w:r>
      <w:r>
        <w:rPr>
          <w:rStyle w:val="32"/>
          <w:rFonts w:hint="eastAsia" w:ascii="黑体" w:hAnsi="宋体" w:eastAsia="黑体" w:cs="黑体"/>
          <w:color w:val="auto"/>
          <w:sz w:val="27"/>
          <w:szCs w:val="27"/>
          <w:highlight w:val="none"/>
        </w:rPr>
        <w:t>响应文件</w:t>
      </w:r>
      <w:r>
        <w:rPr>
          <w:rStyle w:val="32"/>
          <w:rFonts w:ascii="黑体" w:hAnsi="宋体" w:eastAsia="黑体" w:cs="黑体"/>
          <w:color w:val="auto"/>
          <w:sz w:val="27"/>
          <w:szCs w:val="27"/>
          <w:highlight w:val="none"/>
        </w:rPr>
        <w:t>截止时间、开标时间和地点</w:t>
      </w:r>
    </w:p>
    <w:p w14:paraId="1BD00E89">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提交响应文件截止时间：2026年06月17日 11:00（北京时间）</w:t>
      </w:r>
    </w:p>
    <w:p w14:paraId="169F3703">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投标地点：请登录政采云投标客户端投标</w:t>
      </w:r>
    </w:p>
    <w:p w14:paraId="49C0E3C9">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开标时间：2026年06月17日 11:00（北京时间）</w:t>
      </w:r>
    </w:p>
    <w:p w14:paraId="3D5D38C7">
      <w:pPr>
        <w:pStyle w:val="25"/>
        <w:widowControl/>
        <w:spacing w:before="75" w:beforeAutospacing="0" w:after="75" w:afterAutospacing="0" w:line="300" w:lineRule="atLeast"/>
        <w:ind w:firstLine="420"/>
        <w:rPr>
          <w:color w:val="auto"/>
          <w:highlight w:val="none"/>
        </w:rPr>
      </w:pPr>
      <w:r>
        <w:rPr>
          <w:rFonts w:hint="eastAsia" w:ascii="仿宋" w:hAnsi="仿宋" w:eastAsia="仿宋" w:cs="仿宋"/>
          <w:color w:val="auto"/>
          <w:sz w:val="27"/>
          <w:szCs w:val="27"/>
          <w:highlight w:val="none"/>
        </w:rPr>
        <w:t>开标地点：投标人登录政采云平台https://www.zcygov.cn/，进入“项目采购-开标评标-右边选择对应项目点击“进入项目”进入开标大厅。</w:t>
      </w:r>
    </w:p>
    <w:p w14:paraId="7A461715">
      <w:pPr>
        <w:pStyle w:val="25"/>
        <w:widowControl/>
        <w:spacing w:before="255" w:beforeAutospacing="0" w:after="255" w:afterAutospacing="0" w:line="300" w:lineRule="atLeast"/>
        <w:rPr>
          <w:rFonts w:ascii="黑体" w:hAnsi="宋体" w:eastAsia="黑体" w:cs="黑体"/>
          <w:color w:val="auto"/>
          <w:sz w:val="31"/>
          <w:szCs w:val="31"/>
          <w:highlight w:val="none"/>
        </w:rPr>
      </w:pPr>
      <w:r>
        <w:rPr>
          <w:rStyle w:val="32"/>
          <w:rFonts w:ascii="黑体" w:hAnsi="宋体" w:eastAsia="黑体" w:cs="黑体"/>
          <w:color w:val="auto"/>
          <w:sz w:val="27"/>
          <w:szCs w:val="27"/>
          <w:highlight w:val="none"/>
        </w:rPr>
        <w:t>五、公告期限</w:t>
      </w:r>
    </w:p>
    <w:p w14:paraId="60950ADF">
      <w:pPr>
        <w:pStyle w:val="25"/>
        <w:widowControl/>
        <w:spacing w:before="75" w:beforeAutospacing="0" w:after="75" w:afterAutospacing="0"/>
        <w:ind w:firstLine="420"/>
        <w:rPr>
          <w:color w:val="auto"/>
          <w:highlight w:val="none"/>
        </w:rPr>
      </w:pPr>
      <w:r>
        <w:rPr>
          <w:rFonts w:hint="eastAsia" w:ascii="仿宋" w:hAnsi="仿宋" w:eastAsia="仿宋" w:cs="仿宋"/>
          <w:color w:val="auto"/>
          <w:sz w:val="27"/>
          <w:szCs w:val="27"/>
          <w:highlight w:val="none"/>
        </w:rPr>
        <w:t>自本公告发布之日起5个工作日。</w:t>
      </w:r>
    </w:p>
    <w:p w14:paraId="10F60D73">
      <w:pPr>
        <w:pStyle w:val="25"/>
        <w:widowControl/>
        <w:spacing w:before="255" w:beforeAutospacing="0" w:after="255" w:afterAutospacing="0" w:line="300" w:lineRule="atLeast"/>
        <w:rPr>
          <w:rFonts w:ascii="黑体" w:hAnsi="宋体" w:eastAsia="黑体" w:cs="黑体"/>
          <w:color w:val="auto"/>
          <w:sz w:val="27"/>
          <w:szCs w:val="27"/>
          <w:highlight w:val="none"/>
        </w:rPr>
      </w:pPr>
      <w:r>
        <w:rPr>
          <w:rStyle w:val="32"/>
          <w:rFonts w:ascii="黑体" w:hAnsi="宋体" w:eastAsia="黑体" w:cs="黑体"/>
          <w:color w:val="auto"/>
          <w:sz w:val="27"/>
          <w:szCs w:val="27"/>
          <w:highlight w:val="none"/>
        </w:rPr>
        <w:t>六、其他补充事宜</w:t>
      </w:r>
    </w:p>
    <w:p w14:paraId="2DF3FB60">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1.本项目采用全流程不见面电子开评标，投标供应商需要使用CA加密设备，供应商可通过新疆数字证书认证中心官网（https://www.xjca.com.cn/）或下载“新疆政务通”APP自行进行申领。</w:t>
      </w:r>
    </w:p>
    <w:p w14:paraId="6D268E3A">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2.本项目实行网上投标，采用加密电子响应文件(供应商须使用CA加密设备通过政采云电子投标客户端制作响应文件)。若供应商参与投标，自行承担投标一切费用。</w:t>
      </w:r>
    </w:p>
    <w:p w14:paraId="5EAA4011">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3.各供应商在开标前应确保成为新疆维吾尔自治区政府采购网正式注册入库供应商（已在政采云平台其他省份入驻的供应商无需重复注册），并完成CA数字证书申领。因未注册入库、未办理CA数字证书等原因造成无法投标或投标失败等后果由供应商自行承担。</w:t>
      </w:r>
    </w:p>
    <w:p w14:paraId="54BDB6F5">
      <w:pPr>
        <w:pStyle w:val="25"/>
        <w:widowControl/>
        <w:spacing w:before="75" w:beforeAutospacing="0" w:after="75" w:afterAutospacing="0" w:line="315" w:lineRule="atLeast"/>
        <w:ind w:firstLine="540" w:firstLineChars="200"/>
        <w:jc w:val="left"/>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4.供应商将政采云电子交易客户端下载、安装完成后，可通过账号密码或CA登录客户端进行响应文件制作。在使用政采云投标客户端时，建议使用WIN7+64位及以上操作系统。客户端请至新疆政府采购网（http://www.ccgp-xinjiang.gov.cn/）下载专区查看，如有问题可拨打政采云客户服务热线95763进行咨询。</w:t>
      </w:r>
    </w:p>
    <w:p w14:paraId="784AE079">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5.供应商在开标时须使用制作加密电子响应文件所使用的CA锁及电脑，电脑须提前配置好浏览器（建议使用谷歌浏览器），以便开标时解锁。</w:t>
      </w:r>
    </w:p>
    <w:p w14:paraId="3345209E">
      <w:pPr>
        <w:pStyle w:val="25"/>
        <w:widowControl/>
        <w:spacing w:before="75" w:beforeAutospacing="0" w:after="75" w:afterAutospacing="0" w:line="315" w:lineRule="atLeast"/>
        <w:ind w:firstLine="540" w:firstLineChars="200"/>
        <w:rPr>
          <w:rFonts w:ascii="仿宋" w:hAnsi="仿宋" w:eastAsia="仿宋" w:cs="仿宋"/>
          <w:color w:val="auto"/>
          <w:sz w:val="27"/>
          <w:szCs w:val="27"/>
          <w:highlight w:val="none"/>
        </w:rPr>
      </w:pPr>
      <w:r>
        <w:rPr>
          <w:rFonts w:hint="eastAsia" w:ascii="仿宋" w:hAnsi="仿宋" w:eastAsia="仿宋" w:cs="仿宋"/>
          <w:color w:val="auto"/>
          <w:sz w:val="27"/>
          <w:szCs w:val="27"/>
          <w:highlight w:val="none"/>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04A34F7A">
      <w:pPr>
        <w:pStyle w:val="25"/>
        <w:widowControl/>
        <w:spacing w:before="75" w:beforeAutospacing="0" w:after="75" w:afterAutospacing="0" w:line="315" w:lineRule="atLeast"/>
        <w:ind w:firstLine="540" w:firstLineChars="200"/>
        <w:rPr>
          <w:color w:val="auto"/>
          <w:highlight w:val="none"/>
        </w:rPr>
      </w:pPr>
      <w:r>
        <w:rPr>
          <w:rFonts w:hint="eastAsia" w:ascii="仿宋" w:hAnsi="仿宋" w:eastAsia="仿宋" w:cs="仿宋"/>
          <w:color w:val="auto"/>
          <w:sz w:val="27"/>
          <w:szCs w:val="27"/>
          <w:highlight w:val="none"/>
        </w:rPr>
        <w:t>7.为了保证开评标顺利进行，政采云线上开标功能完全实现，供应商开标所使用的电脑设备须具有视频及语音功能。</w:t>
      </w:r>
    </w:p>
    <w:p w14:paraId="2B1957E2">
      <w:pPr>
        <w:pStyle w:val="25"/>
        <w:widowControl/>
        <w:spacing w:before="75" w:beforeAutospacing="0" w:after="75" w:afterAutospacing="0"/>
        <w:rPr>
          <w:color w:val="auto"/>
          <w:highlight w:val="none"/>
        </w:rPr>
      </w:pPr>
      <w:r>
        <w:rPr>
          <w:color w:val="auto"/>
          <w:highlight w:val="none"/>
        </w:rPr>
        <w:t>特别提示：</w:t>
      </w:r>
    </w:p>
    <w:p w14:paraId="17934F78">
      <w:pPr>
        <w:pStyle w:val="25"/>
        <w:widowControl/>
        <w:spacing w:before="75" w:beforeAutospacing="0" w:after="75" w:afterAutospacing="0"/>
        <w:rPr>
          <w:color w:val="auto"/>
          <w:highlight w:val="none"/>
        </w:rPr>
      </w:pPr>
      <w:r>
        <w:rPr>
          <w:color w:val="auto"/>
          <w:highlight w:val="none"/>
        </w:rPr>
        <w:t>1、采购限额标准以上，200万元以下的货物和服务采购项目、400万元以下的工程采购项目，适宜由中小企业提供的，采购人应当</w:t>
      </w:r>
      <w:r>
        <w:rPr>
          <w:rFonts w:hint="eastAsia"/>
          <w:color w:val="auto"/>
          <w:highlight w:val="none"/>
        </w:rPr>
        <w:t>本项目专门面向中小企业采购，参加本次采购的供应商需提供《中小企业声明函》。</w:t>
      </w:r>
      <w:r>
        <w:rPr>
          <w:color w:val="auto"/>
          <w:highlight w:val="none"/>
        </w:rPr>
        <w:t>采购。</w:t>
      </w:r>
    </w:p>
    <w:p w14:paraId="08866227">
      <w:pPr>
        <w:pStyle w:val="25"/>
        <w:widowControl/>
        <w:spacing w:before="75" w:beforeAutospacing="0" w:after="75" w:afterAutospacing="0"/>
        <w:rPr>
          <w:color w:val="auto"/>
          <w:highlight w:val="none"/>
        </w:rPr>
      </w:pPr>
      <w:r>
        <w:rPr>
          <w:color w:val="auto"/>
          <w:highlight w:val="none"/>
        </w:rPr>
        <w:t>2、超过200万元的货物和服务采购项目，预留该部分采购项目预算总额的30%以上</w:t>
      </w:r>
      <w:r>
        <w:rPr>
          <w:rFonts w:hint="eastAsia"/>
          <w:color w:val="auto"/>
          <w:highlight w:val="none"/>
        </w:rPr>
        <w:t>本项目专门面向中小企业采购，参加本次采购的供应商需提供《中小企业声明函》。</w:t>
      </w:r>
      <w:r>
        <w:rPr>
          <w:color w:val="auto"/>
          <w:highlight w:val="none"/>
        </w:rPr>
        <w:t>采购，其中预留给小微企业的比例不低于60</w:t>
      </w:r>
      <w:r>
        <w:rPr>
          <w:rFonts w:hint="eastAsia"/>
          <w:color w:val="auto"/>
          <w:highlight w:val="none"/>
        </w:rPr>
        <w:t>%</w:t>
      </w:r>
      <w:r>
        <w:rPr>
          <w:color w:val="auto"/>
          <w:highlight w:val="none"/>
        </w:rPr>
        <w:t>。</w:t>
      </w:r>
    </w:p>
    <w:p w14:paraId="6BDA48F2">
      <w:pPr>
        <w:pStyle w:val="25"/>
        <w:widowControl/>
        <w:spacing w:before="75" w:beforeAutospacing="0" w:after="75" w:afterAutospacing="0"/>
        <w:rPr>
          <w:color w:val="auto"/>
          <w:highlight w:val="none"/>
        </w:rPr>
      </w:pPr>
      <w:r>
        <w:rPr>
          <w:color w:val="auto"/>
          <w:highlight w:val="none"/>
        </w:rPr>
        <w:t>3、超过400万元的工程采购项目中适宜由中小企业提供的，预留该部分采购项目预算总额的40%以上</w:t>
      </w:r>
      <w:r>
        <w:rPr>
          <w:rFonts w:hint="eastAsia"/>
          <w:color w:val="auto"/>
          <w:highlight w:val="none"/>
        </w:rPr>
        <w:t>本项目专门面向中小企业采购，参加本次采购的供应商需提供《中小企业声明函》。</w:t>
      </w:r>
      <w:r>
        <w:rPr>
          <w:color w:val="auto"/>
          <w:highlight w:val="none"/>
        </w:rPr>
        <w:t>采购，其中预留给小微企业的比例不低于60%。</w:t>
      </w:r>
    </w:p>
    <w:p w14:paraId="319A739C">
      <w:pPr>
        <w:pStyle w:val="25"/>
        <w:widowControl/>
        <w:spacing w:before="75" w:beforeAutospacing="0" w:after="75" w:afterAutospacing="0"/>
        <w:rPr>
          <w:color w:val="auto"/>
          <w:highlight w:val="none"/>
        </w:rPr>
      </w:pPr>
      <w:r>
        <w:rPr>
          <w:color w:val="auto"/>
          <w:highlight w:val="none"/>
        </w:rPr>
        <w:t>4、对于未预留份额</w:t>
      </w:r>
      <w:r>
        <w:rPr>
          <w:rFonts w:hint="eastAsia"/>
          <w:color w:val="auto"/>
          <w:highlight w:val="none"/>
        </w:rPr>
        <w:t>本项目专门面向中小企业采购，参加本次采购的供应商需提供《中小企业声明函》。</w:t>
      </w:r>
      <w:r>
        <w:rPr>
          <w:color w:val="auto"/>
          <w:highlight w:val="none"/>
        </w:rPr>
        <w:t>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393675B">
      <w:pPr>
        <w:pStyle w:val="25"/>
        <w:widowControl/>
        <w:spacing w:before="75" w:beforeAutospacing="0" w:after="75" w:afterAutospacing="0"/>
        <w:rPr>
          <w:color w:val="auto"/>
          <w:highlight w:val="none"/>
        </w:rPr>
      </w:pPr>
      <w:r>
        <w:rPr>
          <w:color w:val="auto"/>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8B59FD8">
      <w:pPr>
        <w:pStyle w:val="25"/>
        <w:widowControl/>
        <w:spacing w:before="255" w:beforeAutospacing="0" w:after="255" w:afterAutospacing="0" w:line="480" w:lineRule="atLeast"/>
        <w:rPr>
          <w:rFonts w:ascii="黑体" w:hAnsi="宋体" w:eastAsia="黑体" w:cs="黑体"/>
          <w:color w:val="auto"/>
          <w:sz w:val="31"/>
          <w:szCs w:val="31"/>
          <w:highlight w:val="none"/>
        </w:rPr>
      </w:pPr>
      <w:r>
        <w:rPr>
          <w:rStyle w:val="32"/>
          <w:rFonts w:ascii="黑体" w:hAnsi="宋体" w:eastAsia="黑体" w:cs="黑体"/>
          <w:color w:val="auto"/>
          <w:sz w:val="27"/>
          <w:szCs w:val="27"/>
          <w:highlight w:val="none"/>
        </w:rPr>
        <w:t>七、对本次采购提出询问，请按以下方式联系</w:t>
      </w:r>
    </w:p>
    <w:p w14:paraId="365402C6">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1.采购人信息</w:t>
      </w:r>
    </w:p>
    <w:p w14:paraId="22CBDC2A">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名 称：</w:t>
      </w:r>
      <w:r>
        <w:rPr>
          <w:rStyle w:val="35"/>
          <w:rFonts w:hint="eastAsia" w:ascii="仿宋" w:hAnsi="仿宋" w:eastAsia="仿宋" w:cs="仿宋"/>
          <w:color w:val="auto"/>
          <w:sz w:val="27"/>
          <w:szCs w:val="27"/>
          <w:highlight w:val="none"/>
        </w:rPr>
        <w:t>新疆维吾尔自治区某单位</w:t>
      </w:r>
    </w:p>
    <w:p w14:paraId="1AC6826D">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地 址：新疆乌鲁木齐市</w:t>
      </w:r>
    </w:p>
    <w:p w14:paraId="0A87D558">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联系方式：0991-5537188</w:t>
      </w:r>
    </w:p>
    <w:p w14:paraId="11175526">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2.采购代理机构信息</w:t>
      </w:r>
    </w:p>
    <w:p w14:paraId="2EFD1995">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名 称：新疆盛世乾元工程项目管理咨询有限公司</w:t>
      </w:r>
    </w:p>
    <w:p w14:paraId="6D005337">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地 址：新疆乌鲁木齐市水磨沟区南湖北路1956号亚欧财富广场A座1603室</w:t>
      </w:r>
    </w:p>
    <w:p w14:paraId="6A922135">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联系方式：蔡海涛、任广文、董乐 0991-4659594</w:t>
      </w:r>
    </w:p>
    <w:p w14:paraId="5A8201A0">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3.项目联系方式</w:t>
      </w:r>
    </w:p>
    <w:p w14:paraId="423764B4">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项目联系人：</w:t>
      </w:r>
      <w:r>
        <w:rPr>
          <w:rStyle w:val="35"/>
          <w:rFonts w:hint="eastAsia" w:ascii="仿宋" w:hAnsi="仿宋" w:eastAsia="仿宋" w:cs="仿宋"/>
          <w:color w:val="auto"/>
          <w:sz w:val="27"/>
          <w:szCs w:val="27"/>
          <w:highlight w:val="none"/>
        </w:rPr>
        <w:t xml:space="preserve">蔡海涛、任广文、董乐 </w:t>
      </w:r>
    </w:p>
    <w:p w14:paraId="2A00965F">
      <w:pPr>
        <w:pStyle w:val="25"/>
        <w:widowControl/>
        <w:spacing w:before="75" w:beforeAutospacing="0" w:after="75" w:afterAutospacing="0"/>
        <w:ind w:firstLine="420"/>
        <w:rPr>
          <w:rFonts w:ascii="仿宋" w:hAnsi="仿宋" w:eastAsia="仿宋" w:cs="仿宋"/>
          <w:color w:val="auto"/>
          <w:highlight w:val="none"/>
        </w:rPr>
      </w:pPr>
      <w:r>
        <w:rPr>
          <w:rFonts w:hint="eastAsia" w:ascii="仿宋" w:hAnsi="仿宋" w:eastAsia="仿宋" w:cs="仿宋"/>
          <w:color w:val="auto"/>
          <w:sz w:val="27"/>
          <w:szCs w:val="27"/>
          <w:highlight w:val="none"/>
        </w:rPr>
        <w:t>电 话：</w:t>
      </w:r>
      <w:r>
        <w:rPr>
          <w:rStyle w:val="35"/>
          <w:rFonts w:hint="eastAsia" w:ascii="仿宋" w:hAnsi="仿宋" w:eastAsia="仿宋" w:cs="仿宋"/>
          <w:color w:val="auto"/>
          <w:sz w:val="27"/>
          <w:szCs w:val="27"/>
          <w:highlight w:val="none"/>
        </w:rPr>
        <w:t>0991-4659594、18129205025</w:t>
      </w:r>
    </w:p>
    <w:p w14:paraId="4C2A4B2E">
      <w:pPr>
        <w:pStyle w:val="25"/>
        <w:widowControl/>
        <w:spacing w:before="75" w:beforeAutospacing="0" w:after="75" w:afterAutospacing="0"/>
        <w:rPr>
          <w:color w:val="auto"/>
          <w:highlight w:val="none"/>
        </w:rPr>
      </w:pPr>
    </w:p>
    <w:p w14:paraId="6854C6D5">
      <w:pPr>
        <w:rPr>
          <w:b/>
          <w:bCs/>
          <w:color w:val="auto"/>
          <w:sz w:val="28"/>
          <w:szCs w:val="28"/>
          <w:highlight w:val="none"/>
        </w:rPr>
      </w:pPr>
      <w:r>
        <w:rPr>
          <w:rFonts w:hint="eastAsia"/>
          <w:b/>
          <w:bCs/>
          <w:color w:val="auto"/>
          <w:sz w:val="28"/>
          <w:szCs w:val="28"/>
          <w:highlight w:val="none"/>
        </w:rPr>
        <w:br w:type="page"/>
      </w:r>
    </w:p>
    <w:p w14:paraId="633653FA">
      <w:pPr>
        <w:pStyle w:val="2"/>
        <w:spacing w:line="360" w:lineRule="auto"/>
        <w:ind w:firstLine="0" w:firstLineChars="0"/>
        <w:jc w:val="center"/>
        <w:outlineLvl w:val="0"/>
        <w:rPr>
          <w:b/>
          <w:bCs/>
          <w:color w:val="auto"/>
          <w:sz w:val="28"/>
          <w:szCs w:val="28"/>
          <w:highlight w:val="none"/>
        </w:rPr>
      </w:pPr>
      <w:bookmarkStart w:id="4" w:name="_Toc2841"/>
      <w:r>
        <w:rPr>
          <w:rFonts w:hint="eastAsia"/>
          <w:b/>
          <w:bCs/>
          <w:color w:val="auto"/>
          <w:sz w:val="28"/>
          <w:szCs w:val="28"/>
          <w:highlight w:val="none"/>
        </w:rPr>
        <w:t>第二章  供应商须知前附表</w:t>
      </w:r>
      <w:bookmarkEnd w:id="4"/>
    </w:p>
    <w:tbl>
      <w:tblPr>
        <w:tblStyle w:val="29"/>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8158"/>
      </w:tblGrid>
      <w:tr w14:paraId="6F54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46C0E231">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8158" w:type="dxa"/>
            <w:tcBorders>
              <w:top w:val="single" w:color="auto" w:sz="4" w:space="0"/>
              <w:left w:val="single" w:color="auto" w:sz="4" w:space="0"/>
              <w:bottom w:val="single" w:color="auto" w:sz="4" w:space="0"/>
              <w:right w:val="single" w:color="auto" w:sz="4" w:space="0"/>
            </w:tcBorders>
            <w:vAlign w:val="center"/>
          </w:tcPr>
          <w:p w14:paraId="71EDAF3C">
            <w:pPr>
              <w:spacing w:line="360" w:lineRule="auto"/>
              <w:jc w:val="center"/>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内容</w:t>
            </w:r>
          </w:p>
        </w:tc>
      </w:tr>
      <w:tr w14:paraId="64DE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5ABB16B">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8158" w:type="dxa"/>
            <w:tcBorders>
              <w:top w:val="single" w:color="auto" w:sz="4" w:space="0"/>
              <w:left w:val="single" w:color="auto" w:sz="4" w:space="0"/>
              <w:bottom w:val="single" w:color="auto" w:sz="4" w:space="0"/>
              <w:right w:val="single" w:color="auto" w:sz="4" w:space="0"/>
            </w:tcBorders>
            <w:vAlign w:val="center"/>
          </w:tcPr>
          <w:p w14:paraId="1912A1DD">
            <w:pPr>
              <w:spacing w:line="360" w:lineRule="auto"/>
              <w:rPr>
                <w:rFonts w:asciiTheme="minorEastAsia" w:hAnsiTheme="minorEastAsia" w:eastAsiaTheme="minorEastAsia" w:cstheme="minorEastAsia"/>
                <w:color w:val="auto"/>
                <w:sz w:val="24"/>
                <w:highlight w:val="none"/>
              </w:rPr>
            </w:pPr>
            <w:bookmarkStart w:id="5" w:name="OLE_LINK2"/>
            <w:r>
              <w:rPr>
                <w:rFonts w:hint="eastAsia" w:asciiTheme="minorEastAsia" w:hAnsiTheme="minorEastAsia" w:eastAsiaTheme="minorEastAsia" w:cstheme="minorEastAsia"/>
                <w:color w:val="auto"/>
                <w:sz w:val="24"/>
                <w:highlight w:val="none"/>
              </w:rPr>
              <w:t>项目名称：</w:t>
            </w:r>
            <w:bookmarkEnd w:id="5"/>
            <w:r>
              <w:rPr>
                <w:rFonts w:hint="eastAsia" w:asciiTheme="minorEastAsia" w:hAnsiTheme="minorEastAsia" w:eastAsiaTheme="minorEastAsia" w:cstheme="minorEastAsia"/>
                <w:color w:val="auto"/>
                <w:sz w:val="24"/>
                <w:highlight w:val="none"/>
              </w:rPr>
              <w:t>新疆维吾尔自治区某单位大宗物资采购项目（蔬菜、水果及干果类）</w:t>
            </w:r>
          </w:p>
          <w:p w14:paraId="514F30E0">
            <w:pPr>
              <w:spacing w:line="360" w:lineRule="auto"/>
              <w:rPr>
                <w:color w:val="auto"/>
                <w:highlight w:val="none"/>
              </w:rPr>
            </w:pPr>
            <w:r>
              <w:rPr>
                <w:rFonts w:hint="eastAsia" w:asciiTheme="minorEastAsia" w:hAnsiTheme="minorEastAsia" w:eastAsiaTheme="minorEastAsia" w:cstheme="minorEastAsia"/>
                <w:color w:val="auto"/>
                <w:sz w:val="24"/>
                <w:highlight w:val="none"/>
              </w:rPr>
              <w:t>项目编号：SSQYZB-CG2026058</w:t>
            </w:r>
          </w:p>
        </w:tc>
      </w:tr>
      <w:tr w14:paraId="0F0C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35E91F4">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8158" w:type="dxa"/>
            <w:tcBorders>
              <w:top w:val="single" w:color="auto" w:sz="4" w:space="0"/>
              <w:left w:val="single" w:color="auto" w:sz="4" w:space="0"/>
              <w:bottom w:val="single" w:color="auto" w:sz="4" w:space="0"/>
              <w:right w:val="single" w:color="auto" w:sz="4" w:space="0"/>
            </w:tcBorders>
            <w:vAlign w:val="center"/>
          </w:tcPr>
          <w:p w14:paraId="5E19AE8F">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采购单位：新疆维吾尔自治区某单位</w:t>
            </w:r>
          </w:p>
          <w:p w14:paraId="663BBC6D">
            <w:pPr>
              <w:spacing w:line="360" w:lineRule="auto"/>
              <w:rPr>
                <w:color w:val="auto"/>
                <w:sz w:val="24"/>
                <w:highlight w:val="none"/>
              </w:rPr>
            </w:pPr>
            <w:r>
              <w:rPr>
                <w:rFonts w:hint="eastAsia"/>
                <w:color w:val="auto"/>
                <w:sz w:val="24"/>
                <w:highlight w:val="none"/>
              </w:rPr>
              <w:t>联系人：陆先生</w:t>
            </w:r>
          </w:p>
          <w:p w14:paraId="07FE909B">
            <w:pPr>
              <w:spacing w:line="360" w:lineRule="auto"/>
              <w:rPr>
                <w:rFonts w:asciiTheme="minorEastAsia" w:hAnsiTheme="minorEastAsia" w:eastAsiaTheme="minorEastAsia" w:cstheme="minorEastAsia"/>
                <w:color w:val="auto"/>
                <w:sz w:val="24"/>
                <w:highlight w:val="none"/>
              </w:rPr>
            </w:pPr>
            <w:r>
              <w:rPr>
                <w:rFonts w:hint="eastAsia"/>
                <w:color w:val="auto"/>
                <w:sz w:val="24"/>
                <w:highlight w:val="none"/>
              </w:rPr>
              <w:t>联系电话：0991-5537188</w:t>
            </w:r>
          </w:p>
        </w:tc>
      </w:tr>
      <w:tr w14:paraId="25E1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6A988622">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8158" w:type="dxa"/>
            <w:tcBorders>
              <w:top w:val="single" w:color="auto" w:sz="4" w:space="0"/>
              <w:left w:val="single" w:color="auto" w:sz="4" w:space="0"/>
              <w:bottom w:val="single" w:color="auto" w:sz="4" w:space="0"/>
              <w:right w:val="single" w:color="auto" w:sz="4" w:space="0"/>
            </w:tcBorders>
            <w:vAlign w:val="center"/>
          </w:tcPr>
          <w:p w14:paraId="14CAA906">
            <w:pPr>
              <w:spacing w:line="360" w:lineRule="auto"/>
              <w:ind w:left="1680" w:hanging="1680" w:hangingChars="700"/>
              <w:rPr>
                <w:color w:val="auto"/>
                <w:sz w:val="24"/>
                <w:highlight w:val="none"/>
              </w:rPr>
            </w:pPr>
            <w:r>
              <w:rPr>
                <w:rFonts w:hint="eastAsia"/>
                <w:color w:val="auto"/>
                <w:sz w:val="24"/>
                <w:highlight w:val="none"/>
              </w:rPr>
              <w:t>采购代理机构：新疆盛世乾元工程项目管理咨询有限公司</w:t>
            </w:r>
          </w:p>
          <w:p w14:paraId="55BE494D">
            <w:pPr>
              <w:pStyle w:val="2"/>
              <w:spacing w:line="360" w:lineRule="auto"/>
              <w:ind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联系人：蔡海涛、任广文、董乐</w:t>
            </w:r>
          </w:p>
          <w:p w14:paraId="0D31D134">
            <w:pPr>
              <w:pStyle w:val="2"/>
              <w:spacing w:line="360" w:lineRule="auto"/>
              <w:ind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联系电话：0991-4659594、18129205025</w:t>
            </w:r>
          </w:p>
        </w:tc>
      </w:tr>
      <w:tr w14:paraId="1CB1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86412BB">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w:t>
            </w:r>
          </w:p>
        </w:tc>
        <w:tc>
          <w:tcPr>
            <w:tcW w:w="8158" w:type="dxa"/>
            <w:tcBorders>
              <w:top w:val="single" w:color="auto" w:sz="4" w:space="0"/>
              <w:left w:val="single" w:color="auto" w:sz="4" w:space="0"/>
              <w:bottom w:val="single" w:color="auto" w:sz="4" w:space="0"/>
              <w:right w:val="single" w:color="auto" w:sz="4" w:space="0"/>
            </w:tcBorders>
            <w:vAlign w:val="center"/>
          </w:tcPr>
          <w:p w14:paraId="464AFA65">
            <w:pPr>
              <w:spacing w:line="360" w:lineRule="auto"/>
              <w:rPr>
                <w:color w:val="auto"/>
                <w:highlight w:val="none"/>
              </w:rPr>
            </w:pPr>
            <w:r>
              <w:rPr>
                <w:rFonts w:hint="eastAsia" w:asciiTheme="minorEastAsia" w:hAnsiTheme="minorEastAsia" w:eastAsiaTheme="minorEastAsia" w:cstheme="minorEastAsia"/>
                <w:color w:val="auto"/>
                <w:sz w:val="24"/>
                <w:highlight w:val="none"/>
              </w:rPr>
              <w:t>采购内容：大宗物资采购，包含各类蔬菜及冬菜品种、水果、干果类（包含各类水果及干果品种）。（具体详见采购文件采购需求）</w:t>
            </w:r>
          </w:p>
        </w:tc>
      </w:tr>
      <w:tr w14:paraId="30E2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086E369">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w:t>
            </w:r>
          </w:p>
        </w:tc>
        <w:tc>
          <w:tcPr>
            <w:tcW w:w="8158" w:type="dxa"/>
            <w:tcBorders>
              <w:top w:val="single" w:color="auto" w:sz="4" w:space="0"/>
              <w:left w:val="single" w:color="auto" w:sz="4" w:space="0"/>
              <w:bottom w:val="single" w:color="auto" w:sz="4" w:space="0"/>
              <w:right w:val="single" w:color="auto" w:sz="4" w:space="0"/>
            </w:tcBorders>
            <w:vAlign w:val="center"/>
          </w:tcPr>
          <w:p w14:paraId="0FD365C8">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交货地点：采购人指定地点</w:t>
            </w:r>
          </w:p>
        </w:tc>
      </w:tr>
      <w:tr w14:paraId="2D32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166EBFD">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w:t>
            </w:r>
          </w:p>
        </w:tc>
        <w:tc>
          <w:tcPr>
            <w:tcW w:w="8158" w:type="dxa"/>
            <w:tcBorders>
              <w:top w:val="single" w:color="auto" w:sz="4" w:space="0"/>
              <w:left w:val="single" w:color="auto" w:sz="4" w:space="0"/>
              <w:bottom w:val="single" w:color="auto" w:sz="4" w:space="0"/>
              <w:right w:val="single" w:color="auto" w:sz="4" w:space="0"/>
            </w:tcBorders>
            <w:vAlign w:val="center"/>
          </w:tcPr>
          <w:p w14:paraId="32CE9EA3">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供货期：自合同生效之日起一年；</w:t>
            </w:r>
          </w:p>
          <w:p w14:paraId="312F20E0">
            <w:pPr>
              <w:pStyle w:val="2"/>
              <w:ind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质量标准：合格，通过采购人及有关部门组织项目验收</w:t>
            </w:r>
          </w:p>
        </w:tc>
      </w:tr>
      <w:tr w14:paraId="7FFD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277E0CA">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w:t>
            </w:r>
          </w:p>
        </w:tc>
        <w:tc>
          <w:tcPr>
            <w:tcW w:w="8158" w:type="dxa"/>
            <w:tcBorders>
              <w:top w:val="single" w:color="auto" w:sz="4" w:space="0"/>
              <w:left w:val="single" w:color="auto" w:sz="4" w:space="0"/>
              <w:bottom w:val="single" w:color="auto" w:sz="4" w:space="0"/>
              <w:right w:val="single" w:color="auto" w:sz="4" w:space="0"/>
            </w:tcBorders>
            <w:vAlign w:val="center"/>
          </w:tcPr>
          <w:p w14:paraId="164FF760">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付款方式：甲乙双方签订合同之后，实行按月滚动结款。乙方需在每月25日前提交经甲方验收合格的供货明细、对账单及等额有效增值税普通发票，甲方审核无误后，在次月15日前完成本月货款的结算。中标供应商根据采购人签字确认的相关单据完成结算，并且按照税务部门的相关要求向采购人提供正式发票和中标供应商收款账户信息后，采购人再行通过转账付清款项；</w:t>
            </w:r>
          </w:p>
          <w:p w14:paraId="7106791D">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履约保证金：</w:t>
            </w:r>
          </w:p>
          <w:p w14:paraId="35D174DB">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1、履约保证金递交：中标供应商需在中标公示期结束后三个工作日内向采购单位缴纳，履约保证金的数额不超过合同金额的10%。 </w:t>
            </w:r>
          </w:p>
          <w:p w14:paraId="668C9682">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2、履约保证金形式：甲方指定账户。</w:t>
            </w:r>
          </w:p>
          <w:p w14:paraId="380E8E24">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3、中标候选人未按采购文件规定缴纳履约保证金的，采购人将取消其中标资格，且投标保证金将不予退还。</w:t>
            </w:r>
          </w:p>
          <w:p w14:paraId="1084CEB5">
            <w:pPr>
              <w:pStyle w:val="36"/>
              <w:ind w:left="0" w:leftChars="0" w:firstLine="0" w:firstLineChars="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4、履约期满后无息返还。</w:t>
            </w:r>
          </w:p>
          <w:p w14:paraId="684643D0">
            <w:pPr>
              <w:pStyle w:val="36"/>
              <w:ind w:left="0" w:leftChars="0" w:firstLine="0" w:firstLineChars="0"/>
              <w:rPr>
                <w:rFonts w:ascii="宋体" w:hAnsi="宋体" w:cs="宋体"/>
                <w:color w:val="auto"/>
                <w:sz w:val="24"/>
                <w:highlight w:val="none"/>
              </w:rPr>
            </w:pPr>
            <w:r>
              <w:rPr>
                <w:rFonts w:hint="eastAsia" w:asciiTheme="minorEastAsia" w:hAnsiTheme="minorEastAsia" w:eastAsiaTheme="minorEastAsia" w:cstheme="minorEastAsia"/>
                <w:b/>
                <w:bCs/>
                <w:color w:val="auto"/>
                <w:sz w:val="24"/>
                <w:highlight w:val="none"/>
              </w:rPr>
              <w:t>注：本项目不允许转包。</w:t>
            </w:r>
          </w:p>
        </w:tc>
      </w:tr>
      <w:tr w14:paraId="32F4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12DFC8E">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w:t>
            </w:r>
          </w:p>
        </w:tc>
        <w:tc>
          <w:tcPr>
            <w:tcW w:w="8158" w:type="dxa"/>
            <w:tcBorders>
              <w:top w:val="single" w:color="auto" w:sz="4" w:space="0"/>
              <w:left w:val="single" w:color="auto" w:sz="4" w:space="0"/>
              <w:bottom w:val="single" w:color="auto" w:sz="4" w:space="0"/>
              <w:right w:val="single" w:color="auto" w:sz="4" w:space="0"/>
            </w:tcBorders>
            <w:vAlign w:val="center"/>
          </w:tcPr>
          <w:p w14:paraId="2D94DE4B">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采购方式：公开招标</w:t>
            </w:r>
          </w:p>
        </w:tc>
      </w:tr>
      <w:tr w14:paraId="5B4D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ADB719B">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w:t>
            </w:r>
          </w:p>
        </w:tc>
        <w:tc>
          <w:tcPr>
            <w:tcW w:w="8158" w:type="dxa"/>
            <w:tcBorders>
              <w:top w:val="single" w:color="auto" w:sz="4" w:space="0"/>
              <w:left w:val="single" w:color="auto" w:sz="4" w:space="0"/>
              <w:bottom w:val="single" w:color="auto" w:sz="4" w:space="0"/>
              <w:right w:val="single" w:color="auto" w:sz="4" w:space="0"/>
            </w:tcBorders>
            <w:vAlign w:val="center"/>
          </w:tcPr>
          <w:p w14:paraId="4123C6F4">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审查方式：资格后审</w:t>
            </w:r>
          </w:p>
        </w:tc>
      </w:tr>
      <w:tr w14:paraId="2D3B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B78895C">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w:t>
            </w:r>
          </w:p>
        </w:tc>
        <w:tc>
          <w:tcPr>
            <w:tcW w:w="8158" w:type="dxa"/>
            <w:tcBorders>
              <w:top w:val="single" w:color="auto" w:sz="4" w:space="0"/>
              <w:left w:val="single" w:color="auto" w:sz="4" w:space="0"/>
              <w:bottom w:val="single" w:color="auto" w:sz="4" w:space="0"/>
              <w:right w:val="single" w:color="auto" w:sz="4" w:space="0"/>
            </w:tcBorders>
            <w:vAlign w:val="center"/>
          </w:tcPr>
          <w:p w14:paraId="1F475DE6">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评标办法：</w:t>
            </w:r>
          </w:p>
          <w:p w14:paraId="78450352">
            <w:pPr>
              <w:spacing w:line="360" w:lineRule="auto"/>
              <w:rPr>
                <w:rFonts w:asciiTheme="minorEastAsia" w:hAnsiTheme="minorEastAsia" w:eastAsiaTheme="minorEastAsia" w:cstheme="minorEastAsia"/>
                <w:color w:val="auto"/>
                <w:sz w:val="24"/>
                <w:highlight w:val="none"/>
              </w:rPr>
            </w:pPr>
            <w:r>
              <w:rPr>
                <w:rFonts w:hint="eastAsia" w:ascii="Segoe UI Emoji" w:hAnsi="Segoe UI Emoji" w:cs="Segoe UI Emoji" w:eastAsiaTheme="minorEastAsia"/>
                <w:color w:val="auto"/>
                <w:sz w:val="24"/>
                <w:highlight w:val="none"/>
              </w:rPr>
              <w:t>☑</w:t>
            </w:r>
            <w:r>
              <w:rPr>
                <w:rFonts w:hint="eastAsia" w:asciiTheme="minorEastAsia" w:hAnsiTheme="minorEastAsia" w:eastAsiaTheme="minorEastAsia" w:cstheme="minorEastAsia"/>
                <w:color w:val="auto"/>
                <w:sz w:val="24"/>
                <w:highlight w:val="none"/>
              </w:rPr>
              <w:t>资格后审□资格预审</w:t>
            </w:r>
          </w:p>
          <w:p w14:paraId="06450E07">
            <w:pPr>
              <w:spacing w:line="360" w:lineRule="auto"/>
              <w:rPr>
                <w:rFonts w:asciiTheme="minorEastAsia" w:hAnsiTheme="minorEastAsia" w:eastAsiaTheme="minorEastAsia" w:cstheme="minorEastAsia"/>
                <w:color w:val="auto"/>
                <w:sz w:val="24"/>
                <w:highlight w:val="none"/>
              </w:rPr>
            </w:pPr>
            <w:r>
              <w:rPr>
                <w:rFonts w:hint="eastAsia" w:ascii="Segoe UI Emoji" w:hAnsi="Segoe UI Emoji" w:cs="Segoe UI Emoji" w:eastAsiaTheme="minorEastAsia"/>
                <w:color w:val="auto"/>
                <w:sz w:val="24"/>
                <w:highlight w:val="none"/>
              </w:rPr>
              <w:t>☑</w:t>
            </w:r>
            <w:r>
              <w:rPr>
                <w:rFonts w:hint="eastAsia" w:asciiTheme="minorEastAsia" w:hAnsiTheme="minorEastAsia" w:eastAsiaTheme="minorEastAsia" w:cstheme="minorEastAsia"/>
                <w:color w:val="auto"/>
                <w:sz w:val="24"/>
                <w:highlight w:val="none"/>
              </w:rPr>
              <w:t>综合评分法□最低评标价法</w:t>
            </w:r>
          </w:p>
          <w:p w14:paraId="403E43B4">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w:t>
            </w:r>
          </w:p>
          <w:p w14:paraId="379110C1">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最低评标价法，是指以价格为主要因素确定中标供应商的评标方法，即在全部满足采购文件实质性要求前提下，依据统一的价格要素评定最低报价，以提出最低报价的供应商作为中标候选供应商或者中标供应商的评标方法。投标报价相同的，按技术指标优劣顺序排列，技术指标较优的一方为中标人。</w:t>
            </w:r>
          </w:p>
          <w:p w14:paraId="57708682">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综合评分法是指在最大限度地满足采购文件实质性要求前提下，按照采购文件中规定的评分细则评审后，以评标最终最高得分的供应商作为中标人的评标方法。每一供应商的最终得分为所有评委评分的算术平均值。得分相同的，报价较低的一方为中标人。得分且投标报价相同的，技术指标较优的一方为中标人。</w:t>
            </w:r>
          </w:p>
        </w:tc>
      </w:tr>
      <w:tr w14:paraId="4C6C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7A39AB1">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w:t>
            </w:r>
          </w:p>
        </w:tc>
        <w:tc>
          <w:tcPr>
            <w:tcW w:w="8158" w:type="dxa"/>
            <w:tcBorders>
              <w:top w:val="single" w:color="auto" w:sz="4" w:space="0"/>
              <w:left w:val="single" w:color="auto" w:sz="4" w:space="0"/>
              <w:bottom w:val="single" w:color="auto" w:sz="4" w:space="0"/>
              <w:right w:val="single" w:color="auto" w:sz="4" w:space="0"/>
            </w:tcBorders>
            <w:vAlign w:val="center"/>
          </w:tcPr>
          <w:p w14:paraId="40104630">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供应商资格要求：</w:t>
            </w:r>
          </w:p>
          <w:p w14:paraId="700D76AD">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1.满足《中华人民共和国政府采购法》第二十二条规定；</w:t>
            </w:r>
          </w:p>
          <w:p w14:paraId="3A1E8716">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2.落实政府采购政策需满足的资格要求：本项目专门面向中小企业采购。</w:t>
            </w:r>
          </w:p>
          <w:p w14:paraId="3C2F1AA5">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3.本项目的特定资格要求：无</w:t>
            </w:r>
          </w:p>
        </w:tc>
      </w:tr>
      <w:tr w14:paraId="67F2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92A3B36">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w:t>
            </w:r>
          </w:p>
        </w:tc>
        <w:tc>
          <w:tcPr>
            <w:tcW w:w="8158" w:type="dxa"/>
            <w:tcBorders>
              <w:top w:val="single" w:color="auto" w:sz="4" w:space="0"/>
              <w:left w:val="single" w:color="auto" w:sz="4" w:space="0"/>
              <w:bottom w:val="single" w:color="auto" w:sz="4" w:space="0"/>
              <w:right w:val="single" w:color="auto" w:sz="4" w:space="0"/>
            </w:tcBorders>
            <w:vAlign w:val="center"/>
          </w:tcPr>
          <w:p w14:paraId="782E3E91">
            <w:pPr>
              <w:spacing w:line="360" w:lineRule="auto"/>
              <w:rPr>
                <w:color w:val="auto"/>
                <w:sz w:val="24"/>
                <w:highlight w:val="none"/>
              </w:rPr>
            </w:pPr>
            <w:r>
              <w:rPr>
                <w:rFonts w:hint="eastAsia"/>
                <w:color w:val="auto"/>
                <w:sz w:val="24"/>
                <w:highlight w:val="none"/>
              </w:rPr>
              <w:t>投标保证金：</w:t>
            </w:r>
          </w:p>
          <w:p w14:paraId="485D08FB">
            <w:pPr>
              <w:spacing w:line="360" w:lineRule="auto"/>
              <w:rPr>
                <w:rFonts w:ascii="宋体" w:hAnsi="宋体" w:cs="宋体"/>
                <w:color w:val="auto"/>
                <w:sz w:val="24"/>
                <w:highlight w:val="none"/>
              </w:rPr>
            </w:pPr>
            <w:r>
              <w:rPr>
                <w:rFonts w:hint="eastAsia" w:ascii="宋体" w:hAnsi="宋体" w:cs="宋体"/>
                <w:color w:val="auto"/>
                <w:sz w:val="24"/>
                <w:highlight w:val="none"/>
              </w:rPr>
              <w:t>金额：35000元（叁万伍仟元整）</w:t>
            </w:r>
          </w:p>
          <w:p w14:paraId="7768D617">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1.账户名：新疆盛世乾元工程项目管理咨询有限公司</w:t>
            </w:r>
          </w:p>
          <w:p w14:paraId="565C91FD">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2.开户银行：中国农业银行股份有限公司乌鲁木齐南湖路（兵团）支行</w:t>
            </w:r>
          </w:p>
          <w:p w14:paraId="46530E11">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3.账号：30704501040008571</w:t>
            </w:r>
          </w:p>
          <w:p w14:paraId="7024E269">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4.行号：103881070457</w:t>
            </w:r>
          </w:p>
          <w:p w14:paraId="0FFD04E9">
            <w:pPr>
              <w:pStyle w:val="2"/>
              <w:spacing w:line="360" w:lineRule="auto"/>
              <w:ind w:firstLine="0" w:firstLineChars="0"/>
              <w:rPr>
                <w:color w:val="auto"/>
                <w:sz w:val="24"/>
                <w:highlight w:val="none"/>
              </w:rPr>
            </w:pPr>
            <w:r>
              <w:rPr>
                <w:rFonts w:hint="eastAsia" w:ascii="宋体" w:hAnsi="宋体" w:cs="宋体"/>
                <w:color w:val="auto"/>
                <w:sz w:val="24"/>
                <w:highlight w:val="none"/>
              </w:rPr>
              <w:t>请于投标截止时间前将投标保证金以支票、汇票、本票、转账、电汇或者金融机构、担保机构出具的保函等非现金形式提交；</w:t>
            </w:r>
            <w:r>
              <w:rPr>
                <w:rFonts w:hint="eastAsia" w:ascii="宋体" w:hAnsi="宋体" w:cs="宋体"/>
                <w:color w:val="auto"/>
                <w:sz w:val="24"/>
                <w:highlight w:val="none"/>
              </w:rPr>
              <w:br w:type="textWrapping"/>
            </w:r>
            <w:r>
              <w:rPr>
                <w:rFonts w:hint="eastAsia" w:ascii="宋体" w:hAnsi="宋体" w:cs="宋体"/>
                <w:b/>
                <w:bCs/>
                <w:color w:val="auto"/>
                <w:sz w:val="24"/>
                <w:highlight w:val="none"/>
              </w:rPr>
              <w:t>备注：需备注项目名称简称或项目编号，如未注明，造成保证金无法查明的，责任由供应商自行承担。</w:t>
            </w:r>
          </w:p>
        </w:tc>
      </w:tr>
      <w:tr w14:paraId="7A7D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1E6462A">
            <w:pPr>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w:t>
            </w:r>
          </w:p>
        </w:tc>
        <w:tc>
          <w:tcPr>
            <w:tcW w:w="8158" w:type="dxa"/>
            <w:tcBorders>
              <w:top w:val="single" w:color="auto" w:sz="4" w:space="0"/>
              <w:left w:val="single" w:color="auto" w:sz="4" w:space="0"/>
              <w:bottom w:val="single" w:color="auto" w:sz="4" w:space="0"/>
              <w:right w:val="single" w:color="auto" w:sz="4" w:space="0"/>
            </w:tcBorders>
            <w:vAlign w:val="center"/>
          </w:tcPr>
          <w:p w14:paraId="22D927F6">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答疑澄清：于投标截止时间至少15日前接受供应商疑问或澄清要求（逾期不予受理）。</w:t>
            </w:r>
          </w:p>
          <w:p w14:paraId="55385342">
            <w:pPr>
              <w:spacing w:line="360" w:lineRule="auto"/>
              <w:rPr>
                <w:rFonts w:ascii="宋体" w:hAnsi="宋体"/>
                <w:bCs/>
                <w:snapToGrid w:val="0"/>
                <w:color w:val="auto"/>
                <w:kern w:val="0"/>
                <w:sz w:val="24"/>
                <w:highlight w:val="none"/>
              </w:rPr>
            </w:pPr>
            <w:r>
              <w:rPr>
                <w:rFonts w:hint="eastAsia" w:ascii="宋体" w:hAnsi="宋体"/>
                <w:bCs/>
                <w:snapToGrid w:val="0"/>
                <w:color w:val="auto"/>
                <w:kern w:val="0"/>
                <w:sz w:val="24"/>
                <w:highlight w:val="none"/>
              </w:rPr>
              <w:t>提交方式：提交纸质材料以及营业执照复印件和授权委托书并加盖供应商公章,或直接在新疆政府采购网上提问。</w:t>
            </w:r>
          </w:p>
          <w:p w14:paraId="68CC98E6">
            <w:pPr>
              <w:spacing w:line="360" w:lineRule="auto"/>
              <w:rPr>
                <w:rFonts w:asciiTheme="minorEastAsia" w:hAnsiTheme="minorEastAsia" w:eastAsiaTheme="minorEastAsia" w:cstheme="minorEastAsia"/>
                <w:color w:val="auto"/>
                <w:sz w:val="24"/>
                <w:highlight w:val="none"/>
              </w:rPr>
            </w:pPr>
            <w:r>
              <w:rPr>
                <w:rFonts w:hint="eastAsia" w:ascii="宋体" w:hAnsi="宋体"/>
                <w:bCs/>
                <w:snapToGrid w:val="0"/>
                <w:color w:val="auto"/>
                <w:kern w:val="0"/>
                <w:sz w:val="24"/>
                <w:highlight w:val="none"/>
              </w:rPr>
              <w:t>注：如有最新的答疑采购文件，供应商必须下载并使用该文件制作电子响应文件，否则将无法完成上传、参与投标。</w:t>
            </w:r>
          </w:p>
        </w:tc>
      </w:tr>
      <w:tr w14:paraId="48A3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C9B5BC2">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w:t>
            </w:r>
          </w:p>
        </w:tc>
        <w:tc>
          <w:tcPr>
            <w:tcW w:w="8158" w:type="dxa"/>
            <w:tcBorders>
              <w:top w:val="single" w:color="auto" w:sz="4" w:space="0"/>
              <w:left w:val="single" w:color="auto" w:sz="4" w:space="0"/>
              <w:bottom w:val="single" w:color="auto" w:sz="4" w:space="0"/>
              <w:right w:val="single" w:color="auto" w:sz="4" w:space="0"/>
            </w:tcBorders>
            <w:vAlign w:val="center"/>
          </w:tcPr>
          <w:p w14:paraId="4739CA1F">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投标有效期：</w:t>
            </w:r>
            <w:r>
              <w:rPr>
                <w:rFonts w:hint="eastAsia" w:ascii="宋体" w:hAnsi="宋体" w:cs="宋体" w:eastAsiaTheme="minorEastAsia"/>
                <w:color w:val="auto"/>
                <w:sz w:val="24"/>
                <w:highlight w:val="none"/>
              </w:rPr>
              <w:t>投标截止时间后90个日历日。</w:t>
            </w:r>
          </w:p>
        </w:tc>
      </w:tr>
      <w:tr w14:paraId="782F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F9D7B77">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w:t>
            </w:r>
          </w:p>
        </w:tc>
        <w:tc>
          <w:tcPr>
            <w:tcW w:w="8158" w:type="dxa"/>
            <w:tcBorders>
              <w:top w:val="single" w:color="auto" w:sz="4" w:space="0"/>
              <w:left w:val="single" w:color="auto" w:sz="4" w:space="0"/>
              <w:bottom w:val="single" w:color="auto" w:sz="4" w:space="0"/>
              <w:right w:val="single" w:color="auto" w:sz="4" w:space="0"/>
            </w:tcBorders>
            <w:vAlign w:val="center"/>
          </w:tcPr>
          <w:p w14:paraId="60E64E36">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投标截止时间：2026年06月17日11时00分（北京时间）</w:t>
            </w:r>
          </w:p>
          <w:p w14:paraId="41FF43B8">
            <w:pPr>
              <w:pStyle w:val="39"/>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响应文件递交至：</w:t>
            </w:r>
            <w:r>
              <w:rPr>
                <w:rFonts w:hint="eastAsia" w:asciiTheme="minorEastAsia" w:hAnsiTheme="minorEastAsia" w:eastAsiaTheme="minorEastAsia" w:cstheme="minorEastAsia"/>
                <w:b/>
                <w:bCs/>
                <w:color w:val="auto"/>
                <w:highlight w:val="none"/>
                <w:u w:val="single"/>
              </w:rPr>
              <w:t>新疆政府采购网-政采云平台（https://www.zcygov.cn）</w:t>
            </w:r>
          </w:p>
        </w:tc>
      </w:tr>
      <w:tr w14:paraId="78D9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D31FD71">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w:t>
            </w:r>
          </w:p>
        </w:tc>
        <w:tc>
          <w:tcPr>
            <w:tcW w:w="8158" w:type="dxa"/>
            <w:tcBorders>
              <w:top w:val="single" w:color="auto" w:sz="4" w:space="0"/>
              <w:left w:val="single" w:color="auto" w:sz="4" w:space="0"/>
              <w:bottom w:val="single" w:color="auto" w:sz="4" w:space="0"/>
              <w:right w:val="single" w:color="auto" w:sz="4" w:space="0"/>
            </w:tcBorders>
            <w:vAlign w:val="center"/>
          </w:tcPr>
          <w:p w14:paraId="7740B167">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开标时间：2026年06月17日11时00分（北京时间）</w:t>
            </w:r>
          </w:p>
          <w:p w14:paraId="39A3029A">
            <w:pPr>
              <w:pStyle w:val="39"/>
              <w:spacing w:line="360" w:lineRule="auto"/>
              <w:rPr>
                <w:rFonts w:asciiTheme="minorEastAsia" w:hAnsiTheme="minorEastAsia" w:eastAsiaTheme="minorEastAsia" w:cstheme="minorEastAsia"/>
                <w:b/>
                <w:bCs/>
                <w:color w:val="auto"/>
                <w:highlight w:val="none"/>
                <w:u w:val="single"/>
              </w:rPr>
            </w:pPr>
            <w:r>
              <w:rPr>
                <w:rFonts w:hint="eastAsia" w:asciiTheme="minorEastAsia" w:hAnsiTheme="minorEastAsia" w:eastAsiaTheme="minorEastAsia" w:cstheme="minorEastAsia"/>
                <w:color w:val="auto"/>
                <w:highlight w:val="none"/>
              </w:rPr>
              <w:t>开标地点：</w:t>
            </w:r>
            <w:r>
              <w:rPr>
                <w:rFonts w:hint="eastAsia" w:asciiTheme="minorEastAsia" w:hAnsiTheme="minorEastAsia" w:eastAsiaTheme="minorEastAsia" w:cstheme="minorEastAsia"/>
                <w:b/>
                <w:bCs/>
                <w:color w:val="auto"/>
                <w:highlight w:val="none"/>
                <w:u w:val="single"/>
              </w:rPr>
              <w:t>投标人登录政采云平台https://www.zcygov.cn/，进入“项目采购-开标评标-右边选择对应项目点击“进入项目”进入开标大厅。</w:t>
            </w:r>
          </w:p>
          <w:p w14:paraId="02FF75A2">
            <w:pPr>
              <w:pStyle w:val="39"/>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u w:val="single"/>
              </w:rPr>
              <w:t>本项目为不见面的线上电子评标，电子评标全过程期间，投标供应商必需安排专业人员值守电脑，以便顺利完成整个评标过程。如投标供应商因网络、电脑故障、无人值守等其它任何自身原因造成无法完成招标评标过程，造成不利后果的全部责任完全由投标供应商自己承担。</w:t>
            </w:r>
          </w:p>
        </w:tc>
      </w:tr>
      <w:tr w14:paraId="19B2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479810D">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w:t>
            </w:r>
          </w:p>
        </w:tc>
        <w:tc>
          <w:tcPr>
            <w:tcW w:w="8158" w:type="dxa"/>
            <w:tcBorders>
              <w:top w:val="single" w:color="auto" w:sz="4" w:space="0"/>
              <w:left w:val="single" w:color="auto" w:sz="4" w:space="0"/>
              <w:bottom w:val="single" w:color="auto" w:sz="4" w:space="0"/>
              <w:right w:val="single" w:color="auto" w:sz="4" w:space="0"/>
            </w:tcBorders>
            <w:vAlign w:val="center"/>
          </w:tcPr>
          <w:p w14:paraId="67DFDDDE">
            <w:pPr>
              <w:pStyle w:val="36"/>
              <w:spacing w:after="0" w:line="360" w:lineRule="auto"/>
              <w:ind w:left="0" w:leftChars="0"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响应文件份数：</w:t>
            </w:r>
          </w:p>
          <w:p w14:paraId="74F7B850">
            <w:pPr>
              <w:pStyle w:val="36"/>
              <w:spacing w:after="0" w:line="360" w:lineRule="auto"/>
              <w:ind w:left="0" w:leftChars="0"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1．本项目为电子招投标项目供应商的法人代表人或其委托代理人无需到开标现场递交响应文件。</w:t>
            </w:r>
          </w:p>
          <w:p w14:paraId="6C5D0555">
            <w:pPr>
              <w:pStyle w:val="36"/>
              <w:spacing w:after="0" w:line="360" w:lineRule="auto"/>
              <w:ind w:left="0" w:leftChars="0"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2.供应商应当在投标截止时间前，将生成的“电子加密响应文件”上传递交至“政府采购云平台”，投标截止时间以后上传递交的响应文件将被“政府采购云平台”拒收。一份电子加密标书(“.jmbs”格式)</w:t>
            </w:r>
          </w:p>
          <w:p w14:paraId="54725E05">
            <w:pPr>
              <w:pStyle w:val="36"/>
              <w:spacing w:after="0" w:line="360" w:lineRule="auto"/>
              <w:ind w:left="0" w:leftChars="0"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3.供应商登录政采云平台，在开标时间后30分钟内用“项目采购-开标评标”功能进行解密响应文件。若供应商在规定时间内未按时解密的，视为无效投标。解密与加密响应文件须使用同一个CA。  </w:t>
            </w:r>
          </w:p>
          <w:p w14:paraId="53C8879A">
            <w:pPr>
              <w:pStyle w:val="36"/>
              <w:spacing w:after="0" w:line="360" w:lineRule="auto"/>
              <w:ind w:left="0" w:leftChars="0" w:firstLine="0" w:firstLineChars="0"/>
              <w:textAlignment w:val="auto"/>
              <w:rPr>
                <w:rFonts w:asciiTheme="minorEastAsia" w:hAnsiTheme="minorEastAsia" w:cstheme="minorEastAsia"/>
                <w:color w:val="auto"/>
                <w:sz w:val="24"/>
                <w:highlight w:val="none"/>
              </w:rPr>
            </w:pPr>
            <w:r>
              <w:rPr>
                <w:rFonts w:hint="eastAsia" w:ascii="宋体" w:hAnsi="宋体" w:cs="宋体"/>
                <w:color w:val="auto"/>
                <w:sz w:val="24"/>
                <w:highlight w:val="none"/>
              </w:rPr>
              <w:t>4.不见面开标默认解密时长：30分钟（由于供应商自身原因导致无法按时解密，后果由供应商自行承担）。</w:t>
            </w:r>
          </w:p>
        </w:tc>
      </w:tr>
      <w:tr w14:paraId="24D7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E7E44C6">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w:t>
            </w:r>
          </w:p>
        </w:tc>
        <w:tc>
          <w:tcPr>
            <w:tcW w:w="8158" w:type="dxa"/>
            <w:tcBorders>
              <w:top w:val="single" w:color="auto" w:sz="4" w:space="0"/>
              <w:left w:val="single" w:color="auto" w:sz="4" w:space="0"/>
              <w:bottom w:val="single" w:color="auto" w:sz="4" w:space="0"/>
              <w:right w:val="single" w:color="auto" w:sz="4" w:space="0"/>
            </w:tcBorders>
            <w:vAlign w:val="center"/>
          </w:tcPr>
          <w:p w14:paraId="0F3432FD">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资格审查：</w:t>
            </w:r>
          </w:p>
          <w:p w14:paraId="355943E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采购人代表或采购代理机构依据法律法规和采购文件中规定的内容，对供应商的资格进行审查，供应商应按照第三章供应商须知的二、对供应商的资质要求的第8条、投标资</w:t>
            </w:r>
            <w:r>
              <w:rPr>
                <w:rFonts w:hint="eastAsia" w:asciiTheme="minorEastAsia" w:hAnsiTheme="minorEastAsia" w:eastAsiaTheme="minorEastAsia" w:cstheme="minorEastAsia"/>
                <w:b/>
                <w:color w:val="auto"/>
                <w:sz w:val="24"/>
                <w:highlight w:val="none"/>
              </w:rPr>
              <w:t>质</w:t>
            </w:r>
            <w:r>
              <w:rPr>
                <w:rFonts w:hint="eastAsia" w:ascii="宋体" w:hAnsi="宋体" w:cs="宋体"/>
                <w:b/>
                <w:bCs/>
                <w:color w:val="auto"/>
                <w:sz w:val="24"/>
                <w:highlight w:val="none"/>
              </w:rPr>
              <w:t>要求提交资格证明材料。未通过资格审查的供应商不能进入评标，其投标将被认定为投标无效；通过资格审查的供应商不足3家的，不得评标。</w:t>
            </w:r>
          </w:p>
          <w:p w14:paraId="06FF8E01">
            <w:pPr>
              <w:spacing w:line="360" w:lineRule="auto"/>
              <w:rPr>
                <w:rFonts w:ascii="宋体" w:hAnsi="宋体" w:cs="宋体"/>
                <w:color w:val="auto"/>
                <w:sz w:val="28"/>
                <w:szCs w:val="28"/>
                <w:highlight w:val="none"/>
              </w:rPr>
            </w:pPr>
            <w:r>
              <w:rPr>
                <w:rFonts w:hint="eastAsia" w:ascii="宋体" w:hAnsi="宋体" w:cs="宋体"/>
                <w:b/>
                <w:bCs/>
                <w:color w:val="auto"/>
                <w:sz w:val="24"/>
                <w:highlight w:val="none"/>
              </w:rPr>
              <w:t>备注：以上资质证件为投标时资格审查的必备条件，供应商必须按要求提供，如果提供不全或未提供，则视为对响应文件资格审查内容的不响应，投标将被拒绝（不接受二次提供）。</w:t>
            </w:r>
          </w:p>
        </w:tc>
      </w:tr>
      <w:tr w14:paraId="65BB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781311C">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w:t>
            </w:r>
          </w:p>
        </w:tc>
        <w:tc>
          <w:tcPr>
            <w:tcW w:w="8158" w:type="dxa"/>
            <w:tcBorders>
              <w:top w:val="single" w:color="auto" w:sz="4" w:space="0"/>
              <w:left w:val="single" w:color="auto" w:sz="4" w:space="0"/>
              <w:bottom w:val="single" w:color="auto" w:sz="4" w:space="0"/>
              <w:right w:val="single" w:color="auto" w:sz="4" w:space="0"/>
            </w:tcBorders>
            <w:vAlign w:val="center"/>
          </w:tcPr>
          <w:p w14:paraId="5D097557">
            <w:pPr>
              <w:spacing w:line="360" w:lineRule="auto"/>
              <w:rPr>
                <w:rFonts w:ascii="宋体" w:hAnsi="宋体"/>
                <w:b/>
                <w:bCs/>
                <w:color w:val="auto"/>
                <w:sz w:val="24"/>
                <w:highlight w:val="none"/>
              </w:rPr>
            </w:pPr>
            <w:r>
              <w:rPr>
                <w:rFonts w:hint="eastAsia" w:ascii="宋体" w:hAnsi="宋体"/>
                <w:b/>
                <w:bCs/>
                <w:color w:val="auto"/>
                <w:sz w:val="24"/>
                <w:highlight w:val="none"/>
              </w:rPr>
              <w:t>报价说明：</w:t>
            </w:r>
          </w:p>
          <w:p w14:paraId="45978697">
            <w:pPr>
              <w:spacing w:line="360" w:lineRule="auto"/>
              <w:rPr>
                <w:rFonts w:ascii="宋体" w:hAnsi="宋体" w:cs="宋体"/>
                <w:color w:val="auto"/>
                <w:sz w:val="24"/>
                <w:highlight w:val="none"/>
              </w:rPr>
            </w:pPr>
            <w:r>
              <w:rPr>
                <w:rFonts w:hint="eastAsia" w:ascii="宋体" w:hAnsi="宋体" w:cs="宋体"/>
                <w:color w:val="auto"/>
                <w:sz w:val="24"/>
                <w:highlight w:val="none"/>
              </w:rPr>
              <w:t>1、按北园春官网（http://www.beiyuanchun.com/）中公布当日市场公示的</w:t>
            </w:r>
            <w:r>
              <w:rPr>
                <w:rFonts w:hint="eastAsia" w:ascii="宋体" w:hAnsi="宋体" w:cs="宋体"/>
                <w:b/>
                <w:bCs/>
                <w:color w:val="auto"/>
                <w:sz w:val="24"/>
                <w:highlight w:val="none"/>
              </w:rPr>
              <w:t>中间价</w:t>
            </w:r>
            <w:r>
              <w:rPr>
                <w:rFonts w:hint="eastAsia" w:ascii="宋体" w:hAnsi="宋体" w:cs="宋体"/>
                <w:color w:val="auto"/>
                <w:sz w:val="24"/>
                <w:highlight w:val="none"/>
              </w:rPr>
              <w:t>为基础报折扣率，即若在市场价的基础上报九五折，则报折扣率为95%；</w:t>
            </w:r>
          </w:p>
          <w:p w14:paraId="3CA27F46">
            <w:pPr>
              <w:spacing w:line="360" w:lineRule="auto"/>
              <w:rPr>
                <w:rFonts w:ascii="宋体" w:hAnsi="宋体" w:cs="宋体"/>
                <w:color w:val="auto"/>
                <w:sz w:val="24"/>
                <w:highlight w:val="none"/>
              </w:rPr>
            </w:pPr>
            <w:r>
              <w:rPr>
                <w:rFonts w:hint="eastAsia" w:ascii="宋体" w:hAnsi="宋体" w:cs="宋体"/>
                <w:color w:val="auto"/>
                <w:sz w:val="24"/>
                <w:highlight w:val="none"/>
              </w:rPr>
              <w:t>报价方式：折扣率报价（折扣率不得高于100%）</w:t>
            </w:r>
          </w:p>
          <w:p w14:paraId="5BCDE0EC">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最高限价：</w:t>
            </w:r>
          </w:p>
          <w:p w14:paraId="0EAD6BC0">
            <w:pPr>
              <w:spacing w:line="360" w:lineRule="auto"/>
              <w:rPr>
                <w:rFonts w:ascii="宋体" w:hAnsi="宋体" w:cs="宋体"/>
                <w:color w:val="auto"/>
                <w:sz w:val="24"/>
                <w:highlight w:val="none"/>
              </w:rPr>
            </w:pPr>
            <w:r>
              <w:rPr>
                <w:rFonts w:hint="eastAsia" w:ascii="宋体" w:hAnsi="宋体" w:cs="宋体"/>
                <w:color w:val="auto"/>
                <w:sz w:val="24"/>
                <w:highlight w:val="none"/>
              </w:rPr>
              <w:t>1、供应商报价超过最高限价作废标处理，最高限价详见采购文件第五章  采购需求。</w:t>
            </w:r>
          </w:p>
          <w:p w14:paraId="46B37B28">
            <w:pPr>
              <w:spacing w:line="360" w:lineRule="auto"/>
              <w:rPr>
                <w:rFonts w:ascii="宋体" w:hAnsi="宋体" w:cs="宋体"/>
                <w:color w:val="auto"/>
                <w:sz w:val="24"/>
                <w:highlight w:val="none"/>
              </w:rPr>
            </w:pPr>
            <w:r>
              <w:rPr>
                <w:rFonts w:hint="eastAsia" w:ascii="宋体" w:hAnsi="宋体" w:cs="宋体"/>
                <w:color w:val="auto"/>
                <w:sz w:val="24"/>
                <w:highlight w:val="none"/>
              </w:rPr>
              <w:t>2、应根据项目的实际需要整体报价，报价应包含合同期限内服务及其他相关工作的所有费用，总价包干方式报价。</w:t>
            </w:r>
          </w:p>
          <w:p w14:paraId="0B78A617">
            <w:pPr>
              <w:spacing w:line="360" w:lineRule="auto"/>
              <w:rPr>
                <w:rFonts w:ascii="宋体" w:hAnsi="宋体" w:cs="宋体"/>
                <w:color w:val="auto"/>
                <w:sz w:val="24"/>
                <w:highlight w:val="none"/>
              </w:rPr>
            </w:pPr>
            <w:r>
              <w:rPr>
                <w:rFonts w:hint="eastAsia" w:ascii="宋体" w:hAnsi="宋体" w:cs="宋体"/>
                <w:color w:val="auto"/>
                <w:sz w:val="24"/>
                <w:highlight w:val="none"/>
              </w:rPr>
              <w:t>3、配送价格应包含乙方所有税费、成本、利润、运输、装卸、各类劳保、保险等一切费用。</w:t>
            </w:r>
          </w:p>
          <w:p w14:paraId="5D045AC2">
            <w:pPr>
              <w:pStyle w:val="5"/>
              <w:spacing w:before="0" w:after="0" w:line="360" w:lineRule="auto"/>
              <w:jc w:val="left"/>
              <w:rPr>
                <w:rFonts w:asciiTheme="minorEastAsia" w:hAnsiTheme="minorEastAsia" w:eastAsiaTheme="minorEastAsia" w:cstheme="minorEastAsia"/>
                <w:color w:val="auto"/>
                <w:sz w:val="24"/>
                <w:szCs w:val="24"/>
                <w:highlight w:val="none"/>
              </w:rPr>
            </w:pPr>
            <w:r>
              <w:rPr>
                <w:rFonts w:hint="eastAsia" w:ascii="宋体" w:hAnsi="宋体" w:cs="宋体"/>
                <w:color w:val="auto"/>
                <w:sz w:val="24"/>
                <w:szCs w:val="24"/>
                <w:highlight w:val="none"/>
              </w:rPr>
              <w:t>4、具体品种及数量以实际供货为准。</w:t>
            </w:r>
          </w:p>
        </w:tc>
      </w:tr>
      <w:tr w14:paraId="0207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47FB122C">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w:t>
            </w:r>
          </w:p>
        </w:tc>
        <w:tc>
          <w:tcPr>
            <w:tcW w:w="8158" w:type="dxa"/>
            <w:tcBorders>
              <w:top w:val="single" w:color="auto" w:sz="4" w:space="0"/>
              <w:left w:val="single" w:color="auto" w:sz="4" w:space="0"/>
              <w:bottom w:val="single" w:color="auto" w:sz="4" w:space="0"/>
              <w:right w:val="single" w:color="auto" w:sz="4" w:space="0"/>
            </w:tcBorders>
            <w:vAlign w:val="center"/>
          </w:tcPr>
          <w:p w14:paraId="4BBE34BB">
            <w:pPr>
              <w:spacing w:line="360" w:lineRule="auto"/>
              <w:rPr>
                <w:rFonts w:ascii="宋体" w:hAnsi="宋体" w:cs="宋体"/>
                <w:color w:val="auto"/>
                <w:sz w:val="24"/>
                <w:highlight w:val="none"/>
              </w:rPr>
            </w:pPr>
            <w:r>
              <w:rPr>
                <w:rFonts w:hint="eastAsia" w:ascii="宋体" w:hAnsi="宋体" w:cs="宋体"/>
                <w:b/>
                <w:bCs/>
                <w:color w:val="auto"/>
                <w:sz w:val="24"/>
                <w:highlight w:val="none"/>
              </w:rPr>
              <w:t>本项目采购预算及资金来源：</w:t>
            </w:r>
          </w:p>
          <w:p w14:paraId="1D78ACC2">
            <w:pPr>
              <w:spacing w:line="360" w:lineRule="auto"/>
              <w:rPr>
                <w:color w:val="auto"/>
                <w:highlight w:val="none"/>
              </w:rPr>
            </w:pPr>
            <w:r>
              <w:rPr>
                <w:rFonts w:hint="eastAsia" w:ascii="宋体" w:hAnsi="宋体" w:cs="宋体"/>
                <w:b/>
                <w:bCs/>
                <w:color w:val="auto"/>
                <w:sz w:val="24"/>
                <w:highlight w:val="none"/>
              </w:rPr>
              <w:t>预算金额：190万元；资金来源：财政资金。</w:t>
            </w:r>
          </w:p>
        </w:tc>
      </w:tr>
      <w:tr w14:paraId="26D8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8B1216B">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w:t>
            </w:r>
          </w:p>
        </w:tc>
        <w:tc>
          <w:tcPr>
            <w:tcW w:w="8158" w:type="dxa"/>
            <w:tcBorders>
              <w:top w:val="single" w:color="auto" w:sz="4" w:space="0"/>
              <w:left w:val="single" w:color="auto" w:sz="4" w:space="0"/>
              <w:bottom w:val="single" w:color="auto" w:sz="4" w:space="0"/>
              <w:right w:val="single" w:color="auto" w:sz="4" w:space="0"/>
            </w:tcBorders>
            <w:vAlign w:val="center"/>
          </w:tcPr>
          <w:p w14:paraId="3CBDB0C4">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评标委员会：</w:t>
            </w:r>
          </w:p>
          <w:p w14:paraId="7EF852A8">
            <w:pPr>
              <w:spacing w:line="360" w:lineRule="auto"/>
              <w:rPr>
                <w:rFonts w:ascii="宋体" w:hAnsi="宋体" w:cs="宋体"/>
                <w:color w:val="auto"/>
                <w:sz w:val="24"/>
                <w:highlight w:val="none"/>
              </w:rPr>
            </w:pPr>
            <w:r>
              <w:rPr>
                <w:rFonts w:hint="eastAsia" w:ascii="宋体" w:hAnsi="宋体" w:cs="宋体"/>
                <w:color w:val="auto"/>
                <w:sz w:val="24"/>
                <w:highlight w:val="none"/>
              </w:rPr>
              <w:t>（1）构成：</w:t>
            </w:r>
            <w:r>
              <w:rPr>
                <w:rFonts w:hint="eastAsia" w:ascii="宋体" w:hAnsi="宋体" w:cs="宋体"/>
                <w:color w:val="auto"/>
                <w:sz w:val="24"/>
                <w:highlight w:val="none"/>
                <w:u w:val="single"/>
              </w:rPr>
              <w:t>7</w:t>
            </w:r>
            <w:r>
              <w:rPr>
                <w:rFonts w:hint="eastAsia" w:ascii="宋体" w:hAnsi="宋体" w:cs="宋体"/>
                <w:color w:val="auto"/>
                <w:sz w:val="24"/>
                <w:highlight w:val="none"/>
              </w:rPr>
              <w:t>人，其中</w:t>
            </w:r>
            <w:r>
              <w:rPr>
                <w:rFonts w:hint="eastAsia" w:cs="宋体"/>
                <w:color w:val="auto"/>
                <w:sz w:val="24"/>
                <w:highlight w:val="none"/>
              </w:rPr>
              <w:t>采购人</w:t>
            </w:r>
            <w:r>
              <w:rPr>
                <w:rFonts w:hint="eastAsia" w:ascii="宋体" w:hAnsi="宋体" w:cs="宋体"/>
                <w:color w:val="auto"/>
                <w:sz w:val="24"/>
                <w:highlight w:val="none"/>
              </w:rPr>
              <w:t>代表</w:t>
            </w:r>
            <w:r>
              <w:rPr>
                <w:rFonts w:hint="eastAsia" w:ascii="宋体" w:hAnsi="宋体" w:cs="宋体"/>
                <w:color w:val="auto"/>
                <w:sz w:val="24"/>
                <w:highlight w:val="none"/>
                <w:u w:val="single"/>
              </w:rPr>
              <w:t>/</w:t>
            </w:r>
            <w:r>
              <w:rPr>
                <w:rFonts w:hint="eastAsia" w:ascii="宋体" w:hAnsi="宋体" w:cs="宋体"/>
                <w:color w:val="auto"/>
                <w:sz w:val="24"/>
                <w:highlight w:val="none"/>
              </w:rPr>
              <w:t>人，技术、经济专家</w:t>
            </w:r>
            <w:r>
              <w:rPr>
                <w:rFonts w:hint="eastAsia" w:ascii="宋体" w:hAnsi="宋体" w:cs="宋体"/>
                <w:color w:val="auto"/>
                <w:sz w:val="24"/>
                <w:highlight w:val="none"/>
                <w:u w:val="single"/>
              </w:rPr>
              <w:t>7</w:t>
            </w:r>
            <w:r>
              <w:rPr>
                <w:rFonts w:hint="eastAsia" w:ascii="宋体" w:hAnsi="宋体" w:cs="宋体"/>
                <w:color w:val="auto"/>
                <w:sz w:val="24"/>
                <w:highlight w:val="none"/>
              </w:rPr>
              <w:t>人。</w:t>
            </w:r>
          </w:p>
          <w:p w14:paraId="31E66F11">
            <w:pPr>
              <w:spacing w:line="360" w:lineRule="auto"/>
              <w:rPr>
                <w:rFonts w:asciiTheme="minorEastAsia" w:hAnsiTheme="minorEastAsia" w:eastAsiaTheme="minorEastAsia" w:cstheme="minorEastAsia"/>
                <w:b/>
                <w:bCs/>
                <w:color w:val="auto"/>
                <w:sz w:val="24"/>
                <w:highlight w:val="none"/>
              </w:rPr>
            </w:pPr>
            <w:r>
              <w:rPr>
                <w:rFonts w:hint="eastAsia" w:ascii="宋体" w:hAnsi="宋体" w:cs="宋体"/>
                <w:color w:val="auto"/>
                <w:sz w:val="24"/>
                <w:highlight w:val="none"/>
              </w:rPr>
              <w:t>（2）方式：</w:t>
            </w:r>
            <w:r>
              <w:rPr>
                <w:rFonts w:hint="eastAsia" w:ascii="宋体" w:hAnsi="宋体" w:cs="宋体"/>
                <w:color w:val="auto"/>
                <w:sz w:val="24"/>
                <w:highlight w:val="none"/>
                <w:u w:val="single"/>
              </w:rPr>
              <w:t>新疆政府采购网政采云</w:t>
            </w:r>
            <w:r>
              <w:rPr>
                <w:rFonts w:hint="eastAsia" w:ascii="宋体" w:hAnsi="宋体" w:cs="宋体"/>
                <w:color w:val="auto"/>
                <w:sz w:val="24"/>
                <w:highlight w:val="none"/>
              </w:rPr>
              <w:t>评标专家库中随机抽取</w:t>
            </w:r>
          </w:p>
        </w:tc>
      </w:tr>
      <w:tr w14:paraId="2497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44E21A90">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w:t>
            </w:r>
          </w:p>
        </w:tc>
        <w:tc>
          <w:tcPr>
            <w:tcW w:w="8158" w:type="dxa"/>
            <w:tcBorders>
              <w:top w:val="single" w:color="auto" w:sz="4" w:space="0"/>
              <w:left w:val="single" w:color="auto" w:sz="4" w:space="0"/>
              <w:bottom w:val="single" w:color="auto" w:sz="4" w:space="0"/>
              <w:right w:val="single" w:color="auto" w:sz="4" w:space="0"/>
            </w:tcBorders>
            <w:vAlign w:val="center"/>
          </w:tcPr>
          <w:p w14:paraId="1BB6E35A">
            <w:pPr>
              <w:spacing w:line="360" w:lineRule="auto"/>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中标公示：</w:t>
            </w:r>
            <w:r>
              <w:rPr>
                <w:rFonts w:hint="eastAsia" w:ascii="宋体" w:hAnsi="宋体" w:cs="宋体"/>
                <w:color w:val="auto"/>
                <w:sz w:val="24"/>
                <w:highlight w:val="none"/>
              </w:rPr>
              <w:t>对中标结果在规定的媒体上进行公示，中标</w:t>
            </w:r>
            <w:r>
              <w:rPr>
                <w:rFonts w:hint="eastAsia" w:cs="宋体"/>
                <w:color w:val="auto"/>
                <w:sz w:val="24"/>
                <w:highlight w:val="none"/>
              </w:rPr>
              <w:t>结果公示</w:t>
            </w:r>
            <w:r>
              <w:rPr>
                <w:rFonts w:hint="eastAsia" w:ascii="宋体" w:hAnsi="宋体" w:cs="宋体"/>
                <w:color w:val="auto"/>
                <w:sz w:val="24"/>
                <w:highlight w:val="none"/>
              </w:rPr>
              <w:t>期限为1个工作日。</w:t>
            </w:r>
          </w:p>
        </w:tc>
      </w:tr>
      <w:tr w14:paraId="1C18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0C68BFE">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w:t>
            </w:r>
          </w:p>
        </w:tc>
        <w:tc>
          <w:tcPr>
            <w:tcW w:w="8158" w:type="dxa"/>
            <w:tcBorders>
              <w:top w:val="single" w:color="auto" w:sz="4" w:space="0"/>
              <w:left w:val="single" w:color="auto" w:sz="4" w:space="0"/>
              <w:bottom w:val="single" w:color="auto" w:sz="4" w:space="0"/>
              <w:right w:val="single" w:color="auto" w:sz="4" w:space="0"/>
            </w:tcBorders>
            <w:vAlign w:val="center"/>
          </w:tcPr>
          <w:p w14:paraId="721E1EF8">
            <w:pPr>
              <w:spacing w:line="360" w:lineRule="auto"/>
              <w:rPr>
                <w:rFonts w:ascii="宋体" w:hAnsi="宋体" w:cs="宋体"/>
                <w:color w:val="auto"/>
                <w:sz w:val="24"/>
                <w:highlight w:val="none"/>
              </w:rPr>
            </w:pPr>
            <w:r>
              <w:rPr>
                <w:rFonts w:hint="eastAsia" w:ascii="宋体" w:hAnsi="宋体" w:cs="宋体"/>
                <w:color w:val="auto"/>
                <w:sz w:val="24"/>
                <w:highlight w:val="none"/>
              </w:rPr>
              <w:t>签订合同：中标（成交）通知书发出之日起30日内。</w:t>
            </w:r>
          </w:p>
        </w:tc>
      </w:tr>
      <w:tr w14:paraId="1ED1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FBF8735">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w:t>
            </w:r>
          </w:p>
        </w:tc>
        <w:tc>
          <w:tcPr>
            <w:tcW w:w="8158" w:type="dxa"/>
            <w:tcBorders>
              <w:top w:val="single" w:color="auto" w:sz="4" w:space="0"/>
              <w:left w:val="single" w:color="auto" w:sz="4" w:space="0"/>
              <w:bottom w:val="single" w:color="auto" w:sz="4" w:space="0"/>
              <w:right w:val="single" w:color="auto" w:sz="4" w:space="0"/>
            </w:tcBorders>
            <w:vAlign w:val="center"/>
          </w:tcPr>
          <w:p w14:paraId="25F461C0">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重新招标或其他方式采购：</w:t>
            </w:r>
          </w:p>
          <w:p w14:paraId="118E3667">
            <w:pPr>
              <w:spacing w:line="360" w:lineRule="auto"/>
              <w:rPr>
                <w:rFonts w:ascii="宋体" w:hAnsi="宋体" w:cs="宋体"/>
                <w:color w:val="auto"/>
                <w:sz w:val="24"/>
                <w:highlight w:val="none"/>
              </w:rPr>
            </w:pPr>
            <w:r>
              <w:rPr>
                <w:rFonts w:hint="eastAsia" w:ascii="宋体" w:hAnsi="宋体" w:cs="宋体"/>
                <w:color w:val="auto"/>
                <w:sz w:val="24"/>
                <w:highlight w:val="none"/>
              </w:rPr>
              <w:t>公开招标数额标准以上的采购项目，投标截止后</w:t>
            </w:r>
            <w:r>
              <w:rPr>
                <w:rFonts w:hint="eastAsia" w:cs="宋体"/>
                <w:color w:val="auto"/>
                <w:sz w:val="24"/>
                <w:highlight w:val="none"/>
              </w:rPr>
              <w:t>供应商</w:t>
            </w:r>
            <w:r>
              <w:rPr>
                <w:rFonts w:hint="eastAsia" w:ascii="宋体" w:hAnsi="宋体" w:cs="宋体"/>
                <w:color w:val="auto"/>
                <w:sz w:val="24"/>
                <w:highlight w:val="none"/>
              </w:rPr>
              <w:t>不足</w:t>
            </w:r>
            <w:r>
              <w:rPr>
                <w:rFonts w:hint="eastAsia" w:cs="宋体"/>
                <w:color w:val="auto"/>
                <w:sz w:val="24"/>
                <w:highlight w:val="none"/>
              </w:rPr>
              <w:t>3</w:t>
            </w:r>
            <w:r>
              <w:rPr>
                <w:rFonts w:hint="eastAsia" w:ascii="宋体" w:hAnsi="宋体" w:cs="宋体"/>
                <w:color w:val="auto"/>
                <w:sz w:val="24"/>
                <w:highlight w:val="none"/>
              </w:rPr>
              <w:t>家或者通过资格审查或符合性审查的</w:t>
            </w:r>
            <w:r>
              <w:rPr>
                <w:rFonts w:hint="eastAsia" w:cs="宋体"/>
                <w:color w:val="auto"/>
                <w:sz w:val="24"/>
                <w:highlight w:val="none"/>
              </w:rPr>
              <w:t>供应商</w:t>
            </w:r>
            <w:r>
              <w:rPr>
                <w:rFonts w:hint="eastAsia" w:ascii="宋体" w:hAnsi="宋体" w:cs="宋体"/>
                <w:color w:val="auto"/>
                <w:sz w:val="24"/>
                <w:highlight w:val="none"/>
              </w:rPr>
              <w:t>不足</w:t>
            </w:r>
            <w:r>
              <w:rPr>
                <w:rFonts w:hint="eastAsia" w:cs="宋体"/>
                <w:color w:val="auto"/>
                <w:sz w:val="24"/>
                <w:highlight w:val="none"/>
              </w:rPr>
              <w:t>3</w:t>
            </w:r>
            <w:r>
              <w:rPr>
                <w:rFonts w:hint="eastAsia" w:ascii="宋体" w:hAnsi="宋体" w:cs="宋体"/>
                <w:color w:val="auto"/>
                <w:sz w:val="24"/>
                <w:highlight w:val="none"/>
              </w:rPr>
              <w:t>家的，除采购任务取消情形外，根据《政府采购货物和服务招标投标管理办法》（中华人民共和国财政部令第87号）第四十三条规定，按照以下方式处理：</w:t>
            </w:r>
          </w:p>
          <w:p w14:paraId="416E23DC">
            <w:pPr>
              <w:spacing w:line="360" w:lineRule="auto"/>
              <w:rPr>
                <w:rFonts w:ascii="宋体" w:hAnsi="宋体"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采购文件</w:t>
            </w:r>
            <w:r>
              <w:rPr>
                <w:rFonts w:hint="eastAsia" w:ascii="宋体" w:hAnsi="宋体" w:cs="宋体"/>
                <w:color w:val="auto"/>
                <w:sz w:val="24"/>
                <w:highlight w:val="none"/>
              </w:rPr>
              <w:t>存在不合理条款或者招标程序不符合规定的，采购人、采购代理机构改正后依法重新招标；</w:t>
            </w:r>
          </w:p>
          <w:p w14:paraId="751975EB">
            <w:pPr>
              <w:spacing w:line="360" w:lineRule="auto"/>
              <w:rPr>
                <w:rFonts w:asciiTheme="minorEastAsia" w:hAnsiTheme="minorEastAsia" w:eastAsiaTheme="minorEastAsia" w:cstheme="minorEastAsia"/>
                <w:b/>
                <w:bCs/>
                <w:color w:val="auto"/>
                <w:sz w:val="24"/>
                <w:highlight w:val="none"/>
              </w:rPr>
            </w:pPr>
            <w:r>
              <w:rPr>
                <w:rFonts w:hint="eastAsia" w:ascii="宋体" w:hAnsi="宋体" w:cs="宋体"/>
                <w:color w:val="auto"/>
                <w:sz w:val="24"/>
                <w:highlight w:val="none"/>
              </w:rPr>
              <w:t>（2）</w:t>
            </w:r>
            <w:r>
              <w:rPr>
                <w:rFonts w:hint="eastAsia" w:cs="宋体"/>
                <w:color w:val="auto"/>
                <w:sz w:val="24"/>
                <w:highlight w:val="none"/>
              </w:rPr>
              <w:t>采购文件</w:t>
            </w:r>
            <w:r>
              <w:rPr>
                <w:rFonts w:hint="eastAsia" w:ascii="宋体" w:hAnsi="宋体" w:cs="宋体"/>
                <w:color w:val="auto"/>
                <w:sz w:val="24"/>
                <w:highlight w:val="none"/>
              </w:rPr>
              <w:t>没有不合理条款、招标程序符合规定，需要采用其他采购方式采购的，采购人应当依法报财政部门批准。</w:t>
            </w:r>
          </w:p>
        </w:tc>
      </w:tr>
      <w:tr w14:paraId="6D71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2A28382">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25</w:t>
            </w:r>
          </w:p>
        </w:tc>
        <w:tc>
          <w:tcPr>
            <w:tcW w:w="8158" w:type="dxa"/>
            <w:tcBorders>
              <w:top w:val="single" w:color="auto" w:sz="4" w:space="0"/>
              <w:left w:val="single" w:color="auto" w:sz="4" w:space="0"/>
              <w:bottom w:val="single" w:color="auto" w:sz="4" w:space="0"/>
              <w:right w:val="single" w:color="auto" w:sz="4" w:space="0"/>
            </w:tcBorders>
            <w:vAlign w:val="center"/>
          </w:tcPr>
          <w:p w14:paraId="665BDE78">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质疑和投诉：</w:t>
            </w:r>
          </w:p>
          <w:p w14:paraId="71CB4B46">
            <w:pPr>
              <w:spacing w:line="360" w:lineRule="auto"/>
              <w:rPr>
                <w:color w:val="auto"/>
                <w:highlight w:val="none"/>
              </w:rPr>
            </w:pPr>
            <w:r>
              <w:rPr>
                <w:rFonts w:hint="eastAsia" w:ascii="宋体" w:hAnsi="宋体" w:cs="宋体"/>
                <w:color w:val="auto"/>
                <w:sz w:val="24"/>
                <w:highlight w:val="none"/>
              </w:rPr>
              <w:t>（1）</w:t>
            </w:r>
            <w:r>
              <w:rPr>
                <w:rFonts w:hint="eastAsia"/>
                <w:color w:val="auto"/>
                <w:highlight w:val="none"/>
              </w:rPr>
              <w:t>供应商认为采购文件、采购过程、中标或者成交结果使自己的权益受到损害的，可以在知道或者应知其权益受到损害之日起7个工作日内，以书面形式向采购人、采购代理机构提出质疑。采购人、采购代理机构不得拒收质疑供应商在法定质疑期内发出的质疑函，应当在收到质疑函后7个工作日内作出答复，并以书面形式通知质疑供应商和其他有关供应商。供应商对答复不满意或采购人 / 代理机构逾期未答复的，可在答复期满后 15 个工作日内向同级财政部门投诉。投诉人对财政部门处理决定不服或其逾期未处理的，可依法申请行政复议或提起行政诉讼</w:t>
            </w:r>
          </w:p>
          <w:p w14:paraId="61B28952">
            <w:pPr>
              <w:spacing w:line="360" w:lineRule="auto"/>
              <w:rPr>
                <w:rFonts w:ascii="宋体" w:hAnsi="宋体" w:cs="宋体"/>
                <w:color w:val="auto"/>
                <w:sz w:val="24"/>
                <w:highlight w:val="none"/>
              </w:rPr>
            </w:pPr>
            <w:r>
              <w:rPr>
                <w:rFonts w:hint="eastAsia" w:ascii="宋体" w:hAnsi="宋体" w:cs="宋体"/>
                <w:color w:val="auto"/>
                <w:sz w:val="24"/>
                <w:highlight w:val="none"/>
              </w:rPr>
              <w:t>（2）质疑、投诉必须采用书面形式，明确阐述权益受损的实质性内容，并提供相关事实、法律依据、证据及线索，便于调查处理中国政府网</w:t>
            </w:r>
          </w:p>
          <w:p w14:paraId="5D78E1AE">
            <w:pPr>
              <w:spacing w:line="360" w:lineRule="auto"/>
              <w:rPr>
                <w:rFonts w:ascii="宋体" w:hAnsi="宋体" w:cs="宋体"/>
                <w:color w:val="auto"/>
                <w:sz w:val="24"/>
                <w:highlight w:val="none"/>
              </w:rPr>
            </w:pPr>
            <w:r>
              <w:rPr>
                <w:rFonts w:hint="eastAsia" w:ascii="宋体" w:hAnsi="宋体" w:cs="宋体"/>
                <w:color w:val="auto"/>
                <w:sz w:val="24"/>
                <w:highlight w:val="none"/>
              </w:rPr>
              <w:t>（3）针对同一采购程序环节的质疑，应一次性提出，采购人/代理机构不作重复答复。</w:t>
            </w:r>
          </w:p>
        </w:tc>
      </w:tr>
      <w:tr w14:paraId="5888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77DECAB">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w:t>
            </w:r>
          </w:p>
        </w:tc>
        <w:tc>
          <w:tcPr>
            <w:tcW w:w="8158" w:type="dxa"/>
            <w:tcBorders>
              <w:top w:val="single" w:color="auto" w:sz="4" w:space="0"/>
              <w:left w:val="single" w:color="auto" w:sz="4" w:space="0"/>
              <w:bottom w:val="single" w:color="auto" w:sz="4" w:space="0"/>
              <w:right w:val="single" w:color="auto" w:sz="4" w:space="0"/>
            </w:tcBorders>
            <w:vAlign w:val="center"/>
          </w:tcPr>
          <w:p w14:paraId="139FB26F">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1.采购代理服务费按预算金额计取，由中标人支付。</w:t>
            </w:r>
          </w:p>
          <w:p w14:paraId="7A1B91D1">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2.采购代理服务费的计算参照国家发展计划委员会文件（计价格[2002]1980号文）和（发改价格[2011]534 号）下浮20%计取。中标人须在领取中标通知书时一次性付清采购代理服务费。</w:t>
            </w:r>
          </w:p>
        </w:tc>
      </w:tr>
      <w:tr w14:paraId="244C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BF04577">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w:t>
            </w:r>
          </w:p>
        </w:tc>
        <w:tc>
          <w:tcPr>
            <w:tcW w:w="8158" w:type="dxa"/>
            <w:tcBorders>
              <w:top w:val="single" w:color="auto" w:sz="4" w:space="0"/>
              <w:left w:val="single" w:color="auto" w:sz="4" w:space="0"/>
              <w:bottom w:val="single" w:color="auto" w:sz="4" w:space="0"/>
              <w:right w:val="single" w:color="auto" w:sz="4" w:space="0"/>
            </w:tcBorders>
            <w:vAlign w:val="center"/>
          </w:tcPr>
          <w:p w14:paraId="7C2B9E65">
            <w:pPr>
              <w:spacing w:line="360" w:lineRule="auto"/>
              <w:rPr>
                <w:rFonts w:cs="宋体"/>
                <w:color w:val="auto"/>
                <w:sz w:val="24"/>
                <w:highlight w:val="none"/>
              </w:rPr>
            </w:pPr>
            <w:r>
              <w:rPr>
                <w:rFonts w:hint="eastAsia" w:cs="宋体"/>
                <w:color w:val="auto"/>
                <w:sz w:val="24"/>
                <w:highlight w:val="none"/>
              </w:rPr>
              <w:t>本项目采购标的对应的中小企业划分标准所属行业为：</w:t>
            </w:r>
          </w:p>
          <w:p w14:paraId="0DCDB57E">
            <w:pPr>
              <w:spacing w:line="360" w:lineRule="auto"/>
              <w:rPr>
                <w:rFonts w:cs="宋体"/>
                <w:b/>
                <w:bCs/>
                <w:color w:val="auto"/>
                <w:sz w:val="24"/>
                <w:highlight w:val="none"/>
              </w:rPr>
            </w:pPr>
            <w:r>
              <w:rPr>
                <w:rFonts w:hint="eastAsia" w:cs="宋体"/>
                <w:b/>
                <w:bCs/>
                <w:color w:val="auto"/>
                <w:sz w:val="24"/>
                <w:highlight w:val="none"/>
              </w:rPr>
              <w:t>蔬菜、水果类属于：</w:t>
            </w:r>
            <w:r>
              <w:rPr>
                <w:rFonts w:hint="eastAsia" w:cs="宋体"/>
                <w:b/>
                <w:bCs/>
                <w:color w:val="auto"/>
                <w:sz w:val="24"/>
                <w:highlight w:val="none"/>
                <w:u w:val="single"/>
              </w:rPr>
              <w:t>农、林、牧、渔业</w:t>
            </w:r>
            <w:r>
              <w:rPr>
                <w:rFonts w:hint="eastAsia" w:cs="宋体"/>
                <w:b/>
                <w:bCs/>
                <w:color w:val="auto"/>
                <w:sz w:val="24"/>
                <w:highlight w:val="none"/>
              </w:rPr>
              <w:t>，</w:t>
            </w:r>
          </w:p>
          <w:p w14:paraId="378C64E4">
            <w:pPr>
              <w:spacing w:line="360" w:lineRule="auto"/>
              <w:rPr>
                <w:rFonts w:cs="宋体"/>
                <w:b/>
                <w:bCs/>
                <w:color w:val="auto"/>
                <w:sz w:val="24"/>
                <w:highlight w:val="none"/>
              </w:rPr>
            </w:pPr>
            <w:r>
              <w:rPr>
                <w:rFonts w:hint="eastAsia" w:cs="宋体"/>
                <w:b/>
                <w:bCs/>
                <w:color w:val="auto"/>
                <w:sz w:val="24"/>
                <w:highlight w:val="none"/>
              </w:rPr>
              <w:t>干果类属于：</w:t>
            </w:r>
            <w:r>
              <w:rPr>
                <w:rFonts w:hint="eastAsia" w:cs="宋体"/>
                <w:b/>
                <w:bCs/>
                <w:color w:val="auto"/>
                <w:sz w:val="24"/>
                <w:highlight w:val="none"/>
                <w:u w:val="single"/>
              </w:rPr>
              <w:t>工业</w:t>
            </w:r>
            <w:r>
              <w:rPr>
                <w:rFonts w:hint="eastAsia" w:cs="宋体"/>
                <w:b/>
                <w:bCs/>
                <w:color w:val="auto"/>
                <w:sz w:val="24"/>
                <w:highlight w:val="none"/>
              </w:rPr>
              <w:t>。</w:t>
            </w:r>
          </w:p>
          <w:p w14:paraId="4724A951">
            <w:pPr>
              <w:spacing w:line="360" w:lineRule="auto"/>
              <w:rPr>
                <w:rFonts w:cs="宋体"/>
                <w:color w:val="auto"/>
                <w:sz w:val="24"/>
                <w:highlight w:val="none"/>
              </w:rPr>
            </w:pPr>
            <w:r>
              <w:rPr>
                <w:rFonts w:hint="eastAsia" w:cs="宋体"/>
                <w:b/>
                <w:bCs/>
                <w:color w:val="auto"/>
                <w:sz w:val="24"/>
                <w:highlight w:val="none"/>
              </w:rPr>
              <w:t>农、林、牧、渔业：</w:t>
            </w:r>
            <w:r>
              <w:rPr>
                <w:rFonts w:hint="eastAsia" w:cs="宋体"/>
                <w:color w:val="auto"/>
                <w:sz w:val="24"/>
                <w:highlight w:val="none"/>
              </w:rPr>
              <w:t>营业收入20000万元以下的为中小微型企业。其中，营业收入500万元及以上的为中型企业，营业收入50万元及以上的为小型企业，营业收入50万元以下的为微型企业。</w:t>
            </w:r>
          </w:p>
          <w:p w14:paraId="3E562408">
            <w:pPr>
              <w:spacing w:line="360" w:lineRule="auto"/>
              <w:rPr>
                <w:rFonts w:cs="宋体"/>
                <w:color w:val="auto"/>
                <w:sz w:val="24"/>
                <w:highlight w:val="none"/>
              </w:rPr>
            </w:pPr>
            <w:r>
              <w:rPr>
                <w:rFonts w:hint="eastAsia" w:cs="宋体"/>
                <w:b/>
                <w:bCs/>
                <w:color w:val="auto"/>
                <w:sz w:val="24"/>
                <w:highlight w:val="none"/>
              </w:rPr>
              <w:t>工业：</w:t>
            </w:r>
            <w:r>
              <w:rPr>
                <w:rFonts w:hint="eastAsia" w:cs="宋体"/>
                <w:color w:val="auto"/>
                <w:sz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附件1中小企业划型标准规定）</w:t>
            </w:r>
          </w:p>
          <w:p w14:paraId="68B44C8D">
            <w:pPr>
              <w:spacing w:line="360" w:lineRule="auto"/>
              <w:rPr>
                <w:b/>
                <w:bCs/>
                <w:color w:val="auto"/>
                <w:sz w:val="24"/>
                <w:highlight w:val="none"/>
              </w:rPr>
            </w:pPr>
            <w:r>
              <w:rPr>
                <w:rFonts w:hint="eastAsia"/>
                <w:b/>
                <w:bCs/>
                <w:color w:val="auto"/>
                <w:sz w:val="24"/>
                <w:highlight w:val="none"/>
              </w:rPr>
              <w:t>是否专门面向中小企业采购：是</w:t>
            </w:r>
          </w:p>
          <w:p w14:paraId="274FFD9A">
            <w:pPr>
              <w:spacing w:line="360" w:lineRule="auto"/>
              <w:rPr>
                <w:rFonts w:asciiTheme="minorEastAsia" w:hAnsiTheme="minorEastAsia" w:eastAsiaTheme="minorEastAsia" w:cstheme="minorEastAsia"/>
                <w:b/>
                <w:bCs/>
                <w:color w:val="auto"/>
                <w:sz w:val="24"/>
                <w:highlight w:val="none"/>
              </w:rPr>
            </w:pPr>
            <w:r>
              <w:rPr>
                <w:rFonts w:hint="eastAsia"/>
                <w:b/>
                <w:bCs/>
                <w:color w:val="auto"/>
                <w:sz w:val="24"/>
                <w:highlight w:val="none"/>
              </w:rPr>
              <w:t>是否为本项目面向中小企业采购预留份额：中小企业预留份额：100.00%，其中：小微企业预留份额：0.00%。</w:t>
            </w:r>
          </w:p>
        </w:tc>
      </w:tr>
      <w:tr w14:paraId="1FD9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52D95803">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w:t>
            </w:r>
          </w:p>
        </w:tc>
        <w:tc>
          <w:tcPr>
            <w:tcW w:w="8158" w:type="dxa"/>
            <w:tcBorders>
              <w:top w:val="single" w:color="auto" w:sz="4" w:space="0"/>
              <w:left w:val="single" w:color="auto" w:sz="4" w:space="0"/>
              <w:bottom w:val="single" w:color="auto" w:sz="4" w:space="0"/>
              <w:right w:val="single" w:color="auto" w:sz="4" w:space="0"/>
            </w:tcBorders>
            <w:vAlign w:val="center"/>
          </w:tcPr>
          <w:p w14:paraId="63799CE9">
            <w:pPr>
              <w:spacing w:line="360" w:lineRule="auto"/>
              <w:rPr>
                <w:rFonts w:ascii="宋体" w:hAnsi="宋体" w:cs="宋体"/>
                <w:color w:val="auto"/>
                <w:sz w:val="24"/>
                <w:highlight w:val="none"/>
              </w:rPr>
            </w:pPr>
            <w:r>
              <w:rPr>
                <w:rFonts w:hint="eastAsia" w:ascii="宋体" w:hAnsi="宋体" w:cs="宋体"/>
                <w:color w:val="auto"/>
                <w:sz w:val="24"/>
                <w:highlight w:val="none"/>
              </w:rPr>
              <w:t>备注：</w:t>
            </w:r>
            <w:r>
              <w:rPr>
                <w:rFonts w:hint="eastAsia" w:ascii="宋体" w:hAnsi="宋体" w:cs="宋体"/>
                <w:color w:val="auto"/>
                <w:kern w:val="1"/>
                <w:sz w:val="24"/>
                <w:highlight w:val="none"/>
              </w:rPr>
              <w:t>如本《供应商须知前附表》相关内容与采购文件中的相关内容如有不一致处，则以本《供应商须知前附表》相关内容为准。</w:t>
            </w:r>
          </w:p>
        </w:tc>
      </w:tr>
      <w:tr w14:paraId="2C0D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B18AC98">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29</w:t>
            </w:r>
          </w:p>
        </w:tc>
        <w:tc>
          <w:tcPr>
            <w:tcW w:w="8158" w:type="dxa"/>
            <w:tcBorders>
              <w:top w:val="single" w:color="auto" w:sz="4" w:space="0"/>
              <w:left w:val="single" w:color="auto" w:sz="4" w:space="0"/>
              <w:bottom w:val="single" w:color="auto" w:sz="4" w:space="0"/>
              <w:right w:val="single" w:color="auto" w:sz="4" w:space="0"/>
            </w:tcBorders>
            <w:vAlign w:val="center"/>
          </w:tcPr>
          <w:p w14:paraId="1336E5F7">
            <w:pPr>
              <w:spacing w:before="68" w:line="227" w:lineRule="auto"/>
              <w:ind w:left="103"/>
              <w:rPr>
                <w:rFonts w:ascii="宋体" w:hAnsi="宋体" w:cs="宋体"/>
                <w:color w:val="auto"/>
                <w:spacing w:val="11"/>
                <w:sz w:val="24"/>
                <w:highlight w:val="none"/>
              </w:rPr>
            </w:pPr>
            <w:r>
              <w:rPr>
                <w:rFonts w:hint="eastAsia" w:ascii="宋体" w:hAnsi="宋体" w:cs="宋体"/>
                <w:color w:val="auto"/>
                <w:spacing w:val="11"/>
                <w:sz w:val="24"/>
                <w:highlight w:val="none"/>
              </w:rPr>
              <w:t>1.重要说明：</w:t>
            </w:r>
          </w:p>
          <w:p w14:paraId="1C72DDE3">
            <w:pPr>
              <w:spacing w:before="68" w:line="227" w:lineRule="auto"/>
              <w:rPr>
                <w:rFonts w:ascii="宋体" w:hAnsi="宋体" w:cs="宋体"/>
                <w:color w:val="auto"/>
                <w:sz w:val="24"/>
                <w:highlight w:val="none"/>
              </w:rPr>
            </w:pPr>
            <w:r>
              <w:rPr>
                <w:rFonts w:hint="eastAsia" w:ascii="宋体" w:hAnsi="宋体" w:cs="宋体"/>
                <w:color w:val="auto"/>
                <w:spacing w:val="11"/>
                <w:sz w:val="24"/>
                <w:highlight w:val="none"/>
              </w:rPr>
              <w:t>（1）本项目采用全流程不见面电子开评标，投标供应商需要使用CA加密设备，供应商可通过新疆数字证书认证中心官网(</w:t>
            </w:r>
            <w:r>
              <w:rPr>
                <w:color w:val="auto"/>
                <w:highlight w:val="none"/>
              </w:rPr>
              <w:fldChar w:fldCharType="begin"/>
            </w:r>
            <w:r>
              <w:rPr>
                <w:color w:val="auto"/>
                <w:highlight w:val="none"/>
              </w:rPr>
              <w:instrText xml:space="preserve"> HYPERLINK "https://www.xjca.com.cn/" </w:instrText>
            </w:r>
            <w:r>
              <w:rPr>
                <w:color w:val="auto"/>
                <w:highlight w:val="none"/>
              </w:rPr>
              <w:fldChar w:fldCharType="separate"/>
            </w:r>
            <w:r>
              <w:rPr>
                <w:rFonts w:hint="eastAsia" w:ascii="宋体" w:hAnsi="宋体" w:cs="宋体"/>
                <w:color w:val="auto"/>
                <w:spacing w:val="11"/>
                <w:sz w:val="24"/>
                <w:highlight w:val="none"/>
              </w:rPr>
              <w:t>https://www.xjca.com.cn/</w:t>
            </w:r>
            <w:r>
              <w:rPr>
                <w:rFonts w:hint="eastAsia" w:ascii="宋体" w:hAnsi="宋体" w:cs="宋体"/>
                <w:color w:val="auto"/>
                <w:spacing w:val="11"/>
                <w:sz w:val="24"/>
                <w:highlight w:val="none"/>
              </w:rPr>
              <w:fldChar w:fldCharType="end"/>
            </w:r>
            <w:r>
              <w:rPr>
                <w:rFonts w:hint="eastAsia" w:ascii="宋体" w:hAnsi="宋体" w:cs="宋体"/>
                <w:color w:val="auto"/>
                <w:spacing w:val="11"/>
                <w:sz w:val="24"/>
                <w:highlight w:val="none"/>
              </w:rPr>
              <w:t>)或下载“新</w:t>
            </w:r>
            <w:r>
              <w:rPr>
                <w:rFonts w:hint="eastAsia" w:ascii="宋体" w:hAnsi="宋体" w:cs="宋体"/>
                <w:color w:val="auto"/>
                <w:spacing w:val="5"/>
                <w:sz w:val="24"/>
                <w:highlight w:val="none"/>
              </w:rPr>
              <w:t>疆政务通”</w:t>
            </w:r>
            <w:r>
              <w:rPr>
                <w:rFonts w:hint="eastAsia" w:ascii="宋体" w:hAnsi="宋体" w:cs="宋体"/>
                <w:color w:val="auto"/>
                <w:sz w:val="24"/>
                <w:highlight w:val="none"/>
              </w:rPr>
              <w:t>APP</w:t>
            </w:r>
            <w:r>
              <w:rPr>
                <w:rFonts w:hint="eastAsia" w:ascii="宋体" w:hAnsi="宋体" w:cs="宋体"/>
                <w:color w:val="auto"/>
                <w:spacing w:val="5"/>
                <w:sz w:val="24"/>
                <w:highlight w:val="none"/>
              </w:rPr>
              <w:t>自行进行申领。</w:t>
            </w:r>
          </w:p>
          <w:p w14:paraId="3BC94FCF">
            <w:pPr>
              <w:spacing w:before="40" w:line="268" w:lineRule="auto"/>
              <w:ind w:right="97"/>
              <w:jc w:val="left"/>
              <w:rPr>
                <w:rFonts w:ascii="宋体" w:hAnsi="宋体" w:cs="宋体"/>
                <w:color w:val="auto"/>
                <w:sz w:val="24"/>
                <w:highlight w:val="none"/>
              </w:rPr>
            </w:pPr>
            <w:r>
              <w:rPr>
                <w:rFonts w:hint="eastAsia" w:ascii="宋体" w:hAnsi="宋体" w:cs="宋体"/>
                <w:color w:val="auto"/>
                <w:spacing w:val="12"/>
                <w:sz w:val="24"/>
                <w:highlight w:val="none"/>
              </w:rPr>
              <w:t>（2）本</w:t>
            </w:r>
            <w:r>
              <w:rPr>
                <w:rFonts w:hint="eastAsia" w:ascii="宋体" w:hAnsi="宋体" w:cs="宋体"/>
                <w:color w:val="auto"/>
                <w:spacing w:val="9"/>
                <w:sz w:val="24"/>
                <w:highlight w:val="none"/>
              </w:rPr>
              <w:t>项</w:t>
            </w:r>
            <w:r>
              <w:rPr>
                <w:rFonts w:hint="eastAsia" w:ascii="宋体" w:hAnsi="宋体" w:cs="宋体"/>
                <w:color w:val="auto"/>
                <w:spacing w:val="6"/>
                <w:sz w:val="24"/>
                <w:highlight w:val="none"/>
              </w:rPr>
              <w:t>目实行网上投标，采用加密电子响应文件(供应商须使用</w:t>
            </w:r>
            <w:r>
              <w:rPr>
                <w:rFonts w:hint="eastAsia" w:ascii="宋体" w:hAnsi="宋体" w:cs="宋体"/>
                <w:color w:val="auto"/>
                <w:sz w:val="24"/>
                <w:highlight w:val="none"/>
              </w:rPr>
              <w:t>CA</w:t>
            </w:r>
            <w:r>
              <w:rPr>
                <w:rFonts w:hint="eastAsia" w:ascii="宋体" w:hAnsi="宋体" w:cs="宋体"/>
                <w:color w:val="auto"/>
                <w:spacing w:val="6"/>
                <w:sz w:val="24"/>
                <w:highlight w:val="none"/>
              </w:rPr>
              <w:t>加密设备通过</w:t>
            </w:r>
            <w:r>
              <w:rPr>
                <w:rFonts w:hint="eastAsia" w:ascii="宋体" w:hAnsi="宋体" w:cs="宋体"/>
                <w:color w:val="auto"/>
                <w:spacing w:val="12"/>
                <w:sz w:val="24"/>
                <w:highlight w:val="none"/>
              </w:rPr>
              <w:t>政采云</w:t>
            </w:r>
            <w:r>
              <w:rPr>
                <w:rFonts w:hint="eastAsia" w:ascii="宋体" w:hAnsi="宋体" w:cs="宋体"/>
                <w:color w:val="auto"/>
                <w:spacing w:val="7"/>
                <w:sz w:val="24"/>
                <w:highlight w:val="none"/>
              </w:rPr>
              <w:t>电</w:t>
            </w:r>
            <w:r>
              <w:rPr>
                <w:rFonts w:hint="eastAsia" w:ascii="宋体" w:hAnsi="宋体" w:cs="宋体"/>
                <w:color w:val="auto"/>
                <w:spacing w:val="6"/>
                <w:sz w:val="24"/>
                <w:highlight w:val="none"/>
              </w:rPr>
              <w:t>子投标客户端制作响应文件)。若供应商参与投标自行承担投标一切</w:t>
            </w:r>
            <w:r>
              <w:rPr>
                <w:rFonts w:hint="eastAsia" w:ascii="宋体" w:hAnsi="宋体" w:cs="宋体"/>
                <w:color w:val="auto"/>
                <w:spacing w:val="15"/>
                <w:sz w:val="24"/>
                <w:highlight w:val="none"/>
              </w:rPr>
              <w:t>费</w:t>
            </w:r>
            <w:r>
              <w:rPr>
                <w:rFonts w:hint="eastAsia" w:ascii="宋体" w:hAnsi="宋体" w:cs="宋体"/>
                <w:color w:val="auto"/>
                <w:spacing w:val="13"/>
                <w:sz w:val="24"/>
                <w:highlight w:val="none"/>
              </w:rPr>
              <w:t>用。</w:t>
            </w:r>
            <w:r>
              <w:rPr>
                <w:rFonts w:hint="eastAsia" w:ascii="宋体" w:hAnsi="宋体" w:cs="宋体"/>
                <w:color w:val="auto"/>
                <w:sz w:val="24"/>
                <w:highlight w:val="none"/>
              </w:rPr>
              <w:t>（3）</w:t>
            </w:r>
            <w:r>
              <w:rPr>
                <w:rFonts w:hint="eastAsia" w:ascii="宋体" w:hAnsi="宋体" w:cs="宋体"/>
                <w:color w:val="auto"/>
                <w:spacing w:val="9"/>
                <w:sz w:val="24"/>
                <w:highlight w:val="none"/>
              </w:rPr>
              <w:t>各供应商在开标前应确保成为新疆维吾尔自治区政府采购网正式注册入库供</w:t>
            </w:r>
            <w:r>
              <w:rPr>
                <w:rFonts w:hint="eastAsia" w:ascii="宋体" w:hAnsi="宋体" w:cs="宋体"/>
                <w:color w:val="auto"/>
                <w:spacing w:val="2"/>
                <w:sz w:val="24"/>
                <w:highlight w:val="none"/>
              </w:rPr>
              <w:t>应商，并完成</w:t>
            </w:r>
            <w:r>
              <w:rPr>
                <w:rFonts w:hint="eastAsia" w:ascii="宋体" w:hAnsi="宋体" w:cs="宋体"/>
                <w:color w:val="auto"/>
                <w:sz w:val="24"/>
                <w:highlight w:val="none"/>
              </w:rPr>
              <w:t>CA</w:t>
            </w:r>
            <w:r>
              <w:rPr>
                <w:rFonts w:hint="eastAsia" w:ascii="宋体" w:hAnsi="宋体" w:cs="宋体"/>
                <w:color w:val="auto"/>
                <w:spacing w:val="1"/>
                <w:sz w:val="24"/>
                <w:highlight w:val="none"/>
              </w:rPr>
              <w:t>数字证书申领。因未注册入库、未办理</w:t>
            </w:r>
            <w:r>
              <w:rPr>
                <w:rFonts w:hint="eastAsia" w:ascii="宋体" w:hAnsi="宋体" w:cs="宋体"/>
                <w:color w:val="auto"/>
                <w:sz w:val="24"/>
                <w:highlight w:val="none"/>
              </w:rPr>
              <w:t>CA</w:t>
            </w:r>
            <w:r>
              <w:rPr>
                <w:rFonts w:hint="eastAsia" w:ascii="宋体" w:hAnsi="宋体" w:cs="宋体"/>
                <w:color w:val="auto"/>
                <w:spacing w:val="1"/>
                <w:sz w:val="24"/>
                <w:highlight w:val="none"/>
              </w:rPr>
              <w:t>数字证书等原因造成</w:t>
            </w:r>
            <w:r>
              <w:rPr>
                <w:rFonts w:hint="eastAsia" w:ascii="宋体" w:hAnsi="宋体" w:cs="宋体"/>
                <w:color w:val="auto"/>
                <w:spacing w:val="20"/>
                <w:sz w:val="24"/>
                <w:highlight w:val="none"/>
              </w:rPr>
              <w:t>无</w:t>
            </w:r>
            <w:r>
              <w:rPr>
                <w:rFonts w:hint="eastAsia" w:ascii="宋体" w:hAnsi="宋体" w:cs="宋体"/>
                <w:color w:val="auto"/>
                <w:spacing w:val="11"/>
                <w:sz w:val="24"/>
                <w:highlight w:val="none"/>
              </w:rPr>
              <w:t>法</w:t>
            </w:r>
            <w:r>
              <w:rPr>
                <w:rFonts w:hint="eastAsia" w:ascii="宋体" w:hAnsi="宋体" w:cs="宋体"/>
                <w:color w:val="auto"/>
                <w:spacing w:val="10"/>
                <w:sz w:val="24"/>
                <w:highlight w:val="none"/>
              </w:rPr>
              <w:t>投标或投标失败等后果由供应商自行承担。</w:t>
            </w:r>
          </w:p>
          <w:p w14:paraId="0DC3C9C2">
            <w:pPr>
              <w:spacing w:before="40" w:line="268" w:lineRule="auto"/>
              <w:ind w:right="97"/>
              <w:rPr>
                <w:rFonts w:ascii="宋体" w:hAnsi="宋体" w:cs="宋体"/>
                <w:color w:val="auto"/>
                <w:sz w:val="24"/>
                <w:highlight w:val="none"/>
              </w:rPr>
            </w:pPr>
            <w:r>
              <w:rPr>
                <w:rFonts w:hint="eastAsia" w:ascii="宋体" w:hAnsi="宋体" w:cs="宋体"/>
                <w:color w:val="auto"/>
                <w:spacing w:val="12"/>
                <w:sz w:val="24"/>
                <w:highlight w:val="none"/>
              </w:rPr>
              <w:t>（4）供</w:t>
            </w:r>
            <w:r>
              <w:rPr>
                <w:rFonts w:hint="eastAsia" w:ascii="宋体" w:hAnsi="宋体" w:cs="宋体"/>
                <w:color w:val="auto"/>
                <w:spacing w:val="8"/>
                <w:sz w:val="24"/>
                <w:highlight w:val="none"/>
              </w:rPr>
              <w:t>应</w:t>
            </w:r>
            <w:r>
              <w:rPr>
                <w:rFonts w:hint="eastAsia" w:ascii="宋体" w:hAnsi="宋体" w:cs="宋体"/>
                <w:color w:val="auto"/>
                <w:spacing w:val="6"/>
                <w:sz w:val="24"/>
                <w:highlight w:val="none"/>
              </w:rPr>
              <w:t>商将政采云电子交易客户端下载、安装完成后，可通过账号密码或</w:t>
            </w:r>
            <w:r>
              <w:rPr>
                <w:rFonts w:hint="eastAsia" w:ascii="宋体" w:hAnsi="宋体" w:cs="宋体"/>
                <w:color w:val="auto"/>
                <w:sz w:val="24"/>
                <w:highlight w:val="none"/>
              </w:rPr>
              <w:t>CA</w:t>
            </w:r>
            <w:r>
              <w:rPr>
                <w:rFonts w:hint="eastAsia" w:ascii="宋体" w:hAnsi="宋体" w:cs="宋体"/>
                <w:color w:val="auto"/>
                <w:spacing w:val="6"/>
                <w:sz w:val="24"/>
                <w:highlight w:val="none"/>
              </w:rPr>
              <w:t>登</w:t>
            </w:r>
            <w:r>
              <w:rPr>
                <w:rFonts w:hint="eastAsia" w:ascii="宋体" w:hAnsi="宋体" w:cs="宋体"/>
                <w:color w:val="auto"/>
                <w:spacing w:val="18"/>
                <w:sz w:val="24"/>
                <w:highlight w:val="none"/>
              </w:rPr>
              <w:t>录</w:t>
            </w:r>
            <w:r>
              <w:rPr>
                <w:rFonts w:hint="eastAsia" w:ascii="宋体" w:hAnsi="宋体" w:cs="宋体"/>
                <w:color w:val="auto"/>
                <w:spacing w:val="11"/>
                <w:sz w:val="24"/>
                <w:highlight w:val="none"/>
              </w:rPr>
              <w:t>客户端进行响应文件制作。在使用政采云投标客户端时，建议使用</w:t>
            </w:r>
            <w:r>
              <w:rPr>
                <w:rFonts w:hint="eastAsia" w:ascii="宋体" w:hAnsi="宋体" w:cs="宋体"/>
                <w:color w:val="auto"/>
                <w:sz w:val="24"/>
                <w:highlight w:val="none"/>
              </w:rPr>
              <w:t>WIN</w:t>
            </w:r>
            <w:r>
              <w:rPr>
                <w:rFonts w:hint="eastAsia" w:ascii="宋体" w:hAnsi="宋体" w:cs="宋体"/>
                <w:color w:val="auto"/>
                <w:spacing w:val="11"/>
                <w:sz w:val="24"/>
                <w:highlight w:val="none"/>
              </w:rPr>
              <w:t>7+64</w:t>
            </w:r>
            <w:r>
              <w:rPr>
                <w:rFonts w:hint="eastAsia" w:ascii="宋体" w:hAnsi="宋体" w:cs="宋体"/>
                <w:color w:val="auto"/>
                <w:spacing w:val="18"/>
                <w:sz w:val="24"/>
                <w:highlight w:val="none"/>
              </w:rPr>
              <w:t>位</w:t>
            </w:r>
            <w:r>
              <w:rPr>
                <w:rFonts w:hint="eastAsia" w:ascii="宋体" w:hAnsi="宋体" w:cs="宋体"/>
                <w:color w:val="auto"/>
                <w:spacing w:val="12"/>
                <w:sz w:val="24"/>
                <w:highlight w:val="none"/>
              </w:rPr>
              <w:t>及</w:t>
            </w:r>
            <w:r>
              <w:rPr>
                <w:rFonts w:hint="eastAsia" w:ascii="宋体" w:hAnsi="宋体" w:cs="宋体"/>
                <w:color w:val="auto"/>
                <w:spacing w:val="9"/>
                <w:sz w:val="24"/>
                <w:highlight w:val="none"/>
              </w:rPr>
              <w:t>以上操作系统。客户端请至新疆政府采购网</w:t>
            </w:r>
            <w:r>
              <w:rPr>
                <w:rFonts w:hint="eastAsia" w:ascii="宋体" w:hAnsi="宋体" w:cs="宋体"/>
                <w:color w:val="auto"/>
                <w:spacing w:val="22"/>
                <w:sz w:val="24"/>
                <w:highlight w:val="none"/>
              </w:rPr>
              <w:t>(</w:t>
            </w:r>
            <w:r>
              <w:rPr>
                <w:color w:val="auto"/>
                <w:highlight w:val="none"/>
              </w:rPr>
              <w:fldChar w:fldCharType="begin"/>
            </w:r>
            <w:r>
              <w:rPr>
                <w:color w:val="auto"/>
                <w:highlight w:val="none"/>
              </w:rPr>
              <w:instrText xml:space="preserve"> HYPERLINK "http://www.ccgp-xinjiang.gov.cn/" </w:instrText>
            </w:r>
            <w:r>
              <w:rPr>
                <w:color w:val="auto"/>
                <w:highlight w:val="none"/>
              </w:rPr>
              <w:fldChar w:fldCharType="separate"/>
            </w:r>
            <w:r>
              <w:rPr>
                <w:rFonts w:hint="eastAsia" w:ascii="宋体" w:hAnsi="宋体" w:cs="宋体"/>
                <w:color w:val="auto"/>
                <w:sz w:val="24"/>
                <w:highlight w:val="none"/>
              </w:rPr>
              <w:t>http</w:t>
            </w:r>
            <w:r>
              <w:rPr>
                <w:rFonts w:hint="eastAsia" w:ascii="宋体" w:hAnsi="宋体" w:cs="宋体"/>
                <w:color w:val="auto"/>
                <w:spacing w:val="21"/>
                <w:sz w:val="24"/>
                <w:highlight w:val="none"/>
              </w:rPr>
              <w:t>:</w:t>
            </w:r>
            <w:r>
              <w:rPr>
                <w:rFonts w:hint="eastAsia" w:ascii="宋体" w:hAnsi="宋体" w:cs="宋体"/>
                <w:color w:val="auto"/>
                <w:spacing w:val="11"/>
                <w:sz w:val="24"/>
                <w:highlight w:val="none"/>
              </w:rPr>
              <w:t>//</w:t>
            </w:r>
            <w:r>
              <w:rPr>
                <w:rFonts w:hint="eastAsia" w:ascii="宋体" w:hAnsi="宋体" w:cs="宋体"/>
                <w:color w:val="auto"/>
                <w:sz w:val="24"/>
                <w:highlight w:val="none"/>
              </w:rPr>
              <w:t>www</w:t>
            </w:r>
            <w:r>
              <w:rPr>
                <w:rFonts w:hint="eastAsia" w:ascii="宋体" w:hAnsi="宋体" w:cs="宋体"/>
                <w:color w:val="auto"/>
                <w:spacing w:val="11"/>
                <w:sz w:val="24"/>
                <w:highlight w:val="none"/>
              </w:rPr>
              <w:t>.</w:t>
            </w:r>
            <w:r>
              <w:rPr>
                <w:rFonts w:hint="eastAsia" w:ascii="宋体" w:hAnsi="宋体" w:cs="宋体"/>
                <w:color w:val="auto"/>
                <w:sz w:val="24"/>
                <w:highlight w:val="none"/>
              </w:rPr>
              <w:t>ccgp</w:t>
            </w:r>
            <w:r>
              <w:rPr>
                <w:rFonts w:hint="eastAsia" w:ascii="宋体" w:hAnsi="宋体" w:cs="宋体"/>
                <w:color w:val="auto"/>
                <w:spacing w:val="11"/>
                <w:sz w:val="24"/>
                <w:highlight w:val="none"/>
              </w:rPr>
              <w:t>-</w:t>
            </w:r>
            <w:r>
              <w:rPr>
                <w:rFonts w:hint="eastAsia" w:ascii="宋体" w:hAnsi="宋体" w:cs="宋体"/>
                <w:color w:val="auto"/>
                <w:sz w:val="24"/>
                <w:highlight w:val="none"/>
              </w:rPr>
              <w:t>xinjiang</w:t>
            </w:r>
            <w:r>
              <w:rPr>
                <w:rFonts w:hint="eastAsia" w:ascii="宋体" w:hAnsi="宋体" w:cs="宋体"/>
                <w:color w:val="auto"/>
                <w:spacing w:val="11"/>
                <w:sz w:val="24"/>
                <w:highlight w:val="none"/>
              </w:rPr>
              <w:t>.</w:t>
            </w:r>
            <w:r>
              <w:rPr>
                <w:rFonts w:hint="eastAsia" w:ascii="宋体" w:hAnsi="宋体" w:cs="宋体"/>
                <w:color w:val="auto"/>
                <w:sz w:val="24"/>
                <w:highlight w:val="none"/>
              </w:rPr>
              <w:t>gov</w:t>
            </w:r>
            <w:r>
              <w:rPr>
                <w:rFonts w:hint="eastAsia" w:ascii="宋体" w:hAnsi="宋体" w:cs="宋体"/>
                <w:color w:val="auto"/>
                <w:spacing w:val="11"/>
                <w:sz w:val="24"/>
                <w:highlight w:val="none"/>
              </w:rPr>
              <w:t>.</w:t>
            </w:r>
            <w:r>
              <w:rPr>
                <w:rFonts w:hint="eastAsia" w:ascii="宋体" w:hAnsi="宋体" w:cs="宋体"/>
                <w:color w:val="auto"/>
                <w:sz w:val="24"/>
                <w:highlight w:val="none"/>
              </w:rPr>
              <w:t>cn</w:t>
            </w:r>
            <w:r>
              <w:rPr>
                <w:rFonts w:hint="eastAsia" w:ascii="宋体" w:hAnsi="宋体" w:cs="宋体"/>
                <w:color w:val="auto"/>
                <w:spacing w:val="11"/>
                <w:sz w:val="24"/>
                <w:highlight w:val="none"/>
              </w:rPr>
              <w:t>/</w:t>
            </w:r>
            <w:r>
              <w:rPr>
                <w:rFonts w:hint="eastAsia" w:ascii="宋体" w:hAnsi="宋体" w:cs="宋体"/>
                <w:color w:val="auto"/>
                <w:spacing w:val="11"/>
                <w:sz w:val="24"/>
                <w:highlight w:val="none"/>
              </w:rPr>
              <w:fldChar w:fldCharType="end"/>
            </w:r>
            <w:r>
              <w:rPr>
                <w:rFonts w:hint="eastAsia" w:ascii="宋体" w:hAnsi="宋体" w:cs="宋体"/>
                <w:color w:val="auto"/>
                <w:spacing w:val="11"/>
                <w:sz w:val="24"/>
                <w:highlight w:val="none"/>
              </w:rPr>
              <w:t>)下载专区查看，如有问题可拨打政采云</w:t>
            </w:r>
            <w:r>
              <w:rPr>
                <w:rFonts w:hint="eastAsia" w:ascii="宋体" w:hAnsi="宋体" w:cs="宋体"/>
                <w:color w:val="auto"/>
                <w:spacing w:val="12"/>
                <w:sz w:val="24"/>
                <w:highlight w:val="none"/>
              </w:rPr>
              <w:t>客</w:t>
            </w:r>
            <w:r>
              <w:rPr>
                <w:rFonts w:hint="eastAsia" w:ascii="宋体" w:hAnsi="宋体" w:cs="宋体"/>
                <w:color w:val="auto"/>
                <w:spacing w:val="9"/>
                <w:sz w:val="24"/>
                <w:highlight w:val="none"/>
              </w:rPr>
              <w:t>户服务热线“95763”进行咨询。</w:t>
            </w:r>
            <w:r>
              <w:rPr>
                <w:rFonts w:hint="eastAsia" w:ascii="宋体" w:hAnsi="宋体" w:cs="宋体"/>
                <w:color w:val="auto"/>
                <w:spacing w:val="12"/>
                <w:sz w:val="24"/>
                <w:highlight w:val="none"/>
              </w:rPr>
              <w:t>（5）供</w:t>
            </w:r>
            <w:r>
              <w:rPr>
                <w:rFonts w:hint="eastAsia" w:ascii="宋体" w:hAnsi="宋体" w:cs="宋体"/>
                <w:color w:val="auto"/>
                <w:spacing w:val="6"/>
                <w:sz w:val="24"/>
                <w:highlight w:val="none"/>
              </w:rPr>
              <w:t>应商在开标时须使用制作加密电子响应文件所使用的</w:t>
            </w:r>
            <w:r>
              <w:rPr>
                <w:rFonts w:hint="eastAsia" w:ascii="宋体" w:hAnsi="宋体" w:cs="宋体"/>
                <w:color w:val="auto"/>
                <w:sz w:val="24"/>
                <w:highlight w:val="none"/>
              </w:rPr>
              <w:t>CA</w:t>
            </w:r>
            <w:r>
              <w:rPr>
                <w:rFonts w:hint="eastAsia" w:ascii="宋体" w:hAnsi="宋体" w:cs="宋体"/>
                <w:color w:val="auto"/>
                <w:spacing w:val="6"/>
                <w:sz w:val="24"/>
                <w:highlight w:val="none"/>
              </w:rPr>
              <w:t>锁及电脑，电脑须</w:t>
            </w:r>
            <w:r>
              <w:rPr>
                <w:rFonts w:hint="eastAsia" w:ascii="宋体" w:hAnsi="宋体" w:cs="宋体"/>
                <w:color w:val="auto"/>
                <w:spacing w:val="8"/>
                <w:sz w:val="24"/>
                <w:highlight w:val="none"/>
              </w:rPr>
              <w:t>提</w:t>
            </w:r>
            <w:r>
              <w:rPr>
                <w:rFonts w:hint="eastAsia" w:ascii="宋体" w:hAnsi="宋体" w:cs="宋体"/>
                <w:color w:val="auto"/>
                <w:spacing w:val="6"/>
                <w:sz w:val="24"/>
                <w:highlight w:val="none"/>
              </w:rPr>
              <w:t>前配置好浏览器(建议使用谷歌浏览器)，以便开标时解锁。</w:t>
            </w:r>
          </w:p>
          <w:p w14:paraId="22BE02F9">
            <w:pPr>
              <w:spacing w:before="40" w:line="268" w:lineRule="auto"/>
              <w:ind w:right="97"/>
              <w:rPr>
                <w:rFonts w:ascii="宋体" w:hAnsi="宋体" w:cs="宋体"/>
                <w:color w:val="auto"/>
                <w:sz w:val="24"/>
                <w:highlight w:val="none"/>
              </w:rPr>
            </w:pPr>
            <w:r>
              <w:rPr>
                <w:rFonts w:hint="eastAsia" w:ascii="宋体" w:hAnsi="宋体" w:cs="宋体"/>
                <w:color w:val="auto"/>
                <w:spacing w:val="9"/>
                <w:sz w:val="24"/>
                <w:highlight w:val="none"/>
              </w:rPr>
              <w:t>（6）供应商对不见面开评标系统的技术操作咨询，可通过</w:t>
            </w:r>
          </w:p>
          <w:p w14:paraId="793A0DD6">
            <w:pPr>
              <w:spacing w:line="268" w:lineRule="auto"/>
              <w:ind w:left="100" w:right="97" w:hanging="2"/>
              <w:rPr>
                <w:rFonts w:ascii="宋体" w:hAnsi="宋体" w:cs="宋体"/>
                <w:color w:val="auto"/>
                <w:sz w:val="24"/>
                <w:highlight w:val="none"/>
              </w:rPr>
            </w:pPr>
            <w:r>
              <w:rPr>
                <w:color w:val="auto"/>
                <w:highlight w:val="none"/>
              </w:rPr>
              <w:fldChar w:fldCharType="begin"/>
            </w:r>
            <w:r>
              <w:rPr>
                <w:color w:val="auto"/>
                <w:highlight w:val="none"/>
              </w:rPr>
              <w:instrText xml:space="preserve"> HYPERLINK "https://edu.zcygov.cn/luban/xinjiang-e-biding" </w:instrText>
            </w:r>
            <w:r>
              <w:rPr>
                <w:color w:val="auto"/>
                <w:highlight w:val="none"/>
              </w:rPr>
              <w:fldChar w:fldCharType="separate"/>
            </w:r>
            <w:r>
              <w:rPr>
                <w:rFonts w:hint="eastAsia" w:ascii="宋体" w:hAnsi="宋体" w:cs="宋体"/>
                <w:color w:val="auto"/>
                <w:sz w:val="24"/>
                <w:highlight w:val="none"/>
              </w:rPr>
              <w:t>https</w:t>
            </w:r>
            <w:r>
              <w:rPr>
                <w:rFonts w:hint="eastAsia" w:ascii="宋体" w:hAnsi="宋体" w:cs="宋体"/>
                <w:color w:val="auto"/>
                <w:spacing w:val="13"/>
                <w:sz w:val="24"/>
                <w:highlight w:val="none"/>
              </w:rPr>
              <w:t>:</w:t>
            </w:r>
            <w:r>
              <w:rPr>
                <w:rFonts w:hint="eastAsia" w:ascii="宋体" w:hAnsi="宋体" w:cs="宋体"/>
                <w:color w:val="auto"/>
                <w:spacing w:val="11"/>
                <w:sz w:val="24"/>
                <w:highlight w:val="none"/>
              </w:rPr>
              <w:t>//</w:t>
            </w:r>
            <w:r>
              <w:rPr>
                <w:rFonts w:hint="eastAsia" w:ascii="宋体" w:hAnsi="宋体" w:cs="宋体"/>
                <w:color w:val="auto"/>
                <w:sz w:val="24"/>
                <w:highlight w:val="none"/>
              </w:rPr>
              <w:t>edu</w:t>
            </w:r>
            <w:r>
              <w:rPr>
                <w:rFonts w:hint="eastAsia" w:ascii="宋体" w:hAnsi="宋体" w:cs="宋体"/>
                <w:color w:val="auto"/>
                <w:spacing w:val="11"/>
                <w:sz w:val="24"/>
                <w:highlight w:val="none"/>
              </w:rPr>
              <w:t>.</w:t>
            </w:r>
            <w:r>
              <w:rPr>
                <w:rFonts w:hint="eastAsia" w:ascii="宋体" w:hAnsi="宋体" w:cs="宋体"/>
                <w:color w:val="auto"/>
                <w:sz w:val="24"/>
                <w:highlight w:val="none"/>
              </w:rPr>
              <w:t>zcygov</w:t>
            </w:r>
            <w:r>
              <w:rPr>
                <w:rFonts w:hint="eastAsia" w:ascii="宋体" w:hAnsi="宋体" w:cs="宋体"/>
                <w:color w:val="auto"/>
                <w:spacing w:val="11"/>
                <w:sz w:val="24"/>
                <w:highlight w:val="none"/>
              </w:rPr>
              <w:t>.</w:t>
            </w:r>
            <w:r>
              <w:rPr>
                <w:rFonts w:hint="eastAsia" w:ascii="宋体" w:hAnsi="宋体" w:cs="宋体"/>
                <w:color w:val="auto"/>
                <w:sz w:val="24"/>
                <w:highlight w:val="none"/>
              </w:rPr>
              <w:t>cn</w:t>
            </w:r>
            <w:r>
              <w:rPr>
                <w:rFonts w:hint="eastAsia" w:ascii="宋体" w:hAnsi="宋体" w:cs="宋体"/>
                <w:color w:val="auto"/>
                <w:spacing w:val="11"/>
                <w:sz w:val="24"/>
                <w:highlight w:val="none"/>
              </w:rPr>
              <w:t>/</w:t>
            </w:r>
            <w:r>
              <w:rPr>
                <w:rFonts w:hint="eastAsia" w:ascii="宋体" w:hAnsi="宋体" w:cs="宋体"/>
                <w:color w:val="auto"/>
                <w:sz w:val="24"/>
                <w:highlight w:val="none"/>
              </w:rPr>
              <w:t>luban</w:t>
            </w:r>
            <w:r>
              <w:rPr>
                <w:rFonts w:hint="eastAsia" w:ascii="宋体" w:hAnsi="宋体" w:cs="宋体"/>
                <w:color w:val="auto"/>
                <w:spacing w:val="11"/>
                <w:sz w:val="24"/>
                <w:highlight w:val="none"/>
              </w:rPr>
              <w:t>/</w:t>
            </w:r>
            <w:r>
              <w:rPr>
                <w:rFonts w:hint="eastAsia" w:ascii="宋体" w:hAnsi="宋体" w:cs="宋体"/>
                <w:color w:val="auto"/>
                <w:sz w:val="24"/>
                <w:highlight w:val="none"/>
              </w:rPr>
              <w:t>xinjiang</w:t>
            </w:r>
            <w:r>
              <w:rPr>
                <w:rFonts w:hint="eastAsia" w:ascii="宋体" w:hAnsi="宋体" w:cs="宋体"/>
                <w:color w:val="auto"/>
                <w:spacing w:val="11"/>
                <w:sz w:val="24"/>
                <w:highlight w:val="none"/>
              </w:rPr>
              <w:t>-</w:t>
            </w:r>
            <w:r>
              <w:rPr>
                <w:rFonts w:hint="eastAsia" w:ascii="宋体" w:hAnsi="宋体" w:cs="宋体"/>
                <w:color w:val="auto"/>
                <w:sz w:val="24"/>
                <w:highlight w:val="none"/>
              </w:rPr>
              <w:t>e</w:t>
            </w:r>
            <w:r>
              <w:rPr>
                <w:rFonts w:hint="eastAsia" w:ascii="宋体" w:hAnsi="宋体" w:cs="宋体"/>
                <w:color w:val="auto"/>
                <w:spacing w:val="11"/>
                <w:sz w:val="24"/>
                <w:highlight w:val="none"/>
              </w:rPr>
              <w:t>-</w:t>
            </w:r>
            <w:r>
              <w:rPr>
                <w:rFonts w:hint="eastAsia" w:ascii="宋体" w:hAnsi="宋体" w:cs="宋体"/>
                <w:color w:val="auto"/>
                <w:sz w:val="24"/>
                <w:highlight w:val="none"/>
              </w:rPr>
              <w:t>biding</w:t>
            </w:r>
            <w:r>
              <w:rPr>
                <w:rFonts w:hint="eastAsia" w:ascii="宋体" w:hAnsi="宋体" w:cs="宋体"/>
                <w:color w:val="auto"/>
                <w:sz w:val="24"/>
                <w:highlight w:val="none"/>
              </w:rPr>
              <w:fldChar w:fldCharType="end"/>
            </w:r>
            <w:r>
              <w:rPr>
                <w:rFonts w:hint="eastAsia" w:ascii="宋体" w:hAnsi="宋体" w:cs="宋体"/>
                <w:color w:val="auto"/>
                <w:spacing w:val="11"/>
                <w:sz w:val="24"/>
                <w:highlight w:val="none"/>
              </w:rPr>
              <w:t>自助查询，也可在政采云帮</w:t>
            </w:r>
            <w:r>
              <w:rPr>
                <w:rFonts w:hint="eastAsia" w:ascii="宋体" w:hAnsi="宋体" w:cs="宋体"/>
                <w:color w:val="auto"/>
                <w:spacing w:val="17"/>
                <w:sz w:val="24"/>
                <w:highlight w:val="none"/>
              </w:rPr>
              <w:t>助</w:t>
            </w:r>
            <w:r>
              <w:rPr>
                <w:rFonts w:hint="eastAsia" w:ascii="宋体" w:hAnsi="宋体" w:cs="宋体"/>
                <w:color w:val="auto"/>
                <w:spacing w:val="9"/>
                <w:sz w:val="24"/>
                <w:highlight w:val="none"/>
              </w:rPr>
              <w:t>中心常见问题解答和操作流程讲解视频中自助查询，网址为：</w:t>
            </w:r>
            <w:r>
              <w:rPr>
                <w:color w:val="auto"/>
                <w:highlight w:val="none"/>
              </w:rPr>
              <w:fldChar w:fldCharType="begin"/>
            </w:r>
            <w:r>
              <w:rPr>
                <w:color w:val="auto"/>
                <w:highlight w:val="none"/>
              </w:rPr>
              <w:instrText xml:space="preserve"> HYPERLINK "https://service.zcygov.cn/" \l "/help" </w:instrText>
            </w:r>
            <w:r>
              <w:rPr>
                <w:color w:val="auto"/>
                <w:highlight w:val="none"/>
              </w:rPr>
              <w:fldChar w:fldCharType="separate"/>
            </w:r>
            <w:r>
              <w:rPr>
                <w:rFonts w:hint="eastAsia" w:ascii="宋体" w:hAnsi="宋体" w:cs="宋体"/>
                <w:color w:val="auto"/>
                <w:sz w:val="24"/>
                <w:highlight w:val="none"/>
              </w:rPr>
              <w:t>https</w:t>
            </w:r>
            <w:r>
              <w:rPr>
                <w:rFonts w:hint="eastAsia" w:ascii="宋体" w:hAnsi="宋体" w:cs="宋体"/>
                <w:color w:val="auto"/>
                <w:spacing w:val="16"/>
                <w:sz w:val="24"/>
                <w:highlight w:val="none"/>
              </w:rPr>
              <w:t>:/</w:t>
            </w:r>
            <w:r>
              <w:rPr>
                <w:rFonts w:hint="eastAsia" w:ascii="宋体" w:hAnsi="宋体" w:cs="宋体"/>
                <w:color w:val="auto"/>
                <w:spacing w:val="10"/>
                <w:sz w:val="24"/>
                <w:highlight w:val="none"/>
              </w:rPr>
              <w:t>/</w:t>
            </w:r>
            <w:r>
              <w:rPr>
                <w:rFonts w:hint="eastAsia" w:ascii="宋体" w:hAnsi="宋体" w:cs="宋体"/>
                <w:color w:val="auto"/>
                <w:sz w:val="24"/>
                <w:highlight w:val="none"/>
              </w:rPr>
              <w:t>service</w:t>
            </w:r>
            <w:r>
              <w:rPr>
                <w:rFonts w:hint="eastAsia" w:ascii="宋体" w:hAnsi="宋体" w:cs="宋体"/>
                <w:color w:val="auto"/>
                <w:spacing w:val="8"/>
                <w:sz w:val="24"/>
                <w:highlight w:val="none"/>
              </w:rPr>
              <w:t>.</w:t>
            </w:r>
            <w:r>
              <w:rPr>
                <w:rFonts w:hint="eastAsia" w:ascii="宋体" w:hAnsi="宋体" w:cs="宋体"/>
                <w:color w:val="auto"/>
                <w:sz w:val="24"/>
                <w:highlight w:val="none"/>
              </w:rPr>
              <w:t>zcygov</w:t>
            </w:r>
            <w:r>
              <w:rPr>
                <w:rFonts w:hint="eastAsia" w:ascii="宋体" w:hAnsi="宋体" w:cs="宋体"/>
                <w:color w:val="auto"/>
                <w:spacing w:val="8"/>
                <w:sz w:val="24"/>
                <w:highlight w:val="none"/>
              </w:rPr>
              <w:t>.</w:t>
            </w:r>
            <w:r>
              <w:rPr>
                <w:rFonts w:hint="eastAsia" w:ascii="宋体" w:hAnsi="宋体" w:cs="宋体"/>
                <w:color w:val="auto"/>
                <w:sz w:val="24"/>
                <w:highlight w:val="none"/>
              </w:rPr>
              <w:t>cn</w:t>
            </w:r>
            <w:r>
              <w:rPr>
                <w:rFonts w:hint="eastAsia" w:ascii="宋体" w:hAnsi="宋体" w:cs="宋体"/>
                <w:color w:val="auto"/>
                <w:spacing w:val="8"/>
                <w:sz w:val="24"/>
                <w:highlight w:val="none"/>
              </w:rPr>
              <w:t>/#/</w:t>
            </w:r>
            <w:r>
              <w:rPr>
                <w:rFonts w:hint="eastAsia" w:ascii="宋体" w:hAnsi="宋体" w:cs="宋体"/>
                <w:color w:val="auto"/>
                <w:sz w:val="24"/>
                <w:highlight w:val="none"/>
              </w:rPr>
              <w:t>help</w:t>
            </w:r>
            <w:r>
              <w:rPr>
                <w:rFonts w:hint="eastAsia" w:ascii="宋体" w:hAnsi="宋体" w:cs="宋体"/>
                <w:color w:val="auto"/>
                <w:sz w:val="24"/>
                <w:highlight w:val="none"/>
              </w:rPr>
              <w:fldChar w:fldCharType="end"/>
            </w:r>
            <w:r>
              <w:rPr>
                <w:rFonts w:hint="eastAsia" w:ascii="宋体" w:hAnsi="宋体" w:cs="宋体"/>
                <w:color w:val="auto"/>
                <w:spacing w:val="8"/>
                <w:sz w:val="24"/>
                <w:highlight w:val="none"/>
              </w:rPr>
              <w:t>，“项目采购”—“操作流程-电子招投标”</w:t>
            </w:r>
            <w:r>
              <w:rPr>
                <w:rFonts w:hint="eastAsia" w:ascii="宋体" w:hAnsi="宋体" w:cs="宋体"/>
                <w:color w:val="auto"/>
                <w:spacing w:val="14"/>
                <w:sz w:val="24"/>
                <w:highlight w:val="none"/>
              </w:rPr>
              <w:t>—</w:t>
            </w:r>
            <w:r>
              <w:rPr>
                <w:rFonts w:hint="eastAsia" w:ascii="宋体" w:hAnsi="宋体" w:cs="宋体"/>
                <w:color w:val="auto"/>
                <w:spacing w:val="10"/>
                <w:sz w:val="24"/>
                <w:highlight w:val="none"/>
              </w:rPr>
              <w:t>“</w:t>
            </w:r>
            <w:r>
              <w:rPr>
                <w:rFonts w:hint="eastAsia" w:ascii="宋体" w:hAnsi="宋体" w:cs="宋体"/>
                <w:color w:val="auto"/>
                <w:spacing w:val="7"/>
                <w:sz w:val="24"/>
                <w:highlight w:val="none"/>
              </w:rPr>
              <w:t>政府采购项目电子交易管理操作指南-供应商”版面获取操作指南。</w:t>
            </w:r>
          </w:p>
          <w:p w14:paraId="0AFAF7F9">
            <w:pPr>
              <w:spacing w:line="360" w:lineRule="auto"/>
              <w:rPr>
                <w:rFonts w:ascii="宋体" w:hAnsi="宋体" w:cs="宋体"/>
                <w:color w:val="auto"/>
                <w:spacing w:val="6"/>
                <w:sz w:val="24"/>
                <w:highlight w:val="none"/>
              </w:rPr>
            </w:pPr>
            <w:r>
              <w:rPr>
                <w:rFonts w:hint="eastAsia" w:ascii="宋体" w:hAnsi="宋体" w:cs="宋体"/>
                <w:color w:val="auto"/>
                <w:spacing w:val="6"/>
                <w:sz w:val="24"/>
                <w:highlight w:val="none"/>
              </w:rPr>
              <w:t>（7）为了保证开评标</w:t>
            </w:r>
            <w:r>
              <w:rPr>
                <w:rFonts w:hint="eastAsia" w:ascii="宋体" w:hAnsi="宋体" w:cs="宋体"/>
                <w:color w:val="auto"/>
                <w:spacing w:val="4"/>
                <w:sz w:val="24"/>
                <w:highlight w:val="none"/>
              </w:rPr>
              <w:t>顺</w:t>
            </w:r>
            <w:r>
              <w:rPr>
                <w:rFonts w:hint="eastAsia" w:ascii="宋体" w:hAnsi="宋体" w:cs="宋体"/>
                <w:color w:val="auto"/>
                <w:spacing w:val="3"/>
                <w:sz w:val="24"/>
                <w:highlight w:val="none"/>
              </w:rPr>
              <w:t>利进行，政采云线上开标功能完全实现，供应商开标所使用</w:t>
            </w:r>
            <w:r>
              <w:rPr>
                <w:rFonts w:hint="eastAsia" w:ascii="宋体" w:hAnsi="宋体" w:cs="宋体"/>
                <w:color w:val="auto"/>
                <w:spacing w:val="6"/>
                <w:sz w:val="24"/>
                <w:highlight w:val="none"/>
              </w:rPr>
              <w:t>的电脑设备须具有视频及语音功能。</w:t>
            </w:r>
          </w:p>
          <w:p w14:paraId="79D4F47E">
            <w:pPr>
              <w:spacing w:line="360" w:lineRule="auto"/>
              <w:rPr>
                <w:rFonts w:ascii="宋体" w:hAnsi="宋体" w:cs="宋体"/>
                <w:color w:val="auto"/>
                <w:sz w:val="24"/>
                <w:highlight w:val="none"/>
              </w:rPr>
            </w:pPr>
            <w:r>
              <w:rPr>
                <w:rFonts w:hint="eastAsia" w:ascii="宋体" w:hAnsi="宋体" w:cs="宋体"/>
                <w:color w:val="auto"/>
                <w:sz w:val="24"/>
                <w:highlight w:val="none"/>
              </w:rPr>
              <w:t>2、电子招投标情况说明：</w:t>
            </w:r>
          </w:p>
          <w:p w14:paraId="5E5AC474">
            <w:pPr>
              <w:spacing w:line="360" w:lineRule="auto"/>
              <w:rPr>
                <w:rFonts w:ascii="宋体" w:hAnsi="宋体" w:cs="宋体"/>
                <w:color w:val="auto"/>
                <w:sz w:val="24"/>
                <w:highlight w:val="none"/>
              </w:rPr>
            </w:pPr>
            <w:r>
              <w:rPr>
                <w:rFonts w:hint="eastAsia" w:ascii="宋体" w:hAnsi="宋体" w:cs="宋体"/>
                <w:color w:val="auto"/>
                <w:sz w:val="24"/>
                <w:highlight w:val="none"/>
              </w:rPr>
              <w:t>(1)电子招投标：本项目以数据电文形式，依托“政府采购云平台(www.zcygov.cn)”进行招投标活动。</w:t>
            </w:r>
          </w:p>
          <w:p w14:paraId="631E3296">
            <w:pPr>
              <w:spacing w:line="360" w:lineRule="auto"/>
              <w:rPr>
                <w:rFonts w:ascii="宋体" w:hAnsi="宋体" w:cs="宋体"/>
                <w:color w:val="auto"/>
                <w:sz w:val="24"/>
                <w:highlight w:val="none"/>
              </w:rPr>
            </w:pPr>
            <w:r>
              <w:rPr>
                <w:rFonts w:hint="eastAsia" w:ascii="宋体" w:hAnsi="宋体" w:cs="宋体"/>
                <w:color w:val="auto"/>
                <w:sz w:val="24"/>
                <w:highlight w:val="none"/>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1D2AC8B9">
            <w:pPr>
              <w:spacing w:line="360" w:lineRule="auto"/>
              <w:rPr>
                <w:rFonts w:ascii="宋体" w:hAnsi="宋体" w:cs="宋体"/>
                <w:color w:val="auto"/>
                <w:sz w:val="24"/>
                <w:highlight w:val="none"/>
              </w:rPr>
            </w:pPr>
            <w:r>
              <w:rPr>
                <w:rFonts w:hint="eastAsia" w:ascii="宋体" w:hAnsi="宋体" w:cs="宋体"/>
                <w:color w:val="auto"/>
                <w:sz w:val="24"/>
                <w:highlight w:val="none"/>
              </w:rPr>
              <w:t>(3)采购文件的获取：使用账号登录或者短信验证码或者使用CA登录政采云平台；进入“项目采购”应用，在获取采购文件菜单中选择项目，获取采购文件。</w:t>
            </w:r>
          </w:p>
          <w:p w14:paraId="6EBC8889">
            <w:pPr>
              <w:spacing w:line="360" w:lineRule="auto"/>
              <w:rPr>
                <w:rFonts w:ascii="宋体" w:hAnsi="宋体" w:cs="宋体"/>
                <w:color w:val="auto"/>
                <w:sz w:val="24"/>
                <w:highlight w:val="none"/>
              </w:rPr>
            </w:pPr>
            <w:r>
              <w:rPr>
                <w:rFonts w:hint="eastAsia" w:ascii="宋体" w:hAnsi="宋体" w:cs="宋体"/>
                <w:color w:val="auto"/>
                <w:sz w:val="24"/>
                <w:highlight w:val="none"/>
              </w:rPr>
              <w:t>(4)响应文件的制作：在“政采云电子交易客户端”中完成“填写基本信息”、“导入响应文件”、“标书关联”、“标书检查”、“电子签名”、“生成电子标书”等操作。</w:t>
            </w:r>
          </w:p>
          <w:p w14:paraId="713B750E">
            <w:pPr>
              <w:spacing w:line="360" w:lineRule="auto"/>
              <w:rPr>
                <w:rFonts w:ascii="宋体" w:hAnsi="宋体" w:cs="宋体"/>
                <w:color w:val="auto"/>
                <w:sz w:val="24"/>
                <w:highlight w:val="none"/>
              </w:rPr>
            </w:pPr>
            <w:r>
              <w:rPr>
                <w:rFonts w:hint="eastAsia" w:ascii="宋体" w:hAnsi="宋体" w:cs="宋体"/>
                <w:color w:val="auto"/>
                <w:sz w:val="24"/>
                <w:highlight w:val="none"/>
              </w:rPr>
              <w:t>(5)响应文件的传输递交：供应商在投标截止时间前将加密的响应文件上传至政府采购云平台，如不提供或未按要求提供的，当电子响应文件无法解密时，将导致无备份响应文件而失去投标资格。</w:t>
            </w:r>
          </w:p>
          <w:p w14:paraId="2464607A">
            <w:pPr>
              <w:spacing w:line="360" w:lineRule="auto"/>
              <w:rPr>
                <w:rFonts w:ascii="宋体" w:hAnsi="宋体" w:cs="宋体"/>
                <w:color w:val="auto"/>
                <w:sz w:val="24"/>
                <w:highlight w:val="none"/>
              </w:rPr>
            </w:pPr>
            <w:r>
              <w:rPr>
                <w:rFonts w:hint="eastAsia" w:ascii="宋体" w:hAnsi="宋体" w:cs="宋体"/>
                <w:color w:val="auto"/>
                <w:sz w:val="24"/>
                <w:highlight w:val="none"/>
              </w:rPr>
              <w:t>(6)响应文件的解密：供应商按照平台提示和采购文件的规定在半小时内完成在线解密。</w:t>
            </w:r>
          </w:p>
          <w:p w14:paraId="4B3C4BC3">
            <w:pPr>
              <w:spacing w:line="360" w:lineRule="auto"/>
              <w:rPr>
                <w:rFonts w:ascii="宋体" w:hAnsi="宋体" w:cs="宋体"/>
                <w:color w:val="auto"/>
                <w:sz w:val="24"/>
                <w:highlight w:val="none"/>
              </w:rPr>
            </w:pPr>
            <w:r>
              <w:rPr>
                <w:rFonts w:hint="eastAsia" w:ascii="宋体" w:hAnsi="宋体" w:cs="宋体"/>
                <w:color w:val="auto"/>
                <w:sz w:val="24"/>
                <w:highlight w:val="none"/>
              </w:rPr>
              <w:t>(7)具体操作指南：详见政采云平台“服务中心-帮助文档-项目采购-操作流程-电子招投标-政府采购项目电子交易管理操作指南-供应商”。</w:t>
            </w:r>
          </w:p>
          <w:p w14:paraId="734B3821">
            <w:pPr>
              <w:spacing w:line="360" w:lineRule="auto"/>
              <w:rPr>
                <w:rFonts w:ascii="宋体" w:hAnsi="宋体" w:cs="宋体"/>
                <w:color w:val="auto"/>
                <w:sz w:val="24"/>
                <w:highlight w:val="none"/>
              </w:rPr>
            </w:pPr>
            <w:r>
              <w:rPr>
                <w:rFonts w:hint="eastAsia" w:ascii="宋体" w:hAnsi="宋体" w:cs="宋体"/>
                <w:color w:val="auto"/>
                <w:sz w:val="24"/>
                <w:highlight w:val="none"/>
              </w:rPr>
              <w:t>(8)供应商在进行上述操作时，如遇技术问题可登录政采云</w:t>
            </w:r>
          </w:p>
          <w:p w14:paraId="5DEBE021">
            <w:pPr>
              <w:spacing w:line="360" w:lineRule="auto"/>
              <w:rPr>
                <w:rFonts w:ascii="宋体" w:hAnsi="宋体" w:cs="宋体"/>
                <w:color w:val="auto"/>
                <w:sz w:val="24"/>
                <w:highlight w:val="none"/>
              </w:rPr>
            </w:pPr>
            <w:r>
              <w:rPr>
                <w:rFonts w:hint="eastAsia" w:ascii="宋体" w:hAnsi="宋体" w:cs="宋体"/>
                <w:color w:val="auto"/>
                <w:sz w:val="24"/>
                <w:highlight w:val="none"/>
              </w:rPr>
              <w:t>(https://www.zcygov.cn/)，点击右侧咨询小采，获取采小蜜智能服务管家帮助，或拨打政采云服务热线“95763”获取热线服务帮助。</w:t>
            </w:r>
          </w:p>
          <w:p w14:paraId="21A962A2">
            <w:pPr>
              <w:spacing w:line="360" w:lineRule="auto"/>
              <w:rPr>
                <w:rFonts w:ascii="宋体" w:hAnsi="宋体" w:cs="宋体"/>
                <w:color w:val="auto"/>
                <w:sz w:val="24"/>
                <w:highlight w:val="none"/>
              </w:rPr>
            </w:pPr>
            <w:r>
              <w:rPr>
                <w:rFonts w:hint="eastAsia" w:ascii="宋体" w:hAnsi="宋体" w:cs="宋体"/>
                <w:color w:val="auto"/>
                <w:sz w:val="24"/>
                <w:highlight w:val="none"/>
              </w:rPr>
              <w:t>温馨提醒：供应商应提前上传，以便在上传时遇到技术问题，有充足的时间请教平台的技术人员；</w:t>
            </w:r>
          </w:p>
        </w:tc>
      </w:tr>
      <w:tr w14:paraId="65B7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FAD13B0">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30</w:t>
            </w:r>
          </w:p>
        </w:tc>
        <w:tc>
          <w:tcPr>
            <w:tcW w:w="8158" w:type="dxa"/>
            <w:tcBorders>
              <w:top w:val="single" w:color="auto" w:sz="4" w:space="0"/>
              <w:left w:val="single" w:color="auto" w:sz="4" w:space="0"/>
              <w:bottom w:val="single" w:color="auto" w:sz="4" w:space="0"/>
              <w:right w:val="single" w:color="auto" w:sz="4" w:space="0"/>
            </w:tcBorders>
            <w:vAlign w:val="center"/>
          </w:tcPr>
          <w:p w14:paraId="5A1DC5B3">
            <w:pPr>
              <w:spacing w:line="360" w:lineRule="auto"/>
              <w:rPr>
                <w:rFonts w:ascii="宋体" w:hAnsi="宋体" w:cs="宋体"/>
                <w:color w:val="auto"/>
                <w:sz w:val="24"/>
                <w:highlight w:val="none"/>
              </w:rPr>
            </w:pPr>
            <w:r>
              <w:rPr>
                <w:rFonts w:hint="eastAsia" w:ascii="宋体" w:hAnsi="宋体" w:cs="宋体"/>
                <w:color w:val="auto"/>
                <w:sz w:val="24"/>
                <w:highlight w:val="none"/>
              </w:rPr>
              <w:t>注：除法律、法规和规章规定外，采购文件中用“拒绝”、“不接受”、“无效”、“不得”等文字规定，对其中任何一条的偏离，在评审时将其视为无效文件。未用上述文字规定或符号标注的条款为非实质性要求条款(即一般条款)。除非另有特殊说明，若采购文件中引用了某一品牌、型号或生产供应商名称，均是指参照该品牌、型号或生产供应商的产品或服务，所引用的品牌、型号或生产供应商不构成对投标的限制。若采用的外文术语与某一供应商或某一产品使用的术语相同，并非表示指定了该供应商或该产品。招标响应文件中的报价为一次报价。</w:t>
            </w:r>
          </w:p>
        </w:tc>
      </w:tr>
      <w:tr w14:paraId="19E2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2B97D50">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31</w:t>
            </w:r>
          </w:p>
        </w:tc>
        <w:tc>
          <w:tcPr>
            <w:tcW w:w="8158" w:type="dxa"/>
            <w:tcBorders>
              <w:top w:val="single" w:color="auto" w:sz="4" w:space="0"/>
              <w:left w:val="single" w:color="auto" w:sz="4" w:space="0"/>
              <w:bottom w:val="single" w:color="auto" w:sz="4" w:space="0"/>
              <w:right w:val="single" w:color="auto" w:sz="4" w:space="0"/>
            </w:tcBorders>
            <w:vAlign w:val="center"/>
          </w:tcPr>
          <w:p w14:paraId="46352530">
            <w:pPr>
              <w:spacing w:line="360" w:lineRule="auto"/>
              <w:rPr>
                <w:rFonts w:ascii="宋体" w:hAnsi="宋体" w:cs="宋体"/>
                <w:color w:val="auto"/>
                <w:sz w:val="24"/>
                <w:highlight w:val="none"/>
              </w:rPr>
            </w:pPr>
            <w:r>
              <w:rPr>
                <w:rFonts w:hint="eastAsia" w:ascii="宋体" w:hAnsi="宋体" w:cs="宋体"/>
                <w:color w:val="auto"/>
                <w:sz w:val="24"/>
                <w:highlight w:val="none"/>
              </w:rPr>
              <w:t>政采云平台上传响应文件注意事项：</w:t>
            </w:r>
          </w:p>
          <w:p w14:paraId="42FD48F2">
            <w:pPr>
              <w:spacing w:line="360" w:lineRule="auto"/>
              <w:rPr>
                <w:rFonts w:ascii="宋体" w:hAnsi="宋体" w:cs="宋体"/>
                <w:color w:val="auto"/>
                <w:sz w:val="24"/>
                <w:highlight w:val="none"/>
              </w:rPr>
            </w:pPr>
            <w:r>
              <w:rPr>
                <w:rFonts w:hint="eastAsia" w:ascii="宋体" w:hAnsi="宋体" w:cs="宋体"/>
                <w:color w:val="auto"/>
                <w:sz w:val="24"/>
                <w:highlight w:val="none"/>
              </w:rPr>
              <w:t>供应商在政采云投标客户端中制作和导入投标（响应）文件时，响应文件共分为三部分：资格响应文件、报价要求响应文件、商务技术响应文件。▲其中商务技术响应文件应当上传完整的响应文件，即按照采购文件第六章《响应文件格式》规定的内容和顺序编制的全部内容（包含资格响应文件、报价要求响应文件、商务技术响应文件的全部内容），资格响应文件、报价要求响应文件应按照系统要求另行逐个引用或上传。所有响应文件导入完成后，进入关联标书环节，供应商 需将标项的各响应项关联至标书对应页码，以供专家评审。具体操作流程详见新疆政府采购网（http://www.ccgp-xinjiang.gov.cn/）下载专区其他部分中供应商 --政采云平台操作指南。▲供应商如未按上述要求上传响应文件，所造成的不利后果由供应商自行承担。</w:t>
            </w:r>
          </w:p>
        </w:tc>
      </w:tr>
      <w:tr w14:paraId="48F6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FB04050">
            <w:pPr>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w:t>
            </w:r>
          </w:p>
        </w:tc>
        <w:tc>
          <w:tcPr>
            <w:tcW w:w="8158" w:type="dxa"/>
            <w:tcBorders>
              <w:top w:val="single" w:color="auto" w:sz="4" w:space="0"/>
              <w:left w:val="single" w:color="auto" w:sz="4" w:space="0"/>
              <w:bottom w:val="single" w:color="auto" w:sz="4" w:space="0"/>
              <w:right w:val="single" w:color="auto" w:sz="4" w:space="0"/>
            </w:tcBorders>
            <w:vAlign w:val="center"/>
          </w:tcPr>
          <w:p w14:paraId="30811125">
            <w:pPr>
              <w:pStyle w:val="2"/>
              <w:spacing w:line="360" w:lineRule="auto"/>
              <w:ind w:firstLine="0" w:firstLineChars="0"/>
              <w:rPr>
                <w:rFonts w:ascii="宋体" w:hAnsi="宋体" w:cs="宋体"/>
                <w:b/>
                <w:bCs/>
                <w:color w:val="auto"/>
                <w:sz w:val="24"/>
                <w:highlight w:val="none"/>
              </w:rPr>
            </w:pPr>
            <w:r>
              <w:rPr>
                <w:rFonts w:hint="eastAsia" w:ascii="宋体" w:hAnsi="宋体" w:cs="宋体"/>
                <w:b/>
                <w:bCs/>
                <w:color w:val="auto"/>
                <w:sz w:val="24"/>
                <w:highlight w:val="none"/>
              </w:rPr>
              <w:t>开标及评标顺序：</w:t>
            </w:r>
          </w:p>
          <w:p w14:paraId="77231EA1">
            <w:pPr>
              <w:pStyle w:val="2"/>
              <w:spacing w:line="360" w:lineRule="auto"/>
              <w:ind w:firstLine="0" w:firstLineChars="0"/>
              <w:rPr>
                <w:rFonts w:ascii="宋体" w:hAnsi="宋体" w:cs="宋体"/>
                <w:b/>
                <w:bCs/>
                <w:color w:val="auto"/>
                <w:sz w:val="24"/>
                <w:highlight w:val="none"/>
              </w:rPr>
            </w:pPr>
            <w:r>
              <w:rPr>
                <w:rFonts w:hint="eastAsia" w:ascii="宋体" w:hAnsi="宋体" w:cs="宋体"/>
                <w:b/>
                <w:bCs/>
                <w:color w:val="auto"/>
                <w:sz w:val="24"/>
                <w:highlight w:val="none"/>
              </w:rPr>
              <w:t>（1）新疆维吾尔自治区某单位大宗物资采购项目(禽肉、水产类)（项目编号：CYZX-2026-106）</w:t>
            </w:r>
          </w:p>
          <w:p w14:paraId="3101E2A4">
            <w:pPr>
              <w:pStyle w:val="2"/>
              <w:spacing w:line="360" w:lineRule="auto"/>
              <w:ind w:firstLine="0" w:firstLineChars="0"/>
              <w:rPr>
                <w:rFonts w:ascii="宋体" w:hAnsi="宋体" w:cs="宋体"/>
                <w:b/>
                <w:bCs/>
                <w:color w:val="auto"/>
                <w:sz w:val="24"/>
                <w:highlight w:val="none"/>
              </w:rPr>
            </w:pPr>
            <w:r>
              <w:rPr>
                <w:rFonts w:hint="eastAsia" w:ascii="宋体" w:hAnsi="宋体" w:cs="宋体"/>
                <w:b/>
                <w:bCs/>
                <w:color w:val="auto"/>
                <w:sz w:val="24"/>
                <w:highlight w:val="none"/>
              </w:rPr>
              <w:t>（2）新疆维吾尔自治区某单位大宗物资采购项目(粮油类)（项目编号：CYZX-2026-107）</w:t>
            </w:r>
          </w:p>
          <w:p w14:paraId="057DF773">
            <w:pPr>
              <w:pStyle w:val="2"/>
              <w:spacing w:line="360" w:lineRule="auto"/>
              <w:ind w:firstLine="0" w:firstLineChars="0"/>
              <w:rPr>
                <w:rFonts w:ascii="宋体" w:hAnsi="宋体" w:cs="宋体"/>
                <w:b/>
                <w:bCs/>
                <w:color w:val="auto"/>
                <w:sz w:val="24"/>
                <w:highlight w:val="none"/>
              </w:rPr>
            </w:pPr>
            <w:r>
              <w:rPr>
                <w:rFonts w:hint="eastAsia" w:ascii="宋体" w:hAnsi="宋体" w:cs="宋体"/>
                <w:b/>
                <w:bCs/>
                <w:color w:val="auto"/>
                <w:sz w:val="24"/>
                <w:highlight w:val="none"/>
              </w:rPr>
              <w:t>（3）新疆维吾尔自治区某单位大宗物资采购项目(奶蛋类)（项目编号：CYZX-2026-108）</w:t>
            </w:r>
          </w:p>
          <w:p w14:paraId="79477CC7">
            <w:pPr>
              <w:pStyle w:val="2"/>
              <w:spacing w:line="360" w:lineRule="auto"/>
              <w:ind w:firstLine="0" w:firstLineChars="0"/>
              <w:rPr>
                <w:rFonts w:ascii="宋体" w:hAnsi="宋体" w:cs="宋体"/>
                <w:b/>
                <w:bCs/>
                <w:color w:val="auto"/>
                <w:sz w:val="24"/>
                <w:highlight w:val="none"/>
              </w:rPr>
            </w:pPr>
            <w:r>
              <w:rPr>
                <w:rFonts w:hint="eastAsia" w:ascii="宋体" w:hAnsi="宋体" w:cs="宋体"/>
                <w:b/>
                <w:bCs/>
                <w:color w:val="auto"/>
                <w:sz w:val="24"/>
                <w:highlight w:val="none"/>
              </w:rPr>
              <w:t>（4）新疆维吾尔自治区某单位大宗物资采购项目（牛羊肉类）（项目编号：SSQYZB-CG2026059）</w:t>
            </w:r>
          </w:p>
          <w:p w14:paraId="40C1AE14">
            <w:pPr>
              <w:pStyle w:val="2"/>
              <w:spacing w:line="360" w:lineRule="auto"/>
              <w:ind w:firstLine="0" w:firstLineChars="0"/>
              <w:rPr>
                <w:rFonts w:ascii="宋体" w:hAnsi="宋体" w:cs="宋体"/>
                <w:b/>
                <w:bCs/>
                <w:color w:val="auto"/>
                <w:sz w:val="24"/>
                <w:highlight w:val="none"/>
              </w:rPr>
            </w:pPr>
            <w:r>
              <w:rPr>
                <w:rFonts w:hint="eastAsia" w:ascii="宋体" w:hAnsi="宋体" w:cs="宋体"/>
                <w:b/>
                <w:bCs/>
                <w:color w:val="auto"/>
                <w:sz w:val="24"/>
                <w:highlight w:val="none"/>
              </w:rPr>
              <w:t>（5）新疆维吾尔自治区某单位大宗物资采购项目（蔬菜、水果及干果类）（项目编号：SSQYZB-CG2026058）</w:t>
            </w:r>
          </w:p>
          <w:p w14:paraId="2E20DCD0">
            <w:pPr>
              <w:pStyle w:val="2"/>
              <w:spacing w:line="360" w:lineRule="auto"/>
              <w:ind w:firstLine="0" w:firstLineChars="0"/>
              <w:rPr>
                <w:rFonts w:ascii="宋体" w:hAnsi="宋体" w:cs="宋体"/>
                <w:b/>
                <w:bCs/>
                <w:color w:val="auto"/>
                <w:sz w:val="24"/>
                <w:highlight w:val="none"/>
              </w:rPr>
            </w:pPr>
            <w:r>
              <w:rPr>
                <w:rFonts w:hint="eastAsia" w:ascii="宋体" w:hAnsi="宋体" w:cs="宋体"/>
                <w:b/>
                <w:bCs/>
                <w:color w:val="auto"/>
                <w:sz w:val="24"/>
                <w:highlight w:val="none"/>
              </w:rPr>
              <w:t>（6）新疆维吾尔自治区某单位大宗物资采购项目（副食品及其他类）（项目编号：SSQYZB-CG2026060）</w:t>
            </w:r>
          </w:p>
          <w:p w14:paraId="00C209DF">
            <w:pPr>
              <w:pStyle w:val="2"/>
              <w:spacing w:line="360" w:lineRule="auto"/>
              <w:ind w:firstLine="0" w:firstLineChars="0"/>
              <w:rPr>
                <w:rFonts w:ascii="宋体" w:hAnsi="宋体" w:cs="宋体"/>
                <w:color w:val="auto"/>
                <w:sz w:val="24"/>
                <w:highlight w:val="none"/>
              </w:rPr>
            </w:pPr>
            <w:r>
              <w:rPr>
                <w:rFonts w:hint="eastAsia" w:ascii="宋体" w:hAnsi="宋体" w:cs="宋体"/>
                <w:b/>
                <w:bCs/>
                <w:color w:val="auto"/>
                <w:sz w:val="24"/>
                <w:highlight w:val="none"/>
              </w:rPr>
              <w:t>本项目共分为6个项目，6个项目供应商可兼投但不可兼中。即6个项目供应商均可参与投标，但同一供应商只允许中标一个项目。按照开标及评标顺序进行评标推荐，如在第一个项目中标后，后续项目可参与评标，但不再推荐为前三名中标（成交）候选人。</w:t>
            </w:r>
          </w:p>
        </w:tc>
      </w:tr>
    </w:tbl>
    <w:p w14:paraId="195ACCAC">
      <w:pPr>
        <w:pStyle w:val="2"/>
        <w:spacing w:line="360" w:lineRule="auto"/>
        <w:ind w:firstLine="0" w:firstLineChars="0"/>
        <w:jc w:val="center"/>
        <w:outlineLvl w:val="0"/>
        <w:rPr>
          <w:color w:val="auto"/>
          <w:sz w:val="24"/>
          <w:highlight w:val="none"/>
        </w:rPr>
      </w:pPr>
      <w:r>
        <w:rPr>
          <w:color w:val="auto"/>
          <w:sz w:val="24"/>
          <w:highlight w:val="none"/>
        </w:rPr>
        <w:br w:type="page"/>
      </w:r>
      <w:bookmarkStart w:id="6" w:name="_Toc9167"/>
      <w:r>
        <w:rPr>
          <w:rFonts w:hint="eastAsia"/>
          <w:b/>
          <w:bCs/>
          <w:color w:val="auto"/>
          <w:sz w:val="28"/>
          <w:szCs w:val="28"/>
          <w:highlight w:val="none"/>
        </w:rPr>
        <w:t>第三章  供应商须知</w:t>
      </w:r>
      <w:bookmarkEnd w:id="6"/>
    </w:p>
    <w:p w14:paraId="03D83FA6">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一、</w:t>
      </w:r>
      <w:r>
        <w:rPr>
          <w:rFonts w:hint="eastAsia" w:asciiTheme="minorEastAsia" w:hAnsiTheme="minorEastAsia" w:eastAsiaTheme="minorEastAsia" w:cstheme="minorEastAsia"/>
          <w:b/>
          <w:color w:val="auto"/>
          <w:sz w:val="24"/>
          <w:highlight w:val="none"/>
        </w:rPr>
        <w:t>适用范围</w:t>
      </w:r>
    </w:p>
    <w:p w14:paraId="6E09CC3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Style w:val="42"/>
          <w:rFonts w:hint="eastAsia" w:asciiTheme="minorEastAsia" w:hAnsiTheme="minorEastAsia" w:eastAsiaTheme="minorEastAsia" w:cstheme="minorEastAsia"/>
          <w:color w:val="auto"/>
          <w:sz w:val="24"/>
          <w:szCs w:val="24"/>
          <w:highlight w:val="none"/>
        </w:rPr>
        <w:t>本采购文件仅适用于本次采购活动。</w:t>
      </w:r>
    </w:p>
    <w:p w14:paraId="6592FA3B">
      <w:pPr>
        <w:tabs>
          <w:tab w:val="left" w:pos="3088"/>
        </w:tabs>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2、投标资格</w:t>
      </w:r>
      <w:r>
        <w:rPr>
          <w:rFonts w:hint="eastAsia" w:asciiTheme="minorEastAsia" w:hAnsiTheme="minorEastAsia" w:eastAsiaTheme="minorEastAsia" w:cstheme="minorEastAsia"/>
          <w:b/>
          <w:color w:val="auto"/>
          <w:sz w:val="24"/>
          <w:highlight w:val="none"/>
        </w:rPr>
        <w:tab/>
      </w:r>
    </w:p>
    <w:p w14:paraId="012FBD8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2.1.满足《中华人民共和国政府采购法》第二十二条规定；</w:t>
      </w:r>
    </w:p>
    <w:p w14:paraId="350D19B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2.2.落实政府采购政策需满足的资格要求：本项目专门面向中小企业采购</w:t>
      </w:r>
    </w:p>
    <w:p w14:paraId="2CC27E7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3.本项目的特定资格要求：无</w:t>
      </w:r>
    </w:p>
    <w:p w14:paraId="25FF818A">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3、定义</w:t>
      </w:r>
    </w:p>
    <w:p w14:paraId="3712F537">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下列术语和缩写的定义为：</w:t>
      </w:r>
    </w:p>
    <w:p w14:paraId="32E84B71">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3.1“采购人”系指新疆维吾尔自治区某单位。</w:t>
      </w:r>
    </w:p>
    <w:p w14:paraId="62D149D4">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3.2“采购代理机构”系指新疆盛世乾元工程项目管理咨询有限公司。</w:t>
      </w:r>
    </w:p>
    <w:p w14:paraId="1AE48C3F">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3.3“供应商”系指向采购人提交响应文件的供应商。</w:t>
      </w:r>
    </w:p>
    <w:p w14:paraId="7545D81F">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3.4“服务”系指合同规定中标人须提供合同货物、承担的运输、装卸、仓储保管、售后服务等其他类似的义务。</w:t>
      </w:r>
    </w:p>
    <w:p w14:paraId="3C6A516E">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3.5“乙方”系指提供合同货物和服务的经济实体。</w:t>
      </w:r>
    </w:p>
    <w:p w14:paraId="168BBD24">
      <w:pPr>
        <w:spacing w:line="360" w:lineRule="auto"/>
        <w:ind w:firstLine="480" w:firstLineChars="200"/>
        <w:rPr>
          <w:rStyle w:val="42"/>
          <w:rFonts w:asciiTheme="minorEastAsia" w:hAnsiTheme="minorEastAsia" w:eastAsiaTheme="minorEastAsia" w:cstheme="minorEastAsia"/>
          <w:color w:val="auto"/>
          <w:sz w:val="24"/>
          <w:szCs w:val="24"/>
          <w:highlight w:val="none"/>
        </w:rPr>
      </w:pPr>
      <w:r>
        <w:rPr>
          <w:rStyle w:val="42"/>
          <w:rFonts w:hint="eastAsia" w:asciiTheme="minorEastAsia" w:hAnsiTheme="minorEastAsia" w:eastAsiaTheme="minorEastAsia" w:cstheme="minorEastAsia"/>
          <w:color w:val="auto"/>
          <w:sz w:val="24"/>
          <w:szCs w:val="24"/>
          <w:highlight w:val="none"/>
        </w:rPr>
        <w:t>3.6“甲方”系指采购货物及要求提供服务的单位。</w:t>
      </w:r>
    </w:p>
    <w:p w14:paraId="1F1F1F69">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4、</w:t>
      </w:r>
      <w:r>
        <w:rPr>
          <w:rFonts w:hint="eastAsia" w:asciiTheme="minorEastAsia" w:hAnsiTheme="minorEastAsia" w:eastAsiaTheme="minorEastAsia" w:cstheme="minorEastAsia"/>
          <w:b/>
          <w:color w:val="auto"/>
          <w:sz w:val="24"/>
          <w:highlight w:val="none"/>
        </w:rPr>
        <w:t>投标费用</w:t>
      </w:r>
    </w:p>
    <w:p w14:paraId="62C1600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4.1无论投标结果如何，凡参与招标、投标活动有关的所有费用将由供应商自行承担。</w:t>
      </w:r>
    </w:p>
    <w:p w14:paraId="76E91EA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4.2供应商被视为熟悉本招标项目的各种情况以及与履行合同有关的一切情况。</w:t>
      </w:r>
    </w:p>
    <w:p w14:paraId="29ADC3DD">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5、</w:t>
      </w:r>
      <w:r>
        <w:rPr>
          <w:rFonts w:hint="eastAsia" w:asciiTheme="minorEastAsia" w:hAnsiTheme="minorEastAsia" w:eastAsiaTheme="minorEastAsia" w:cstheme="minorEastAsia"/>
          <w:b/>
          <w:color w:val="auto"/>
          <w:sz w:val="24"/>
          <w:highlight w:val="none"/>
        </w:rPr>
        <w:t>采购文件的构成</w:t>
      </w:r>
    </w:p>
    <w:p w14:paraId="42ABEFC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采购文件由下述部分组成：</w:t>
      </w:r>
    </w:p>
    <w:p w14:paraId="50AB47A7">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"_Toc8148"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第一章  招标公告</w:t>
      </w:r>
      <w:r>
        <w:rPr>
          <w:rFonts w:hint="eastAsia" w:asciiTheme="minorEastAsia" w:hAnsiTheme="minorEastAsia" w:eastAsiaTheme="minorEastAsia" w:cstheme="minorEastAsia"/>
          <w:color w:val="auto"/>
          <w:sz w:val="24"/>
          <w:szCs w:val="24"/>
          <w:highlight w:val="none"/>
        </w:rPr>
        <w:fldChar w:fldCharType="end"/>
      </w:r>
    </w:p>
    <w:p w14:paraId="370A94CA">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"_Toc32271"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第二章  供应商须知前附表</w:t>
      </w:r>
      <w:r>
        <w:rPr>
          <w:rFonts w:hint="eastAsia" w:asciiTheme="minorEastAsia" w:hAnsiTheme="minorEastAsia" w:eastAsiaTheme="minorEastAsia" w:cstheme="minorEastAsia"/>
          <w:color w:val="auto"/>
          <w:sz w:val="24"/>
          <w:szCs w:val="24"/>
          <w:highlight w:val="none"/>
        </w:rPr>
        <w:fldChar w:fldCharType="end"/>
      </w:r>
    </w:p>
    <w:p w14:paraId="017026F0">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"_Toc12619"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第三章  供应商须知</w:t>
      </w:r>
      <w:r>
        <w:rPr>
          <w:rFonts w:hint="eastAsia" w:asciiTheme="minorEastAsia" w:hAnsiTheme="minorEastAsia" w:eastAsiaTheme="minorEastAsia" w:cstheme="minorEastAsia"/>
          <w:color w:val="auto"/>
          <w:sz w:val="24"/>
          <w:szCs w:val="24"/>
          <w:highlight w:val="none"/>
        </w:rPr>
        <w:fldChar w:fldCharType="end"/>
      </w:r>
    </w:p>
    <w:p w14:paraId="76F98E83">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"_Toc1557"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第四章  合同</w:t>
      </w:r>
      <w:r>
        <w:rPr>
          <w:rFonts w:hint="eastAsia" w:asciiTheme="minorEastAsia" w:hAnsiTheme="minorEastAsia" w:eastAsiaTheme="minorEastAsia" w:cstheme="minorEastAsia"/>
          <w:color w:val="auto"/>
          <w:sz w:val="24"/>
          <w:szCs w:val="24"/>
          <w:highlight w:val="none"/>
        </w:rPr>
        <w:fldChar w:fldCharType="end"/>
      </w:r>
    </w:p>
    <w:p w14:paraId="5687BC69">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"_Toc5996"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第五章  采购需求及技术要求</w:t>
      </w:r>
      <w:r>
        <w:rPr>
          <w:rFonts w:hint="eastAsia" w:asciiTheme="minorEastAsia" w:hAnsiTheme="minorEastAsia" w:eastAsiaTheme="minorEastAsia" w:cstheme="minorEastAsia"/>
          <w:color w:val="auto"/>
          <w:sz w:val="24"/>
          <w:szCs w:val="24"/>
          <w:highlight w:val="none"/>
        </w:rPr>
        <w:fldChar w:fldCharType="end"/>
      </w:r>
    </w:p>
    <w:p w14:paraId="4EBD5445">
      <w:pPr>
        <w:pStyle w:val="47"/>
        <w:tabs>
          <w:tab w:val="right" w:leader="dot" w:pos="8306"/>
        </w:tabs>
        <w:spacing w:line="360" w:lineRule="auto"/>
        <w:ind w:firstLine="400" w:firstLineChars="200"/>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"_Toc18961"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第六章  评标标准及办法</w:t>
      </w:r>
      <w:r>
        <w:rPr>
          <w:rFonts w:hint="eastAsia" w:asciiTheme="minorEastAsia" w:hAnsiTheme="minorEastAsia" w:eastAsiaTheme="minorEastAsia" w:cstheme="minorEastAsia"/>
          <w:color w:val="auto"/>
          <w:sz w:val="24"/>
          <w:szCs w:val="24"/>
          <w:highlight w:val="none"/>
        </w:rPr>
        <w:fldChar w:fldCharType="end"/>
      </w:r>
    </w:p>
    <w:p w14:paraId="44E198B0">
      <w:pPr>
        <w:spacing w:line="360" w:lineRule="auto"/>
        <w:ind w:firstLine="420" w:firstLineChars="200"/>
        <w:rPr>
          <w:rFonts w:asciiTheme="minorEastAsia" w:hAnsiTheme="minorEastAsia" w:eastAsiaTheme="minorEastAsia" w:cstheme="minorEastAsia"/>
          <w:color w:val="auto"/>
          <w:sz w:val="24"/>
          <w:highlight w:val="none"/>
        </w:rPr>
      </w:pPr>
      <w:r>
        <w:rPr>
          <w:color w:val="auto"/>
          <w:highlight w:val="none"/>
        </w:rPr>
        <w:fldChar w:fldCharType="begin"/>
      </w:r>
      <w:r>
        <w:rPr>
          <w:color w:val="auto"/>
          <w:highlight w:val="none"/>
        </w:rPr>
        <w:instrText xml:space="preserve"> HYPERLINK \l "_Toc28443" </w:instrText>
      </w:r>
      <w:r>
        <w:rPr>
          <w:color w:val="auto"/>
          <w:highlight w:val="none"/>
        </w:rPr>
        <w:fldChar w:fldCharType="separate"/>
      </w:r>
      <w:r>
        <w:rPr>
          <w:rFonts w:hint="eastAsia" w:asciiTheme="minorEastAsia" w:hAnsiTheme="minorEastAsia" w:eastAsiaTheme="minorEastAsia" w:cstheme="minorEastAsia"/>
          <w:color w:val="auto"/>
          <w:sz w:val="24"/>
          <w:highlight w:val="none"/>
        </w:rPr>
        <w:t>第七章  响应文件格式</w:t>
      </w:r>
      <w:r>
        <w:rPr>
          <w:rFonts w:hint="eastAsia" w:asciiTheme="minorEastAsia" w:hAnsiTheme="minorEastAsia" w:eastAsiaTheme="minorEastAsia" w:cstheme="minorEastAsia"/>
          <w:color w:val="auto"/>
          <w:sz w:val="24"/>
          <w:highlight w:val="none"/>
        </w:rPr>
        <w:tab/>
      </w:r>
      <w:r>
        <w:rPr>
          <w:rFonts w:hint="eastAsia" w:asciiTheme="minorEastAsia" w:hAnsiTheme="minorEastAsia" w:eastAsiaTheme="minorEastAsia" w:cstheme="minorEastAsia"/>
          <w:color w:val="auto"/>
          <w:sz w:val="24"/>
          <w:highlight w:val="none"/>
        </w:rPr>
        <w:fldChar w:fldCharType="end"/>
      </w:r>
    </w:p>
    <w:p w14:paraId="5E427E67">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6、采购文件的澄清</w:t>
      </w:r>
    </w:p>
    <w:p w14:paraId="40B15D5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对于响应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30分钟。</w:t>
      </w:r>
    </w:p>
    <w:p w14:paraId="561FF86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投标供应商的澄清、说明或者补正应当通过“政府采购云平台”在线答复的方式提交，并加盖公章(电子印章)，或者由法定代表人(负责人)或其授权的代表签字。投标供应商的澄清、说明或者补正不得超出响应文件的范围或者改变响应文件的实质性内容，不接受投标供应商主动对响应文件的澄清、说明或者补正。</w:t>
      </w:r>
    </w:p>
    <w:p w14:paraId="4AB6C23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7E433BCD">
      <w:pPr>
        <w:spacing w:line="360" w:lineRule="auto"/>
        <w:ind w:firstLine="723" w:firstLineChars="3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错误修正的原则</w:t>
      </w:r>
    </w:p>
    <w:p w14:paraId="4CF13C7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电子交易平台客户端里开标一览表录入的投标报价或优惠率与扫描上传的报价文件信息不一致的，以扫描上传的报价文件信息为准进行修正。</w:t>
      </w:r>
    </w:p>
    <w:p w14:paraId="213F28A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响应文件报价出现前后不一致的，除采购文件另有规定外，按照下列规定修正：</w:t>
      </w:r>
    </w:p>
    <w:p w14:paraId="10F5269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1）投标函中表述的内容与报价一览表中不一致的，以报价一览表为准；报价一览表中的内容与报价明细表不一致的，以报价一览表为准；</w:t>
      </w:r>
    </w:p>
    <w:p w14:paraId="25AA262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2）响应文件中的大写金额和小写金额不一致的，以大写金额为准；</w:t>
      </w:r>
    </w:p>
    <w:p w14:paraId="5B043E0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3）单价金额小数点或者百分比有明显错位的，以开标一览表的总价为准，并修改单价；</w:t>
      </w:r>
    </w:p>
    <w:p w14:paraId="5B726AB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4）总价金额与按单价汇总金额不一致的，以单价金额计算结果为准；</w:t>
      </w:r>
    </w:p>
    <w:p w14:paraId="2E90417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5）若用文字表示的数值与用数字表示的数值不一致，以文字表示的数值为准；</w:t>
      </w:r>
    </w:p>
    <w:p w14:paraId="6575737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6）如有多报(指数量超出采购文件需求)、重报(指同一货物重复报价)，其投标总价在评标过程中不予调整，如其中标，其合同价按其投标单价予以调整；</w:t>
      </w:r>
    </w:p>
    <w:p w14:paraId="4CC93DC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7）对不同文字文本响应文件的解释发生异议的，以中文文本为准；</w:t>
      </w:r>
    </w:p>
    <w:p w14:paraId="13BD389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同时出现两种以上不一致的，按照前款规定的顺序修正。按上述修正错误的原则及方法调整或修正响应文件的投标报价，供应商确认后，以调整或修正后的投标报价为准。如供应商拒绝调整或修正的，其响应文件按无效标处理。修正应当采用电子询标的形式，并加盖公章(电子印章)。</w:t>
      </w:r>
    </w:p>
    <w:p w14:paraId="07C1CEF0">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7、采购文件的修改或补充</w:t>
      </w:r>
    </w:p>
    <w:p w14:paraId="128AEAD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7.1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响应文件撤回。投标截止时间后传输递交的响应文件，“政府采购云平台”将予以拒收。投标截止时间后，供应商不得修改(补充)或撤回其响应文件。</w:t>
      </w:r>
    </w:p>
    <w:p w14:paraId="57C8DDC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7.2为使供应商在准备投标时有适当的时间考虑响应文件的修改，招标方有权决定推迟投标截止时间和开标日期，并将此变更通知所有的供应商。</w:t>
      </w:r>
    </w:p>
    <w:p w14:paraId="119C255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7.3采购文件的修改和补充文件将构成采购文件的一部分，并且对供应商具有优先约束力。</w:t>
      </w:r>
    </w:p>
    <w:p w14:paraId="2D911264">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二、对供应商的资质要求</w:t>
      </w:r>
    </w:p>
    <w:p w14:paraId="5AF275FB">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8、</w:t>
      </w:r>
      <w:r>
        <w:rPr>
          <w:rFonts w:hint="eastAsia" w:asciiTheme="minorEastAsia" w:hAnsiTheme="minorEastAsia" w:eastAsiaTheme="minorEastAsia" w:cstheme="minorEastAsia"/>
          <w:b/>
          <w:color w:val="auto"/>
          <w:sz w:val="24"/>
          <w:highlight w:val="none"/>
        </w:rPr>
        <w:t>投标资质</w:t>
      </w:r>
    </w:p>
    <w:p w14:paraId="4142A7E8">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资格审查表</w:t>
      </w:r>
    </w:p>
    <w:tbl>
      <w:tblPr>
        <w:tblStyle w:val="29"/>
        <w:tblW w:w="9782" w:type="dxa"/>
        <w:jc w:val="center"/>
        <w:tblLayout w:type="fixed"/>
        <w:tblCellMar>
          <w:top w:w="0" w:type="dxa"/>
          <w:left w:w="0" w:type="dxa"/>
          <w:bottom w:w="0" w:type="dxa"/>
          <w:right w:w="0" w:type="dxa"/>
        </w:tblCellMar>
      </w:tblPr>
      <w:tblGrid>
        <w:gridCol w:w="448"/>
        <w:gridCol w:w="1955"/>
        <w:gridCol w:w="7379"/>
      </w:tblGrid>
      <w:tr w14:paraId="77E0F6AB">
        <w:trPr>
          <w:trHeight w:val="774" w:hRule="atLeast"/>
          <w:tblHeader/>
          <w:jc w:val="center"/>
        </w:trPr>
        <w:tc>
          <w:tcPr>
            <w:tcW w:w="4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CC134B">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7F4227">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审查标准</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E2039D">
            <w:pPr>
              <w:adjustRightInd w:val="0"/>
              <w:snapToGrid w:val="0"/>
              <w:jc w:val="center"/>
              <w:rPr>
                <w:rFonts w:ascii="宋体" w:hAnsi="宋体" w:cs="宋体"/>
                <w:color w:val="auto"/>
                <w:sz w:val="24"/>
                <w:highlight w:val="none"/>
              </w:rPr>
            </w:pPr>
            <w:r>
              <w:rPr>
                <w:rFonts w:hint="eastAsia" w:ascii="宋体" w:hAnsi="宋体" w:cs="宋体"/>
                <w:color w:val="auto"/>
                <w:sz w:val="24"/>
                <w:highlight w:val="none"/>
              </w:rPr>
              <w:t>审查证明材料</w:t>
            </w:r>
          </w:p>
        </w:tc>
      </w:tr>
      <w:tr w14:paraId="2450EE93">
        <w:tblPrEx>
          <w:tblCellMar>
            <w:top w:w="0" w:type="dxa"/>
            <w:left w:w="0" w:type="dxa"/>
            <w:bottom w:w="0" w:type="dxa"/>
            <w:right w:w="0" w:type="dxa"/>
          </w:tblCellMar>
        </w:tblPrEx>
        <w:trPr>
          <w:trHeight w:val="794"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79BF25BA">
            <w:pPr>
              <w:jc w:val="center"/>
              <w:rPr>
                <w:rFonts w:ascii="宋体" w:hAnsi="宋体" w:cs="宋体"/>
                <w:color w:val="auto"/>
                <w:sz w:val="24"/>
                <w:highlight w:val="none"/>
              </w:rPr>
            </w:pPr>
            <w:r>
              <w:rPr>
                <w:rFonts w:hint="eastAsia" w:ascii="宋体" w:hAnsi="宋体" w:cs="宋体"/>
                <w:color w:val="auto"/>
                <w:sz w:val="24"/>
                <w:highlight w:val="none"/>
              </w:rPr>
              <w:t>1</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94E14F">
            <w:pPr>
              <w:widowControl/>
              <w:adjustRightInd w:val="0"/>
              <w:snapToGrid w:val="0"/>
              <w:jc w:val="left"/>
              <w:rPr>
                <w:rFonts w:ascii="宋体" w:hAnsi="宋体" w:cs="宋体"/>
                <w:color w:val="auto"/>
                <w:sz w:val="24"/>
                <w:highlight w:val="none"/>
              </w:rPr>
            </w:pPr>
            <w:r>
              <w:rPr>
                <w:rFonts w:hint="eastAsia" w:ascii="宋体" w:hAnsi="宋体" w:cs="宋体"/>
                <w:bCs/>
                <w:color w:val="auto"/>
                <w:sz w:val="24"/>
                <w:highlight w:val="none"/>
              </w:rPr>
              <w:t>具有独立承担民事责任的能力</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14B748">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如供应商是企业（包括合伙企业），应提供在工商部门注册的有效“企业法人营业执照”或“营业执照”（三证或五证合一）；如供应商是事业单位，应提供有效的“事业单位法人证书”；如供应商是非企业专业服务机构的，应提供执业许可证等证明文件；如供应商是个体工商户，应提供有效的“个体工商户营业执照”；如供应商是自然人，应提供有效的自然人身份证明。</w:t>
            </w:r>
          </w:p>
        </w:tc>
      </w:tr>
      <w:tr w14:paraId="0CE8EA85">
        <w:tblPrEx>
          <w:tblCellMar>
            <w:top w:w="0" w:type="dxa"/>
            <w:left w:w="0" w:type="dxa"/>
            <w:bottom w:w="0" w:type="dxa"/>
            <w:right w:w="0" w:type="dxa"/>
          </w:tblCellMar>
        </w:tblPrEx>
        <w:trPr>
          <w:trHeight w:val="430"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9B21285">
            <w:pPr>
              <w:jc w:val="center"/>
              <w:rPr>
                <w:rFonts w:ascii="宋体" w:hAnsi="宋体" w:cs="宋体"/>
                <w:color w:val="auto"/>
                <w:sz w:val="24"/>
                <w:highlight w:val="none"/>
              </w:rPr>
            </w:pPr>
            <w:r>
              <w:rPr>
                <w:rFonts w:hint="eastAsia" w:ascii="宋体" w:hAnsi="宋体" w:cs="宋体"/>
                <w:color w:val="auto"/>
                <w:sz w:val="24"/>
                <w:highlight w:val="none"/>
              </w:rPr>
              <w:t>2</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59903E">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具有良好的商业信誉和健全的财务会计制度</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52DEB8">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提供2024或2025年度经审计财务报告复印件（加盖公章），含资产负债表、利润表、现金流量表；或投标截止前3个月内基本开户银行出具的资信证明（银行存款证明无效），附基本账户开户信息；或提供良好商业信誉及健全财务会计制度承诺函（加盖单位公章），附基本账户开户信息。</w:t>
            </w:r>
          </w:p>
        </w:tc>
      </w:tr>
      <w:tr w14:paraId="2D5D8390">
        <w:tblPrEx>
          <w:tblCellMar>
            <w:top w:w="0" w:type="dxa"/>
            <w:left w:w="0" w:type="dxa"/>
            <w:bottom w:w="0" w:type="dxa"/>
            <w:right w:w="0" w:type="dxa"/>
          </w:tblCellMar>
        </w:tblPrEx>
        <w:trPr>
          <w:trHeight w:val="794" w:hRule="atLeast"/>
          <w:jc w:val="center"/>
        </w:trPr>
        <w:tc>
          <w:tcPr>
            <w:tcW w:w="448" w:type="dxa"/>
            <w:vMerge w:val="restart"/>
            <w:tcBorders>
              <w:top w:val="single" w:color="000000" w:sz="4" w:space="0"/>
              <w:left w:val="single" w:color="000000" w:sz="4" w:space="0"/>
              <w:right w:val="single" w:color="000000" w:sz="4" w:space="0"/>
            </w:tcBorders>
            <w:shd w:val="clear" w:color="auto" w:fill="auto"/>
            <w:tcMar>
              <w:top w:w="0" w:type="dxa"/>
              <w:left w:w="108" w:type="dxa"/>
              <w:bottom w:w="0" w:type="dxa"/>
              <w:right w:w="108" w:type="dxa"/>
            </w:tcMar>
            <w:vAlign w:val="center"/>
          </w:tcPr>
          <w:p w14:paraId="64960D50">
            <w:pPr>
              <w:jc w:val="center"/>
              <w:rPr>
                <w:rFonts w:ascii="宋体" w:hAnsi="宋体" w:cs="宋体"/>
                <w:color w:val="auto"/>
                <w:sz w:val="24"/>
                <w:highlight w:val="none"/>
              </w:rPr>
            </w:pPr>
            <w:r>
              <w:rPr>
                <w:rFonts w:hint="eastAsia" w:ascii="宋体" w:hAnsi="宋体" w:cs="宋体"/>
                <w:color w:val="auto"/>
                <w:sz w:val="24"/>
                <w:highlight w:val="none"/>
              </w:rPr>
              <w:t>3</w:t>
            </w:r>
          </w:p>
          <w:p w14:paraId="34341FBD">
            <w:pPr>
              <w:jc w:val="center"/>
              <w:rPr>
                <w:rFonts w:ascii="宋体" w:hAnsi="宋体" w:cs="宋体"/>
                <w:color w:val="auto"/>
                <w:sz w:val="24"/>
                <w:highlight w:val="none"/>
              </w:rPr>
            </w:pPr>
            <w:r>
              <w:rPr>
                <w:rFonts w:hint="eastAsia" w:ascii="宋体" w:hAnsi="宋体" w:cs="宋体"/>
                <w:color w:val="auto"/>
                <w:sz w:val="24"/>
                <w:highlight w:val="none"/>
              </w:rPr>
              <w:t>4</w:t>
            </w:r>
          </w:p>
        </w:tc>
        <w:tc>
          <w:tcPr>
            <w:tcW w:w="1955"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14:paraId="70A250EC">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有依法缴纳税收和社会保障资金的良好记录</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7C2FF9">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供应商依法缴纳税收的证明材料：</w:t>
            </w:r>
          </w:p>
          <w:p w14:paraId="04992705">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1.投标截止时间前一年内任意1个月的纳税凭据（完税证明、缴款书、银行代扣（代缴）转账凭证）；</w:t>
            </w:r>
          </w:p>
          <w:p w14:paraId="7F78BBD9">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2.供应商为其他组织的，也需按此项规定提供缴纳税收凭据；自然人无需提供。</w:t>
            </w:r>
          </w:p>
          <w:p w14:paraId="3BB8CE28">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3.依法免税的供应商，须提供相应文件证明其依法免税。</w:t>
            </w:r>
          </w:p>
          <w:p w14:paraId="5C47B68B">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4.成立时间不足3个月、无应税收入或当期税收零申报的供应商，无需提供纳税凭据，提供承诺函即可。</w:t>
            </w:r>
          </w:p>
        </w:tc>
      </w:tr>
      <w:tr w14:paraId="76D539A4">
        <w:tblPrEx>
          <w:tblCellMar>
            <w:top w:w="0" w:type="dxa"/>
            <w:left w:w="0" w:type="dxa"/>
            <w:bottom w:w="0" w:type="dxa"/>
            <w:right w:w="0" w:type="dxa"/>
          </w:tblCellMar>
        </w:tblPrEx>
        <w:trPr>
          <w:trHeight w:val="794" w:hRule="atLeast"/>
          <w:jc w:val="center"/>
        </w:trPr>
        <w:tc>
          <w:tcPr>
            <w:tcW w:w="448" w:type="dxa"/>
            <w:vMerge w:val="continue"/>
            <w:tcBorders>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459C3941">
            <w:pPr>
              <w:jc w:val="center"/>
              <w:rPr>
                <w:rFonts w:ascii="宋体" w:hAnsi="宋体" w:cs="宋体"/>
                <w:color w:val="auto"/>
                <w:sz w:val="24"/>
                <w:highlight w:val="none"/>
              </w:rPr>
            </w:pPr>
          </w:p>
        </w:tc>
        <w:tc>
          <w:tcPr>
            <w:tcW w:w="1955" w:type="dxa"/>
            <w:vMerge w:val="continue"/>
            <w:tcBorders>
              <w:left w:val="single" w:color="000000" w:sz="4" w:space="0"/>
              <w:bottom w:val="single" w:color="000000" w:sz="4" w:space="0"/>
              <w:right w:val="single" w:color="000000" w:sz="4" w:space="0"/>
            </w:tcBorders>
            <w:tcMar>
              <w:top w:w="0" w:type="dxa"/>
              <w:left w:w="108" w:type="dxa"/>
              <w:bottom w:w="0" w:type="dxa"/>
              <w:right w:w="108" w:type="dxa"/>
            </w:tcMar>
            <w:vAlign w:val="center"/>
          </w:tcPr>
          <w:p w14:paraId="6154F667">
            <w:pPr>
              <w:widowControl/>
              <w:adjustRightInd w:val="0"/>
              <w:snapToGrid w:val="0"/>
              <w:jc w:val="left"/>
              <w:rPr>
                <w:rFonts w:ascii="宋体" w:hAnsi="宋体" w:cs="宋体"/>
                <w:color w:val="auto"/>
                <w:sz w:val="24"/>
                <w:highlight w:val="none"/>
              </w:rPr>
            </w:pP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44F4B4">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供应商依法缴纳社会保障资金的证明材料：</w:t>
            </w:r>
          </w:p>
          <w:p w14:paraId="7EC0AE20">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1.投标截止时间前一年内任意 1 个月的社保缴纳凭据（专用收据或社会保险交纳清单）；</w:t>
            </w:r>
          </w:p>
          <w:p w14:paraId="561D7B74">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2.供应商为其他组织，也需按此项规定提供缴纳社会保险的凭据。自然人无需提供。</w:t>
            </w:r>
          </w:p>
          <w:p w14:paraId="0087242A">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3.依法不需要缴纳社会保障资金的供应商，须提供相应文件证明其依法不需要缴纳社会保障资金。</w:t>
            </w:r>
          </w:p>
          <w:p w14:paraId="53B28D7A">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4.成立时间不足3个月、暂无从业人员未缴纳社保的供应商，无需提供本项社保缴纳材料，提供承诺函即可。</w:t>
            </w:r>
          </w:p>
        </w:tc>
      </w:tr>
      <w:tr w14:paraId="7C813736">
        <w:tblPrEx>
          <w:tblCellMar>
            <w:top w:w="0" w:type="dxa"/>
            <w:left w:w="0" w:type="dxa"/>
            <w:bottom w:w="0" w:type="dxa"/>
            <w:right w:w="0" w:type="dxa"/>
          </w:tblCellMar>
        </w:tblPrEx>
        <w:trPr>
          <w:trHeight w:val="794" w:hRule="atLeast"/>
          <w:jc w:val="center"/>
        </w:trPr>
        <w:tc>
          <w:tcPr>
            <w:tcW w:w="44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367C1B">
            <w:pPr>
              <w:jc w:val="center"/>
              <w:rPr>
                <w:rFonts w:ascii="宋体" w:hAnsi="宋体" w:cs="宋体"/>
                <w:color w:val="auto"/>
                <w:sz w:val="24"/>
                <w:highlight w:val="none"/>
              </w:rPr>
            </w:pP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A90AC4E">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具有履行合同所必需的设备和专业技术能力</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545470">
            <w:pPr>
              <w:widowControl/>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供应商履行合同所必须的设备和专业技术能力承诺函</w:t>
            </w:r>
          </w:p>
        </w:tc>
      </w:tr>
      <w:tr w14:paraId="0BD43587">
        <w:tblPrEx>
          <w:tblCellMar>
            <w:top w:w="0" w:type="dxa"/>
            <w:left w:w="0" w:type="dxa"/>
            <w:bottom w:w="0" w:type="dxa"/>
            <w:right w:w="0" w:type="dxa"/>
          </w:tblCellMar>
        </w:tblPrEx>
        <w:trPr>
          <w:trHeight w:val="794"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71A30CC">
            <w:pPr>
              <w:jc w:val="center"/>
              <w:rPr>
                <w:rFonts w:ascii="宋体" w:hAnsi="宋体" w:cs="宋体"/>
                <w:color w:val="auto"/>
                <w:sz w:val="24"/>
                <w:highlight w:val="none"/>
              </w:rPr>
            </w:pPr>
            <w:r>
              <w:rPr>
                <w:rFonts w:hint="eastAsia" w:ascii="宋体" w:hAnsi="宋体" w:cs="宋体"/>
                <w:color w:val="auto"/>
                <w:sz w:val="24"/>
                <w:highlight w:val="none"/>
              </w:rPr>
              <w:t>5</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D9C205">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参加政府采购活动前三年内，在经营活动中没有重大违法记录</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77C89C">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参加政府采购活动前三年内在经营活动中没有重大违法记录的书面声明函</w:t>
            </w:r>
          </w:p>
        </w:tc>
      </w:tr>
      <w:tr w14:paraId="72469C6D">
        <w:tblPrEx>
          <w:tblCellMar>
            <w:top w:w="0" w:type="dxa"/>
            <w:left w:w="0" w:type="dxa"/>
            <w:bottom w:w="0" w:type="dxa"/>
            <w:right w:w="0" w:type="dxa"/>
          </w:tblCellMar>
        </w:tblPrEx>
        <w:trPr>
          <w:trHeight w:val="805"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D0D840E">
            <w:pPr>
              <w:jc w:val="center"/>
              <w:rPr>
                <w:rFonts w:ascii="宋体" w:hAnsi="宋体" w:cs="宋体"/>
                <w:color w:val="auto"/>
                <w:sz w:val="24"/>
                <w:highlight w:val="none"/>
              </w:rPr>
            </w:pPr>
            <w:r>
              <w:rPr>
                <w:rFonts w:hint="eastAsia" w:ascii="宋体" w:hAnsi="宋体" w:cs="宋体"/>
                <w:color w:val="auto"/>
                <w:sz w:val="24"/>
                <w:highlight w:val="none"/>
              </w:rPr>
              <w:t>6</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B4C4A1B">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限制行为</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D0A7A59">
            <w:pPr>
              <w:adjustRightInd w:val="0"/>
              <w:snapToGrid w:val="0"/>
              <w:jc w:val="left"/>
              <w:rPr>
                <w:rFonts w:ascii="宋体" w:hAnsi="宋体" w:cs="宋体"/>
                <w:color w:val="auto"/>
                <w:sz w:val="24"/>
                <w:highlight w:val="none"/>
              </w:rPr>
            </w:pPr>
            <w:r>
              <w:rPr>
                <w:rFonts w:hint="eastAsia" w:ascii="宋体" w:hAnsi="宋体" w:cs="宋体"/>
                <w:color w:val="auto"/>
                <w:sz w:val="24"/>
                <w:highlight w:val="none"/>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供应商提供相关承诺函并加盖供应商单位公章。</w:t>
            </w:r>
          </w:p>
        </w:tc>
      </w:tr>
      <w:tr w14:paraId="7284D40C">
        <w:tblPrEx>
          <w:tblCellMar>
            <w:top w:w="0" w:type="dxa"/>
            <w:left w:w="0" w:type="dxa"/>
            <w:bottom w:w="0" w:type="dxa"/>
            <w:right w:w="0" w:type="dxa"/>
          </w:tblCellMar>
        </w:tblPrEx>
        <w:trPr>
          <w:trHeight w:val="805" w:hRule="atLeast"/>
          <w:jc w:val="center"/>
        </w:trPr>
        <w:tc>
          <w:tcPr>
            <w:tcW w:w="44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E455B87">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195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00EB11E">
            <w:pPr>
              <w:adjustRightInd w:val="0"/>
              <w:snapToGrid w:val="0"/>
              <w:jc w:val="left"/>
              <w:rPr>
                <w:rFonts w:hint="eastAsia" w:ascii="宋体" w:hAnsi="宋体" w:cs="宋体"/>
                <w:color w:val="auto"/>
                <w:sz w:val="24"/>
                <w:highlight w:val="none"/>
              </w:rPr>
            </w:pPr>
            <w:r>
              <w:rPr>
                <w:rFonts w:hint="eastAsia" w:ascii="宋体" w:hAnsi="宋体" w:cs="宋体"/>
                <w:color w:val="auto"/>
                <w:sz w:val="24"/>
                <w:highlight w:val="none"/>
              </w:rPr>
              <w:t>供应商应为中小企业</w:t>
            </w:r>
          </w:p>
        </w:tc>
        <w:tc>
          <w:tcPr>
            <w:tcW w:w="737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3595BA4">
            <w:pPr>
              <w:adjustRightInd w:val="0"/>
              <w:snapToGrid w:val="0"/>
              <w:jc w:val="left"/>
              <w:rPr>
                <w:rFonts w:hint="eastAsia" w:ascii="宋体" w:hAnsi="宋体" w:cs="宋体"/>
                <w:color w:val="auto"/>
                <w:sz w:val="24"/>
                <w:highlight w:val="none"/>
              </w:rPr>
            </w:pPr>
            <w:r>
              <w:rPr>
                <w:rFonts w:hint="eastAsia" w:ascii="宋体" w:hAnsi="宋体" w:cs="宋体"/>
                <w:color w:val="auto"/>
                <w:sz w:val="24"/>
                <w:highlight w:val="none"/>
              </w:rPr>
              <w:t>请根据要求单独上传《中小企业声明函》。格式以采购文件要求为准。</w:t>
            </w:r>
          </w:p>
        </w:tc>
      </w:tr>
    </w:tbl>
    <w:p w14:paraId="3F59FC4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8.2所有资格证明文件必须满足采购文件的要求，否则将视为无效标。</w:t>
      </w:r>
    </w:p>
    <w:p w14:paraId="2C453BE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8.3供应商在投标中违反国家有关法律法规的强制性规定的，其投标按无效标处理。</w:t>
      </w:r>
    </w:p>
    <w:p w14:paraId="255EE527">
      <w:pPr>
        <w:spacing w:line="360" w:lineRule="auto"/>
        <w:ind w:firstLine="482" w:firstLineChars="200"/>
        <w:jc w:val="left"/>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三、响应文件的编写</w:t>
      </w:r>
    </w:p>
    <w:p w14:paraId="1F1116CF">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9、响应文件编写要求</w:t>
      </w:r>
    </w:p>
    <w:p w14:paraId="79CA3F3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供应商应仔细阅读采购文件，了解采购文件的要求，按采购文件的要求提供响应文件，并保证所提供的全部资料的真实性，以确保其投标对采购文件做出实质性的响应，否则，其投标可能被拒绝。</w:t>
      </w:r>
    </w:p>
    <w:p w14:paraId="541F2FB9">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bCs/>
          <w:color w:val="auto"/>
          <w:sz w:val="24"/>
          <w:highlight w:val="none"/>
        </w:rPr>
        <w:t>10、</w:t>
      </w:r>
      <w:r>
        <w:rPr>
          <w:rFonts w:hint="eastAsia" w:asciiTheme="minorEastAsia" w:hAnsiTheme="minorEastAsia" w:eastAsiaTheme="minorEastAsia" w:cstheme="minorEastAsia"/>
          <w:b/>
          <w:color w:val="auto"/>
          <w:sz w:val="24"/>
          <w:highlight w:val="none"/>
        </w:rPr>
        <w:t>响应文件语言和度量单位</w:t>
      </w:r>
      <w:r>
        <w:rPr>
          <w:rFonts w:hint="eastAsia" w:asciiTheme="minorEastAsia" w:hAnsiTheme="minorEastAsia" w:eastAsiaTheme="minorEastAsia" w:cstheme="minorEastAsia"/>
          <w:b/>
          <w:color w:val="auto"/>
          <w:sz w:val="24"/>
          <w:highlight w:val="none"/>
        </w:rPr>
        <w:tab/>
      </w:r>
    </w:p>
    <w:p w14:paraId="1FCE4E1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10.1供应商的响应文件以及供应商与采购代理机构就有关采购活动的所有来往函电和文件均应使用中文。如果响应文件或与投标有关的其它文件、信件及来往函电以其他语言书写，供应商应将其译成中文。</w:t>
      </w:r>
    </w:p>
    <w:p w14:paraId="71E44CE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10.2响应文件中所使用的计量单位除采购文件中有特殊规定外，一律使用法定计量单位。</w:t>
      </w:r>
    </w:p>
    <w:p w14:paraId="31D3BF61">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11、响应文件的组成</w:t>
      </w:r>
    </w:p>
    <w:p w14:paraId="2895EDC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11.1供应商应按下列顺序排列响应文件：</w:t>
      </w:r>
    </w:p>
    <w:p w14:paraId="647A71EA">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一、资格证明文件</w:t>
      </w:r>
    </w:p>
    <w:p w14:paraId="4744E2A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1、具有独立承担民事责任的能力</w:t>
      </w:r>
    </w:p>
    <w:p w14:paraId="7E769B3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2、良好的商业信誉和健全的财务会计制度</w:t>
      </w:r>
    </w:p>
    <w:p w14:paraId="0275C86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3、依法缴纳税收和社会保障资金的良好记录</w:t>
      </w:r>
    </w:p>
    <w:p w14:paraId="092ECBA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4、履行合同所必需的设备和专业技术能力的承诺函</w:t>
      </w:r>
    </w:p>
    <w:p w14:paraId="282E196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5、参加政府采购活动前3年内，在经营活动中没有重大违法记录的书面声明函</w:t>
      </w:r>
    </w:p>
    <w:p w14:paraId="387F5B68">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6、限制行为承诺书</w:t>
      </w:r>
    </w:p>
    <w:p w14:paraId="61FEB4C3">
      <w:pPr>
        <w:pStyle w:val="2"/>
      </w:pPr>
      <w:r>
        <w:rPr>
          <w:rFonts w:hint="eastAsia" w:asciiTheme="minorEastAsia" w:hAnsiTheme="minorEastAsia" w:eastAsiaTheme="minorEastAsia" w:cstheme="minorEastAsia"/>
          <w:color w:val="auto"/>
          <w:sz w:val="24"/>
          <w:highlight w:val="none"/>
          <w:lang w:val="en-US" w:eastAsia="zh-CN"/>
        </w:rPr>
        <w:t>7、中小企业声明函</w:t>
      </w:r>
    </w:p>
    <w:p w14:paraId="66E6F088">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二、报价文件</w:t>
      </w:r>
    </w:p>
    <w:p w14:paraId="76C8AB3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1.1报价一览表</w:t>
      </w:r>
    </w:p>
    <w:p w14:paraId="36B2A3B2">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三、商务、技术文件</w:t>
      </w:r>
    </w:p>
    <w:p w14:paraId="085424A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1、投标函</w:t>
      </w:r>
    </w:p>
    <w:p w14:paraId="02A75BC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2、法定代表人（或非法人组织负责人）身份证明书</w:t>
      </w:r>
    </w:p>
    <w:p w14:paraId="4E7B622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3、法定代表人（或非法人组织负责人）授权委托书</w:t>
      </w:r>
    </w:p>
    <w:p w14:paraId="6260552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4、反商业贿赂承诺书</w:t>
      </w:r>
    </w:p>
    <w:p w14:paraId="73A64D0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5、供应商参与政府采购活动（招投标活动）无异议承诺书</w:t>
      </w:r>
    </w:p>
    <w:p w14:paraId="07652C3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6、不参与围标串标承诺书</w:t>
      </w:r>
    </w:p>
    <w:p w14:paraId="723C4F7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7、保密承诺书</w:t>
      </w:r>
    </w:p>
    <w:p w14:paraId="11B00C6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8、投标保证金</w:t>
      </w:r>
    </w:p>
    <w:p w14:paraId="79BE0B6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9、商务/技术条款偏离表</w:t>
      </w:r>
    </w:p>
    <w:p w14:paraId="19A2A96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10、供应商近三年（2023年1月至今）业绩案例一览表</w:t>
      </w:r>
    </w:p>
    <w:p w14:paraId="16F3BEB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11、配送车辆</w:t>
      </w:r>
    </w:p>
    <w:p w14:paraId="21973F5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12、人员配备</w:t>
      </w:r>
    </w:p>
    <w:p w14:paraId="7F0D74E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13、仓储能力</w:t>
      </w:r>
    </w:p>
    <w:p w14:paraId="1AE58E8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14、供应产品的来源</w:t>
      </w:r>
    </w:p>
    <w:p w14:paraId="7647F43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15、食品安全检测能力</w:t>
      </w:r>
    </w:p>
    <w:p w14:paraId="1880C62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16、实施方案</w:t>
      </w:r>
    </w:p>
    <w:p w14:paraId="169043D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17、产品质量保障</w:t>
      </w:r>
    </w:p>
    <w:p w14:paraId="0E93F22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18、特殊情况应急保障方案</w:t>
      </w:r>
    </w:p>
    <w:p w14:paraId="5C58FD5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19、产品质量保障</w:t>
      </w:r>
    </w:p>
    <w:p w14:paraId="5D82016C">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四、其他文件</w:t>
      </w:r>
    </w:p>
    <w:p w14:paraId="1DF24D4A">
      <w:pPr>
        <w:spacing w:line="460" w:lineRule="exact"/>
        <w:ind w:firstLine="480" w:firstLineChars="2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说明：未按要求提供者在评标打分时涉及到的项目不得分。</w:t>
      </w:r>
    </w:p>
    <w:p w14:paraId="1151D20F">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12、响应文件格式</w:t>
      </w:r>
    </w:p>
    <w:p w14:paraId="40F8473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12.1供应商应按采购文件的范本格式中提供的响应文件格式认真填写响应文件、开标一览表。如响应文件中提供的各类表格样式不适，供应商可另行设计表格形式，力求清楚、准确。</w:t>
      </w:r>
    </w:p>
    <w:p w14:paraId="4E6DC9DC">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13、投标报价的货币单位</w:t>
      </w:r>
    </w:p>
    <w:p w14:paraId="34BA9CD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13.1投标报价单位为折扣率（%）。</w:t>
      </w:r>
    </w:p>
    <w:p w14:paraId="343F96B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13.2投标报价为最终报价，供应商不得以任何理由要求再追加任何费用。同时，供应商所报价格在合同实施期间不因市场变化因素而变动。</w:t>
      </w:r>
    </w:p>
    <w:p w14:paraId="7160E60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13.3响应文件中的报价只允许一个最终报价，采购人不接受任何有选择性的投标报价。</w:t>
      </w:r>
    </w:p>
    <w:p w14:paraId="64D633CE">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14、服务计划</w:t>
      </w:r>
    </w:p>
    <w:p w14:paraId="64C4599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供应商可以针对本次招标项目的实际需求拟定完善的服务计划。</w:t>
      </w:r>
    </w:p>
    <w:p w14:paraId="38B47841">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15、投标有效期</w:t>
      </w:r>
    </w:p>
    <w:p w14:paraId="3E8680F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15.1响应文件从开标之日起，投标有效期为90个日历日。</w:t>
      </w:r>
    </w:p>
    <w:p w14:paraId="7B6B9BA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15.2在特殊情况下，采购人可与供应商协商延长响应文件的有效期。</w:t>
      </w:r>
    </w:p>
    <w:p w14:paraId="1E979143">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16、投标保证金</w:t>
      </w:r>
    </w:p>
    <w:p w14:paraId="2190077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16.1采购人因供应商的违规行为而受到损害时将不予退还供应商的投标保证金，将其作为所受损害的补偿。</w:t>
      </w:r>
    </w:p>
    <w:p w14:paraId="77FBC62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16.2供应商应根据供应商须知前附表第</w:t>
      </w:r>
      <w:r>
        <w:rPr>
          <w:rFonts w:hint="eastAsia" w:asciiTheme="minorEastAsia" w:hAnsiTheme="minorEastAsia" w:eastAsiaTheme="minorEastAsia" w:cstheme="minorEastAsia"/>
          <w:color w:val="auto"/>
          <w:sz w:val="24"/>
          <w:highlight w:val="none"/>
          <w:u w:val="single"/>
        </w:rPr>
        <w:t>12</w:t>
      </w:r>
      <w:r>
        <w:rPr>
          <w:rFonts w:hint="eastAsia" w:asciiTheme="minorEastAsia" w:hAnsiTheme="minorEastAsia" w:eastAsiaTheme="minorEastAsia" w:cstheme="minorEastAsia"/>
          <w:color w:val="auto"/>
          <w:sz w:val="24"/>
          <w:highlight w:val="none"/>
        </w:rPr>
        <w:t>条规定的金额与形式提交投标保证金。</w:t>
      </w:r>
    </w:p>
    <w:p w14:paraId="252F7ED4">
      <w:pPr>
        <w:pStyle w:val="14"/>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16.3未中标的供应商的投标保证金，将在中标（成交）通知书发出后五个工作日内无息退还。</w:t>
      </w:r>
    </w:p>
    <w:p w14:paraId="60D9608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16.4中标方的投标保证金，将在领取中标（成交）通知书，签订合同后无息退还。</w:t>
      </w:r>
    </w:p>
    <w:p w14:paraId="35E842F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16.5未按规定提交投标保证金的投标，将被视为投标无效。</w:t>
      </w:r>
    </w:p>
    <w:p w14:paraId="4D7466E9">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16.6有下列情形之一的，保证金不予退还：</w:t>
      </w:r>
    </w:p>
    <w:p w14:paraId="4D9B4BE4">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（1）投标人在投标有效期内撤销投标文件的；</w:t>
      </w:r>
    </w:p>
    <w:p w14:paraId="1E3F9381">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（2）投标人在响应文件中提供虚假材料的；</w:t>
      </w:r>
    </w:p>
    <w:p w14:paraId="17694C33">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（3）除因不可抗力或采购文件认可的情形以外，中标人不与采购人签订合同的；</w:t>
      </w:r>
    </w:p>
    <w:p w14:paraId="4F5A9168">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（4）中标人与采购人、其他投标人或者招标代理机构恶意串通的；</w:t>
      </w:r>
    </w:p>
    <w:p w14:paraId="0245B7AB">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（5）采购文件及政府采购相关法规规定的其他不予退还投标保证金的情形。</w:t>
      </w:r>
    </w:p>
    <w:p w14:paraId="3E5655AB">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17、响应文件的制作、上传及递交要求</w:t>
      </w:r>
    </w:p>
    <w:p w14:paraId="4E2CB52C">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17.1响应文件的制作要求</w:t>
      </w:r>
    </w:p>
    <w:p w14:paraId="1D7A3E7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(1)供应商应按照响应文件组成内容及项目招标需求和新疆政府采购云平台要求制作响应文件，不按采购文件和新疆政府采购云平台要求制作响应文件的将视情况处理(拒收等)，由此产生的责任由供应商自行承担。</w:t>
      </w:r>
    </w:p>
    <w:p w14:paraId="633B839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子响应文件部分：供应商应根据“政采云供应商项目采购-电子招投标操作指南”及本采购文件规定的格式和顺序编制电子响应文件并进行关联定位。本文件《第六章响应文件格式》中有提供格式的，供应商应按照格式进行编制(格式中要求提供相关证明材料的还需后附相关证明材料)，并按格式要求在指定位置根据要求进行签章，否则视为未提供；本文件《第六章响应文件格式》未提供格式的，请供应商自行拟定格式，并加盖单位公章，否则视为未提供。</w:t>
      </w:r>
    </w:p>
    <w:p w14:paraId="19C35D3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备份电子响应文件：通过“政采云”平台电子投标工具制作响应文件所产生的备份文件。</w:t>
      </w:r>
    </w:p>
    <w:p w14:paraId="2F4444B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(2)供应商应对所提供的全部资料的真实性、有效性承担法律责任，电子响应文件中所须加盖公章部分均采用CA签章。</w:t>
      </w:r>
    </w:p>
    <w:p w14:paraId="3474E26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(3)响应文件以及供应商与采购组织机构就有关投标事宜的所有来往函电，均应以中文汉语书写。除签字、盖章、专用名称等特殊情形外，以中文汉语以外的文字表述的响应文件视同未提供。</w:t>
      </w:r>
    </w:p>
    <w:p w14:paraId="05CA55C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(4)投标计量单位，采购文件已有明确规定的，使用采购文件规定的计量单位；采购文件没有规定的，应采用中华人民共和国法定计量单位(货币单位：人民币元)。</w:t>
      </w:r>
    </w:p>
    <w:p w14:paraId="67A4952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(5)若供应商不按采购文件的要求提供资格审查材料，其风险由供应商自行承担。</w:t>
      </w:r>
    </w:p>
    <w:p w14:paraId="28DAB7BF">
      <w:pPr>
        <w:widowControl/>
        <w:kinsoku w:val="0"/>
        <w:autoSpaceDE w:val="0"/>
        <w:autoSpaceDN w:val="0"/>
        <w:adjustRightInd w:val="0"/>
        <w:snapToGrid w:val="0"/>
        <w:spacing w:before="165" w:line="360" w:lineRule="auto"/>
        <w:ind w:left="423"/>
        <w:textAlignment w:val="baseline"/>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(6)与本次投标无关的内容请不要制作在内，确保响应文件有针对性、简洁明了</w:t>
      </w:r>
    </w:p>
    <w:p w14:paraId="430FCF0B">
      <w:pPr>
        <w:widowControl/>
        <w:kinsoku w:val="0"/>
        <w:autoSpaceDE w:val="0"/>
        <w:autoSpaceDN w:val="0"/>
        <w:adjustRightInd w:val="0"/>
        <w:snapToGrid w:val="0"/>
        <w:spacing w:before="165" w:line="360" w:lineRule="auto"/>
        <w:ind w:left="423"/>
        <w:textAlignment w:val="baseline"/>
        <w:rPr>
          <w:rFonts w:ascii="宋体" w:hAnsi="宋体" w:cs="宋体"/>
          <w:color w:val="auto"/>
          <w:sz w:val="24"/>
          <w:highlight w:val="none"/>
        </w:rPr>
      </w:pPr>
      <w:r>
        <w:rPr>
          <w:rFonts w:hint="eastAsia" w:asciiTheme="minorEastAsia" w:hAnsiTheme="minorEastAsia" w:eastAsiaTheme="minorEastAsia" w:cstheme="minorEastAsia"/>
          <w:b/>
          <w:color w:val="auto"/>
          <w:sz w:val="24"/>
          <w:highlight w:val="none"/>
        </w:rPr>
        <w:t>17.2响应文件的上传</w:t>
      </w:r>
    </w:p>
    <w:p w14:paraId="729A8693">
      <w:pPr>
        <w:widowControl/>
        <w:kinsoku w:val="0"/>
        <w:autoSpaceDE w:val="0"/>
        <w:autoSpaceDN w:val="0"/>
        <w:adjustRightInd w:val="0"/>
        <w:snapToGrid w:val="0"/>
        <w:spacing w:before="165" w:line="360" w:lineRule="auto"/>
        <w:ind w:left="423"/>
        <w:textAlignment w:val="baseline"/>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电子加密响应文件(“.jmbs”格式)：</w:t>
      </w:r>
    </w:p>
    <w:p w14:paraId="09518095">
      <w:pPr>
        <w:widowControl/>
        <w:kinsoku w:val="0"/>
        <w:autoSpaceDE w:val="0"/>
        <w:autoSpaceDN w:val="0"/>
        <w:adjustRightInd w:val="0"/>
        <w:snapToGrid w:val="0"/>
        <w:spacing w:before="160"/>
        <w:ind w:left="2" w:right="54" w:firstLine="524"/>
        <w:textAlignment w:val="baseline"/>
        <w:rPr>
          <w:rFonts w:ascii="宋体" w:hAnsi="宋体" w:cs="宋体"/>
          <w:color w:val="auto"/>
          <w:sz w:val="24"/>
          <w:highlight w:val="none"/>
        </w:rPr>
      </w:pPr>
      <w:r>
        <w:rPr>
          <w:rFonts w:hint="eastAsia" w:ascii="宋体" w:hAnsi="宋体" w:cs="宋体"/>
          <w:color w:val="auto"/>
          <w:sz w:val="24"/>
          <w:highlight w:val="none"/>
        </w:rPr>
        <w:t>a</w:t>
      </w:r>
      <w:r>
        <w:rPr>
          <w:rFonts w:hint="eastAsia" w:ascii="宋体" w:hAnsi="宋体" w:cs="宋体"/>
          <w:color w:val="auto"/>
          <w:spacing w:val="22"/>
          <w:sz w:val="24"/>
          <w:highlight w:val="none"/>
        </w:rPr>
        <w:t>.</w:t>
      </w:r>
      <w:r>
        <w:rPr>
          <w:rFonts w:hint="eastAsia" w:ascii="宋体" w:hAnsi="宋体" w:cs="宋体"/>
          <w:color w:val="auto"/>
          <w:spacing w:val="14"/>
          <w:sz w:val="24"/>
          <w:highlight w:val="none"/>
        </w:rPr>
        <w:t>供应商</w:t>
      </w:r>
      <w:r>
        <w:rPr>
          <w:rFonts w:hint="eastAsia" w:ascii="宋体" w:hAnsi="宋体" w:cs="宋体"/>
          <w:color w:val="auto"/>
          <w:spacing w:val="11"/>
          <w:sz w:val="24"/>
          <w:highlight w:val="none"/>
        </w:rPr>
        <w:t>应在投标截止时间前将电子加密响应文件成功上传递交至新疆政府采购云平台，否则投标</w:t>
      </w:r>
      <w:r>
        <w:rPr>
          <w:rFonts w:hint="eastAsia" w:ascii="宋体" w:hAnsi="宋体" w:cs="宋体"/>
          <w:color w:val="auto"/>
          <w:spacing w:val="3"/>
          <w:sz w:val="24"/>
          <w:highlight w:val="none"/>
        </w:rPr>
        <w:t>无</w:t>
      </w:r>
      <w:r>
        <w:rPr>
          <w:rFonts w:hint="eastAsia" w:ascii="宋体" w:hAnsi="宋体" w:cs="宋体"/>
          <w:color w:val="auto"/>
          <w:spacing w:val="2"/>
          <w:sz w:val="24"/>
          <w:highlight w:val="none"/>
        </w:rPr>
        <w:t>效；</w:t>
      </w:r>
    </w:p>
    <w:p w14:paraId="149FCBE2">
      <w:pPr>
        <w:widowControl/>
        <w:kinsoku w:val="0"/>
        <w:autoSpaceDE w:val="0"/>
        <w:autoSpaceDN w:val="0"/>
        <w:adjustRightInd w:val="0"/>
        <w:snapToGrid w:val="0"/>
        <w:ind w:left="523"/>
        <w:textAlignment w:val="baseline"/>
        <w:rPr>
          <w:rFonts w:ascii="宋体" w:hAnsi="宋体" w:cs="宋体"/>
          <w:color w:val="auto"/>
          <w:sz w:val="24"/>
          <w:highlight w:val="none"/>
        </w:rPr>
      </w:pPr>
      <w:r>
        <w:rPr>
          <w:rFonts w:hint="eastAsia" w:ascii="宋体" w:hAnsi="宋体" w:cs="宋体"/>
          <w:color w:val="auto"/>
          <w:position w:val="1"/>
          <w:sz w:val="24"/>
          <w:highlight w:val="none"/>
        </w:rPr>
        <w:t>b</w:t>
      </w:r>
      <w:r>
        <w:rPr>
          <w:rFonts w:hint="eastAsia" w:ascii="宋体" w:hAnsi="宋体" w:cs="宋体"/>
          <w:color w:val="auto"/>
          <w:spacing w:val="18"/>
          <w:position w:val="1"/>
          <w:sz w:val="24"/>
          <w:highlight w:val="none"/>
        </w:rPr>
        <w:t>.</w:t>
      </w:r>
      <w:r>
        <w:rPr>
          <w:rFonts w:hint="eastAsia" w:ascii="宋体" w:hAnsi="宋体" w:cs="宋体"/>
          <w:color w:val="auto"/>
          <w:spacing w:val="13"/>
          <w:position w:val="1"/>
          <w:sz w:val="24"/>
          <w:highlight w:val="none"/>
        </w:rPr>
        <w:t>供应商</w:t>
      </w:r>
      <w:r>
        <w:rPr>
          <w:rFonts w:hint="eastAsia" w:ascii="宋体" w:hAnsi="宋体" w:cs="宋体"/>
          <w:color w:val="auto"/>
          <w:spacing w:val="9"/>
          <w:position w:val="1"/>
          <w:sz w:val="24"/>
          <w:highlight w:val="none"/>
        </w:rPr>
        <w:t>成功上传电子加密响应文件后，可自行打印响应文件接收回执。</w:t>
      </w:r>
    </w:p>
    <w:p w14:paraId="1430A52A">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六、开标</w:t>
      </w:r>
    </w:p>
    <w:p w14:paraId="595DEE05">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18、开标</w:t>
      </w:r>
    </w:p>
    <w:p w14:paraId="284A2918">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18.1(1)开标准备：本项目开标的准备工作由采购组织机构负责落实，开标过程由采购组织机构负责记录；</w:t>
      </w:r>
    </w:p>
    <w:p w14:paraId="1C17415E">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(2)开标主持：本项目开标由采购人代表或者采购代理机构主持；</w:t>
      </w:r>
    </w:p>
    <w:p w14:paraId="3D942841">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(3)开标邀请：本项目采用电子交易，采购组织机构将按照采购文件规定的时间通过“新疆政府采购云平台，网址：www.zcygov.cn”组织开标、开启投标响应文件，所有供应商均应当准时在线参加。</w:t>
      </w:r>
    </w:p>
    <w:p w14:paraId="77AC1002">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(4)供应商对开标过程和开标记录有疑义，以及认为采购人、采购代理机构相关工作人员有需要回避的情形的，应当场提出询问或回避申请。供应商未参加开标的视同认可开标结果，事后不得对采购相关人员、开标过程和开标结果提出异议，同时投标供应商因未在线参加开标而导致响应文件无法按时解密等一切后果由供应商自行承担。</w:t>
      </w:r>
    </w:p>
    <w:p w14:paraId="4880F608">
      <w:pPr>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18.2(1)开标时间到后，主持人宣布开标会议开始。</w:t>
      </w:r>
    </w:p>
    <w:p w14:paraId="00F777EB">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(2)响应文件解密(解密规定见《供应商须知前附表》)。</w:t>
      </w:r>
    </w:p>
    <w:p w14:paraId="5E0981B6">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(3)响应文件解密异常情况处理(处理办法见《供应商须知前附表》)。</w:t>
      </w:r>
    </w:p>
    <w:p w14:paraId="7F142F8F">
      <w:pPr>
        <w:autoSpaceDE w:val="0"/>
        <w:autoSpaceDN w:val="0"/>
        <w:adjustRightInd w:val="0"/>
        <w:snapToGrid w:val="0"/>
        <w:spacing w:line="360" w:lineRule="auto"/>
        <w:ind w:firstLine="480" w:firstLineChars="200"/>
        <w:rPr>
          <w:color w:val="auto"/>
          <w:highlight w:val="none"/>
        </w:rPr>
      </w:pPr>
      <w:r>
        <w:rPr>
          <w:rFonts w:hint="eastAsia" w:asciiTheme="minorEastAsia" w:hAnsiTheme="minorEastAsia" w:eastAsiaTheme="minorEastAsia" w:cstheme="minorEastAsia"/>
          <w:color w:val="auto"/>
          <w:sz w:val="24"/>
          <w:highlight w:val="none"/>
        </w:rPr>
        <w:t>(4)公布响应文件解密情况(响应文件成功解密的供应商名单等信息)。</w:t>
      </w:r>
    </w:p>
    <w:p w14:paraId="0C225E4F">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开启标书信息(资格证明文件、商务技术文件)。标书信息开启后，首先由采购人代表或采购代理机构依法对投标供应商的资格证明文件进行审查，审查结束公布投标供应商的资格符合情况。资格审查未获通过的供应商，其商务技术文件及报价文件不再进入评审。</w:t>
      </w:r>
    </w:p>
    <w:p w14:paraId="15212416">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(6)商务技术评审结束后，主持人公布商务技术评审无效投标供应商名单和商务技术评审有效投标供应商名单及其商务技术得分情况。商务技术评审无效的供应商，其报价不再进入评审。</w:t>
      </w:r>
    </w:p>
    <w:p w14:paraId="7D101D21">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开启有效投标供应商的报价，公布开标一览表有关内容，并【开启签字时段】，供应商对开标录进行在线签字确认(不予确认的应说明理由，否则视为无异议)。开标结束后，由评标委员会对报价的合理性、准确性等进行审查核实。</w:t>
      </w:r>
    </w:p>
    <w:p w14:paraId="1955D680">
      <w:pPr>
        <w:widowControl/>
        <w:kinsoku w:val="0"/>
        <w:autoSpaceDE w:val="0"/>
        <w:autoSpaceDN w:val="0"/>
        <w:adjustRightInd w:val="0"/>
        <w:snapToGrid w:val="0"/>
        <w:spacing w:before="161" w:line="360" w:lineRule="auto"/>
        <w:ind w:left="481"/>
        <w:textAlignment w:val="baseline"/>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(8)评审结束后，采购代理机构在系统上公布评审结果。</w:t>
      </w:r>
    </w:p>
    <w:p w14:paraId="000DEB3B">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特别情况说明：</w:t>
      </w:r>
    </w:p>
    <w:p w14:paraId="2D5686D6">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(1)本项目采用电子交易，如遇“新疆政府采购云平台”电子化开标或评审程序调整的，按调整后程序执行。</w:t>
      </w:r>
    </w:p>
    <w:p w14:paraId="03CA126E">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开标过程中需要相关当事人进行签字或盖章确认的材料将通过“政府采购云平台”进行，若因“政府采购云平台”技术问题无法进行签字或盖章确认的，采购组织机构将通过电子邮件等形式予以确认，请供应商保证办理投标事宜人员电话畅通、网络在线，签字或盖章确认的时间为20分钟。如未及时签字或盖章确认的，视为无异议。</w:t>
      </w:r>
    </w:p>
    <w:p w14:paraId="56A0BB0E">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19、无效的响应文件</w:t>
      </w:r>
    </w:p>
    <w:p w14:paraId="4536793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开标时，响应文件出现下列情形之一的，应当作为无效响应文件，不得进入评标：</w:t>
      </w:r>
    </w:p>
    <w:p w14:paraId="7E778FB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（1）响应文件未按照采购文件的要求予以签章的；</w:t>
      </w:r>
    </w:p>
    <w:p w14:paraId="6B9D85B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（2）供应商未按照采购文件要求缴纳投标保证金的；</w:t>
      </w:r>
    </w:p>
    <w:p w14:paraId="07C20557">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（3）按本文件规定的有效证件不齐全的供应商的响应文件。</w:t>
      </w:r>
      <w:bookmarkStart w:id="7" w:name="_Toc14129"/>
    </w:p>
    <w:p w14:paraId="537770C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（4）供应商的报价明显低于其他通过符合性审查供应商的报价，有可能影响产品质量或者不能诚信履约的，且在规定时间内不能合理说明原因并提供证明材料的</w:t>
      </w:r>
    </w:p>
    <w:p w14:paraId="0C27410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（5）违反国家及政府部门相关法律、法规、文件规定或经评标委员会认定的其他属于重大偏离</w:t>
      </w:r>
    </w:p>
    <w:p w14:paraId="5C61AA2A">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20．废标</w:t>
      </w:r>
    </w:p>
    <w:p w14:paraId="6B5F63E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20.1符合采购文件规定废标情形的；</w:t>
      </w:r>
    </w:p>
    <w:p w14:paraId="0A4F73D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20.2出现影响采购公正的违法、违规行为的；</w:t>
      </w:r>
    </w:p>
    <w:p w14:paraId="479E3CA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20.3供应商的报价均超过了采购预算(或最高限价)，采购人不能支付的;</w:t>
      </w:r>
    </w:p>
    <w:p w14:paraId="39D7615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20.4因重大变故，采购任务取消的。</w:t>
      </w:r>
    </w:p>
    <w:p w14:paraId="3A14D76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21．突发情况处理</w:t>
      </w:r>
    </w:p>
    <w:p w14:paraId="2A52A0F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21.1采购过程中出现以下情形，导致电子交易平台无法正常运行，或者无法保证电子交易的公平、公正和安全时，采购组织机构可中止电子交易活动：</w:t>
      </w:r>
    </w:p>
    <w:p w14:paraId="74A023C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(1)电子交易平台发生故障而无法登录访问的；</w:t>
      </w:r>
    </w:p>
    <w:p w14:paraId="493EA34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(2)电子交易平台应用或数据库出现错误，不能进行正常操作的；</w:t>
      </w:r>
    </w:p>
    <w:p w14:paraId="6702670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(3)电子交易平台发现严重安全漏洞，有潜在泄密危险的；</w:t>
      </w:r>
    </w:p>
    <w:p w14:paraId="7D616682">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(4)病毒发作导致不能进行正常操作的；</w:t>
      </w:r>
    </w:p>
    <w:p w14:paraId="0C115FD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(5)其他无法保证电子交易的公平、公正和安全的情况。</w:t>
      </w:r>
    </w:p>
    <w:p w14:paraId="345EDAE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011378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21.2采购代理机构或评标委员会因不可抗力(不可抗力包括但不限于自然灾害、断电、传播疫病等)原因造成电子交易活动无法正常运行的，将采取以下措施：</w:t>
      </w:r>
    </w:p>
    <w:p w14:paraId="59F0799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(1)短时间内能消除不可抗力因素的，采购代理机构或评标委员会在消除不可抗力因素后继续组织电子交易活动；</w:t>
      </w:r>
    </w:p>
    <w:p w14:paraId="5361D002">
      <w:pPr>
        <w:spacing w:line="360" w:lineRule="auto"/>
        <w:ind w:firstLine="480"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(2)长时间内无法消除不可抗力因素的，采购代理机构或评标委员会将中止电子交易活动。中止电子交易活动的，采购人应当重新组织政府采购活动。</w:t>
      </w:r>
    </w:p>
    <w:p w14:paraId="5B239275">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七、响应文件的审查、评估和比较</w:t>
      </w:r>
      <w:bookmarkEnd w:id="7"/>
    </w:p>
    <w:p w14:paraId="6A81E8AD">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20、评标</w:t>
      </w:r>
    </w:p>
    <w:p w14:paraId="49D4FEE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20.1采购人根据采购项目的特点，组建评标委员会并选定评标委员会组长。</w:t>
      </w:r>
    </w:p>
    <w:p w14:paraId="51039AB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20.2结合本次项目采购特点，采取综合评估法进行评标。</w:t>
      </w:r>
    </w:p>
    <w:p w14:paraId="5F4339D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20.3评标的依据为采购文件和响应文件。</w:t>
      </w:r>
    </w:p>
    <w:p w14:paraId="6DFF0C2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20.4评标过程的保密性。开标后，直到授予供应商合同止，凡是属于审查、澄清、评价和比较的有关资料以及授标建议等均不得向供应商或其他无关的人员透露。</w:t>
      </w:r>
    </w:p>
    <w:p w14:paraId="0C3BB297">
      <w:pPr>
        <w:spacing w:line="360" w:lineRule="auto"/>
        <w:ind w:firstLine="480" w:firstLineChars="200"/>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color w:val="auto"/>
          <w:sz w:val="24"/>
          <w:highlight w:val="none"/>
        </w:rPr>
        <w:t>20.5供应商在评标过程中所进行的力图影响评标结果、有悖于招标规则的活动，可能导致取消其中标资格。</w:t>
      </w:r>
    </w:p>
    <w:p w14:paraId="7739C76A">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21、对响应文件的符合性审查和响应性确定</w:t>
      </w:r>
    </w:p>
    <w:p w14:paraId="12309E5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开标后采购人将审查响应文件的完整性、计算结果的准确性以及保证金提交、文件签署情况。在审查时，如单价与总价有出入，则以单价为准，修正总价；大写与小写有出入，以大写金额为准。若供应商拒绝接受上述修正，其投标将可能被拒绝。</w:t>
      </w:r>
    </w:p>
    <w:p w14:paraId="749DE6D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21.2在对响应文件进行详细评估之前，评标委员会将审查每一份响应文件是否对采购文件的要求做出了实质性的响应。实质性响应的响应文件应该是与采购文件的全部条款、条件相符，而没有重大偏离。</w:t>
      </w:r>
    </w:p>
    <w:p w14:paraId="2EF045D8">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21.3采购人判断响应文件的响应性是基于响应文件本身而不靠外部证据。</w:t>
      </w:r>
    </w:p>
    <w:p w14:paraId="46454AA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21.4采购人将拒绝被定为非响应性的投标，供应商不能通过修正或撤消不符之处而使其投标成为响应性投标。</w:t>
      </w:r>
    </w:p>
    <w:p w14:paraId="2EB81A8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21.5采购人将允许投标中有微小的不正规、不一致或不规则，而该微小之处不致构成重大偏离。</w:t>
      </w:r>
    </w:p>
    <w:p w14:paraId="3ACFD341">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bCs/>
          <w:color w:val="auto"/>
          <w:sz w:val="24"/>
          <w:highlight w:val="none"/>
        </w:rPr>
        <w:t>26、</w:t>
      </w:r>
      <w:r>
        <w:rPr>
          <w:rFonts w:hint="eastAsia" w:asciiTheme="minorEastAsia" w:hAnsiTheme="minorEastAsia" w:eastAsiaTheme="minorEastAsia" w:cstheme="minorEastAsia"/>
          <w:b/>
          <w:color w:val="auto"/>
          <w:sz w:val="24"/>
          <w:highlight w:val="none"/>
        </w:rPr>
        <w:t>响应文件的澄清</w:t>
      </w:r>
    </w:p>
    <w:p w14:paraId="1F5F376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26.1评标委员会在评标过程中有权随时请供应商就响应文件中含义不明确、对同类问题表述不一致或者有明显文字和计算错误的内容加以澄清或答疑。</w:t>
      </w:r>
    </w:p>
    <w:p w14:paraId="72B68F3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26.2供应商对要求澄清的问题应以书面形式明确答复，并应有法人授权代表的签署。</w:t>
      </w:r>
    </w:p>
    <w:p w14:paraId="3D1AAC9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26.3供应商的澄清文件是响应文件的组成部分，并取代响应文件中被澄清的部分。</w:t>
      </w:r>
    </w:p>
    <w:p w14:paraId="2F50804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26.4响应文件的澄清不得改变投标的实质内容。</w:t>
      </w:r>
    </w:p>
    <w:p w14:paraId="54051754">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26.5如果供应商在响应文件中未对采购文件中的条款或参数要求提出偏离意见或澄清，将视同供应商同意采购文件的全部或部分要求。</w:t>
      </w:r>
    </w:p>
    <w:p w14:paraId="57C3181C">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27.定标</w:t>
      </w:r>
    </w:p>
    <w:p w14:paraId="2BDC05C5">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27.1评标委员会有权选择和拒绝供应商中标且无需向供应商进行任何有关评标的解释工作。</w:t>
      </w:r>
    </w:p>
    <w:p w14:paraId="711230E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27.2评标委员会根据供应商资格审查情况，投标书的资信内容及开标结果，考虑质量、价格、服务等综合因素评出中标候选人，经采购人审核后确认中标人。</w:t>
      </w:r>
    </w:p>
    <w:p w14:paraId="4ED9C67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27.3采购人确定中标人时的原则：排名第一的中标候选人为中标人。排名第一的中标候选人放弃中标、因不可抗力提出不能履行合同，或者采购文件规定应当提交履约保证金而在规定的期限内未能提交的，确定排名第二的中标候选人为中标人。排名第二的中标候选人因前款规定的同样原因不能签订合同的，确定排名第三的中标候选人为中标人。</w:t>
      </w:r>
    </w:p>
    <w:p w14:paraId="453041A0">
      <w:pPr>
        <w:widowControl/>
        <w:kinsoku w:val="0"/>
        <w:autoSpaceDE w:val="0"/>
        <w:autoSpaceDN w:val="0"/>
        <w:adjustRightInd w:val="0"/>
        <w:snapToGrid w:val="0"/>
        <w:spacing w:before="177" w:line="360" w:lineRule="auto"/>
        <w:ind w:left="420"/>
        <w:textAlignment w:val="baseline"/>
        <w:rPr>
          <w:rFonts w:ascii="宋体" w:hAnsi="宋体" w:cs="宋体"/>
          <w:color w:val="auto"/>
          <w:sz w:val="24"/>
          <w:highlight w:val="none"/>
        </w:rPr>
      </w:pPr>
      <w:r>
        <w:rPr>
          <w:rFonts w:hint="eastAsia" w:ascii="宋体" w:hAnsi="宋体" w:cs="宋体"/>
          <w:color w:val="auto"/>
          <w:spacing w:val="5"/>
          <w:sz w:val="24"/>
          <w:highlight w:val="none"/>
        </w:rPr>
        <w:t>27.4采购结果确认(确定中标供应商</w:t>
      </w:r>
      <w:r>
        <w:rPr>
          <w:rFonts w:hint="eastAsia" w:ascii="宋体" w:hAnsi="宋体" w:cs="宋体"/>
          <w:color w:val="auto"/>
          <w:spacing w:val="3"/>
          <w:sz w:val="24"/>
          <w:highlight w:val="none"/>
        </w:rPr>
        <w:t>)</w:t>
      </w:r>
    </w:p>
    <w:p w14:paraId="54FD78DD">
      <w:pPr>
        <w:widowControl/>
        <w:kinsoku w:val="0"/>
        <w:autoSpaceDE w:val="0"/>
        <w:autoSpaceDN w:val="0"/>
        <w:adjustRightInd w:val="0"/>
        <w:snapToGrid w:val="0"/>
        <w:spacing w:before="193" w:line="360" w:lineRule="auto"/>
        <w:ind w:right="87" w:firstLine="208"/>
        <w:textAlignment w:val="baseline"/>
        <w:rPr>
          <w:rFonts w:ascii="宋体" w:hAnsi="宋体" w:cs="宋体"/>
          <w:color w:val="auto"/>
          <w:sz w:val="24"/>
          <w:highlight w:val="none"/>
        </w:rPr>
      </w:pPr>
      <w:r>
        <w:rPr>
          <w:rFonts w:hint="eastAsia" w:ascii="宋体" w:hAnsi="宋体" w:cs="宋体"/>
          <w:color w:val="auto"/>
          <w:spacing w:val="18"/>
          <w:sz w:val="24"/>
          <w:highlight w:val="none"/>
        </w:rPr>
        <w:t>采购</w:t>
      </w:r>
      <w:r>
        <w:rPr>
          <w:rFonts w:hint="eastAsia" w:ascii="宋体" w:hAnsi="宋体" w:cs="宋体"/>
          <w:color w:val="auto"/>
          <w:spacing w:val="9"/>
          <w:sz w:val="24"/>
          <w:highlight w:val="none"/>
        </w:rPr>
        <w:t>结果确认(确定中标供应商)：本项目由采购人根据评标委员会提交的《评审报告》，通过“政府</w:t>
      </w:r>
      <w:r>
        <w:rPr>
          <w:rFonts w:hint="eastAsia" w:ascii="宋体" w:hAnsi="宋体" w:cs="宋体"/>
          <w:color w:val="auto"/>
          <w:spacing w:val="18"/>
          <w:sz w:val="24"/>
          <w:highlight w:val="none"/>
        </w:rPr>
        <w:t>采</w:t>
      </w:r>
      <w:r>
        <w:rPr>
          <w:rFonts w:hint="eastAsia" w:ascii="宋体" w:hAnsi="宋体" w:cs="宋体"/>
          <w:color w:val="auto"/>
          <w:spacing w:val="11"/>
          <w:sz w:val="24"/>
          <w:highlight w:val="none"/>
        </w:rPr>
        <w:t>购</w:t>
      </w:r>
      <w:r>
        <w:rPr>
          <w:rFonts w:hint="eastAsia" w:ascii="宋体" w:hAnsi="宋体" w:cs="宋体"/>
          <w:color w:val="auto"/>
          <w:spacing w:val="9"/>
          <w:sz w:val="24"/>
          <w:highlight w:val="none"/>
        </w:rPr>
        <w:t>云平台”依法确认采购结果、确定中标供应商。具体流程如下：</w:t>
      </w:r>
    </w:p>
    <w:p w14:paraId="6DEA4AEA">
      <w:pPr>
        <w:widowControl/>
        <w:kinsoku w:val="0"/>
        <w:autoSpaceDE w:val="0"/>
        <w:autoSpaceDN w:val="0"/>
        <w:adjustRightInd w:val="0"/>
        <w:snapToGrid w:val="0"/>
        <w:spacing w:line="360" w:lineRule="auto"/>
        <w:ind w:left="219"/>
        <w:textAlignment w:val="baseline"/>
        <w:rPr>
          <w:rFonts w:ascii="宋体" w:hAnsi="宋体" w:cs="宋体"/>
          <w:color w:val="auto"/>
          <w:sz w:val="24"/>
          <w:highlight w:val="none"/>
        </w:rPr>
      </w:pPr>
      <w:r>
        <w:rPr>
          <w:rFonts w:hint="eastAsia" w:ascii="宋体" w:hAnsi="宋体" w:cs="宋体"/>
          <w:color w:val="auto"/>
          <w:spacing w:val="13"/>
          <w:sz w:val="24"/>
          <w:highlight w:val="none"/>
        </w:rPr>
        <w:t>(</w:t>
      </w:r>
      <w:r>
        <w:rPr>
          <w:rFonts w:hint="eastAsia" w:ascii="宋体" w:hAnsi="宋体" w:cs="宋体"/>
          <w:color w:val="auto"/>
          <w:spacing w:val="8"/>
          <w:sz w:val="24"/>
          <w:highlight w:val="none"/>
        </w:rPr>
        <w:t>1)采购代理机构将在评审结束后2个工作日内将评审报告送采购人。</w:t>
      </w:r>
    </w:p>
    <w:p w14:paraId="172966E7">
      <w:pPr>
        <w:widowControl/>
        <w:kinsoku w:val="0"/>
        <w:autoSpaceDE w:val="0"/>
        <w:autoSpaceDN w:val="0"/>
        <w:adjustRightInd w:val="0"/>
        <w:snapToGrid w:val="0"/>
        <w:spacing w:before="193" w:line="360" w:lineRule="auto"/>
        <w:ind w:left="5" w:right="87" w:firstLine="213"/>
        <w:textAlignment w:val="baseline"/>
        <w:rPr>
          <w:rFonts w:ascii="宋体" w:hAnsi="宋体" w:cs="宋体"/>
          <w:color w:val="auto"/>
          <w:sz w:val="24"/>
          <w:highlight w:val="none"/>
        </w:rPr>
      </w:pPr>
      <w:r>
        <w:rPr>
          <w:rFonts w:hint="eastAsia" w:ascii="宋体" w:hAnsi="宋体" w:cs="宋体"/>
          <w:color w:val="auto"/>
          <w:spacing w:val="12"/>
          <w:sz w:val="24"/>
          <w:highlight w:val="none"/>
        </w:rPr>
        <w:t>(2)采购</w:t>
      </w:r>
      <w:r>
        <w:rPr>
          <w:rFonts w:hint="eastAsia" w:ascii="宋体" w:hAnsi="宋体" w:cs="宋体"/>
          <w:color w:val="auto"/>
          <w:spacing w:val="6"/>
          <w:sz w:val="24"/>
          <w:highlight w:val="none"/>
        </w:rPr>
        <w:t>人将在收到评审报告之日起5个工作日内，在评审报告推荐的中标候选供应商名单中按顺序确</w:t>
      </w:r>
      <w:r>
        <w:rPr>
          <w:rFonts w:hint="eastAsia" w:ascii="宋体" w:hAnsi="宋体" w:cs="宋体"/>
          <w:color w:val="auto"/>
          <w:spacing w:val="10"/>
          <w:sz w:val="24"/>
          <w:highlight w:val="none"/>
        </w:rPr>
        <w:t>定</w:t>
      </w:r>
      <w:r>
        <w:rPr>
          <w:rFonts w:hint="eastAsia" w:ascii="宋体" w:hAnsi="宋体" w:cs="宋体"/>
          <w:color w:val="auto"/>
          <w:spacing w:val="9"/>
          <w:sz w:val="24"/>
          <w:highlight w:val="none"/>
        </w:rPr>
        <w:t>中标供应商，并将确认意见以书面形式回复采购代理机构。</w:t>
      </w:r>
    </w:p>
    <w:p w14:paraId="101126AC">
      <w:pPr>
        <w:widowControl/>
        <w:kinsoku w:val="0"/>
        <w:autoSpaceDE w:val="0"/>
        <w:autoSpaceDN w:val="0"/>
        <w:adjustRightInd w:val="0"/>
        <w:snapToGrid w:val="0"/>
        <w:spacing w:before="1" w:line="360" w:lineRule="auto"/>
        <w:ind w:left="2" w:firstLine="206"/>
        <w:textAlignment w:val="baseline"/>
        <w:rPr>
          <w:color w:val="auto"/>
          <w:highlight w:val="none"/>
        </w:rPr>
      </w:pPr>
      <w:r>
        <w:rPr>
          <w:rFonts w:hint="eastAsia" w:ascii="宋体" w:hAnsi="宋体" w:cs="宋体"/>
          <w:color w:val="auto"/>
          <w:spacing w:val="5"/>
          <w:sz w:val="24"/>
          <w:highlight w:val="none"/>
        </w:rPr>
        <w:t>27.5采购结果经采购人确认后2个工作日内，采购代理机构将在</w:t>
      </w:r>
      <w:r>
        <w:rPr>
          <w:rFonts w:hint="eastAsia" w:ascii="宋体" w:hAnsi="宋体" w:cs="宋体"/>
          <w:color w:val="auto"/>
          <w:spacing w:val="12"/>
          <w:sz w:val="24"/>
          <w:highlight w:val="none"/>
        </w:rPr>
        <w:t>新疆政府采购网(www.zjzfcg.gov.cn)上公告采购结果，中标公告期限为1个工作日。</w:t>
      </w:r>
    </w:p>
    <w:p w14:paraId="590460CE">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bCs/>
          <w:color w:val="auto"/>
          <w:sz w:val="24"/>
          <w:highlight w:val="none"/>
        </w:rPr>
        <w:t>28、</w:t>
      </w:r>
      <w:r>
        <w:rPr>
          <w:rFonts w:hint="eastAsia" w:asciiTheme="minorEastAsia" w:hAnsiTheme="minorEastAsia" w:eastAsiaTheme="minorEastAsia" w:cstheme="minorEastAsia"/>
          <w:b/>
          <w:color w:val="auto"/>
          <w:sz w:val="24"/>
          <w:highlight w:val="none"/>
        </w:rPr>
        <w:t>中标通知</w:t>
      </w:r>
    </w:p>
    <w:p w14:paraId="2DFBAC7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28.1采购人根据定标结果，在投标有效期届满前，以书面形式向中标单位发出中标通知书。</w:t>
      </w:r>
    </w:p>
    <w:p w14:paraId="6C726476">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28.2采购代理机构将中标结果及时通知未中标单位并于5日内退还投标保证金。无需解释未中标原因。</w:t>
      </w:r>
    </w:p>
    <w:p w14:paraId="2FC84EC1">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28.3在中标通知书发出前，采购人将中标侯选人的情况在新疆政府采购网予以公示，公示期为一个工作日。待公示期结束后，采购组织机构向中标人发出中标通知书。</w:t>
      </w:r>
    </w:p>
    <w:p w14:paraId="61ECDB3F">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28.4中标通知书作为签订合同的重要依据，对采购人和中标供应商均具有法律效力。采购人改变中标结果或者中标供应商放弃中标项目的都应承担法律责任。成交供应商不得向他人转让中标项目，也不得将中标项目肢解后分别向他人转让。</w:t>
      </w:r>
    </w:p>
    <w:p w14:paraId="6F3A7D9D">
      <w:pPr>
        <w:spacing w:line="360" w:lineRule="auto"/>
        <w:ind w:firstLine="482"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29、拒绝某些或所有投标的权力</w:t>
      </w:r>
    </w:p>
    <w:p w14:paraId="379A2023">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29.1采购人有权在定标之前拒绝任何有不正当行为或扰乱正常招标工作的供应商，由此对供应商造成的损失不负任何责任，同时对此无需做任何解释。</w:t>
      </w:r>
    </w:p>
    <w:p w14:paraId="366012A5">
      <w:pPr>
        <w:pStyle w:val="39"/>
        <w:spacing w:line="360" w:lineRule="auto"/>
        <w:ind w:firstLine="482" w:firstLineChars="200"/>
        <w:rPr>
          <w:rFonts w:asciiTheme="minorEastAsia" w:hAnsiTheme="minorEastAsia" w:eastAsiaTheme="minorEastAsia" w:cstheme="minorEastAsia"/>
          <w:b/>
          <w:bCs/>
          <w:color w:val="auto"/>
          <w:highlight w:val="none"/>
        </w:rPr>
      </w:pPr>
      <w:bookmarkStart w:id="8" w:name="_Toc21533"/>
      <w:r>
        <w:rPr>
          <w:rFonts w:hint="eastAsia" w:asciiTheme="minorEastAsia" w:hAnsiTheme="minorEastAsia" w:eastAsiaTheme="minorEastAsia" w:cstheme="minorEastAsia"/>
          <w:b/>
          <w:bCs/>
          <w:color w:val="auto"/>
          <w:highlight w:val="none"/>
        </w:rPr>
        <w:t>30、评标过程的保密</w:t>
      </w:r>
    </w:p>
    <w:p w14:paraId="0728F962">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30.1凡属于对投标文件的审查、澄清、评价和比较有关的资料、中标候选人的推荐情况以及与评标有关的其他任何情况，评标委员会成员和与评标活动有关的工作人员不得对任何单位和个人透露。</w:t>
      </w:r>
    </w:p>
    <w:p w14:paraId="21DEEB8E">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30.2在投标文件的评审和比较、中标候选人推荐以及授予合同的过程中，供应商向采购人或者评标委员会施加影响的任何行为，都将会导致其投标被拒绝。</w:t>
      </w:r>
    </w:p>
    <w:p w14:paraId="17FD2CD7">
      <w:pPr>
        <w:pStyle w:val="39"/>
        <w:spacing w:line="360" w:lineRule="auto"/>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30.3中标人确定后，采购人不对未中标人就评标过程以及未能中标原因做出任何解释。未中标人不得向评标委员会组成人员或者其他有关人员索问评标过程的情况和材料。</w:t>
      </w:r>
    </w:p>
    <w:bookmarkEnd w:id="8"/>
    <w:p w14:paraId="07348D4A">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八、授予合同</w:t>
      </w:r>
    </w:p>
    <w:p w14:paraId="3B97FFA2">
      <w:pPr>
        <w:autoSpaceDE w:val="0"/>
        <w:autoSpaceDN w:val="0"/>
        <w:adjustRightInd w:val="0"/>
        <w:snapToGrid w:val="0"/>
        <w:spacing w:line="360" w:lineRule="auto"/>
        <w:ind w:firstLine="482"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31、合同签订</w:t>
      </w:r>
    </w:p>
    <w:p w14:paraId="77828509">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31.1中标人确定后，采购人向中标人发出中标通知书，同时通知未中标人。采购人和中标人应当自中标通知书发出之日起</w:t>
      </w:r>
      <w:r>
        <w:rPr>
          <w:rFonts w:hint="eastAsia" w:asciiTheme="minorEastAsia" w:hAnsiTheme="minorEastAsia" w:eastAsiaTheme="minorEastAsia" w:cstheme="minorEastAsia"/>
          <w:color w:val="auto"/>
          <w:kern w:val="0"/>
          <w:sz w:val="24"/>
          <w:highlight w:val="none"/>
          <w:u w:val="single"/>
        </w:rPr>
        <w:t>30</w:t>
      </w:r>
      <w:r>
        <w:rPr>
          <w:rFonts w:hint="eastAsia" w:asciiTheme="minorEastAsia" w:hAnsiTheme="minorEastAsia" w:eastAsiaTheme="minorEastAsia" w:cstheme="minorEastAsia"/>
          <w:color w:val="auto"/>
          <w:kern w:val="0"/>
          <w:sz w:val="24"/>
          <w:highlight w:val="none"/>
        </w:rPr>
        <w:t>日之内签订合同。</w:t>
      </w:r>
    </w:p>
    <w:p w14:paraId="4BB7A7B9">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31.2中标通知书对采购人去和中标人具有法律约束力。中标通知书发出后，采购人改变中标结果或者中标人放弃中标的，应当承担法律责任。</w:t>
      </w:r>
    </w:p>
    <w:p w14:paraId="375816B4">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31.3采购人与中标人应按照采购文件和中标人的响应文件订立书面合同，并签订保密协议。</w:t>
      </w:r>
    </w:p>
    <w:p w14:paraId="54663015">
      <w:pPr>
        <w:spacing w:line="360" w:lineRule="auto"/>
        <w:ind w:firstLine="480" w:firstLineChars="200"/>
        <w:rPr>
          <w:rFonts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Cs/>
          <w:color w:val="auto"/>
          <w:sz w:val="24"/>
          <w:highlight w:val="none"/>
        </w:rPr>
        <w:t>31.4合同的组成</w:t>
      </w:r>
    </w:p>
    <w:p w14:paraId="4D7A395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下列文件均为合同不可分割部分：</w:t>
      </w:r>
    </w:p>
    <w:p w14:paraId="644C809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（1）服务合同；</w:t>
      </w:r>
    </w:p>
    <w:p w14:paraId="10DA2DAE">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（2）合同条款；</w:t>
      </w:r>
    </w:p>
    <w:p w14:paraId="43C2EDEB">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（3）中标通知书；</w:t>
      </w:r>
    </w:p>
    <w:p w14:paraId="0E7D9BAA">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（4）乙方中标的响应文件；</w:t>
      </w:r>
    </w:p>
    <w:p w14:paraId="5068F29D">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（5）采购文件；</w:t>
      </w:r>
    </w:p>
    <w:p w14:paraId="5A7038A0">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（6）评标答疑记录。</w:t>
      </w:r>
    </w:p>
    <w:p w14:paraId="7F51AC49">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九、纪律和监督</w:t>
      </w:r>
    </w:p>
    <w:p w14:paraId="12065FB4">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32.对采购人的纪律要求</w:t>
      </w:r>
    </w:p>
    <w:p w14:paraId="0D5D5A71">
      <w:pPr>
        <w:widowControl/>
        <w:kinsoku w:val="0"/>
        <w:autoSpaceDE w:val="0"/>
        <w:autoSpaceDN w:val="0"/>
        <w:adjustRightInd w:val="0"/>
        <w:snapToGrid w:val="0"/>
        <w:spacing w:before="192" w:line="360" w:lineRule="auto"/>
        <w:ind w:right="70" w:firstLine="314"/>
        <w:textAlignment w:val="baseline"/>
        <w:rPr>
          <w:rFonts w:ascii="宋体" w:hAnsi="宋体" w:cs="宋体"/>
          <w:color w:val="auto"/>
          <w:sz w:val="24"/>
          <w:highlight w:val="none"/>
        </w:rPr>
      </w:pPr>
      <w:r>
        <w:rPr>
          <w:rFonts w:hint="eastAsia" w:ascii="宋体" w:hAnsi="宋体" w:cs="宋体"/>
          <w:color w:val="auto"/>
          <w:spacing w:val="12"/>
          <w:sz w:val="24"/>
          <w:highlight w:val="none"/>
        </w:rPr>
        <w:t>32.1</w:t>
      </w:r>
      <w:r>
        <w:rPr>
          <w:rFonts w:hint="eastAsia" w:ascii="宋体" w:hAnsi="宋体" w:cs="宋体"/>
          <w:color w:val="auto"/>
          <w:spacing w:val="10"/>
          <w:sz w:val="24"/>
          <w:highlight w:val="none"/>
        </w:rPr>
        <w:t>采购人</w:t>
      </w:r>
      <w:r>
        <w:rPr>
          <w:rFonts w:hint="eastAsia" w:ascii="宋体" w:hAnsi="宋体" w:cs="宋体"/>
          <w:color w:val="auto"/>
          <w:spacing w:val="6"/>
          <w:sz w:val="24"/>
          <w:highlight w:val="none"/>
        </w:rPr>
        <w:t>不得泄漏招标投标活动中应当保密的情况和资料，不得与供应商串通损害国家利益，社会公</w:t>
      </w:r>
      <w:r>
        <w:rPr>
          <w:rFonts w:hint="eastAsia" w:ascii="宋体" w:hAnsi="宋体" w:cs="宋体"/>
          <w:color w:val="auto"/>
          <w:spacing w:val="13"/>
          <w:sz w:val="24"/>
          <w:highlight w:val="none"/>
        </w:rPr>
        <w:t>共</w:t>
      </w:r>
      <w:r>
        <w:rPr>
          <w:rFonts w:hint="eastAsia" w:ascii="宋体" w:hAnsi="宋体" w:cs="宋体"/>
          <w:color w:val="auto"/>
          <w:spacing w:val="8"/>
          <w:sz w:val="24"/>
          <w:highlight w:val="none"/>
        </w:rPr>
        <w:t>利益或者他人合法权益。</w:t>
      </w:r>
    </w:p>
    <w:p w14:paraId="41DBCAC3">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33.对供应商的纪律要求</w:t>
      </w:r>
    </w:p>
    <w:p w14:paraId="620FDB2E">
      <w:pPr>
        <w:widowControl/>
        <w:kinsoku w:val="0"/>
        <w:autoSpaceDE w:val="0"/>
        <w:autoSpaceDN w:val="0"/>
        <w:adjustRightInd w:val="0"/>
        <w:snapToGrid w:val="0"/>
        <w:spacing w:before="192" w:line="360" w:lineRule="auto"/>
        <w:ind w:left="1" w:firstLine="312"/>
        <w:textAlignment w:val="baseline"/>
        <w:rPr>
          <w:rFonts w:ascii="宋体" w:hAnsi="宋体" w:cs="宋体"/>
          <w:color w:val="auto"/>
          <w:sz w:val="24"/>
          <w:highlight w:val="none"/>
        </w:rPr>
      </w:pPr>
      <w:r>
        <w:rPr>
          <w:rFonts w:hint="eastAsia" w:ascii="宋体" w:hAnsi="宋体" w:cs="宋体"/>
          <w:color w:val="auto"/>
          <w:spacing w:val="16"/>
          <w:sz w:val="24"/>
          <w:highlight w:val="none"/>
        </w:rPr>
        <w:t>33</w:t>
      </w:r>
      <w:r>
        <w:rPr>
          <w:rFonts w:hint="eastAsia" w:ascii="宋体" w:hAnsi="宋体" w:cs="宋体"/>
          <w:color w:val="auto"/>
          <w:spacing w:val="11"/>
          <w:sz w:val="24"/>
          <w:highlight w:val="none"/>
        </w:rPr>
        <w:t>.1供应商不得相互串通投标或者与采购人串通投标，不得向采购人或者评标委员会成员行贿谋取中</w:t>
      </w:r>
      <w:r>
        <w:rPr>
          <w:rFonts w:hint="eastAsia" w:ascii="宋体" w:hAnsi="宋体" w:cs="宋体"/>
          <w:color w:val="auto"/>
          <w:spacing w:val="16"/>
          <w:sz w:val="24"/>
          <w:highlight w:val="none"/>
        </w:rPr>
        <w:t>标，不</w:t>
      </w:r>
      <w:r>
        <w:rPr>
          <w:rFonts w:hint="eastAsia" w:ascii="宋体" w:hAnsi="宋体" w:cs="宋体"/>
          <w:color w:val="auto"/>
          <w:spacing w:val="14"/>
          <w:sz w:val="24"/>
          <w:highlight w:val="none"/>
        </w:rPr>
        <w:t>得</w:t>
      </w:r>
      <w:r>
        <w:rPr>
          <w:rFonts w:hint="eastAsia" w:ascii="宋体" w:hAnsi="宋体" w:cs="宋体"/>
          <w:color w:val="auto"/>
          <w:spacing w:val="8"/>
          <w:sz w:val="24"/>
          <w:highlight w:val="none"/>
        </w:rPr>
        <w:t>以他人名义投标或者以其他方式弄虚作假骗取中标；供应商不得以任何方式干扰、影响评标工作。</w:t>
      </w:r>
    </w:p>
    <w:p w14:paraId="3C7A5C98">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34.对评标委员会成员的纪律要求</w:t>
      </w:r>
    </w:p>
    <w:p w14:paraId="22280C85">
      <w:pPr>
        <w:widowControl/>
        <w:kinsoku w:val="0"/>
        <w:autoSpaceDE w:val="0"/>
        <w:autoSpaceDN w:val="0"/>
        <w:adjustRightInd w:val="0"/>
        <w:snapToGrid w:val="0"/>
        <w:spacing w:before="195" w:line="360" w:lineRule="auto"/>
        <w:ind w:left="1" w:right="70" w:firstLine="312"/>
        <w:textAlignment w:val="baseline"/>
        <w:rPr>
          <w:rFonts w:ascii="宋体" w:hAnsi="宋体" w:cs="宋体"/>
          <w:color w:val="auto"/>
          <w:sz w:val="24"/>
          <w:highlight w:val="none"/>
        </w:rPr>
      </w:pPr>
      <w:r>
        <w:rPr>
          <w:rFonts w:hint="eastAsia" w:ascii="宋体" w:hAnsi="宋体" w:cs="宋体"/>
          <w:color w:val="auto"/>
          <w:spacing w:val="12"/>
          <w:sz w:val="24"/>
          <w:highlight w:val="none"/>
        </w:rPr>
        <w:t>34.1</w:t>
      </w:r>
      <w:r>
        <w:rPr>
          <w:rFonts w:hint="eastAsia" w:ascii="宋体" w:hAnsi="宋体" w:cs="宋体"/>
          <w:color w:val="auto"/>
          <w:spacing w:val="10"/>
          <w:sz w:val="24"/>
          <w:highlight w:val="none"/>
        </w:rPr>
        <w:t>评</w:t>
      </w:r>
      <w:r>
        <w:rPr>
          <w:rFonts w:hint="eastAsia" w:ascii="宋体" w:hAnsi="宋体" w:cs="宋体"/>
          <w:color w:val="auto"/>
          <w:spacing w:val="6"/>
          <w:sz w:val="24"/>
          <w:highlight w:val="none"/>
        </w:rPr>
        <w:t>标委员会成员不得收受他人的财物或者其他好处，不得向他人透漏对响应文件的评审和比较、中</w:t>
      </w:r>
      <w:r>
        <w:rPr>
          <w:rFonts w:hint="eastAsia" w:ascii="宋体" w:hAnsi="宋体" w:cs="宋体"/>
          <w:color w:val="auto"/>
          <w:spacing w:val="9"/>
          <w:sz w:val="24"/>
          <w:highlight w:val="none"/>
        </w:rPr>
        <w:t>标候选人的推荐情况以及评标有关的其他情况</w:t>
      </w:r>
      <w:r>
        <w:rPr>
          <w:rFonts w:hint="eastAsia" w:ascii="宋体" w:hAnsi="宋体" w:cs="宋体"/>
          <w:color w:val="auto"/>
          <w:spacing w:val="8"/>
          <w:sz w:val="24"/>
          <w:highlight w:val="none"/>
        </w:rPr>
        <w:t>。</w:t>
      </w:r>
    </w:p>
    <w:p w14:paraId="3C763EAC">
      <w:pPr>
        <w:widowControl/>
        <w:kinsoku w:val="0"/>
        <w:autoSpaceDE w:val="0"/>
        <w:autoSpaceDN w:val="0"/>
        <w:adjustRightInd w:val="0"/>
        <w:snapToGrid w:val="0"/>
        <w:spacing w:before="1" w:line="360" w:lineRule="auto"/>
        <w:ind w:left="1" w:right="70" w:firstLine="312"/>
        <w:textAlignment w:val="baseline"/>
        <w:rPr>
          <w:rFonts w:ascii="宋体" w:hAnsi="宋体" w:cs="宋体"/>
          <w:color w:val="auto"/>
          <w:sz w:val="24"/>
          <w:highlight w:val="none"/>
        </w:rPr>
      </w:pPr>
      <w:r>
        <w:rPr>
          <w:rFonts w:hint="eastAsia" w:ascii="宋体" w:hAnsi="宋体" w:cs="宋体"/>
          <w:color w:val="auto"/>
          <w:spacing w:val="12"/>
          <w:sz w:val="24"/>
          <w:highlight w:val="none"/>
        </w:rPr>
        <w:t>34.2</w:t>
      </w:r>
      <w:r>
        <w:rPr>
          <w:rFonts w:hint="eastAsia" w:ascii="宋体" w:hAnsi="宋体" w:cs="宋体"/>
          <w:color w:val="auto"/>
          <w:spacing w:val="10"/>
          <w:sz w:val="24"/>
          <w:highlight w:val="none"/>
        </w:rPr>
        <w:t>在</w:t>
      </w:r>
      <w:r>
        <w:rPr>
          <w:rFonts w:hint="eastAsia" w:ascii="宋体" w:hAnsi="宋体" w:cs="宋体"/>
          <w:color w:val="auto"/>
          <w:spacing w:val="6"/>
          <w:sz w:val="24"/>
          <w:highlight w:val="none"/>
        </w:rPr>
        <w:t>评标活动中，评标委员会成员不得擅离职守，影响评标程序正常进行，不得使用第三章“评标办</w:t>
      </w:r>
      <w:r>
        <w:rPr>
          <w:rFonts w:hint="eastAsia" w:ascii="宋体" w:hAnsi="宋体" w:cs="宋体"/>
          <w:color w:val="auto"/>
          <w:spacing w:val="9"/>
          <w:sz w:val="24"/>
          <w:highlight w:val="none"/>
        </w:rPr>
        <w:t>法”没有规定的评审因素和标准进行评标</w:t>
      </w:r>
      <w:r>
        <w:rPr>
          <w:rFonts w:hint="eastAsia" w:ascii="宋体" w:hAnsi="宋体" w:cs="宋体"/>
          <w:color w:val="auto"/>
          <w:spacing w:val="6"/>
          <w:sz w:val="24"/>
          <w:highlight w:val="none"/>
        </w:rPr>
        <w:t>。</w:t>
      </w:r>
    </w:p>
    <w:p w14:paraId="20D9485E">
      <w:pPr>
        <w:autoSpaceDE w:val="0"/>
        <w:autoSpaceDN w:val="0"/>
        <w:adjustRightInd w:val="0"/>
        <w:snapToGrid w:val="0"/>
        <w:spacing w:line="360" w:lineRule="auto"/>
        <w:ind w:firstLine="482" w:firstLineChars="200"/>
        <w:rPr>
          <w:rFonts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35.对与评标活动有关的工作人员的纪律要求</w:t>
      </w:r>
    </w:p>
    <w:p w14:paraId="3547E60A">
      <w:pPr>
        <w:widowControl/>
        <w:kinsoku w:val="0"/>
        <w:autoSpaceDE w:val="0"/>
        <w:autoSpaceDN w:val="0"/>
        <w:adjustRightInd w:val="0"/>
        <w:snapToGrid w:val="0"/>
        <w:spacing w:before="195" w:line="360" w:lineRule="auto"/>
        <w:ind w:left="1" w:right="70" w:firstLine="312"/>
        <w:textAlignment w:val="baseline"/>
        <w:rPr>
          <w:rFonts w:ascii="宋体" w:hAnsi="宋体" w:cs="宋体"/>
          <w:color w:val="auto"/>
          <w:sz w:val="24"/>
          <w:highlight w:val="none"/>
        </w:rPr>
      </w:pPr>
      <w:r>
        <w:rPr>
          <w:rFonts w:hint="eastAsia" w:ascii="宋体" w:hAnsi="宋体" w:cs="宋体"/>
          <w:color w:val="auto"/>
          <w:spacing w:val="12"/>
          <w:sz w:val="24"/>
          <w:highlight w:val="none"/>
        </w:rPr>
        <w:t>35.1</w:t>
      </w:r>
      <w:r>
        <w:rPr>
          <w:rFonts w:hint="eastAsia" w:ascii="宋体" w:hAnsi="宋体" w:cs="宋体"/>
          <w:color w:val="auto"/>
          <w:spacing w:val="10"/>
          <w:sz w:val="24"/>
          <w:highlight w:val="none"/>
        </w:rPr>
        <w:t>与</w:t>
      </w:r>
      <w:r>
        <w:rPr>
          <w:rFonts w:hint="eastAsia" w:ascii="宋体" w:hAnsi="宋体" w:cs="宋体"/>
          <w:color w:val="auto"/>
          <w:spacing w:val="6"/>
          <w:sz w:val="24"/>
          <w:highlight w:val="none"/>
        </w:rPr>
        <w:t>评标活动有关的工作人员不得收受他人的财物或者其他好处，不得向他人透漏对响应文件的评审</w:t>
      </w:r>
      <w:r>
        <w:rPr>
          <w:rFonts w:hint="eastAsia" w:ascii="宋体" w:hAnsi="宋体" w:cs="宋体"/>
          <w:color w:val="auto"/>
          <w:spacing w:val="22"/>
          <w:sz w:val="24"/>
          <w:highlight w:val="none"/>
        </w:rPr>
        <w:t>和比</w:t>
      </w:r>
      <w:r>
        <w:rPr>
          <w:rFonts w:hint="eastAsia" w:ascii="宋体" w:hAnsi="宋体" w:cs="宋体"/>
          <w:color w:val="auto"/>
          <w:spacing w:val="17"/>
          <w:sz w:val="24"/>
          <w:highlight w:val="none"/>
        </w:rPr>
        <w:t>较</w:t>
      </w:r>
      <w:r>
        <w:rPr>
          <w:rFonts w:hint="eastAsia" w:ascii="宋体" w:hAnsi="宋体" w:cs="宋体"/>
          <w:color w:val="auto"/>
          <w:spacing w:val="11"/>
          <w:sz w:val="24"/>
          <w:highlight w:val="none"/>
        </w:rPr>
        <w:t>、中标候选人的推荐情况以及评标有关的其他情况。在评标活动中，与评标活动有关的工作人员不</w:t>
      </w:r>
      <w:r>
        <w:rPr>
          <w:rFonts w:hint="eastAsia" w:ascii="宋体" w:hAnsi="宋体" w:cs="宋体"/>
          <w:color w:val="auto"/>
          <w:spacing w:val="16"/>
          <w:sz w:val="24"/>
          <w:highlight w:val="none"/>
        </w:rPr>
        <w:t>得</w:t>
      </w:r>
      <w:r>
        <w:rPr>
          <w:rFonts w:hint="eastAsia" w:ascii="宋体" w:hAnsi="宋体" w:cs="宋体"/>
          <w:color w:val="auto"/>
          <w:spacing w:val="12"/>
          <w:sz w:val="24"/>
          <w:highlight w:val="none"/>
        </w:rPr>
        <w:t>擅</w:t>
      </w:r>
      <w:r>
        <w:rPr>
          <w:rFonts w:hint="eastAsia" w:ascii="宋体" w:hAnsi="宋体" w:cs="宋体"/>
          <w:color w:val="auto"/>
          <w:spacing w:val="8"/>
          <w:sz w:val="24"/>
          <w:highlight w:val="none"/>
        </w:rPr>
        <w:t>离职守，影响评标程序正常进行。</w:t>
      </w:r>
    </w:p>
    <w:p w14:paraId="2BDB95A4">
      <w:pPr>
        <w:autoSpaceDE w:val="0"/>
        <w:autoSpaceDN w:val="0"/>
        <w:adjustRightInd w:val="0"/>
        <w:snapToGrid w:val="0"/>
        <w:spacing w:line="360" w:lineRule="auto"/>
        <w:ind w:firstLine="482" w:firstLineChars="200"/>
        <w:rPr>
          <w:rFonts w:ascii="宋体" w:hAnsi="宋体" w:cs="宋体"/>
          <w:color w:val="auto"/>
          <w:sz w:val="24"/>
          <w:highlight w:val="none"/>
        </w:rPr>
      </w:pPr>
      <w:r>
        <w:rPr>
          <w:rFonts w:hint="eastAsia" w:asciiTheme="minorEastAsia" w:hAnsiTheme="minorEastAsia" w:eastAsiaTheme="minorEastAsia" w:cstheme="minorEastAsia"/>
          <w:b/>
          <w:bCs/>
          <w:color w:val="auto"/>
          <w:kern w:val="0"/>
          <w:sz w:val="24"/>
          <w:highlight w:val="none"/>
        </w:rPr>
        <w:t>十、质疑与投诉</w:t>
      </w:r>
    </w:p>
    <w:p w14:paraId="21597C5A">
      <w:pPr>
        <w:widowControl/>
        <w:kinsoku w:val="0"/>
        <w:autoSpaceDE w:val="0"/>
        <w:autoSpaceDN w:val="0"/>
        <w:adjustRightInd w:val="0"/>
        <w:snapToGrid w:val="0"/>
        <w:spacing w:before="181" w:line="360" w:lineRule="auto"/>
        <w:ind w:left="210" w:right="56" w:firstLine="254" w:firstLineChars="100"/>
        <w:textAlignment w:val="baseline"/>
        <w:rPr>
          <w:rFonts w:ascii="宋体" w:hAnsi="宋体" w:cs="宋体"/>
          <w:color w:val="auto"/>
          <w:spacing w:val="7"/>
          <w:position w:val="1"/>
          <w:sz w:val="24"/>
          <w:highlight w:val="none"/>
        </w:rPr>
      </w:pPr>
      <w:r>
        <w:rPr>
          <w:rFonts w:hint="eastAsia" w:ascii="宋体" w:hAnsi="宋体" w:cs="宋体"/>
          <w:color w:val="auto"/>
          <w:spacing w:val="7"/>
          <w:position w:val="1"/>
          <w:sz w:val="24"/>
          <w:highlight w:val="none"/>
        </w:rPr>
        <w:t>36、质疑和投诉</w:t>
      </w:r>
    </w:p>
    <w:p w14:paraId="271A55C2">
      <w:pPr>
        <w:widowControl/>
        <w:kinsoku w:val="0"/>
        <w:autoSpaceDE w:val="0"/>
        <w:autoSpaceDN w:val="0"/>
        <w:adjustRightInd w:val="0"/>
        <w:snapToGrid w:val="0"/>
        <w:spacing w:before="181" w:line="360" w:lineRule="auto"/>
        <w:ind w:left="208" w:right="56" w:firstLine="264" w:firstLineChars="100"/>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7"/>
          <w:sz w:val="24"/>
          <w:highlight w:val="none"/>
        </w:rPr>
        <w:t>.1.供应商认为采购文件、采购过程和中标、成交结果使自己的权益受到损害的，可以在知道或者应知</w:t>
      </w:r>
      <w:r>
        <w:rPr>
          <w:rFonts w:hint="eastAsia" w:ascii="宋体" w:hAnsi="宋体" w:cs="宋体"/>
          <w:color w:val="auto"/>
          <w:spacing w:val="18"/>
          <w:sz w:val="24"/>
          <w:highlight w:val="none"/>
        </w:rPr>
        <w:t>其权益</w:t>
      </w:r>
      <w:r>
        <w:rPr>
          <w:rFonts w:hint="eastAsia" w:ascii="宋体" w:hAnsi="宋体" w:cs="宋体"/>
          <w:color w:val="auto"/>
          <w:spacing w:val="16"/>
          <w:sz w:val="24"/>
          <w:highlight w:val="none"/>
        </w:rPr>
        <w:t>受</w:t>
      </w:r>
      <w:r>
        <w:rPr>
          <w:rFonts w:hint="eastAsia" w:ascii="宋体" w:hAnsi="宋体" w:cs="宋体"/>
          <w:color w:val="auto"/>
          <w:spacing w:val="9"/>
          <w:sz w:val="24"/>
          <w:highlight w:val="none"/>
        </w:rPr>
        <w:t>到损害之日起七个工作日内，以书面形式向采购人、采购代理机构提出质疑。供应商应当在法定</w:t>
      </w:r>
      <w:r>
        <w:rPr>
          <w:rFonts w:hint="eastAsia" w:ascii="宋体" w:hAnsi="宋体" w:cs="宋体"/>
          <w:color w:val="auto"/>
          <w:spacing w:val="18"/>
          <w:sz w:val="24"/>
          <w:highlight w:val="none"/>
        </w:rPr>
        <w:t>质疑</w:t>
      </w:r>
      <w:r>
        <w:rPr>
          <w:rFonts w:hint="eastAsia" w:ascii="宋体" w:hAnsi="宋体" w:cs="宋体"/>
          <w:color w:val="auto"/>
          <w:spacing w:val="10"/>
          <w:sz w:val="24"/>
          <w:highlight w:val="none"/>
        </w:rPr>
        <w:t>期</w:t>
      </w:r>
      <w:r>
        <w:rPr>
          <w:rFonts w:hint="eastAsia" w:ascii="宋体" w:hAnsi="宋体" w:cs="宋体"/>
          <w:color w:val="auto"/>
          <w:spacing w:val="9"/>
          <w:sz w:val="24"/>
          <w:highlight w:val="none"/>
        </w:rPr>
        <w:t>内一次性提出针对同一采购程序环节的质疑。供应商应知其权益受到损害之日，是指：</w:t>
      </w:r>
    </w:p>
    <w:p w14:paraId="7B1B2AFE">
      <w:pPr>
        <w:widowControl/>
        <w:kinsoku w:val="0"/>
        <w:autoSpaceDE w:val="0"/>
        <w:autoSpaceDN w:val="0"/>
        <w:adjustRightInd w:val="0"/>
        <w:snapToGrid w:val="0"/>
        <w:spacing w:line="360" w:lineRule="auto"/>
        <w:ind w:left="219"/>
        <w:textAlignment w:val="baseline"/>
        <w:rPr>
          <w:rFonts w:ascii="宋体" w:hAnsi="宋体" w:cs="宋体"/>
          <w:color w:val="auto"/>
          <w:sz w:val="24"/>
          <w:highlight w:val="none"/>
        </w:rPr>
      </w:pPr>
      <w:r>
        <w:rPr>
          <w:rFonts w:hint="eastAsia" w:ascii="宋体" w:hAnsi="宋体" w:cs="宋体"/>
          <w:color w:val="auto"/>
          <w:spacing w:val="9"/>
          <w:sz w:val="24"/>
          <w:highlight w:val="none"/>
        </w:rPr>
        <w:t>(一)对可以质疑的采购文件提出质疑的，为收到采购文件之日或者采购文件公告期限届满之日</w:t>
      </w:r>
      <w:r>
        <w:rPr>
          <w:rFonts w:hint="eastAsia" w:ascii="宋体" w:hAnsi="宋体" w:cs="宋体"/>
          <w:color w:val="auto"/>
          <w:spacing w:val="3"/>
          <w:sz w:val="24"/>
          <w:highlight w:val="none"/>
        </w:rPr>
        <w:t>；</w:t>
      </w:r>
    </w:p>
    <w:p w14:paraId="78E3B639">
      <w:pPr>
        <w:widowControl/>
        <w:kinsoku w:val="0"/>
        <w:autoSpaceDE w:val="0"/>
        <w:autoSpaceDN w:val="0"/>
        <w:adjustRightInd w:val="0"/>
        <w:snapToGrid w:val="0"/>
        <w:spacing w:before="195" w:line="360" w:lineRule="auto"/>
        <w:ind w:left="219"/>
        <w:textAlignment w:val="baseline"/>
        <w:rPr>
          <w:rFonts w:ascii="宋体" w:hAnsi="宋体" w:cs="宋体"/>
          <w:color w:val="auto"/>
          <w:sz w:val="24"/>
          <w:highlight w:val="none"/>
        </w:rPr>
      </w:pPr>
      <w:r>
        <w:rPr>
          <w:rFonts w:hint="eastAsia" w:ascii="宋体" w:hAnsi="宋体" w:cs="宋体"/>
          <w:color w:val="auto"/>
          <w:spacing w:val="15"/>
          <w:sz w:val="24"/>
          <w:highlight w:val="none"/>
        </w:rPr>
        <w:t>(</w:t>
      </w:r>
      <w:r>
        <w:rPr>
          <w:rFonts w:hint="eastAsia" w:ascii="宋体" w:hAnsi="宋体" w:cs="宋体"/>
          <w:color w:val="auto"/>
          <w:spacing w:val="12"/>
          <w:sz w:val="24"/>
          <w:highlight w:val="none"/>
        </w:rPr>
        <w:t>二)对采购过程提出质疑的，为各采购程序环节结束之日；</w:t>
      </w:r>
    </w:p>
    <w:p w14:paraId="7D90DCC8">
      <w:pPr>
        <w:widowControl/>
        <w:kinsoku w:val="0"/>
        <w:autoSpaceDE w:val="0"/>
        <w:autoSpaceDN w:val="0"/>
        <w:adjustRightInd w:val="0"/>
        <w:snapToGrid w:val="0"/>
        <w:spacing w:before="193" w:line="360" w:lineRule="auto"/>
        <w:ind w:left="219"/>
        <w:textAlignment w:val="baseline"/>
        <w:rPr>
          <w:rFonts w:ascii="宋体" w:hAnsi="宋体" w:cs="宋体"/>
          <w:color w:val="auto"/>
          <w:sz w:val="24"/>
          <w:highlight w:val="none"/>
        </w:rPr>
      </w:pPr>
      <w:r>
        <w:rPr>
          <w:rFonts w:hint="eastAsia" w:ascii="宋体" w:hAnsi="宋体" w:cs="宋体"/>
          <w:color w:val="auto"/>
          <w:spacing w:val="22"/>
          <w:sz w:val="24"/>
          <w:highlight w:val="none"/>
        </w:rPr>
        <w:t>(三</w:t>
      </w:r>
      <w:r>
        <w:rPr>
          <w:rFonts w:hint="eastAsia" w:ascii="宋体" w:hAnsi="宋体" w:cs="宋体"/>
          <w:color w:val="auto"/>
          <w:spacing w:val="12"/>
          <w:sz w:val="24"/>
          <w:highlight w:val="none"/>
        </w:rPr>
        <w:t>)</w:t>
      </w:r>
      <w:r>
        <w:rPr>
          <w:rFonts w:hint="eastAsia" w:ascii="宋体" w:hAnsi="宋体" w:cs="宋体"/>
          <w:color w:val="auto"/>
          <w:spacing w:val="11"/>
          <w:sz w:val="24"/>
          <w:highlight w:val="none"/>
        </w:rPr>
        <w:t>对中标或者成交结果提出质疑的，为中标或者成交结果公告期限届满之日。</w:t>
      </w:r>
    </w:p>
    <w:p w14:paraId="042F45C7">
      <w:pPr>
        <w:widowControl/>
        <w:kinsoku w:val="0"/>
        <w:autoSpaceDE w:val="0"/>
        <w:autoSpaceDN w:val="0"/>
        <w:adjustRightInd w:val="0"/>
        <w:snapToGrid w:val="0"/>
        <w:spacing w:before="192" w:line="360" w:lineRule="auto"/>
        <w:ind w:left="3" w:right="56" w:firstLine="205"/>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7"/>
          <w:sz w:val="24"/>
          <w:highlight w:val="none"/>
        </w:rPr>
        <w:t>.2供应商提出质疑应当提交质疑函和必要的证明材料。质疑函应当包括下列内容：供应商的姓名或者</w:t>
      </w:r>
      <w:r>
        <w:rPr>
          <w:rFonts w:hint="eastAsia" w:ascii="宋体" w:hAnsi="宋体" w:cs="宋体"/>
          <w:color w:val="auto"/>
          <w:spacing w:val="18"/>
          <w:sz w:val="24"/>
          <w:highlight w:val="none"/>
        </w:rPr>
        <w:t>名称、</w:t>
      </w:r>
      <w:r>
        <w:rPr>
          <w:rFonts w:hint="eastAsia" w:ascii="宋体" w:hAnsi="宋体" w:cs="宋体"/>
          <w:color w:val="auto"/>
          <w:spacing w:val="14"/>
          <w:sz w:val="24"/>
          <w:highlight w:val="none"/>
        </w:rPr>
        <w:t>地</w:t>
      </w:r>
      <w:r>
        <w:rPr>
          <w:rFonts w:hint="eastAsia" w:ascii="宋体" w:hAnsi="宋体" w:cs="宋体"/>
          <w:color w:val="auto"/>
          <w:spacing w:val="9"/>
          <w:sz w:val="24"/>
          <w:highlight w:val="none"/>
        </w:rPr>
        <w:t>址、邮编、联系人及联系电话；质疑项目的名称、编号；具体、明确的质疑事项和与质疑事项相</w:t>
      </w:r>
      <w:r>
        <w:rPr>
          <w:rFonts w:hint="eastAsia" w:ascii="宋体" w:hAnsi="宋体" w:cs="宋体"/>
          <w:color w:val="auto"/>
          <w:spacing w:val="12"/>
          <w:sz w:val="24"/>
          <w:highlight w:val="none"/>
        </w:rPr>
        <w:t>关</w:t>
      </w:r>
      <w:r>
        <w:rPr>
          <w:rFonts w:hint="eastAsia" w:ascii="宋体" w:hAnsi="宋体" w:cs="宋体"/>
          <w:color w:val="auto"/>
          <w:spacing w:val="10"/>
          <w:sz w:val="24"/>
          <w:highlight w:val="none"/>
        </w:rPr>
        <w:t>的</w:t>
      </w:r>
      <w:r>
        <w:rPr>
          <w:rFonts w:hint="eastAsia" w:ascii="宋体" w:hAnsi="宋体" w:cs="宋体"/>
          <w:color w:val="auto"/>
          <w:spacing w:val="6"/>
          <w:sz w:val="24"/>
          <w:highlight w:val="none"/>
        </w:rPr>
        <w:t>请求；事实依据；必要的法律依据；提出质疑的日期。(具体格式详见附件)</w:t>
      </w:r>
    </w:p>
    <w:p w14:paraId="3AE184E0">
      <w:pPr>
        <w:widowControl/>
        <w:kinsoku w:val="0"/>
        <w:autoSpaceDE w:val="0"/>
        <w:autoSpaceDN w:val="0"/>
        <w:adjustRightInd w:val="0"/>
        <w:snapToGrid w:val="0"/>
        <w:spacing w:before="2" w:line="360" w:lineRule="auto"/>
        <w:ind w:left="3" w:firstLine="206"/>
        <w:textAlignment w:val="baseline"/>
        <w:rPr>
          <w:rFonts w:ascii="宋体" w:hAnsi="宋体" w:cs="宋体"/>
          <w:color w:val="auto"/>
          <w:sz w:val="24"/>
          <w:highlight w:val="none"/>
        </w:rPr>
      </w:pPr>
      <w:r>
        <w:rPr>
          <w:rFonts w:hint="eastAsia" w:ascii="宋体" w:hAnsi="宋体" w:cs="宋体"/>
          <w:color w:val="auto"/>
          <w:spacing w:val="12"/>
          <w:sz w:val="24"/>
          <w:highlight w:val="none"/>
        </w:rPr>
        <w:t>供应商</w:t>
      </w:r>
      <w:r>
        <w:rPr>
          <w:rFonts w:hint="eastAsia" w:ascii="宋体" w:hAnsi="宋体" w:cs="宋体"/>
          <w:color w:val="auto"/>
          <w:spacing w:val="9"/>
          <w:sz w:val="24"/>
          <w:highlight w:val="none"/>
        </w:rPr>
        <w:t>为</w:t>
      </w:r>
      <w:r>
        <w:rPr>
          <w:rFonts w:hint="eastAsia" w:ascii="宋体" w:hAnsi="宋体" w:cs="宋体"/>
          <w:color w:val="auto"/>
          <w:spacing w:val="6"/>
          <w:sz w:val="24"/>
          <w:highlight w:val="none"/>
        </w:rPr>
        <w:t>自然人的，应当由本人签字；供应商为法人或者其他组织的，应当由法定代表人、主要负责人，</w:t>
      </w:r>
      <w:r>
        <w:rPr>
          <w:rFonts w:hint="eastAsia" w:ascii="宋体" w:hAnsi="宋体" w:cs="宋体"/>
          <w:color w:val="auto"/>
          <w:spacing w:val="9"/>
          <w:sz w:val="24"/>
          <w:highlight w:val="none"/>
        </w:rPr>
        <w:t>或者其授权代表签字或者盖章，并加盖公章</w:t>
      </w:r>
      <w:r>
        <w:rPr>
          <w:rFonts w:hint="eastAsia" w:ascii="宋体" w:hAnsi="宋体" w:cs="宋体"/>
          <w:color w:val="auto"/>
          <w:spacing w:val="7"/>
          <w:sz w:val="24"/>
          <w:highlight w:val="none"/>
        </w:rPr>
        <w:t>。</w:t>
      </w:r>
    </w:p>
    <w:p w14:paraId="207F9D9A">
      <w:pPr>
        <w:widowControl/>
        <w:kinsoku w:val="0"/>
        <w:autoSpaceDE w:val="0"/>
        <w:autoSpaceDN w:val="0"/>
        <w:adjustRightInd w:val="0"/>
        <w:snapToGrid w:val="0"/>
        <w:spacing w:before="1" w:line="360" w:lineRule="auto"/>
        <w:ind w:left="5" w:right="57" w:firstLine="202"/>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7"/>
          <w:sz w:val="24"/>
          <w:highlight w:val="none"/>
        </w:rPr>
        <w:t>.3供应商质疑、投诉应当有明确的请求和必要的证明材料。供应商投诉的事项不得超出已质疑事项的</w:t>
      </w:r>
      <w:r>
        <w:rPr>
          <w:rFonts w:hint="eastAsia" w:ascii="宋体" w:hAnsi="宋体" w:cs="宋体"/>
          <w:color w:val="auto"/>
          <w:spacing w:val="18"/>
          <w:sz w:val="24"/>
          <w:highlight w:val="none"/>
        </w:rPr>
        <w:t>范</w:t>
      </w:r>
      <w:r>
        <w:rPr>
          <w:rFonts w:hint="eastAsia" w:ascii="宋体" w:hAnsi="宋体" w:cs="宋体"/>
          <w:color w:val="auto"/>
          <w:spacing w:val="13"/>
          <w:sz w:val="24"/>
          <w:highlight w:val="none"/>
        </w:rPr>
        <w:t>围</w:t>
      </w:r>
      <w:r>
        <w:rPr>
          <w:rFonts w:hint="eastAsia" w:ascii="宋体" w:hAnsi="宋体" w:cs="宋体"/>
          <w:color w:val="auto"/>
          <w:spacing w:val="9"/>
          <w:sz w:val="24"/>
          <w:highlight w:val="none"/>
        </w:rPr>
        <w:t>。采购人及采购代理机构按《政府采购质疑和投诉办法》进行处理供应商质疑事项。</w:t>
      </w:r>
    </w:p>
    <w:p w14:paraId="3ADC0A4A">
      <w:pPr>
        <w:widowControl/>
        <w:kinsoku w:val="0"/>
        <w:autoSpaceDE w:val="0"/>
        <w:autoSpaceDN w:val="0"/>
        <w:adjustRightInd w:val="0"/>
        <w:snapToGrid w:val="0"/>
        <w:spacing w:before="1" w:line="360" w:lineRule="auto"/>
        <w:ind w:left="26" w:right="56" w:firstLine="182"/>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7"/>
          <w:sz w:val="24"/>
          <w:highlight w:val="none"/>
        </w:rPr>
        <w:t>.4质疑供应商对采购人、采购代理机构的质疑答复不满意，或者采购人、采购代理机构未在规定期限</w:t>
      </w:r>
      <w:r>
        <w:rPr>
          <w:rFonts w:hint="eastAsia" w:ascii="宋体" w:hAnsi="宋体" w:cs="宋体"/>
          <w:color w:val="auto"/>
          <w:spacing w:val="10"/>
          <w:sz w:val="24"/>
          <w:highlight w:val="none"/>
        </w:rPr>
        <w:t>内作出答</w:t>
      </w:r>
      <w:r>
        <w:rPr>
          <w:rFonts w:hint="eastAsia" w:ascii="宋体" w:hAnsi="宋体" w:cs="宋体"/>
          <w:color w:val="auto"/>
          <w:spacing w:val="8"/>
          <w:sz w:val="24"/>
          <w:highlight w:val="none"/>
        </w:rPr>
        <w:t>复</w:t>
      </w:r>
      <w:r>
        <w:rPr>
          <w:rFonts w:hint="eastAsia" w:ascii="宋体" w:hAnsi="宋体" w:cs="宋体"/>
          <w:color w:val="auto"/>
          <w:spacing w:val="5"/>
          <w:sz w:val="24"/>
          <w:highlight w:val="none"/>
        </w:rPr>
        <w:t>的，供应商可以在答复期满后15个工作日内向同级财政部门提起投诉。</w:t>
      </w:r>
    </w:p>
    <w:p w14:paraId="2B9D053E">
      <w:pPr>
        <w:widowControl/>
        <w:kinsoku w:val="0"/>
        <w:autoSpaceDE w:val="0"/>
        <w:autoSpaceDN w:val="0"/>
        <w:adjustRightInd w:val="0"/>
        <w:snapToGrid w:val="0"/>
        <w:spacing w:before="1" w:line="360" w:lineRule="auto"/>
        <w:ind w:left="208"/>
        <w:textAlignment w:val="baseline"/>
        <w:rPr>
          <w:rFonts w:ascii="宋体" w:hAnsi="宋体" w:cs="宋体"/>
          <w:color w:val="auto"/>
          <w:sz w:val="24"/>
          <w:highlight w:val="none"/>
        </w:rPr>
      </w:pPr>
      <w:r>
        <w:rPr>
          <w:rFonts w:hint="eastAsia" w:ascii="宋体" w:hAnsi="宋体" w:cs="宋体"/>
          <w:color w:val="auto"/>
          <w:spacing w:val="12"/>
          <w:sz w:val="24"/>
          <w:highlight w:val="none"/>
        </w:rPr>
        <w:t>36.</w:t>
      </w:r>
      <w:r>
        <w:rPr>
          <w:rFonts w:hint="eastAsia" w:ascii="宋体" w:hAnsi="宋体" w:cs="宋体"/>
          <w:color w:val="auto"/>
          <w:spacing w:val="11"/>
          <w:sz w:val="24"/>
          <w:highlight w:val="none"/>
        </w:rPr>
        <w:t>5</w:t>
      </w:r>
      <w:r>
        <w:rPr>
          <w:rFonts w:hint="eastAsia" w:ascii="宋体" w:hAnsi="宋体" w:cs="宋体"/>
          <w:color w:val="auto"/>
          <w:spacing w:val="6"/>
          <w:sz w:val="24"/>
          <w:highlight w:val="none"/>
        </w:rPr>
        <w:t>供应商有下列情形之一的，将其列入不良行为记录名单：</w:t>
      </w:r>
    </w:p>
    <w:p w14:paraId="7FB4B17F">
      <w:pPr>
        <w:widowControl/>
        <w:kinsoku w:val="0"/>
        <w:autoSpaceDE w:val="0"/>
        <w:autoSpaceDN w:val="0"/>
        <w:adjustRightInd w:val="0"/>
        <w:snapToGrid w:val="0"/>
        <w:spacing w:before="195" w:line="360" w:lineRule="auto"/>
        <w:ind w:left="219"/>
        <w:textAlignment w:val="baseline"/>
        <w:rPr>
          <w:rFonts w:ascii="宋体" w:hAnsi="宋体" w:cs="宋体"/>
          <w:color w:val="auto"/>
          <w:sz w:val="24"/>
          <w:highlight w:val="none"/>
        </w:rPr>
      </w:pPr>
      <w:r>
        <w:rPr>
          <w:rFonts w:hint="eastAsia" w:ascii="宋体" w:hAnsi="宋体" w:cs="宋体"/>
          <w:color w:val="auto"/>
          <w:spacing w:val="14"/>
          <w:sz w:val="24"/>
          <w:highlight w:val="none"/>
        </w:rPr>
        <w:t>(</w:t>
      </w:r>
      <w:r>
        <w:rPr>
          <w:rFonts w:hint="eastAsia" w:ascii="宋体" w:hAnsi="宋体" w:cs="宋体"/>
          <w:color w:val="auto"/>
          <w:spacing w:val="7"/>
          <w:sz w:val="24"/>
          <w:highlight w:val="none"/>
        </w:rPr>
        <w:t>一)一年内三次以上质疑均查无实据的；</w:t>
      </w:r>
    </w:p>
    <w:p w14:paraId="0F070462">
      <w:pPr>
        <w:widowControl/>
        <w:kinsoku w:val="0"/>
        <w:autoSpaceDE w:val="0"/>
        <w:autoSpaceDN w:val="0"/>
        <w:adjustRightInd w:val="0"/>
        <w:snapToGrid w:val="0"/>
        <w:spacing w:before="189" w:line="360" w:lineRule="auto"/>
        <w:ind w:left="219"/>
        <w:textAlignment w:val="baseline"/>
        <w:rPr>
          <w:rFonts w:ascii="宋体" w:hAnsi="宋体" w:cs="宋体"/>
          <w:color w:val="auto"/>
          <w:sz w:val="24"/>
          <w:highlight w:val="none"/>
        </w:rPr>
      </w:pPr>
      <w:r>
        <w:rPr>
          <w:rFonts w:hint="eastAsia" w:ascii="宋体" w:hAnsi="宋体" w:cs="宋体"/>
          <w:color w:val="auto"/>
          <w:spacing w:val="13"/>
          <w:sz w:val="24"/>
          <w:highlight w:val="none"/>
        </w:rPr>
        <w:t>(二)捏造事实或者提供虚假质疑材料的</w:t>
      </w:r>
      <w:r>
        <w:rPr>
          <w:rFonts w:hint="eastAsia" w:ascii="宋体" w:hAnsi="宋体" w:cs="宋体"/>
          <w:color w:val="auto"/>
          <w:spacing w:val="12"/>
          <w:sz w:val="24"/>
          <w:highlight w:val="none"/>
        </w:rPr>
        <w:t>。</w:t>
      </w:r>
    </w:p>
    <w:p w14:paraId="6A0377A6">
      <w:pPr>
        <w:widowControl/>
        <w:kinsoku w:val="0"/>
        <w:autoSpaceDE w:val="0"/>
        <w:autoSpaceDN w:val="0"/>
        <w:adjustRightInd w:val="0"/>
        <w:snapToGrid w:val="0"/>
        <w:spacing w:before="197" w:line="360" w:lineRule="auto"/>
        <w:ind w:firstLine="219"/>
        <w:textAlignment w:val="baseline"/>
        <w:rPr>
          <w:rFonts w:ascii="宋体" w:hAnsi="宋体" w:cs="宋体"/>
          <w:color w:val="auto"/>
          <w:sz w:val="24"/>
          <w:highlight w:val="none"/>
        </w:rPr>
      </w:pPr>
      <w:r>
        <w:rPr>
          <w:rFonts w:hint="eastAsia" w:ascii="宋体" w:hAnsi="宋体" w:cs="宋体"/>
          <w:color w:val="auto"/>
          <w:spacing w:val="16"/>
          <w:sz w:val="24"/>
          <w:highlight w:val="none"/>
        </w:rPr>
        <w:t>(</w:t>
      </w:r>
      <w:r>
        <w:rPr>
          <w:rFonts w:hint="eastAsia" w:ascii="宋体" w:hAnsi="宋体" w:cs="宋体"/>
          <w:color w:val="auto"/>
          <w:spacing w:val="11"/>
          <w:sz w:val="24"/>
          <w:highlight w:val="none"/>
        </w:rPr>
        <w:t>三</w:t>
      </w:r>
      <w:r>
        <w:rPr>
          <w:rFonts w:hint="eastAsia" w:ascii="宋体" w:hAnsi="宋体" w:cs="宋体"/>
          <w:color w:val="auto"/>
          <w:spacing w:val="8"/>
          <w:sz w:val="24"/>
          <w:highlight w:val="none"/>
        </w:rPr>
        <w:t>)以非法手段取得证明材料。证据来源的合法性存在明显疑问，质疑人无法证明其取得方式合法的，</w:t>
      </w:r>
      <w:r>
        <w:rPr>
          <w:rFonts w:hint="eastAsia" w:ascii="宋体" w:hAnsi="宋体" w:cs="宋体"/>
          <w:color w:val="auto"/>
          <w:spacing w:val="16"/>
          <w:sz w:val="24"/>
          <w:highlight w:val="none"/>
        </w:rPr>
        <w:t>视</w:t>
      </w:r>
      <w:r>
        <w:rPr>
          <w:rFonts w:hint="eastAsia" w:ascii="宋体" w:hAnsi="宋体" w:cs="宋体"/>
          <w:color w:val="auto"/>
          <w:spacing w:val="9"/>
          <w:sz w:val="24"/>
          <w:highlight w:val="none"/>
        </w:rPr>
        <w:t>为</w:t>
      </w:r>
      <w:r>
        <w:rPr>
          <w:rFonts w:hint="eastAsia" w:ascii="宋体" w:hAnsi="宋体" w:cs="宋体"/>
          <w:color w:val="auto"/>
          <w:spacing w:val="8"/>
          <w:sz w:val="24"/>
          <w:highlight w:val="none"/>
        </w:rPr>
        <w:t>以非法手段取得证明材料。</w:t>
      </w:r>
    </w:p>
    <w:p w14:paraId="47F53ADD">
      <w:pPr>
        <w:widowControl/>
        <w:kinsoku w:val="0"/>
        <w:autoSpaceDE w:val="0"/>
        <w:autoSpaceDN w:val="0"/>
        <w:adjustRightInd w:val="0"/>
        <w:snapToGrid w:val="0"/>
        <w:spacing w:line="360" w:lineRule="auto"/>
        <w:textAlignment w:val="baseline"/>
        <w:rPr>
          <w:rFonts w:ascii="宋体" w:hAnsi="宋体" w:cs="宋体"/>
          <w:color w:val="auto"/>
          <w:sz w:val="24"/>
          <w:highlight w:val="none"/>
        </w:rPr>
        <w:sectPr>
          <w:footerReference r:id="rId5" w:type="default"/>
          <w:pgSz w:w="11906" w:h="16839"/>
          <w:pgMar w:top="1431" w:right="1111" w:bottom="1156" w:left="1087" w:header="0" w:footer="996" w:gutter="0"/>
          <w:pgNumType w:start="1"/>
          <w:cols w:space="720" w:num="1"/>
        </w:sectPr>
      </w:pPr>
    </w:p>
    <w:p w14:paraId="48FC5E09">
      <w:pPr>
        <w:spacing w:before="60" w:line="227" w:lineRule="auto"/>
        <w:ind w:left="17"/>
        <w:rPr>
          <w:rFonts w:ascii="宋体" w:hAnsi="宋体" w:cs="宋体"/>
          <w:color w:val="auto"/>
          <w:sz w:val="24"/>
          <w:highlight w:val="none"/>
        </w:rPr>
      </w:pPr>
      <w:r>
        <w:rPr>
          <w:rFonts w:hint="eastAsia" w:ascii="宋体" w:hAnsi="宋体" w:cs="宋体"/>
          <w:color w:val="auto"/>
          <w:spacing w:val="-2"/>
          <w:sz w:val="24"/>
          <w:highlight w:val="none"/>
          <w14:textOutline w14:w="3797" w14:cap="sq" w14:cmpd="sng" w14:algn="ctr">
            <w14:solidFill>
              <w14:srgbClr w14:val="000000"/>
            </w14:solidFill>
            <w14:prstDash w14:val="solid"/>
            <w14:bevel/>
          </w14:textOutline>
        </w:rPr>
        <w:t>附件</w:t>
      </w:r>
      <w:r>
        <w:rPr>
          <w:rFonts w:hint="eastAsia" w:ascii="宋体" w:hAnsi="宋体" w:cs="宋体"/>
          <w:color w:val="auto"/>
          <w:spacing w:val="-1"/>
          <w:sz w:val="24"/>
          <w:highlight w:val="none"/>
          <w14:textOutline w14:w="3797" w14:cap="sq" w14:cmpd="sng" w14:algn="ctr">
            <w14:solidFill>
              <w14:srgbClr w14:val="000000"/>
            </w14:solidFill>
            <w14:prstDash w14:val="solid"/>
            <w14:bevel/>
          </w14:textOutline>
        </w:rPr>
        <w:t>：</w:t>
      </w:r>
    </w:p>
    <w:p w14:paraId="50FFA7F8">
      <w:pPr>
        <w:spacing w:before="101" w:line="548" w:lineRule="exact"/>
        <w:ind w:left="2103"/>
        <w:rPr>
          <w:rFonts w:ascii="宋体" w:hAnsi="宋体" w:cs="宋体"/>
          <w:color w:val="auto"/>
          <w:sz w:val="24"/>
          <w:highlight w:val="none"/>
        </w:rPr>
      </w:pPr>
      <w:r>
        <w:rPr>
          <w:rFonts w:hint="eastAsia" w:ascii="宋体" w:hAnsi="宋体" w:cs="宋体"/>
          <w:color w:val="auto"/>
          <w:spacing w:val="16"/>
          <w:position w:val="17"/>
          <w:sz w:val="24"/>
          <w:highlight w:val="none"/>
          <w14:textOutline w14:w="5791" w14:cap="sq" w14:cmpd="sng" w14:algn="ctr">
            <w14:solidFill>
              <w14:srgbClr w14:val="000000"/>
            </w14:solidFill>
            <w14:prstDash w14:val="solid"/>
            <w14:bevel/>
          </w14:textOutline>
        </w:rPr>
        <w:t>政</w:t>
      </w:r>
      <w:r>
        <w:rPr>
          <w:rFonts w:hint="eastAsia" w:ascii="宋体" w:hAnsi="宋体" w:cs="宋体"/>
          <w:color w:val="auto"/>
          <w:spacing w:val="9"/>
          <w:position w:val="17"/>
          <w:sz w:val="24"/>
          <w:highlight w:val="none"/>
          <w14:textOutline w14:w="5791" w14:cap="sq" w14:cmpd="sng" w14:algn="ctr">
            <w14:solidFill>
              <w14:srgbClr w14:val="000000"/>
            </w14:solidFill>
            <w14:prstDash w14:val="solid"/>
            <w14:bevel/>
          </w14:textOutline>
        </w:rPr>
        <w:t>府采购投诉书(范本)、质疑函范本</w:t>
      </w:r>
    </w:p>
    <w:p w14:paraId="76811C3A">
      <w:pPr>
        <w:spacing w:line="219" w:lineRule="auto"/>
        <w:ind w:left="3285"/>
        <w:rPr>
          <w:rFonts w:ascii="宋体" w:hAnsi="宋体" w:cs="宋体"/>
          <w:color w:val="auto"/>
          <w:sz w:val="24"/>
          <w:highlight w:val="none"/>
        </w:rPr>
      </w:pPr>
      <w:r>
        <w:rPr>
          <w:rFonts w:hint="eastAsia" w:ascii="宋体" w:hAnsi="宋体" w:cs="宋体"/>
          <w:color w:val="auto"/>
          <w:sz w:val="24"/>
          <w:highlight w:val="none"/>
          <w14:textOutline w14:w="5105" w14:cap="sq" w14:cmpd="sng" w14:algn="ctr">
            <w14:solidFill>
              <w14:srgbClr w14:val="000000"/>
            </w14:solidFill>
            <w14:prstDash w14:val="solid"/>
            <w14:bevel/>
          </w14:textOutline>
        </w:rPr>
        <w:t>政府采购投诉书(范本)</w:t>
      </w:r>
    </w:p>
    <w:p w14:paraId="79A1C7C5">
      <w:pPr>
        <w:spacing w:line="88" w:lineRule="exact"/>
        <w:rPr>
          <w:rFonts w:ascii="宋体" w:hAnsi="宋体" w:cs="宋体"/>
          <w:color w:val="auto"/>
          <w:sz w:val="24"/>
          <w:highlight w:val="none"/>
        </w:rPr>
      </w:pPr>
    </w:p>
    <w:p w14:paraId="248E0757">
      <w:pPr>
        <w:rPr>
          <w:rFonts w:ascii="宋体" w:hAnsi="宋体" w:cs="宋体"/>
          <w:color w:val="auto"/>
          <w:sz w:val="24"/>
          <w:highlight w:val="none"/>
        </w:rPr>
        <w:sectPr>
          <w:footerReference r:id="rId6" w:type="default"/>
          <w:pgSz w:w="11906" w:h="16839"/>
          <w:pgMar w:top="1431" w:right="1111" w:bottom="1156" w:left="1087" w:header="0" w:footer="996" w:gutter="0"/>
          <w:cols w:equalWidth="0" w:num="1">
            <w:col w:w="9708"/>
          </w:cols>
        </w:sectPr>
      </w:pPr>
    </w:p>
    <w:p w14:paraId="72BBF613">
      <w:pPr>
        <w:spacing w:line="360" w:lineRule="auto"/>
        <w:rPr>
          <w:rFonts w:ascii="宋体" w:hAnsi="宋体" w:cs="宋体"/>
          <w:color w:val="auto"/>
          <w:spacing w:val="-5"/>
          <w:sz w:val="24"/>
          <w:highlight w:val="none"/>
        </w:rPr>
      </w:pPr>
      <w:r>
        <w:rPr>
          <w:rFonts w:hint="eastAsia" w:ascii="宋体" w:hAnsi="宋体" w:cs="宋体"/>
          <w:color w:val="auto"/>
          <w:spacing w:val="-8"/>
          <w:sz w:val="24"/>
          <w:highlight w:val="none"/>
        </w:rPr>
        <w:t>投</w:t>
      </w:r>
      <w:r>
        <w:rPr>
          <w:rFonts w:hint="eastAsia" w:ascii="宋体" w:hAnsi="宋体" w:cs="宋体"/>
          <w:color w:val="auto"/>
          <w:spacing w:val="-5"/>
          <w:sz w:val="24"/>
          <w:highlight w:val="none"/>
        </w:rPr>
        <w:t>诉人：</w:t>
      </w:r>
    </w:p>
    <w:p w14:paraId="36D66C1E">
      <w:pPr>
        <w:spacing w:line="360" w:lineRule="auto"/>
        <w:rPr>
          <w:rFonts w:ascii="宋体" w:hAnsi="宋体" w:cs="宋体"/>
          <w:color w:val="auto"/>
          <w:spacing w:val="-8"/>
          <w:sz w:val="24"/>
          <w:highlight w:val="none"/>
        </w:rPr>
      </w:pPr>
      <w:r>
        <w:rPr>
          <w:rFonts w:hint="eastAsia" w:ascii="宋体" w:hAnsi="宋体" w:cs="宋体"/>
          <w:color w:val="auto"/>
          <w:spacing w:val="-8"/>
          <w:sz w:val="24"/>
          <w:highlight w:val="none"/>
        </w:rPr>
        <w:t>地址：</w:t>
      </w:r>
    </w:p>
    <w:p w14:paraId="2E836A67">
      <w:pPr>
        <w:spacing w:line="360" w:lineRule="auto"/>
        <w:rPr>
          <w:rFonts w:ascii="宋体" w:hAnsi="宋体" w:cs="宋体"/>
          <w:color w:val="auto"/>
          <w:sz w:val="24"/>
          <w:highlight w:val="none"/>
        </w:rPr>
      </w:pPr>
      <w:r>
        <w:rPr>
          <w:rFonts w:hint="eastAsia" w:ascii="宋体" w:hAnsi="宋体" w:cs="宋体"/>
          <w:color w:val="auto"/>
          <w:sz w:val="24"/>
          <w:highlight w:val="none"/>
        </w:rPr>
        <w:t>委托代理人姓名：</w:t>
      </w:r>
    </w:p>
    <w:p w14:paraId="73FD8893">
      <w:pPr>
        <w:spacing w:line="360" w:lineRule="auto"/>
        <w:rPr>
          <w:rFonts w:ascii="宋体" w:hAnsi="宋体" w:cs="宋体"/>
          <w:color w:val="auto"/>
          <w:spacing w:val="-8"/>
          <w:sz w:val="24"/>
          <w:highlight w:val="none"/>
        </w:rPr>
      </w:pPr>
      <w:r>
        <w:rPr>
          <w:rFonts w:hint="eastAsia" w:ascii="宋体" w:hAnsi="宋体" w:cs="宋体"/>
          <w:color w:val="auto"/>
          <w:spacing w:val="-8"/>
          <w:sz w:val="24"/>
          <w:highlight w:val="none"/>
        </w:rPr>
        <w:t>住址：</w:t>
      </w:r>
    </w:p>
    <w:p w14:paraId="6AAC60B7">
      <w:pPr>
        <w:spacing w:line="360" w:lineRule="auto"/>
        <w:rPr>
          <w:rFonts w:ascii="宋体" w:hAnsi="宋体" w:cs="宋体"/>
          <w:color w:val="auto"/>
          <w:sz w:val="24"/>
          <w:highlight w:val="none"/>
        </w:rPr>
      </w:pPr>
      <w:r>
        <w:rPr>
          <w:rFonts w:hint="eastAsia" w:ascii="宋体" w:hAnsi="宋体" w:cs="宋体"/>
          <w:color w:val="auto"/>
          <w:spacing w:val="6"/>
          <w:sz w:val="24"/>
          <w:highlight w:val="none"/>
        </w:rPr>
        <w:t>被投诉人：</w:t>
      </w:r>
    </w:p>
    <w:p w14:paraId="51D5997B">
      <w:pPr>
        <w:spacing w:line="360" w:lineRule="auto"/>
        <w:rPr>
          <w:rFonts w:ascii="宋体" w:hAnsi="宋体" w:cs="宋体"/>
          <w:color w:val="auto"/>
          <w:sz w:val="24"/>
          <w:highlight w:val="none"/>
        </w:rPr>
      </w:pPr>
      <w:r>
        <w:rPr>
          <w:rFonts w:hint="eastAsia" w:ascii="宋体" w:hAnsi="宋体" w:cs="宋体"/>
          <w:color w:val="auto"/>
          <w:spacing w:val="3"/>
          <w:sz w:val="24"/>
          <w:highlight w:val="none"/>
        </w:rPr>
        <w:t>地址：</w:t>
      </w:r>
    </w:p>
    <w:p w14:paraId="1568C2FD">
      <w:pPr>
        <w:spacing w:line="360" w:lineRule="auto"/>
        <w:rPr>
          <w:rFonts w:ascii="宋体" w:hAnsi="宋体" w:cs="宋体"/>
          <w:color w:val="auto"/>
          <w:sz w:val="24"/>
          <w:highlight w:val="none"/>
        </w:rPr>
      </w:pPr>
      <w:r>
        <w:rPr>
          <w:rFonts w:hint="eastAsia" w:ascii="宋体" w:hAnsi="宋体" w:cs="宋体"/>
          <w:color w:val="auto"/>
          <w:sz w:val="24"/>
          <w:highlight w:val="none"/>
        </w:rPr>
        <w:br w:type="column"/>
      </w:r>
      <w:r>
        <w:rPr>
          <w:rFonts w:hint="eastAsia" w:ascii="宋体" w:hAnsi="宋体" w:cs="宋体"/>
          <w:color w:val="auto"/>
          <w:spacing w:val="9"/>
          <w:sz w:val="24"/>
          <w:highlight w:val="none"/>
        </w:rPr>
        <w:t>法</w:t>
      </w:r>
      <w:r>
        <w:rPr>
          <w:rFonts w:hint="eastAsia" w:ascii="宋体" w:hAnsi="宋体" w:cs="宋体"/>
          <w:color w:val="auto"/>
          <w:spacing w:val="6"/>
          <w:sz w:val="24"/>
          <w:highlight w:val="none"/>
        </w:rPr>
        <w:t>定代表人：</w:t>
      </w:r>
    </w:p>
    <w:p w14:paraId="252F3F6E">
      <w:pPr>
        <w:spacing w:line="360" w:lineRule="auto"/>
        <w:rPr>
          <w:rFonts w:ascii="宋体" w:hAnsi="宋体" w:cs="宋体"/>
          <w:color w:val="auto"/>
          <w:sz w:val="24"/>
          <w:highlight w:val="none"/>
        </w:rPr>
      </w:pPr>
      <w:r>
        <w:rPr>
          <w:rFonts w:hint="eastAsia" w:ascii="宋体" w:hAnsi="宋体" w:cs="宋体"/>
          <w:color w:val="auto"/>
          <w:spacing w:val="-5"/>
          <w:sz w:val="24"/>
          <w:highlight w:val="none"/>
        </w:rPr>
        <w:t>电话：</w:t>
      </w:r>
    </w:p>
    <w:p w14:paraId="22D74E40">
      <w:pPr>
        <w:spacing w:line="360" w:lineRule="auto"/>
        <w:rPr>
          <w:rFonts w:ascii="宋体" w:hAnsi="宋体" w:cs="宋体"/>
          <w:color w:val="auto"/>
          <w:sz w:val="24"/>
          <w:highlight w:val="none"/>
        </w:rPr>
      </w:pPr>
      <w:r>
        <w:rPr>
          <w:rFonts w:hint="eastAsia" w:ascii="宋体" w:hAnsi="宋体" w:cs="宋体"/>
          <w:color w:val="auto"/>
          <w:spacing w:val="3"/>
          <w:sz w:val="24"/>
          <w:highlight w:val="none"/>
        </w:rPr>
        <w:t>职务</w:t>
      </w:r>
      <w:r>
        <w:rPr>
          <w:rFonts w:hint="eastAsia" w:ascii="宋体" w:hAnsi="宋体" w:cs="宋体"/>
          <w:color w:val="auto"/>
          <w:spacing w:val="2"/>
          <w:sz w:val="24"/>
          <w:highlight w:val="none"/>
        </w:rPr>
        <w:t>：</w:t>
      </w:r>
    </w:p>
    <w:p w14:paraId="4B80C1FE">
      <w:pPr>
        <w:spacing w:line="360" w:lineRule="auto"/>
        <w:rPr>
          <w:rFonts w:ascii="宋体" w:hAnsi="宋体" w:cs="宋体"/>
          <w:color w:val="auto"/>
          <w:sz w:val="24"/>
          <w:highlight w:val="none"/>
        </w:rPr>
      </w:pPr>
      <w:r>
        <w:rPr>
          <w:rFonts w:hint="eastAsia" w:ascii="宋体" w:hAnsi="宋体" w:cs="宋体"/>
          <w:color w:val="auto"/>
          <w:spacing w:val="8"/>
          <w:sz w:val="24"/>
          <w:highlight w:val="none"/>
        </w:rPr>
        <w:t>联</w:t>
      </w:r>
      <w:r>
        <w:rPr>
          <w:rFonts w:hint="eastAsia" w:ascii="宋体" w:hAnsi="宋体" w:cs="宋体"/>
          <w:color w:val="auto"/>
          <w:spacing w:val="5"/>
          <w:sz w:val="24"/>
          <w:highlight w:val="none"/>
        </w:rPr>
        <w:t>系电话：</w:t>
      </w:r>
    </w:p>
    <w:p w14:paraId="6C33D9BE">
      <w:pPr>
        <w:spacing w:line="360" w:lineRule="auto"/>
        <w:rPr>
          <w:rFonts w:ascii="宋体" w:hAnsi="宋体" w:cs="宋体"/>
          <w:color w:val="auto"/>
          <w:sz w:val="24"/>
          <w:highlight w:val="none"/>
        </w:rPr>
      </w:pPr>
      <w:r>
        <w:rPr>
          <w:rFonts w:hint="eastAsia" w:ascii="宋体" w:hAnsi="宋体" w:cs="宋体"/>
          <w:color w:val="auto"/>
          <w:spacing w:val="9"/>
          <w:sz w:val="24"/>
          <w:highlight w:val="none"/>
        </w:rPr>
        <w:t>法</w:t>
      </w:r>
      <w:r>
        <w:rPr>
          <w:rFonts w:hint="eastAsia" w:ascii="宋体" w:hAnsi="宋体" w:cs="宋体"/>
          <w:color w:val="auto"/>
          <w:spacing w:val="6"/>
          <w:sz w:val="24"/>
          <w:highlight w:val="none"/>
        </w:rPr>
        <w:t>定代表人：</w:t>
      </w:r>
    </w:p>
    <w:p w14:paraId="23A7ECFE">
      <w:pPr>
        <w:spacing w:line="360" w:lineRule="auto"/>
        <w:rPr>
          <w:rFonts w:ascii="宋体" w:hAnsi="宋体" w:cs="宋体"/>
          <w:color w:val="auto"/>
          <w:sz w:val="24"/>
          <w:highlight w:val="none"/>
        </w:rPr>
      </w:pPr>
      <w:r>
        <w:rPr>
          <w:rFonts w:hint="eastAsia" w:ascii="宋体" w:hAnsi="宋体" w:cs="宋体"/>
          <w:color w:val="auto"/>
          <w:spacing w:val="-5"/>
          <w:sz w:val="24"/>
          <w:highlight w:val="none"/>
        </w:rPr>
        <w:t>电话：</w:t>
      </w:r>
    </w:p>
    <w:p w14:paraId="2A1C966E">
      <w:pPr>
        <w:rPr>
          <w:rFonts w:ascii="宋体" w:hAnsi="宋体" w:cs="宋体"/>
          <w:color w:val="auto"/>
          <w:sz w:val="24"/>
          <w:highlight w:val="none"/>
        </w:rPr>
        <w:sectPr>
          <w:type w:val="continuous"/>
          <w:pgSz w:w="11906" w:h="16839"/>
          <w:pgMar w:top="1431" w:right="1111" w:bottom="1156" w:left="1087" w:header="0" w:footer="996" w:gutter="0"/>
          <w:cols w:equalWidth="0" w:num="2">
            <w:col w:w="2737" w:space="100"/>
            <w:col w:w="6872"/>
          </w:cols>
        </w:sectPr>
      </w:pPr>
    </w:p>
    <w:p w14:paraId="4ADA59A6">
      <w:pPr>
        <w:rPr>
          <w:rFonts w:ascii="宋体" w:hAnsi="宋体" w:cs="宋体"/>
          <w:color w:val="auto"/>
          <w:sz w:val="24"/>
          <w:highlight w:val="none"/>
        </w:rPr>
      </w:pPr>
    </w:p>
    <w:p w14:paraId="0E6842B5">
      <w:pPr>
        <w:spacing w:line="262" w:lineRule="auto"/>
        <w:rPr>
          <w:rFonts w:ascii="宋体" w:hAnsi="宋体" w:cs="宋体"/>
          <w:color w:val="auto"/>
          <w:sz w:val="24"/>
          <w:highlight w:val="none"/>
        </w:rPr>
      </w:pPr>
    </w:p>
    <w:p w14:paraId="03674066">
      <w:pPr>
        <w:spacing w:before="66" w:line="369" w:lineRule="auto"/>
        <w:ind w:left="1" w:firstLine="420"/>
        <w:rPr>
          <w:rFonts w:ascii="宋体" w:hAnsi="宋体" w:cs="宋体"/>
          <w:color w:val="auto"/>
          <w:sz w:val="24"/>
          <w:highlight w:val="none"/>
        </w:rPr>
      </w:pPr>
      <w:r>
        <w:rPr>
          <w:rFonts w:hint="eastAsia" w:ascii="宋体" w:hAnsi="宋体" w:cs="宋体"/>
          <w:color w:val="auto"/>
          <w:spacing w:val="7"/>
          <w:sz w:val="24"/>
          <w:highlight w:val="none"/>
        </w:rPr>
        <w:t>我公司参加了年月日被投诉人组织的</w:t>
      </w:r>
      <w:r>
        <w:rPr>
          <w:rFonts w:hint="eastAsia" w:ascii="宋体" w:hAnsi="宋体" w:cs="宋体"/>
          <w:color w:val="auto"/>
          <w:spacing w:val="7"/>
          <w:sz w:val="24"/>
          <w:highlight w:val="none"/>
          <w:u w:val="single"/>
        </w:rPr>
        <w:t>(采购人)(项目名称)(项目编号)</w:t>
      </w:r>
      <w:r>
        <w:rPr>
          <w:rFonts w:hint="eastAsia" w:ascii="宋体" w:hAnsi="宋体" w:cs="宋体"/>
          <w:color w:val="auto"/>
          <w:spacing w:val="7"/>
          <w:sz w:val="24"/>
          <w:highlight w:val="none"/>
        </w:rPr>
        <w:t>的采购活</w:t>
      </w:r>
      <w:r>
        <w:rPr>
          <w:rFonts w:hint="eastAsia" w:ascii="宋体" w:hAnsi="宋体" w:cs="宋体"/>
          <w:color w:val="auto"/>
          <w:spacing w:val="6"/>
          <w:sz w:val="24"/>
          <w:highlight w:val="none"/>
        </w:rPr>
        <w:t>动</w:t>
      </w:r>
      <w:r>
        <w:rPr>
          <w:rFonts w:hint="eastAsia" w:ascii="宋体" w:hAnsi="宋体" w:cs="宋体"/>
          <w:color w:val="auto"/>
          <w:sz w:val="24"/>
          <w:highlight w:val="none"/>
        </w:rPr>
        <w:t>，</w:t>
      </w:r>
      <w:r>
        <w:rPr>
          <w:rFonts w:hint="eastAsia" w:ascii="宋体" w:hAnsi="宋体" w:cs="宋体"/>
          <w:color w:val="auto"/>
          <w:spacing w:val="4"/>
          <w:sz w:val="24"/>
          <w:highlight w:val="none"/>
        </w:rPr>
        <w:t>我公司认为该项目的</w:t>
      </w:r>
      <w:r>
        <w:rPr>
          <w:rFonts w:hint="eastAsia" w:ascii="宋体" w:hAnsi="宋体" w:cs="宋体"/>
          <w:color w:val="auto"/>
          <w:spacing w:val="4"/>
          <w:sz w:val="24"/>
          <w:highlight w:val="none"/>
          <w:u w:val="single"/>
        </w:rPr>
        <w:t>(采购文件/采购过程</w:t>
      </w:r>
      <w:r>
        <w:rPr>
          <w:rFonts w:hint="eastAsia" w:ascii="宋体" w:hAnsi="宋体" w:cs="宋体"/>
          <w:color w:val="auto"/>
          <w:spacing w:val="3"/>
          <w:sz w:val="24"/>
          <w:highlight w:val="none"/>
          <w:u w:val="single"/>
        </w:rPr>
        <w:t>/</w:t>
      </w:r>
      <w:r>
        <w:rPr>
          <w:rFonts w:hint="eastAsia" w:ascii="宋体" w:hAnsi="宋体" w:cs="宋体"/>
          <w:color w:val="auto"/>
          <w:spacing w:val="2"/>
          <w:sz w:val="24"/>
          <w:highlight w:val="none"/>
          <w:u w:val="single"/>
        </w:rPr>
        <w:t>中标(中标)结果)</w:t>
      </w:r>
      <w:r>
        <w:rPr>
          <w:rFonts w:hint="eastAsia" w:ascii="宋体" w:hAnsi="宋体" w:cs="宋体"/>
          <w:color w:val="auto"/>
          <w:spacing w:val="2"/>
          <w:sz w:val="24"/>
          <w:highlight w:val="none"/>
        </w:rPr>
        <w:t>损害了我公司权益，对此，我公司于年</w:t>
      </w:r>
      <w:r>
        <w:rPr>
          <w:rFonts w:hint="eastAsia" w:ascii="宋体" w:hAnsi="宋体" w:cs="宋体"/>
          <w:color w:val="auto"/>
          <w:spacing w:val="12"/>
          <w:sz w:val="24"/>
          <w:highlight w:val="none"/>
        </w:rPr>
        <w:t>月</w:t>
      </w:r>
      <w:r>
        <w:rPr>
          <w:rFonts w:hint="eastAsia" w:ascii="宋体" w:hAnsi="宋体" w:cs="宋体"/>
          <w:color w:val="auto"/>
          <w:spacing w:val="6"/>
          <w:sz w:val="24"/>
          <w:highlight w:val="none"/>
        </w:rPr>
        <w:t>日向</w:t>
      </w:r>
      <w:r>
        <w:rPr>
          <w:rFonts w:hint="eastAsia" w:ascii="宋体" w:hAnsi="宋体" w:cs="宋体"/>
          <w:color w:val="auto"/>
          <w:spacing w:val="6"/>
          <w:sz w:val="24"/>
          <w:highlight w:val="none"/>
          <w:u w:val="single"/>
        </w:rPr>
        <w:t>(采购人或者政府采购代理机构)</w:t>
      </w:r>
      <w:r>
        <w:rPr>
          <w:rFonts w:hint="eastAsia" w:ascii="宋体" w:hAnsi="宋体" w:cs="宋体"/>
          <w:color w:val="auto"/>
          <w:spacing w:val="6"/>
          <w:sz w:val="24"/>
          <w:highlight w:val="none"/>
        </w:rPr>
        <w:t>提出了质疑，</w:t>
      </w:r>
      <w:r>
        <w:rPr>
          <w:rFonts w:hint="eastAsia" w:ascii="宋体" w:hAnsi="宋体" w:cs="宋体"/>
          <w:color w:val="auto"/>
          <w:spacing w:val="6"/>
          <w:sz w:val="24"/>
          <w:highlight w:val="none"/>
          <w:u w:val="single"/>
        </w:rPr>
        <w:t>(其于年月日作出书面答复，因对其</w:t>
      </w:r>
      <w:r>
        <w:rPr>
          <w:rFonts w:hint="eastAsia" w:ascii="宋体" w:hAnsi="宋体" w:cs="宋体"/>
          <w:color w:val="auto"/>
          <w:spacing w:val="4"/>
          <w:sz w:val="24"/>
          <w:highlight w:val="none"/>
          <w:u w:val="single"/>
        </w:rPr>
        <w:t>作出的答复不满意)/(被质疑人未在法定期内予以答复，按照政府采购有关规定)</w:t>
      </w:r>
      <w:r>
        <w:rPr>
          <w:rFonts w:hint="eastAsia" w:ascii="宋体" w:hAnsi="宋体" w:cs="宋体"/>
          <w:color w:val="auto"/>
          <w:spacing w:val="4"/>
          <w:sz w:val="24"/>
          <w:highlight w:val="none"/>
        </w:rPr>
        <w:t>，现向贵机关提起投诉：</w:t>
      </w:r>
    </w:p>
    <w:p w14:paraId="130B8C64">
      <w:pPr>
        <w:spacing w:line="224" w:lineRule="auto"/>
        <w:ind w:left="436"/>
        <w:rPr>
          <w:rFonts w:ascii="宋体" w:hAnsi="宋体" w:cs="宋体"/>
          <w:color w:val="auto"/>
          <w:sz w:val="24"/>
          <w:highlight w:val="none"/>
        </w:rPr>
      </w:pPr>
      <w:r>
        <w:rPr>
          <w:rFonts w:hint="eastAsia" w:ascii="宋体" w:hAnsi="宋体" w:cs="宋体"/>
          <w:color w:val="auto"/>
          <w:spacing w:val="14"/>
          <w:sz w:val="24"/>
          <w:highlight w:val="none"/>
        </w:rPr>
        <w:t>1</w:t>
      </w:r>
      <w:r>
        <w:rPr>
          <w:rFonts w:hint="eastAsia" w:ascii="宋体" w:hAnsi="宋体" w:cs="宋体"/>
          <w:color w:val="auto"/>
          <w:spacing w:val="11"/>
          <w:sz w:val="24"/>
          <w:highlight w:val="none"/>
        </w:rPr>
        <w:t>.</w:t>
      </w:r>
      <w:r>
        <w:rPr>
          <w:rFonts w:hint="eastAsia" w:ascii="宋体" w:hAnsi="宋体" w:cs="宋体"/>
          <w:color w:val="auto"/>
          <w:spacing w:val="7"/>
          <w:sz w:val="24"/>
          <w:highlight w:val="none"/>
          <w:u w:val="single"/>
        </w:rPr>
        <w:t>具体的投诉事项及事实依据；</w:t>
      </w:r>
    </w:p>
    <w:p w14:paraId="62C46D24">
      <w:pPr>
        <w:spacing w:before="158" w:line="227" w:lineRule="auto"/>
        <w:ind w:left="423"/>
        <w:rPr>
          <w:rFonts w:ascii="宋体" w:hAnsi="宋体" w:cs="宋体"/>
          <w:color w:val="auto"/>
          <w:sz w:val="24"/>
          <w:highlight w:val="none"/>
        </w:rPr>
      </w:pPr>
      <w:r>
        <w:rPr>
          <w:rFonts w:hint="eastAsia" w:ascii="宋体" w:hAnsi="宋体" w:cs="宋体"/>
          <w:color w:val="auto"/>
          <w:spacing w:val="16"/>
          <w:sz w:val="24"/>
          <w:highlight w:val="none"/>
        </w:rPr>
        <w:t>2</w:t>
      </w:r>
      <w:r>
        <w:rPr>
          <w:rFonts w:hint="eastAsia" w:ascii="宋体" w:hAnsi="宋体" w:cs="宋体"/>
          <w:color w:val="auto"/>
          <w:spacing w:val="9"/>
          <w:sz w:val="24"/>
          <w:highlight w:val="none"/>
        </w:rPr>
        <w:t>.</w:t>
      </w:r>
      <w:r>
        <w:rPr>
          <w:rFonts w:hint="eastAsia" w:ascii="宋体" w:hAnsi="宋体" w:cs="宋体"/>
          <w:color w:val="auto"/>
          <w:spacing w:val="8"/>
          <w:sz w:val="24"/>
          <w:highlight w:val="none"/>
          <w:u w:val="single"/>
        </w:rPr>
        <w:t>质疑和质疑答复情况简要描述；</w:t>
      </w:r>
    </w:p>
    <w:p w14:paraId="405D3648">
      <w:pPr>
        <w:spacing w:before="153" w:line="228" w:lineRule="auto"/>
        <w:ind w:left="425"/>
        <w:rPr>
          <w:rFonts w:ascii="宋体" w:hAnsi="宋体" w:cs="宋体"/>
          <w:color w:val="auto"/>
          <w:sz w:val="24"/>
          <w:highlight w:val="none"/>
        </w:rPr>
      </w:pPr>
      <w:r>
        <w:rPr>
          <w:rFonts w:hint="eastAsia" w:ascii="宋体" w:hAnsi="宋体" w:cs="宋体"/>
          <w:color w:val="auto"/>
          <w:spacing w:val="11"/>
          <w:sz w:val="24"/>
          <w:highlight w:val="none"/>
        </w:rPr>
        <w:t>3</w:t>
      </w:r>
      <w:r>
        <w:rPr>
          <w:rFonts w:hint="eastAsia" w:ascii="宋体" w:hAnsi="宋体" w:cs="宋体"/>
          <w:color w:val="auto"/>
          <w:spacing w:val="9"/>
          <w:sz w:val="24"/>
          <w:highlight w:val="none"/>
        </w:rPr>
        <w:t>.</w:t>
      </w:r>
      <w:r>
        <w:rPr>
          <w:rFonts w:hint="eastAsia" w:ascii="宋体" w:hAnsi="宋体" w:cs="宋体"/>
          <w:color w:val="auto"/>
          <w:spacing w:val="9"/>
          <w:sz w:val="24"/>
          <w:highlight w:val="none"/>
          <w:u w:val="single"/>
        </w:rPr>
        <w:t>投诉请求。</w:t>
      </w:r>
    </w:p>
    <w:p w14:paraId="086CA124">
      <w:pPr>
        <w:spacing w:before="153" w:line="401" w:lineRule="exact"/>
        <w:ind w:left="17"/>
        <w:rPr>
          <w:rFonts w:ascii="宋体" w:hAnsi="宋体" w:cs="宋体"/>
          <w:color w:val="auto"/>
          <w:sz w:val="24"/>
          <w:highlight w:val="none"/>
        </w:rPr>
      </w:pPr>
      <w:r>
        <w:rPr>
          <w:rFonts w:hint="eastAsia" w:ascii="宋体" w:hAnsi="宋体" w:cs="宋体"/>
          <w:color w:val="auto"/>
          <w:spacing w:val="-3"/>
          <w:position w:val="14"/>
          <w:sz w:val="24"/>
          <w:highlight w:val="none"/>
        </w:rPr>
        <w:t>附</w:t>
      </w:r>
      <w:r>
        <w:rPr>
          <w:rFonts w:hint="eastAsia" w:ascii="宋体" w:hAnsi="宋体" w:cs="宋体"/>
          <w:color w:val="auto"/>
          <w:spacing w:val="-2"/>
          <w:position w:val="14"/>
          <w:sz w:val="24"/>
          <w:highlight w:val="none"/>
        </w:rPr>
        <w:t>件：</w:t>
      </w:r>
    </w:p>
    <w:p w14:paraId="06A381F7">
      <w:pPr>
        <w:spacing w:line="270" w:lineRule="exact"/>
        <w:ind w:left="16"/>
        <w:rPr>
          <w:rFonts w:ascii="宋体" w:hAnsi="宋体" w:cs="宋体"/>
          <w:color w:val="auto"/>
          <w:sz w:val="24"/>
          <w:highlight w:val="none"/>
        </w:rPr>
      </w:pPr>
      <w:r>
        <w:rPr>
          <w:rFonts w:hint="eastAsia" w:ascii="宋体" w:hAnsi="宋体" w:cs="宋体"/>
          <w:color w:val="auto"/>
          <w:spacing w:val="8"/>
          <w:position w:val="1"/>
          <w:sz w:val="24"/>
          <w:highlight w:val="none"/>
        </w:rPr>
        <w:t>1</w:t>
      </w:r>
      <w:r>
        <w:rPr>
          <w:rFonts w:hint="eastAsia" w:ascii="宋体" w:hAnsi="宋体" w:cs="宋体"/>
          <w:color w:val="auto"/>
          <w:spacing w:val="6"/>
          <w:position w:val="1"/>
          <w:sz w:val="24"/>
          <w:highlight w:val="none"/>
        </w:rPr>
        <w:t>.质疑书和质疑答复书；</w:t>
      </w:r>
    </w:p>
    <w:p w14:paraId="015A5A72">
      <w:pPr>
        <w:spacing w:before="128" w:line="401" w:lineRule="exact"/>
        <w:ind w:left="3"/>
        <w:rPr>
          <w:rFonts w:ascii="宋体" w:hAnsi="宋体" w:cs="宋体"/>
          <w:color w:val="auto"/>
          <w:sz w:val="24"/>
          <w:highlight w:val="none"/>
        </w:rPr>
      </w:pPr>
      <w:r>
        <w:rPr>
          <w:rFonts w:hint="eastAsia" w:ascii="宋体" w:hAnsi="宋体" w:cs="宋体"/>
          <w:color w:val="auto"/>
          <w:spacing w:val="16"/>
          <w:position w:val="14"/>
          <w:sz w:val="24"/>
          <w:highlight w:val="none"/>
        </w:rPr>
        <w:t>2</w:t>
      </w:r>
      <w:r>
        <w:rPr>
          <w:rFonts w:hint="eastAsia" w:ascii="宋体" w:hAnsi="宋体" w:cs="宋体"/>
          <w:color w:val="auto"/>
          <w:spacing w:val="11"/>
          <w:position w:val="14"/>
          <w:sz w:val="24"/>
          <w:highlight w:val="none"/>
        </w:rPr>
        <w:t>.</w:t>
      </w:r>
      <w:r>
        <w:rPr>
          <w:rFonts w:hint="eastAsia" w:ascii="宋体" w:hAnsi="宋体" w:cs="宋体"/>
          <w:color w:val="auto"/>
          <w:spacing w:val="8"/>
          <w:position w:val="14"/>
          <w:sz w:val="24"/>
          <w:highlight w:val="none"/>
        </w:rPr>
        <w:t>证据材料(需注明证据来源)，证人的姓名、住址和联系方式等；</w:t>
      </w:r>
    </w:p>
    <w:p w14:paraId="536A02B5">
      <w:pPr>
        <w:spacing w:line="269" w:lineRule="exact"/>
        <w:ind w:left="5"/>
        <w:rPr>
          <w:rFonts w:ascii="宋体" w:hAnsi="宋体" w:cs="宋体"/>
          <w:color w:val="auto"/>
          <w:sz w:val="24"/>
          <w:highlight w:val="none"/>
        </w:rPr>
      </w:pPr>
      <w:r>
        <w:rPr>
          <w:rFonts w:hint="eastAsia" w:ascii="宋体" w:hAnsi="宋体" w:cs="宋体"/>
          <w:color w:val="auto"/>
          <w:spacing w:val="5"/>
          <w:position w:val="1"/>
          <w:sz w:val="24"/>
          <w:highlight w:val="none"/>
        </w:rPr>
        <w:t>3.营业执照</w:t>
      </w:r>
      <w:r>
        <w:rPr>
          <w:rFonts w:hint="eastAsia" w:ascii="宋体" w:hAnsi="宋体" w:cs="宋体"/>
          <w:color w:val="auto"/>
          <w:spacing w:val="4"/>
          <w:position w:val="1"/>
          <w:sz w:val="24"/>
          <w:highlight w:val="none"/>
        </w:rPr>
        <w:t>；</w:t>
      </w:r>
    </w:p>
    <w:p w14:paraId="3722D536">
      <w:pPr>
        <w:spacing w:before="132" w:line="398" w:lineRule="exact"/>
        <w:rPr>
          <w:rFonts w:ascii="宋体" w:hAnsi="宋体" w:cs="宋体"/>
          <w:color w:val="auto"/>
          <w:sz w:val="24"/>
          <w:highlight w:val="none"/>
        </w:rPr>
      </w:pPr>
      <w:r>
        <w:rPr>
          <w:rFonts w:hint="eastAsia" w:ascii="宋体" w:hAnsi="宋体" w:cs="宋体"/>
          <w:color w:val="auto"/>
          <w:spacing w:val="11"/>
          <w:position w:val="14"/>
          <w:sz w:val="24"/>
          <w:highlight w:val="none"/>
        </w:rPr>
        <w:t>4</w:t>
      </w:r>
      <w:r>
        <w:rPr>
          <w:rFonts w:hint="eastAsia" w:ascii="宋体" w:hAnsi="宋体" w:cs="宋体"/>
          <w:color w:val="auto"/>
          <w:spacing w:val="8"/>
          <w:position w:val="14"/>
          <w:sz w:val="24"/>
          <w:highlight w:val="none"/>
        </w:rPr>
        <w:t>.法定代表人身份证明函；</w:t>
      </w:r>
    </w:p>
    <w:p w14:paraId="61B8580C">
      <w:pPr>
        <w:spacing w:line="224" w:lineRule="auto"/>
        <w:ind w:left="5"/>
        <w:rPr>
          <w:rFonts w:ascii="宋体" w:hAnsi="宋体" w:cs="宋体"/>
          <w:color w:val="auto"/>
          <w:sz w:val="24"/>
          <w:highlight w:val="none"/>
        </w:rPr>
      </w:pPr>
      <w:r>
        <w:rPr>
          <w:rFonts w:hint="eastAsia" w:ascii="宋体" w:hAnsi="宋体" w:cs="宋体"/>
          <w:color w:val="auto"/>
          <w:spacing w:val="16"/>
          <w:sz w:val="24"/>
          <w:highlight w:val="none"/>
        </w:rPr>
        <w:t>5.</w:t>
      </w:r>
      <w:r>
        <w:rPr>
          <w:rFonts w:hint="eastAsia" w:ascii="宋体" w:hAnsi="宋体" w:cs="宋体"/>
          <w:color w:val="auto"/>
          <w:spacing w:val="13"/>
          <w:sz w:val="24"/>
          <w:highlight w:val="none"/>
        </w:rPr>
        <w:t>法</w:t>
      </w:r>
      <w:r>
        <w:rPr>
          <w:rFonts w:hint="eastAsia" w:ascii="宋体" w:hAnsi="宋体" w:cs="宋体"/>
          <w:color w:val="auto"/>
          <w:spacing w:val="8"/>
          <w:sz w:val="24"/>
          <w:highlight w:val="none"/>
        </w:rPr>
        <w:t>定代表人授权委托书(包含法定代表人和委托代理人的身份证复印件)；</w:t>
      </w:r>
    </w:p>
    <w:p w14:paraId="1006CC25">
      <w:pPr>
        <w:spacing w:before="158" w:line="269" w:lineRule="exact"/>
        <w:ind w:left="2"/>
        <w:rPr>
          <w:rFonts w:ascii="宋体" w:hAnsi="宋体" w:cs="宋体"/>
          <w:color w:val="auto"/>
          <w:sz w:val="24"/>
          <w:highlight w:val="none"/>
        </w:rPr>
      </w:pPr>
      <w:r>
        <w:rPr>
          <w:rFonts w:hint="eastAsia" w:ascii="宋体" w:hAnsi="宋体" w:cs="宋体"/>
          <w:color w:val="auto"/>
          <w:spacing w:val="16"/>
          <w:position w:val="1"/>
          <w:sz w:val="24"/>
          <w:highlight w:val="none"/>
        </w:rPr>
        <w:t>6</w:t>
      </w:r>
      <w:r>
        <w:rPr>
          <w:rFonts w:hint="eastAsia" w:ascii="宋体" w:hAnsi="宋体" w:cs="宋体"/>
          <w:color w:val="auto"/>
          <w:spacing w:val="11"/>
          <w:position w:val="1"/>
          <w:sz w:val="24"/>
          <w:highlight w:val="none"/>
        </w:rPr>
        <w:t>.</w:t>
      </w:r>
      <w:r>
        <w:rPr>
          <w:rFonts w:hint="eastAsia" w:ascii="宋体" w:hAnsi="宋体" w:cs="宋体"/>
          <w:color w:val="auto"/>
          <w:spacing w:val="8"/>
          <w:position w:val="1"/>
          <w:sz w:val="24"/>
          <w:highlight w:val="none"/>
        </w:rPr>
        <w:t>政府采购监管部门认为应当提供的其它材料。</w:t>
      </w:r>
    </w:p>
    <w:p w14:paraId="098C5121">
      <w:pPr>
        <w:spacing w:before="132" w:line="360" w:lineRule="auto"/>
        <w:ind w:left="3152"/>
        <w:rPr>
          <w:rFonts w:ascii="宋体" w:hAnsi="宋体" w:cs="宋体"/>
          <w:color w:val="auto"/>
          <w:spacing w:val="-2"/>
          <w:sz w:val="24"/>
          <w:highlight w:val="none"/>
        </w:rPr>
      </w:pPr>
    </w:p>
    <w:p w14:paraId="73B50048">
      <w:pPr>
        <w:spacing w:before="132" w:line="360" w:lineRule="auto"/>
        <w:ind w:left="3152"/>
        <w:rPr>
          <w:rFonts w:ascii="宋体" w:hAnsi="宋体" w:cs="宋体"/>
          <w:color w:val="auto"/>
          <w:sz w:val="24"/>
          <w:highlight w:val="none"/>
        </w:rPr>
      </w:pPr>
      <w:r>
        <w:rPr>
          <w:rFonts w:hint="eastAsia" w:ascii="宋体" w:hAnsi="宋体" w:cs="宋体"/>
          <w:color w:val="auto"/>
          <w:spacing w:val="-2"/>
          <w:sz w:val="24"/>
          <w:highlight w:val="none"/>
        </w:rPr>
        <w:t>投诉供应商：(盖章</w:t>
      </w:r>
      <w:r>
        <w:rPr>
          <w:rFonts w:hint="eastAsia" w:ascii="宋体" w:hAnsi="宋体" w:cs="宋体"/>
          <w:color w:val="auto"/>
          <w:sz w:val="24"/>
          <w:highlight w:val="none"/>
        </w:rPr>
        <w:t>)</w:t>
      </w:r>
    </w:p>
    <w:p w14:paraId="128D0906">
      <w:pPr>
        <w:spacing w:before="152" w:line="360" w:lineRule="auto"/>
        <w:ind w:left="3150"/>
        <w:rPr>
          <w:rFonts w:ascii="宋体" w:hAnsi="宋体" w:cs="宋体"/>
          <w:color w:val="auto"/>
          <w:sz w:val="24"/>
          <w:highlight w:val="none"/>
        </w:rPr>
      </w:pPr>
      <w:r>
        <w:rPr>
          <w:rFonts w:hint="eastAsia" w:ascii="宋体" w:hAnsi="宋体" w:cs="宋体"/>
          <w:color w:val="auto"/>
          <w:spacing w:val="4"/>
          <w:sz w:val="24"/>
          <w:highlight w:val="none"/>
        </w:rPr>
        <w:t>法定代表人(</w:t>
      </w:r>
      <w:r>
        <w:rPr>
          <w:rFonts w:hint="eastAsia" w:ascii="宋体" w:hAnsi="宋体" w:cs="宋体"/>
          <w:color w:val="auto"/>
          <w:spacing w:val="3"/>
          <w:sz w:val="24"/>
          <w:highlight w:val="none"/>
        </w:rPr>
        <w:t>或</w:t>
      </w:r>
      <w:r>
        <w:rPr>
          <w:rFonts w:hint="eastAsia" w:ascii="宋体" w:hAnsi="宋体" w:cs="宋体"/>
          <w:color w:val="auto"/>
          <w:spacing w:val="2"/>
          <w:sz w:val="24"/>
          <w:highlight w:val="none"/>
        </w:rPr>
        <w:t>主要负责人)：(签字)</w:t>
      </w:r>
    </w:p>
    <w:p w14:paraId="6637DA51">
      <w:pPr>
        <w:tabs>
          <w:tab w:val="left" w:pos="3990"/>
        </w:tabs>
        <w:spacing w:before="157" w:line="360" w:lineRule="auto"/>
        <w:ind w:left="3352"/>
        <w:rPr>
          <w:rFonts w:ascii="宋体" w:hAnsi="宋体" w:cs="宋体"/>
          <w:color w:val="auto"/>
          <w:sz w:val="24"/>
          <w:highlight w:val="none"/>
        </w:rPr>
      </w:pPr>
      <w:r>
        <w:rPr>
          <w:rFonts w:hint="eastAsia" w:ascii="宋体" w:hAnsi="宋体" w:cs="宋体"/>
          <w:color w:val="auto"/>
          <w:spacing w:val="11"/>
          <w:sz w:val="24"/>
          <w:highlight w:val="none"/>
        </w:rPr>
        <w:t xml:space="preserve">年 </w:t>
      </w:r>
      <w:r>
        <w:rPr>
          <w:rFonts w:hint="eastAsia" w:ascii="宋体" w:hAnsi="宋体" w:cs="宋体"/>
          <w:color w:val="auto"/>
          <w:spacing w:val="9"/>
          <w:sz w:val="24"/>
          <w:highlight w:val="none"/>
        </w:rPr>
        <w:t>月 日</w:t>
      </w:r>
    </w:p>
    <w:p w14:paraId="0DF4D848">
      <w:pPr>
        <w:spacing w:before="154" w:line="193" w:lineRule="auto"/>
        <w:ind w:right="65"/>
        <w:jc w:val="right"/>
        <w:rPr>
          <w:rFonts w:ascii="宋体" w:hAnsi="宋体" w:cs="宋体"/>
          <w:color w:val="auto"/>
          <w:sz w:val="24"/>
          <w:highlight w:val="none"/>
        </w:rPr>
      </w:pPr>
      <w:r>
        <w:rPr>
          <w:rFonts w:hint="eastAsia" w:ascii="宋体" w:hAnsi="宋体" w:cs="宋体"/>
          <w:color w:val="auto"/>
          <w:spacing w:val="8"/>
          <w:sz w:val="24"/>
          <w:highlight w:val="none"/>
        </w:rPr>
        <w:t>本投诉书正本份，副本份并附电子文档</w:t>
      </w:r>
      <w:r>
        <w:rPr>
          <w:rFonts w:hint="eastAsia" w:ascii="宋体" w:hAnsi="宋体" w:cs="宋体"/>
          <w:color w:val="auto"/>
          <w:spacing w:val="4"/>
          <w:sz w:val="24"/>
          <w:highlight w:val="none"/>
        </w:rPr>
        <w:t>。</w:t>
      </w:r>
    </w:p>
    <w:p w14:paraId="0EB1F237">
      <w:pPr>
        <w:rPr>
          <w:rFonts w:ascii="宋体" w:hAnsi="宋体" w:cs="宋体"/>
          <w:color w:val="auto"/>
          <w:sz w:val="24"/>
          <w:highlight w:val="none"/>
        </w:rPr>
        <w:sectPr>
          <w:type w:val="continuous"/>
          <w:pgSz w:w="11906" w:h="16839"/>
          <w:pgMar w:top="1431" w:right="1111" w:bottom="1156" w:left="1087" w:header="0" w:footer="996" w:gutter="0"/>
          <w:cols w:equalWidth="0" w:num="1">
            <w:col w:w="9708"/>
          </w:cols>
        </w:sectPr>
      </w:pPr>
    </w:p>
    <w:p w14:paraId="5F9461D6">
      <w:pPr>
        <w:spacing w:before="162" w:line="225" w:lineRule="auto"/>
        <w:ind w:left="3875"/>
        <w:rPr>
          <w:rFonts w:ascii="宋体" w:hAnsi="宋体" w:cs="宋体"/>
          <w:color w:val="auto"/>
          <w:sz w:val="24"/>
          <w:highlight w:val="none"/>
        </w:rPr>
      </w:pPr>
      <w:r>
        <w:rPr>
          <w:rFonts w:hint="eastAsia" w:ascii="宋体" w:hAnsi="宋体" w:cs="宋体"/>
          <w:color w:val="auto"/>
          <w:spacing w:val="8"/>
          <w:sz w:val="24"/>
          <w:highlight w:val="none"/>
          <w14:textOutline w14:w="5791" w14:cap="sq" w14:cmpd="sng" w14:algn="ctr">
            <w14:solidFill>
              <w14:srgbClr w14:val="000000"/>
            </w14:solidFill>
            <w14:prstDash w14:val="solid"/>
            <w14:bevel/>
          </w14:textOutline>
        </w:rPr>
        <w:t>投诉相关说明</w:t>
      </w:r>
    </w:p>
    <w:p w14:paraId="60E7B3A0">
      <w:pPr>
        <w:widowControl/>
        <w:kinsoku w:val="0"/>
        <w:autoSpaceDE w:val="0"/>
        <w:autoSpaceDN w:val="0"/>
        <w:adjustRightInd w:val="0"/>
        <w:snapToGrid w:val="0"/>
        <w:spacing w:before="232" w:line="360" w:lineRule="auto"/>
        <w:ind w:left="423"/>
        <w:textAlignment w:val="baseline"/>
        <w:rPr>
          <w:rFonts w:ascii="宋体" w:hAnsi="宋体" w:cs="宋体"/>
          <w:color w:val="auto"/>
          <w:sz w:val="24"/>
          <w:highlight w:val="none"/>
        </w:rPr>
      </w:pPr>
      <w:r>
        <w:rPr>
          <w:rFonts w:hint="eastAsia" w:ascii="宋体" w:hAnsi="宋体" w:cs="宋体"/>
          <w:color w:val="auto"/>
          <w:spacing w:val="18"/>
          <w:sz w:val="24"/>
          <w:highlight w:val="none"/>
        </w:rPr>
        <w:t>投诉人</w:t>
      </w:r>
      <w:r>
        <w:rPr>
          <w:rFonts w:hint="eastAsia" w:ascii="宋体" w:hAnsi="宋体" w:cs="宋体"/>
          <w:color w:val="auto"/>
          <w:spacing w:val="12"/>
          <w:sz w:val="24"/>
          <w:highlight w:val="none"/>
        </w:rPr>
        <w:t>应</w:t>
      </w:r>
      <w:r>
        <w:rPr>
          <w:rFonts w:hint="eastAsia" w:ascii="宋体" w:hAnsi="宋体" w:cs="宋体"/>
          <w:color w:val="auto"/>
          <w:spacing w:val="9"/>
          <w:sz w:val="24"/>
          <w:highlight w:val="none"/>
        </w:rPr>
        <w:t>当满足《</w:t>
      </w:r>
      <w:r>
        <w:rPr>
          <w:rFonts w:hint="eastAsia" w:ascii="宋体" w:hAnsi="宋体" w:cs="宋体"/>
          <w:color w:val="auto"/>
          <w:spacing w:val="18"/>
          <w:sz w:val="24"/>
          <w:highlight w:val="none"/>
        </w:rPr>
        <w:t>中华</w:t>
      </w:r>
      <w:r>
        <w:rPr>
          <w:rFonts w:hint="eastAsia" w:ascii="宋体" w:hAnsi="宋体" w:cs="宋体"/>
          <w:color w:val="auto"/>
          <w:spacing w:val="10"/>
          <w:sz w:val="24"/>
          <w:highlight w:val="none"/>
        </w:rPr>
        <w:t>人</w:t>
      </w:r>
      <w:r>
        <w:rPr>
          <w:rFonts w:hint="eastAsia" w:ascii="宋体" w:hAnsi="宋体" w:cs="宋体"/>
          <w:color w:val="auto"/>
          <w:spacing w:val="9"/>
          <w:sz w:val="24"/>
          <w:highlight w:val="none"/>
        </w:rPr>
        <w:t>民共和国政府采购法》、《</w:t>
      </w:r>
      <w:r>
        <w:rPr>
          <w:rFonts w:hint="eastAsia" w:ascii="宋体" w:hAnsi="宋体" w:cs="宋体"/>
          <w:color w:val="auto"/>
          <w:spacing w:val="18"/>
          <w:sz w:val="24"/>
          <w:highlight w:val="none"/>
        </w:rPr>
        <w:t>中华</w:t>
      </w:r>
      <w:r>
        <w:rPr>
          <w:rFonts w:hint="eastAsia" w:ascii="宋体" w:hAnsi="宋体" w:cs="宋体"/>
          <w:color w:val="auto"/>
          <w:spacing w:val="10"/>
          <w:sz w:val="24"/>
          <w:highlight w:val="none"/>
        </w:rPr>
        <w:t>人</w:t>
      </w:r>
      <w:r>
        <w:rPr>
          <w:rFonts w:hint="eastAsia" w:ascii="宋体" w:hAnsi="宋体" w:cs="宋体"/>
          <w:color w:val="auto"/>
          <w:spacing w:val="9"/>
          <w:sz w:val="24"/>
          <w:highlight w:val="none"/>
        </w:rPr>
        <w:t>民共和国政府采购法实施条例》和《政府采购质疑和投诉办法》的相</w:t>
      </w:r>
      <w:r>
        <w:rPr>
          <w:rFonts w:hint="eastAsia" w:ascii="宋体" w:hAnsi="宋体" w:cs="宋体"/>
          <w:color w:val="auto"/>
          <w:spacing w:val="5"/>
          <w:sz w:val="24"/>
          <w:highlight w:val="none"/>
        </w:rPr>
        <w:t>关</w:t>
      </w:r>
      <w:r>
        <w:rPr>
          <w:rFonts w:hint="eastAsia" w:ascii="宋体" w:hAnsi="宋体" w:cs="宋体"/>
          <w:color w:val="auto"/>
          <w:spacing w:val="4"/>
          <w:sz w:val="24"/>
          <w:highlight w:val="none"/>
        </w:rPr>
        <w:t>规定。</w:t>
      </w:r>
    </w:p>
    <w:p w14:paraId="6236E5D0">
      <w:pPr>
        <w:widowControl/>
        <w:kinsoku w:val="0"/>
        <w:autoSpaceDE w:val="0"/>
        <w:autoSpaceDN w:val="0"/>
        <w:adjustRightInd w:val="0"/>
        <w:snapToGrid w:val="0"/>
        <w:spacing w:before="151" w:line="360" w:lineRule="auto"/>
        <w:ind w:left="4"/>
        <w:textAlignment w:val="baseline"/>
        <w:rPr>
          <w:rFonts w:ascii="宋体" w:hAnsi="宋体" w:cs="宋体"/>
          <w:color w:val="auto"/>
          <w:sz w:val="24"/>
          <w:highlight w:val="none"/>
        </w:rPr>
      </w:pPr>
      <w:r>
        <w:rPr>
          <w:rFonts w:hint="eastAsia" w:ascii="宋体" w:hAnsi="宋体" w:cs="宋体"/>
          <w:color w:val="auto"/>
          <w:spacing w:val="14"/>
          <w:position w:val="2"/>
          <w:sz w:val="24"/>
          <w:highlight w:val="none"/>
          <w14:textOutline w14:w="3797" w14:cap="sq" w14:cmpd="sng" w14:algn="ctr">
            <w14:solidFill>
              <w14:srgbClr w14:val="000000"/>
            </w14:solidFill>
            <w14:prstDash w14:val="solid"/>
            <w14:bevel/>
          </w14:textOutline>
        </w:rPr>
        <w:t>一</w:t>
      </w:r>
      <w:r>
        <w:rPr>
          <w:rFonts w:hint="eastAsia" w:ascii="宋体" w:hAnsi="宋体" w:cs="宋体"/>
          <w:color w:val="auto"/>
          <w:spacing w:val="9"/>
          <w:position w:val="2"/>
          <w:sz w:val="24"/>
          <w:highlight w:val="none"/>
          <w14:textOutline w14:w="3797" w14:cap="sq" w14:cmpd="sng" w14:algn="ctr">
            <w14:solidFill>
              <w14:srgbClr w14:val="000000"/>
            </w14:solidFill>
            <w14:prstDash w14:val="solid"/>
            <w14:bevel/>
          </w14:textOutline>
        </w:rPr>
        <w:t>、质疑前置及时间要求</w:t>
      </w:r>
    </w:p>
    <w:p w14:paraId="2DF45219">
      <w:pPr>
        <w:widowControl/>
        <w:kinsoku w:val="0"/>
        <w:autoSpaceDE w:val="0"/>
        <w:autoSpaceDN w:val="0"/>
        <w:adjustRightInd w:val="0"/>
        <w:snapToGrid w:val="0"/>
        <w:spacing w:before="58" w:line="360" w:lineRule="auto"/>
        <w:ind w:left="18" w:right="2" w:firstLine="407"/>
        <w:textAlignment w:val="baseline"/>
        <w:rPr>
          <w:rFonts w:ascii="宋体" w:hAnsi="宋体" w:cs="宋体"/>
          <w:color w:val="auto"/>
          <w:sz w:val="24"/>
          <w:highlight w:val="none"/>
        </w:rPr>
      </w:pPr>
      <w:r>
        <w:rPr>
          <w:rFonts w:hint="eastAsia" w:ascii="宋体" w:hAnsi="宋体" w:cs="宋体"/>
          <w:color w:val="auto"/>
          <w:spacing w:val="18"/>
          <w:sz w:val="24"/>
          <w:highlight w:val="none"/>
        </w:rPr>
        <w:t>《中华</w:t>
      </w:r>
      <w:r>
        <w:rPr>
          <w:rFonts w:hint="eastAsia" w:ascii="宋体" w:hAnsi="宋体" w:cs="宋体"/>
          <w:color w:val="auto"/>
          <w:spacing w:val="10"/>
          <w:sz w:val="24"/>
          <w:highlight w:val="none"/>
        </w:rPr>
        <w:t>人</w:t>
      </w:r>
      <w:r>
        <w:rPr>
          <w:rFonts w:hint="eastAsia" w:ascii="宋体" w:hAnsi="宋体" w:cs="宋体"/>
          <w:color w:val="auto"/>
          <w:spacing w:val="9"/>
          <w:sz w:val="24"/>
          <w:highlight w:val="none"/>
        </w:rPr>
        <w:t>民共和国政府采购法》第五十一条：供应商对政府采购活动事项有疑问的，可以向采购人提</w:t>
      </w:r>
      <w:r>
        <w:rPr>
          <w:rFonts w:hint="eastAsia" w:ascii="宋体" w:hAnsi="宋体" w:cs="宋体"/>
          <w:color w:val="auto"/>
          <w:spacing w:val="16"/>
          <w:sz w:val="24"/>
          <w:highlight w:val="none"/>
        </w:rPr>
        <w:t>出询</w:t>
      </w:r>
      <w:r>
        <w:rPr>
          <w:rFonts w:hint="eastAsia" w:ascii="宋体" w:hAnsi="宋体" w:cs="宋体"/>
          <w:color w:val="auto"/>
          <w:spacing w:val="15"/>
          <w:sz w:val="24"/>
          <w:highlight w:val="none"/>
        </w:rPr>
        <w:t>问</w:t>
      </w:r>
      <w:r>
        <w:rPr>
          <w:rFonts w:hint="eastAsia" w:ascii="宋体" w:hAnsi="宋体" w:cs="宋体"/>
          <w:color w:val="auto"/>
          <w:spacing w:val="8"/>
          <w:sz w:val="24"/>
          <w:highlight w:val="none"/>
        </w:rPr>
        <w:t>，采购人应当及时作出答复，但答复的内容不得涉及商业秘密。</w:t>
      </w:r>
    </w:p>
    <w:p w14:paraId="1261D8E9">
      <w:pPr>
        <w:widowControl/>
        <w:kinsoku w:val="0"/>
        <w:autoSpaceDE w:val="0"/>
        <w:autoSpaceDN w:val="0"/>
        <w:adjustRightInd w:val="0"/>
        <w:snapToGrid w:val="0"/>
        <w:spacing w:before="2" w:line="360" w:lineRule="auto"/>
        <w:ind w:right="2" w:firstLine="526"/>
        <w:textAlignment w:val="baseline"/>
        <w:rPr>
          <w:rFonts w:ascii="宋体" w:hAnsi="宋体" w:cs="宋体"/>
          <w:color w:val="auto"/>
          <w:sz w:val="24"/>
          <w:highlight w:val="none"/>
        </w:rPr>
      </w:pPr>
      <w:r>
        <w:rPr>
          <w:rFonts w:hint="eastAsia" w:ascii="宋体" w:hAnsi="宋体" w:cs="宋体"/>
          <w:color w:val="auto"/>
          <w:spacing w:val="14"/>
          <w:sz w:val="24"/>
          <w:highlight w:val="none"/>
        </w:rPr>
        <w:t>第五</w:t>
      </w:r>
      <w:r>
        <w:rPr>
          <w:rFonts w:hint="eastAsia" w:ascii="宋体" w:hAnsi="宋体" w:cs="宋体"/>
          <w:color w:val="auto"/>
          <w:spacing w:val="9"/>
          <w:sz w:val="24"/>
          <w:highlight w:val="none"/>
        </w:rPr>
        <w:t>十</w:t>
      </w:r>
      <w:r>
        <w:rPr>
          <w:rFonts w:hint="eastAsia" w:ascii="宋体" w:hAnsi="宋体" w:cs="宋体"/>
          <w:color w:val="auto"/>
          <w:spacing w:val="7"/>
          <w:sz w:val="24"/>
          <w:highlight w:val="none"/>
        </w:rPr>
        <w:t>二条：供应商认为采购文件、采购过程和中标、中标结果使自己的权益受到损害的，可以在知</w:t>
      </w:r>
      <w:r>
        <w:rPr>
          <w:rFonts w:hint="eastAsia" w:ascii="宋体" w:hAnsi="宋体" w:cs="宋体"/>
          <w:color w:val="auto"/>
          <w:spacing w:val="12"/>
          <w:sz w:val="24"/>
          <w:highlight w:val="none"/>
        </w:rPr>
        <w:t>道或者</w:t>
      </w:r>
      <w:r>
        <w:rPr>
          <w:rFonts w:hint="eastAsia" w:ascii="宋体" w:hAnsi="宋体" w:cs="宋体"/>
          <w:color w:val="auto"/>
          <w:spacing w:val="7"/>
          <w:sz w:val="24"/>
          <w:highlight w:val="none"/>
        </w:rPr>
        <w:t>应</w:t>
      </w:r>
      <w:r>
        <w:rPr>
          <w:rFonts w:hint="eastAsia" w:ascii="宋体" w:hAnsi="宋体" w:cs="宋体"/>
          <w:color w:val="auto"/>
          <w:spacing w:val="6"/>
          <w:sz w:val="24"/>
          <w:highlight w:val="none"/>
        </w:rPr>
        <w:t>知其权益受到损害之日起七个工作日内，以书面形式向采购人提出质疑。</w:t>
      </w:r>
    </w:p>
    <w:p w14:paraId="33BC3666">
      <w:pPr>
        <w:widowControl/>
        <w:kinsoku w:val="0"/>
        <w:autoSpaceDE w:val="0"/>
        <w:autoSpaceDN w:val="0"/>
        <w:adjustRightInd w:val="0"/>
        <w:snapToGrid w:val="0"/>
        <w:spacing w:before="2" w:line="360" w:lineRule="auto"/>
        <w:ind w:right="2" w:firstLine="525"/>
        <w:textAlignment w:val="baseline"/>
        <w:rPr>
          <w:rFonts w:ascii="宋体" w:hAnsi="宋体" w:cs="宋体"/>
          <w:color w:val="auto"/>
          <w:sz w:val="24"/>
          <w:highlight w:val="none"/>
        </w:rPr>
      </w:pPr>
      <w:r>
        <w:rPr>
          <w:rFonts w:hint="eastAsia" w:ascii="宋体" w:hAnsi="宋体" w:cs="宋体"/>
          <w:color w:val="auto"/>
          <w:spacing w:val="14"/>
          <w:sz w:val="24"/>
          <w:highlight w:val="none"/>
        </w:rPr>
        <w:t>第五</w:t>
      </w:r>
      <w:r>
        <w:rPr>
          <w:rFonts w:hint="eastAsia" w:ascii="宋体" w:hAnsi="宋体" w:cs="宋体"/>
          <w:color w:val="auto"/>
          <w:spacing w:val="8"/>
          <w:sz w:val="24"/>
          <w:highlight w:val="none"/>
        </w:rPr>
        <w:t>十</w:t>
      </w:r>
      <w:r>
        <w:rPr>
          <w:rFonts w:hint="eastAsia" w:ascii="宋体" w:hAnsi="宋体" w:cs="宋体"/>
          <w:color w:val="auto"/>
          <w:spacing w:val="7"/>
          <w:sz w:val="24"/>
          <w:highlight w:val="none"/>
        </w:rPr>
        <w:t>三条：采购人应当在收到供应商的书面质疑后七个工作日内作出答复，并以书面形式通知质疑</w:t>
      </w:r>
      <w:r>
        <w:rPr>
          <w:rFonts w:hint="eastAsia" w:ascii="宋体" w:hAnsi="宋体" w:cs="宋体"/>
          <w:color w:val="auto"/>
          <w:spacing w:val="15"/>
          <w:sz w:val="24"/>
          <w:highlight w:val="none"/>
        </w:rPr>
        <w:t>供</w:t>
      </w:r>
      <w:r>
        <w:rPr>
          <w:rFonts w:hint="eastAsia" w:ascii="宋体" w:hAnsi="宋体" w:cs="宋体"/>
          <w:color w:val="auto"/>
          <w:spacing w:val="9"/>
          <w:sz w:val="24"/>
          <w:highlight w:val="none"/>
        </w:rPr>
        <w:t>应商和其他有关供应商，但答复的内容不得涉及商业秘密。</w:t>
      </w:r>
    </w:p>
    <w:p w14:paraId="67D8A09B">
      <w:pPr>
        <w:widowControl/>
        <w:kinsoku w:val="0"/>
        <w:autoSpaceDE w:val="0"/>
        <w:autoSpaceDN w:val="0"/>
        <w:adjustRightInd w:val="0"/>
        <w:snapToGrid w:val="0"/>
        <w:spacing w:before="2" w:line="360" w:lineRule="auto"/>
        <w:ind w:left="17" w:right="2" w:firstLine="508"/>
        <w:textAlignment w:val="baseline"/>
        <w:rPr>
          <w:rFonts w:ascii="宋体" w:hAnsi="宋体" w:cs="宋体"/>
          <w:color w:val="auto"/>
          <w:sz w:val="24"/>
          <w:highlight w:val="none"/>
        </w:rPr>
      </w:pPr>
      <w:r>
        <w:rPr>
          <w:rFonts w:hint="eastAsia" w:ascii="宋体" w:hAnsi="宋体" w:cs="宋体"/>
          <w:color w:val="auto"/>
          <w:spacing w:val="18"/>
          <w:sz w:val="24"/>
          <w:highlight w:val="none"/>
        </w:rPr>
        <w:t>第五十</w:t>
      </w:r>
      <w:r>
        <w:rPr>
          <w:rFonts w:hint="eastAsia" w:ascii="宋体" w:hAnsi="宋体" w:cs="宋体"/>
          <w:color w:val="auto"/>
          <w:spacing w:val="9"/>
          <w:sz w:val="24"/>
          <w:highlight w:val="none"/>
        </w:rPr>
        <w:t>五条:质疑供应商对采购人、采购代理机构的答复不满意或者采购人、采购代理机构未在规定</w:t>
      </w:r>
      <w:r>
        <w:rPr>
          <w:rFonts w:hint="eastAsia" w:ascii="宋体" w:hAnsi="宋体" w:cs="宋体"/>
          <w:color w:val="auto"/>
          <w:spacing w:val="12"/>
          <w:sz w:val="24"/>
          <w:highlight w:val="none"/>
        </w:rPr>
        <w:t>的</w:t>
      </w:r>
      <w:r>
        <w:rPr>
          <w:rFonts w:hint="eastAsia" w:ascii="宋体" w:hAnsi="宋体" w:cs="宋体"/>
          <w:color w:val="auto"/>
          <w:spacing w:val="9"/>
          <w:sz w:val="24"/>
          <w:highlight w:val="none"/>
        </w:rPr>
        <w:t>时间内作出答复的，可以在答复期满后十五个工作日内向同级政府采购监督管理部门投诉。</w:t>
      </w:r>
    </w:p>
    <w:p w14:paraId="7D6E829F">
      <w:pPr>
        <w:widowControl/>
        <w:kinsoku w:val="0"/>
        <w:autoSpaceDE w:val="0"/>
        <w:autoSpaceDN w:val="0"/>
        <w:adjustRightInd w:val="0"/>
        <w:snapToGrid w:val="0"/>
        <w:spacing w:before="2" w:line="360" w:lineRule="auto"/>
        <w:ind w:left="3" w:right="2" w:firstLine="422"/>
        <w:textAlignment w:val="baseline"/>
        <w:rPr>
          <w:rFonts w:ascii="宋体" w:hAnsi="宋体" w:cs="宋体"/>
          <w:color w:val="auto"/>
          <w:sz w:val="24"/>
          <w:highlight w:val="none"/>
        </w:rPr>
      </w:pPr>
      <w:r>
        <w:rPr>
          <w:rFonts w:hint="eastAsia" w:ascii="宋体" w:hAnsi="宋体" w:cs="宋体"/>
          <w:color w:val="auto"/>
          <w:spacing w:val="18"/>
          <w:sz w:val="24"/>
          <w:highlight w:val="none"/>
        </w:rPr>
        <w:t>《政府</w:t>
      </w:r>
      <w:r>
        <w:rPr>
          <w:rFonts w:hint="eastAsia" w:ascii="宋体" w:hAnsi="宋体" w:cs="宋体"/>
          <w:color w:val="auto"/>
          <w:spacing w:val="9"/>
          <w:sz w:val="24"/>
          <w:highlight w:val="none"/>
        </w:rPr>
        <w:t>采购实施条例》第五十五条：供应商质疑、投诉应当有明确的请求和必要的证明材料。供应商</w:t>
      </w:r>
      <w:r>
        <w:rPr>
          <w:rFonts w:hint="eastAsia" w:ascii="宋体" w:hAnsi="宋体" w:cs="宋体"/>
          <w:color w:val="auto"/>
          <w:spacing w:val="16"/>
          <w:sz w:val="24"/>
          <w:highlight w:val="none"/>
        </w:rPr>
        <w:t>投</w:t>
      </w:r>
      <w:r>
        <w:rPr>
          <w:rFonts w:hint="eastAsia" w:ascii="宋体" w:hAnsi="宋体" w:cs="宋体"/>
          <w:color w:val="auto"/>
          <w:spacing w:val="11"/>
          <w:sz w:val="24"/>
          <w:highlight w:val="none"/>
        </w:rPr>
        <w:t>诉</w:t>
      </w:r>
      <w:r>
        <w:rPr>
          <w:rFonts w:hint="eastAsia" w:ascii="宋体" w:hAnsi="宋体" w:cs="宋体"/>
          <w:color w:val="auto"/>
          <w:spacing w:val="8"/>
          <w:sz w:val="24"/>
          <w:highlight w:val="none"/>
        </w:rPr>
        <w:t>的事项不得超出质疑事项的范围。</w:t>
      </w:r>
    </w:p>
    <w:p w14:paraId="33CE2FD1">
      <w:pPr>
        <w:widowControl/>
        <w:kinsoku w:val="0"/>
        <w:autoSpaceDE w:val="0"/>
        <w:autoSpaceDN w:val="0"/>
        <w:adjustRightInd w:val="0"/>
        <w:snapToGrid w:val="0"/>
        <w:spacing w:line="360" w:lineRule="auto"/>
        <w:ind w:left="4"/>
        <w:textAlignment w:val="baseline"/>
        <w:rPr>
          <w:rFonts w:ascii="宋体" w:hAnsi="宋体" w:cs="宋体"/>
          <w:color w:val="auto"/>
          <w:sz w:val="24"/>
          <w:highlight w:val="none"/>
        </w:rPr>
      </w:pPr>
      <w:r>
        <w:rPr>
          <w:rFonts w:hint="eastAsia" w:ascii="宋体" w:hAnsi="宋体" w:cs="宋体"/>
          <w:color w:val="auto"/>
          <w:spacing w:val="11"/>
          <w:position w:val="1"/>
          <w:sz w:val="24"/>
          <w:highlight w:val="none"/>
          <w14:textOutline w14:w="3797" w14:cap="sq" w14:cmpd="sng" w14:algn="ctr">
            <w14:solidFill>
              <w14:srgbClr w14:val="000000"/>
            </w14:solidFill>
            <w14:prstDash w14:val="solid"/>
            <w14:bevel/>
          </w14:textOutline>
        </w:rPr>
        <w:t>二</w:t>
      </w:r>
      <w:r>
        <w:rPr>
          <w:rFonts w:hint="eastAsia" w:ascii="宋体" w:hAnsi="宋体" w:cs="宋体"/>
          <w:color w:val="auto"/>
          <w:spacing w:val="8"/>
          <w:position w:val="1"/>
          <w:sz w:val="24"/>
          <w:highlight w:val="none"/>
          <w14:textOutline w14:w="3797" w14:cap="sq" w14:cmpd="sng" w14:algn="ctr">
            <w14:solidFill>
              <w14:srgbClr w14:val="000000"/>
            </w14:solidFill>
            <w14:prstDash w14:val="solid"/>
            <w14:bevel/>
          </w14:textOutline>
        </w:rPr>
        <w:t>、书面方式</w:t>
      </w:r>
    </w:p>
    <w:p w14:paraId="238BFFFC">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《政府采购质疑和投诉办法》第十八条 投诉人投诉时,应当提交投诉书和必要的证明材料，并按照被投诉采购人、采购代理机构（以下简称被投诉人）和与投诉事项有关的供应商数量提供投诉书的副本。投诉书应当包括下列内容：</w:t>
      </w:r>
    </w:p>
    <w:p w14:paraId="5789AB86">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（一）投诉人和被投诉人的姓名或者名称、通讯地址、邮编、联系人及联系电话；</w:t>
      </w:r>
    </w:p>
    <w:p w14:paraId="11DEFA1F">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（二）质疑和质疑答复情况说明及相关证明材料；</w:t>
      </w:r>
    </w:p>
    <w:p w14:paraId="71D1AA77">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（三）具体、明确的投诉事项和与投诉事项相关的投诉请求；</w:t>
      </w:r>
    </w:p>
    <w:p w14:paraId="5440293B">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（四）事实依据；</w:t>
      </w:r>
    </w:p>
    <w:p w14:paraId="46C7BECF">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（五）法律依据；</w:t>
      </w:r>
    </w:p>
    <w:p w14:paraId="184EA709">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（六）提起投诉的日期。</w:t>
      </w:r>
    </w:p>
    <w:p w14:paraId="17C43616">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投诉人为自然人的，应当由本人签字；投诉人为法人或者其他组织的，应当由法定代表人、主要负责人，或者其授权代表签字或者盖章，并加盖公章。</w:t>
      </w:r>
    </w:p>
    <w:p w14:paraId="28EE56B6">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《政府采购质疑和投诉办法》第十九条 投诉人应当根据本办法第七条第二款规定的信息内容，并按照其规定的方式提起投诉。</w:t>
      </w:r>
    </w:p>
    <w:p w14:paraId="4AC29B95">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投诉人提起投诉应当符合下列条件：</w:t>
      </w:r>
    </w:p>
    <w:p w14:paraId="600BC1A1">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（一）提起投诉前已依法进行质疑；</w:t>
      </w:r>
    </w:p>
    <w:p w14:paraId="10510531">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（二）投诉书内容符合本办法的规定；</w:t>
      </w:r>
    </w:p>
    <w:p w14:paraId="3F994F01">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（三）在投诉有效期限内提起投诉；</w:t>
      </w:r>
    </w:p>
    <w:p w14:paraId="5AAF7DAC">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（四）同一投诉事项未经财政部门投诉处理；</w:t>
      </w:r>
    </w:p>
    <w:p w14:paraId="4BA87243">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（五）财政部规定的其他条件。</w:t>
      </w:r>
    </w:p>
    <w:p w14:paraId="64B77962">
      <w:pPr>
        <w:widowControl/>
        <w:kinsoku w:val="0"/>
        <w:autoSpaceDE w:val="0"/>
        <w:autoSpaceDN w:val="0"/>
        <w:adjustRightInd w:val="0"/>
        <w:snapToGrid w:val="0"/>
        <w:spacing w:before="65" w:line="360" w:lineRule="auto"/>
        <w:ind w:firstLine="552" w:firstLineChars="200"/>
        <w:textAlignment w:val="baseline"/>
        <w:rPr>
          <w:rFonts w:ascii="宋体" w:hAnsi="宋体" w:cs="宋体"/>
          <w:color w:val="auto"/>
          <w:spacing w:val="18"/>
          <w:sz w:val="24"/>
          <w:highlight w:val="none"/>
        </w:rPr>
      </w:pPr>
      <w:r>
        <w:rPr>
          <w:rFonts w:hint="eastAsia" w:ascii="宋体" w:hAnsi="宋体" w:cs="宋体"/>
          <w:color w:val="auto"/>
          <w:spacing w:val="18"/>
          <w:sz w:val="24"/>
          <w:highlight w:val="none"/>
        </w:rPr>
        <w:t>《政府采购质疑和投诉办法》第二十条 供应商投诉的事项不得超出已质疑事项的范围，但基于质疑答复内容提出的投诉事项除外。</w:t>
      </w:r>
    </w:p>
    <w:p w14:paraId="78BD7654">
      <w:pPr>
        <w:widowControl/>
        <w:kinsoku w:val="0"/>
        <w:autoSpaceDE w:val="0"/>
        <w:autoSpaceDN w:val="0"/>
        <w:adjustRightInd w:val="0"/>
        <w:snapToGrid w:val="0"/>
        <w:spacing w:before="65" w:line="360" w:lineRule="auto"/>
        <w:textAlignment w:val="baseline"/>
        <w:rPr>
          <w:rFonts w:ascii="宋体" w:hAnsi="宋体" w:cs="宋体"/>
          <w:color w:val="auto"/>
          <w:sz w:val="24"/>
          <w:highlight w:val="none"/>
        </w:rPr>
      </w:pPr>
      <w:r>
        <w:rPr>
          <w:rFonts w:hint="eastAsia" w:ascii="宋体" w:hAnsi="宋体" w:cs="宋体"/>
          <w:color w:val="auto"/>
          <w:spacing w:val="10"/>
          <w:position w:val="1"/>
          <w:sz w:val="24"/>
          <w:highlight w:val="none"/>
          <w14:textOutline w14:w="3797" w14:cap="sq" w14:cmpd="sng" w14:algn="ctr">
            <w14:solidFill>
              <w14:srgbClr w14:val="000000"/>
            </w14:solidFill>
            <w14:prstDash w14:val="solid"/>
            <w14:bevel/>
          </w14:textOutline>
        </w:rPr>
        <w:t>三、虚假、恶意投诉法律责任</w:t>
      </w:r>
    </w:p>
    <w:p w14:paraId="75EBBB9F">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第三十七条 投诉人在全国范围12个月内三次以上投诉查无实据的，由财政部门列入不良行为记录名单。</w:t>
      </w:r>
    </w:p>
    <w:p w14:paraId="4E17BFB5">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投诉人有下列行为之一的，属于虚假、恶意投诉，由财政部门列入不良行为记录名单，禁止其1至3年内参加政府采购活动：</w:t>
      </w:r>
    </w:p>
    <w:p w14:paraId="2C236A79">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（一）捏造事实；</w:t>
      </w:r>
    </w:p>
    <w:p w14:paraId="2855A45F">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（二）提供虚假材料；</w:t>
      </w:r>
    </w:p>
    <w:p w14:paraId="6B5BE639">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（三）以非法手段取得证明材料。</w:t>
      </w:r>
    </w:p>
    <w:p w14:paraId="7ADCB5BE">
      <w:pPr>
        <w:spacing w:before="167" w:line="224" w:lineRule="auto"/>
        <w:ind w:firstLine="536" w:firstLineChars="200"/>
        <w:rPr>
          <w:rFonts w:ascii="宋体" w:hAnsi="宋体" w:cs="宋体"/>
          <w:color w:val="auto"/>
          <w:spacing w:val="14"/>
          <w:sz w:val="24"/>
          <w:highlight w:val="none"/>
        </w:rPr>
      </w:pPr>
      <w:r>
        <w:rPr>
          <w:rFonts w:hint="eastAsia" w:ascii="宋体" w:hAnsi="宋体" w:cs="宋体"/>
          <w:color w:val="auto"/>
          <w:spacing w:val="14"/>
          <w:sz w:val="24"/>
          <w:highlight w:val="none"/>
        </w:rPr>
        <w:t>证据来源的合法性存在明显疑问，投诉人无法证明其取得方式合法的，视为以非法手段取得证明材料。</w:t>
      </w:r>
    </w:p>
    <w:p w14:paraId="2C68C822">
      <w:pPr>
        <w:spacing w:before="167" w:line="224" w:lineRule="auto"/>
        <w:ind w:firstLine="514" w:firstLineChars="200"/>
        <w:rPr>
          <w:rFonts w:ascii="宋体" w:hAnsi="宋体" w:cs="宋体"/>
          <w:color w:val="auto"/>
          <w:sz w:val="24"/>
          <w:highlight w:val="none"/>
        </w:rPr>
      </w:pPr>
      <w:r>
        <w:rPr>
          <w:rFonts w:hint="eastAsia" w:ascii="宋体" w:hAnsi="宋体" w:cs="宋体"/>
          <w:b/>
          <w:bCs/>
          <w:color w:val="auto"/>
          <w:spacing w:val="8"/>
          <w:sz w:val="24"/>
          <w:highlight w:val="none"/>
          <w14:textOutline w14:w="5791" w14:cap="sq" w14:cmpd="sng" w14:algn="ctr">
            <w14:solidFill>
              <w14:srgbClr w14:val="000000"/>
            </w14:solidFill>
            <w14:prstDash w14:val="solid"/>
            <w14:bevel/>
          </w14:textOutline>
        </w:rPr>
        <w:t>质疑函范</w:t>
      </w:r>
      <w:r>
        <w:rPr>
          <w:rFonts w:hint="eastAsia" w:ascii="宋体" w:hAnsi="宋体" w:cs="宋体"/>
          <w:b/>
          <w:bCs/>
          <w:color w:val="auto"/>
          <w:spacing w:val="7"/>
          <w:sz w:val="24"/>
          <w:highlight w:val="none"/>
          <w14:textOutline w14:w="5791" w14:cap="sq" w14:cmpd="sng" w14:algn="ctr">
            <w14:solidFill>
              <w14:srgbClr w14:val="000000"/>
            </w14:solidFill>
            <w14:prstDash w14:val="solid"/>
            <w14:bevel/>
          </w14:textOutline>
        </w:rPr>
        <w:t>本</w:t>
      </w:r>
    </w:p>
    <w:p w14:paraId="56CA6253">
      <w:pPr>
        <w:spacing w:before="65" w:line="343" w:lineRule="exact"/>
        <w:ind w:left="5"/>
        <w:rPr>
          <w:rFonts w:ascii="宋体" w:hAnsi="宋体" w:cs="宋体"/>
          <w:color w:val="auto"/>
          <w:sz w:val="24"/>
          <w:highlight w:val="none"/>
        </w:rPr>
      </w:pPr>
      <w:r>
        <w:rPr>
          <w:rFonts w:hint="eastAsia" w:ascii="宋体" w:hAnsi="宋体" w:cs="宋体"/>
          <w:color w:val="auto"/>
          <w:spacing w:val="9"/>
          <w:position w:val="2"/>
          <w:sz w:val="24"/>
          <w:highlight w:val="none"/>
        </w:rPr>
        <w:t>一、质疑供应商基本信</w:t>
      </w:r>
      <w:r>
        <w:rPr>
          <w:rFonts w:hint="eastAsia" w:ascii="宋体" w:hAnsi="宋体" w:cs="宋体"/>
          <w:color w:val="auto"/>
          <w:spacing w:val="7"/>
          <w:position w:val="2"/>
          <w:sz w:val="24"/>
          <w:highlight w:val="none"/>
        </w:rPr>
        <w:t>息</w:t>
      </w:r>
    </w:p>
    <w:p w14:paraId="5DD4AA9B">
      <w:pPr>
        <w:spacing w:before="197" w:line="227" w:lineRule="auto"/>
        <w:ind w:left="2"/>
        <w:rPr>
          <w:rFonts w:ascii="宋体" w:hAnsi="宋体" w:cs="宋体"/>
          <w:color w:val="auto"/>
          <w:sz w:val="24"/>
          <w:highlight w:val="none"/>
        </w:rPr>
      </w:pPr>
      <w:r>
        <w:rPr>
          <w:rFonts w:hint="eastAsia" w:ascii="宋体" w:hAnsi="宋体" w:cs="宋体"/>
          <w:color w:val="auto"/>
          <w:spacing w:val="9"/>
          <w:sz w:val="24"/>
          <w:highlight w:val="none"/>
        </w:rPr>
        <w:t>质</w:t>
      </w:r>
      <w:r>
        <w:rPr>
          <w:rFonts w:hint="eastAsia" w:ascii="宋体" w:hAnsi="宋体" w:cs="宋体"/>
          <w:color w:val="auto"/>
          <w:spacing w:val="6"/>
          <w:sz w:val="24"/>
          <w:highlight w:val="none"/>
        </w:rPr>
        <w:t>疑供应商：</w:t>
      </w:r>
    </w:p>
    <w:p w14:paraId="4E5E9191">
      <w:pPr>
        <w:spacing w:before="293" w:line="228" w:lineRule="auto"/>
        <w:ind w:left="1"/>
        <w:rPr>
          <w:rFonts w:ascii="宋体" w:hAnsi="宋体" w:cs="宋体"/>
          <w:color w:val="auto"/>
          <w:sz w:val="24"/>
          <w:highlight w:val="none"/>
        </w:rPr>
      </w:pPr>
      <w:r>
        <w:rPr>
          <w:rFonts w:hint="eastAsia" w:ascii="宋体" w:hAnsi="宋体" w:cs="宋体"/>
          <w:color w:val="auto"/>
          <w:spacing w:val="-6"/>
          <w:sz w:val="24"/>
          <w:highlight w:val="none"/>
        </w:rPr>
        <w:t>地址：</w:t>
      </w:r>
      <w:r>
        <w:rPr>
          <w:rFonts w:hint="eastAsia" w:ascii="宋体" w:hAnsi="宋体" w:cs="宋体"/>
          <w:color w:val="auto"/>
          <w:spacing w:val="-3"/>
          <w:sz w:val="24"/>
          <w:highlight w:val="none"/>
        </w:rPr>
        <w:t>邮编：</w:t>
      </w:r>
    </w:p>
    <w:p w14:paraId="5D1A7EFD">
      <w:pPr>
        <w:spacing w:before="293" w:line="230" w:lineRule="auto"/>
        <w:ind w:left="2"/>
        <w:rPr>
          <w:rFonts w:ascii="宋体" w:hAnsi="宋体" w:cs="宋体"/>
          <w:color w:val="auto"/>
          <w:sz w:val="24"/>
          <w:highlight w:val="none"/>
        </w:rPr>
      </w:pPr>
      <w:r>
        <w:rPr>
          <w:rFonts w:hint="eastAsia" w:ascii="宋体" w:hAnsi="宋体" w:cs="宋体"/>
          <w:color w:val="auto"/>
          <w:spacing w:val="-1"/>
          <w:sz w:val="24"/>
          <w:highlight w:val="none"/>
        </w:rPr>
        <w:t>联系人：</w:t>
      </w:r>
      <w:r>
        <w:rPr>
          <w:rFonts w:hint="eastAsia" w:ascii="宋体" w:hAnsi="宋体" w:cs="宋体"/>
          <w:color w:val="auto"/>
          <w:sz w:val="24"/>
          <w:highlight w:val="none"/>
        </w:rPr>
        <w:t>联系电话：</w:t>
      </w:r>
    </w:p>
    <w:p w14:paraId="2AF8CABD">
      <w:pPr>
        <w:spacing w:before="291" w:line="226" w:lineRule="auto"/>
        <w:rPr>
          <w:rFonts w:ascii="宋体" w:hAnsi="宋体" w:cs="宋体"/>
          <w:color w:val="auto"/>
          <w:sz w:val="24"/>
          <w:highlight w:val="none"/>
        </w:rPr>
      </w:pPr>
      <w:r>
        <w:rPr>
          <w:rFonts w:hint="eastAsia" w:ascii="宋体" w:hAnsi="宋体" w:cs="宋体"/>
          <w:color w:val="auto"/>
          <w:spacing w:val="6"/>
          <w:sz w:val="24"/>
          <w:highlight w:val="none"/>
        </w:rPr>
        <w:t>授权代表：</w:t>
      </w:r>
    </w:p>
    <w:p w14:paraId="1217E307">
      <w:pPr>
        <w:spacing w:before="294" w:line="230" w:lineRule="auto"/>
        <w:ind w:left="2"/>
        <w:rPr>
          <w:rFonts w:ascii="宋体" w:hAnsi="宋体" w:cs="宋体"/>
          <w:color w:val="auto"/>
          <w:sz w:val="24"/>
          <w:highlight w:val="none"/>
        </w:rPr>
      </w:pPr>
      <w:r>
        <w:rPr>
          <w:rFonts w:hint="eastAsia" w:ascii="宋体" w:hAnsi="宋体" w:cs="宋体"/>
          <w:color w:val="auto"/>
          <w:spacing w:val="8"/>
          <w:sz w:val="24"/>
          <w:highlight w:val="none"/>
        </w:rPr>
        <w:t>联</w:t>
      </w:r>
      <w:r>
        <w:rPr>
          <w:rFonts w:hint="eastAsia" w:ascii="宋体" w:hAnsi="宋体" w:cs="宋体"/>
          <w:color w:val="auto"/>
          <w:spacing w:val="5"/>
          <w:sz w:val="24"/>
          <w:highlight w:val="none"/>
        </w:rPr>
        <w:t>系电话：</w:t>
      </w:r>
    </w:p>
    <w:p w14:paraId="103C06BF">
      <w:pPr>
        <w:spacing w:before="291" w:line="228" w:lineRule="auto"/>
        <w:ind w:left="1"/>
        <w:rPr>
          <w:rFonts w:ascii="宋体" w:hAnsi="宋体" w:cs="宋体"/>
          <w:color w:val="auto"/>
          <w:sz w:val="24"/>
          <w:highlight w:val="none"/>
        </w:rPr>
      </w:pPr>
      <w:r>
        <w:rPr>
          <w:rFonts w:hint="eastAsia" w:ascii="宋体" w:hAnsi="宋体" w:cs="宋体"/>
          <w:color w:val="auto"/>
          <w:spacing w:val="-4"/>
          <w:sz w:val="24"/>
          <w:highlight w:val="none"/>
        </w:rPr>
        <w:t>地址：邮编：</w:t>
      </w:r>
    </w:p>
    <w:p w14:paraId="2B108508">
      <w:pPr>
        <w:spacing w:before="293" w:line="274" w:lineRule="exact"/>
        <w:ind w:left="5"/>
        <w:rPr>
          <w:rFonts w:ascii="宋体" w:hAnsi="宋体" w:cs="宋体"/>
          <w:color w:val="auto"/>
          <w:sz w:val="24"/>
          <w:highlight w:val="none"/>
        </w:rPr>
      </w:pPr>
      <w:r>
        <w:rPr>
          <w:rFonts w:hint="eastAsia" w:ascii="宋体" w:hAnsi="宋体" w:cs="宋体"/>
          <w:color w:val="auto"/>
          <w:spacing w:val="14"/>
          <w:position w:val="1"/>
          <w:sz w:val="24"/>
          <w:highlight w:val="none"/>
        </w:rPr>
        <w:t>二</w:t>
      </w:r>
      <w:r>
        <w:rPr>
          <w:rFonts w:hint="eastAsia" w:ascii="宋体" w:hAnsi="宋体" w:cs="宋体"/>
          <w:color w:val="auto"/>
          <w:spacing w:val="8"/>
          <w:position w:val="1"/>
          <w:sz w:val="24"/>
          <w:highlight w:val="none"/>
        </w:rPr>
        <w:t>、质疑项目基本情况</w:t>
      </w:r>
    </w:p>
    <w:p w14:paraId="0D443BAE">
      <w:pPr>
        <w:spacing w:before="266" w:line="228" w:lineRule="auto"/>
        <w:ind w:left="2"/>
        <w:rPr>
          <w:rFonts w:ascii="宋体" w:hAnsi="宋体" w:cs="宋体"/>
          <w:color w:val="auto"/>
          <w:sz w:val="24"/>
          <w:highlight w:val="none"/>
        </w:rPr>
      </w:pPr>
      <w:r>
        <w:rPr>
          <w:rFonts w:hint="eastAsia" w:ascii="宋体" w:hAnsi="宋体" w:cs="宋体"/>
          <w:color w:val="auto"/>
          <w:spacing w:val="10"/>
          <w:sz w:val="24"/>
          <w:highlight w:val="none"/>
        </w:rPr>
        <w:t>质</w:t>
      </w:r>
      <w:r>
        <w:rPr>
          <w:rFonts w:hint="eastAsia" w:ascii="宋体" w:hAnsi="宋体" w:cs="宋体"/>
          <w:color w:val="auto"/>
          <w:spacing w:val="7"/>
          <w:sz w:val="24"/>
          <w:highlight w:val="none"/>
        </w:rPr>
        <w:t>疑项目的名称：</w:t>
      </w:r>
    </w:p>
    <w:p w14:paraId="08D0D0B5">
      <w:pPr>
        <w:spacing w:before="293" w:line="228" w:lineRule="auto"/>
        <w:ind w:left="2"/>
        <w:rPr>
          <w:rFonts w:ascii="宋体" w:hAnsi="宋体" w:cs="宋体"/>
          <w:color w:val="auto"/>
          <w:sz w:val="24"/>
          <w:highlight w:val="none"/>
        </w:rPr>
      </w:pPr>
      <w:r>
        <w:rPr>
          <w:rFonts w:hint="eastAsia" w:ascii="宋体" w:hAnsi="宋体" w:cs="宋体"/>
          <w:color w:val="auto"/>
          <w:spacing w:val="-2"/>
          <w:sz w:val="24"/>
          <w:highlight w:val="none"/>
        </w:rPr>
        <w:t>质疑项目的编号：</w:t>
      </w:r>
      <w:r>
        <w:rPr>
          <w:rFonts w:hint="eastAsia" w:ascii="宋体" w:hAnsi="宋体" w:cs="宋体"/>
          <w:color w:val="auto"/>
          <w:spacing w:val="-1"/>
          <w:sz w:val="24"/>
          <w:highlight w:val="none"/>
        </w:rPr>
        <w:t>包号：</w:t>
      </w:r>
    </w:p>
    <w:p w14:paraId="60E25684">
      <w:pPr>
        <w:spacing w:before="293" w:line="227" w:lineRule="auto"/>
        <w:rPr>
          <w:rFonts w:ascii="宋体" w:hAnsi="宋体" w:cs="宋体"/>
          <w:color w:val="auto"/>
          <w:sz w:val="24"/>
          <w:highlight w:val="none"/>
        </w:rPr>
      </w:pPr>
      <w:r>
        <w:rPr>
          <w:rFonts w:hint="eastAsia" w:ascii="宋体" w:hAnsi="宋体" w:cs="宋体"/>
          <w:color w:val="auto"/>
          <w:spacing w:val="7"/>
          <w:sz w:val="24"/>
          <w:highlight w:val="none"/>
        </w:rPr>
        <w:t>采购人名称</w:t>
      </w:r>
      <w:r>
        <w:rPr>
          <w:rFonts w:hint="eastAsia" w:ascii="宋体" w:hAnsi="宋体" w:cs="宋体"/>
          <w:color w:val="auto"/>
          <w:spacing w:val="6"/>
          <w:sz w:val="24"/>
          <w:highlight w:val="none"/>
        </w:rPr>
        <w:t>：</w:t>
      </w:r>
    </w:p>
    <w:p w14:paraId="04108558">
      <w:pPr>
        <w:spacing w:before="294" w:line="227" w:lineRule="auto"/>
        <w:rPr>
          <w:rFonts w:ascii="宋体" w:hAnsi="宋体" w:cs="宋体"/>
          <w:color w:val="auto"/>
          <w:sz w:val="24"/>
          <w:highlight w:val="none"/>
        </w:rPr>
      </w:pPr>
      <w:r>
        <w:rPr>
          <w:rFonts w:hint="eastAsia" w:ascii="宋体" w:hAnsi="宋体" w:cs="宋体"/>
          <w:color w:val="auto"/>
          <w:spacing w:val="8"/>
          <w:sz w:val="24"/>
          <w:highlight w:val="none"/>
        </w:rPr>
        <w:t>采购文件获取日期</w:t>
      </w:r>
      <w:r>
        <w:rPr>
          <w:rFonts w:hint="eastAsia" w:ascii="宋体" w:hAnsi="宋体" w:cs="宋体"/>
          <w:color w:val="auto"/>
          <w:spacing w:val="6"/>
          <w:sz w:val="24"/>
          <w:highlight w:val="none"/>
        </w:rPr>
        <w:t>：</w:t>
      </w:r>
    </w:p>
    <w:p w14:paraId="3FE7F876">
      <w:pPr>
        <w:spacing w:before="295" w:line="265" w:lineRule="exact"/>
        <w:ind w:left="1"/>
        <w:rPr>
          <w:rFonts w:ascii="宋体" w:hAnsi="宋体" w:cs="宋体"/>
          <w:color w:val="auto"/>
          <w:sz w:val="24"/>
          <w:highlight w:val="none"/>
        </w:rPr>
      </w:pPr>
      <w:r>
        <w:rPr>
          <w:rFonts w:hint="eastAsia" w:ascii="宋体" w:hAnsi="宋体" w:cs="宋体"/>
          <w:color w:val="auto"/>
          <w:spacing w:val="9"/>
          <w:position w:val="1"/>
          <w:sz w:val="24"/>
          <w:highlight w:val="none"/>
        </w:rPr>
        <w:t>三、质疑事项具体内</w:t>
      </w:r>
      <w:r>
        <w:rPr>
          <w:rFonts w:hint="eastAsia" w:ascii="宋体" w:hAnsi="宋体" w:cs="宋体"/>
          <w:color w:val="auto"/>
          <w:spacing w:val="8"/>
          <w:position w:val="1"/>
          <w:sz w:val="24"/>
          <w:highlight w:val="none"/>
        </w:rPr>
        <w:t>容</w:t>
      </w:r>
    </w:p>
    <w:sdt>
      <w:sdtPr>
        <w:rPr>
          <w:rFonts w:hint="eastAsia" w:ascii="宋体" w:hAnsi="宋体" w:cs="宋体"/>
          <w:color w:val="auto"/>
          <w:sz w:val="24"/>
          <w:highlight w:val="none"/>
        </w:rPr>
        <w:id w:val="2"/>
        <w:docPartObj>
          <w:docPartGallery w:val="Table of Contents"/>
          <w:docPartUnique/>
        </w:docPartObj>
      </w:sdtPr>
      <w:sdtEndPr>
        <w:rPr>
          <w:rFonts w:hint="eastAsia" w:ascii="宋体" w:hAnsi="宋体" w:cs="宋体"/>
          <w:color w:val="auto"/>
          <w:sz w:val="24"/>
          <w:highlight w:val="none"/>
        </w:rPr>
      </w:sdtEndPr>
      <w:sdtContent>
        <w:p w14:paraId="63E13FD2">
          <w:pPr>
            <w:tabs>
              <w:tab w:val="right" w:leader="dot" w:pos="5505"/>
            </w:tabs>
            <w:spacing w:before="274" w:line="228" w:lineRule="auto"/>
            <w:ind w:left="2"/>
            <w:rPr>
              <w:rFonts w:ascii="宋体" w:hAnsi="宋体" w:cs="宋体"/>
              <w:color w:val="auto"/>
              <w:sz w:val="24"/>
              <w:highlight w:val="none"/>
            </w:rPr>
          </w:pPr>
          <w:r>
            <w:rPr>
              <w:rFonts w:hint="eastAsia" w:ascii="宋体" w:hAnsi="宋体" w:cs="宋体"/>
              <w:color w:val="auto"/>
              <w:spacing w:val="-25"/>
              <w:sz w:val="24"/>
              <w:highlight w:val="none"/>
            </w:rPr>
            <w:t>质</w:t>
          </w:r>
          <w:r>
            <w:rPr>
              <w:rFonts w:hint="eastAsia" w:ascii="宋体" w:hAnsi="宋体" w:cs="宋体"/>
              <w:color w:val="auto"/>
              <w:spacing w:val="-22"/>
              <w:sz w:val="24"/>
              <w:highlight w:val="none"/>
            </w:rPr>
            <w:t>疑事项1：</w:t>
          </w:r>
          <w:r>
            <w:rPr>
              <w:rFonts w:hint="eastAsia" w:ascii="宋体" w:hAnsi="宋体" w:cs="宋体"/>
              <w:color w:val="auto"/>
              <w:sz w:val="24"/>
              <w:highlight w:val="none"/>
            </w:rPr>
            <w:tab/>
          </w:r>
        </w:p>
        <w:p w14:paraId="192BEE11">
          <w:pPr>
            <w:tabs>
              <w:tab w:val="right" w:leader="dot" w:pos="5557"/>
            </w:tabs>
            <w:spacing w:before="294" w:line="224" w:lineRule="auto"/>
            <w:ind w:left="1"/>
            <w:rPr>
              <w:rFonts w:ascii="宋体" w:hAnsi="宋体" w:cs="宋体"/>
              <w:color w:val="auto"/>
              <w:sz w:val="24"/>
              <w:highlight w:val="none"/>
            </w:rPr>
          </w:pPr>
          <w:r>
            <w:rPr>
              <w:rFonts w:hint="eastAsia" w:ascii="宋体" w:hAnsi="宋体" w:cs="宋体"/>
              <w:color w:val="auto"/>
              <w:spacing w:val="-24"/>
              <w:sz w:val="24"/>
              <w:highlight w:val="none"/>
            </w:rPr>
            <w:t>事</w:t>
          </w:r>
          <w:r>
            <w:rPr>
              <w:rFonts w:hint="eastAsia" w:ascii="宋体" w:hAnsi="宋体" w:cs="宋体"/>
              <w:color w:val="auto"/>
              <w:spacing w:val="-22"/>
              <w:sz w:val="24"/>
              <w:highlight w:val="none"/>
            </w:rPr>
            <w:t>实依据：</w:t>
          </w:r>
          <w:r>
            <w:rPr>
              <w:rFonts w:hint="eastAsia" w:ascii="宋体" w:hAnsi="宋体" w:cs="宋体"/>
              <w:color w:val="auto"/>
              <w:sz w:val="24"/>
              <w:highlight w:val="none"/>
            </w:rPr>
            <w:tab/>
          </w:r>
        </w:p>
        <w:p w14:paraId="59746AE8">
          <w:pPr>
            <w:tabs>
              <w:tab w:val="right" w:leader="dot" w:pos="5557"/>
            </w:tabs>
            <w:spacing w:before="297" w:line="227" w:lineRule="auto"/>
            <w:ind w:left="2"/>
            <w:rPr>
              <w:rFonts w:ascii="宋体" w:hAnsi="宋体" w:cs="宋体"/>
              <w:color w:val="auto"/>
              <w:sz w:val="24"/>
              <w:highlight w:val="none"/>
            </w:rPr>
          </w:pPr>
          <w:r>
            <w:rPr>
              <w:rFonts w:hint="eastAsia" w:ascii="宋体" w:hAnsi="宋体" w:cs="宋体"/>
              <w:color w:val="auto"/>
              <w:spacing w:val="-25"/>
              <w:sz w:val="24"/>
              <w:highlight w:val="none"/>
            </w:rPr>
            <w:t>法</w:t>
          </w:r>
          <w:r>
            <w:rPr>
              <w:rFonts w:hint="eastAsia" w:ascii="宋体" w:hAnsi="宋体" w:cs="宋体"/>
              <w:color w:val="auto"/>
              <w:spacing w:val="-22"/>
              <w:sz w:val="24"/>
              <w:highlight w:val="none"/>
            </w:rPr>
            <w:t>律依据：</w:t>
          </w:r>
          <w:r>
            <w:rPr>
              <w:rFonts w:hint="eastAsia" w:ascii="宋体" w:hAnsi="宋体" w:cs="宋体"/>
              <w:color w:val="auto"/>
              <w:sz w:val="24"/>
              <w:highlight w:val="none"/>
            </w:rPr>
            <w:tab/>
          </w:r>
        </w:p>
      </w:sdtContent>
    </w:sdt>
    <w:p w14:paraId="5267DD9D">
      <w:pPr>
        <w:spacing w:before="294" w:line="540" w:lineRule="exact"/>
        <w:ind w:left="2"/>
        <w:rPr>
          <w:rFonts w:ascii="宋体" w:hAnsi="宋体" w:cs="宋体"/>
          <w:color w:val="auto"/>
          <w:sz w:val="24"/>
          <w:highlight w:val="none"/>
        </w:rPr>
      </w:pPr>
      <w:r>
        <w:rPr>
          <w:rFonts w:hint="eastAsia" w:ascii="宋体" w:hAnsi="宋体" w:cs="宋体"/>
          <w:color w:val="auto"/>
          <w:spacing w:val="-1"/>
          <w:position w:val="26"/>
          <w:sz w:val="24"/>
          <w:highlight w:val="none"/>
        </w:rPr>
        <w:t>质疑事项2</w:t>
      </w:r>
    </w:p>
    <w:p w14:paraId="74D3A06E">
      <w:pPr>
        <w:spacing w:line="322" w:lineRule="exact"/>
        <w:ind w:left="14"/>
        <w:rPr>
          <w:rFonts w:ascii="宋体" w:hAnsi="宋体" w:cs="宋体"/>
          <w:color w:val="auto"/>
          <w:sz w:val="24"/>
          <w:highlight w:val="none"/>
        </w:rPr>
      </w:pPr>
      <w:r>
        <w:rPr>
          <w:rFonts w:hint="eastAsia" w:ascii="宋体" w:hAnsi="宋体" w:cs="宋体"/>
          <w:color w:val="auto"/>
          <w:spacing w:val="4"/>
          <w:position w:val="2"/>
          <w:sz w:val="24"/>
          <w:highlight w:val="none"/>
        </w:rPr>
        <w:t>……</w:t>
      </w:r>
    </w:p>
    <w:p w14:paraId="21872AC4">
      <w:pPr>
        <w:spacing w:before="217" w:line="231" w:lineRule="auto"/>
        <w:ind w:left="21"/>
        <w:rPr>
          <w:rFonts w:ascii="宋体" w:hAnsi="宋体" w:cs="宋体"/>
          <w:color w:val="auto"/>
          <w:sz w:val="24"/>
          <w:highlight w:val="none"/>
        </w:rPr>
      </w:pPr>
      <w:r>
        <w:rPr>
          <w:rFonts w:hint="eastAsia" w:ascii="宋体" w:hAnsi="宋体" w:cs="宋体"/>
          <w:color w:val="auto"/>
          <w:spacing w:val="8"/>
          <w:sz w:val="24"/>
          <w:highlight w:val="none"/>
        </w:rPr>
        <w:t>四、与质疑事项相关的质疑请</w:t>
      </w:r>
      <w:r>
        <w:rPr>
          <w:rFonts w:hint="eastAsia" w:ascii="宋体" w:hAnsi="宋体" w:cs="宋体"/>
          <w:color w:val="auto"/>
          <w:spacing w:val="5"/>
          <w:sz w:val="24"/>
          <w:highlight w:val="none"/>
        </w:rPr>
        <w:t>求</w:t>
      </w:r>
    </w:p>
    <w:p w14:paraId="109FC497">
      <w:pPr>
        <w:spacing w:before="291" w:line="228" w:lineRule="auto"/>
        <w:rPr>
          <w:rFonts w:ascii="宋体" w:hAnsi="宋体" w:cs="宋体"/>
          <w:color w:val="auto"/>
          <w:sz w:val="24"/>
          <w:highlight w:val="none"/>
        </w:rPr>
      </w:pPr>
      <w:r>
        <w:rPr>
          <w:rFonts w:hint="eastAsia" w:ascii="宋体" w:hAnsi="宋体" w:cs="宋体"/>
          <w:color w:val="auto"/>
          <w:spacing w:val="5"/>
          <w:sz w:val="24"/>
          <w:highlight w:val="none"/>
        </w:rPr>
        <w:t>请</w:t>
      </w:r>
      <w:r>
        <w:rPr>
          <w:rFonts w:hint="eastAsia" w:ascii="宋体" w:hAnsi="宋体" w:cs="宋体"/>
          <w:color w:val="auto"/>
          <w:spacing w:val="3"/>
          <w:sz w:val="24"/>
          <w:highlight w:val="none"/>
        </w:rPr>
        <w:t>求：</w:t>
      </w:r>
    </w:p>
    <w:p w14:paraId="670DCD90">
      <w:pPr>
        <w:spacing w:before="294" w:line="228" w:lineRule="auto"/>
        <w:ind w:left="37"/>
        <w:rPr>
          <w:rFonts w:asciiTheme="minorEastAsia" w:hAnsiTheme="minorEastAsia" w:eastAsiaTheme="minorEastAsia" w:cstheme="minorEastAsia"/>
          <w:b/>
          <w:bCs/>
          <w:color w:val="auto"/>
          <w:sz w:val="24"/>
          <w:highlight w:val="none"/>
        </w:rPr>
      </w:pPr>
      <w:r>
        <w:rPr>
          <w:rFonts w:hint="eastAsia" w:ascii="宋体" w:hAnsi="宋体" w:cs="宋体"/>
          <w:color w:val="auto"/>
          <w:spacing w:val="-2"/>
          <w:sz w:val="24"/>
          <w:highlight w:val="none"/>
        </w:rPr>
        <w:t>签字(签章</w:t>
      </w:r>
      <w:r>
        <w:rPr>
          <w:rFonts w:hint="eastAsia" w:ascii="宋体" w:hAnsi="宋体" w:cs="宋体"/>
          <w:color w:val="auto"/>
          <w:spacing w:val="-1"/>
          <w:sz w:val="24"/>
          <w:highlight w:val="none"/>
        </w:rPr>
        <w:t xml:space="preserve">)：公章：   </w:t>
      </w:r>
      <w:r>
        <w:rPr>
          <w:rFonts w:hint="eastAsia" w:ascii="宋体" w:hAnsi="宋体" w:cs="宋体"/>
          <w:color w:val="auto"/>
          <w:spacing w:val="-11"/>
          <w:sz w:val="24"/>
          <w:highlight w:val="none"/>
        </w:rPr>
        <w:t>日</w:t>
      </w:r>
      <w:r>
        <w:rPr>
          <w:rFonts w:hint="eastAsia" w:ascii="宋体" w:hAnsi="宋体" w:cs="宋体"/>
          <w:color w:val="auto"/>
          <w:spacing w:val="-8"/>
          <w:sz w:val="24"/>
          <w:highlight w:val="none"/>
        </w:rPr>
        <w:t>期：</w:t>
      </w:r>
    </w:p>
    <w:p w14:paraId="6B301822">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32、招标代理费</w:t>
      </w:r>
    </w:p>
    <w:p w14:paraId="478AAEE6">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1.采购代理服务费按预算金额计取，由中标人支付。</w:t>
      </w:r>
    </w:p>
    <w:p w14:paraId="6C27F9C8">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2.采购代理服务费的计算参照国家发展计划委员会文件（计价格[2002]1980号文）和（发改价格[2011]534 号）下浮20%计取。中标人须在领取中标通知书时一次性付清采购代理服务费。</w:t>
      </w:r>
    </w:p>
    <w:p w14:paraId="025BABC3">
      <w:pPr>
        <w:spacing w:line="360" w:lineRule="auto"/>
        <w:ind w:firstLine="482" w:firstLineChars="200"/>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33、其它</w:t>
      </w:r>
    </w:p>
    <w:p w14:paraId="0BF4B9A5">
      <w:pPr>
        <w:autoSpaceDE w:val="0"/>
        <w:autoSpaceDN w:val="0"/>
        <w:adjustRightInd w:val="0"/>
        <w:snapToGrid w:val="0"/>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本采购文件是根据《中华人民共和国政府采购法》及《中华人民共和国政府采购法实施条例》的规定编制。</w:t>
      </w:r>
    </w:p>
    <w:p w14:paraId="3C8048DC">
      <w:pPr>
        <w:rPr>
          <w:rFonts w:asciiTheme="minorEastAsia" w:hAnsiTheme="minorEastAsia" w:eastAsiaTheme="minorEastAsia" w:cstheme="minorEastAsia"/>
          <w:b/>
          <w:bCs/>
          <w:color w:val="auto"/>
          <w:kern w:val="0"/>
          <w:sz w:val="28"/>
          <w:szCs w:val="28"/>
          <w:highlight w:val="none"/>
        </w:rPr>
      </w:pPr>
      <w:r>
        <w:rPr>
          <w:rFonts w:hint="eastAsia" w:asciiTheme="minorEastAsia" w:hAnsiTheme="minorEastAsia" w:eastAsiaTheme="minorEastAsia" w:cstheme="minorEastAsia"/>
          <w:b/>
          <w:bCs/>
          <w:color w:val="auto"/>
          <w:kern w:val="0"/>
          <w:sz w:val="28"/>
          <w:szCs w:val="28"/>
          <w:highlight w:val="none"/>
        </w:rPr>
        <w:br w:type="page"/>
      </w:r>
    </w:p>
    <w:p w14:paraId="4FB345F0">
      <w:pPr>
        <w:autoSpaceDE w:val="0"/>
        <w:autoSpaceDN w:val="0"/>
        <w:adjustRightInd w:val="0"/>
        <w:spacing w:line="360" w:lineRule="auto"/>
        <w:jc w:val="center"/>
        <w:outlineLvl w:val="0"/>
        <w:rPr>
          <w:rFonts w:ascii="宋体" w:hAnsi="宋体" w:cs="宋体"/>
          <w:b/>
          <w:bCs/>
          <w:color w:val="auto"/>
          <w:kern w:val="0"/>
          <w:sz w:val="30"/>
          <w:szCs w:val="30"/>
          <w:highlight w:val="none"/>
        </w:rPr>
      </w:pPr>
      <w:bookmarkStart w:id="9" w:name="_Toc17422"/>
      <w:r>
        <w:rPr>
          <w:rFonts w:hint="eastAsia" w:asciiTheme="minorEastAsia" w:hAnsiTheme="minorEastAsia" w:eastAsiaTheme="minorEastAsia" w:cstheme="minorEastAsia"/>
          <w:b/>
          <w:bCs/>
          <w:color w:val="auto"/>
          <w:kern w:val="0"/>
          <w:sz w:val="28"/>
          <w:szCs w:val="28"/>
          <w:highlight w:val="none"/>
        </w:rPr>
        <w:t xml:space="preserve">第四章  </w:t>
      </w:r>
      <w:r>
        <w:rPr>
          <w:rFonts w:hint="eastAsia" w:ascii="宋体" w:hAnsi="宋体" w:cs="宋体"/>
          <w:b/>
          <w:bCs/>
          <w:color w:val="auto"/>
          <w:kern w:val="0"/>
          <w:sz w:val="30"/>
          <w:szCs w:val="30"/>
          <w:highlight w:val="none"/>
        </w:rPr>
        <w:t>合同条款</w:t>
      </w:r>
      <w:bookmarkEnd w:id="9"/>
    </w:p>
    <w:p w14:paraId="7AB076E3">
      <w:pPr>
        <w:pStyle w:val="14"/>
        <w:adjustRightInd w:val="0"/>
        <w:snapToGrid w:val="0"/>
        <w:spacing w:line="682" w:lineRule="exact"/>
        <w:jc w:val="center"/>
        <w:rPr>
          <w:rFonts w:ascii="方正小标宋简体" w:hAnsi="宋体" w:eastAsia="方正小标宋简体" w:cs="宋体"/>
          <w:color w:val="auto"/>
          <w:sz w:val="48"/>
          <w:szCs w:val="48"/>
          <w:highlight w:val="none"/>
        </w:rPr>
      </w:pPr>
      <w:bookmarkStart w:id="10" w:name="_Toc2103"/>
      <w:bookmarkStart w:id="11" w:name="_Toc10164"/>
      <w:bookmarkStart w:id="12" w:name="_Toc267301295"/>
    </w:p>
    <w:p w14:paraId="2DC1A3A9">
      <w:pPr>
        <w:spacing w:line="259" w:lineRule="auto"/>
        <w:ind w:left="17" w:hanging="11"/>
        <w:jc w:val="center"/>
      </w:pPr>
      <w:r>
        <w:rPr>
          <w:sz w:val="52"/>
        </w:rPr>
        <w:t>采购合同</w:t>
      </w:r>
    </w:p>
    <w:p w14:paraId="7E0254FA">
      <w:pPr>
        <w:spacing w:line="360" w:lineRule="auto"/>
        <w:ind w:left="24"/>
        <w:jc w:val="center"/>
        <w:rPr>
          <w:rFonts w:hint="eastAsia"/>
          <w:sz w:val="24"/>
        </w:rPr>
      </w:pPr>
      <w:r>
        <w:rPr>
          <w:rFonts w:hint="eastAsia"/>
          <w:sz w:val="24"/>
        </w:rPr>
        <w:t>（仅供参考）</w:t>
      </w:r>
    </w:p>
    <w:p w14:paraId="36B22341">
      <w:pPr>
        <w:spacing w:line="360" w:lineRule="auto"/>
        <w:ind w:left="24"/>
        <w:rPr>
          <w:sz w:val="24"/>
        </w:rPr>
      </w:pPr>
      <w:r>
        <w:rPr>
          <w:sz w:val="24"/>
        </w:rPr>
        <w:t>签约地点：</w:t>
      </w:r>
    </w:p>
    <w:p w14:paraId="48F09B25">
      <w:pPr>
        <w:spacing w:line="360" w:lineRule="auto"/>
        <w:rPr>
          <w:sz w:val="24"/>
        </w:rPr>
      </w:pPr>
      <w:r>
        <w:rPr>
          <w:sz w:val="24"/>
        </w:rPr>
        <w:t>签约日期：</w:t>
      </w:r>
    </w:p>
    <w:p w14:paraId="1ED13B1A">
      <w:pPr>
        <w:spacing w:line="360" w:lineRule="auto"/>
        <w:rPr>
          <w:sz w:val="24"/>
        </w:rPr>
      </w:pPr>
      <w:r>
        <w:rPr>
          <w:sz w:val="24"/>
        </w:rPr>
        <w:t>合同编号：</w:t>
      </w:r>
    </w:p>
    <w:p w14:paraId="72DCA047">
      <w:pPr>
        <w:spacing w:line="360" w:lineRule="auto"/>
        <w:rPr>
          <w:sz w:val="24"/>
        </w:rPr>
      </w:pPr>
    </w:p>
    <w:p w14:paraId="008EE89D">
      <w:pPr>
        <w:spacing w:line="360" w:lineRule="auto"/>
        <w:ind w:left="24"/>
        <w:rPr>
          <w:sz w:val="24"/>
        </w:rPr>
      </w:pPr>
      <w:r>
        <w:rPr>
          <w:rFonts w:hint="eastAsia"/>
          <w:sz w:val="24"/>
        </w:rPr>
        <w:t>甲</w:t>
      </w:r>
      <w:r>
        <w:rPr>
          <w:sz w:val="24"/>
        </w:rPr>
        <w:t>方（</w:t>
      </w:r>
      <w:r>
        <w:rPr>
          <w:rFonts w:hint="eastAsia"/>
          <w:sz w:val="24"/>
        </w:rPr>
        <w:t>买</w:t>
      </w:r>
      <w:r>
        <w:rPr>
          <w:sz w:val="24"/>
        </w:rPr>
        <w:t>方）：</w:t>
      </w:r>
    </w:p>
    <w:p w14:paraId="06EBD289">
      <w:pPr>
        <w:spacing w:line="360" w:lineRule="auto"/>
        <w:ind w:left="24"/>
        <w:rPr>
          <w:sz w:val="24"/>
        </w:rPr>
      </w:pPr>
      <w:r>
        <w:rPr>
          <w:sz w:val="24"/>
        </w:rPr>
        <w:t>地址：</w:t>
      </w:r>
    </w:p>
    <w:p w14:paraId="37C665BA">
      <w:pPr>
        <w:spacing w:line="360" w:lineRule="auto"/>
        <w:ind w:left="24"/>
        <w:rPr>
          <w:sz w:val="24"/>
        </w:rPr>
      </w:pPr>
      <w:r>
        <w:rPr>
          <w:sz w:val="24"/>
        </w:rPr>
        <w:t>电话：</w:t>
      </w:r>
    </w:p>
    <w:p w14:paraId="51A4A9AE">
      <w:pPr>
        <w:spacing w:line="360" w:lineRule="auto"/>
        <w:ind w:left="24"/>
        <w:rPr>
          <w:sz w:val="24"/>
        </w:rPr>
      </w:pPr>
    </w:p>
    <w:p w14:paraId="183841D1">
      <w:pPr>
        <w:spacing w:line="360" w:lineRule="auto"/>
        <w:ind w:left="24"/>
        <w:rPr>
          <w:sz w:val="24"/>
        </w:rPr>
      </w:pPr>
      <w:r>
        <w:rPr>
          <w:sz w:val="24"/>
        </w:rPr>
        <w:t>乙方（卖方）：</w:t>
      </w:r>
    </w:p>
    <w:p w14:paraId="56DEB0AB">
      <w:pPr>
        <w:spacing w:line="360" w:lineRule="auto"/>
        <w:ind w:left="24"/>
        <w:rPr>
          <w:sz w:val="24"/>
        </w:rPr>
      </w:pPr>
      <w:r>
        <w:rPr>
          <w:sz w:val="24"/>
        </w:rPr>
        <w:t>地址：</w:t>
      </w:r>
    </w:p>
    <w:p w14:paraId="39F9DD6D">
      <w:pPr>
        <w:spacing w:line="360" w:lineRule="auto"/>
        <w:ind w:left="24"/>
        <w:rPr>
          <w:sz w:val="24"/>
        </w:rPr>
      </w:pPr>
      <w:r>
        <w:rPr>
          <w:sz w:val="24"/>
        </w:rPr>
        <w:t>电话：</w:t>
      </w:r>
    </w:p>
    <w:p w14:paraId="20727C90">
      <w:pPr>
        <w:spacing w:line="360" w:lineRule="auto"/>
        <w:ind w:firstLine="480" w:firstLineChars="200"/>
        <w:rPr>
          <w:sz w:val="24"/>
          <w:u w:val="single"/>
        </w:rPr>
      </w:pPr>
    </w:p>
    <w:p w14:paraId="795F7E5E">
      <w:pPr>
        <w:spacing w:line="360" w:lineRule="auto"/>
        <w:ind w:firstLine="480" w:firstLineChars="200"/>
        <w:rPr>
          <w:sz w:val="24"/>
        </w:rPr>
      </w:pPr>
      <w:r>
        <w:rPr>
          <w:rFonts w:hint="eastAsia"/>
          <w:sz w:val="24"/>
          <w:u w:val="single"/>
        </w:rPr>
        <w:t>******</w:t>
      </w:r>
      <w:r>
        <w:rPr>
          <w:sz w:val="24"/>
        </w:rPr>
        <w:t>（以下简称甲方）与（以下简称乙方）就采购配送事宜，根据《中华人民共和国政府采购法》、</w:t>
      </w:r>
      <w:r>
        <w:rPr>
          <w:sz w:val="24"/>
        </w:rPr>
        <w:drawing>
          <wp:inline distT="0" distB="0" distL="0" distR="0">
            <wp:extent cx="12065" cy="2540"/>
            <wp:effectExtent l="0" t="0" r="0" b="0"/>
            <wp:docPr id="3917" name="Picture 3917"/>
            <wp:cNvGraphicFramePr/>
            <a:graphic xmlns:a="http://schemas.openxmlformats.org/drawingml/2006/main">
              <a:graphicData uri="http://schemas.openxmlformats.org/drawingml/2006/picture">
                <pic:pic xmlns:pic="http://schemas.openxmlformats.org/drawingml/2006/picture">
                  <pic:nvPicPr>
                    <pic:cNvPr id="3917" name="Picture 3917"/>
                    <pic:cNvPicPr/>
                  </pic:nvPicPr>
                  <pic:blipFill>
                    <a:blip r:embed="rId14"/>
                    <a:stretch>
                      <a:fillRect/>
                    </a:stretch>
                  </pic:blipFill>
                  <pic:spPr>
                    <a:xfrm>
                      <a:off x="0" y="0"/>
                      <a:ext cx="12192" cy="3048"/>
                    </a:xfrm>
                    <a:prstGeom prst="rect">
                      <a:avLst/>
                    </a:prstGeom>
                  </pic:spPr>
                </pic:pic>
              </a:graphicData>
            </a:graphic>
          </wp:inline>
        </w:drawing>
      </w:r>
      <w:r>
        <w:rPr>
          <w:sz w:val="24"/>
        </w:rPr>
        <w:t>《中华人民共和国民法典》等规定，本着平等、自愿、互利、互惠的原则，经各方协商一致，订立本合同。</w:t>
      </w:r>
    </w:p>
    <w:p w14:paraId="7D473616">
      <w:pPr>
        <w:spacing w:after="71" w:line="360" w:lineRule="auto"/>
        <w:ind w:right="14" w:firstLine="480" w:firstLineChars="200"/>
        <w:rPr>
          <w:sz w:val="24"/>
        </w:rPr>
      </w:pPr>
      <w:r>
        <w:rPr>
          <w:rFonts w:hint="eastAsia"/>
          <w:sz w:val="24"/>
        </w:rPr>
        <w:t>一、</w:t>
      </w:r>
      <w:r>
        <w:rPr>
          <w:sz w:val="24"/>
        </w:rPr>
        <w:t>采购物品名称</w:t>
      </w:r>
    </w:p>
    <w:p w14:paraId="2C9E2191">
      <w:pPr>
        <w:spacing w:line="360" w:lineRule="auto"/>
        <w:ind w:right="14" w:firstLine="480" w:firstLineChars="200"/>
        <w:rPr>
          <w:sz w:val="24"/>
        </w:rPr>
      </w:pPr>
      <w:r>
        <w:rPr>
          <w:rFonts w:hint="eastAsia"/>
          <w:sz w:val="24"/>
        </w:rPr>
        <w:t>1、</w:t>
      </w:r>
      <w:r>
        <w:rPr>
          <w:sz w:val="24"/>
        </w:rPr>
        <w:t>乙方提供的货物必须符合国家相关食品安全标准。</w:t>
      </w:r>
    </w:p>
    <w:p w14:paraId="4E472F71">
      <w:pPr>
        <w:spacing w:line="360" w:lineRule="auto"/>
        <w:ind w:right="14" w:firstLine="480" w:firstLineChars="200"/>
        <w:rPr>
          <w:sz w:val="24"/>
        </w:rPr>
      </w:pPr>
      <w:r>
        <w:rPr>
          <w:sz w:val="24"/>
        </w:rPr>
        <w:t>2</w:t>
      </w:r>
      <w:r>
        <w:rPr>
          <w:rFonts w:hint="eastAsia"/>
          <w:sz w:val="24"/>
        </w:rPr>
        <w:t>、</w:t>
      </w:r>
      <w:r>
        <w:rPr>
          <w:sz w:val="24"/>
        </w:rPr>
        <w:t>数量、规格、参数及价格：</w:t>
      </w:r>
    </w:p>
    <w:tbl>
      <w:tblPr>
        <w:tblStyle w:val="2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817"/>
        <w:gridCol w:w="1375"/>
        <w:gridCol w:w="2823"/>
        <w:gridCol w:w="2053"/>
      </w:tblGrid>
      <w:tr w14:paraId="6DEE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shd w:val="clear" w:color="auto" w:fill="auto"/>
            <w:vAlign w:val="center"/>
          </w:tcPr>
          <w:p w14:paraId="3B3E8397">
            <w:pPr>
              <w:jc w:val="center"/>
              <w:rPr>
                <w:sz w:val="24"/>
              </w:rPr>
            </w:pPr>
            <w:r>
              <w:rPr>
                <w:rFonts w:hint="eastAsia"/>
                <w:sz w:val="24"/>
              </w:rPr>
              <w:t>序号</w:t>
            </w:r>
          </w:p>
        </w:tc>
        <w:tc>
          <w:tcPr>
            <w:tcW w:w="1817" w:type="dxa"/>
            <w:shd w:val="clear" w:color="auto" w:fill="auto"/>
            <w:vAlign w:val="center"/>
          </w:tcPr>
          <w:p w14:paraId="660101CE">
            <w:pPr>
              <w:jc w:val="center"/>
              <w:rPr>
                <w:sz w:val="24"/>
              </w:rPr>
            </w:pPr>
            <w:r>
              <w:rPr>
                <w:rFonts w:hint="eastAsia"/>
                <w:sz w:val="24"/>
              </w:rPr>
              <w:t>品名</w:t>
            </w:r>
          </w:p>
        </w:tc>
        <w:tc>
          <w:tcPr>
            <w:tcW w:w="1375" w:type="dxa"/>
            <w:shd w:val="clear" w:color="auto" w:fill="auto"/>
            <w:vAlign w:val="center"/>
          </w:tcPr>
          <w:p w14:paraId="40DB896F">
            <w:pPr>
              <w:widowControl/>
              <w:jc w:val="center"/>
              <w:textAlignment w:val="center"/>
              <w:rPr>
                <w:sz w:val="24"/>
              </w:rPr>
            </w:pPr>
            <w:r>
              <w:rPr>
                <w:rFonts w:hint="eastAsia" w:ascii="宋体" w:hAnsi="宋体" w:cs="宋体"/>
                <w:kern w:val="0"/>
                <w:sz w:val="24"/>
                <w:lang w:bidi="ar"/>
              </w:rPr>
              <w:t>规格</w:t>
            </w:r>
          </w:p>
        </w:tc>
        <w:tc>
          <w:tcPr>
            <w:tcW w:w="2823" w:type="dxa"/>
            <w:shd w:val="clear" w:color="auto" w:fill="auto"/>
            <w:vAlign w:val="center"/>
          </w:tcPr>
          <w:p w14:paraId="16383081">
            <w:pPr>
              <w:widowControl/>
              <w:jc w:val="center"/>
              <w:textAlignment w:val="center"/>
              <w:rPr>
                <w:sz w:val="24"/>
              </w:rPr>
            </w:pPr>
            <w:r>
              <w:rPr>
                <w:rFonts w:hint="eastAsia" w:ascii="宋体" w:hAnsi="宋体" w:cs="宋体"/>
                <w:kern w:val="0"/>
                <w:sz w:val="24"/>
                <w:lang w:bidi="ar"/>
              </w:rPr>
              <w:t>最高限价（%或元）</w:t>
            </w:r>
          </w:p>
        </w:tc>
        <w:tc>
          <w:tcPr>
            <w:tcW w:w="2053" w:type="dxa"/>
            <w:vAlign w:val="center"/>
          </w:tcPr>
          <w:p w14:paraId="7B75A032">
            <w:pPr>
              <w:widowControl/>
              <w:jc w:val="center"/>
              <w:textAlignment w:val="center"/>
              <w:rPr>
                <w:rFonts w:ascii="宋体" w:hAnsi="宋体" w:cs="宋体"/>
                <w:kern w:val="0"/>
                <w:sz w:val="24"/>
                <w:lang w:bidi="ar"/>
              </w:rPr>
            </w:pPr>
            <w:r>
              <w:rPr>
                <w:rFonts w:hint="eastAsia" w:cs="宋体"/>
                <w:kern w:val="0"/>
                <w:sz w:val="24"/>
                <w:lang w:bidi="ar"/>
              </w:rPr>
              <w:t>中标价（元）</w:t>
            </w:r>
          </w:p>
        </w:tc>
      </w:tr>
      <w:tr w14:paraId="2BA9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87" w:type="dxa"/>
            <w:shd w:val="clear" w:color="auto" w:fill="auto"/>
            <w:vAlign w:val="center"/>
          </w:tcPr>
          <w:p w14:paraId="4F19DF00">
            <w:pPr>
              <w:jc w:val="center"/>
              <w:rPr>
                <w:sz w:val="24"/>
              </w:rPr>
            </w:pPr>
            <w:r>
              <w:rPr>
                <w:rFonts w:hint="eastAsia"/>
                <w:sz w:val="24"/>
              </w:rPr>
              <w:t>1</w:t>
            </w:r>
          </w:p>
        </w:tc>
        <w:tc>
          <w:tcPr>
            <w:tcW w:w="1817" w:type="dxa"/>
            <w:shd w:val="clear" w:color="auto" w:fill="auto"/>
            <w:vAlign w:val="center"/>
          </w:tcPr>
          <w:p w14:paraId="23F6AB1E">
            <w:pPr>
              <w:widowControl/>
              <w:jc w:val="center"/>
              <w:textAlignment w:val="center"/>
              <w:rPr>
                <w:sz w:val="24"/>
              </w:rPr>
            </w:pPr>
          </w:p>
        </w:tc>
        <w:tc>
          <w:tcPr>
            <w:tcW w:w="1375" w:type="dxa"/>
            <w:shd w:val="clear" w:color="auto" w:fill="auto"/>
            <w:vAlign w:val="center"/>
          </w:tcPr>
          <w:p w14:paraId="0FCA01E3">
            <w:pPr>
              <w:widowControl/>
              <w:jc w:val="center"/>
              <w:textAlignment w:val="center"/>
              <w:rPr>
                <w:sz w:val="24"/>
              </w:rPr>
            </w:pPr>
          </w:p>
        </w:tc>
        <w:tc>
          <w:tcPr>
            <w:tcW w:w="2823" w:type="dxa"/>
            <w:shd w:val="clear" w:color="auto" w:fill="auto"/>
            <w:vAlign w:val="center"/>
          </w:tcPr>
          <w:p w14:paraId="0E8F5395">
            <w:pPr>
              <w:widowControl/>
              <w:jc w:val="center"/>
              <w:textAlignment w:val="center"/>
              <w:rPr>
                <w:sz w:val="24"/>
              </w:rPr>
            </w:pPr>
          </w:p>
        </w:tc>
        <w:tc>
          <w:tcPr>
            <w:tcW w:w="2053" w:type="dxa"/>
            <w:vAlign w:val="center"/>
          </w:tcPr>
          <w:p w14:paraId="3D4040A5">
            <w:pPr>
              <w:widowControl/>
              <w:jc w:val="center"/>
              <w:textAlignment w:val="center"/>
              <w:rPr>
                <w:kern w:val="0"/>
                <w:sz w:val="24"/>
                <w:lang w:bidi="ar"/>
              </w:rPr>
            </w:pPr>
          </w:p>
        </w:tc>
      </w:tr>
      <w:tr w14:paraId="7671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shd w:val="clear" w:color="auto" w:fill="auto"/>
            <w:vAlign w:val="center"/>
          </w:tcPr>
          <w:p w14:paraId="7645306C">
            <w:pPr>
              <w:jc w:val="center"/>
              <w:rPr>
                <w:sz w:val="24"/>
              </w:rPr>
            </w:pPr>
            <w:r>
              <w:rPr>
                <w:rFonts w:hint="eastAsia"/>
                <w:sz w:val="24"/>
              </w:rPr>
              <w:t>2</w:t>
            </w:r>
          </w:p>
        </w:tc>
        <w:tc>
          <w:tcPr>
            <w:tcW w:w="1817" w:type="dxa"/>
            <w:shd w:val="clear" w:color="auto" w:fill="auto"/>
            <w:vAlign w:val="center"/>
          </w:tcPr>
          <w:p w14:paraId="072F3389">
            <w:pPr>
              <w:widowControl/>
              <w:jc w:val="center"/>
              <w:textAlignment w:val="center"/>
              <w:rPr>
                <w:sz w:val="24"/>
              </w:rPr>
            </w:pPr>
          </w:p>
        </w:tc>
        <w:tc>
          <w:tcPr>
            <w:tcW w:w="1375" w:type="dxa"/>
            <w:shd w:val="clear" w:color="auto" w:fill="auto"/>
            <w:vAlign w:val="center"/>
          </w:tcPr>
          <w:p w14:paraId="488E5F1F">
            <w:pPr>
              <w:widowControl/>
              <w:jc w:val="center"/>
              <w:textAlignment w:val="center"/>
              <w:rPr>
                <w:sz w:val="24"/>
              </w:rPr>
            </w:pPr>
          </w:p>
        </w:tc>
        <w:tc>
          <w:tcPr>
            <w:tcW w:w="2823" w:type="dxa"/>
            <w:shd w:val="clear" w:color="auto" w:fill="auto"/>
            <w:vAlign w:val="center"/>
          </w:tcPr>
          <w:p w14:paraId="339597EC">
            <w:pPr>
              <w:widowControl/>
              <w:jc w:val="center"/>
              <w:textAlignment w:val="center"/>
              <w:rPr>
                <w:sz w:val="24"/>
              </w:rPr>
            </w:pPr>
          </w:p>
        </w:tc>
        <w:tc>
          <w:tcPr>
            <w:tcW w:w="2053" w:type="dxa"/>
            <w:vAlign w:val="center"/>
          </w:tcPr>
          <w:p w14:paraId="6139A891">
            <w:pPr>
              <w:widowControl/>
              <w:jc w:val="center"/>
              <w:textAlignment w:val="center"/>
              <w:rPr>
                <w:kern w:val="0"/>
                <w:sz w:val="24"/>
                <w:lang w:bidi="ar"/>
              </w:rPr>
            </w:pPr>
          </w:p>
        </w:tc>
      </w:tr>
      <w:tr w14:paraId="0828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shd w:val="clear" w:color="auto" w:fill="auto"/>
          </w:tcPr>
          <w:p w14:paraId="4AC08653">
            <w:pPr>
              <w:jc w:val="center"/>
              <w:rPr>
                <w:sz w:val="24"/>
              </w:rPr>
            </w:pPr>
            <w:r>
              <w:rPr>
                <w:rFonts w:hint="eastAsia"/>
                <w:sz w:val="24"/>
              </w:rPr>
              <w:t>3</w:t>
            </w:r>
          </w:p>
        </w:tc>
        <w:tc>
          <w:tcPr>
            <w:tcW w:w="1817" w:type="dxa"/>
            <w:shd w:val="clear" w:color="auto" w:fill="auto"/>
            <w:vAlign w:val="center"/>
          </w:tcPr>
          <w:p w14:paraId="68A6108D">
            <w:pPr>
              <w:widowControl/>
              <w:jc w:val="center"/>
              <w:textAlignment w:val="center"/>
              <w:rPr>
                <w:sz w:val="24"/>
              </w:rPr>
            </w:pPr>
          </w:p>
        </w:tc>
        <w:tc>
          <w:tcPr>
            <w:tcW w:w="1375" w:type="dxa"/>
            <w:shd w:val="clear" w:color="auto" w:fill="auto"/>
            <w:vAlign w:val="center"/>
          </w:tcPr>
          <w:p w14:paraId="2562AB99">
            <w:pPr>
              <w:widowControl/>
              <w:jc w:val="center"/>
              <w:textAlignment w:val="center"/>
              <w:rPr>
                <w:sz w:val="24"/>
              </w:rPr>
            </w:pPr>
          </w:p>
        </w:tc>
        <w:tc>
          <w:tcPr>
            <w:tcW w:w="2823" w:type="dxa"/>
            <w:shd w:val="clear" w:color="auto" w:fill="auto"/>
            <w:vAlign w:val="center"/>
          </w:tcPr>
          <w:p w14:paraId="1C7F6483">
            <w:pPr>
              <w:widowControl/>
              <w:jc w:val="center"/>
              <w:textAlignment w:val="center"/>
              <w:rPr>
                <w:sz w:val="24"/>
              </w:rPr>
            </w:pPr>
          </w:p>
        </w:tc>
        <w:tc>
          <w:tcPr>
            <w:tcW w:w="2053" w:type="dxa"/>
            <w:vAlign w:val="center"/>
          </w:tcPr>
          <w:p w14:paraId="172F622D">
            <w:pPr>
              <w:widowControl/>
              <w:jc w:val="center"/>
              <w:textAlignment w:val="center"/>
              <w:rPr>
                <w:kern w:val="0"/>
                <w:sz w:val="24"/>
                <w:lang w:bidi="ar"/>
              </w:rPr>
            </w:pPr>
          </w:p>
        </w:tc>
      </w:tr>
      <w:tr w14:paraId="3E5E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shd w:val="clear" w:color="auto" w:fill="auto"/>
          </w:tcPr>
          <w:p w14:paraId="4AECBAE2">
            <w:pPr>
              <w:jc w:val="center"/>
              <w:rPr>
                <w:sz w:val="24"/>
              </w:rPr>
            </w:pPr>
            <w:r>
              <w:rPr>
                <w:rFonts w:hint="eastAsia"/>
                <w:sz w:val="24"/>
              </w:rPr>
              <w:t>4</w:t>
            </w:r>
          </w:p>
        </w:tc>
        <w:tc>
          <w:tcPr>
            <w:tcW w:w="1817" w:type="dxa"/>
            <w:shd w:val="clear" w:color="auto" w:fill="auto"/>
            <w:vAlign w:val="center"/>
          </w:tcPr>
          <w:p w14:paraId="7AE7B170">
            <w:pPr>
              <w:widowControl/>
              <w:jc w:val="center"/>
              <w:textAlignment w:val="center"/>
              <w:rPr>
                <w:rFonts w:ascii="宋体" w:hAnsi="宋体" w:cs="宋体"/>
                <w:kern w:val="0"/>
                <w:sz w:val="24"/>
                <w:lang w:bidi="ar"/>
              </w:rPr>
            </w:pPr>
          </w:p>
        </w:tc>
        <w:tc>
          <w:tcPr>
            <w:tcW w:w="1375" w:type="dxa"/>
            <w:shd w:val="clear" w:color="auto" w:fill="auto"/>
            <w:vAlign w:val="center"/>
          </w:tcPr>
          <w:p w14:paraId="13E86637">
            <w:pPr>
              <w:widowControl/>
              <w:jc w:val="center"/>
              <w:textAlignment w:val="center"/>
              <w:rPr>
                <w:kern w:val="0"/>
                <w:sz w:val="24"/>
                <w:lang w:bidi="ar"/>
              </w:rPr>
            </w:pPr>
          </w:p>
        </w:tc>
        <w:tc>
          <w:tcPr>
            <w:tcW w:w="2823" w:type="dxa"/>
            <w:shd w:val="clear" w:color="auto" w:fill="auto"/>
            <w:vAlign w:val="center"/>
          </w:tcPr>
          <w:p w14:paraId="08E6AB14">
            <w:pPr>
              <w:widowControl/>
              <w:jc w:val="center"/>
              <w:textAlignment w:val="center"/>
              <w:rPr>
                <w:kern w:val="0"/>
                <w:sz w:val="24"/>
                <w:lang w:bidi="ar"/>
              </w:rPr>
            </w:pPr>
          </w:p>
        </w:tc>
        <w:tc>
          <w:tcPr>
            <w:tcW w:w="2053" w:type="dxa"/>
            <w:vAlign w:val="center"/>
          </w:tcPr>
          <w:p w14:paraId="04641438">
            <w:pPr>
              <w:widowControl/>
              <w:jc w:val="center"/>
              <w:textAlignment w:val="center"/>
              <w:rPr>
                <w:kern w:val="0"/>
                <w:sz w:val="24"/>
                <w:lang w:bidi="ar"/>
              </w:rPr>
            </w:pPr>
          </w:p>
        </w:tc>
      </w:tr>
    </w:tbl>
    <w:p w14:paraId="4EC8229B">
      <w:pPr>
        <w:spacing w:after="122" w:line="360" w:lineRule="auto"/>
        <w:ind w:right="14" w:firstLine="480" w:firstLineChars="200"/>
        <w:rPr>
          <w:sz w:val="24"/>
        </w:rPr>
      </w:pPr>
      <w:r>
        <w:rPr>
          <w:rFonts w:hint="eastAsia"/>
          <w:sz w:val="24"/>
        </w:rPr>
        <w:t>3、</w:t>
      </w:r>
      <w:r>
        <w:rPr>
          <w:sz w:val="24"/>
        </w:rPr>
        <w:t>本合同作为今后供货执行单价，以上供货价格系指包括全部货品、税费、包装费、运输、装卸等费用，以及己支付或将支付的营业税和其它税费等所有费用。合同总额按照甲方实际采购且验收合格的数量结合上述供货单价进行结算。</w:t>
      </w:r>
    </w:p>
    <w:p w14:paraId="1AC24E02">
      <w:pPr>
        <w:spacing w:line="360" w:lineRule="auto"/>
        <w:ind w:right="14" w:firstLine="480" w:firstLineChars="200"/>
        <w:rPr>
          <w:sz w:val="24"/>
        </w:rPr>
      </w:pPr>
      <w:r>
        <w:rPr>
          <w:rFonts w:hint="eastAsia"/>
          <w:sz w:val="24"/>
        </w:rPr>
        <w:t>4、</w:t>
      </w:r>
      <w:r>
        <w:rPr>
          <w:sz w:val="24"/>
        </w:rPr>
        <w:t>价格清单表是基于乙方在完全理解本项目所需为前提，甲方对清单中的名称、规格、技术参数及数量等有校对的义务，且每批货物价格</w:t>
      </w:r>
      <w:r>
        <w:rPr>
          <w:rFonts w:hint="eastAsia"/>
          <w:sz w:val="24"/>
        </w:rPr>
        <w:t>以合同约定</w:t>
      </w:r>
      <w:r>
        <w:rPr>
          <w:sz w:val="24"/>
        </w:rPr>
        <w:t>价格为准，乙方在合同有效期内不得对清单的综合费用提出任何费用的增加。实际供货数量以甲方通知乙方配送到位的</w:t>
      </w:r>
      <w:r>
        <w:rPr>
          <w:rFonts w:hint="eastAsia"/>
          <w:sz w:val="24"/>
        </w:rPr>
        <w:t>净重</w:t>
      </w:r>
      <w:r>
        <w:rPr>
          <w:sz w:val="24"/>
        </w:rPr>
        <w:t>数量为准，结算数量按照甲方对货物称重</w:t>
      </w:r>
      <w:r>
        <w:rPr>
          <w:rFonts w:hint="eastAsia"/>
          <w:sz w:val="24"/>
        </w:rPr>
        <w:t>并清点合格</w:t>
      </w:r>
      <w:r>
        <w:rPr>
          <w:sz w:val="24"/>
        </w:rPr>
        <w:t>后的</w:t>
      </w:r>
      <w:r>
        <w:rPr>
          <w:rFonts w:hint="eastAsia"/>
          <w:sz w:val="24"/>
        </w:rPr>
        <w:t>净重</w:t>
      </w:r>
      <w:r>
        <w:rPr>
          <w:sz w:val="24"/>
        </w:rPr>
        <w:t>数量进行结算。</w:t>
      </w:r>
    </w:p>
    <w:p w14:paraId="7FD92618">
      <w:pPr>
        <w:spacing w:line="360" w:lineRule="auto"/>
        <w:ind w:right="14" w:firstLine="480" w:firstLineChars="200"/>
        <w:rPr>
          <w:sz w:val="24"/>
        </w:rPr>
      </w:pPr>
      <w:r>
        <w:rPr>
          <w:rFonts w:hint="eastAsia"/>
          <w:sz w:val="24"/>
        </w:rPr>
        <w:t>结算单价=供货当日对应品类基准价×乙方中标折扣率，其中基准价确认规则为：供货当日北园春官网（http://www.beiyuanchun.com/）公布的同品类中间价为基准价。</w:t>
      </w:r>
    </w:p>
    <w:p w14:paraId="34E50E14">
      <w:pPr>
        <w:spacing w:line="360" w:lineRule="auto"/>
        <w:ind w:right="14" w:firstLine="480" w:firstLineChars="200"/>
        <w:rPr>
          <w:sz w:val="24"/>
        </w:rPr>
      </w:pPr>
      <w:r>
        <w:rPr>
          <w:rFonts w:hint="eastAsia"/>
          <w:sz w:val="24"/>
        </w:rPr>
        <w:t>5、</w:t>
      </w:r>
      <w:r>
        <w:rPr>
          <w:sz w:val="24"/>
        </w:rPr>
        <w:t>根据</w:t>
      </w:r>
      <w:r>
        <w:rPr>
          <w:rFonts w:hint="eastAsia"/>
          <w:sz w:val="24"/>
        </w:rPr>
        <w:t>卫生防疫</w:t>
      </w:r>
      <w:r>
        <w:rPr>
          <w:sz w:val="24"/>
        </w:rPr>
        <w:t>需要，乙方有责任配合甲方做好人员、车辆等</w:t>
      </w:r>
      <w:r>
        <w:rPr>
          <w:rFonts w:hint="eastAsia"/>
          <w:sz w:val="24"/>
        </w:rPr>
        <w:t>卫生</w:t>
      </w:r>
      <w:r>
        <w:rPr>
          <w:sz w:val="24"/>
        </w:rPr>
        <w:t>防控检测的要求。</w:t>
      </w:r>
    </w:p>
    <w:p w14:paraId="5C76CC15">
      <w:pPr>
        <w:spacing w:line="360" w:lineRule="auto"/>
        <w:ind w:right="14" w:firstLine="480" w:firstLineChars="200"/>
        <w:rPr>
          <w:sz w:val="24"/>
        </w:rPr>
      </w:pPr>
      <w:r>
        <w:rPr>
          <w:rFonts w:hint="eastAsia"/>
          <w:sz w:val="24"/>
        </w:rPr>
        <w:t>6、</w:t>
      </w:r>
      <w:r>
        <w:rPr>
          <w:sz w:val="24"/>
        </w:rPr>
        <w:t>本合同有效期为:1年，自双方签字盖章后开始起算。自签订合同后，服务期1年。</w:t>
      </w:r>
    </w:p>
    <w:p w14:paraId="66FACAD5">
      <w:pPr>
        <w:pStyle w:val="2"/>
        <w:ind w:firstLine="480"/>
        <w:rPr>
          <w:color w:val="FF0000"/>
          <w:sz w:val="24"/>
        </w:rPr>
      </w:pPr>
      <w:r>
        <w:rPr>
          <w:rFonts w:hint="eastAsia"/>
          <w:sz w:val="24"/>
        </w:rPr>
        <w:t>保密</w:t>
      </w:r>
    </w:p>
    <w:p w14:paraId="48FDC264">
      <w:pPr>
        <w:pStyle w:val="2"/>
        <w:ind w:firstLine="480"/>
      </w:pPr>
      <w:r>
        <w:rPr>
          <w:rFonts w:hint="eastAsia"/>
          <w:sz w:val="24"/>
        </w:rPr>
        <w:t>双方应对在订立及履行本合同过程中知悉的对方未公开的信息（包括但不限于技术信息、经营信息、采购预算、成交价格等）予以保密，未经对方书面同意，不得向任何第三方泄露，亦不得用于本合同目的之外的任何用途。此保密义务不因本合同的解除或终止而失效。</w:t>
      </w:r>
    </w:p>
    <w:p w14:paraId="1046FFDF">
      <w:pPr>
        <w:spacing w:line="360" w:lineRule="auto"/>
        <w:ind w:right="14" w:firstLine="480" w:firstLineChars="200"/>
        <w:rPr>
          <w:sz w:val="24"/>
        </w:rPr>
      </w:pPr>
      <w:r>
        <w:rPr>
          <w:rFonts w:hint="eastAsia"/>
          <w:sz w:val="24"/>
        </w:rPr>
        <w:t>二</w:t>
      </w:r>
      <w:r>
        <w:rPr>
          <w:sz w:val="24"/>
        </w:rPr>
        <w:t>、质量保证</w:t>
      </w:r>
    </w:p>
    <w:p w14:paraId="71F3617D">
      <w:pPr>
        <w:spacing w:line="360" w:lineRule="auto"/>
        <w:ind w:right="14" w:firstLine="480" w:firstLineChars="200"/>
        <w:rPr>
          <w:sz w:val="24"/>
        </w:rPr>
      </w:pPr>
      <w:r>
        <w:rPr>
          <w:sz w:val="24"/>
        </w:rPr>
        <w:t>1、乙方保证提供本合同项下的货物符合国家质量安全标准及招</w:t>
      </w:r>
      <w:r>
        <w:rPr>
          <w:rFonts w:hint="eastAsia"/>
          <w:sz w:val="24"/>
        </w:rPr>
        <w:t>投标文件</w:t>
      </w:r>
      <w:r>
        <w:rPr>
          <w:sz w:val="24"/>
        </w:rPr>
        <w:t>、答疑附件的质量要求，干净卫生、</w:t>
      </w:r>
      <w:r>
        <w:rPr>
          <w:rFonts w:hint="eastAsia"/>
          <w:sz w:val="24"/>
        </w:rPr>
        <w:t>新鲜、</w:t>
      </w:r>
      <w:r>
        <w:rPr>
          <w:sz w:val="24"/>
        </w:rPr>
        <w:t>无杂质，无过期、变质、腐烂、以假充真、以次充好等现象，并保证其销售的产品不存在有造成甲方或任何第三人人身损害的现实或潜在的危险；若因此造成任何损失，由乙方承担全部赔偿责任</w:t>
      </w:r>
      <w:r>
        <w:rPr>
          <w:rFonts w:hint="eastAsia"/>
          <w:sz w:val="24"/>
        </w:rPr>
        <w:t>及违约责任</w:t>
      </w:r>
      <w:r>
        <w:rPr>
          <w:sz w:val="24"/>
        </w:rPr>
        <w:t>。</w:t>
      </w:r>
      <w:r>
        <w:rPr>
          <w:rFonts w:hint="eastAsia"/>
          <w:sz w:val="24"/>
        </w:rPr>
        <w:t>乙方应承担因商品不符合上述标准导致甲方直接损失的赔偿责任。</w:t>
      </w:r>
    </w:p>
    <w:p w14:paraId="15D1DBB2">
      <w:pPr>
        <w:spacing w:line="360" w:lineRule="auto"/>
        <w:ind w:right="14" w:firstLine="480" w:firstLineChars="200"/>
        <w:rPr>
          <w:sz w:val="24"/>
        </w:rPr>
      </w:pPr>
      <w:r>
        <w:rPr>
          <w:sz w:val="24"/>
        </w:rPr>
        <w:t>2</w:t>
      </w:r>
      <w:r>
        <w:rPr>
          <w:rFonts w:hint="eastAsia"/>
          <w:sz w:val="24"/>
        </w:rPr>
        <w:t>、</w:t>
      </w:r>
      <w:r>
        <w:rPr>
          <w:sz w:val="24"/>
        </w:rPr>
        <w:t>食品来源安全可靠，产品质量必须符合国家质量标准。</w:t>
      </w:r>
    </w:p>
    <w:p w14:paraId="467DCA67">
      <w:pPr>
        <w:spacing w:after="3" w:line="360" w:lineRule="auto"/>
        <w:ind w:right="14" w:firstLine="480" w:firstLineChars="200"/>
        <w:rPr>
          <w:sz w:val="24"/>
        </w:rPr>
      </w:pPr>
      <w:r>
        <w:rPr>
          <w:sz w:val="24"/>
        </w:rPr>
        <w:t>3</w:t>
      </w:r>
      <w:r>
        <w:rPr>
          <w:rFonts w:hint="eastAsia"/>
          <w:sz w:val="24"/>
        </w:rPr>
        <w:t>、</w:t>
      </w:r>
      <w:r>
        <w:rPr>
          <w:sz w:val="24"/>
        </w:rPr>
        <w:t>乙方应保证其配送的每一个批次的货物符合上述质量标准及相应的安全标准。提供所需证件及产品检验报告单。在实施中甲方将核实乙方投标书中的产品质量标准、检验报告、QS标志与实际供货的产品的质量标准、检验报告、QS标志是否一致，如发现</w:t>
      </w:r>
      <w:r>
        <w:rPr>
          <w:rFonts w:hint="eastAsia"/>
          <w:sz w:val="24"/>
        </w:rPr>
        <w:t>不一致</w:t>
      </w:r>
      <w:r>
        <w:rPr>
          <w:sz w:val="24"/>
        </w:rPr>
        <w:t>，甲方</w:t>
      </w:r>
      <w:r>
        <w:rPr>
          <w:rFonts w:hint="eastAsia"/>
          <w:sz w:val="24"/>
        </w:rPr>
        <w:t>有权立即单方解除合同，扣除</w:t>
      </w:r>
      <w:r>
        <w:rPr>
          <w:sz w:val="24"/>
        </w:rPr>
        <w:t>乙方</w:t>
      </w:r>
      <w:r>
        <w:rPr>
          <w:rFonts w:hint="eastAsia"/>
          <w:sz w:val="24"/>
        </w:rPr>
        <w:t>全额履约保证金</w:t>
      </w:r>
      <w:r>
        <w:rPr>
          <w:sz w:val="24"/>
        </w:rPr>
        <w:t>，并</w:t>
      </w:r>
      <w:r>
        <w:rPr>
          <w:rFonts w:hint="eastAsia"/>
          <w:sz w:val="24"/>
        </w:rPr>
        <w:t>追究乙方的全部违约责任和赔偿责任</w:t>
      </w:r>
      <w:r>
        <w:rPr>
          <w:sz w:val="24"/>
        </w:rPr>
        <w:t>。</w:t>
      </w:r>
    </w:p>
    <w:p w14:paraId="76FFC5A5">
      <w:pPr>
        <w:spacing w:after="87" w:line="360" w:lineRule="auto"/>
        <w:ind w:right="14" w:firstLine="480" w:firstLineChars="200"/>
        <w:rPr>
          <w:sz w:val="24"/>
        </w:rPr>
      </w:pPr>
      <w:r>
        <w:rPr>
          <w:rFonts w:hint="eastAsia"/>
          <w:sz w:val="24"/>
        </w:rPr>
        <w:t>4、</w:t>
      </w:r>
      <w:r>
        <w:rPr>
          <w:sz w:val="24"/>
        </w:rPr>
        <w:t>乙方需在本合同签署之日向甲方提供各种有效证照的复印件（需加盖乙方公章），包括但不限于：营业执照、食品</w:t>
      </w:r>
      <w:r>
        <w:rPr>
          <w:rFonts w:hint="eastAsia"/>
          <w:sz w:val="24"/>
        </w:rPr>
        <w:t>经营</w:t>
      </w:r>
      <w:r>
        <w:rPr>
          <w:sz w:val="24"/>
        </w:rPr>
        <w:t>许可证、产品质量检验报告等与食品销售要求的相关资质证明，否则，甲方有权</w:t>
      </w:r>
      <w:r>
        <w:rPr>
          <w:rFonts w:hint="eastAsia"/>
          <w:sz w:val="24"/>
        </w:rPr>
        <w:t>解除合同</w:t>
      </w:r>
      <w:r>
        <w:rPr>
          <w:sz w:val="24"/>
        </w:rPr>
        <w:t>且不承担违约责任。在本合同有效期内，乙方必须保证上述各类证照始终处于合法、有效状态</w:t>
      </w:r>
      <w:r>
        <w:rPr>
          <w:rFonts w:hint="eastAsia"/>
          <w:sz w:val="24"/>
        </w:rPr>
        <w:t>，乙方如不按上述要求提供，或乙方在合同期限内相关证照被吊销、注销、过期失效等，甲方有权解除合同并将追究乙方的违约责任和赔偿责任。乙方承诺所有提供的证照在合同有效期内持续合法有效，若证照发生变更、吊销、过期等情形，乙方需提前</w:t>
      </w:r>
      <w:r>
        <w:rPr>
          <w:sz w:val="24"/>
        </w:rPr>
        <w:t>7</w:t>
      </w:r>
      <w:r>
        <w:rPr>
          <w:rFonts w:hint="eastAsia"/>
          <w:sz w:val="24"/>
        </w:rPr>
        <w:t>个工作日以书面形式通知甲方。乙方</w:t>
      </w:r>
      <w:r>
        <w:rPr>
          <w:sz w:val="24"/>
        </w:rPr>
        <w:t>每批次</w:t>
      </w:r>
      <w:r>
        <w:rPr>
          <w:rFonts w:hint="eastAsia"/>
          <w:sz w:val="24"/>
        </w:rPr>
        <w:t>货品</w:t>
      </w:r>
      <w:r>
        <w:rPr>
          <w:sz w:val="24"/>
        </w:rPr>
        <w:t>提供所需证件及产品检验报告单</w:t>
      </w:r>
      <w:r>
        <w:rPr>
          <w:rFonts w:hint="eastAsia"/>
          <w:sz w:val="24"/>
        </w:rPr>
        <w:t>，否则甲方有权单方终止合同，同时扣除乙方全额履约保证金。</w:t>
      </w:r>
    </w:p>
    <w:p w14:paraId="6C64BD5B">
      <w:pPr>
        <w:pStyle w:val="2"/>
        <w:ind w:firstLine="480"/>
      </w:pPr>
      <w:r>
        <w:rPr>
          <w:rFonts w:hint="eastAsia"/>
          <w:sz w:val="24"/>
        </w:rPr>
        <w:t>乙方需对所提供的所有证照复印件与原件的一致性负责，若复印件与原件不一致，视为乙方违约，甲方有权扣除乙方10%的履约保证金。</w:t>
      </w:r>
    </w:p>
    <w:p w14:paraId="593044CF">
      <w:pPr>
        <w:spacing w:after="136" w:line="360" w:lineRule="auto"/>
        <w:ind w:right="14" w:firstLine="480" w:firstLineChars="200"/>
        <w:rPr>
          <w:sz w:val="24"/>
        </w:rPr>
      </w:pPr>
      <w:r>
        <w:rPr>
          <w:rFonts w:hint="eastAsia"/>
          <w:sz w:val="24"/>
        </w:rPr>
        <w:t>5、</w:t>
      </w:r>
      <w:bookmarkStart w:id="13" w:name="auto_fouce_17"/>
      <w:r>
        <w:rPr>
          <w:rFonts w:hint="eastAsia"/>
          <w:sz w:val="24"/>
        </w:rPr>
        <w:t>本合同有效期为</w:t>
      </w:r>
      <w:r>
        <w:rPr>
          <w:sz w:val="24"/>
        </w:rPr>
        <w:t>:1</w:t>
      </w:r>
      <w:r>
        <w:rPr>
          <w:rFonts w:hint="eastAsia"/>
          <w:sz w:val="24"/>
        </w:rPr>
        <w:t>年，自双方签字盖章后开始起算。自签订合同后，服务期</w:t>
      </w:r>
      <w:r>
        <w:rPr>
          <w:sz w:val="24"/>
        </w:rPr>
        <w:t>1</w:t>
      </w:r>
      <w:r>
        <w:rPr>
          <w:rFonts w:hint="eastAsia"/>
          <w:sz w:val="24"/>
        </w:rPr>
        <w:t>年。</w:t>
      </w:r>
    </w:p>
    <w:p w14:paraId="4B72DF58">
      <w:pPr>
        <w:spacing w:after="136" w:line="360" w:lineRule="auto"/>
        <w:ind w:right="14" w:firstLine="480" w:firstLineChars="200"/>
        <w:rPr>
          <w:color w:val="FF0000"/>
          <w:sz w:val="24"/>
        </w:rPr>
      </w:pPr>
      <w:r>
        <w:rPr>
          <w:rFonts w:hint="eastAsia"/>
          <w:sz w:val="24"/>
        </w:rPr>
        <w:t>合同变更</w:t>
      </w:r>
    </w:p>
    <w:p w14:paraId="22B8A89E">
      <w:pPr>
        <w:spacing w:after="136" w:line="360" w:lineRule="auto"/>
        <w:ind w:right="14" w:firstLine="480" w:firstLineChars="200"/>
        <w:rPr>
          <w:sz w:val="24"/>
        </w:rPr>
      </w:pPr>
      <w:r>
        <w:rPr>
          <w:rFonts w:hint="eastAsia"/>
          <w:sz w:val="24"/>
        </w:rPr>
        <w:t>本合同履行期间，甲方有权根据实际需求调整采购计划（包括品种、数量及供货时间），并提前通知乙方。因甲方调整计划导致乙方履约成本发生显著变化的，双方应就合同价格等条款的调整进行友好协商。</w:t>
      </w:r>
    </w:p>
    <w:p w14:paraId="3DC7E673">
      <w:pPr>
        <w:spacing w:after="136" w:line="360" w:lineRule="auto"/>
        <w:ind w:right="14" w:firstLine="480" w:firstLineChars="200"/>
        <w:rPr>
          <w:color w:val="FF0000"/>
          <w:sz w:val="24"/>
        </w:rPr>
      </w:pPr>
      <w:r>
        <w:rPr>
          <w:rFonts w:hint="eastAsia"/>
          <w:sz w:val="24"/>
        </w:rPr>
        <w:t>合同解除</w:t>
      </w:r>
    </w:p>
    <w:p w14:paraId="79EAEB6B">
      <w:pPr>
        <w:spacing w:after="136" w:line="360" w:lineRule="auto"/>
        <w:ind w:right="14" w:firstLine="480" w:firstLineChars="200"/>
        <w:rPr>
          <w:color w:val="FF0000"/>
          <w:sz w:val="24"/>
        </w:rPr>
      </w:pPr>
      <w:r>
        <w:rPr>
          <w:rFonts w:hint="eastAsia"/>
          <w:sz w:val="24"/>
        </w:rPr>
        <w:t>除本合同其他条款约定的解除情形外，任何一方欲解除本合同，应提前30日书面通知对方。但因乙方提供的货物存在严重质量问题、乙方发生本合同约定的根本违约行为或法律法规规定的其他情形，甲方有权书面通知乙方立即解除合同。</w:t>
      </w:r>
      <w:r>
        <w:rPr>
          <w:rFonts w:hint="eastAsia"/>
          <w:color w:val="FF0000"/>
          <w:sz w:val="24"/>
        </w:rPr>
        <w:t xml:space="preserve"> </w:t>
      </w:r>
    </w:p>
    <w:p w14:paraId="5F72E8B2">
      <w:pPr>
        <w:pStyle w:val="2"/>
        <w:ind w:firstLine="480"/>
        <w:rPr>
          <w:color w:val="FF0000"/>
          <w:sz w:val="24"/>
        </w:rPr>
      </w:pPr>
      <w:r>
        <w:rPr>
          <w:rFonts w:hint="eastAsia"/>
          <w:sz w:val="24"/>
        </w:rPr>
        <w:t>指示与授权</w:t>
      </w:r>
    </w:p>
    <w:p w14:paraId="15316E05">
      <w:pPr>
        <w:pStyle w:val="2"/>
        <w:ind w:firstLine="480"/>
      </w:pPr>
      <w:r>
        <w:rPr>
          <w:rFonts w:hint="eastAsia"/>
          <w:sz w:val="24"/>
        </w:rPr>
        <w:t>甲方有权以书面形式（包括但不限于加盖公章的函件、经甲方指定联系人确认的订单等）向乙方发出与合同履行相关的指示，乙方应予执行。甲方指定【填写甲方项目联系人姓名】为本合同履行联系人，联系电话【填写甲方项目联系电话】。甲方变更联系人的，应书面通知乙方</w:t>
      </w:r>
    </w:p>
    <w:p w14:paraId="691BF5B6">
      <w:pPr>
        <w:spacing w:after="136" w:line="360" w:lineRule="auto"/>
        <w:ind w:right="14" w:firstLine="480" w:firstLineChars="200"/>
        <w:rPr>
          <w:sz w:val="24"/>
          <w:u w:val="single"/>
        </w:rPr>
      </w:pPr>
      <w:r>
        <w:rPr>
          <w:rFonts w:hint="eastAsia"/>
          <w:sz w:val="24"/>
        </w:rPr>
        <w:t>第一次出现该情况，甲方有权要求乙方支付本次订单货款总额等额的违约金，该违约金甲方可在结算货款时直接抵扣；第二次出现该情况，甲方有权单方解除合同，并扣除乙方全额履约保证金。</w:t>
      </w:r>
      <w:bookmarkEnd w:id="13"/>
    </w:p>
    <w:p w14:paraId="53D66E6A">
      <w:pPr>
        <w:spacing w:line="360" w:lineRule="auto"/>
        <w:ind w:right="14" w:firstLine="480" w:firstLineChars="200"/>
        <w:rPr>
          <w:sz w:val="24"/>
        </w:rPr>
      </w:pPr>
      <w:r>
        <w:rPr>
          <w:rFonts w:hint="eastAsia"/>
          <w:sz w:val="24"/>
        </w:rPr>
        <w:t>6、</w:t>
      </w:r>
      <w:r>
        <w:rPr>
          <w:sz w:val="24"/>
        </w:rPr>
        <w:t>如甲方应急临时需购货品，乙方必须按指定的品种、数量，</w:t>
      </w:r>
      <w:r>
        <w:rPr>
          <w:rFonts w:hint="eastAsia"/>
          <w:sz w:val="24"/>
        </w:rPr>
        <w:t>并保证货物符合国家相关食品安全标准，</w:t>
      </w:r>
      <w:r>
        <w:rPr>
          <w:sz w:val="24"/>
        </w:rPr>
        <w:t>在接到甲方的要货通知后24小时（最短时间）内及时送货</w:t>
      </w:r>
      <w:r>
        <w:rPr>
          <w:rFonts w:hint="eastAsia"/>
          <w:sz w:val="24"/>
        </w:rPr>
        <w:t>至甲方指定地点</w:t>
      </w:r>
      <w:r>
        <w:rPr>
          <w:sz w:val="24"/>
        </w:rPr>
        <w:t>，运输费用</w:t>
      </w:r>
      <w:r>
        <w:rPr>
          <w:rFonts w:hint="eastAsia"/>
          <w:sz w:val="24"/>
        </w:rPr>
        <w:t>由乙方承担</w:t>
      </w:r>
      <w:r>
        <w:rPr>
          <w:sz w:val="24"/>
        </w:rPr>
        <w:t>。</w:t>
      </w:r>
    </w:p>
    <w:p w14:paraId="31F45B29">
      <w:pPr>
        <w:spacing w:line="360" w:lineRule="auto"/>
        <w:ind w:right="14" w:firstLine="480" w:firstLineChars="200"/>
        <w:rPr>
          <w:sz w:val="24"/>
        </w:rPr>
      </w:pPr>
      <w:r>
        <w:rPr>
          <w:rFonts w:hint="eastAsia"/>
          <w:sz w:val="24"/>
        </w:rPr>
        <w:t>7、如乙方未能及时响应或解决甲方提出的质量、数量、配送等问题，甲方有权要求退换货、索赔或解除合同。</w:t>
      </w:r>
    </w:p>
    <w:p w14:paraId="1EB3707B">
      <w:pPr>
        <w:spacing w:line="360" w:lineRule="auto"/>
        <w:ind w:right="14" w:firstLine="480" w:firstLineChars="200"/>
        <w:rPr>
          <w:sz w:val="24"/>
        </w:rPr>
      </w:pPr>
      <w:r>
        <w:rPr>
          <w:rFonts w:hint="eastAsia"/>
          <w:sz w:val="24"/>
        </w:rPr>
        <w:t>8、乙方保证所供货物质量新鲜，由保质期约定的货品，乙方配送的货品质保期应在</w:t>
      </w:r>
      <w:r>
        <w:rPr>
          <w:rFonts w:hint="eastAsia"/>
          <w:sz w:val="24"/>
          <w:highlight w:val="yellow"/>
        </w:rPr>
        <w:t>80%</w:t>
      </w:r>
      <w:r>
        <w:rPr>
          <w:rFonts w:hint="eastAsia"/>
          <w:sz w:val="24"/>
        </w:rPr>
        <w:t>以上，否则甲方有权按照不符合合同约定要求退换货物。（如质保期为10个月的，供货时剩余的质保期应当大于或等于8个月）。</w:t>
      </w:r>
    </w:p>
    <w:p w14:paraId="68E699DA">
      <w:pPr>
        <w:spacing w:line="360" w:lineRule="auto"/>
        <w:ind w:right="14" w:firstLine="480" w:firstLineChars="200"/>
        <w:rPr>
          <w:sz w:val="24"/>
        </w:rPr>
      </w:pPr>
      <w:r>
        <w:rPr>
          <w:rFonts w:hint="eastAsia"/>
          <w:sz w:val="24"/>
        </w:rPr>
        <w:t>三、质量保证期</w:t>
      </w:r>
    </w:p>
    <w:p w14:paraId="0F2EF6A4">
      <w:pPr>
        <w:spacing w:line="360" w:lineRule="auto"/>
        <w:ind w:right="14" w:firstLine="480" w:firstLineChars="200"/>
        <w:rPr>
          <w:sz w:val="24"/>
        </w:rPr>
      </w:pPr>
      <w:r>
        <w:rPr>
          <w:rFonts w:hint="eastAsia"/>
          <w:sz w:val="24"/>
        </w:rPr>
        <w:t>1、在质量保证期内，因货物出现融化、变质、过期及其他质量问题等，乙方负责免费无条件更换。如遇疫情及不可抗拒因素，乙方货物质量不符合甲方标准要求，乙方负责无偿更换，退回货物暂由甲方保管，待甲方达到正常退回情况时，通知乙方退回，退回货物所产生的包装、运费等一切相关费用由乙方承担，如乙方在接到甲方通知后72小时内（或甲乙双方约定时间）未及时取回退货，甲方将按照废弃物处置。</w:t>
      </w:r>
    </w:p>
    <w:p w14:paraId="14F97E43">
      <w:pPr>
        <w:spacing w:line="360" w:lineRule="auto"/>
        <w:ind w:right="14" w:firstLine="480" w:firstLineChars="200"/>
        <w:rPr>
          <w:sz w:val="24"/>
        </w:rPr>
      </w:pPr>
      <w:r>
        <w:rPr>
          <w:rFonts w:hint="eastAsia"/>
          <w:sz w:val="24"/>
        </w:rPr>
        <w:t>2、</w:t>
      </w:r>
      <w:r>
        <w:rPr>
          <w:sz w:val="24"/>
        </w:rPr>
        <w:t>乙方未按甲方要求予以更换或</w:t>
      </w:r>
      <w:r>
        <w:rPr>
          <w:rFonts w:hint="eastAsia"/>
          <w:sz w:val="24"/>
        </w:rPr>
        <w:t>供货</w:t>
      </w:r>
      <w:r>
        <w:rPr>
          <w:sz w:val="24"/>
        </w:rPr>
        <w:t>，</w:t>
      </w:r>
      <w:r>
        <w:rPr>
          <w:rFonts w:hint="eastAsia"/>
          <w:sz w:val="24"/>
        </w:rPr>
        <w:t>甲方必须及时采购的情况下，</w:t>
      </w:r>
      <w:r>
        <w:rPr>
          <w:sz w:val="24"/>
        </w:rPr>
        <w:t>甲方有权另行采购其他商家同类货物，由此产生的</w:t>
      </w:r>
      <w:r>
        <w:rPr>
          <w:rFonts w:hint="eastAsia"/>
          <w:sz w:val="24"/>
        </w:rPr>
        <w:t>全部</w:t>
      </w:r>
      <w:r>
        <w:rPr>
          <w:sz w:val="24"/>
        </w:rPr>
        <w:t>费用</w:t>
      </w:r>
      <w:r>
        <w:rPr>
          <w:rFonts w:hint="eastAsia"/>
          <w:sz w:val="24"/>
        </w:rPr>
        <w:t>从</w:t>
      </w:r>
      <w:r>
        <w:rPr>
          <w:sz w:val="24"/>
        </w:rPr>
        <w:t>乙方</w:t>
      </w:r>
      <w:r>
        <w:rPr>
          <w:rFonts w:hint="eastAsia"/>
          <w:sz w:val="24"/>
        </w:rPr>
        <w:t>货款中扣除，并由乙方承担违约责任和赔偿责任</w:t>
      </w:r>
      <w:r>
        <w:rPr>
          <w:sz w:val="24"/>
        </w:rPr>
        <w:t>。</w:t>
      </w:r>
    </w:p>
    <w:p w14:paraId="1C6D914B">
      <w:pPr>
        <w:spacing w:line="360" w:lineRule="auto"/>
        <w:ind w:right="14" w:firstLine="480" w:firstLineChars="200"/>
        <w:rPr>
          <w:sz w:val="24"/>
        </w:rPr>
      </w:pPr>
      <w:r>
        <w:rPr>
          <w:sz w:val="24"/>
        </w:rPr>
        <w:t>四、交货时间、地点及风险转移</w:t>
      </w:r>
    </w:p>
    <w:p w14:paraId="0055CFBE">
      <w:pPr>
        <w:spacing w:line="360" w:lineRule="auto"/>
        <w:ind w:right="14" w:firstLine="480" w:firstLineChars="200"/>
        <w:rPr>
          <w:sz w:val="24"/>
        </w:rPr>
      </w:pPr>
      <w:r>
        <w:rPr>
          <w:rFonts w:hint="eastAsia"/>
          <w:sz w:val="24"/>
        </w:rPr>
        <w:t>1、</w:t>
      </w:r>
      <w:r>
        <w:rPr>
          <w:sz w:val="24"/>
        </w:rPr>
        <w:t>乙方按甲方要求配送货物的日期将货物送达至指定地点</w:t>
      </w:r>
      <w:r>
        <w:rPr>
          <w:rFonts w:hint="eastAsia"/>
          <w:sz w:val="24"/>
        </w:rPr>
        <w:t>：</w:t>
      </w:r>
      <w:r>
        <w:rPr>
          <w:rFonts w:hint="eastAsia"/>
          <w:sz w:val="24"/>
          <w:u w:val="single"/>
        </w:rPr>
        <w:t>甲方指定地点</w:t>
      </w:r>
      <w:r>
        <w:rPr>
          <w:sz w:val="24"/>
        </w:rPr>
        <w:t>，并确保及时配合甲方完成验收工作。</w:t>
      </w:r>
      <w:r>
        <w:rPr>
          <w:sz w:val="24"/>
        </w:rPr>
        <w:drawing>
          <wp:inline distT="0" distB="0" distL="0" distR="0">
            <wp:extent cx="2540" cy="2540"/>
            <wp:effectExtent l="0" t="0" r="0" b="0"/>
            <wp:docPr id="13551" name="Picture 13551"/>
            <wp:cNvGraphicFramePr/>
            <a:graphic xmlns:a="http://schemas.openxmlformats.org/drawingml/2006/main">
              <a:graphicData uri="http://schemas.openxmlformats.org/drawingml/2006/picture">
                <pic:pic xmlns:pic="http://schemas.openxmlformats.org/drawingml/2006/picture">
                  <pic:nvPicPr>
                    <pic:cNvPr id="13551" name="Picture 13551"/>
                    <pic:cNvPicPr/>
                  </pic:nvPicPr>
                  <pic:blipFill>
                    <a:blip r:embed="rId15"/>
                    <a:stretch>
                      <a:fillRect/>
                    </a:stretch>
                  </pic:blipFill>
                  <pic:spPr>
                    <a:xfrm>
                      <a:off x="0" y="0"/>
                      <a:ext cx="3048" cy="3048"/>
                    </a:xfrm>
                    <a:prstGeom prst="rect">
                      <a:avLst/>
                    </a:prstGeom>
                  </pic:spPr>
                </pic:pic>
              </a:graphicData>
            </a:graphic>
          </wp:inline>
        </w:drawing>
      </w:r>
    </w:p>
    <w:p w14:paraId="55EEF7FA">
      <w:pPr>
        <w:spacing w:after="12" w:line="360" w:lineRule="auto"/>
        <w:ind w:right="14" w:firstLine="480" w:firstLineChars="200"/>
        <w:rPr>
          <w:sz w:val="24"/>
        </w:rPr>
      </w:pPr>
      <w:r>
        <w:rPr>
          <w:sz w:val="24"/>
        </w:rPr>
        <w:t>2</w:t>
      </w:r>
      <w:r>
        <w:rPr>
          <w:rFonts w:hint="eastAsia"/>
          <w:sz w:val="24"/>
        </w:rPr>
        <w:t>、</w:t>
      </w:r>
      <w:r>
        <w:rPr>
          <w:sz w:val="24"/>
        </w:rPr>
        <w:t>供货时间：</w:t>
      </w:r>
      <w:r>
        <w:rPr>
          <w:rFonts w:hint="eastAsia"/>
          <w:sz w:val="24"/>
        </w:rPr>
        <w:t>甲方向乙方发送书面订货单（含甲方电子盖章确认的订单）时起，乙方应在</w:t>
      </w:r>
      <w:r>
        <w:rPr>
          <w:sz w:val="24"/>
        </w:rPr>
        <w:t>5</w:t>
      </w:r>
      <w:r>
        <w:rPr>
          <w:rFonts w:hint="eastAsia"/>
          <w:sz w:val="24"/>
        </w:rPr>
        <w:t>日内将货物送至甲方指定地点；若甲方有紧急订货需求，乙方需在甲方指定的合理时限内送达，最长不超过</w:t>
      </w:r>
      <w:r>
        <w:rPr>
          <w:sz w:val="24"/>
        </w:rPr>
        <w:t>24</w:t>
      </w:r>
      <w:r>
        <w:rPr>
          <w:rFonts w:hint="eastAsia"/>
          <w:sz w:val="24"/>
        </w:rPr>
        <w:t>小时。甲方将根据订货单进行验收，超出订货单范围的货物甲方有权拒收，乙方应在甲方通知时间内取走，否则甲方将视为乙方无偿提供超出部分货物；如乙方不能及时送货造成甲方需求无法满足，甲方有权扣除50%履约保证金</w:t>
      </w:r>
      <w:r>
        <w:rPr>
          <w:sz w:val="24"/>
        </w:rPr>
        <w:t>；二次出现同样情况者，甲方有权单方解除合同</w:t>
      </w:r>
      <w:r>
        <w:rPr>
          <w:rFonts w:hint="eastAsia"/>
          <w:sz w:val="24"/>
        </w:rPr>
        <w:t>并扣除全额履约保证金</w:t>
      </w:r>
      <w:r>
        <w:rPr>
          <w:sz w:val="24"/>
        </w:rPr>
        <w:t>。有特殊需求的供货时间，由甲方指定供货时间与频次。</w:t>
      </w:r>
    </w:p>
    <w:p w14:paraId="7028B3E3">
      <w:pPr>
        <w:spacing w:line="360" w:lineRule="auto"/>
        <w:ind w:right="14" w:firstLine="480" w:firstLineChars="200"/>
        <w:rPr>
          <w:sz w:val="24"/>
        </w:rPr>
      </w:pPr>
      <w:r>
        <w:rPr>
          <w:rFonts w:hint="eastAsia"/>
          <w:sz w:val="24"/>
        </w:rPr>
        <w:t>3、</w:t>
      </w:r>
      <w:r>
        <w:rPr>
          <w:sz w:val="24"/>
        </w:rPr>
        <w:t>交货完成前（即货物交付完毕且经甲方书面验收合格前），本合同项下货物的损毁灭失风险由乙方承担，交货完成后（货物交付完毕且经过甲方书面验收合格后），货物的所有权及损毁灭失风险转移至甲方。</w:t>
      </w:r>
    </w:p>
    <w:p w14:paraId="5D774AFA">
      <w:pPr>
        <w:spacing w:line="360" w:lineRule="auto"/>
        <w:ind w:right="14" w:firstLine="480" w:firstLineChars="200"/>
        <w:rPr>
          <w:sz w:val="24"/>
        </w:rPr>
      </w:pPr>
      <w:r>
        <w:rPr>
          <w:rFonts w:hint="eastAsia"/>
          <w:sz w:val="24"/>
        </w:rPr>
        <w:t>4、供货分配方式：按甲方需求供货。</w:t>
      </w:r>
    </w:p>
    <w:p w14:paraId="1A175822">
      <w:pPr>
        <w:spacing w:line="360" w:lineRule="auto"/>
        <w:ind w:right="14" w:firstLine="480" w:firstLineChars="200"/>
        <w:rPr>
          <w:sz w:val="24"/>
        </w:rPr>
      </w:pPr>
      <w:r>
        <w:rPr>
          <w:sz w:val="24"/>
        </w:rPr>
        <w:t>五、货物的包装及运输</w:t>
      </w:r>
    </w:p>
    <w:p w14:paraId="38BBEE5B">
      <w:pPr>
        <w:spacing w:line="360" w:lineRule="auto"/>
        <w:ind w:right="14" w:firstLine="480" w:firstLineChars="200"/>
        <w:rPr>
          <w:sz w:val="24"/>
        </w:rPr>
      </w:pPr>
      <w:r>
        <w:rPr>
          <w:rFonts w:hint="eastAsia"/>
          <w:sz w:val="24"/>
        </w:rPr>
        <w:t>1、</w:t>
      </w:r>
      <w:r>
        <w:rPr>
          <w:sz w:val="24"/>
        </w:rPr>
        <w:t>包装必须与运输方式相适应，包装方式的确定和包装费用均由乙方负责；由于不适当的包装而造成的货物有任何的损坏由乙方负责。</w:t>
      </w:r>
    </w:p>
    <w:p w14:paraId="461C7AD9">
      <w:pPr>
        <w:spacing w:line="360" w:lineRule="auto"/>
        <w:ind w:right="14" w:firstLine="480" w:firstLineChars="200"/>
        <w:rPr>
          <w:sz w:val="24"/>
        </w:rPr>
      </w:pPr>
      <w:r>
        <w:rPr>
          <w:sz w:val="24"/>
        </w:rPr>
        <w:t>2</w:t>
      </w:r>
      <w:r>
        <w:rPr>
          <w:rFonts w:hint="eastAsia"/>
          <w:sz w:val="24"/>
        </w:rPr>
        <w:t>、</w:t>
      </w:r>
      <w:r>
        <w:rPr>
          <w:sz w:val="24"/>
        </w:rPr>
        <w:t>包装费、运输费、装卸费和保险费等均己包含在合同单价内。</w:t>
      </w:r>
    </w:p>
    <w:p w14:paraId="61926795">
      <w:pPr>
        <w:spacing w:after="104" w:line="360" w:lineRule="auto"/>
        <w:ind w:right="14" w:firstLine="480" w:firstLineChars="200"/>
        <w:rPr>
          <w:sz w:val="24"/>
        </w:rPr>
      </w:pPr>
      <w:r>
        <w:rPr>
          <w:sz w:val="24"/>
        </w:rPr>
        <w:t>3</w:t>
      </w:r>
      <w:r>
        <w:rPr>
          <w:rFonts w:hint="eastAsia"/>
          <w:sz w:val="24"/>
        </w:rPr>
        <w:t>、</w:t>
      </w:r>
      <w:r>
        <w:rPr>
          <w:sz w:val="24"/>
        </w:rPr>
        <w:t>采用定型包装的货物，包装必须符合国家对产品包装的有关规定。货品由生产厂家使用符合国家食品卫生要求的包装箱或包装袋进行完整包装，包装上必须有清晰的厂家信息、生产日期、保质期、净重量；必须有QS标识；包装破损甲方有权不予以接收。</w:t>
      </w:r>
    </w:p>
    <w:p w14:paraId="5310F143">
      <w:pPr>
        <w:spacing w:line="360" w:lineRule="auto"/>
        <w:ind w:right="14" w:firstLine="480" w:firstLineChars="200"/>
        <w:rPr>
          <w:sz w:val="24"/>
        </w:rPr>
      </w:pPr>
      <w:r>
        <w:rPr>
          <w:rFonts w:hint="eastAsia"/>
          <w:sz w:val="24"/>
        </w:rPr>
        <w:t>4、</w:t>
      </w:r>
      <w:r>
        <w:rPr>
          <w:sz w:val="24"/>
        </w:rPr>
        <w:t>乙方保证运输周转的容器与车辆的清洁卫生和防止货物在运输过程中受到污染。</w:t>
      </w:r>
    </w:p>
    <w:p w14:paraId="29CBDB1F">
      <w:pPr>
        <w:spacing w:after="3" w:line="360" w:lineRule="auto"/>
        <w:ind w:right="14" w:firstLine="480" w:firstLineChars="200"/>
        <w:rPr>
          <w:sz w:val="24"/>
        </w:rPr>
      </w:pPr>
      <w:r>
        <w:rPr>
          <w:rFonts w:hint="eastAsia"/>
          <w:sz w:val="24"/>
        </w:rPr>
        <w:t>5、</w:t>
      </w:r>
      <w:r>
        <w:rPr>
          <w:sz w:val="24"/>
        </w:rPr>
        <w:t>乙方所提供的货物不得敞露运输，货物装卸必须做到轻装轻卸，并码放整齐。</w:t>
      </w:r>
    </w:p>
    <w:p w14:paraId="15910599">
      <w:pPr>
        <w:spacing w:line="360" w:lineRule="auto"/>
        <w:ind w:right="14" w:firstLine="480" w:firstLineChars="200"/>
        <w:rPr>
          <w:sz w:val="24"/>
        </w:rPr>
      </w:pPr>
      <w:r>
        <w:rPr>
          <w:sz w:val="24"/>
        </w:rPr>
        <w:t>六、验收</w:t>
      </w:r>
    </w:p>
    <w:p w14:paraId="594AA3D1">
      <w:pPr>
        <w:spacing w:after="148" w:line="360" w:lineRule="auto"/>
        <w:ind w:right="14" w:firstLine="480" w:firstLineChars="200"/>
        <w:rPr>
          <w:sz w:val="24"/>
        </w:rPr>
      </w:pPr>
      <w:r>
        <w:rPr>
          <w:rFonts w:hint="eastAsia"/>
          <w:sz w:val="24"/>
        </w:rPr>
        <w:t>1、</w:t>
      </w:r>
      <w:r>
        <w:rPr>
          <w:sz w:val="24"/>
        </w:rPr>
        <w:t>验收标准：以招</w:t>
      </w:r>
      <w:r>
        <w:rPr>
          <w:rFonts w:hint="eastAsia"/>
          <w:sz w:val="24"/>
        </w:rPr>
        <w:t>投标文件</w:t>
      </w:r>
      <w:r>
        <w:rPr>
          <w:sz w:val="24"/>
        </w:rPr>
        <w:t>及本合同甲、乙双方约定的质量标准为货物的验收标准。甲方仅对乙方交付货物的数量、规格、外观等进行初步验收，初步验收合格不代表乙方对所交付货物潜在质量安全问题免责。</w:t>
      </w:r>
    </w:p>
    <w:p w14:paraId="2E3061B8">
      <w:pPr>
        <w:pStyle w:val="2"/>
        <w:ind w:firstLine="480"/>
      </w:pPr>
      <w:r>
        <w:rPr>
          <w:rFonts w:hint="eastAsia"/>
          <w:sz w:val="24"/>
        </w:rPr>
        <w:t>甲方有权在初步验收后，自行或委托第三方对货物质量安全进行抽检，抽检不合格的，抽检费用由乙方承担，乙方同时承担相应违约责任。</w:t>
      </w:r>
    </w:p>
    <w:p w14:paraId="245D2635">
      <w:pPr>
        <w:spacing w:after="148" w:line="360" w:lineRule="auto"/>
        <w:ind w:right="14" w:firstLine="480" w:firstLineChars="200"/>
        <w:rPr>
          <w:sz w:val="24"/>
        </w:rPr>
      </w:pPr>
      <w:r>
        <w:rPr>
          <w:rFonts w:hint="eastAsia"/>
          <w:sz w:val="24"/>
        </w:rPr>
        <w:t>2、</w:t>
      </w:r>
      <w:r>
        <w:rPr>
          <w:sz w:val="24"/>
        </w:rPr>
        <w:t>数量的认定：乙方每</w:t>
      </w:r>
      <w:r>
        <w:rPr>
          <w:rFonts w:hint="eastAsia"/>
          <w:sz w:val="24"/>
        </w:rPr>
        <w:t>次</w:t>
      </w:r>
      <w:r>
        <w:rPr>
          <w:sz w:val="24"/>
        </w:rPr>
        <w:t>依据甲方提供的物资计划单中品种数量配送；甲方工作人员和乙方人员现场称重或点数完毕后，共同在送货单上核准并签字，并加盖乙方发票专用章作为结帐凭证。结算数量按照实际进货数量</w:t>
      </w:r>
      <w:r>
        <w:rPr>
          <w:rFonts w:hint="eastAsia"/>
          <w:sz w:val="24"/>
        </w:rPr>
        <w:t>（净重），除去未通过验收数量</w:t>
      </w:r>
      <w:r>
        <w:rPr>
          <w:sz w:val="24"/>
        </w:rPr>
        <w:t>进行结算。计量单位：按</w:t>
      </w:r>
      <w:r>
        <w:rPr>
          <w:rFonts w:hint="eastAsia"/>
          <w:sz w:val="24"/>
        </w:rPr>
        <w:t>合同签订的规格</w:t>
      </w:r>
      <w:r>
        <w:rPr>
          <w:sz w:val="24"/>
        </w:rPr>
        <w:t>。</w:t>
      </w:r>
    </w:p>
    <w:p w14:paraId="25A026AB">
      <w:pPr>
        <w:spacing w:after="101" w:line="360" w:lineRule="auto"/>
        <w:ind w:right="14" w:firstLine="480" w:firstLineChars="200"/>
        <w:rPr>
          <w:sz w:val="24"/>
        </w:rPr>
      </w:pPr>
      <w:r>
        <w:rPr>
          <w:rFonts w:hint="eastAsia"/>
          <w:sz w:val="24"/>
        </w:rPr>
        <w:t>3、</w:t>
      </w:r>
      <w:r>
        <w:rPr>
          <w:sz w:val="24"/>
        </w:rPr>
        <w:t>甲方应依照双方在本合同中约定的质量要求和验收标准进行验收。验收不合格的，应及时向乙方提出异议，乙方应在接到</w:t>
      </w:r>
      <w:r>
        <w:rPr>
          <w:rFonts w:hint="eastAsia"/>
          <w:sz w:val="24"/>
        </w:rPr>
        <w:t>甲方发出</w:t>
      </w:r>
      <w:r>
        <w:rPr>
          <w:sz w:val="24"/>
        </w:rPr>
        <w:t>异议</w:t>
      </w:r>
      <w:r>
        <w:rPr>
          <w:rFonts w:hint="eastAsia"/>
          <w:sz w:val="24"/>
        </w:rPr>
        <w:t>通知</w:t>
      </w:r>
      <w:r>
        <w:rPr>
          <w:sz w:val="24"/>
        </w:rPr>
        <w:t>后</w:t>
      </w:r>
      <w:r>
        <w:rPr>
          <w:rFonts w:hint="eastAsia"/>
          <w:sz w:val="24"/>
        </w:rPr>
        <w:t>24小时内完成</w:t>
      </w:r>
      <w:r>
        <w:rPr>
          <w:sz w:val="24"/>
        </w:rPr>
        <w:t>更换，直至验收合格，如果因乙方供货质量原因造成的甲方受到的损失，乙方还应承担相应违约责任并承担相应赔偿责任。</w:t>
      </w:r>
    </w:p>
    <w:p w14:paraId="2AFD3223">
      <w:pPr>
        <w:spacing w:line="360" w:lineRule="auto"/>
        <w:ind w:right="14" w:firstLine="480" w:firstLineChars="200"/>
        <w:rPr>
          <w:sz w:val="24"/>
        </w:rPr>
      </w:pPr>
      <w:r>
        <w:rPr>
          <w:sz w:val="24"/>
        </w:rPr>
        <w:t>七、货款的支付</w:t>
      </w:r>
    </w:p>
    <w:p w14:paraId="14D9A5B8">
      <w:pPr>
        <w:spacing w:line="360" w:lineRule="auto"/>
        <w:ind w:right="14" w:firstLine="480" w:firstLineChars="200"/>
        <w:rPr>
          <w:sz w:val="24"/>
        </w:rPr>
      </w:pPr>
      <w:r>
        <w:rPr>
          <w:rFonts w:hint="eastAsia"/>
          <w:sz w:val="24"/>
        </w:rPr>
        <w:t>1、</w:t>
      </w:r>
      <w:bookmarkStart w:id="14" w:name="auto_fouce_23"/>
      <w:r>
        <w:rPr>
          <w:rFonts w:hint="eastAsia"/>
          <w:sz w:val="24"/>
        </w:rPr>
        <w:t>乙方应于每月</w:t>
      </w:r>
      <w:r>
        <w:rPr>
          <w:sz w:val="24"/>
        </w:rPr>
        <w:t>25</w:t>
      </w:r>
      <w:r>
        <w:rPr>
          <w:rFonts w:hint="eastAsia"/>
          <w:sz w:val="24"/>
        </w:rPr>
        <w:t>日前向甲方提交经甲方验收合格的供货明细、对账单及等额有效增值税普通发票，甲方审核无误后，于次月</w:t>
      </w:r>
      <w:r>
        <w:rPr>
          <w:sz w:val="24"/>
        </w:rPr>
        <w:t>15</w:t>
      </w:r>
      <w:r>
        <w:rPr>
          <w:rFonts w:hint="eastAsia"/>
          <w:sz w:val="24"/>
        </w:rPr>
        <w:t>日前完成本月货款的结算。如遇特殊情况无法按时支付，甲方应提前</w:t>
      </w:r>
      <w:r>
        <w:rPr>
          <w:sz w:val="24"/>
        </w:rPr>
        <w:t>3</w:t>
      </w:r>
      <w:r>
        <w:rPr>
          <w:rFonts w:hint="eastAsia"/>
          <w:sz w:val="24"/>
        </w:rPr>
        <w:t>个工作日书面通知乙方并协商延期时间。</w:t>
      </w:r>
      <w:bookmarkEnd w:id="14"/>
      <w:r>
        <w:rPr>
          <w:sz w:val="24"/>
        </w:rPr>
        <w:t xml:space="preserve">  </w:t>
      </w:r>
      <w:r>
        <w:rPr>
          <w:rFonts w:hint="eastAsia"/>
          <w:sz w:val="24"/>
        </w:rPr>
        <w:t xml:space="preserve"> </w:t>
      </w:r>
    </w:p>
    <w:p w14:paraId="1D47F99B">
      <w:pPr>
        <w:spacing w:line="360" w:lineRule="auto"/>
        <w:ind w:right="14" w:firstLine="480" w:firstLineChars="200"/>
        <w:rPr>
          <w:sz w:val="24"/>
        </w:rPr>
      </w:pPr>
      <w:r>
        <w:rPr>
          <w:rFonts w:hint="eastAsia"/>
          <w:sz w:val="24"/>
        </w:rPr>
        <w:t xml:space="preserve">2、每月末对账，结算货款时，乙方应向甲方开具等额有效的增值税普通发票， </w:t>
      </w:r>
    </w:p>
    <w:p w14:paraId="278EE87D">
      <w:pPr>
        <w:spacing w:line="360" w:lineRule="auto"/>
        <w:ind w:right="14" w:firstLine="480" w:firstLineChars="200"/>
        <w:rPr>
          <w:sz w:val="24"/>
        </w:rPr>
      </w:pPr>
      <w:r>
        <w:rPr>
          <w:rFonts w:hint="eastAsia"/>
          <w:sz w:val="24"/>
        </w:rPr>
        <w:t xml:space="preserve">甲方未收到发票或提供发票不合格的，不予支付相应款项直至乙方提供合格发票，延迟支付货款责任由乙方自行承担。 </w:t>
      </w:r>
    </w:p>
    <w:p w14:paraId="520F9B9F">
      <w:pPr>
        <w:spacing w:line="360" w:lineRule="auto"/>
        <w:ind w:right="14" w:firstLine="480" w:firstLineChars="200"/>
        <w:rPr>
          <w:sz w:val="24"/>
        </w:rPr>
      </w:pPr>
      <w:r>
        <w:rPr>
          <w:rFonts w:hint="eastAsia"/>
          <w:sz w:val="24"/>
        </w:rPr>
        <w:t xml:space="preserve">3、在签订本合同之前，乙方要按照采购文件要求向采购人提交履约保证金。 </w:t>
      </w:r>
    </w:p>
    <w:p w14:paraId="5E50BFA7">
      <w:pPr>
        <w:spacing w:line="360" w:lineRule="auto"/>
        <w:ind w:right="14" w:firstLine="480" w:firstLineChars="200"/>
        <w:rPr>
          <w:sz w:val="24"/>
        </w:rPr>
      </w:pPr>
      <w:r>
        <w:rPr>
          <w:rFonts w:hint="eastAsia"/>
          <w:sz w:val="24"/>
        </w:rPr>
        <w:t>（按实际供货量结算，最终付款方式以和甲方单位签订合同为准）</w:t>
      </w:r>
    </w:p>
    <w:p w14:paraId="21151889">
      <w:pPr>
        <w:spacing w:line="360" w:lineRule="auto"/>
        <w:ind w:right="14" w:firstLine="480" w:firstLineChars="200"/>
        <w:rPr>
          <w:sz w:val="24"/>
        </w:rPr>
      </w:pPr>
      <w:r>
        <w:rPr>
          <w:sz w:val="24"/>
        </w:rPr>
        <w:t>八、违约责任</w:t>
      </w:r>
    </w:p>
    <w:p w14:paraId="417BF9F2">
      <w:pPr>
        <w:spacing w:line="360" w:lineRule="auto"/>
        <w:ind w:right="14" w:firstLine="480" w:firstLineChars="200"/>
        <w:rPr>
          <w:sz w:val="24"/>
        </w:rPr>
      </w:pPr>
      <w:r>
        <w:rPr>
          <w:rFonts w:hint="eastAsia"/>
          <w:sz w:val="24"/>
        </w:rPr>
        <w:t>1、</w:t>
      </w:r>
      <w:r>
        <w:rPr>
          <w:sz w:val="24"/>
        </w:rPr>
        <w:t>乙方</w:t>
      </w:r>
      <w:r>
        <w:rPr>
          <w:rFonts w:hint="eastAsia"/>
          <w:sz w:val="24"/>
        </w:rPr>
        <w:t>的</w:t>
      </w:r>
      <w:r>
        <w:rPr>
          <w:sz w:val="24"/>
        </w:rPr>
        <w:t>履约保证金</w:t>
      </w:r>
      <w:r>
        <w:rPr>
          <w:rFonts w:hint="eastAsia"/>
          <w:b/>
          <w:bCs/>
          <w:sz w:val="24"/>
          <w:u w:val="single"/>
        </w:rPr>
        <w:t>合同金额10%</w:t>
      </w:r>
      <w:r>
        <w:rPr>
          <w:rFonts w:hint="eastAsia"/>
          <w:sz w:val="24"/>
        </w:rPr>
        <w:t>，合同期满未出现违约情形，甲方无息退还乙方。</w:t>
      </w:r>
      <w:r>
        <w:rPr>
          <w:sz w:val="24"/>
        </w:rPr>
        <w:t>如乙方有违约行为，</w:t>
      </w:r>
      <w:r>
        <w:rPr>
          <w:rFonts w:hint="eastAsia"/>
          <w:sz w:val="24"/>
        </w:rPr>
        <w:t>甲方有权按照合同约定从中扣除乙方应赔偿部分金额，剩余部分合同期满或合同解除时无息退还给乙方；保证金不足以支付违约金或不足以弥补甲方损失的，由乙方另行向甲方支付。</w:t>
      </w:r>
    </w:p>
    <w:p w14:paraId="45797D89">
      <w:pPr>
        <w:spacing w:line="360" w:lineRule="auto"/>
        <w:ind w:right="14" w:firstLine="480" w:firstLineChars="200"/>
        <w:rPr>
          <w:sz w:val="24"/>
        </w:rPr>
      </w:pPr>
      <w:r>
        <w:rPr>
          <w:sz w:val="24"/>
        </w:rPr>
        <w:t>2</w:t>
      </w:r>
      <w:r>
        <w:rPr>
          <w:rFonts w:hint="eastAsia"/>
          <w:sz w:val="24"/>
        </w:rPr>
        <w:t>、若乙方违约，甲方有权扣除保证金并要求赔偿实际直接损失。甲方因不可抗力或对乙方违约无过错的情况下（指甲方已完全遵守本合同约定及法律规定的义务），不承担违约责任。</w:t>
      </w:r>
    </w:p>
    <w:p w14:paraId="34EE5479">
      <w:pPr>
        <w:spacing w:after="114" w:line="360" w:lineRule="auto"/>
        <w:ind w:right="14" w:firstLine="480" w:firstLineChars="200"/>
        <w:rPr>
          <w:sz w:val="24"/>
        </w:rPr>
      </w:pPr>
      <w:r>
        <w:rPr>
          <w:sz w:val="24"/>
        </w:rPr>
        <w:t>3</w:t>
      </w:r>
      <w:r>
        <w:rPr>
          <w:rFonts w:hint="eastAsia"/>
          <w:sz w:val="24"/>
        </w:rPr>
        <w:t>、</w:t>
      </w:r>
      <w:r>
        <w:rPr>
          <w:sz w:val="24"/>
        </w:rPr>
        <w:t>合同签订后，乙方应严格履行合同，如乙方因价格原因，寻找借口，拒绝供货或不能根据合同约定的品种、规格、数量、质量等标准和要求向甲方配送货物，无法满足甲方采购需要，甲方有权解除合同，同时，</w:t>
      </w:r>
      <w:r>
        <w:rPr>
          <w:rFonts w:hint="eastAsia"/>
          <w:sz w:val="24"/>
        </w:rPr>
        <w:t>甲方有权</w:t>
      </w:r>
      <w:r>
        <w:rPr>
          <w:sz w:val="24"/>
        </w:rPr>
        <w:t>扣除乙方</w:t>
      </w:r>
      <w:r>
        <w:rPr>
          <w:rFonts w:hint="eastAsia"/>
          <w:sz w:val="24"/>
        </w:rPr>
        <w:t>履约保证金</w:t>
      </w:r>
      <w:r>
        <w:rPr>
          <w:sz w:val="24"/>
        </w:rPr>
        <w:t>的</w:t>
      </w:r>
      <w:r>
        <w:rPr>
          <w:rFonts w:hint="eastAsia"/>
          <w:sz w:val="24"/>
        </w:rPr>
        <w:t>50</w:t>
      </w:r>
      <w:r>
        <w:rPr>
          <w:sz w:val="24"/>
        </w:rPr>
        <w:t>％</w:t>
      </w:r>
      <w:r>
        <w:rPr>
          <w:rFonts w:hint="eastAsia"/>
          <w:sz w:val="24"/>
        </w:rPr>
        <w:t>作为</w:t>
      </w:r>
      <w:r>
        <w:rPr>
          <w:sz w:val="24"/>
        </w:rPr>
        <w:t>违约</w:t>
      </w:r>
      <w:r>
        <w:rPr>
          <w:rFonts w:hint="eastAsia"/>
          <w:sz w:val="24"/>
        </w:rPr>
        <w:t>金</w:t>
      </w:r>
      <w:r>
        <w:rPr>
          <w:sz w:val="24"/>
        </w:rPr>
        <w:t>。合同解除后，甲方有权</w:t>
      </w:r>
      <w:r>
        <w:rPr>
          <w:rFonts w:hint="eastAsia"/>
          <w:sz w:val="24"/>
        </w:rPr>
        <w:t>临时性应急</w:t>
      </w:r>
      <w:r>
        <w:rPr>
          <w:sz w:val="24"/>
        </w:rPr>
        <w:t>与第三方供货商另行签订合同，进行供货。</w:t>
      </w:r>
    </w:p>
    <w:p w14:paraId="61966050">
      <w:pPr>
        <w:pStyle w:val="82"/>
        <w:ind w:firstLine="480"/>
        <w:rPr>
          <w:rFonts w:ascii="宋体" w:hAnsi="宋体" w:eastAsia="宋体" w:cs="宋体"/>
          <w:sz w:val="24"/>
          <w:szCs w:val="24"/>
        </w:rPr>
      </w:pPr>
      <w:r>
        <w:rPr>
          <w:rFonts w:hint="eastAsia"/>
          <w:sz w:val="24"/>
          <w:szCs w:val="24"/>
        </w:rPr>
        <w:t>4、</w:t>
      </w:r>
      <w:r>
        <w:rPr>
          <w:rFonts w:ascii="宋体" w:hAnsi="宋体" w:eastAsia="宋体" w:cs="宋体"/>
          <w:sz w:val="24"/>
          <w:szCs w:val="24"/>
        </w:rPr>
        <w:t>对于</w:t>
      </w:r>
      <w:r>
        <w:rPr>
          <w:rFonts w:hint="eastAsia" w:ascii="宋体" w:hAnsi="宋体" w:eastAsia="宋体" w:cs="宋体"/>
          <w:sz w:val="24"/>
          <w:szCs w:val="24"/>
        </w:rPr>
        <w:t>采购人已按合同规定下发订单，</w:t>
      </w:r>
      <w:r>
        <w:rPr>
          <w:rFonts w:ascii="宋体" w:hAnsi="宋体" w:eastAsia="宋体" w:cs="宋体"/>
          <w:sz w:val="24"/>
          <w:szCs w:val="24"/>
        </w:rPr>
        <w:t>供应商没有</w:t>
      </w:r>
      <w:r>
        <w:rPr>
          <w:rFonts w:hint="eastAsia" w:ascii="宋体" w:hAnsi="宋体" w:eastAsia="宋体" w:cs="宋体"/>
          <w:sz w:val="24"/>
          <w:szCs w:val="24"/>
        </w:rPr>
        <w:t>按合同规定时间</w:t>
      </w:r>
      <w:r>
        <w:rPr>
          <w:rFonts w:ascii="宋体" w:hAnsi="宋体" w:eastAsia="宋体" w:cs="宋体"/>
          <w:sz w:val="24"/>
          <w:szCs w:val="24"/>
        </w:rPr>
        <w:t>送货的、或者不按</w:t>
      </w:r>
      <w:r>
        <w:rPr>
          <w:rFonts w:hint="eastAsia" w:ascii="宋体" w:hAnsi="宋体" w:eastAsia="宋体" w:cs="宋体"/>
          <w:sz w:val="24"/>
          <w:szCs w:val="24"/>
        </w:rPr>
        <w:t>合同约定的品种、规格、数量、质量等标准和要求</w:t>
      </w:r>
      <w:r>
        <w:rPr>
          <w:rFonts w:ascii="宋体" w:hAnsi="宋体" w:eastAsia="宋体" w:cs="宋体"/>
          <w:sz w:val="24"/>
          <w:szCs w:val="24"/>
        </w:rPr>
        <w:t>送货的，均为违约。</w:t>
      </w:r>
    </w:p>
    <w:p w14:paraId="5A72BFF3">
      <w:pPr>
        <w:pStyle w:val="82"/>
        <w:ind w:firstLine="48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遇不可抗力特殊紧急情况，供应商应及时与</w:t>
      </w:r>
      <w:r>
        <w:rPr>
          <w:rFonts w:hint="eastAsia" w:ascii="宋体" w:hAnsi="宋体" w:eastAsia="宋体" w:cs="宋体"/>
          <w:sz w:val="24"/>
          <w:szCs w:val="24"/>
        </w:rPr>
        <w:t>采购人</w:t>
      </w:r>
      <w:r>
        <w:rPr>
          <w:rFonts w:ascii="宋体" w:hAnsi="宋体" w:eastAsia="宋体" w:cs="宋体"/>
          <w:sz w:val="24"/>
          <w:szCs w:val="24"/>
        </w:rPr>
        <w:t>沟通，并由</w:t>
      </w:r>
      <w:r>
        <w:rPr>
          <w:rFonts w:hint="eastAsia" w:ascii="宋体" w:hAnsi="宋体" w:eastAsia="宋体" w:cs="宋体"/>
          <w:sz w:val="24"/>
          <w:szCs w:val="24"/>
        </w:rPr>
        <w:t>采购人</w:t>
      </w:r>
      <w:r>
        <w:rPr>
          <w:rFonts w:ascii="宋体" w:hAnsi="宋体" w:eastAsia="宋体" w:cs="宋体"/>
          <w:sz w:val="24"/>
          <w:szCs w:val="24"/>
        </w:rPr>
        <w:t>重新确定送货时间</w:t>
      </w:r>
      <w:r>
        <w:rPr>
          <w:rFonts w:hint="eastAsia" w:ascii="宋体" w:hAnsi="宋体" w:eastAsia="宋体" w:cs="宋体"/>
          <w:sz w:val="24"/>
          <w:szCs w:val="24"/>
        </w:rPr>
        <w:t>。若双方无法就新的送货时间达成一致，或乙方未按重新确定的时间送货，均视为乙方违约。</w:t>
      </w:r>
    </w:p>
    <w:p w14:paraId="5EF2E4F2">
      <w:pPr>
        <w:pStyle w:val="82"/>
        <w:ind w:firstLine="480"/>
        <w:rPr>
          <w:rFonts w:ascii="宋体" w:hAnsi="宋体" w:eastAsia="宋体" w:cs="宋体"/>
          <w:sz w:val="24"/>
          <w:szCs w:val="24"/>
        </w:rPr>
      </w:pPr>
      <w:r>
        <w:rPr>
          <w:rFonts w:hint="eastAsia" w:ascii="宋体" w:hAnsi="宋体" w:eastAsia="宋体" w:cs="宋体"/>
          <w:sz w:val="24"/>
          <w:szCs w:val="24"/>
        </w:rPr>
        <w:t>6</w:t>
      </w:r>
      <w:r>
        <w:rPr>
          <w:rFonts w:ascii="宋体" w:hAnsi="宋体" w:eastAsia="宋体" w:cs="宋体"/>
          <w:sz w:val="24"/>
          <w:szCs w:val="24"/>
        </w:rPr>
        <w:t>、违约送货处理:</w:t>
      </w:r>
    </w:p>
    <w:p w14:paraId="0C565DEC">
      <w:pPr>
        <w:pStyle w:val="82"/>
        <w:ind w:firstLineChars="0"/>
        <w:rPr>
          <w:rFonts w:ascii="宋体" w:hAnsi="宋体" w:eastAsia="宋体" w:cs="宋体"/>
          <w:sz w:val="24"/>
          <w:szCs w:val="24"/>
        </w:rPr>
      </w:pPr>
      <w:r>
        <w:rPr>
          <w:rFonts w:hint="eastAsia" w:ascii="宋体" w:hAnsi="宋体" w:eastAsia="宋体" w:cs="宋体"/>
          <w:sz w:val="24"/>
          <w:szCs w:val="24"/>
        </w:rPr>
        <w:t>6.1</w:t>
      </w:r>
      <w:bookmarkStart w:id="15" w:name="auto_fouce_30"/>
      <w:r>
        <w:rPr>
          <w:rFonts w:hint="eastAsia" w:ascii="宋体" w:hAnsi="宋体" w:eastAsia="宋体" w:cs="宋体"/>
          <w:sz w:val="24"/>
          <w:szCs w:val="24"/>
        </w:rPr>
        <w:t>、供应商第1次违约送货，由采购人对供应商做警告处理并记录存档;</w:t>
      </w:r>
    </w:p>
    <w:p w14:paraId="59F1A665">
      <w:pPr>
        <w:pStyle w:val="82"/>
        <w:ind w:firstLine="480"/>
        <w:rPr>
          <w:rFonts w:ascii="宋体" w:hAnsi="宋体" w:eastAsia="宋体" w:cs="宋体"/>
          <w:sz w:val="24"/>
          <w:szCs w:val="24"/>
        </w:rPr>
      </w:pPr>
      <w:r>
        <w:rPr>
          <w:rFonts w:hint="eastAsia" w:ascii="宋体" w:hAnsi="宋体" w:eastAsia="宋体" w:cs="宋体"/>
          <w:sz w:val="24"/>
          <w:szCs w:val="24"/>
        </w:rPr>
        <w:t>6.2、</w:t>
      </w:r>
      <w:bookmarkEnd w:id="15"/>
      <w:r>
        <w:rPr>
          <w:rFonts w:hint="eastAsia" w:ascii="宋体" w:hAnsi="宋体" w:eastAsia="宋体" w:cs="宋体"/>
          <w:sz w:val="24"/>
          <w:szCs w:val="24"/>
        </w:rPr>
        <w:t>供应商累计出现第2次（含连续2次）违约送货，由采购人扣除乙方履约保证金的50%且记录存档；</w:t>
      </w:r>
    </w:p>
    <w:p w14:paraId="0FDD19DF">
      <w:pPr>
        <w:pStyle w:val="82"/>
        <w:ind w:firstLine="480"/>
        <w:rPr>
          <w:rFonts w:ascii="宋体" w:hAnsi="宋体" w:eastAsia="宋体" w:cs="宋体"/>
          <w:sz w:val="24"/>
          <w:szCs w:val="24"/>
        </w:rPr>
      </w:pPr>
      <w:r>
        <w:rPr>
          <w:rFonts w:hint="eastAsia" w:ascii="宋体" w:hAnsi="宋体" w:eastAsia="宋体" w:cs="宋体"/>
          <w:sz w:val="24"/>
          <w:szCs w:val="24"/>
        </w:rPr>
        <w:t>6.3</w:t>
      </w:r>
      <w:r>
        <w:rPr>
          <w:rFonts w:ascii="宋体" w:hAnsi="宋体" w:eastAsia="宋体" w:cs="宋体"/>
          <w:sz w:val="24"/>
          <w:szCs w:val="24"/>
        </w:rPr>
        <w:t>、</w:t>
      </w:r>
      <w:r>
        <w:rPr>
          <w:rFonts w:hint="eastAsia" w:ascii="宋体" w:hAnsi="宋体" w:eastAsia="宋体" w:cs="宋体"/>
          <w:sz w:val="24"/>
          <w:szCs w:val="24"/>
        </w:rPr>
        <w:t>供应商累计出现3次及以上违约送货，采购人扣除乙方全额履约保证金，有权单方终止本合同。</w:t>
      </w:r>
    </w:p>
    <w:p w14:paraId="74D7D9AC">
      <w:pPr>
        <w:pStyle w:val="82"/>
        <w:ind w:firstLineChars="0"/>
        <w:rPr>
          <w:rFonts w:ascii="宋体" w:hAnsi="宋体" w:eastAsia="宋体" w:cs="宋体"/>
          <w:sz w:val="24"/>
          <w:szCs w:val="24"/>
        </w:rPr>
      </w:pPr>
      <w:r>
        <w:rPr>
          <w:rFonts w:hint="eastAsia" w:ascii="宋体" w:hAnsi="宋体" w:eastAsia="宋体" w:cs="宋体"/>
          <w:sz w:val="24"/>
          <w:szCs w:val="24"/>
        </w:rPr>
        <w:t>本条所述‘违约送货’，其情形定义适用本合同第二条第5款、第四条第2款及第五章第四条的约定。</w:t>
      </w:r>
    </w:p>
    <w:p w14:paraId="48F6A129">
      <w:pPr>
        <w:spacing w:line="360" w:lineRule="auto"/>
        <w:ind w:firstLine="480" w:firstLineChars="200"/>
        <w:rPr>
          <w:sz w:val="24"/>
        </w:rPr>
      </w:pPr>
      <w:r>
        <w:rPr>
          <w:rFonts w:hint="eastAsia"/>
          <w:sz w:val="24"/>
        </w:rPr>
        <w:t>7、</w:t>
      </w:r>
      <w:r>
        <w:rPr>
          <w:sz w:val="24"/>
        </w:rPr>
        <w:t>在履行合同过程中，如果乙方遇到妨碍按时交货和提供服务等不可抗力的情况，乙方至迟提前7日以书面形式将拖延的事实，可能拖延的时间和原因通知甲方，经甲方同意延期交货后，及时采取补救措施，不得无故断货。</w:t>
      </w:r>
      <w:r>
        <w:rPr>
          <w:rFonts w:hint="eastAsia"/>
          <w:sz w:val="24"/>
        </w:rPr>
        <w:t>若甲方不同意延期，乙方仍应按原约定履行，否则构成违约。</w:t>
      </w:r>
    </w:p>
    <w:p w14:paraId="51FEBF65">
      <w:pPr>
        <w:spacing w:after="3" w:line="360" w:lineRule="auto"/>
        <w:ind w:right="14" w:firstLine="480" w:firstLineChars="200"/>
        <w:rPr>
          <w:sz w:val="24"/>
        </w:rPr>
      </w:pPr>
      <w:r>
        <w:rPr>
          <w:rFonts w:hint="eastAsia"/>
          <w:sz w:val="24"/>
        </w:rPr>
        <w:t>8、</w:t>
      </w:r>
      <w:r>
        <w:rPr>
          <w:sz w:val="24"/>
        </w:rPr>
        <w:t>若乙方提供的产品不符合本合同约定的质量标准，甲方或任何第三人发生食物中毒等食品安全事故，</w:t>
      </w:r>
      <w:r>
        <w:rPr>
          <w:rFonts w:hint="eastAsia"/>
          <w:sz w:val="24"/>
        </w:rPr>
        <w:t>乙方应按照《食品安全法》的规定，承担赔偿责任。赔偿款甲方有权直接从履约保证金中扣除，不足部分乙方应另行支付，但乙方承担的赔偿总额以本合同总金额为上限。</w:t>
      </w:r>
    </w:p>
    <w:p w14:paraId="043DC050">
      <w:pPr>
        <w:spacing w:after="3" w:line="360" w:lineRule="auto"/>
        <w:ind w:right="14" w:firstLine="480" w:firstLineChars="200"/>
        <w:rPr>
          <w:sz w:val="24"/>
        </w:rPr>
      </w:pPr>
      <w:r>
        <w:rPr>
          <w:rFonts w:hint="eastAsia"/>
          <w:sz w:val="24"/>
        </w:rPr>
        <w:t>9、乙方（中标供应商）保证在供货时遵从甲方关于本项目的采购程序，保证不会将合同及（或）其中的权利、义务转让，保证不会转包、分包。如发现转包、分包现象，甲方有权扣除全额履约保证金及解除合同。</w:t>
      </w:r>
    </w:p>
    <w:p w14:paraId="4EA861B7">
      <w:pPr>
        <w:spacing w:after="3" w:line="360" w:lineRule="auto"/>
        <w:ind w:right="14" w:firstLine="480" w:firstLineChars="200"/>
        <w:rPr>
          <w:sz w:val="24"/>
        </w:rPr>
      </w:pPr>
      <w:r>
        <w:rPr>
          <w:rFonts w:hint="eastAsia"/>
          <w:sz w:val="24"/>
        </w:rPr>
        <w:t>乙方不得允许任何第三方以乙方名义开展本合同项下供货，否则视同转包分包，按本条约定处理。</w:t>
      </w:r>
    </w:p>
    <w:p w14:paraId="35420359">
      <w:pPr>
        <w:spacing w:after="3" w:line="360" w:lineRule="auto"/>
        <w:ind w:right="14" w:firstLine="480" w:firstLineChars="200"/>
        <w:rPr>
          <w:sz w:val="24"/>
        </w:rPr>
      </w:pPr>
      <w:r>
        <w:rPr>
          <w:rFonts w:hint="eastAsia"/>
          <w:sz w:val="24"/>
        </w:rPr>
        <w:t>10、乙方在供应过程中，如乙方人员及送货车辆在甲方院内发生事故或问题，由乙方承担因此产生的全部责任，但因甲方故意或重大过失直接导致的除外。甲方保留追究其相关法律责任的权利。</w:t>
      </w:r>
    </w:p>
    <w:p w14:paraId="0FA784BE">
      <w:pPr>
        <w:spacing w:after="3" w:line="360" w:lineRule="auto"/>
        <w:ind w:right="14" w:firstLine="480" w:firstLineChars="200"/>
        <w:rPr>
          <w:sz w:val="24"/>
        </w:rPr>
      </w:pPr>
      <w:r>
        <w:rPr>
          <w:rFonts w:hint="eastAsia"/>
          <w:sz w:val="24"/>
        </w:rPr>
        <w:t>11、如出现食品安全事故，</w:t>
      </w:r>
      <w:r>
        <w:rPr>
          <w:sz w:val="24"/>
        </w:rPr>
        <w:t>乙方承担全部赔偿责任（包括但不限于第三方索赔、律师费、鉴定费、公证费、差旅费</w:t>
      </w:r>
      <w:r>
        <w:rPr>
          <w:rFonts w:hint="eastAsia"/>
          <w:sz w:val="24"/>
        </w:rPr>
        <w:t>、保全保险费</w:t>
      </w:r>
      <w:r>
        <w:rPr>
          <w:sz w:val="24"/>
        </w:rPr>
        <w:t>等甲方采取诉讼途径发生的一切费用）以及相关法律责任。</w:t>
      </w:r>
    </w:p>
    <w:p w14:paraId="1B73BF95">
      <w:pPr>
        <w:spacing w:line="360" w:lineRule="auto"/>
        <w:ind w:right="14" w:firstLine="480" w:firstLineChars="200"/>
        <w:rPr>
          <w:sz w:val="24"/>
        </w:rPr>
      </w:pPr>
      <w:r>
        <w:rPr>
          <w:rFonts w:hint="eastAsia"/>
          <w:sz w:val="24"/>
        </w:rPr>
        <w:t>九、争议解决</w:t>
      </w:r>
    </w:p>
    <w:p w14:paraId="23F8B128">
      <w:pPr>
        <w:spacing w:after="3" w:line="360" w:lineRule="auto"/>
        <w:ind w:right="14" w:firstLine="480" w:firstLineChars="200"/>
        <w:rPr>
          <w:sz w:val="24"/>
        </w:rPr>
      </w:pPr>
      <w:r>
        <w:rPr>
          <w:rFonts w:hint="eastAsia"/>
          <w:sz w:val="24"/>
        </w:rPr>
        <w:t>通知与送达</w:t>
      </w:r>
    </w:p>
    <w:p w14:paraId="5C5721C7">
      <w:pPr>
        <w:spacing w:after="3" w:line="360" w:lineRule="auto"/>
        <w:ind w:right="14" w:firstLine="480" w:firstLineChars="200"/>
        <w:rPr>
          <w:sz w:val="24"/>
        </w:rPr>
      </w:pPr>
      <w:r>
        <w:rPr>
          <w:rFonts w:hint="eastAsia"/>
          <w:sz w:val="24"/>
        </w:rPr>
        <w:t>本合同履行过程中，任何一方向对方发出的通知、函件等文件，应以书面形式（包括但不限于电子邮件、传真、快递）送达至以下地址。一方变更地址或联系方式的，应提前3个工作日书面通知对方，否则对方按原地址寄送文件即视为有效送达，寄出后第3个工作日视为送达之日。因一方提供或变更的地址不准确、或未及时通知变更事项，导致文件被退回或未能实际接收的，文件退回之日或寄出后第3个工作日（以较早者为准）视为已送达。双方送达地址如下：甲方：【地址：***，联系人：***，联系电话：***】；乙方：【填写乙方准确地址、联系人、电话】。双方承诺本合同载明的联系方式及信息均真实有效，能够准确送达一切法律文件或文书，如发生变更，应提前三个工作日书面通知对方，否则视为未变更且文件交邮后第3个工作日即为送达，由此产生的后果自行承担。</w:t>
      </w:r>
    </w:p>
    <w:p w14:paraId="7B9A7DA8">
      <w:pPr>
        <w:pStyle w:val="2"/>
        <w:ind w:firstLine="480"/>
        <w:rPr>
          <w:color w:val="FF0000"/>
          <w:sz w:val="24"/>
        </w:rPr>
      </w:pPr>
      <w:r>
        <w:rPr>
          <w:rFonts w:hint="eastAsia"/>
          <w:sz w:val="24"/>
        </w:rPr>
        <w:t>十、争议解决</w:t>
      </w:r>
    </w:p>
    <w:p w14:paraId="76562784">
      <w:pPr>
        <w:pStyle w:val="2"/>
        <w:ind w:firstLine="480"/>
      </w:pPr>
      <w:r>
        <w:rPr>
          <w:rFonts w:hint="eastAsia"/>
          <w:sz w:val="24"/>
        </w:rPr>
        <w:t>本合同如发生纠纷，当事人双方应当及时协商解决，协商不成时，可向甲方所在地人民法院起诉。</w:t>
      </w:r>
    </w:p>
    <w:p w14:paraId="2934C719">
      <w:pPr>
        <w:spacing w:line="360" w:lineRule="auto"/>
        <w:ind w:right="14" w:firstLine="480" w:firstLineChars="200"/>
        <w:rPr>
          <w:sz w:val="24"/>
        </w:rPr>
      </w:pPr>
      <w:r>
        <w:rPr>
          <w:rFonts w:hint="eastAsia"/>
          <w:sz w:val="24"/>
        </w:rPr>
        <w:t>十一、合同的生效与文本</w:t>
      </w:r>
    </w:p>
    <w:p w14:paraId="33E96D7A">
      <w:pPr>
        <w:spacing w:line="360" w:lineRule="auto"/>
        <w:ind w:right="14" w:firstLine="480" w:firstLineChars="200"/>
        <w:rPr>
          <w:sz w:val="24"/>
        </w:rPr>
      </w:pPr>
      <w:r>
        <w:rPr>
          <w:rFonts w:hint="eastAsia"/>
          <w:sz w:val="24"/>
        </w:rPr>
        <w:t>1、</w:t>
      </w:r>
      <w:r>
        <w:rPr>
          <w:sz w:val="24"/>
        </w:rPr>
        <w:t>本合同</w:t>
      </w:r>
      <w:r>
        <w:rPr>
          <w:rFonts w:hint="eastAsia"/>
          <w:sz w:val="24"/>
        </w:rPr>
        <w:t>壹</w:t>
      </w:r>
      <w:r>
        <w:rPr>
          <w:sz w:val="24"/>
        </w:rPr>
        <w:t>式捌份，甲方陆份、乙方执贰份。</w:t>
      </w:r>
    </w:p>
    <w:p w14:paraId="5D9AF3D3">
      <w:pPr>
        <w:spacing w:line="360" w:lineRule="auto"/>
        <w:ind w:right="14" w:firstLine="480" w:firstLineChars="200"/>
        <w:rPr>
          <w:sz w:val="24"/>
        </w:rPr>
      </w:pPr>
      <w:r>
        <w:rPr>
          <w:sz w:val="24"/>
        </w:rPr>
        <w:t>2</w:t>
      </w:r>
      <w:r>
        <w:rPr>
          <w:rFonts w:hint="eastAsia"/>
          <w:sz w:val="24"/>
        </w:rPr>
        <w:t>、本合同经双方法定代表人或委托代理人签字并加盖单位公章之日起生效。</w:t>
      </w:r>
    </w:p>
    <w:p w14:paraId="7260B3A1">
      <w:pPr>
        <w:spacing w:line="360" w:lineRule="auto"/>
        <w:ind w:right="11" w:firstLine="480" w:firstLineChars="200"/>
        <w:rPr>
          <w:sz w:val="24"/>
        </w:rPr>
      </w:pPr>
      <w:r>
        <w:rPr>
          <w:sz w:val="24"/>
        </w:rPr>
        <w:t>乙方签定的供货补充合同和供货承诺书以及与本合同有关的招</w:t>
      </w:r>
      <w:r>
        <w:rPr>
          <w:rFonts w:hint="eastAsia"/>
          <w:sz w:val="24"/>
        </w:rPr>
        <w:t>投标文件</w:t>
      </w:r>
      <w:r>
        <w:rPr>
          <w:sz w:val="24"/>
        </w:rPr>
        <w:t>、答疑附件、合同附件《食品安全承诺书》等经甲方签字或盖章后成为本合同不可分割的组成部分，与本合同具有同等法律效力，其他未尽事宜，从其规定。</w:t>
      </w:r>
    </w:p>
    <w:p w14:paraId="65928E35">
      <w:pPr>
        <w:pStyle w:val="2"/>
        <w:ind w:firstLine="480"/>
        <w:rPr>
          <w:color w:val="FF0000"/>
          <w:sz w:val="24"/>
        </w:rPr>
      </w:pPr>
      <w:r>
        <w:rPr>
          <w:rFonts w:hint="eastAsia"/>
          <w:sz w:val="24"/>
        </w:rPr>
        <w:t>附件效力</w:t>
      </w:r>
    </w:p>
    <w:p w14:paraId="79AE3818">
      <w:pPr>
        <w:spacing w:line="360" w:lineRule="auto"/>
        <w:ind w:right="11" w:firstLine="480" w:firstLineChars="200"/>
        <w:rPr>
          <w:sz w:val="24"/>
        </w:rPr>
      </w:pPr>
      <w:r>
        <w:rPr>
          <w:rFonts w:hint="eastAsia"/>
          <w:sz w:val="24"/>
        </w:rPr>
        <w:t>本合同所有附件、补充协议、中标通知书、响应文件及采购文件均为本合同不可分割的组成部分，与本合同具有同等法律效力。各部分内容如有冲突，以签署时间在后的文件为准；若为同一时间签署，则以本合同正文条款约定为准。</w:t>
      </w:r>
    </w:p>
    <w:p w14:paraId="44C1216C">
      <w:pPr>
        <w:spacing w:line="360" w:lineRule="auto"/>
        <w:ind w:right="11" w:firstLine="480" w:firstLineChars="200"/>
        <w:rPr>
          <w:sz w:val="24"/>
        </w:rPr>
      </w:pPr>
      <w:r>
        <w:rPr>
          <w:sz w:val="24"/>
        </w:rPr>
        <w:t>（以下无正文，为本合同签署页）</w:t>
      </w:r>
    </w:p>
    <w:tbl>
      <w:tblPr>
        <w:tblStyle w:val="30"/>
        <w:tblW w:w="8707" w:type="dxa"/>
        <w:tblInd w:w="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23"/>
        <w:gridCol w:w="289"/>
        <w:gridCol w:w="4395"/>
      </w:tblGrid>
      <w:tr w14:paraId="50BF5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4023" w:type="dxa"/>
            <w:vAlign w:val="center"/>
          </w:tcPr>
          <w:p w14:paraId="3EAE52FE">
            <w:pPr>
              <w:ind w:right="11"/>
              <w:rPr>
                <w:sz w:val="24"/>
              </w:rPr>
            </w:pPr>
            <w:r>
              <w:rPr>
                <w:sz w:val="24"/>
              </w:rPr>
              <w:t>甲方（盖章）：</w:t>
            </w:r>
          </w:p>
        </w:tc>
        <w:tc>
          <w:tcPr>
            <w:tcW w:w="289" w:type="dxa"/>
            <w:vAlign w:val="center"/>
          </w:tcPr>
          <w:p w14:paraId="681CFC52">
            <w:pPr>
              <w:ind w:right="11"/>
              <w:rPr>
                <w:sz w:val="24"/>
              </w:rPr>
            </w:pPr>
          </w:p>
        </w:tc>
        <w:tc>
          <w:tcPr>
            <w:tcW w:w="4395" w:type="dxa"/>
            <w:vAlign w:val="center"/>
          </w:tcPr>
          <w:p w14:paraId="41E0C60E">
            <w:pPr>
              <w:spacing w:line="360" w:lineRule="auto"/>
              <w:ind w:left="24"/>
              <w:rPr>
                <w:sz w:val="24"/>
              </w:rPr>
            </w:pPr>
            <w:r>
              <w:rPr>
                <w:rFonts w:hint="eastAsia"/>
                <w:sz w:val="24"/>
              </w:rPr>
              <w:t>乙</w:t>
            </w:r>
            <w:r>
              <w:rPr>
                <w:sz w:val="24"/>
              </w:rPr>
              <w:t>方（盖章）：</w:t>
            </w:r>
          </w:p>
        </w:tc>
      </w:tr>
      <w:tr w14:paraId="0760D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4023" w:type="dxa"/>
            <w:vAlign w:val="center"/>
          </w:tcPr>
          <w:p w14:paraId="5F10D48C">
            <w:pPr>
              <w:ind w:right="11"/>
              <w:rPr>
                <w:sz w:val="24"/>
              </w:rPr>
            </w:pPr>
            <w:r>
              <w:rPr>
                <w:sz w:val="24"/>
              </w:rPr>
              <w:t>法人或授权代表（签字）：</w:t>
            </w:r>
          </w:p>
        </w:tc>
        <w:tc>
          <w:tcPr>
            <w:tcW w:w="289" w:type="dxa"/>
            <w:vAlign w:val="center"/>
          </w:tcPr>
          <w:p w14:paraId="48432D34">
            <w:pPr>
              <w:ind w:right="11"/>
              <w:rPr>
                <w:sz w:val="24"/>
              </w:rPr>
            </w:pPr>
          </w:p>
        </w:tc>
        <w:tc>
          <w:tcPr>
            <w:tcW w:w="4395" w:type="dxa"/>
            <w:vAlign w:val="center"/>
          </w:tcPr>
          <w:p w14:paraId="52F952BC">
            <w:pPr>
              <w:ind w:right="11"/>
              <w:rPr>
                <w:sz w:val="24"/>
              </w:rPr>
            </w:pPr>
            <w:r>
              <w:rPr>
                <w:sz w:val="24"/>
              </w:rPr>
              <w:t>法人或授权代表（签字）：</w:t>
            </w:r>
          </w:p>
        </w:tc>
      </w:tr>
      <w:tr w14:paraId="0D72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4023" w:type="dxa"/>
            <w:vAlign w:val="center"/>
          </w:tcPr>
          <w:p w14:paraId="78277504">
            <w:pPr>
              <w:ind w:right="-534"/>
              <w:rPr>
                <w:sz w:val="24"/>
              </w:rPr>
            </w:pPr>
            <w:r>
              <w:rPr>
                <w:rFonts w:hint="eastAsia"/>
                <w:sz w:val="24"/>
              </w:rPr>
              <w:t>地址：</w:t>
            </w:r>
          </w:p>
        </w:tc>
        <w:tc>
          <w:tcPr>
            <w:tcW w:w="289" w:type="dxa"/>
            <w:vAlign w:val="center"/>
          </w:tcPr>
          <w:p w14:paraId="210030AF">
            <w:pPr>
              <w:ind w:right="11"/>
              <w:rPr>
                <w:sz w:val="24"/>
              </w:rPr>
            </w:pPr>
          </w:p>
        </w:tc>
        <w:tc>
          <w:tcPr>
            <w:tcW w:w="4395" w:type="dxa"/>
            <w:vAlign w:val="center"/>
          </w:tcPr>
          <w:p w14:paraId="03A47FD6">
            <w:pPr>
              <w:ind w:right="182"/>
              <w:rPr>
                <w:sz w:val="24"/>
              </w:rPr>
            </w:pPr>
            <w:r>
              <w:rPr>
                <w:rFonts w:hint="eastAsia"/>
                <w:sz w:val="24"/>
              </w:rPr>
              <w:t>地址：</w:t>
            </w:r>
          </w:p>
        </w:tc>
      </w:tr>
      <w:tr w14:paraId="0BD9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4023" w:type="dxa"/>
            <w:vAlign w:val="center"/>
          </w:tcPr>
          <w:p w14:paraId="5D56BFEC">
            <w:pPr>
              <w:ind w:right="11"/>
              <w:rPr>
                <w:sz w:val="24"/>
              </w:rPr>
            </w:pPr>
            <w:r>
              <w:rPr>
                <w:rFonts w:hint="eastAsia"/>
                <w:sz w:val="24"/>
              </w:rPr>
              <w:t>电话：</w:t>
            </w:r>
          </w:p>
        </w:tc>
        <w:tc>
          <w:tcPr>
            <w:tcW w:w="289" w:type="dxa"/>
            <w:vAlign w:val="center"/>
          </w:tcPr>
          <w:p w14:paraId="714A1E80">
            <w:pPr>
              <w:ind w:right="11"/>
              <w:rPr>
                <w:sz w:val="24"/>
              </w:rPr>
            </w:pPr>
          </w:p>
        </w:tc>
        <w:tc>
          <w:tcPr>
            <w:tcW w:w="4395" w:type="dxa"/>
            <w:vAlign w:val="center"/>
          </w:tcPr>
          <w:p w14:paraId="2C887E47">
            <w:pPr>
              <w:ind w:right="11"/>
              <w:rPr>
                <w:sz w:val="24"/>
              </w:rPr>
            </w:pPr>
            <w:r>
              <w:rPr>
                <w:rFonts w:hint="eastAsia"/>
                <w:sz w:val="24"/>
              </w:rPr>
              <w:t>电话：</w:t>
            </w:r>
            <w:bookmarkStart w:id="142" w:name="_GoBack"/>
            <w:bookmarkEnd w:id="142"/>
          </w:p>
        </w:tc>
      </w:tr>
      <w:tr w14:paraId="10472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4023" w:type="dxa"/>
            <w:vAlign w:val="center"/>
          </w:tcPr>
          <w:p w14:paraId="5F12FABD">
            <w:pPr>
              <w:ind w:right="11"/>
              <w:rPr>
                <w:sz w:val="24"/>
              </w:rPr>
            </w:pPr>
            <w:r>
              <w:rPr>
                <w:rFonts w:hint="eastAsia"/>
                <w:sz w:val="24"/>
              </w:rPr>
              <w:t>日期：年月 日</w:t>
            </w:r>
          </w:p>
        </w:tc>
        <w:tc>
          <w:tcPr>
            <w:tcW w:w="289" w:type="dxa"/>
            <w:vAlign w:val="center"/>
          </w:tcPr>
          <w:p w14:paraId="69E97A9C">
            <w:pPr>
              <w:ind w:right="11"/>
              <w:rPr>
                <w:sz w:val="24"/>
              </w:rPr>
            </w:pPr>
          </w:p>
        </w:tc>
        <w:tc>
          <w:tcPr>
            <w:tcW w:w="4395" w:type="dxa"/>
            <w:vAlign w:val="center"/>
          </w:tcPr>
          <w:p w14:paraId="52F5EBB2">
            <w:pPr>
              <w:ind w:right="11"/>
              <w:rPr>
                <w:sz w:val="24"/>
              </w:rPr>
            </w:pPr>
            <w:r>
              <w:rPr>
                <w:rFonts w:hint="eastAsia"/>
                <w:sz w:val="24"/>
              </w:rPr>
              <w:t>日期：年  月  日</w:t>
            </w:r>
          </w:p>
        </w:tc>
      </w:tr>
    </w:tbl>
    <w:p w14:paraId="5A51EBA5">
      <w:pPr>
        <w:spacing w:line="640" w:lineRule="exact"/>
        <w:rPr>
          <w:rFonts w:ascii="宋体" w:hAnsi="宋体" w:cs="宋体"/>
          <w:color w:val="auto"/>
          <w:sz w:val="24"/>
          <w:highlight w:val="none"/>
        </w:rPr>
      </w:pPr>
      <w:r>
        <w:rPr>
          <w:rFonts w:hint="eastAsia" w:ascii="宋体" w:hAnsi="宋体"/>
          <w:b/>
          <w:color w:val="auto"/>
          <w:sz w:val="22"/>
          <w:szCs w:val="22"/>
          <w:highlight w:val="none"/>
        </w:rPr>
        <w:t>注：合同最终以采购人与中标人签订的合同为准。</w:t>
      </w:r>
    </w:p>
    <w:p w14:paraId="40AC741B">
      <w:pPr>
        <w:spacing w:line="480" w:lineRule="exact"/>
        <w:jc w:val="center"/>
        <w:outlineLvl w:val="0"/>
        <w:rPr>
          <w:rFonts w:asciiTheme="minorEastAsia" w:hAnsiTheme="minorEastAsia" w:eastAsiaTheme="minorEastAsia" w:cstheme="minorEastAsia"/>
          <w:b/>
          <w:bCs/>
          <w:color w:val="auto"/>
          <w:sz w:val="28"/>
          <w:szCs w:val="28"/>
          <w:highlight w:val="none"/>
        </w:rPr>
        <w:sectPr>
          <w:footerReference r:id="rId7" w:type="default"/>
          <w:pgSz w:w="11906" w:h="16838"/>
          <w:pgMar w:top="1531" w:right="1474" w:bottom="1417" w:left="1701" w:header="851" w:footer="794" w:gutter="0"/>
          <w:cols w:space="720" w:num="1"/>
          <w:docGrid w:linePitch="312" w:charSpace="0"/>
        </w:sectPr>
      </w:pPr>
    </w:p>
    <w:p w14:paraId="0CBB69E3">
      <w:pPr>
        <w:spacing w:line="480" w:lineRule="exact"/>
        <w:jc w:val="center"/>
        <w:outlineLvl w:val="0"/>
        <w:rPr>
          <w:color w:val="auto"/>
          <w:sz w:val="24"/>
          <w:highlight w:val="none"/>
        </w:rPr>
      </w:pPr>
      <w:r>
        <w:rPr>
          <w:rFonts w:hint="eastAsia" w:asciiTheme="minorEastAsia" w:hAnsiTheme="minorEastAsia" w:eastAsiaTheme="minorEastAsia" w:cstheme="minorEastAsia"/>
          <w:b/>
          <w:bCs/>
          <w:color w:val="auto"/>
          <w:sz w:val="28"/>
          <w:szCs w:val="28"/>
          <w:highlight w:val="none"/>
        </w:rPr>
        <w:t>第五章</w:t>
      </w:r>
      <w:bookmarkEnd w:id="10"/>
      <w:r>
        <w:rPr>
          <w:rFonts w:hint="eastAsia" w:asciiTheme="minorEastAsia" w:hAnsiTheme="minorEastAsia" w:eastAsiaTheme="minorEastAsia" w:cstheme="minorEastAsia"/>
          <w:b/>
          <w:bCs/>
          <w:color w:val="auto"/>
          <w:sz w:val="28"/>
          <w:szCs w:val="28"/>
          <w:highlight w:val="none"/>
        </w:rPr>
        <w:t xml:space="preserve">  </w:t>
      </w:r>
      <w:r>
        <w:rPr>
          <w:rFonts w:hint="eastAsia" w:ascii="宋体" w:hAnsi="宋体" w:cs="宋体"/>
          <w:b/>
          <w:bCs/>
          <w:color w:val="auto"/>
          <w:sz w:val="28"/>
          <w:szCs w:val="28"/>
          <w:highlight w:val="none"/>
        </w:rPr>
        <w:t>采购需求及技术要求</w:t>
      </w:r>
      <w:bookmarkEnd w:id="11"/>
    </w:p>
    <w:p w14:paraId="1B3E8542">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bookmarkStart w:id="16" w:name="_Toc32387"/>
    </w:p>
    <w:p w14:paraId="3398D5A7">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新疆维吾尔自治区某单位大宗物资采购项目（蔬菜、水果及干果类）包含各类蔬菜及冬菜品种、水果、干果类（包含各类水果及干果品种）。</w:t>
      </w:r>
    </w:p>
    <w:p w14:paraId="6F2F7B4E">
      <w:pPr>
        <w:autoSpaceDE w:val="0"/>
        <w:autoSpaceDN w:val="0"/>
        <w:adjustRightInd w:val="0"/>
        <w:spacing w:line="360" w:lineRule="auto"/>
        <w:ind w:firstLine="562" w:firstLineChars="200"/>
        <w:jc w:val="left"/>
        <w:outlineLvl w:val="0"/>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1、总体要求：投标人所提供的产品，各项指标必须符合中华人民共和国食品安全国家标准。</w:t>
      </w:r>
    </w:p>
    <w:p w14:paraId="32C1432E">
      <w:pPr>
        <w:autoSpaceDE w:val="0"/>
        <w:autoSpaceDN w:val="0"/>
        <w:adjustRightInd w:val="0"/>
        <w:spacing w:line="360" w:lineRule="auto"/>
        <w:ind w:firstLine="562" w:firstLineChars="200"/>
        <w:jc w:val="left"/>
        <w:outlineLvl w:val="0"/>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2、卫生指标: 应符合卫生相关标准。</w:t>
      </w:r>
    </w:p>
    <w:p w14:paraId="22ACE86B">
      <w:pPr>
        <w:autoSpaceDE w:val="0"/>
        <w:autoSpaceDN w:val="0"/>
        <w:adjustRightInd w:val="0"/>
        <w:spacing w:line="360" w:lineRule="auto"/>
        <w:ind w:firstLine="562" w:firstLineChars="200"/>
        <w:jc w:val="left"/>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3、质量要求：</w:t>
      </w:r>
    </w:p>
    <w:p w14:paraId="5C4FEFE8">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(1)色泽均匀，组织鲜嫩，无发芽，无腐烂，病虫害，斑点等;(2)无肉眼可见外来杂质，外观完整；</w:t>
      </w:r>
    </w:p>
    <w:p w14:paraId="042EE3F5">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(2)无腐败味、无异味；</w:t>
      </w:r>
    </w:p>
    <w:p w14:paraId="35E9C0F7">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(3)农药残留应符合相应蔬菜种类的要求及国家公告的规定；</w:t>
      </w:r>
    </w:p>
    <w:p w14:paraId="77E2E4D3">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(4)每批次货物提供所供产品的有效检测报告。</w:t>
      </w:r>
    </w:p>
    <w:p w14:paraId="6856B088">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（5）蔬菜为新鲜蔬菜，无明显失水、萎蔫现象，腐烂变质采用合适的包装材料，防止挤压和损伤。符合国家农药残留限量标准，无化学污染。运输过程保持适宜的温度和湿度。</w:t>
      </w:r>
    </w:p>
    <w:p w14:paraId="7327C21F">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（8）水果应新鲜采摘，无明显失水、萎蔫现象。水果表皮无明显擦伤、压痕。符合国家农药残留限量标准，无化学污染。采用合适的包装材料，防止挤压和损伤。运输过程保持适宜的温度和湿度。</w:t>
      </w:r>
    </w:p>
    <w:p w14:paraId="4EB63DEC">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（9）干果类果肉饱满，大小均匀，无霉变、苦涩味，无化学添加剂，包装完整，保证在储藏和运输过程中符合相关的干度条件。</w:t>
      </w:r>
    </w:p>
    <w:p w14:paraId="76D7CE2A">
      <w:pPr>
        <w:autoSpaceDE w:val="0"/>
        <w:autoSpaceDN w:val="0"/>
        <w:adjustRightInd w:val="0"/>
        <w:spacing w:line="360" w:lineRule="auto"/>
        <w:ind w:firstLine="562" w:firstLineChars="200"/>
        <w:jc w:val="left"/>
        <w:outlineLvl w:val="0"/>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4、包装要求：</w:t>
      </w:r>
    </w:p>
    <w:p w14:paraId="0EBA1217">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（1）包装使用塑料薄膜、纸制品、网袋、泡沫箱、托盘等,材料无毒、无害、无异味,具有一定透气性；</w:t>
      </w:r>
    </w:p>
    <w:p w14:paraId="58712D19">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（2）包装材料应清洁、干燥,不得含有害物质,也不能对蔬菜、水果、干果等造成污染；</w:t>
      </w:r>
    </w:p>
    <w:p w14:paraId="090AEF89">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（3）生鲜蔬菜常用透气膜、打孔袋等,平衡保湿和透气,防止霉变或脱水。</w:t>
      </w:r>
    </w:p>
    <w:p w14:paraId="28F850FA">
      <w:pPr>
        <w:pStyle w:val="39"/>
        <w:spacing w:line="360" w:lineRule="auto"/>
        <w:ind w:firstLine="562" w:firstLineChars="200"/>
        <w:outlineLvl w:val="0"/>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5、配送要求：</w:t>
      </w:r>
    </w:p>
    <w:p w14:paraId="63D351C9">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（1）所有食材运输符合卫生标准的外包装和运载工具，运载工具要保持清洁和定期消毒。运输车厢的内仓四周，应使用抗腐蚀、防潮，易清洁消毒的材料。车厢内无异味。</w:t>
      </w:r>
    </w:p>
    <w:p w14:paraId="252FBDA2">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（2）冷藏、冷冻食材须用冷藏、冷冻载具运输，应当有必要的保温设备并在整个运输过程中保持安全的冷藏、冷冻温度，使运输食材处于恒定的环境中。</w:t>
      </w:r>
    </w:p>
    <w:p w14:paraId="5D4FD71D">
      <w:pPr>
        <w:pStyle w:val="39"/>
        <w:spacing w:line="360" w:lineRule="auto"/>
        <w:ind w:firstLine="562"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rPr>
        <w:t>6、商务要求：</w:t>
      </w:r>
    </w:p>
    <w:p w14:paraId="4169EBAE">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★（1）供货时间:在接到甲方的要货通知后24小时(最短时间)内及时送货至甲方指定地点。</w:t>
      </w:r>
    </w:p>
    <w:p w14:paraId="61684CBB">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★（2）交货地点:甲方指定地点。</w:t>
      </w:r>
    </w:p>
    <w:p w14:paraId="7B5F7579">
      <w:pPr>
        <w:pStyle w:val="39"/>
        <w:spacing w:line="360" w:lineRule="auto"/>
        <w:ind w:firstLine="560" w:firstLineChars="200"/>
        <w:outlineLvl w:val="0"/>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注：供货价格以供货当日北园春集团官网同品类中间价为基准价。</w:t>
      </w:r>
    </w:p>
    <w:p w14:paraId="7279886C">
      <w:pPr>
        <w:rPr>
          <w:color w:val="auto"/>
          <w:highlight w:val="none"/>
        </w:rPr>
        <w:sectPr>
          <w:pgSz w:w="11906" w:h="16838"/>
          <w:pgMar w:top="1531" w:right="1474" w:bottom="1417" w:left="1701" w:header="851" w:footer="794" w:gutter="0"/>
          <w:cols w:space="720" w:num="1"/>
          <w:docGrid w:linePitch="312" w:charSpace="0"/>
        </w:sectPr>
      </w:pPr>
    </w:p>
    <w:p w14:paraId="3714236F">
      <w:pPr>
        <w:pStyle w:val="39"/>
        <w:jc w:val="center"/>
        <w:outlineLvl w:val="0"/>
        <w:rPr>
          <w:color w:val="auto"/>
          <w:highlight w:val="none"/>
        </w:rPr>
      </w:pPr>
      <w:r>
        <w:rPr>
          <w:rFonts w:hint="eastAsia" w:asciiTheme="minorEastAsia" w:hAnsiTheme="minorEastAsia" w:eastAsiaTheme="minorEastAsia" w:cstheme="minorEastAsia"/>
          <w:b/>
          <w:bCs/>
          <w:color w:val="auto"/>
          <w:sz w:val="28"/>
          <w:szCs w:val="28"/>
          <w:highlight w:val="none"/>
        </w:rPr>
        <w:t>第六章  评标标准及办法</w:t>
      </w:r>
      <w:bookmarkEnd w:id="16"/>
    </w:p>
    <w:p w14:paraId="1CFE39C1">
      <w:pP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1、符合性审查</w:t>
      </w:r>
    </w:p>
    <w:tbl>
      <w:tblPr>
        <w:tblStyle w:val="30"/>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20"/>
        <w:gridCol w:w="2924"/>
        <w:gridCol w:w="5540"/>
      </w:tblGrid>
      <w:tr w14:paraId="368E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1" w:type="dxa"/>
            <w:vMerge w:val="restart"/>
            <w:vAlign w:val="center"/>
          </w:tcPr>
          <w:p w14:paraId="2ED6AAA4">
            <w:pPr>
              <w:jc w:val="center"/>
              <w:rPr>
                <w:rFonts w:ascii="宋体" w:hAnsi="宋体" w:cs="宋体"/>
                <w:color w:val="auto"/>
                <w:sz w:val="24"/>
                <w:highlight w:val="none"/>
              </w:rPr>
            </w:pPr>
            <w:r>
              <w:rPr>
                <w:rFonts w:hint="eastAsia" w:ascii="宋体" w:hAnsi="宋体" w:cs="宋体"/>
                <w:color w:val="auto"/>
                <w:sz w:val="24"/>
                <w:highlight w:val="none"/>
              </w:rPr>
              <w:t>符合性审查</w:t>
            </w:r>
          </w:p>
        </w:tc>
        <w:tc>
          <w:tcPr>
            <w:tcW w:w="620" w:type="dxa"/>
            <w:vAlign w:val="center"/>
          </w:tcPr>
          <w:p w14:paraId="25001813">
            <w:pPr>
              <w:jc w:val="center"/>
              <w:rPr>
                <w:rFonts w:ascii="宋体" w:hAnsi="宋体" w:cs="宋体"/>
                <w:color w:val="auto"/>
                <w:sz w:val="24"/>
                <w:highlight w:val="none"/>
              </w:rPr>
            </w:pPr>
            <w:r>
              <w:rPr>
                <w:rFonts w:hint="eastAsia" w:ascii="宋体" w:hAnsi="宋体" w:cs="宋体"/>
                <w:color w:val="auto"/>
                <w:sz w:val="24"/>
                <w:highlight w:val="none"/>
              </w:rPr>
              <w:t>1</w:t>
            </w:r>
          </w:p>
        </w:tc>
        <w:tc>
          <w:tcPr>
            <w:tcW w:w="2924" w:type="dxa"/>
            <w:vAlign w:val="center"/>
          </w:tcPr>
          <w:p w14:paraId="7E52AA34">
            <w:pPr>
              <w:rPr>
                <w:rFonts w:ascii="宋体" w:hAnsi="宋体" w:cs="宋体"/>
                <w:color w:val="auto"/>
                <w:sz w:val="24"/>
                <w:highlight w:val="none"/>
              </w:rPr>
            </w:pPr>
            <w:r>
              <w:rPr>
                <w:rFonts w:hint="eastAsia" w:ascii="宋体" w:hAnsi="宋体" w:cs="宋体"/>
                <w:color w:val="auto"/>
                <w:sz w:val="24"/>
                <w:highlight w:val="none"/>
              </w:rPr>
              <w:t>供应商名称</w:t>
            </w:r>
          </w:p>
        </w:tc>
        <w:tc>
          <w:tcPr>
            <w:tcW w:w="5540" w:type="dxa"/>
            <w:vAlign w:val="center"/>
          </w:tcPr>
          <w:p w14:paraId="798C039C">
            <w:pPr>
              <w:rPr>
                <w:rFonts w:ascii="宋体" w:hAnsi="宋体" w:cs="宋体"/>
                <w:color w:val="auto"/>
                <w:sz w:val="24"/>
                <w:highlight w:val="none"/>
              </w:rPr>
            </w:pPr>
            <w:r>
              <w:rPr>
                <w:rFonts w:hint="eastAsia" w:ascii="宋体" w:hAnsi="宋体" w:cs="宋体"/>
                <w:color w:val="auto"/>
                <w:sz w:val="24"/>
                <w:highlight w:val="none"/>
              </w:rPr>
              <w:t>供应商名称是否与营业执照及相关资质证件一致</w:t>
            </w:r>
          </w:p>
        </w:tc>
      </w:tr>
      <w:tr w14:paraId="15B9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6FF1D1FD">
            <w:pPr>
              <w:jc w:val="center"/>
              <w:rPr>
                <w:rFonts w:ascii="宋体" w:hAnsi="宋体" w:cs="宋体"/>
                <w:color w:val="auto"/>
                <w:sz w:val="24"/>
                <w:highlight w:val="none"/>
              </w:rPr>
            </w:pPr>
          </w:p>
        </w:tc>
        <w:tc>
          <w:tcPr>
            <w:tcW w:w="620" w:type="dxa"/>
            <w:vAlign w:val="center"/>
          </w:tcPr>
          <w:p w14:paraId="3872C055">
            <w:pPr>
              <w:jc w:val="center"/>
              <w:rPr>
                <w:rFonts w:ascii="宋体" w:hAnsi="宋体" w:cs="宋体"/>
                <w:color w:val="auto"/>
                <w:sz w:val="24"/>
                <w:highlight w:val="none"/>
              </w:rPr>
            </w:pPr>
            <w:r>
              <w:rPr>
                <w:rFonts w:hint="eastAsia" w:ascii="宋体" w:hAnsi="宋体" w:cs="宋体"/>
                <w:color w:val="auto"/>
                <w:sz w:val="24"/>
                <w:highlight w:val="none"/>
              </w:rPr>
              <w:t>2</w:t>
            </w:r>
          </w:p>
        </w:tc>
        <w:tc>
          <w:tcPr>
            <w:tcW w:w="2924" w:type="dxa"/>
            <w:vAlign w:val="center"/>
          </w:tcPr>
          <w:p w14:paraId="434F97D1">
            <w:pPr>
              <w:rPr>
                <w:rFonts w:ascii="宋体" w:hAnsi="宋体" w:cs="宋体"/>
                <w:color w:val="auto"/>
                <w:sz w:val="24"/>
                <w:highlight w:val="none"/>
              </w:rPr>
            </w:pPr>
            <w:r>
              <w:rPr>
                <w:rFonts w:hint="eastAsia" w:ascii="宋体" w:hAnsi="宋体" w:cs="宋体"/>
                <w:color w:val="auto"/>
                <w:sz w:val="24"/>
                <w:highlight w:val="none"/>
              </w:rPr>
              <w:t>投文件签署、盖章</w:t>
            </w:r>
          </w:p>
        </w:tc>
        <w:tc>
          <w:tcPr>
            <w:tcW w:w="5540" w:type="dxa"/>
            <w:vAlign w:val="center"/>
          </w:tcPr>
          <w:p w14:paraId="4412110B">
            <w:pPr>
              <w:rPr>
                <w:rFonts w:ascii="宋体" w:hAnsi="宋体" w:cs="宋体"/>
                <w:color w:val="auto"/>
                <w:sz w:val="24"/>
                <w:highlight w:val="none"/>
              </w:rPr>
            </w:pPr>
            <w:r>
              <w:rPr>
                <w:rFonts w:hint="eastAsia" w:ascii="宋体" w:hAnsi="宋体" w:cs="宋体"/>
                <w:color w:val="auto"/>
                <w:sz w:val="24"/>
                <w:highlight w:val="none"/>
              </w:rPr>
              <w:t>响应文件（首页及内容）是否按采购文件规定格式完整提供，是否对采购文件的实质性内容完全响应，并按采购文件要求签署、盖章</w:t>
            </w:r>
          </w:p>
        </w:tc>
      </w:tr>
      <w:tr w14:paraId="42A2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Merge w:val="continue"/>
            <w:vAlign w:val="center"/>
          </w:tcPr>
          <w:p w14:paraId="392A5164">
            <w:pPr>
              <w:jc w:val="center"/>
              <w:rPr>
                <w:rFonts w:ascii="宋体" w:hAnsi="宋体" w:cs="宋体"/>
                <w:color w:val="auto"/>
                <w:sz w:val="24"/>
                <w:highlight w:val="none"/>
              </w:rPr>
            </w:pPr>
          </w:p>
        </w:tc>
        <w:tc>
          <w:tcPr>
            <w:tcW w:w="620" w:type="dxa"/>
            <w:vAlign w:val="center"/>
          </w:tcPr>
          <w:p w14:paraId="34E2814A">
            <w:pPr>
              <w:jc w:val="center"/>
              <w:rPr>
                <w:rFonts w:ascii="宋体" w:hAnsi="宋体" w:cs="宋体"/>
                <w:color w:val="auto"/>
                <w:sz w:val="24"/>
                <w:highlight w:val="none"/>
              </w:rPr>
            </w:pPr>
            <w:r>
              <w:rPr>
                <w:rFonts w:hint="eastAsia" w:ascii="宋体" w:hAnsi="宋体" w:cs="宋体"/>
                <w:color w:val="auto"/>
                <w:sz w:val="24"/>
                <w:highlight w:val="none"/>
              </w:rPr>
              <w:t>3</w:t>
            </w:r>
          </w:p>
        </w:tc>
        <w:tc>
          <w:tcPr>
            <w:tcW w:w="2924" w:type="dxa"/>
            <w:vAlign w:val="center"/>
          </w:tcPr>
          <w:p w14:paraId="26B346E8">
            <w:pPr>
              <w:rPr>
                <w:rFonts w:ascii="宋体" w:hAnsi="宋体" w:cs="宋体"/>
                <w:color w:val="auto"/>
                <w:sz w:val="24"/>
                <w:highlight w:val="none"/>
              </w:rPr>
            </w:pPr>
            <w:r>
              <w:rPr>
                <w:rFonts w:hint="eastAsia" w:ascii="宋体" w:hAnsi="宋体" w:cs="宋体"/>
                <w:color w:val="auto"/>
                <w:sz w:val="24"/>
                <w:highlight w:val="none"/>
              </w:rPr>
              <w:t>供货期、服务期限及投标有效期</w:t>
            </w:r>
          </w:p>
        </w:tc>
        <w:tc>
          <w:tcPr>
            <w:tcW w:w="5540" w:type="dxa"/>
            <w:vAlign w:val="center"/>
          </w:tcPr>
          <w:p w14:paraId="0C0A6C25">
            <w:pPr>
              <w:rPr>
                <w:rFonts w:ascii="宋体" w:hAnsi="宋体" w:cs="宋体"/>
                <w:color w:val="auto"/>
                <w:sz w:val="24"/>
                <w:highlight w:val="none"/>
              </w:rPr>
            </w:pPr>
            <w:r>
              <w:rPr>
                <w:rFonts w:hint="eastAsia" w:ascii="宋体" w:hAnsi="宋体" w:cs="宋体"/>
                <w:color w:val="auto"/>
                <w:sz w:val="24"/>
                <w:highlight w:val="none"/>
              </w:rPr>
              <w:t>供货期、服务期限及投标有效期等是否满足采购文件要求</w:t>
            </w:r>
          </w:p>
        </w:tc>
      </w:tr>
      <w:tr w14:paraId="5E4B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01" w:type="dxa"/>
            <w:vMerge w:val="continue"/>
            <w:vAlign w:val="center"/>
          </w:tcPr>
          <w:p w14:paraId="15696A41">
            <w:pPr>
              <w:jc w:val="center"/>
              <w:rPr>
                <w:rFonts w:ascii="宋体" w:hAnsi="宋体" w:cs="宋体"/>
                <w:color w:val="auto"/>
                <w:sz w:val="24"/>
                <w:highlight w:val="none"/>
              </w:rPr>
            </w:pPr>
          </w:p>
        </w:tc>
        <w:tc>
          <w:tcPr>
            <w:tcW w:w="620" w:type="dxa"/>
            <w:shd w:val="clear" w:color="auto" w:fill="auto"/>
            <w:vAlign w:val="center"/>
          </w:tcPr>
          <w:p w14:paraId="2724CA96">
            <w:pPr>
              <w:jc w:val="center"/>
              <w:rPr>
                <w:rFonts w:ascii="宋体" w:hAnsi="宋体" w:cs="宋体"/>
                <w:color w:val="auto"/>
                <w:sz w:val="24"/>
                <w:highlight w:val="none"/>
              </w:rPr>
            </w:pPr>
            <w:r>
              <w:rPr>
                <w:rFonts w:hint="eastAsia" w:ascii="宋体" w:hAnsi="宋体" w:cs="宋体"/>
                <w:color w:val="auto"/>
                <w:sz w:val="24"/>
                <w:highlight w:val="none"/>
              </w:rPr>
              <w:t>4</w:t>
            </w:r>
          </w:p>
        </w:tc>
        <w:tc>
          <w:tcPr>
            <w:tcW w:w="2924" w:type="dxa"/>
            <w:shd w:val="clear" w:color="auto" w:fill="auto"/>
            <w:vAlign w:val="center"/>
          </w:tcPr>
          <w:p w14:paraId="71B80FA7">
            <w:pPr>
              <w:rPr>
                <w:rFonts w:ascii="宋体" w:hAnsi="宋体" w:cs="宋体"/>
                <w:color w:val="auto"/>
                <w:sz w:val="24"/>
                <w:highlight w:val="none"/>
              </w:rPr>
            </w:pPr>
            <w:r>
              <w:rPr>
                <w:rFonts w:hint="eastAsia" w:ascii="宋体" w:hAnsi="宋体" w:cs="宋体"/>
                <w:color w:val="auto"/>
                <w:kern w:val="0"/>
                <w:sz w:val="24"/>
                <w:highlight w:val="none"/>
              </w:rPr>
              <w:t>投标报价</w:t>
            </w:r>
          </w:p>
        </w:tc>
        <w:tc>
          <w:tcPr>
            <w:tcW w:w="5540" w:type="dxa"/>
            <w:shd w:val="clear" w:color="auto" w:fill="auto"/>
            <w:vAlign w:val="center"/>
          </w:tcPr>
          <w:p w14:paraId="5FCF62AA">
            <w:pPr>
              <w:rPr>
                <w:rFonts w:ascii="宋体" w:hAnsi="宋体" w:cs="宋体"/>
                <w:color w:val="auto"/>
                <w:sz w:val="24"/>
                <w:highlight w:val="none"/>
              </w:rPr>
            </w:pPr>
            <w:r>
              <w:rPr>
                <w:rFonts w:hint="eastAsia" w:ascii="宋体" w:hAnsi="宋体" w:cs="宋体"/>
                <w:color w:val="auto"/>
                <w:sz w:val="24"/>
                <w:highlight w:val="none"/>
              </w:rPr>
              <w:t>供应商的投标报价未超出本项目的最高限价且报价唯一</w:t>
            </w:r>
          </w:p>
        </w:tc>
      </w:tr>
      <w:tr w14:paraId="15A4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01" w:type="dxa"/>
            <w:vMerge w:val="continue"/>
            <w:vAlign w:val="center"/>
          </w:tcPr>
          <w:p w14:paraId="5E6EB422">
            <w:pPr>
              <w:jc w:val="center"/>
              <w:rPr>
                <w:rFonts w:ascii="宋体" w:hAnsi="宋体" w:cs="宋体"/>
                <w:color w:val="auto"/>
                <w:sz w:val="24"/>
                <w:highlight w:val="none"/>
              </w:rPr>
            </w:pPr>
          </w:p>
        </w:tc>
        <w:tc>
          <w:tcPr>
            <w:tcW w:w="620" w:type="dxa"/>
            <w:shd w:val="clear" w:color="auto" w:fill="auto"/>
            <w:vAlign w:val="center"/>
          </w:tcPr>
          <w:p w14:paraId="17F7567D">
            <w:pPr>
              <w:jc w:val="center"/>
              <w:rPr>
                <w:rFonts w:ascii="宋体" w:hAnsi="宋体" w:cs="宋体"/>
                <w:color w:val="auto"/>
                <w:sz w:val="24"/>
                <w:highlight w:val="none"/>
              </w:rPr>
            </w:pPr>
            <w:r>
              <w:rPr>
                <w:rFonts w:hint="eastAsia" w:ascii="宋体" w:hAnsi="宋体" w:cs="宋体"/>
                <w:color w:val="auto"/>
                <w:sz w:val="24"/>
                <w:highlight w:val="none"/>
              </w:rPr>
              <w:t>5</w:t>
            </w:r>
          </w:p>
        </w:tc>
        <w:tc>
          <w:tcPr>
            <w:tcW w:w="2924" w:type="dxa"/>
            <w:shd w:val="clear" w:color="auto" w:fill="auto"/>
            <w:vAlign w:val="center"/>
          </w:tcPr>
          <w:p w14:paraId="5555592D">
            <w:pPr>
              <w:rPr>
                <w:rFonts w:ascii="宋体" w:hAnsi="宋体" w:cs="宋体"/>
                <w:color w:val="auto"/>
                <w:sz w:val="24"/>
                <w:highlight w:val="none"/>
              </w:rPr>
            </w:pPr>
            <w:r>
              <w:rPr>
                <w:rFonts w:hint="eastAsia" w:ascii="宋体" w:hAnsi="宋体" w:cs="宋体"/>
                <w:color w:val="auto"/>
                <w:sz w:val="24"/>
                <w:highlight w:val="none"/>
              </w:rPr>
              <w:t>供应商投标报价合理性审查</w:t>
            </w:r>
          </w:p>
        </w:tc>
        <w:tc>
          <w:tcPr>
            <w:tcW w:w="5540" w:type="dxa"/>
            <w:shd w:val="clear" w:color="auto" w:fill="auto"/>
            <w:vAlign w:val="center"/>
          </w:tcPr>
          <w:p w14:paraId="62255344">
            <w:pPr>
              <w:rPr>
                <w:rFonts w:ascii="宋体" w:hAnsi="宋体" w:cs="宋体"/>
                <w:color w:val="auto"/>
                <w:sz w:val="24"/>
                <w:highlight w:val="none"/>
              </w:rPr>
            </w:pPr>
            <w:r>
              <w:rPr>
                <w:rFonts w:hint="eastAsia" w:ascii="宋体" w:hAnsi="宋体" w:cs="宋体"/>
                <w:color w:val="auto"/>
                <w:sz w:val="24"/>
                <w:highlight w:val="none"/>
              </w:rPr>
              <w:t>评标委员会认为供应商的报价明显低于其他通过符合性审查供应商的报价，有可能影响产品质量或者不能诚信履约的，应当要求其在评标现场合理的时间内提供相关说明，必要时提交相关证明材料；供应商不能证明其报价合理性的，评标委员会应当将其作为无效投标处理。此项审查结果不予通过</w:t>
            </w:r>
          </w:p>
        </w:tc>
      </w:tr>
      <w:tr w14:paraId="4391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6AF4D373">
            <w:pPr>
              <w:jc w:val="center"/>
              <w:rPr>
                <w:rFonts w:ascii="宋体" w:hAnsi="宋体" w:cs="宋体"/>
                <w:color w:val="auto"/>
                <w:sz w:val="24"/>
                <w:highlight w:val="none"/>
              </w:rPr>
            </w:pPr>
          </w:p>
        </w:tc>
        <w:tc>
          <w:tcPr>
            <w:tcW w:w="620" w:type="dxa"/>
            <w:shd w:val="clear" w:color="auto" w:fill="auto"/>
            <w:vAlign w:val="center"/>
          </w:tcPr>
          <w:p w14:paraId="06E68917">
            <w:pPr>
              <w:jc w:val="center"/>
              <w:rPr>
                <w:rFonts w:ascii="宋体" w:hAnsi="宋体" w:cs="宋体"/>
                <w:color w:val="auto"/>
                <w:sz w:val="24"/>
                <w:highlight w:val="none"/>
              </w:rPr>
            </w:pPr>
            <w:r>
              <w:rPr>
                <w:rFonts w:hint="eastAsia" w:ascii="宋体" w:hAnsi="宋体" w:cs="宋体"/>
                <w:color w:val="auto"/>
                <w:sz w:val="24"/>
                <w:highlight w:val="none"/>
              </w:rPr>
              <w:t>6</w:t>
            </w:r>
          </w:p>
        </w:tc>
        <w:tc>
          <w:tcPr>
            <w:tcW w:w="2924" w:type="dxa"/>
            <w:shd w:val="clear" w:color="auto" w:fill="auto"/>
            <w:vAlign w:val="center"/>
          </w:tcPr>
          <w:p w14:paraId="56115190">
            <w:pPr>
              <w:rPr>
                <w:rFonts w:ascii="宋体" w:hAnsi="宋体" w:cs="宋体"/>
                <w:color w:val="auto"/>
                <w:sz w:val="24"/>
                <w:highlight w:val="none"/>
              </w:rPr>
            </w:pPr>
            <w:r>
              <w:rPr>
                <w:rFonts w:hint="eastAsia" w:ascii="宋体" w:hAnsi="宋体" w:cs="宋体"/>
                <w:color w:val="auto"/>
                <w:sz w:val="24"/>
                <w:highlight w:val="none"/>
              </w:rPr>
              <w:t>供应商是否缴纳投标保证金</w:t>
            </w:r>
          </w:p>
        </w:tc>
        <w:tc>
          <w:tcPr>
            <w:tcW w:w="5540" w:type="dxa"/>
            <w:shd w:val="clear" w:color="auto" w:fill="auto"/>
            <w:vAlign w:val="center"/>
          </w:tcPr>
          <w:p w14:paraId="26E2E49F">
            <w:pPr>
              <w:rPr>
                <w:rFonts w:ascii="宋体" w:hAnsi="宋体" w:cs="宋体"/>
                <w:color w:val="auto"/>
                <w:sz w:val="24"/>
                <w:highlight w:val="none"/>
              </w:rPr>
            </w:pPr>
            <w:r>
              <w:rPr>
                <w:rFonts w:hint="eastAsia" w:ascii="宋体" w:hAnsi="宋体" w:cs="宋体"/>
                <w:color w:val="auto"/>
                <w:sz w:val="24"/>
                <w:highlight w:val="none"/>
              </w:rPr>
              <w:t>以支票、汇票、本票、转账、电汇或者金融机构、担保机构出具的保函等非现金形式提交；（提供相关证明材料）</w:t>
            </w:r>
          </w:p>
        </w:tc>
      </w:tr>
      <w:tr w14:paraId="388F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365815AD">
            <w:pPr>
              <w:jc w:val="center"/>
              <w:rPr>
                <w:rFonts w:ascii="宋体" w:hAnsi="宋体" w:cs="宋体"/>
                <w:color w:val="auto"/>
                <w:sz w:val="24"/>
                <w:highlight w:val="none"/>
              </w:rPr>
            </w:pPr>
          </w:p>
        </w:tc>
        <w:tc>
          <w:tcPr>
            <w:tcW w:w="620" w:type="dxa"/>
            <w:shd w:val="clear" w:color="auto" w:fill="auto"/>
            <w:vAlign w:val="center"/>
          </w:tcPr>
          <w:p w14:paraId="4D7DE928">
            <w:pPr>
              <w:jc w:val="center"/>
              <w:rPr>
                <w:rFonts w:ascii="宋体" w:hAnsi="宋体" w:cs="宋体"/>
                <w:color w:val="auto"/>
                <w:sz w:val="24"/>
                <w:highlight w:val="none"/>
              </w:rPr>
            </w:pPr>
            <w:r>
              <w:rPr>
                <w:rFonts w:hint="eastAsia" w:ascii="宋体" w:hAnsi="宋体" w:cs="宋体"/>
                <w:color w:val="auto"/>
                <w:sz w:val="24"/>
                <w:highlight w:val="none"/>
              </w:rPr>
              <w:t>7</w:t>
            </w:r>
          </w:p>
        </w:tc>
        <w:tc>
          <w:tcPr>
            <w:tcW w:w="2924" w:type="dxa"/>
            <w:shd w:val="clear" w:color="auto" w:fill="auto"/>
            <w:vAlign w:val="center"/>
          </w:tcPr>
          <w:p w14:paraId="195D7340">
            <w:pPr>
              <w:rPr>
                <w:rFonts w:ascii="宋体" w:hAnsi="宋体" w:cs="宋体"/>
                <w:color w:val="auto"/>
                <w:sz w:val="24"/>
                <w:highlight w:val="none"/>
              </w:rPr>
            </w:pPr>
            <w:r>
              <w:rPr>
                <w:rFonts w:hint="eastAsia" w:ascii="宋体" w:hAnsi="宋体" w:cs="宋体"/>
                <w:color w:val="auto"/>
                <w:sz w:val="24"/>
                <w:highlight w:val="none"/>
              </w:rPr>
              <w:t>采购范围</w:t>
            </w:r>
          </w:p>
        </w:tc>
        <w:tc>
          <w:tcPr>
            <w:tcW w:w="5540" w:type="dxa"/>
            <w:shd w:val="clear" w:color="auto" w:fill="auto"/>
            <w:vAlign w:val="center"/>
          </w:tcPr>
          <w:p w14:paraId="3418BA85">
            <w:pPr>
              <w:rPr>
                <w:rFonts w:ascii="宋体" w:hAnsi="宋体" w:cs="宋体"/>
                <w:color w:val="auto"/>
                <w:sz w:val="24"/>
                <w:highlight w:val="none"/>
              </w:rPr>
            </w:pPr>
            <w:r>
              <w:rPr>
                <w:rFonts w:hint="eastAsia" w:ascii="宋体" w:hAnsi="宋体" w:cs="宋体"/>
                <w:color w:val="auto"/>
                <w:sz w:val="24"/>
                <w:highlight w:val="none"/>
              </w:rPr>
              <w:t>投标文件载明的采购范围是否符合采购文件的要求，供应商必须按采购文件要求应答，否则做否决处理。</w:t>
            </w:r>
          </w:p>
        </w:tc>
      </w:tr>
      <w:tr w14:paraId="4326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56EE5860">
            <w:pPr>
              <w:jc w:val="center"/>
              <w:rPr>
                <w:rFonts w:ascii="宋体" w:hAnsi="宋体" w:cs="宋体"/>
                <w:color w:val="auto"/>
                <w:sz w:val="24"/>
                <w:highlight w:val="none"/>
              </w:rPr>
            </w:pPr>
          </w:p>
        </w:tc>
        <w:tc>
          <w:tcPr>
            <w:tcW w:w="620" w:type="dxa"/>
            <w:shd w:val="clear" w:color="auto" w:fill="auto"/>
            <w:vAlign w:val="center"/>
          </w:tcPr>
          <w:p w14:paraId="3AD6D9DE">
            <w:pPr>
              <w:jc w:val="center"/>
              <w:rPr>
                <w:rFonts w:ascii="宋体" w:hAnsi="宋体" w:cs="宋体"/>
                <w:color w:val="auto"/>
                <w:sz w:val="24"/>
                <w:highlight w:val="none"/>
              </w:rPr>
            </w:pPr>
            <w:r>
              <w:rPr>
                <w:rFonts w:hint="eastAsia" w:ascii="宋体" w:hAnsi="宋体" w:cs="宋体"/>
                <w:color w:val="auto"/>
                <w:sz w:val="24"/>
                <w:highlight w:val="none"/>
              </w:rPr>
              <w:t>8</w:t>
            </w:r>
          </w:p>
        </w:tc>
        <w:tc>
          <w:tcPr>
            <w:tcW w:w="2924" w:type="dxa"/>
            <w:shd w:val="clear" w:color="auto" w:fill="auto"/>
            <w:vAlign w:val="center"/>
          </w:tcPr>
          <w:p w14:paraId="179481FB">
            <w:pPr>
              <w:rPr>
                <w:rFonts w:ascii="宋体" w:hAnsi="宋体" w:cs="宋体"/>
                <w:color w:val="auto"/>
                <w:sz w:val="24"/>
                <w:highlight w:val="none"/>
              </w:rPr>
            </w:pPr>
            <w:r>
              <w:rPr>
                <w:rFonts w:hint="eastAsia" w:ascii="宋体" w:hAnsi="宋体" w:cs="宋体"/>
                <w:color w:val="auto"/>
                <w:sz w:val="24"/>
                <w:highlight w:val="none"/>
              </w:rPr>
              <w:t>实质性条款</w:t>
            </w:r>
          </w:p>
        </w:tc>
        <w:tc>
          <w:tcPr>
            <w:tcW w:w="5540" w:type="dxa"/>
            <w:shd w:val="clear" w:color="auto" w:fill="auto"/>
            <w:vAlign w:val="center"/>
          </w:tcPr>
          <w:p w14:paraId="35DF832E">
            <w:pPr>
              <w:rPr>
                <w:rFonts w:ascii="宋体" w:hAnsi="宋体" w:cs="宋体"/>
                <w:color w:val="auto"/>
                <w:sz w:val="24"/>
                <w:highlight w:val="none"/>
              </w:rPr>
            </w:pPr>
            <w:r>
              <w:rPr>
                <w:rFonts w:hint="eastAsia" w:ascii="宋体" w:hAnsi="宋体" w:cs="宋体"/>
                <w:color w:val="auto"/>
                <w:sz w:val="24"/>
                <w:highlight w:val="none"/>
              </w:rPr>
              <w:t>投标文件中载明的实质性条款及实质性格式均符合招标文件要求无偏离。</w:t>
            </w:r>
          </w:p>
        </w:tc>
      </w:tr>
      <w:tr w14:paraId="5AED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029477F2">
            <w:pPr>
              <w:jc w:val="center"/>
              <w:rPr>
                <w:rFonts w:ascii="宋体" w:hAnsi="宋体" w:cs="宋体"/>
                <w:color w:val="auto"/>
                <w:sz w:val="24"/>
                <w:highlight w:val="none"/>
              </w:rPr>
            </w:pPr>
          </w:p>
        </w:tc>
        <w:tc>
          <w:tcPr>
            <w:tcW w:w="620" w:type="dxa"/>
            <w:vAlign w:val="center"/>
          </w:tcPr>
          <w:p w14:paraId="04BD2D57">
            <w:pPr>
              <w:jc w:val="center"/>
              <w:rPr>
                <w:rFonts w:ascii="宋体" w:hAnsi="宋体" w:cs="宋体"/>
                <w:color w:val="auto"/>
                <w:sz w:val="24"/>
                <w:highlight w:val="none"/>
              </w:rPr>
            </w:pPr>
            <w:r>
              <w:rPr>
                <w:rFonts w:hint="eastAsia" w:ascii="宋体" w:hAnsi="宋体" w:cs="宋体"/>
                <w:color w:val="auto"/>
                <w:sz w:val="24"/>
                <w:highlight w:val="none"/>
              </w:rPr>
              <w:t>9</w:t>
            </w:r>
          </w:p>
        </w:tc>
        <w:tc>
          <w:tcPr>
            <w:tcW w:w="2924" w:type="dxa"/>
            <w:shd w:val="clear" w:color="auto" w:fill="auto"/>
            <w:vAlign w:val="center"/>
          </w:tcPr>
          <w:p w14:paraId="3BD895F8">
            <w:pPr>
              <w:rPr>
                <w:rFonts w:ascii="宋体" w:hAnsi="宋体" w:cs="宋体"/>
                <w:color w:val="auto"/>
                <w:sz w:val="24"/>
                <w:highlight w:val="none"/>
              </w:rPr>
            </w:pPr>
            <w:r>
              <w:rPr>
                <w:rFonts w:hint="eastAsia" w:ascii="宋体" w:hAnsi="宋体" w:cs="宋体"/>
                <w:color w:val="auto"/>
                <w:sz w:val="24"/>
                <w:highlight w:val="none"/>
              </w:rPr>
              <w:t>串通投标</w:t>
            </w:r>
          </w:p>
        </w:tc>
        <w:tc>
          <w:tcPr>
            <w:tcW w:w="5540" w:type="dxa"/>
            <w:shd w:val="clear" w:color="auto" w:fill="auto"/>
            <w:vAlign w:val="center"/>
          </w:tcPr>
          <w:p w14:paraId="70F31476">
            <w:pPr>
              <w:rPr>
                <w:rFonts w:ascii="宋体" w:hAnsi="宋体" w:cs="宋体"/>
                <w:color w:val="auto"/>
                <w:sz w:val="24"/>
                <w:highlight w:val="none"/>
              </w:rPr>
            </w:pPr>
            <w:r>
              <w:rPr>
                <w:rFonts w:hint="eastAsia" w:ascii="宋体" w:hAnsi="宋体" w:cs="宋体"/>
                <w:color w:val="auto"/>
                <w:sz w:val="24"/>
                <w:highlight w:val="none"/>
              </w:rPr>
              <w:t>不存在《政府采购货物和服务招标投标管理办法》视为供应商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3291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01" w:type="dxa"/>
            <w:vMerge w:val="continue"/>
            <w:vAlign w:val="center"/>
          </w:tcPr>
          <w:p w14:paraId="042799FA">
            <w:pPr>
              <w:jc w:val="center"/>
              <w:rPr>
                <w:rFonts w:ascii="宋体" w:hAnsi="宋体" w:cs="宋体"/>
                <w:color w:val="auto"/>
                <w:sz w:val="24"/>
                <w:highlight w:val="none"/>
              </w:rPr>
            </w:pPr>
          </w:p>
        </w:tc>
        <w:tc>
          <w:tcPr>
            <w:tcW w:w="620" w:type="dxa"/>
            <w:vAlign w:val="center"/>
          </w:tcPr>
          <w:p w14:paraId="20E87A0A">
            <w:pPr>
              <w:jc w:val="center"/>
              <w:rPr>
                <w:rFonts w:ascii="宋体" w:hAnsi="宋体" w:cs="宋体"/>
                <w:color w:val="auto"/>
                <w:sz w:val="24"/>
                <w:highlight w:val="none"/>
              </w:rPr>
            </w:pPr>
            <w:r>
              <w:rPr>
                <w:rFonts w:hint="eastAsia" w:ascii="宋体" w:hAnsi="宋体" w:cs="宋体"/>
                <w:color w:val="auto"/>
                <w:sz w:val="24"/>
                <w:highlight w:val="none"/>
              </w:rPr>
              <w:t>10</w:t>
            </w:r>
          </w:p>
        </w:tc>
        <w:tc>
          <w:tcPr>
            <w:tcW w:w="2924" w:type="dxa"/>
            <w:shd w:val="clear" w:color="auto" w:fill="auto"/>
            <w:vAlign w:val="center"/>
          </w:tcPr>
          <w:p w14:paraId="34D0DE6B">
            <w:pPr>
              <w:rPr>
                <w:rFonts w:ascii="宋体" w:hAnsi="宋体" w:cs="宋体"/>
                <w:color w:val="auto"/>
                <w:sz w:val="24"/>
                <w:highlight w:val="none"/>
              </w:rPr>
            </w:pPr>
            <w:r>
              <w:rPr>
                <w:rFonts w:hint="eastAsia" w:ascii="宋体" w:hAnsi="宋体" w:cs="宋体"/>
                <w:color w:val="auto"/>
                <w:sz w:val="24"/>
                <w:highlight w:val="none"/>
              </w:rPr>
              <w:t>其他无效情形</w:t>
            </w:r>
          </w:p>
        </w:tc>
        <w:tc>
          <w:tcPr>
            <w:tcW w:w="5540" w:type="dxa"/>
            <w:shd w:val="clear" w:color="auto" w:fill="auto"/>
            <w:vAlign w:val="center"/>
          </w:tcPr>
          <w:p w14:paraId="6609ABEB">
            <w:pPr>
              <w:rPr>
                <w:rFonts w:ascii="宋体" w:hAnsi="宋体" w:cs="宋体"/>
                <w:color w:val="auto"/>
                <w:sz w:val="24"/>
                <w:highlight w:val="none"/>
              </w:rPr>
            </w:pPr>
            <w:r>
              <w:rPr>
                <w:rFonts w:hint="eastAsia" w:ascii="宋体" w:hAnsi="宋体" w:cs="宋体"/>
                <w:color w:val="auto"/>
                <w:sz w:val="24"/>
                <w:highlight w:val="none"/>
              </w:rPr>
              <w:t>投标文件未附有采购人不能接受的附加条件及法律、法规和采购文件规定的实质性要求。</w:t>
            </w:r>
          </w:p>
        </w:tc>
      </w:tr>
      <w:tr w14:paraId="582B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785" w:type="dxa"/>
            <w:gridSpan w:val="4"/>
            <w:vAlign w:val="center"/>
          </w:tcPr>
          <w:p w14:paraId="363893E0">
            <w:pPr>
              <w:rPr>
                <w:rFonts w:ascii="宋体" w:hAnsi="宋体" w:cs="宋体"/>
                <w:color w:val="auto"/>
                <w:sz w:val="24"/>
                <w:highlight w:val="none"/>
              </w:rPr>
            </w:pPr>
            <w:r>
              <w:rPr>
                <w:rFonts w:hint="eastAsia" w:ascii="宋体" w:hAnsi="宋体" w:cs="宋体"/>
                <w:b/>
                <w:bCs/>
                <w:color w:val="auto"/>
                <w:sz w:val="24"/>
                <w:highlight w:val="none"/>
              </w:rPr>
              <w:t>符合性检查不通过者，作无效标处理，不得进入下一环节评审。</w:t>
            </w:r>
          </w:p>
        </w:tc>
      </w:tr>
    </w:tbl>
    <w:p w14:paraId="2EDE2BAB">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注：异常低价投标（响应）审查：</w:t>
      </w:r>
    </w:p>
    <w:p w14:paraId="07BADDBE">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（一）审查依据</w:t>
      </w:r>
    </w:p>
    <w:p w14:paraId="7ECAD205">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依据《中华人民共和国政府采购法》《中华人民共和国政府采购法实施条例》及财政部2026年2号文件《关于加强政府采购异常低价投标（响应）认定与审查工作的通知》等相关规定，本项目评标委员会对投标（响应）报价开展异常低价审查工作。</w:t>
      </w:r>
    </w:p>
    <w:p w14:paraId="5AA54582">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（二）异常低价情形认定投标（响应）投标人出现下列情形之一的，评标委员会将启动异常低价审查程序：</w:t>
      </w:r>
    </w:p>
    <w:p w14:paraId="6A2F7928">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（1）投标（响应）报价低于全部通过符合性审查投标人报价平均值的65%；</w:t>
      </w:r>
    </w:p>
    <w:p w14:paraId="73433332">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（2）投标（响应）报价低于通过符合性审查次低报价的65%；</w:t>
      </w:r>
    </w:p>
    <w:p w14:paraId="247B7AA7">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（3）投标（响应）报价低于本项目最高限价的65%；</w:t>
      </w:r>
    </w:p>
    <w:p w14:paraId="15A664F6">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（4）评标委员会基于专业判断，认为报价过低可能影响项目履约质量、不能满足采购需求与技术参数或无法诚信履约的其他情形。</w:t>
      </w:r>
    </w:p>
    <w:p w14:paraId="1F721AC1">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（三）审查要求及处理</w:t>
      </w:r>
    </w:p>
    <w:p w14:paraId="63034F16">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被启动审查的投标人，须在合理时间内（不少于30分钟），就报价合理性提交书面说明，并提供项目成本测算明细、原材料采购意向协议、人工成本核算依据等可核验的证明材料。</w:t>
      </w:r>
    </w:p>
    <w:p w14:paraId="6166E0C7">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投标人未按要求提交说明及证明材料，或提交的材料无法有效证明报价合理性的，评标委员会将其投标（响应）作无效处理。</w:t>
      </w:r>
    </w:p>
    <w:p w14:paraId="660DC5D2">
      <w:pPr>
        <w:spacing w:line="360" w:lineRule="auto"/>
        <w:ind w:firstLine="480" w:firstLineChars="200"/>
        <w:jc w:val="left"/>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异常低价审查的全过程及结论，由评标委员会如实记入评审报告，随招标项目档案一并存档备查。</w:t>
      </w:r>
    </w:p>
    <w:p w14:paraId="523386B9">
      <w:pP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2、详细评审</w:t>
      </w:r>
    </w:p>
    <w:p w14:paraId="45204334">
      <w:pPr>
        <w:spacing w:line="360" w:lineRule="auto"/>
        <w:ind w:firstLine="480" w:firstLineChars="200"/>
        <w:jc w:val="left"/>
        <w:rPr>
          <w:rStyle w:val="83"/>
          <w:color w:val="auto"/>
          <w:highlight w:val="none"/>
        </w:rPr>
      </w:pPr>
      <w:r>
        <w:rPr>
          <w:rFonts w:hint="eastAsia" w:asciiTheme="minorEastAsia" w:hAnsiTheme="minorEastAsia" w:eastAsiaTheme="minorEastAsia" w:cstheme="minorEastAsia"/>
          <w:bCs/>
          <w:color w:val="auto"/>
          <w:sz w:val="24"/>
          <w:highlight w:val="none"/>
        </w:rPr>
        <w:t>评标委员会将采用综合评分法对响应文件所载明的供应商的投标报价、响应文件的业绩、项目经验等内容进行打分，依据得分从高到低的顺序最终确定成交单位（推荐中标候选人）。评审标准为100分，经济部分占30分、商务技术部分占70分,最终得分=经济得分+商务技术得分，具体评分标准如下：</w:t>
      </w:r>
    </w:p>
    <w:tbl>
      <w:tblPr>
        <w:tblStyle w:val="29"/>
        <w:tblpPr w:leftFromText="180" w:rightFromText="180" w:vertAnchor="text" w:horzAnchor="page" w:tblpXSpec="center" w:tblpY="548"/>
        <w:tblOverlap w:val="never"/>
        <w:tblW w:w="1008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3"/>
        <w:gridCol w:w="1808"/>
        <w:gridCol w:w="792"/>
        <w:gridCol w:w="6516"/>
      </w:tblGrid>
      <w:tr w14:paraId="3439D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2781" w:type="dxa"/>
            <w:gridSpan w:val="2"/>
            <w:tcBorders>
              <w:top w:val="single" w:color="auto" w:sz="4" w:space="0"/>
              <w:left w:val="single" w:color="auto" w:sz="4" w:space="0"/>
              <w:bottom w:val="single" w:color="auto" w:sz="4" w:space="0"/>
              <w:right w:val="single" w:color="auto" w:sz="4" w:space="0"/>
            </w:tcBorders>
          </w:tcPr>
          <w:p w14:paraId="4A785058">
            <w:pPr>
              <w:adjustRightInd w:val="0"/>
              <w:spacing w:line="360" w:lineRule="auto"/>
              <w:jc w:val="center"/>
              <w:textAlignment w:val="baseline"/>
              <w:rPr>
                <w:b/>
                <w:color w:val="auto"/>
                <w:sz w:val="24"/>
                <w:highlight w:val="none"/>
              </w:rPr>
            </w:pPr>
            <w:r>
              <w:rPr>
                <w:rFonts w:hint="eastAsia"/>
                <w:b/>
                <w:color w:val="auto"/>
                <w:sz w:val="24"/>
                <w:highlight w:val="none"/>
              </w:rPr>
              <w:t>评审项目</w:t>
            </w:r>
          </w:p>
        </w:tc>
        <w:tc>
          <w:tcPr>
            <w:tcW w:w="792" w:type="dxa"/>
            <w:tcBorders>
              <w:top w:val="single" w:color="auto" w:sz="4" w:space="0"/>
              <w:left w:val="single" w:color="auto" w:sz="4" w:space="0"/>
              <w:bottom w:val="single" w:color="auto" w:sz="4" w:space="0"/>
              <w:right w:val="single" w:color="auto" w:sz="4" w:space="0"/>
            </w:tcBorders>
          </w:tcPr>
          <w:p w14:paraId="1522007F">
            <w:pPr>
              <w:adjustRightInd w:val="0"/>
              <w:spacing w:line="360" w:lineRule="auto"/>
              <w:jc w:val="center"/>
              <w:textAlignment w:val="baseline"/>
              <w:rPr>
                <w:bCs/>
                <w:color w:val="auto"/>
                <w:sz w:val="24"/>
                <w:highlight w:val="none"/>
              </w:rPr>
            </w:pPr>
            <w:r>
              <w:rPr>
                <w:rFonts w:hint="eastAsia"/>
                <w:b/>
                <w:color w:val="auto"/>
                <w:sz w:val="24"/>
                <w:highlight w:val="none"/>
              </w:rPr>
              <w:t>分值</w:t>
            </w:r>
          </w:p>
        </w:tc>
        <w:tc>
          <w:tcPr>
            <w:tcW w:w="6516" w:type="dxa"/>
            <w:tcBorders>
              <w:top w:val="single" w:color="auto" w:sz="4" w:space="0"/>
              <w:left w:val="single" w:color="auto" w:sz="4" w:space="0"/>
              <w:bottom w:val="single" w:color="auto" w:sz="4" w:space="0"/>
              <w:right w:val="single" w:color="auto" w:sz="4" w:space="0"/>
            </w:tcBorders>
          </w:tcPr>
          <w:p w14:paraId="5F1CC726">
            <w:pPr>
              <w:adjustRightInd w:val="0"/>
              <w:spacing w:line="360" w:lineRule="auto"/>
              <w:jc w:val="center"/>
              <w:textAlignment w:val="baseline"/>
              <w:rPr>
                <w:color w:val="auto"/>
                <w:szCs w:val="21"/>
                <w:highlight w:val="none"/>
              </w:rPr>
            </w:pPr>
            <w:r>
              <w:rPr>
                <w:rFonts w:hint="eastAsia"/>
                <w:b/>
                <w:color w:val="auto"/>
                <w:sz w:val="24"/>
                <w:highlight w:val="none"/>
              </w:rPr>
              <w:t>评审内容</w:t>
            </w:r>
          </w:p>
        </w:tc>
      </w:tr>
      <w:tr w14:paraId="5ACFEA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973" w:type="dxa"/>
            <w:tcBorders>
              <w:top w:val="single" w:color="auto" w:sz="4" w:space="0"/>
              <w:left w:val="single" w:color="auto" w:sz="4" w:space="0"/>
              <w:bottom w:val="single" w:color="auto" w:sz="4" w:space="0"/>
              <w:right w:val="single" w:color="auto" w:sz="4" w:space="0"/>
            </w:tcBorders>
            <w:vAlign w:val="center"/>
          </w:tcPr>
          <w:p w14:paraId="7691366C">
            <w:pPr>
              <w:adjustRightInd w:val="0"/>
              <w:snapToGrid w:val="0"/>
              <w:spacing w:line="360" w:lineRule="exact"/>
              <w:jc w:val="center"/>
              <w:textAlignment w:val="baseline"/>
              <w:rPr>
                <w:color w:val="auto"/>
                <w:sz w:val="24"/>
                <w:highlight w:val="none"/>
              </w:rPr>
            </w:pPr>
            <w:r>
              <w:rPr>
                <w:rFonts w:hint="eastAsia"/>
                <w:color w:val="auto"/>
                <w:sz w:val="24"/>
                <w:highlight w:val="none"/>
              </w:rPr>
              <w:t>价格部分</w:t>
            </w:r>
          </w:p>
          <w:p w14:paraId="322FADDB">
            <w:pPr>
              <w:adjustRightInd w:val="0"/>
              <w:spacing w:line="360" w:lineRule="auto"/>
              <w:jc w:val="center"/>
              <w:textAlignment w:val="baseline"/>
              <w:rPr>
                <w:b/>
                <w:color w:val="auto"/>
                <w:sz w:val="24"/>
                <w:highlight w:val="none"/>
              </w:rPr>
            </w:pPr>
            <w:r>
              <w:rPr>
                <w:rFonts w:hint="eastAsia"/>
                <w:color w:val="auto"/>
                <w:sz w:val="24"/>
                <w:highlight w:val="none"/>
              </w:rPr>
              <w:t>（30）</w:t>
            </w:r>
          </w:p>
        </w:tc>
        <w:tc>
          <w:tcPr>
            <w:tcW w:w="1808" w:type="dxa"/>
            <w:tcBorders>
              <w:top w:val="single" w:color="auto" w:sz="4" w:space="0"/>
              <w:left w:val="single" w:color="auto" w:sz="4" w:space="0"/>
              <w:bottom w:val="single" w:color="auto" w:sz="4" w:space="0"/>
              <w:right w:val="single" w:color="auto" w:sz="4" w:space="0"/>
            </w:tcBorders>
            <w:vAlign w:val="center"/>
          </w:tcPr>
          <w:p w14:paraId="38C9D1F2">
            <w:pPr>
              <w:adjustRightInd w:val="0"/>
              <w:spacing w:line="360" w:lineRule="auto"/>
              <w:jc w:val="center"/>
              <w:textAlignment w:val="baseline"/>
              <w:rPr>
                <w:bCs/>
                <w:color w:val="auto"/>
                <w:sz w:val="24"/>
                <w:highlight w:val="none"/>
              </w:rPr>
            </w:pPr>
            <w:r>
              <w:rPr>
                <w:rFonts w:hint="eastAsia"/>
                <w:color w:val="auto"/>
                <w:sz w:val="24"/>
                <w:highlight w:val="none"/>
              </w:rPr>
              <w:t>报价</w:t>
            </w:r>
          </w:p>
        </w:tc>
        <w:tc>
          <w:tcPr>
            <w:tcW w:w="792" w:type="dxa"/>
            <w:tcBorders>
              <w:top w:val="single" w:color="auto" w:sz="4" w:space="0"/>
              <w:left w:val="single" w:color="auto" w:sz="4" w:space="0"/>
              <w:bottom w:val="single" w:color="auto" w:sz="4" w:space="0"/>
              <w:right w:val="single" w:color="auto" w:sz="4" w:space="0"/>
            </w:tcBorders>
            <w:vAlign w:val="center"/>
          </w:tcPr>
          <w:p w14:paraId="46FE15B9">
            <w:pPr>
              <w:adjustRightInd w:val="0"/>
              <w:spacing w:line="360" w:lineRule="auto"/>
              <w:jc w:val="center"/>
              <w:textAlignment w:val="baseline"/>
              <w:rPr>
                <w:bCs/>
                <w:color w:val="auto"/>
                <w:sz w:val="24"/>
                <w:highlight w:val="none"/>
              </w:rPr>
            </w:pPr>
            <w:r>
              <w:rPr>
                <w:rFonts w:hint="eastAsia"/>
                <w:bCs/>
                <w:color w:val="auto"/>
                <w:sz w:val="24"/>
                <w:highlight w:val="none"/>
              </w:rPr>
              <w:t>30</w:t>
            </w:r>
          </w:p>
        </w:tc>
        <w:tc>
          <w:tcPr>
            <w:tcW w:w="6516" w:type="dxa"/>
            <w:tcBorders>
              <w:top w:val="single" w:color="auto" w:sz="4" w:space="0"/>
              <w:left w:val="single" w:color="auto" w:sz="4" w:space="0"/>
              <w:bottom w:val="single" w:color="auto" w:sz="4" w:space="0"/>
              <w:right w:val="single" w:color="auto" w:sz="4" w:space="0"/>
            </w:tcBorders>
            <w:vAlign w:val="center"/>
          </w:tcPr>
          <w:p w14:paraId="385AF809">
            <w:pPr>
              <w:pStyle w:val="82"/>
              <w:spacing w:line="240" w:lineRule="auto"/>
              <w:ind w:firstLine="0" w:firstLineChars="0"/>
              <w:rPr>
                <w:rFonts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满足采购文件要求且折扣率最低的有效投标报价为评标基准价。其他投标人的价格分统一按照下列公式计算：</w:t>
            </w:r>
          </w:p>
          <w:p w14:paraId="461DC8C4">
            <w:pPr>
              <w:widowControl/>
              <w:jc w:val="left"/>
              <w:rPr>
                <w:rFonts w:ascii="宋体" w:hAnsi="宋体" w:cs="宋体"/>
                <w:color w:val="auto"/>
                <w:sz w:val="24"/>
                <w:highlight w:val="none"/>
                <w:lang w:bidi="ar"/>
              </w:rPr>
            </w:pPr>
            <w:r>
              <w:rPr>
                <w:rFonts w:hint="eastAsia" w:ascii="宋体" w:hAnsi="宋体" w:cs="宋体"/>
                <w:color w:val="auto"/>
                <w:sz w:val="24"/>
                <w:highlight w:val="none"/>
                <w:lang w:bidi="ar"/>
              </w:rPr>
              <w:t>报价得分=(评标基准价/投标报价)×30%×100；</w:t>
            </w:r>
            <w:r>
              <w:rPr>
                <w:rFonts w:hint="eastAsia" w:ascii="宋体" w:hAnsi="宋体" w:cs="宋体"/>
                <w:color w:val="auto"/>
                <w:kern w:val="0"/>
                <w:sz w:val="24"/>
                <w:highlight w:val="none"/>
                <w:lang w:bidi="ar"/>
              </w:rPr>
              <w:t>（保留小数点后两位）</w:t>
            </w:r>
          </w:p>
          <w:p w14:paraId="2EB2C58C">
            <w:pPr>
              <w:adjustRightInd w:val="0"/>
              <w:snapToGrid w:val="0"/>
              <w:spacing w:line="360" w:lineRule="exact"/>
              <w:textAlignment w:val="baseline"/>
              <w:rPr>
                <w:b/>
                <w:bCs/>
                <w:color w:val="auto"/>
                <w:sz w:val="24"/>
                <w:highlight w:val="none"/>
              </w:rPr>
            </w:pPr>
            <w:r>
              <w:rPr>
                <w:rFonts w:hint="eastAsia" w:cs="仿宋_GB2312"/>
                <w:b/>
                <w:bCs/>
                <w:color w:val="auto"/>
                <w:sz w:val="24"/>
                <w:highlight w:val="none"/>
              </w:rPr>
              <w:t>以上所有报价得分小数点后保留两位，报价得负分时按0分计取。</w:t>
            </w:r>
          </w:p>
          <w:p w14:paraId="78BC071E">
            <w:pPr>
              <w:adjustRightInd w:val="0"/>
              <w:snapToGrid w:val="0"/>
              <w:spacing w:line="360" w:lineRule="exact"/>
              <w:textAlignment w:val="baseline"/>
              <w:rPr>
                <w:b/>
                <w:bCs/>
                <w:color w:val="auto"/>
                <w:sz w:val="24"/>
                <w:highlight w:val="none"/>
              </w:rPr>
            </w:pPr>
            <w:r>
              <w:rPr>
                <w:rFonts w:hint="eastAsia"/>
                <w:b/>
                <w:bCs/>
                <w:color w:val="auto"/>
                <w:sz w:val="24"/>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特别是对于投入人员及相关设备等成本合理性的说明），其投标将被作为无效投标。</w:t>
            </w:r>
          </w:p>
          <w:p w14:paraId="25DD48C3">
            <w:pPr>
              <w:adjustRightInd w:val="0"/>
              <w:spacing w:line="320" w:lineRule="exact"/>
              <w:textAlignment w:val="baseline"/>
              <w:rPr>
                <w:color w:val="auto"/>
                <w:sz w:val="24"/>
                <w:highlight w:val="none"/>
              </w:rPr>
            </w:pPr>
            <w:r>
              <w:rPr>
                <w:rFonts w:hint="eastAsia"/>
                <w:b/>
                <w:bCs/>
                <w:color w:val="auto"/>
                <w:sz w:val="24"/>
                <w:highlight w:val="none"/>
              </w:rPr>
              <w:t>本项目的价格权重为30%。</w:t>
            </w:r>
          </w:p>
        </w:tc>
      </w:tr>
      <w:tr w14:paraId="6EECD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973" w:type="dxa"/>
            <w:vMerge w:val="restart"/>
            <w:tcBorders>
              <w:top w:val="single" w:color="auto" w:sz="4" w:space="0"/>
              <w:left w:val="single" w:color="auto" w:sz="4" w:space="0"/>
              <w:right w:val="single" w:color="auto" w:sz="4" w:space="0"/>
            </w:tcBorders>
            <w:vAlign w:val="center"/>
          </w:tcPr>
          <w:p w14:paraId="39252340">
            <w:pPr>
              <w:adjustRightInd w:val="0"/>
              <w:spacing w:line="360" w:lineRule="auto"/>
              <w:jc w:val="center"/>
              <w:textAlignment w:val="baseline"/>
              <w:rPr>
                <w:b/>
                <w:color w:val="auto"/>
                <w:sz w:val="24"/>
                <w:highlight w:val="none"/>
              </w:rPr>
            </w:pPr>
            <w:r>
              <w:rPr>
                <w:rFonts w:hint="eastAsia"/>
                <w:bCs/>
                <w:color w:val="auto"/>
                <w:sz w:val="24"/>
                <w:highlight w:val="none"/>
              </w:rPr>
              <w:t>商务、技术部分（70分）</w:t>
            </w:r>
          </w:p>
        </w:tc>
        <w:tc>
          <w:tcPr>
            <w:tcW w:w="1808" w:type="dxa"/>
            <w:tcBorders>
              <w:top w:val="single" w:color="auto" w:sz="4" w:space="0"/>
              <w:left w:val="single" w:color="auto" w:sz="4" w:space="0"/>
              <w:bottom w:val="single" w:color="auto" w:sz="4" w:space="0"/>
              <w:right w:val="single" w:color="auto" w:sz="4" w:space="0"/>
            </w:tcBorders>
            <w:vAlign w:val="center"/>
          </w:tcPr>
          <w:p w14:paraId="48F6500D">
            <w:pPr>
              <w:adjustRightInd w:val="0"/>
              <w:spacing w:line="360" w:lineRule="auto"/>
              <w:jc w:val="center"/>
              <w:textAlignment w:val="baseline"/>
              <w:rPr>
                <w:bCs/>
                <w:color w:val="auto"/>
                <w:sz w:val="24"/>
                <w:highlight w:val="none"/>
              </w:rPr>
            </w:pPr>
            <w:r>
              <w:rPr>
                <w:rFonts w:hint="eastAsia"/>
                <w:color w:val="auto"/>
                <w:sz w:val="24"/>
                <w:highlight w:val="none"/>
              </w:rPr>
              <w:t>类似项目经验</w:t>
            </w:r>
          </w:p>
        </w:tc>
        <w:tc>
          <w:tcPr>
            <w:tcW w:w="792" w:type="dxa"/>
            <w:tcBorders>
              <w:top w:val="single" w:color="auto" w:sz="4" w:space="0"/>
              <w:left w:val="single" w:color="auto" w:sz="4" w:space="0"/>
              <w:bottom w:val="single" w:color="auto" w:sz="4" w:space="0"/>
              <w:right w:val="single" w:color="auto" w:sz="4" w:space="0"/>
            </w:tcBorders>
            <w:vAlign w:val="center"/>
          </w:tcPr>
          <w:p w14:paraId="7F8A3C08">
            <w:pPr>
              <w:adjustRightInd w:val="0"/>
              <w:spacing w:line="360" w:lineRule="auto"/>
              <w:jc w:val="center"/>
              <w:textAlignment w:val="baseline"/>
              <w:rPr>
                <w:b/>
                <w:color w:val="auto"/>
                <w:sz w:val="24"/>
                <w:highlight w:val="none"/>
              </w:rPr>
            </w:pPr>
            <w:r>
              <w:rPr>
                <w:rFonts w:hint="eastAsia"/>
                <w:bCs/>
                <w:color w:val="auto"/>
                <w:sz w:val="24"/>
                <w:highlight w:val="none"/>
              </w:rPr>
              <w:t>10</w:t>
            </w:r>
          </w:p>
        </w:tc>
        <w:tc>
          <w:tcPr>
            <w:tcW w:w="6516" w:type="dxa"/>
            <w:tcBorders>
              <w:top w:val="single" w:color="auto" w:sz="4" w:space="0"/>
              <w:left w:val="single" w:color="auto" w:sz="4" w:space="0"/>
              <w:bottom w:val="single" w:color="auto" w:sz="4" w:space="0"/>
              <w:right w:val="single" w:color="auto" w:sz="4" w:space="0"/>
            </w:tcBorders>
            <w:vAlign w:val="center"/>
          </w:tcPr>
          <w:p w14:paraId="480D492A">
            <w:pPr>
              <w:pStyle w:val="36"/>
              <w:spacing w:after="0"/>
              <w:ind w:left="0" w:leftChars="0" w:firstLine="0" w:firstLineChars="0"/>
              <w:rPr>
                <w:color w:val="auto"/>
                <w:sz w:val="24"/>
                <w:highlight w:val="none"/>
              </w:rPr>
            </w:pPr>
            <w:r>
              <w:rPr>
                <w:rFonts w:hint="eastAsia"/>
                <w:color w:val="auto"/>
                <w:sz w:val="24"/>
                <w:highlight w:val="none"/>
              </w:rPr>
              <w:t>供应商近3年（2023年1月1日至今）的业绩情况，每提供一个类似项目业绩得2分，本项最多得10分。</w:t>
            </w:r>
          </w:p>
          <w:p w14:paraId="660247F8">
            <w:pPr>
              <w:pStyle w:val="36"/>
              <w:spacing w:after="0"/>
              <w:ind w:left="0" w:leftChars="0" w:firstLine="0" w:firstLineChars="0"/>
              <w:rPr>
                <w:b/>
                <w:bCs/>
                <w:color w:val="auto"/>
                <w:sz w:val="24"/>
                <w:highlight w:val="none"/>
              </w:rPr>
            </w:pPr>
            <w:r>
              <w:rPr>
                <w:rFonts w:hint="eastAsia"/>
                <w:b/>
                <w:bCs/>
                <w:color w:val="auto"/>
                <w:sz w:val="24"/>
                <w:highlight w:val="none"/>
              </w:rPr>
              <w:t>注：（1）须提供合同及发票复印件（合同内容必须体现：金额页、内容页、盖章页、日期页等；每个合同提供2张发票即可，每张发票扫描件须完整清晰且具有电子二维码，发票应体现具体内容，如发票未体现具体内容，必须附服务清单），任意一项合同及发票内容提供不全或上述材料不清晰不完整无法辨识的本项不得分。</w:t>
            </w:r>
          </w:p>
          <w:p w14:paraId="0F47C9E2">
            <w:pPr>
              <w:pStyle w:val="36"/>
              <w:spacing w:after="0"/>
              <w:ind w:left="0" w:leftChars="0" w:firstLine="0" w:firstLineChars="0"/>
              <w:rPr>
                <w:color w:val="auto"/>
                <w:sz w:val="24"/>
                <w:highlight w:val="none"/>
              </w:rPr>
            </w:pPr>
            <w:r>
              <w:rPr>
                <w:rFonts w:hint="eastAsia"/>
                <w:b/>
                <w:bCs/>
                <w:color w:val="auto"/>
                <w:sz w:val="24"/>
                <w:highlight w:val="none"/>
              </w:rPr>
              <w:t>（2）日期以合同签订日期为准，提供业绩证明材料为已完成或者合同正在履约中均可，同一项目续签合同的不可重复得分。</w:t>
            </w:r>
          </w:p>
        </w:tc>
      </w:tr>
      <w:tr w14:paraId="469631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3" w:type="dxa"/>
            <w:vMerge w:val="continue"/>
            <w:tcBorders>
              <w:left w:val="single" w:color="auto" w:sz="4" w:space="0"/>
              <w:right w:val="single" w:color="auto" w:sz="4" w:space="0"/>
            </w:tcBorders>
            <w:vAlign w:val="center"/>
          </w:tcPr>
          <w:p w14:paraId="27245432">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0760EF1A">
            <w:pPr>
              <w:adjustRightInd w:val="0"/>
              <w:spacing w:line="360" w:lineRule="auto"/>
              <w:jc w:val="center"/>
              <w:textAlignment w:val="baseline"/>
              <w:rPr>
                <w:bCs/>
                <w:color w:val="auto"/>
                <w:sz w:val="24"/>
                <w:highlight w:val="none"/>
              </w:rPr>
            </w:pPr>
            <w:r>
              <w:rPr>
                <w:rFonts w:hint="eastAsia"/>
                <w:color w:val="auto"/>
                <w:sz w:val="24"/>
                <w:highlight w:val="none"/>
              </w:rPr>
              <w:t>配送车辆</w:t>
            </w:r>
          </w:p>
        </w:tc>
        <w:tc>
          <w:tcPr>
            <w:tcW w:w="792" w:type="dxa"/>
            <w:tcBorders>
              <w:top w:val="single" w:color="auto" w:sz="4" w:space="0"/>
              <w:left w:val="single" w:color="auto" w:sz="4" w:space="0"/>
              <w:bottom w:val="single" w:color="auto" w:sz="4" w:space="0"/>
              <w:right w:val="single" w:color="auto" w:sz="4" w:space="0"/>
            </w:tcBorders>
            <w:vAlign w:val="center"/>
          </w:tcPr>
          <w:p w14:paraId="7CAB64D0">
            <w:pPr>
              <w:adjustRightInd w:val="0"/>
              <w:spacing w:line="360" w:lineRule="auto"/>
              <w:jc w:val="center"/>
              <w:textAlignment w:val="baseline"/>
              <w:rPr>
                <w:bCs/>
                <w:color w:val="auto"/>
                <w:sz w:val="24"/>
                <w:highlight w:val="none"/>
              </w:rPr>
            </w:pPr>
            <w:r>
              <w:rPr>
                <w:rFonts w:hint="eastAsia"/>
                <w:bCs/>
                <w:color w:val="auto"/>
                <w:sz w:val="24"/>
                <w:highlight w:val="none"/>
              </w:rPr>
              <w:t>8</w:t>
            </w:r>
          </w:p>
        </w:tc>
        <w:tc>
          <w:tcPr>
            <w:tcW w:w="6516" w:type="dxa"/>
            <w:tcBorders>
              <w:top w:val="single" w:color="auto" w:sz="4" w:space="0"/>
              <w:left w:val="single" w:color="auto" w:sz="4" w:space="0"/>
              <w:bottom w:val="single" w:color="auto" w:sz="4" w:space="0"/>
              <w:right w:val="single" w:color="auto" w:sz="4" w:space="0"/>
            </w:tcBorders>
          </w:tcPr>
          <w:p w14:paraId="61F21D6B">
            <w:pPr>
              <w:adjustRightInd w:val="0"/>
              <w:textAlignment w:val="baseline"/>
              <w:rPr>
                <w:color w:val="auto"/>
                <w:sz w:val="24"/>
                <w:highlight w:val="none"/>
              </w:rPr>
            </w:pPr>
            <w:r>
              <w:rPr>
                <w:rFonts w:hint="eastAsia"/>
                <w:color w:val="auto"/>
                <w:sz w:val="24"/>
                <w:highlight w:val="none"/>
              </w:rPr>
              <w:t>提供本项目的配送车辆，且必须为货车（配送车辆至少有一辆冷藏车），每提供1辆车的得2分，满分,8分；</w:t>
            </w:r>
          </w:p>
          <w:p w14:paraId="224F62D1">
            <w:pPr>
              <w:adjustRightInd w:val="0"/>
              <w:textAlignment w:val="baseline"/>
              <w:rPr>
                <w:b/>
                <w:bCs/>
                <w:color w:val="auto"/>
                <w:sz w:val="24"/>
                <w:highlight w:val="none"/>
              </w:rPr>
            </w:pPr>
            <w:r>
              <w:rPr>
                <w:rFonts w:hint="eastAsia"/>
                <w:b/>
                <w:bCs/>
                <w:color w:val="auto"/>
                <w:sz w:val="24"/>
                <w:highlight w:val="none"/>
              </w:rPr>
              <w:t>（1）自有车辆（或法人所有）提供机动车行驶证及车辆登记证（配送车辆如为租赁的，须提供机动车行驶证及租赁合同）</w:t>
            </w:r>
          </w:p>
          <w:p w14:paraId="0DB436CF">
            <w:pPr>
              <w:adjustRightInd w:val="0"/>
              <w:textAlignment w:val="baseline"/>
              <w:rPr>
                <w:b/>
                <w:bCs/>
                <w:color w:val="auto"/>
                <w:sz w:val="24"/>
                <w:highlight w:val="none"/>
              </w:rPr>
            </w:pPr>
            <w:r>
              <w:rPr>
                <w:rFonts w:hint="eastAsia"/>
                <w:b/>
                <w:bCs/>
                <w:color w:val="auto"/>
                <w:sz w:val="24"/>
                <w:highlight w:val="none"/>
              </w:rPr>
              <w:t>（2）提供车辆照片且与行驶证一致</w:t>
            </w:r>
          </w:p>
          <w:p w14:paraId="106A7A11">
            <w:pPr>
              <w:adjustRightInd w:val="0"/>
              <w:textAlignment w:val="baseline"/>
              <w:rPr>
                <w:color w:val="auto"/>
                <w:sz w:val="24"/>
                <w:highlight w:val="none"/>
              </w:rPr>
            </w:pPr>
            <w:r>
              <w:rPr>
                <w:rFonts w:hint="eastAsia"/>
                <w:b/>
                <w:bCs/>
                <w:color w:val="auto"/>
                <w:sz w:val="24"/>
                <w:highlight w:val="none"/>
              </w:rPr>
              <w:t>注：以上两项任意一项未提供、提供不全或上述材料不清晰不完整无法辨识的本项不得分。（所有车辆必须符合国家标准货运车辆且在交管部门备案、各类手续齐全）</w:t>
            </w:r>
          </w:p>
        </w:tc>
      </w:tr>
      <w:tr w14:paraId="66622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jc w:val="center"/>
        </w:trPr>
        <w:tc>
          <w:tcPr>
            <w:tcW w:w="973" w:type="dxa"/>
            <w:vMerge w:val="continue"/>
            <w:tcBorders>
              <w:left w:val="single" w:color="auto" w:sz="4" w:space="0"/>
              <w:right w:val="single" w:color="auto" w:sz="4" w:space="0"/>
            </w:tcBorders>
            <w:vAlign w:val="center"/>
          </w:tcPr>
          <w:p w14:paraId="3A28D77F">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03A5F2B7">
            <w:pPr>
              <w:adjustRightInd w:val="0"/>
              <w:spacing w:line="360" w:lineRule="auto"/>
              <w:jc w:val="center"/>
              <w:textAlignment w:val="baseline"/>
              <w:rPr>
                <w:bCs/>
                <w:color w:val="auto"/>
                <w:sz w:val="24"/>
                <w:highlight w:val="none"/>
              </w:rPr>
            </w:pPr>
            <w:r>
              <w:rPr>
                <w:rFonts w:hint="eastAsia"/>
                <w:color w:val="auto"/>
                <w:sz w:val="24"/>
                <w:highlight w:val="none"/>
              </w:rPr>
              <w:t>人员配备</w:t>
            </w:r>
          </w:p>
        </w:tc>
        <w:tc>
          <w:tcPr>
            <w:tcW w:w="792" w:type="dxa"/>
            <w:tcBorders>
              <w:top w:val="single" w:color="auto" w:sz="4" w:space="0"/>
              <w:left w:val="single" w:color="auto" w:sz="4" w:space="0"/>
              <w:bottom w:val="single" w:color="auto" w:sz="4" w:space="0"/>
              <w:right w:val="single" w:color="auto" w:sz="4" w:space="0"/>
            </w:tcBorders>
            <w:vAlign w:val="center"/>
          </w:tcPr>
          <w:p w14:paraId="5BE88EEC">
            <w:pPr>
              <w:adjustRightInd w:val="0"/>
              <w:spacing w:line="360" w:lineRule="auto"/>
              <w:jc w:val="center"/>
              <w:textAlignment w:val="baseline"/>
              <w:rPr>
                <w:bCs/>
                <w:color w:val="auto"/>
                <w:sz w:val="24"/>
                <w:highlight w:val="none"/>
              </w:rPr>
            </w:pPr>
            <w:r>
              <w:rPr>
                <w:rFonts w:hint="eastAsia"/>
                <w:bCs/>
                <w:color w:val="auto"/>
                <w:sz w:val="24"/>
                <w:highlight w:val="none"/>
              </w:rPr>
              <w:t>2</w:t>
            </w:r>
          </w:p>
        </w:tc>
        <w:tc>
          <w:tcPr>
            <w:tcW w:w="6516" w:type="dxa"/>
            <w:tcBorders>
              <w:top w:val="single" w:color="auto" w:sz="4" w:space="0"/>
              <w:left w:val="single" w:color="auto" w:sz="4" w:space="0"/>
              <w:bottom w:val="single" w:color="auto" w:sz="4" w:space="0"/>
              <w:right w:val="single" w:color="auto" w:sz="4" w:space="0"/>
            </w:tcBorders>
          </w:tcPr>
          <w:p w14:paraId="59BC6800">
            <w:pPr>
              <w:adjustRightInd w:val="0"/>
              <w:textAlignment w:val="baseline"/>
              <w:rPr>
                <w:color w:val="auto"/>
                <w:sz w:val="24"/>
                <w:highlight w:val="none"/>
              </w:rPr>
            </w:pPr>
            <w:r>
              <w:rPr>
                <w:rFonts w:hint="eastAsia"/>
                <w:color w:val="auto"/>
                <w:sz w:val="24"/>
                <w:highlight w:val="none"/>
              </w:rPr>
              <w:t>供应商拟投入本项目的服务人员配置齐全（包括项目负责人、财务人员、采购人员、配送人员及其职责分工等），不少于4人，每增加1人得1分，满分2分。</w:t>
            </w:r>
          </w:p>
          <w:p w14:paraId="56E1E500">
            <w:pPr>
              <w:adjustRightInd w:val="0"/>
              <w:textAlignment w:val="baseline"/>
              <w:rPr>
                <w:color w:val="auto"/>
                <w:sz w:val="24"/>
                <w:highlight w:val="none"/>
              </w:rPr>
            </w:pPr>
            <w:r>
              <w:rPr>
                <w:rFonts w:hint="eastAsia"/>
                <w:b/>
                <w:bCs/>
                <w:color w:val="auto"/>
                <w:sz w:val="24"/>
                <w:highlight w:val="none"/>
              </w:rPr>
              <w:t>注：须提供以上人员的身份证、劳动合同，未提供或缺任意一项不得分。</w:t>
            </w:r>
          </w:p>
        </w:tc>
      </w:tr>
      <w:tr w14:paraId="1F9A6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5" w:hRule="atLeast"/>
          <w:jc w:val="center"/>
        </w:trPr>
        <w:tc>
          <w:tcPr>
            <w:tcW w:w="973" w:type="dxa"/>
            <w:vMerge w:val="continue"/>
            <w:tcBorders>
              <w:left w:val="single" w:color="auto" w:sz="4" w:space="0"/>
              <w:right w:val="single" w:color="auto" w:sz="4" w:space="0"/>
            </w:tcBorders>
            <w:vAlign w:val="center"/>
          </w:tcPr>
          <w:p w14:paraId="6C5771E1">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vAlign w:val="center"/>
          </w:tcPr>
          <w:p w14:paraId="5A57B264">
            <w:pPr>
              <w:adjustRightInd w:val="0"/>
              <w:spacing w:line="360" w:lineRule="auto"/>
              <w:jc w:val="center"/>
              <w:textAlignment w:val="baseline"/>
              <w:rPr>
                <w:bCs/>
                <w:color w:val="auto"/>
                <w:sz w:val="24"/>
                <w:highlight w:val="none"/>
              </w:rPr>
            </w:pPr>
            <w:r>
              <w:rPr>
                <w:rFonts w:hint="eastAsia"/>
                <w:color w:val="auto"/>
                <w:sz w:val="24"/>
                <w:highlight w:val="none"/>
              </w:rPr>
              <w:t>仓储能力</w:t>
            </w:r>
          </w:p>
        </w:tc>
        <w:tc>
          <w:tcPr>
            <w:tcW w:w="792" w:type="dxa"/>
            <w:tcBorders>
              <w:top w:val="single" w:color="auto" w:sz="4" w:space="0"/>
              <w:left w:val="single" w:color="auto" w:sz="4" w:space="0"/>
              <w:bottom w:val="single" w:color="auto" w:sz="4" w:space="0"/>
              <w:right w:val="single" w:color="auto" w:sz="4" w:space="0"/>
            </w:tcBorders>
            <w:vAlign w:val="center"/>
          </w:tcPr>
          <w:p w14:paraId="40958F09">
            <w:pPr>
              <w:adjustRightInd w:val="0"/>
              <w:spacing w:line="360" w:lineRule="auto"/>
              <w:jc w:val="center"/>
              <w:textAlignment w:val="baseline"/>
              <w:rPr>
                <w:bCs/>
                <w:color w:val="auto"/>
                <w:sz w:val="24"/>
                <w:highlight w:val="none"/>
              </w:rPr>
            </w:pPr>
            <w:r>
              <w:rPr>
                <w:rFonts w:hint="eastAsia"/>
                <w:bCs/>
                <w:color w:val="auto"/>
                <w:sz w:val="24"/>
                <w:highlight w:val="none"/>
              </w:rPr>
              <w:t>2</w:t>
            </w:r>
          </w:p>
        </w:tc>
        <w:tc>
          <w:tcPr>
            <w:tcW w:w="6516" w:type="dxa"/>
            <w:tcBorders>
              <w:top w:val="single" w:color="auto" w:sz="4" w:space="0"/>
              <w:left w:val="single" w:color="auto" w:sz="4" w:space="0"/>
              <w:bottom w:val="single" w:color="auto" w:sz="4" w:space="0"/>
              <w:right w:val="single" w:color="auto" w:sz="4" w:space="0"/>
            </w:tcBorders>
          </w:tcPr>
          <w:p w14:paraId="555DE25B">
            <w:pPr>
              <w:adjustRightInd w:val="0"/>
              <w:textAlignment w:val="baseline"/>
              <w:rPr>
                <w:bCs/>
                <w:color w:val="auto"/>
                <w:sz w:val="24"/>
                <w:highlight w:val="none"/>
              </w:rPr>
            </w:pPr>
            <w:r>
              <w:rPr>
                <w:rFonts w:hint="eastAsia"/>
                <w:bCs/>
                <w:color w:val="auto"/>
                <w:sz w:val="24"/>
                <w:highlight w:val="none"/>
              </w:rPr>
              <w:t>供应商具有相应的的仓储能力，具有冷藏或保鲜功能得2分，否则不得分。</w:t>
            </w:r>
          </w:p>
          <w:p w14:paraId="25132098">
            <w:pPr>
              <w:adjustRightInd w:val="0"/>
              <w:textAlignment w:val="baseline"/>
              <w:rPr>
                <w:bCs/>
                <w:color w:val="auto"/>
                <w:sz w:val="24"/>
                <w:highlight w:val="none"/>
              </w:rPr>
            </w:pPr>
            <w:r>
              <w:rPr>
                <w:rFonts w:hint="eastAsia"/>
                <w:b/>
                <w:color w:val="auto"/>
                <w:sz w:val="24"/>
                <w:highlight w:val="none"/>
              </w:rPr>
              <w:t>注：如为自有提供房屋产权证明，租赁则需提供有效的租赁合同，未提供或提供不全不得分。</w:t>
            </w:r>
          </w:p>
        </w:tc>
      </w:tr>
      <w:tr w14:paraId="335F29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5A9EF97B">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599862C">
            <w:pPr>
              <w:adjustRightInd w:val="0"/>
              <w:spacing w:line="360" w:lineRule="auto"/>
              <w:jc w:val="center"/>
              <w:textAlignment w:val="baseline"/>
              <w:rPr>
                <w:color w:val="auto"/>
                <w:sz w:val="24"/>
                <w:highlight w:val="none"/>
              </w:rPr>
            </w:pPr>
            <w:r>
              <w:rPr>
                <w:rFonts w:hint="eastAsia"/>
                <w:color w:val="auto"/>
                <w:sz w:val="24"/>
                <w:highlight w:val="none"/>
              </w:rPr>
              <w:t>供应产品的来源</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429A6DF">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4</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2BF68FC4">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供应商承诺：中标后与货源供应商签订有效的合同，且货源可追溯，且包含所投标项的所有货物品类的得4分，提供的供应产品一半及以上能够清晰的追溯来源得2分，未提供不得分。</w:t>
            </w:r>
          </w:p>
        </w:tc>
      </w:tr>
      <w:tr w14:paraId="0A7560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5E3517F3">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1C0092D">
            <w:pPr>
              <w:adjustRightInd w:val="0"/>
              <w:spacing w:line="360" w:lineRule="auto"/>
              <w:jc w:val="center"/>
              <w:textAlignment w:val="baseline"/>
              <w:rPr>
                <w:color w:val="auto"/>
                <w:sz w:val="24"/>
                <w:highlight w:val="none"/>
              </w:rPr>
            </w:pPr>
            <w:r>
              <w:rPr>
                <w:rFonts w:hint="eastAsia"/>
                <w:color w:val="auto"/>
                <w:sz w:val="24"/>
                <w:highlight w:val="none"/>
              </w:rPr>
              <w:t>食品安全检测能力</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C373ED2">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4</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76A86281">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供应商须承诺，中标后按采购人要求提供：第三方食品检测机构出具的由供应商送检的实际供货货物的食品检测报告的得4分，否则不得分。</w:t>
            </w:r>
          </w:p>
        </w:tc>
      </w:tr>
      <w:tr w14:paraId="63F21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67E85837">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E6F0B0C">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实施方案</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24C7D2A">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10</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46287878">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根据供应商提供的实施方案，包括但不限于：①采购及配送方案、②运输周转方案、③交货验收方案、④缺陷货物退还方案、⑤配送人员管理方案等内容。</w:t>
            </w:r>
          </w:p>
          <w:p w14:paraId="71466BC7">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完全满足项目要求得10分，每缺少一项内容扣2分，每有一处内容缺陷或内容错误的扣0.5分，直至本项扣完为止。</w:t>
            </w:r>
          </w:p>
        </w:tc>
      </w:tr>
      <w:tr w14:paraId="70908D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7"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15AF8B04">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85ECD58">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产品质量保障</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9B2CDAC">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15</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11AB43BC">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根据供应商提供的产品质量保障，包括但不限于①食品安全保障承诺②食品安全监管措施③配送途径的安全保障④卫生安全管理⑤卫生防疫等内容。</w:t>
            </w:r>
          </w:p>
          <w:p w14:paraId="4C393CE5">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完全满足项目要求得15分，每缺少一项内容扣3分，每有一处内容缺陷或内容错误的扣0.5分，直至本项扣完为止。</w:t>
            </w:r>
          </w:p>
        </w:tc>
      </w:tr>
      <w:tr w14:paraId="7DEF0C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1" w:hRule="atLeast"/>
          <w:jc w:val="center"/>
        </w:trPr>
        <w:tc>
          <w:tcPr>
            <w:tcW w:w="973" w:type="dxa"/>
            <w:vMerge w:val="continue"/>
            <w:tcBorders>
              <w:left w:val="single" w:color="auto" w:sz="4" w:space="0"/>
              <w:right w:val="single" w:color="auto" w:sz="4" w:space="0"/>
            </w:tcBorders>
            <w:tcMar>
              <w:top w:w="0" w:type="dxa"/>
              <w:left w:w="28" w:type="dxa"/>
              <w:bottom w:w="0" w:type="dxa"/>
              <w:right w:w="28" w:type="dxa"/>
            </w:tcMar>
            <w:vAlign w:val="center"/>
          </w:tcPr>
          <w:p w14:paraId="220E77E2">
            <w:pPr>
              <w:adjustRightInd w:val="0"/>
              <w:spacing w:line="360" w:lineRule="auto"/>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17C35EF">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特殊情况应急保障方案</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8633376">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7.5</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606064AE">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根据供应商提供的特殊情况应急保障方案，包括但不限于①货源短缺②极端天气（暴雨、暴雪、台风、寒潮、高温等）③食品安全突发事件 ④交通拥堵、道路封闭、车辆故障⑤其他不可抗力等内容。</w:t>
            </w:r>
          </w:p>
          <w:p w14:paraId="0D5E9987">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完全满足项目要求得7.5分，每缺少一项内容扣1.5分，每有一处内容缺陷或内容错误的扣0.5分，直至本项扣完为止。</w:t>
            </w:r>
          </w:p>
        </w:tc>
      </w:tr>
      <w:tr w14:paraId="16AD30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973"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0794BA90">
            <w:pPr>
              <w:adjustRightInd w:val="0"/>
              <w:spacing w:line="360" w:lineRule="auto"/>
              <w:jc w:val="center"/>
              <w:textAlignment w:val="baseline"/>
              <w:rPr>
                <w:bCs/>
                <w:color w:val="auto"/>
                <w:sz w:val="24"/>
                <w:highlight w:val="none"/>
              </w:rPr>
            </w:pPr>
          </w:p>
        </w:tc>
        <w:tc>
          <w:tcPr>
            <w:tcW w:w="18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E3AC99A">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产品质量保障</w:t>
            </w:r>
          </w:p>
        </w:tc>
        <w:tc>
          <w:tcPr>
            <w:tcW w:w="79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62F0CD4">
            <w:pPr>
              <w:adjustRightInd w:val="0"/>
              <w:spacing w:line="360" w:lineRule="exact"/>
              <w:jc w:val="center"/>
              <w:textAlignment w:val="baseline"/>
              <w:rPr>
                <w:rFonts w:ascii="宋体" w:hAnsi="宋体" w:cs="宋体"/>
                <w:color w:val="auto"/>
                <w:sz w:val="24"/>
                <w:highlight w:val="none"/>
              </w:rPr>
            </w:pPr>
            <w:r>
              <w:rPr>
                <w:rFonts w:hint="eastAsia" w:ascii="宋体" w:hAnsi="宋体" w:cs="宋体"/>
                <w:color w:val="auto"/>
                <w:sz w:val="24"/>
                <w:highlight w:val="none"/>
              </w:rPr>
              <w:t>7.5</w:t>
            </w:r>
          </w:p>
        </w:tc>
        <w:tc>
          <w:tcPr>
            <w:tcW w:w="651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4E6656FB">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根据供应商提供的售后服务方案，包括但不限于①产品质量保障承诺②货源品质保障③内部质量监督管理 ④临时存放产品质量保证⑤配送途中产品质量保证等内容。</w:t>
            </w:r>
          </w:p>
          <w:p w14:paraId="69945A49">
            <w:pPr>
              <w:adjustRightInd w:val="0"/>
              <w:spacing w:line="360" w:lineRule="exact"/>
              <w:textAlignment w:val="baseline"/>
              <w:rPr>
                <w:rFonts w:ascii="宋体" w:hAnsi="宋体" w:cs="宋体"/>
                <w:bCs/>
                <w:color w:val="auto"/>
                <w:sz w:val="24"/>
                <w:highlight w:val="none"/>
              </w:rPr>
            </w:pPr>
            <w:r>
              <w:rPr>
                <w:rFonts w:hint="eastAsia" w:ascii="宋体" w:hAnsi="宋体" w:cs="宋体"/>
                <w:bCs/>
                <w:color w:val="auto"/>
                <w:sz w:val="24"/>
                <w:highlight w:val="none"/>
              </w:rPr>
              <w:t>完全满足项目要求得7.5分，每缺少一项内容扣1.5分，每有一处内容缺陷或内容错误的扣0.5分，直至本项扣完为止。</w:t>
            </w:r>
          </w:p>
        </w:tc>
      </w:tr>
      <w:tr w14:paraId="5C9BC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10089" w:type="dxa"/>
            <w:gridSpan w:val="4"/>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217882A">
            <w:pPr>
              <w:rPr>
                <w:rFonts w:ascii="宋体" w:hAnsi="宋体" w:cs="宋体"/>
                <w:color w:val="auto"/>
                <w:spacing w:val="-2"/>
                <w:szCs w:val="21"/>
                <w:highlight w:val="none"/>
              </w:rPr>
            </w:pPr>
            <w:r>
              <w:rPr>
                <w:rFonts w:hint="eastAsia" w:ascii="宋体" w:hAnsi="宋体" w:cs="宋体"/>
                <w:color w:val="auto"/>
                <w:spacing w:val="-2"/>
                <w:szCs w:val="21"/>
                <w:highlight w:val="none"/>
              </w:rPr>
              <w:t>说明：</w:t>
            </w:r>
          </w:p>
          <w:p w14:paraId="73A987C1">
            <w:pPr>
              <w:rPr>
                <w:rFonts w:ascii="宋体" w:hAnsi="宋体" w:cs="宋体"/>
                <w:color w:val="auto"/>
                <w:spacing w:val="-2"/>
                <w:szCs w:val="21"/>
                <w:highlight w:val="none"/>
              </w:rPr>
            </w:pPr>
            <w:r>
              <w:rPr>
                <w:rFonts w:hint="eastAsia" w:ascii="宋体" w:hAnsi="宋体" w:cs="宋体"/>
                <w:color w:val="auto"/>
                <w:spacing w:val="-2"/>
                <w:szCs w:val="21"/>
                <w:highlight w:val="none"/>
              </w:rPr>
              <w:t>1、本评审内容中“完全满足项目要求”是指：①内容与项目技术采购需求吻合、层次细化，有具体详细的阐述；②阐述从实际出发，切合项目背景、项目需求以及市场供应情况发现问题并提出合理化专业技术建议或者解决方案；③内容符合国家、地方、行业标准、行业惯例以及项目特点、能有效落地执行和操作，保障项目高质量履约，实现采购目标。④内容清楚明了、表述规范、含义准确。</w:t>
            </w:r>
          </w:p>
          <w:p w14:paraId="0F920EB1">
            <w:pPr>
              <w:rPr>
                <w:rFonts w:ascii="宋体" w:hAnsi="宋体" w:cs="宋体"/>
                <w:color w:val="auto"/>
                <w:spacing w:val="-2"/>
                <w:szCs w:val="21"/>
                <w:highlight w:val="none"/>
              </w:rPr>
            </w:pPr>
            <w:r>
              <w:rPr>
                <w:rFonts w:hint="eastAsia" w:ascii="宋体" w:hAnsi="宋体" w:cs="宋体"/>
                <w:color w:val="auto"/>
                <w:spacing w:val="-2"/>
                <w:szCs w:val="21"/>
                <w:highlight w:val="none"/>
              </w:rPr>
              <w:t>2、本评审内容中“内容缺陷”是指：①内容与实际情况不匹配，②不符合项目特点，③内容不完整或缺少关键节点，④未按采购需求与技术参数针对描述，⑤存在描述内容过于简略，⑥缺失不全，</w:t>
            </w:r>
          </w:p>
          <w:p w14:paraId="5A172BF7">
            <w:pPr>
              <w:rPr>
                <w:color w:val="auto"/>
                <w:sz w:val="24"/>
                <w:highlight w:val="none"/>
              </w:rPr>
            </w:pPr>
            <w:r>
              <w:rPr>
                <w:rFonts w:hint="eastAsia" w:ascii="宋体" w:hAnsi="宋体" w:cs="宋体"/>
                <w:color w:val="auto"/>
                <w:spacing w:val="-2"/>
                <w:szCs w:val="21"/>
                <w:highlight w:val="none"/>
              </w:rPr>
              <w:t>⑦前后矛盾，⑧表述不清晰，⑨凭空编造，⑩逻辑混淆错误，⑪涉及的规范及标准错误不可能实现的情形等任意一种情形。</w:t>
            </w:r>
          </w:p>
        </w:tc>
      </w:tr>
    </w:tbl>
    <w:p w14:paraId="63BD4DE3">
      <w:pPr>
        <w:spacing w:line="480" w:lineRule="auto"/>
        <w:jc w:val="center"/>
        <w:rPr>
          <w:rFonts w:ascii="宋体"/>
          <w:color w:val="auto"/>
          <w:highlight w:val="none"/>
        </w:rPr>
        <w:sectPr>
          <w:pgSz w:w="11906" w:h="16838"/>
          <w:pgMar w:top="1531" w:right="1474" w:bottom="1417" w:left="1701" w:header="851" w:footer="794" w:gutter="0"/>
          <w:cols w:space="720" w:num="1"/>
          <w:docGrid w:linePitch="312" w:charSpace="0"/>
        </w:sectPr>
      </w:pPr>
      <w:r>
        <w:rPr>
          <w:rFonts w:hint="eastAsia" w:asciiTheme="minorEastAsia" w:hAnsiTheme="minorEastAsia" w:eastAsiaTheme="minorEastAsia" w:cstheme="minorEastAsia"/>
          <w:b/>
          <w:bCs/>
          <w:color w:val="auto"/>
          <w:sz w:val="28"/>
          <w:szCs w:val="28"/>
          <w:highlight w:val="none"/>
        </w:rPr>
        <w:br w:type="page"/>
      </w:r>
    </w:p>
    <w:bookmarkEnd w:id="12"/>
    <w:p w14:paraId="0BB107B6">
      <w:pPr>
        <w:pStyle w:val="13"/>
        <w:tabs>
          <w:tab w:val="left" w:pos="0"/>
        </w:tabs>
        <w:spacing w:line="240" w:lineRule="auto"/>
        <w:ind w:firstLine="0" w:firstLineChars="0"/>
        <w:jc w:val="center"/>
        <w:outlineLvl w:val="0"/>
        <w:rPr>
          <w:rFonts w:ascii="宋体" w:hAnsi="宋体" w:cs="宋体"/>
          <w:b/>
          <w:color w:val="auto"/>
          <w:sz w:val="36"/>
          <w:highlight w:val="none"/>
        </w:rPr>
      </w:pPr>
      <w:bookmarkStart w:id="17" w:name="_Toc4584"/>
      <w:bookmarkStart w:id="18" w:name="_Toc30396"/>
      <w:bookmarkStart w:id="19" w:name="_Toc14690"/>
      <w:r>
        <w:rPr>
          <w:rFonts w:hint="eastAsia" w:ascii="宋体" w:hAnsi="宋体" w:cs="宋体"/>
          <w:b/>
          <w:bCs/>
          <w:color w:val="auto"/>
          <w:sz w:val="32"/>
          <w:szCs w:val="32"/>
          <w:highlight w:val="none"/>
        </w:rPr>
        <w:t>第</w:t>
      </w:r>
      <w:bookmarkEnd w:id="17"/>
      <w:bookmarkEnd w:id="18"/>
      <w:r>
        <w:rPr>
          <w:rFonts w:hint="eastAsia" w:ascii="宋体" w:hAnsi="宋体" w:cs="宋体"/>
          <w:b/>
          <w:bCs/>
          <w:color w:val="auto"/>
          <w:sz w:val="32"/>
          <w:szCs w:val="32"/>
          <w:highlight w:val="none"/>
        </w:rPr>
        <w:t>七章  响应文件格式</w:t>
      </w:r>
      <w:bookmarkEnd w:id="19"/>
    </w:p>
    <w:p w14:paraId="6E45C9B5">
      <w:pPr>
        <w:rPr>
          <w:rFonts w:ascii="宋体" w:hAnsi="宋体" w:cs="宋体"/>
          <w:color w:val="auto"/>
          <w:highlight w:val="none"/>
        </w:rPr>
      </w:pPr>
    </w:p>
    <w:p w14:paraId="42FDE552">
      <w:pPr>
        <w:pStyle w:val="67"/>
        <w:outlineLvl w:val="2"/>
        <w:rPr>
          <w:rFonts w:ascii="宋体" w:hAnsi="宋体" w:eastAsia="宋体" w:cs="宋体"/>
          <w:color w:val="auto"/>
          <w:highlight w:val="none"/>
        </w:rPr>
      </w:pPr>
      <w:bookmarkStart w:id="20" w:name="1120129-1185072-3"/>
      <w:bookmarkEnd w:id="20"/>
      <w:bookmarkStart w:id="21" w:name="_Toc23885"/>
      <w:bookmarkStart w:id="22" w:name="_Toc11511_WPSOffice_Level1"/>
      <w:bookmarkStart w:id="23" w:name="_Toc19258"/>
      <w:bookmarkStart w:id="24" w:name="_Toc13681_WPSOffice_Level1"/>
      <w:bookmarkStart w:id="25" w:name="_Toc31154_WPSOffice_Level1"/>
      <w:bookmarkStart w:id="26" w:name="_Toc10113_WPSOffice_Level1"/>
      <w:r>
        <w:rPr>
          <w:rFonts w:hint="eastAsia" w:ascii="宋体" w:hAnsi="宋体" w:eastAsia="宋体" w:cs="宋体"/>
          <w:color w:val="auto"/>
          <w:highlight w:val="none"/>
        </w:rPr>
        <w:t>响应文件封面</w:t>
      </w:r>
      <w:bookmarkEnd w:id="21"/>
      <w:bookmarkEnd w:id="22"/>
      <w:bookmarkEnd w:id="23"/>
      <w:bookmarkEnd w:id="24"/>
      <w:bookmarkEnd w:id="25"/>
      <w:bookmarkEnd w:id="26"/>
    </w:p>
    <w:p w14:paraId="0A527B2A">
      <w:pPr>
        <w:pStyle w:val="68"/>
        <w:spacing w:line="360" w:lineRule="auto"/>
        <w:rPr>
          <w:rFonts w:ascii="宋体" w:hAnsi="宋体" w:cs="宋体"/>
          <w:b/>
          <w:color w:val="auto"/>
          <w:sz w:val="24"/>
          <w:highlight w:val="none"/>
        </w:rPr>
      </w:pPr>
    </w:p>
    <w:p w14:paraId="72BCC12A">
      <w:pPr>
        <w:pStyle w:val="68"/>
        <w:spacing w:line="360" w:lineRule="auto"/>
        <w:jc w:val="center"/>
        <w:rPr>
          <w:rFonts w:ascii="宋体" w:hAnsi="宋体" w:cs="宋体"/>
          <w:color w:val="auto"/>
          <w:sz w:val="24"/>
          <w:highlight w:val="none"/>
        </w:rPr>
      </w:pPr>
    </w:p>
    <w:p w14:paraId="4680395F">
      <w:pPr>
        <w:pStyle w:val="68"/>
        <w:spacing w:line="360" w:lineRule="auto"/>
        <w:jc w:val="center"/>
        <w:rPr>
          <w:rFonts w:ascii="宋体" w:hAnsi="宋体" w:cs="宋体"/>
          <w:color w:val="auto"/>
          <w:sz w:val="24"/>
          <w:highlight w:val="none"/>
        </w:rPr>
      </w:pPr>
    </w:p>
    <w:p w14:paraId="2B5247BA">
      <w:pPr>
        <w:pStyle w:val="68"/>
        <w:spacing w:line="360" w:lineRule="auto"/>
        <w:jc w:val="center"/>
        <w:rPr>
          <w:rFonts w:ascii="宋体" w:hAnsi="宋体" w:cs="宋体"/>
          <w:color w:val="auto"/>
          <w:sz w:val="24"/>
          <w:highlight w:val="none"/>
        </w:rPr>
      </w:pPr>
    </w:p>
    <w:p w14:paraId="735CA38B">
      <w:pPr>
        <w:pStyle w:val="68"/>
        <w:spacing w:line="360" w:lineRule="auto"/>
        <w:jc w:val="center"/>
        <w:rPr>
          <w:rFonts w:ascii="宋体" w:hAnsi="宋体" w:cs="宋体"/>
          <w:b/>
          <w:color w:val="auto"/>
          <w:sz w:val="72"/>
          <w:szCs w:val="72"/>
          <w:highlight w:val="none"/>
        </w:rPr>
      </w:pPr>
      <w:r>
        <w:rPr>
          <w:rFonts w:hint="eastAsia" w:ascii="宋体" w:hAnsi="宋体" w:cs="宋体"/>
          <w:b/>
          <w:color w:val="auto"/>
          <w:sz w:val="72"/>
          <w:szCs w:val="72"/>
          <w:highlight w:val="none"/>
        </w:rPr>
        <w:t>响应文件</w:t>
      </w:r>
    </w:p>
    <w:p w14:paraId="6FB93DD4">
      <w:pPr>
        <w:pStyle w:val="68"/>
        <w:spacing w:line="360" w:lineRule="auto"/>
        <w:jc w:val="center"/>
        <w:rPr>
          <w:rFonts w:ascii="宋体" w:hAnsi="宋体" w:cs="宋体"/>
          <w:color w:val="auto"/>
          <w:sz w:val="24"/>
          <w:highlight w:val="none"/>
        </w:rPr>
      </w:pPr>
    </w:p>
    <w:p w14:paraId="7A1E5437">
      <w:pPr>
        <w:pStyle w:val="68"/>
        <w:spacing w:line="360" w:lineRule="auto"/>
        <w:jc w:val="center"/>
        <w:rPr>
          <w:rFonts w:ascii="宋体" w:hAnsi="宋体" w:cs="宋体"/>
          <w:color w:val="auto"/>
          <w:sz w:val="24"/>
          <w:highlight w:val="none"/>
        </w:rPr>
      </w:pPr>
    </w:p>
    <w:p w14:paraId="12971FFF">
      <w:pPr>
        <w:pStyle w:val="68"/>
        <w:spacing w:line="360" w:lineRule="auto"/>
        <w:jc w:val="center"/>
        <w:rPr>
          <w:rFonts w:ascii="宋体" w:hAnsi="宋体" w:cs="宋体"/>
          <w:b/>
          <w:color w:val="auto"/>
          <w:sz w:val="24"/>
          <w:highlight w:val="none"/>
        </w:rPr>
      </w:pPr>
    </w:p>
    <w:p w14:paraId="58FE5B9A">
      <w:pPr>
        <w:pStyle w:val="68"/>
        <w:spacing w:line="360" w:lineRule="auto"/>
        <w:jc w:val="center"/>
        <w:rPr>
          <w:rFonts w:ascii="宋体" w:hAnsi="宋体" w:cs="宋体"/>
          <w:b/>
          <w:color w:val="auto"/>
          <w:sz w:val="24"/>
          <w:highlight w:val="none"/>
        </w:rPr>
      </w:pPr>
    </w:p>
    <w:p w14:paraId="5A56FF8F">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采购人名称：</w:t>
      </w:r>
    </w:p>
    <w:p w14:paraId="007B3D69">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项目名称：</w:t>
      </w:r>
    </w:p>
    <w:p w14:paraId="7E00D955">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项目编号：</w:t>
      </w:r>
    </w:p>
    <w:p w14:paraId="65BDC579">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采购代理机构名称：</w:t>
      </w:r>
    </w:p>
    <w:p w14:paraId="4B8CA307">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供应商名称（电子签章）：</w:t>
      </w:r>
    </w:p>
    <w:p w14:paraId="674B43EB">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供应商地址：</w:t>
      </w:r>
    </w:p>
    <w:p w14:paraId="03FAC578">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法定代表人（单位负责人）或其委托代理人（签字或电子签章）：</w:t>
      </w:r>
    </w:p>
    <w:p w14:paraId="265951F4">
      <w:pPr>
        <w:pStyle w:val="68"/>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联系电话：</w:t>
      </w:r>
    </w:p>
    <w:p w14:paraId="053C73E0">
      <w:pPr>
        <w:pStyle w:val="58"/>
        <w:tabs>
          <w:tab w:val="left" w:pos="750"/>
        </w:tabs>
        <w:adjustRightInd w:val="0"/>
        <w:snapToGrid w:val="0"/>
        <w:spacing w:line="500" w:lineRule="exact"/>
        <w:rPr>
          <w:color w:val="auto"/>
          <w:highlight w:val="none"/>
        </w:rPr>
      </w:pPr>
      <w:r>
        <w:rPr>
          <w:rFonts w:hint="eastAsia" w:ascii="宋体" w:hAnsi="宋体"/>
          <w:color w:val="auto"/>
          <w:sz w:val="24"/>
          <w:szCs w:val="24"/>
          <w:highlight w:val="none"/>
        </w:rPr>
        <w:t>日期：     年     月     日</w:t>
      </w:r>
    </w:p>
    <w:p w14:paraId="5AD9C8CB">
      <w:pPr>
        <w:autoSpaceDE w:val="0"/>
        <w:autoSpaceDN w:val="0"/>
        <w:adjustRightInd w:val="0"/>
        <w:spacing w:before="3" w:line="130" w:lineRule="exact"/>
        <w:jc w:val="left"/>
        <w:rPr>
          <w:rFonts w:ascii="宋体" w:hAnsi="宋体" w:cs="宋体"/>
          <w:color w:val="auto"/>
          <w:kern w:val="0"/>
          <w:sz w:val="13"/>
          <w:szCs w:val="13"/>
          <w:highlight w:val="none"/>
        </w:rPr>
      </w:pPr>
    </w:p>
    <w:p w14:paraId="79BFF17A">
      <w:pPr>
        <w:autoSpaceDE w:val="0"/>
        <w:autoSpaceDN w:val="0"/>
        <w:adjustRightInd w:val="0"/>
        <w:spacing w:line="200" w:lineRule="exact"/>
        <w:jc w:val="left"/>
        <w:rPr>
          <w:rFonts w:ascii="宋体" w:hAnsi="宋体" w:cs="宋体"/>
          <w:color w:val="auto"/>
          <w:kern w:val="0"/>
          <w:sz w:val="20"/>
          <w:szCs w:val="20"/>
          <w:highlight w:val="none"/>
        </w:rPr>
      </w:pPr>
    </w:p>
    <w:p w14:paraId="2BC2BEAA">
      <w:pPr>
        <w:autoSpaceDE w:val="0"/>
        <w:autoSpaceDN w:val="0"/>
        <w:adjustRightInd w:val="0"/>
        <w:spacing w:line="200" w:lineRule="exact"/>
        <w:jc w:val="left"/>
        <w:rPr>
          <w:rFonts w:ascii="宋体" w:hAnsi="宋体" w:cs="宋体"/>
          <w:color w:val="auto"/>
          <w:kern w:val="0"/>
          <w:sz w:val="20"/>
          <w:szCs w:val="20"/>
          <w:highlight w:val="none"/>
        </w:rPr>
      </w:pPr>
    </w:p>
    <w:p w14:paraId="0CE8726C">
      <w:pPr>
        <w:jc w:val="center"/>
        <w:rPr>
          <w:rFonts w:ascii="宋体" w:hAnsi="宋体" w:cs="宋体"/>
          <w:b/>
          <w:bCs/>
          <w:color w:val="auto"/>
          <w:sz w:val="28"/>
          <w:szCs w:val="28"/>
          <w:highlight w:val="none"/>
        </w:rPr>
      </w:pPr>
      <w:bookmarkStart w:id="27" w:name="_Toc27886_WPSOffice_Level1"/>
      <w:bookmarkStart w:id="28" w:name="_Toc6879_WPSOffice_Level1"/>
      <w:bookmarkStart w:id="29" w:name="_Toc18910"/>
      <w:bookmarkStart w:id="30" w:name="_Toc14367_WPSOffice_Level1"/>
      <w:bookmarkStart w:id="31" w:name="_Toc30579_WPSOffice_Level1"/>
    </w:p>
    <w:p w14:paraId="1D42F6D4">
      <w:pPr>
        <w:jc w:val="center"/>
        <w:rPr>
          <w:rFonts w:ascii="宋体" w:hAnsi="宋体" w:cs="宋体"/>
          <w:b/>
          <w:bCs/>
          <w:color w:val="auto"/>
          <w:sz w:val="28"/>
          <w:szCs w:val="28"/>
          <w:highlight w:val="none"/>
        </w:rPr>
      </w:pPr>
    </w:p>
    <w:p w14:paraId="48BC4F90">
      <w:pPr>
        <w:jc w:val="center"/>
        <w:rPr>
          <w:rFonts w:ascii="宋体" w:hAnsi="宋体" w:cs="宋体"/>
          <w:b/>
          <w:bCs/>
          <w:color w:val="auto"/>
          <w:sz w:val="28"/>
          <w:szCs w:val="28"/>
          <w:highlight w:val="none"/>
        </w:rPr>
      </w:pPr>
    </w:p>
    <w:p w14:paraId="7C52A53E">
      <w:pPr>
        <w:jc w:val="center"/>
        <w:rPr>
          <w:rFonts w:ascii="宋体" w:hAnsi="宋体" w:cs="宋体"/>
          <w:color w:val="auto"/>
          <w:sz w:val="28"/>
          <w:szCs w:val="28"/>
          <w:highlight w:val="none"/>
        </w:rPr>
      </w:pPr>
      <w:r>
        <w:rPr>
          <w:rFonts w:hint="eastAsia" w:ascii="宋体" w:hAnsi="宋体" w:cs="宋体"/>
          <w:b/>
          <w:bCs/>
          <w:color w:val="auto"/>
          <w:sz w:val="28"/>
          <w:szCs w:val="28"/>
          <w:highlight w:val="none"/>
        </w:rPr>
        <w:t>目录</w:t>
      </w:r>
      <w:bookmarkEnd w:id="27"/>
      <w:bookmarkEnd w:id="28"/>
      <w:bookmarkEnd w:id="29"/>
      <w:bookmarkEnd w:id="30"/>
      <w:bookmarkEnd w:id="31"/>
    </w:p>
    <w:p w14:paraId="253BE430">
      <w:pPr>
        <w:spacing w:line="460" w:lineRule="exact"/>
        <w:rPr>
          <w:rFonts w:ascii="宋体" w:hAnsi="宋体" w:cs="宋体"/>
          <w:b/>
          <w:bCs/>
          <w:color w:val="auto"/>
          <w:sz w:val="24"/>
          <w:highlight w:val="none"/>
        </w:rPr>
      </w:pPr>
      <w:bookmarkStart w:id="32" w:name="_Toc17234_WPSOffice_Level1"/>
      <w:bookmarkStart w:id="33" w:name="_Toc23787_WPSOffice_Level1"/>
      <w:r>
        <w:rPr>
          <w:rFonts w:hint="eastAsia" w:ascii="宋体" w:hAnsi="宋体" w:cs="宋体"/>
          <w:b/>
          <w:bCs/>
          <w:color w:val="auto"/>
          <w:sz w:val="24"/>
          <w:highlight w:val="none"/>
        </w:rPr>
        <w:t>一、资格证明文件</w:t>
      </w:r>
      <w:bookmarkEnd w:id="32"/>
      <w:bookmarkEnd w:id="33"/>
    </w:p>
    <w:p w14:paraId="32AD6603">
      <w:pPr>
        <w:spacing w:line="460" w:lineRule="exact"/>
        <w:ind w:firstLine="480" w:firstLineChars="200"/>
        <w:rPr>
          <w:rFonts w:ascii="宋体" w:hAnsi="宋体" w:cs="宋体"/>
          <w:color w:val="auto"/>
          <w:sz w:val="24"/>
          <w:highlight w:val="none"/>
        </w:rPr>
      </w:pPr>
      <w:bookmarkStart w:id="34" w:name="_Toc27664_WPSOffice_Level1"/>
      <w:bookmarkStart w:id="35" w:name="_Toc31640_WPSOffice_Level1"/>
      <w:r>
        <w:rPr>
          <w:rFonts w:hint="eastAsia" w:ascii="宋体" w:hAnsi="宋体" w:cs="宋体"/>
          <w:color w:val="auto"/>
          <w:sz w:val="24"/>
          <w:highlight w:val="none"/>
        </w:rPr>
        <w:t>1、具有独立承担民事责任的能力</w:t>
      </w:r>
      <w:bookmarkEnd w:id="34"/>
      <w:bookmarkEnd w:id="35"/>
    </w:p>
    <w:p w14:paraId="6DF7DC2E">
      <w:pPr>
        <w:spacing w:line="460" w:lineRule="exact"/>
        <w:ind w:firstLine="480" w:firstLineChars="200"/>
        <w:rPr>
          <w:rFonts w:ascii="宋体" w:hAnsi="宋体" w:cs="宋体"/>
          <w:color w:val="auto"/>
          <w:sz w:val="24"/>
          <w:highlight w:val="none"/>
        </w:rPr>
      </w:pPr>
      <w:bookmarkStart w:id="36" w:name="_Toc17343_WPSOffice_Level1"/>
      <w:bookmarkStart w:id="37" w:name="_Toc25568_WPSOffice_Level1"/>
      <w:r>
        <w:rPr>
          <w:rFonts w:hint="eastAsia" w:ascii="宋体" w:hAnsi="宋体" w:cs="宋体"/>
          <w:color w:val="auto"/>
          <w:sz w:val="24"/>
          <w:highlight w:val="none"/>
        </w:rPr>
        <w:t>2、良好的商业信誉和健全的财务会计制度</w:t>
      </w:r>
      <w:bookmarkEnd w:id="36"/>
      <w:bookmarkEnd w:id="37"/>
    </w:p>
    <w:p w14:paraId="6361A2C8">
      <w:pPr>
        <w:spacing w:line="460" w:lineRule="exact"/>
        <w:ind w:firstLine="480" w:firstLineChars="200"/>
        <w:rPr>
          <w:rFonts w:ascii="宋体" w:hAnsi="宋体" w:cs="宋体"/>
          <w:color w:val="auto"/>
          <w:sz w:val="24"/>
          <w:highlight w:val="none"/>
        </w:rPr>
      </w:pPr>
      <w:bookmarkStart w:id="38" w:name="_Toc9730_WPSOffice_Level1"/>
      <w:bookmarkStart w:id="39" w:name="_Toc25765_WPSOffice_Level1"/>
      <w:r>
        <w:rPr>
          <w:rFonts w:hint="eastAsia" w:ascii="宋体" w:hAnsi="宋体" w:cs="宋体"/>
          <w:color w:val="auto"/>
          <w:sz w:val="24"/>
          <w:highlight w:val="none"/>
        </w:rPr>
        <w:t>3、依法缴纳税收和社会保障资金的良好记录</w:t>
      </w:r>
      <w:bookmarkEnd w:id="38"/>
      <w:bookmarkEnd w:id="39"/>
    </w:p>
    <w:p w14:paraId="7BAC9F66">
      <w:pPr>
        <w:spacing w:line="460" w:lineRule="exact"/>
        <w:ind w:firstLine="480" w:firstLineChars="200"/>
        <w:rPr>
          <w:rFonts w:ascii="宋体" w:hAnsi="宋体" w:cs="宋体"/>
          <w:color w:val="auto"/>
          <w:sz w:val="24"/>
          <w:highlight w:val="none"/>
        </w:rPr>
      </w:pPr>
      <w:bookmarkStart w:id="40" w:name="_Toc11812_WPSOffice_Level1"/>
      <w:bookmarkStart w:id="41" w:name="_Toc8705_WPSOffice_Level1"/>
      <w:r>
        <w:rPr>
          <w:rFonts w:hint="eastAsia" w:ascii="宋体" w:hAnsi="宋体" w:cs="宋体"/>
          <w:color w:val="auto"/>
          <w:sz w:val="24"/>
          <w:highlight w:val="none"/>
        </w:rPr>
        <w:t>4、履行合同所必需的设备和专业技术能力的承诺函</w:t>
      </w:r>
      <w:bookmarkEnd w:id="40"/>
      <w:bookmarkEnd w:id="41"/>
    </w:p>
    <w:p w14:paraId="39EDF717">
      <w:pPr>
        <w:spacing w:line="460" w:lineRule="exact"/>
        <w:ind w:firstLine="480" w:firstLineChars="200"/>
        <w:rPr>
          <w:rFonts w:ascii="宋体" w:hAnsi="宋体" w:cs="宋体"/>
          <w:color w:val="auto"/>
          <w:sz w:val="24"/>
          <w:highlight w:val="none"/>
        </w:rPr>
      </w:pPr>
      <w:bookmarkStart w:id="42" w:name="_Toc8434_WPSOffice_Level1"/>
      <w:bookmarkStart w:id="43" w:name="_Toc3293_WPSOffice_Level1"/>
      <w:r>
        <w:rPr>
          <w:rFonts w:hint="eastAsia" w:ascii="宋体" w:hAnsi="宋体" w:cs="宋体"/>
          <w:color w:val="auto"/>
          <w:sz w:val="24"/>
          <w:highlight w:val="none"/>
        </w:rPr>
        <w:t>5、参加政府采购活动前3年内，在经营活动中没有重大违法记录的书面声明函</w:t>
      </w:r>
      <w:bookmarkEnd w:id="42"/>
      <w:bookmarkEnd w:id="43"/>
    </w:p>
    <w:p w14:paraId="3A23F9FD">
      <w:pPr>
        <w:spacing w:line="460" w:lineRule="exact"/>
        <w:ind w:firstLine="480" w:firstLineChars="200"/>
        <w:rPr>
          <w:rFonts w:hint="eastAsia" w:ascii="宋体" w:hAnsi="宋体" w:cs="宋体"/>
          <w:color w:val="auto"/>
          <w:sz w:val="24"/>
          <w:highlight w:val="none"/>
        </w:rPr>
      </w:pPr>
      <w:bookmarkStart w:id="44" w:name="_Toc30608_WPSOffice_Level1"/>
      <w:bookmarkStart w:id="45" w:name="_Toc2344_WPSOffice_Level1"/>
      <w:r>
        <w:rPr>
          <w:rFonts w:hint="eastAsia" w:ascii="宋体" w:hAnsi="宋体" w:cs="宋体"/>
          <w:color w:val="auto"/>
          <w:sz w:val="24"/>
          <w:highlight w:val="none"/>
        </w:rPr>
        <w:t>6、</w:t>
      </w:r>
      <w:bookmarkEnd w:id="44"/>
      <w:bookmarkEnd w:id="45"/>
      <w:r>
        <w:rPr>
          <w:rFonts w:hint="eastAsia" w:ascii="宋体" w:hAnsi="宋体" w:cs="宋体"/>
          <w:color w:val="auto"/>
          <w:sz w:val="24"/>
          <w:highlight w:val="none"/>
        </w:rPr>
        <w:t>限制行为承诺书</w:t>
      </w:r>
    </w:p>
    <w:p w14:paraId="7C718471">
      <w:pPr>
        <w:pStyle w:val="2"/>
      </w:pPr>
      <w:r>
        <w:rPr>
          <w:rFonts w:hint="eastAsia" w:asciiTheme="minorEastAsia" w:hAnsiTheme="minorEastAsia" w:eastAsiaTheme="minorEastAsia" w:cstheme="minorEastAsia"/>
          <w:color w:val="auto"/>
          <w:sz w:val="24"/>
          <w:highlight w:val="none"/>
          <w:lang w:val="en-US" w:eastAsia="zh-CN"/>
        </w:rPr>
        <w:t>7、中小企业声明函</w:t>
      </w:r>
    </w:p>
    <w:p w14:paraId="634C1414">
      <w:pPr>
        <w:spacing w:line="460" w:lineRule="exact"/>
        <w:rPr>
          <w:rFonts w:ascii="宋体" w:hAnsi="宋体" w:cs="宋体"/>
          <w:b/>
          <w:bCs/>
          <w:color w:val="auto"/>
          <w:sz w:val="24"/>
          <w:highlight w:val="none"/>
        </w:rPr>
      </w:pPr>
      <w:bookmarkStart w:id="46" w:name="_Toc16184_WPSOffice_Level1"/>
      <w:bookmarkStart w:id="47" w:name="_Toc11157_WPSOffice_Level1"/>
      <w:r>
        <w:rPr>
          <w:rFonts w:hint="eastAsia" w:ascii="宋体" w:hAnsi="宋体" w:cs="宋体"/>
          <w:b/>
          <w:bCs/>
          <w:color w:val="auto"/>
          <w:sz w:val="24"/>
          <w:highlight w:val="none"/>
        </w:rPr>
        <w:t>二、报价文件</w:t>
      </w:r>
      <w:bookmarkEnd w:id="46"/>
      <w:bookmarkEnd w:id="47"/>
    </w:p>
    <w:p w14:paraId="26C7DFF5">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1.1报价一览表</w:t>
      </w:r>
    </w:p>
    <w:p w14:paraId="65E00C2D">
      <w:pPr>
        <w:spacing w:line="460" w:lineRule="exact"/>
        <w:rPr>
          <w:rFonts w:ascii="宋体" w:hAnsi="宋体" w:cs="宋体"/>
          <w:b/>
          <w:bCs/>
          <w:color w:val="auto"/>
          <w:sz w:val="24"/>
          <w:highlight w:val="none"/>
        </w:rPr>
      </w:pPr>
      <w:bookmarkStart w:id="48" w:name="_Toc21539_WPSOffice_Level1"/>
      <w:bookmarkStart w:id="49" w:name="_Toc26745_WPSOffice_Level1"/>
      <w:r>
        <w:rPr>
          <w:rFonts w:hint="eastAsia" w:ascii="宋体" w:hAnsi="宋体" w:cs="宋体"/>
          <w:b/>
          <w:bCs/>
          <w:color w:val="auto"/>
          <w:sz w:val="24"/>
          <w:highlight w:val="none"/>
        </w:rPr>
        <w:t>三、商务、技术文件</w:t>
      </w:r>
      <w:bookmarkEnd w:id="48"/>
      <w:bookmarkEnd w:id="49"/>
    </w:p>
    <w:p w14:paraId="1E3213BA">
      <w:pPr>
        <w:spacing w:line="460" w:lineRule="exact"/>
        <w:ind w:firstLine="480" w:firstLineChars="200"/>
        <w:rPr>
          <w:rFonts w:ascii="宋体" w:hAnsi="宋体" w:cs="宋体"/>
          <w:color w:val="auto"/>
          <w:sz w:val="24"/>
          <w:highlight w:val="none"/>
        </w:rPr>
      </w:pPr>
      <w:bookmarkStart w:id="50" w:name="_Toc13649_WPSOffice_Level1"/>
      <w:bookmarkStart w:id="51" w:name="_Toc12874_WPSOffice_Level1"/>
      <w:r>
        <w:rPr>
          <w:rFonts w:hint="eastAsia" w:ascii="宋体" w:hAnsi="宋体" w:cs="宋体"/>
          <w:color w:val="auto"/>
          <w:sz w:val="24"/>
          <w:highlight w:val="none"/>
        </w:rPr>
        <w:t>1、投标函</w:t>
      </w:r>
      <w:bookmarkEnd w:id="50"/>
      <w:bookmarkEnd w:id="51"/>
    </w:p>
    <w:p w14:paraId="77C07C54">
      <w:pPr>
        <w:spacing w:line="460" w:lineRule="exact"/>
        <w:ind w:firstLine="480" w:firstLineChars="200"/>
        <w:rPr>
          <w:rFonts w:ascii="宋体" w:hAnsi="宋体" w:cs="宋体"/>
          <w:color w:val="auto"/>
          <w:sz w:val="24"/>
          <w:highlight w:val="none"/>
        </w:rPr>
      </w:pPr>
      <w:bookmarkStart w:id="52" w:name="_Toc19428_WPSOffice_Level1"/>
      <w:bookmarkStart w:id="53" w:name="_Toc16136_WPSOffice_Level1"/>
      <w:r>
        <w:rPr>
          <w:rFonts w:hint="eastAsia" w:ascii="宋体" w:hAnsi="宋体" w:cs="宋体"/>
          <w:color w:val="auto"/>
          <w:sz w:val="24"/>
          <w:highlight w:val="none"/>
        </w:rPr>
        <w:t>2、</w:t>
      </w:r>
      <w:bookmarkEnd w:id="52"/>
      <w:bookmarkEnd w:id="53"/>
      <w:bookmarkStart w:id="54" w:name="_Toc1274_WPSOffice_Level1"/>
      <w:bookmarkStart w:id="55" w:name="_Toc25719_WPSOffice_Level1"/>
      <w:r>
        <w:rPr>
          <w:rFonts w:hint="eastAsia" w:ascii="宋体" w:hAnsi="宋体" w:cs="宋体"/>
          <w:color w:val="auto"/>
          <w:sz w:val="24"/>
          <w:highlight w:val="none"/>
        </w:rPr>
        <w:t>法定代表人（或非法人组织负责人）身份证明书</w:t>
      </w:r>
      <w:bookmarkEnd w:id="54"/>
      <w:bookmarkEnd w:id="55"/>
    </w:p>
    <w:p w14:paraId="22EBABB0">
      <w:pPr>
        <w:spacing w:line="460" w:lineRule="exact"/>
        <w:ind w:firstLine="480" w:firstLineChars="200"/>
        <w:rPr>
          <w:rFonts w:ascii="宋体" w:hAnsi="宋体" w:cs="宋体"/>
          <w:color w:val="auto"/>
          <w:sz w:val="24"/>
          <w:highlight w:val="none"/>
        </w:rPr>
      </w:pPr>
      <w:bookmarkStart w:id="56" w:name="_Toc17873_WPSOffice_Level1"/>
      <w:bookmarkStart w:id="57" w:name="_Toc15759_WPSOffice_Level1"/>
      <w:r>
        <w:rPr>
          <w:rFonts w:hint="eastAsia" w:ascii="宋体" w:hAnsi="宋体" w:cs="宋体"/>
          <w:color w:val="auto"/>
          <w:sz w:val="24"/>
          <w:highlight w:val="none"/>
        </w:rPr>
        <w:t>3、法定代表人（或非法人组织负责人）授权委托书</w:t>
      </w:r>
      <w:bookmarkEnd w:id="56"/>
      <w:bookmarkEnd w:id="57"/>
    </w:p>
    <w:p w14:paraId="2379C08D">
      <w:pPr>
        <w:spacing w:line="460" w:lineRule="exact"/>
        <w:ind w:firstLine="480" w:firstLineChars="200"/>
        <w:rPr>
          <w:rFonts w:ascii="宋体" w:hAnsi="宋体" w:cs="宋体"/>
          <w:color w:val="auto"/>
          <w:sz w:val="24"/>
          <w:highlight w:val="none"/>
        </w:rPr>
      </w:pPr>
      <w:bookmarkStart w:id="58" w:name="_Toc1464_WPSOffice_Level1"/>
      <w:bookmarkStart w:id="59" w:name="_Toc25282_WPSOffice_Level1"/>
      <w:r>
        <w:rPr>
          <w:rFonts w:hint="eastAsia" w:ascii="宋体" w:hAnsi="宋体" w:cs="宋体"/>
          <w:color w:val="auto"/>
          <w:sz w:val="24"/>
          <w:highlight w:val="none"/>
        </w:rPr>
        <w:t>4、反商业贿赂承诺书</w:t>
      </w:r>
      <w:bookmarkEnd w:id="58"/>
      <w:bookmarkEnd w:id="59"/>
    </w:p>
    <w:p w14:paraId="63C1CDBC">
      <w:pPr>
        <w:spacing w:line="460" w:lineRule="exact"/>
        <w:ind w:firstLine="480" w:firstLineChars="200"/>
        <w:rPr>
          <w:rFonts w:ascii="宋体" w:hAnsi="宋体" w:cs="宋体"/>
          <w:color w:val="auto"/>
          <w:sz w:val="24"/>
          <w:highlight w:val="none"/>
        </w:rPr>
      </w:pPr>
      <w:bookmarkStart w:id="60" w:name="_Toc20333_WPSOffice_Level1"/>
      <w:bookmarkStart w:id="61" w:name="_Toc22245_WPSOffice_Level1"/>
      <w:r>
        <w:rPr>
          <w:rFonts w:hint="eastAsia" w:ascii="宋体" w:hAnsi="宋体" w:cs="宋体"/>
          <w:color w:val="auto"/>
          <w:sz w:val="24"/>
          <w:highlight w:val="none"/>
        </w:rPr>
        <w:t>5、供应商参与政府采购活动（招投标活动）无异议承诺书</w:t>
      </w:r>
    </w:p>
    <w:p w14:paraId="1A3C6099">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6、不参与围标串标承诺书</w:t>
      </w:r>
    </w:p>
    <w:p w14:paraId="5BBBC5B7">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7、保密承诺书</w:t>
      </w:r>
    </w:p>
    <w:p w14:paraId="52B1C354">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8、投标保证金</w:t>
      </w:r>
    </w:p>
    <w:p w14:paraId="7627351C">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9、商务/技术条款偏离表</w:t>
      </w:r>
    </w:p>
    <w:p w14:paraId="24BB6240">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10、供应商近三年（2023年1月至今）业绩案例一览表</w:t>
      </w:r>
    </w:p>
    <w:p w14:paraId="2BB3C62E">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11、配送车辆</w:t>
      </w:r>
    </w:p>
    <w:bookmarkEnd w:id="60"/>
    <w:bookmarkEnd w:id="61"/>
    <w:p w14:paraId="1A769CAA">
      <w:pPr>
        <w:spacing w:line="460" w:lineRule="exact"/>
        <w:ind w:firstLine="480" w:firstLineChars="200"/>
        <w:rPr>
          <w:rFonts w:ascii="宋体" w:hAnsi="宋体" w:cs="宋体"/>
          <w:color w:val="auto"/>
          <w:sz w:val="24"/>
          <w:highlight w:val="none"/>
        </w:rPr>
      </w:pPr>
      <w:bookmarkStart w:id="62" w:name="_Toc25600_WPSOffice_Level1"/>
      <w:bookmarkStart w:id="63" w:name="_Toc12214_WPSOffice_Level1"/>
      <w:r>
        <w:rPr>
          <w:rFonts w:hint="eastAsia" w:ascii="宋体" w:hAnsi="宋体" w:cs="宋体"/>
          <w:color w:val="auto"/>
          <w:sz w:val="24"/>
          <w:highlight w:val="none"/>
        </w:rPr>
        <w:t>12、人员配备</w:t>
      </w:r>
    </w:p>
    <w:bookmarkEnd w:id="62"/>
    <w:bookmarkEnd w:id="63"/>
    <w:p w14:paraId="4BDD9311">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13、仓储能力</w:t>
      </w:r>
    </w:p>
    <w:p w14:paraId="029C2966">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14、供应产品的来源</w:t>
      </w:r>
    </w:p>
    <w:p w14:paraId="48114B95">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15、食品安全检测能力</w:t>
      </w:r>
    </w:p>
    <w:p w14:paraId="566807B0">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16、实施方案</w:t>
      </w:r>
    </w:p>
    <w:p w14:paraId="681D4F29">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17、产品质量保障</w:t>
      </w:r>
    </w:p>
    <w:p w14:paraId="04D87277">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18、特殊情况应急保障方案</w:t>
      </w:r>
    </w:p>
    <w:p w14:paraId="6B198A3F">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19、产品质量保障</w:t>
      </w:r>
    </w:p>
    <w:p w14:paraId="644E8590">
      <w:pPr>
        <w:spacing w:line="460" w:lineRule="exact"/>
        <w:rPr>
          <w:rFonts w:ascii="宋体" w:hAnsi="宋体" w:cs="宋体"/>
          <w:b/>
          <w:bCs/>
          <w:color w:val="auto"/>
          <w:sz w:val="24"/>
          <w:highlight w:val="none"/>
        </w:rPr>
      </w:pPr>
      <w:r>
        <w:rPr>
          <w:rFonts w:hint="eastAsia" w:ascii="宋体" w:hAnsi="宋体" w:cs="宋体"/>
          <w:b/>
          <w:bCs/>
          <w:color w:val="auto"/>
          <w:sz w:val="24"/>
          <w:highlight w:val="none"/>
        </w:rPr>
        <w:t>四、其他文件</w:t>
      </w:r>
    </w:p>
    <w:p w14:paraId="7B40E612">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响应文件的内容包括但不仅限于上述内容，如有不足请自行补充。</w:t>
      </w:r>
    </w:p>
    <w:p w14:paraId="21BEC31B">
      <w:pPr>
        <w:numPr>
          <w:ilvl w:val="0"/>
          <w:numId w:val="2"/>
        </w:numPr>
        <w:spacing w:line="460" w:lineRule="exact"/>
        <w:ind w:firstLine="422" w:firstLineChars="200"/>
        <w:rPr>
          <w:rFonts w:ascii="宋体" w:hAnsi="宋体" w:cs="宋体"/>
          <w:b/>
          <w:bCs/>
          <w:color w:val="auto"/>
          <w:sz w:val="28"/>
          <w:highlight w:val="none"/>
        </w:rPr>
      </w:pPr>
      <w:r>
        <w:rPr>
          <w:rFonts w:hint="eastAsia"/>
          <w:b/>
          <w:bCs/>
          <w:color w:val="auto"/>
          <w:highlight w:val="none"/>
        </w:rPr>
        <w:br w:type="page"/>
      </w:r>
      <w:bookmarkStart w:id="64" w:name="_Toc22526_WPSOffice_Level1"/>
      <w:bookmarkStart w:id="65" w:name="_Toc21708_WPSOffice_Level1"/>
      <w:bookmarkStart w:id="66" w:name="_Toc21330"/>
      <w:bookmarkStart w:id="67" w:name="_Toc9349_WPSOffice_Level1"/>
      <w:bookmarkStart w:id="68" w:name="_Toc13964"/>
      <w:bookmarkStart w:id="69" w:name="_Toc17962_WPSOffice_Level1"/>
      <w:bookmarkStart w:id="70" w:name="_Toc3145_WPSOffice_Level1"/>
      <w:r>
        <w:rPr>
          <w:rFonts w:hint="eastAsia" w:ascii="宋体" w:hAnsi="宋体" w:cs="宋体"/>
          <w:b/>
          <w:bCs/>
          <w:color w:val="auto"/>
          <w:sz w:val="28"/>
          <w:highlight w:val="none"/>
        </w:rPr>
        <w:t>资格证明文件</w:t>
      </w:r>
      <w:bookmarkEnd w:id="64"/>
      <w:bookmarkEnd w:id="65"/>
      <w:bookmarkEnd w:id="66"/>
      <w:bookmarkEnd w:id="67"/>
      <w:bookmarkEnd w:id="68"/>
      <w:bookmarkEnd w:id="69"/>
    </w:p>
    <w:p w14:paraId="4CC51385">
      <w:pPr>
        <w:spacing w:before="120" w:line="360" w:lineRule="auto"/>
        <w:jc w:val="center"/>
        <w:rPr>
          <w:rFonts w:ascii="宋体" w:hAnsi="宋体" w:cs="宋体"/>
          <w:b/>
          <w:bCs/>
          <w:color w:val="auto"/>
          <w:sz w:val="32"/>
          <w:szCs w:val="32"/>
          <w:highlight w:val="none"/>
        </w:rPr>
      </w:pPr>
      <w:bookmarkStart w:id="71" w:name="_Toc28783_WPSOffice_Level1"/>
      <w:bookmarkStart w:id="72" w:name="_Toc18364_WPSOffice_Level1"/>
      <w:r>
        <w:rPr>
          <w:rFonts w:hint="eastAsia" w:ascii="宋体" w:hAnsi="宋体" w:cs="宋体"/>
          <w:b/>
          <w:bCs/>
          <w:color w:val="auto"/>
          <w:sz w:val="32"/>
          <w:szCs w:val="32"/>
          <w:highlight w:val="none"/>
        </w:rPr>
        <w:t>1、独立承担民事责任的能力</w:t>
      </w:r>
    </w:p>
    <w:bookmarkEnd w:id="71"/>
    <w:bookmarkEnd w:id="72"/>
    <w:p w14:paraId="5BC4938B">
      <w:pPr>
        <w:rPr>
          <w:rFonts w:ascii="Calibri"/>
          <w:color w:val="auto"/>
          <w:highlight w:val="none"/>
        </w:rPr>
      </w:pPr>
    </w:p>
    <w:p w14:paraId="0891E137">
      <w:pPr>
        <w:ind w:firstLine="420" w:firstLineChars="200"/>
        <w:jc w:val="left"/>
        <w:rPr>
          <w:rFonts w:ascii="Calibri"/>
          <w:color w:val="auto"/>
          <w:highlight w:val="none"/>
        </w:rPr>
      </w:pPr>
      <w:r>
        <w:rPr>
          <w:rFonts w:hint="eastAsia" w:ascii="Calibri"/>
          <w:color w:val="auto"/>
          <w:highlight w:val="none"/>
        </w:rPr>
        <w:t>如供应商是企业（包括合伙企业），应提供在工商部门注册的有效“企业法人营业执照”或“营业执照”（三证或五证合一）；如供应商是事业单位，应提供有效的“事业单位法人证书”；如供应商是非企业专业服务机构的，应提供执业许可证等证明文件；如供应商是个体工商户，应提供有效的“个体工商户营业执照”；如供应商是自然人，应提供有效的自然人身份证明。</w:t>
      </w:r>
    </w:p>
    <w:p w14:paraId="440B0ADA">
      <w:pPr>
        <w:pStyle w:val="17"/>
        <w:ind w:left="0" w:leftChars="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 w:val="32"/>
          <w:szCs w:val="32"/>
          <w:highlight w:val="none"/>
        </w:rPr>
        <w:t>2、</w:t>
      </w:r>
      <w:r>
        <w:rPr>
          <w:rFonts w:hint="eastAsia" w:ascii="宋体" w:hAnsi="宋体" w:eastAsia="宋体" w:cs="宋体"/>
          <w:b/>
          <w:bCs/>
          <w:color w:val="auto"/>
          <w:sz w:val="32"/>
          <w:szCs w:val="32"/>
          <w:highlight w:val="none"/>
        </w:rPr>
        <w:t>具有良好的商业信誉和健全的财务会计制度</w:t>
      </w:r>
    </w:p>
    <w:p w14:paraId="3AAAF286">
      <w:pPr>
        <w:ind w:firstLine="420" w:firstLineChars="200"/>
        <w:rPr>
          <w:rFonts w:ascii="Calibri"/>
          <w:color w:val="auto"/>
          <w:highlight w:val="none"/>
        </w:rPr>
      </w:pPr>
    </w:p>
    <w:p w14:paraId="3C4B9B59">
      <w:pPr>
        <w:ind w:firstLine="420" w:firstLineChars="200"/>
        <w:rPr>
          <w:rFonts w:ascii="Calibri"/>
          <w:color w:val="auto"/>
          <w:highlight w:val="none"/>
        </w:rPr>
      </w:pPr>
      <w:r>
        <w:rPr>
          <w:rFonts w:hint="eastAsia" w:ascii="Calibri"/>
          <w:color w:val="auto"/>
          <w:highlight w:val="none"/>
        </w:rPr>
        <w:t>提供2024或2025年度经审计财务报告复印件（加盖公章），含资产负债表、利润表、现金流量表；或投标截止前3个月内基本开户银行出具的资信证明（银行存款证明无效），附基本账户开户信息；或提供良好商业信誉及健全财务会计制度承诺函（加盖单位公章），附基本账户开户信息。</w:t>
      </w:r>
    </w:p>
    <w:p w14:paraId="6DD4419D">
      <w:pPr>
        <w:snapToGrid w:val="0"/>
        <w:spacing w:line="480" w:lineRule="auto"/>
        <w:rPr>
          <w:rFonts w:ascii="宋体" w:hAnsi="宋体" w:cs="宋体"/>
          <w:color w:val="auto"/>
          <w:sz w:val="24"/>
          <w:highlight w:val="none"/>
        </w:rPr>
      </w:pPr>
    </w:p>
    <w:p w14:paraId="7A66988F">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3FD57EC0">
      <w:pPr>
        <w:spacing w:before="120" w:line="360" w:lineRule="auto"/>
        <w:ind w:left="420" w:leftChars="200"/>
        <w:jc w:val="center"/>
        <w:rPr>
          <w:rFonts w:ascii="宋体" w:hAnsi="宋体" w:eastAsia="仿宋_GB2312" w:cs="宋体"/>
          <w:b/>
          <w:bCs/>
          <w:color w:val="auto"/>
          <w:sz w:val="32"/>
          <w:szCs w:val="32"/>
          <w:highlight w:val="none"/>
        </w:rPr>
      </w:pPr>
      <w:r>
        <w:rPr>
          <w:rFonts w:hint="eastAsia" w:ascii="宋体" w:hAnsi="宋体" w:cs="宋体"/>
          <w:b/>
          <w:bCs/>
          <w:color w:val="auto"/>
          <w:sz w:val="32"/>
          <w:szCs w:val="32"/>
          <w:highlight w:val="none"/>
        </w:rPr>
        <w:t>3、有依法缴纳税收和社会保障资金的良好记录</w:t>
      </w:r>
    </w:p>
    <w:p w14:paraId="561FAA87">
      <w:pPr>
        <w:pStyle w:val="58"/>
        <w:tabs>
          <w:tab w:val="left" w:pos="750"/>
        </w:tabs>
        <w:adjustRightInd w:val="0"/>
        <w:snapToGrid w:val="0"/>
        <w:spacing w:line="500" w:lineRule="exact"/>
        <w:ind w:firstLine="720" w:firstLineChars="300"/>
        <w:rPr>
          <w:rFonts w:ascii="宋体" w:hAnsi="宋体"/>
          <w:color w:val="auto"/>
          <w:sz w:val="24"/>
          <w:szCs w:val="24"/>
          <w:highlight w:val="none"/>
        </w:rPr>
      </w:pPr>
    </w:p>
    <w:p w14:paraId="0D044019">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供应商依法缴纳税收的证明材料：</w:t>
      </w:r>
    </w:p>
    <w:p w14:paraId="2316608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1.投标截止时间前一年内任意1个月的纳税凭据（完税证明、缴款书、银行代扣（代缴）转账凭证）；</w:t>
      </w:r>
    </w:p>
    <w:p w14:paraId="309C5DBC">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2.供应商为其他组织的，也需按此项规定提供缴纳税收凭据；自然人无需提供。</w:t>
      </w:r>
    </w:p>
    <w:p w14:paraId="4074CCB4">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3.依法免税的供应商，须提供相应文件证明其依法免税。</w:t>
      </w:r>
    </w:p>
    <w:p w14:paraId="6C061755">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4.成立时间不足3个月、无应税收入或当期税收零申报的供应商，无需提供纳税凭据，提供承诺函即可。</w:t>
      </w:r>
    </w:p>
    <w:p w14:paraId="18543CA5">
      <w:pPr>
        <w:spacing w:line="720" w:lineRule="auto"/>
        <w:rPr>
          <w:color w:val="auto"/>
          <w:szCs w:val="16"/>
          <w:highlight w:val="none"/>
        </w:rPr>
      </w:pPr>
    </w:p>
    <w:p w14:paraId="644C9EAF">
      <w:pPr>
        <w:pStyle w:val="58"/>
        <w:tabs>
          <w:tab w:val="left" w:pos="750"/>
        </w:tabs>
        <w:adjustRightInd w:val="0"/>
        <w:snapToGrid w:val="0"/>
        <w:spacing w:line="500" w:lineRule="exact"/>
        <w:ind w:firstLine="720" w:firstLineChars="300"/>
        <w:rPr>
          <w:rFonts w:ascii="宋体" w:hAnsi="宋体"/>
          <w:color w:val="auto"/>
          <w:sz w:val="24"/>
          <w:szCs w:val="24"/>
          <w:highlight w:val="none"/>
        </w:rPr>
      </w:pPr>
    </w:p>
    <w:p w14:paraId="1088C2E8">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供应商依法缴纳社会保障资金的证明材料：</w:t>
      </w:r>
    </w:p>
    <w:p w14:paraId="14308D97">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1.投标截止时间前一年内任意 1 个月的社保缴纳凭据（专用收据或社会保险交纳清单）；</w:t>
      </w:r>
    </w:p>
    <w:p w14:paraId="35BD7683">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2.供应商为其他组织，也需按此项规定提供缴纳社会保险的凭据。自然人无需提供。</w:t>
      </w:r>
    </w:p>
    <w:p w14:paraId="142C4E9B">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3.依法不需要缴纳社会保障资金的供应商，须提供相应文件证明其依法不需要缴纳社会保障资金。</w:t>
      </w:r>
    </w:p>
    <w:p w14:paraId="03A5D958">
      <w:pPr>
        <w:pStyle w:val="58"/>
        <w:tabs>
          <w:tab w:val="left" w:pos="750"/>
        </w:tabs>
        <w:adjustRightInd w:val="0"/>
        <w:snapToGrid w:val="0"/>
        <w:spacing w:line="500" w:lineRule="exact"/>
        <w:ind w:firstLine="720" w:firstLineChars="300"/>
        <w:rPr>
          <w:color w:val="auto"/>
          <w:szCs w:val="16"/>
          <w:highlight w:val="none"/>
        </w:rPr>
      </w:pPr>
      <w:r>
        <w:rPr>
          <w:rFonts w:hint="eastAsia" w:ascii="宋体" w:hAnsi="宋体"/>
          <w:color w:val="auto"/>
          <w:sz w:val="24"/>
          <w:szCs w:val="24"/>
          <w:highlight w:val="none"/>
        </w:rPr>
        <w:t>4.成立时间不足3个月、暂无从业人员未缴纳社保的供应商，无需提供本项社保缴纳材料，提供承诺函即可。</w:t>
      </w:r>
    </w:p>
    <w:p w14:paraId="428E8FB4">
      <w:pPr>
        <w:spacing w:before="120" w:line="360" w:lineRule="auto"/>
        <w:ind w:left="420" w:leftChars="20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 w:val="32"/>
          <w:szCs w:val="32"/>
          <w:highlight w:val="none"/>
        </w:rPr>
        <w:t>4、具有履行合同所必需的设备和专业技术能力承诺函</w:t>
      </w:r>
    </w:p>
    <w:p w14:paraId="120345A0">
      <w:pPr>
        <w:snapToGrid w:val="0"/>
        <w:spacing w:line="480" w:lineRule="auto"/>
        <w:ind w:firstLine="480" w:firstLineChars="200"/>
        <w:rPr>
          <w:rFonts w:ascii="宋体" w:hAnsi="宋体" w:cs="宋体"/>
          <w:color w:val="auto"/>
          <w:sz w:val="24"/>
          <w:highlight w:val="none"/>
        </w:rPr>
      </w:pPr>
    </w:p>
    <w:p w14:paraId="0A8CE9A3">
      <w:pPr>
        <w:snapToGrid w:val="0"/>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我单位参与</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投标，本单位郑重声明，本单位具备本项目履行合同所必需的设备和专业技术能力，特此承诺。</w:t>
      </w:r>
    </w:p>
    <w:p w14:paraId="52AC060E">
      <w:pPr>
        <w:spacing w:before="120" w:line="360" w:lineRule="auto"/>
        <w:ind w:left="420" w:leftChars="200"/>
        <w:jc w:val="center"/>
        <w:rPr>
          <w:rFonts w:ascii="宋体" w:hAnsi="宋体" w:cs="宋体"/>
          <w:b/>
          <w:bCs/>
          <w:color w:val="auto"/>
          <w:sz w:val="32"/>
          <w:szCs w:val="32"/>
          <w:highlight w:val="none"/>
        </w:rPr>
      </w:pPr>
    </w:p>
    <w:p w14:paraId="453DAF2B">
      <w:pPr>
        <w:snapToGrid w:val="0"/>
        <w:spacing w:line="480" w:lineRule="auto"/>
        <w:rPr>
          <w:rFonts w:ascii="仿宋_GB2312" w:hAnsi="仿宋_GB2312" w:eastAsia="仿宋_GB2312" w:cs="仿宋_GB2312"/>
          <w:color w:val="auto"/>
          <w:highlight w:val="none"/>
        </w:rPr>
      </w:pPr>
    </w:p>
    <w:p w14:paraId="3E221DB5">
      <w:pPr>
        <w:snapToGrid w:val="0"/>
        <w:spacing w:line="480" w:lineRule="auto"/>
        <w:rPr>
          <w:rFonts w:ascii="仿宋_GB2312" w:hAnsi="仿宋_GB2312" w:eastAsia="仿宋_GB2312" w:cs="仿宋_GB2312"/>
          <w:color w:val="auto"/>
          <w:highlight w:val="none"/>
        </w:rPr>
      </w:pPr>
    </w:p>
    <w:p w14:paraId="0B88590D">
      <w:pPr>
        <w:snapToGrid w:val="0"/>
        <w:spacing w:line="480" w:lineRule="auto"/>
        <w:rPr>
          <w:rFonts w:ascii="仿宋_GB2312" w:hAnsi="仿宋_GB2312" w:eastAsia="仿宋_GB2312" w:cs="仿宋_GB2312"/>
          <w:color w:val="auto"/>
          <w:highlight w:val="none"/>
        </w:rPr>
      </w:pPr>
    </w:p>
    <w:p w14:paraId="7BA8F117">
      <w:pPr>
        <w:snapToGrid w:val="0"/>
        <w:spacing w:line="480" w:lineRule="auto"/>
        <w:rPr>
          <w:rFonts w:ascii="仿宋_GB2312" w:hAnsi="仿宋_GB2312" w:eastAsia="仿宋_GB2312" w:cs="仿宋_GB2312"/>
          <w:color w:val="auto"/>
          <w:highlight w:val="none"/>
        </w:rPr>
      </w:pPr>
    </w:p>
    <w:p w14:paraId="42A465E9">
      <w:pPr>
        <w:snapToGrid w:val="0"/>
        <w:spacing w:line="480" w:lineRule="auto"/>
        <w:rPr>
          <w:rFonts w:ascii="仿宋_GB2312" w:hAnsi="仿宋_GB2312" w:eastAsia="仿宋_GB2312" w:cs="仿宋_GB2312"/>
          <w:color w:val="auto"/>
          <w:highlight w:val="none"/>
        </w:rPr>
      </w:pPr>
    </w:p>
    <w:p w14:paraId="19AF8727">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2BB02EFF">
      <w:pPr>
        <w:pStyle w:val="58"/>
        <w:tabs>
          <w:tab w:val="left" w:pos="750"/>
        </w:tabs>
        <w:adjustRightInd w:val="0"/>
        <w:snapToGrid w:val="0"/>
        <w:spacing w:line="500" w:lineRule="exact"/>
        <w:rPr>
          <w:rFonts w:ascii="宋体" w:hAnsi="宋体"/>
          <w:color w:val="auto"/>
          <w:sz w:val="24"/>
          <w:szCs w:val="24"/>
          <w:highlight w:val="none"/>
        </w:rPr>
      </w:pPr>
    </w:p>
    <w:p w14:paraId="33FA5F87">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5891E6AC">
      <w:pPr>
        <w:pStyle w:val="58"/>
        <w:tabs>
          <w:tab w:val="left" w:pos="750"/>
        </w:tabs>
        <w:adjustRightInd w:val="0"/>
        <w:snapToGrid w:val="0"/>
        <w:spacing w:line="500" w:lineRule="exact"/>
        <w:rPr>
          <w:rFonts w:ascii="宋体" w:hAnsi="宋体"/>
          <w:color w:val="auto"/>
          <w:sz w:val="24"/>
          <w:szCs w:val="24"/>
          <w:highlight w:val="none"/>
        </w:rPr>
      </w:pPr>
    </w:p>
    <w:p w14:paraId="1CADE0BE">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  年  月  日</w:t>
      </w:r>
    </w:p>
    <w:p w14:paraId="62BF0BDC">
      <w:pPr>
        <w:spacing w:before="120"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r>
        <w:rPr>
          <w:rFonts w:hint="eastAsia" w:ascii="宋体" w:hAnsi="宋体" w:cs="宋体"/>
          <w:b/>
          <w:bCs/>
          <w:color w:val="auto"/>
          <w:sz w:val="32"/>
          <w:szCs w:val="32"/>
          <w:highlight w:val="none"/>
        </w:rPr>
        <w:t>5、参加政府采购活动前3年内，在经营活动中没有重大违法记录的书面声明函</w:t>
      </w:r>
    </w:p>
    <w:p w14:paraId="3AC54CE0">
      <w:pPr>
        <w:spacing w:line="520" w:lineRule="exact"/>
        <w:rPr>
          <w:rFonts w:ascii="宋体" w:hAnsi="宋体" w:cs="宋体"/>
          <w:bCs/>
          <w:color w:val="auto"/>
          <w:sz w:val="24"/>
          <w:highlight w:val="none"/>
        </w:rPr>
      </w:pPr>
      <w:r>
        <w:rPr>
          <w:rFonts w:hint="eastAsia" w:ascii="宋体" w:hAnsi="宋体" w:cs="宋体"/>
          <w:color w:val="auto"/>
          <w:sz w:val="24"/>
          <w:highlight w:val="none"/>
        </w:rPr>
        <w:t>致：</w:t>
      </w:r>
    </w:p>
    <w:p w14:paraId="13798E08">
      <w:pPr>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本公司参加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项目（项目编号：</w:t>
      </w:r>
      <w:r>
        <w:rPr>
          <w:rFonts w:hint="eastAsia" w:ascii="宋体" w:hAnsi="宋体" w:cs="宋体"/>
          <w:color w:val="auto"/>
          <w:sz w:val="24"/>
          <w:highlight w:val="none"/>
          <w:u w:val="single"/>
        </w:rPr>
        <w:t>　　　　</w:t>
      </w:r>
      <w:r>
        <w:rPr>
          <w:rFonts w:hint="eastAsia" w:ascii="宋体" w:hAnsi="宋体" w:cs="宋体"/>
          <w:color w:val="auto"/>
          <w:sz w:val="24"/>
          <w:highlight w:val="none"/>
        </w:rPr>
        <w:t>）的采购活动，并声明：</w:t>
      </w:r>
    </w:p>
    <w:p w14:paraId="0F08415C">
      <w:pPr>
        <w:spacing w:line="520" w:lineRule="exact"/>
        <w:rPr>
          <w:rFonts w:ascii="宋体" w:hAnsi="宋体" w:cs="宋体"/>
          <w:color w:val="auto"/>
          <w:sz w:val="24"/>
          <w:highlight w:val="none"/>
        </w:rPr>
      </w:pPr>
      <w:r>
        <w:rPr>
          <w:rFonts w:hint="eastAsia" w:ascii="宋体" w:hAnsi="宋体" w:cs="宋体"/>
          <w:color w:val="auto"/>
          <w:sz w:val="24"/>
          <w:highlight w:val="none"/>
        </w:rPr>
        <w:t>郑重声明，我方参加本项目政府采购活动前三年内无重大违法记录，在经营活动中没有因违法经营受到刑事处罚或者责令停产停业、吊销许可证或者执照、较大数额罚款等行政处罚。符合《政府采购法》规定的供应商条件。若贵方在本项目采购过程中发现我方政府采购活动前三年内有重大违法记录，我公司将无条件退出本项目的投标，并承担因此引起的一切后果。我方对此声明负全部法律责任。特此声明！</w:t>
      </w:r>
    </w:p>
    <w:p w14:paraId="7020E3F9">
      <w:pPr>
        <w:snapToGrid w:val="0"/>
        <w:spacing w:line="480" w:lineRule="auto"/>
        <w:rPr>
          <w:rFonts w:ascii="宋体" w:hAnsi="宋体" w:cs="宋体"/>
          <w:color w:val="auto"/>
          <w:sz w:val="24"/>
          <w:highlight w:val="none"/>
        </w:rPr>
      </w:pPr>
    </w:p>
    <w:p w14:paraId="021A39FE">
      <w:pPr>
        <w:snapToGrid w:val="0"/>
        <w:spacing w:line="480" w:lineRule="auto"/>
        <w:ind w:firstLine="480" w:firstLineChars="200"/>
        <w:rPr>
          <w:rFonts w:ascii="宋体" w:hAnsi="宋体" w:cs="宋体"/>
          <w:color w:val="auto"/>
          <w:sz w:val="24"/>
          <w:highlight w:val="none"/>
        </w:rPr>
      </w:pPr>
    </w:p>
    <w:p w14:paraId="46708149">
      <w:pPr>
        <w:snapToGrid w:val="0"/>
        <w:spacing w:line="480" w:lineRule="auto"/>
        <w:rPr>
          <w:rFonts w:ascii="仿宋_GB2312" w:hAnsi="仿宋_GB2312" w:eastAsia="仿宋_GB2312" w:cs="仿宋_GB2312"/>
          <w:color w:val="auto"/>
          <w:highlight w:val="none"/>
        </w:rPr>
      </w:pPr>
    </w:p>
    <w:p w14:paraId="5CE4098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50618524">
      <w:pPr>
        <w:pStyle w:val="58"/>
        <w:tabs>
          <w:tab w:val="left" w:pos="750"/>
        </w:tabs>
        <w:adjustRightInd w:val="0"/>
        <w:snapToGrid w:val="0"/>
        <w:spacing w:line="500" w:lineRule="exact"/>
        <w:rPr>
          <w:rFonts w:ascii="宋体" w:hAnsi="宋体"/>
          <w:color w:val="auto"/>
          <w:sz w:val="24"/>
          <w:szCs w:val="24"/>
          <w:highlight w:val="none"/>
        </w:rPr>
      </w:pPr>
    </w:p>
    <w:p w14:paraId="27041DC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5FFE5F2A">
      <w:pPr>
        <w:pStyle w:val="58"/>
        <w:tabs>
          <w:tab w:val="left" w:pos="750"/>
        </w:tabs>
        <w:adjustRightInd w:val="0"/>
        <w:snapToGrid w:val="0"/>
        <w:spacing w:line="500" w:lineRule="exact"/>
        <w:rPr>
          <w:rFonts w:ascii="宋体" w:hAnsi="宋体"/>
          <w:color w:val="auto"/>
          <w:sz w:val="24"/>
          <w:szCs w:val="24"/>
          <w:highlight w:val="none"/>
        </w:rPr>
      </w:pPr>
    </w:p>
    <w:p w14:paraId="4F6B230C">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日期：  年  月  日</w:t>
      </w:r>
    </w:p>
    <w:p w14:paraId="45F8AF4A">
      <w:pPr>
        <w:pStyle w:val="58"/>
        <w:tabs>
          <w:tab w:val="left" w:pos="750"/>
        </w:tabs>
        <w:adjustRightInd w:val="0"/>
        <w:snapToGrid w:val="0"/>
        <w:spacing w:line="500" w:lineRule="exact"/>
        <w:ind w:firstLine="840" w:firstLineChars="300"/>
        <w:rPr>
          <w:color w:val="auto"/>
          <w:highlight w:val="none"/>
        </w:rPr>
      </w:pPr>
    </w:p>
    <w:p w14:paraId="2008746E">
      <w:pPr>
        <w:pStyle w:val="60"/>
        <w:spacing w:line="640" w:lineRule="exact"/>
        <w:jc w:val="center"/>
        <w:rPr>
          <w:rFonts w:ascii="宋体" w:hAnsi="宋体" w:eastAsia="宋体" w:cs="宋体"/>
          <w:color w:val="auto"/>
          <w:highlight w:val="none"/>
        </w:rPr>
      </w:pPr>
      <w:r>
        <w:rPr>
          <w:rFonts w:hint="eastAsia" w:ascii="宋体" w:hAnsi="宋体" w:cs="宋体"/>
          <w:bCs/>
          <w:color w:val="auto"/>
          <w:szCs w:val="32"/>
          <w:highlight w:val="none"/>
        </w:rPr>
        <w:br w:type="page"/>
      </w:r>
      <w:r>
        <w:rPr>
          <w:rFonts w:hint="eastAsia" w:ascii="宋体" w:hAnsi="宋体" w:eastAsia="宋体" w:cs="宋体"/>
          <w:bCs/>
          <w:color w:val="auto"/>
          <w:szCs w:val="32"/>
          <w:highlight w:val="none"/>
        </w:rPr>
        <w:t>6、</w:t>
      </w:r>
      <w:r>
        <w:rPr>
          <w:rFonts w:hint="eastAsia" w:ascii="宋体" w:hAnsi="宋体" w:eastAsia="宋体" w:cs="宋体"/>
          <w:color w:val="auto"/>
          <w:highlight w:val="none"/>
        </w:rPr>
        <w:t>限制行为</w:t>
      </w:r>
    </w:p>
    <w:p w14:paraId="346573CB">
      <w:pPr>
        <w:pStyle w:val="60"/>
        <w:spacing w:line="640" w:lineRule="exact"/>
        <w:jc w:val="center"/>
        <w:rPr>
          <w:rFonts w:ascii="宋体" w:hAnsi="宋体" w:eastAsia="宋体" w:cs="宋体"/>
          <w:bCs/>
          <w:color w:val="auto"/>
          <w:sz w:val="24"/>
          <w:highlight w:val="none"/>
        </w:rPr>
      </w:pPr>
      <w:bookmarkStart w:id="73" w:name="_Toc5107_WPSOffice_Level1"/>
      <w:bookmarkStart w:id="74" w:name="_Toc4715_WPSOffice_Level1"/>
      <w:bookmarkStart w:id="75" w:name="_Toc6244_WPSOffice_Level1"/>
      <w:bookmarkStart w:id="76" w:name="_Toc30256_WPSOffice_Level1"/>
      <w:r>
        <w:rPr>
          <w:rFonts w:hint="eastAsia" w:ascii="宋体" w:hAnsi="宋体" w:eastAsia="宋体" w:cs="宋体"/>
          <w:bCs/>
          <w:color w:val="auto"/>
          <w:sz w:val="24"/>
          <w:highlight w:val="none"/>
        </w:rPr>
        <w:t>承诺书</w:t>
      </w:r>
      <w:bookmarkEnd w:id="73"/>
      <w:bookmarkEnd w:id="74"/>
      <w:bookmarkEnd w:id="75"/>
      <w:bookmarkEnd w:id="76"/>
      <w:r>
        <w:rPr>
          <w:rFonts w:hint="eastAsia" w:ascii="宋体" w:hAnsi="宋体" w:eastAsia="宋体" w:cs="宋体"/>
          <w:bCs/>
          <w:color w:val="auto"/>
          <w:sz w:val="24"/>
          <w:highlight w:val="none"/>
        </w:rPr>
        <w:br w:type="textWrapping"/>
      </w:r>
    </w:p>
    <w:p w14:paraId="502926D3">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本人作为</w:t>
      </w:r>
      <w:r>
        <w:rPr>
          <w:rFonts w:hint="eastAsia" w:ascii="宋体" w:hAnsi="宋体" w:eastAsia="宋体" w:cs="宋体"/>
          <w:b w:val="0"/>
          <w:bCs/>
          <w:color w:val="auto"/>
          <w:sz w:val="24"/>
          <w:highlight w:val="none"/>
          <w:u w:val="single"/>
        </w:rPr>
        <w:t>（单位名称）</w:t>
      </w:r>
      <w:r>
        <w:rPr>
          <w:rFonts w:hint="eastAsia" w:ascii="宋体" w:hAnsi="宋体" w:eastAsia="宋体" w:cs="宋体"/>
          <w:b w:val="0"/>
          <w:bCs/>
          <w:color w:val="auto"/>
          <w:sz w:val="24"/>
          <w:highlight w:val="none"/>
        </w:rPr>
        <w:t>的法人，清楚知晓我公司本项目投标活动，对以下事项作出承诺：</w:t>
      </w:r>
    </w:p>
    <w:p w14:paraId="0E023EDD">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一、我单位遵循公开、公平、公正、诚实守信的原则，依法依规参与本项目竞标。</w:t>
      </w:r>
    </w:p>
    <w:p w14:paraId="24657593">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二、我单位在本项目招标投标活动中，未参与围标串标。</w:t>
      </w:r>
    </w:p>
    <w:p w14:paraId="023E01BA">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三、我单位未为采购项目提供整体设计、规范编制或者项目管理、监理、检测等服务。</w:t>
      </w:r>
    </w:p>
    <w:p w14:paraId="1B62A740">
      <w:pPr>
        <w:pStyle w:val="60"/>
        <w:spacing w:line="640" w:lineRule="exact"/>
        <w:ind w:firstLine="480" w:firstLineChars="200"/>
        <w:rPr>
          <w:rFonts w:ascii="宋体" w:hAnsi="宋体" w:eastAsia="宋体" w:cs="宋体"/>
          <w:b w:val="0"/>
          <w:bCs/>
          <w:color w:val="auto"/>
          <w:sz w:val="24"/>
          <w:highlight w:val="none"/>
        </w:rPr>
      </w:pPr>
      <w:r>
        <w:rPr>
          <w:rFonts w:hint="eastAsia" w:ascii="宋体" w:hAnsi="宋体" w:eastAsia="宋体" w:cs="宋体"/>
          <w:b w:val="0"/>
          <w:bCs/>
          <w:color w:val="auto"/>
          <w:sz w:val="24"/>
          <w:highlight w:val="none"/>
        </w:rPr>
        <w:t>四、我单位如被查实在本项目招标投标活动中存在围标串标的，递交响应文件行为作为实施串通投标违法行为的关键环节，本人承担直接责任人员法律责任，接受相应行政处罚和失信惩戒。</w:t>
      </w:r>
    </w:p>
    <w:p w14:paraId="4685F727">
      <w:pPr>
        <w:snapToGrid w:val="0"/>
        <w:rPr>
          <w:rFonts w:ascii="宋体" w:hAnsi="宋体" w:cs="宋体"/>
          <w:color w:val="auto"/>
          <w:sz w:val="24"/>
          <w:highlight w:val="none"/>
        </w:rPr>
      </w:pPr>
    </w:p>
    <w:p w14:paraId="39F78740">
      <w:pPr>
        <w:snapToGrid w:val="0"/>
        <w:rPr>
          <w:rFonts w:ascii="宋体" w:hAnsi="宋体" w:cs="宋体"/>
          <w:color w:val="auto"/>
          <w:sz w:val="24"/>
          <w:highlight w:val="none"/>
        </w:rPr>
      </w:pPr>
    </w:p>
    <w:p w14:paraId="437A8E04">
      <w:pPr>
        <w:snapToGrid w:val="0"/>
        <w:spacing w:line="480" w:lineRule="auto"/>
        <w:rPr>
          <w:rFonts w:ascii="仿宋_GB2312" w:hAnsi="仿宋_GB2312" w:eastAsia="仿宋_GB2312" w:cs="仿宋_GB2312"/>
          <w:color w:val="auto"/>
          <w:highlight w:val="none"/>
        </w:rPr>
      </w:pPr>
    </w:p>
    <w:p w14:paraId="15E59226">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3FEADB7B">
      <w:pPr>
        <w:pStyle w:val="58"/>
        <w:tabs>
          <w:tab w:val="left" w:pos="750"/>
        </w:tabs>
        <w:adjustRightInd w:val="0"/>
        <w:snapToGrid w:val="0"/>
        <w:spacing w:line="500" w:lineRule="exact"/>
        <w:rPr>
          <w:rFonts w:ascii="宋体" w:hAnsi="宋体"/>
          <w:color w:val="auto"/>
          <w:sz w:val="24"/>
          <w:szCs w:val="24"/>
          <w:highlight w:val="none"/>
        </w:rPr>
      </w:pPr>
    </w:p>
    <w:p w14:paraId="55348F72">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7050B703">
      <w:pPr>
        <w:pStyle w:val="58"/>
        <w:tabs>
          <w:tab w:val="left" w:pos="750"/>
        </w:tabs>
        <w:adjustRightInd w:val="0"/>
        <w:snapToGrid w:val="0"/>
        <w:spacing w:line="500" w:lineRule="exact"/>
        <w:rPr>
          <w:rFonts w:ascii="宋体" w:hAnsi="宋体"/>
          <w:color w:val="auto"/>
          <w:sz w:val="24"/>
          <w:szCs w:val="24"/>
          <w:highlight w:val="none"/>
        </w:rPr>
      </w:pPr>
    </w:p>
    <w:p w14:paraId="46D4971E">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1C98AD35">
      <w:pPr>
        <w:spacing w:before="120" w:line="360" w:lineRule="auto"/>
        <w:rPr>
          <w:rFonts w:ascii="宋体" w:hAnsi="宋体" w:cs="宋体"/>
          <w:b/>
          <w:bCs/>
          <w:color w:val="auto"/>
          <w:sz w:val="32"/>
          <w:szCs w:val="32"/>
          <w:highlight w:val="none"/>
        </w:rPr>
      </w:pPr>
    </w:p>
    <w:p w14:paraId="4E688E25">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0459C8FE">
      <w:pPr>
        <w:pStyle w:val="6"/>
        <w:spacing w:before="0" w:after="0" w:line="360" w:lineRule="auto"/>
        <w:ind w:left="420" w:leftChars="200"/>
        <w:rPr>
          <w:rFonts w:hint="eastAsia" w:ascii="宋体" w:hAnsi="宋体" w:cs="宋体"/>
          <w:color w:val="auto"/>
          <w:sz w:val="32"/>
          <w:szCs w:val="32"/>
          <w:highlight w:val="none"/>
        </w:rPr>
        <w:sectPr>
          <w:headerReference r:id="rId8" w:type="default"/>
          <w:footerReference r:id="rId9" w:type="default"/>
          <w:pgSz w:w="11906" w:h="16838"/>
          <w:pgMar w:top="1440" w:right="1800" w:bottom="1440" w:left="1800" w:header="851" w:footer="992" w:gutter="0"/>
          <w:cols w:space="425" w:num="1"/>
          <w:docGrid w:type="lines" w:linePitch="312" w:charSpace="0"/>
        </w:sectPr>
      </w:pPr>
      <w:bookmarkStart w:id="77" w:name="_Toc25525_WPSOffice_Level1"/>
      <w:bookmarkStart w:id="78" w:name="_Toc3991_WPSOffice_Level1"/>
      <w:bookmarkStart w:id="79" w:name="_Toc27018_WPSOffice_Level1"/>
      <w:bookmarkStart w:id="80" w:name="_Toc17028_WPSOffice_Level1"/>
    </w:p>
    <w:p w14:paraId="39B45B41">
      <w:pPr>
        <w:pStyle w:val="60"/>
        <w:spacing w:line="64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中小企业声明函</w:t>
      </w:r>
    </w:p>
    <w:p w14:paraId="033BDBC6">
      <w:pPr>
        <w:pStyle w:val="25"/>
        <w:widowControl/>
        <w:numPr>
          <w:ilvl w:val="0"/>
          <w:numId w:val="0"/>
        </w:numPr>
        <w:spacing w:line="520" w:lineRule="exact"/>
        <w:jc w:val="center"/>
        <w:rPr>
          <w:rFonts w:ascii="宋体" w:hAnsi="宋体" w:cs="宋体"/>
          <w:color w:val="auto"/>
          <w:sz w:val="24"/>
          <w:highlight w:val="none"/>
        </w:rPr>
      </w:pPr>
      <w:r>
        <w:rPr>
          <w:rStyle w:val="32"/>
          <w:rFonts w:hint="eastAsia" w:ascii="宋体" w:hAnsi="宋体" w:cs="宋体"/>
          <w:color w:val="auto"/>
          <w:sz w:val="24"/>
          <w:highlight w:val="none"/>
        </w:rPr>
        <w:t>中小企业声明函(（货物)）</w:t>
      </w:r>
    </w:p>
    <w:p w14:paraId="76616EF3">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本公司（联合体）郑重声明，根据《政府采购促进中小企业发展管理办法》（财库〔2020〕[2020]46号）的规定，本公司（联合体）参加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（单位名称）的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（项目名称）采购活动，提供的货物全部由符合政策要求的中小企业制造。相关企业（含联合体中的中小企业、签订分包意向协议的中小企业）的具体情况如下：</w:t>
      </w:r>
    </w:p>
    <w:p w14:paraId="3E4B3B61">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（标的名称），属于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b/>
          <w:bCs/>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（采购文件中明确的所属行业）；制造商为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（企业名称），从业人员</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（中型企业、小型企业、微型企业）；</w:t>
      </w:r>
    </w:p>
    <w:p w14:paraId="3364C30A">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（标的名称），属于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（采购文件中明确的所属行业）；制造商为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（企业名称），从业人员</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（中型企业、小型企业、微型企业）；</w:t>
      </w:r>
    </w:p>
    <w:p w14:paraId="4F56E861">
      <w:pPr>
        <w:pStyle w:val="2"/>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14:paraId="1E6B94DF">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以上企业，不属于大企业的分支机构，不存在控股股东为大企业的情形，也不存在与大企业的负责人为同一人的情形。</w:t>
      </w:r>
    </w:p>
    <w:p w14:paraId="6F897CA7">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本企业对上述声明内容的真实性负责。如有虚假，将依法承担相应责任。</w:t>
      </w:r>
    </w:p>
    <w:p w14:paraId="0F37271B">
      <w:pPr>
        <w:widowControl/>
        <w:spacing w:line="360" w:lineRule="auto"/>
        <w:rPr>
          <w:rFonts w:asciiTheme="minorEastAsia" w:hAnsiTheme="minorEastAsia" w:eastAsiaTheme="minorEastAsia" w:cstheme="minorEastAsia"/>
          <w:color w:val="auto"/>
          <w:sz w:val="24"/>
          <w:highlight w:val="none"/>
        </w:rPr>
      </w:pPr>
    </w:p>
    <w:p w14:paraId="253B421B">
      <w:pPr>
        <w:widowControl/>
        <w:spacing w:line="360" w:lineRule="auto"/>
        <w:rPr>
          <w:rFonts w:asciiTheme="minorEastAsia" w:hAnsiTheme="minorEastAsia" w:eastAsiaTheme="minorEastAsia" w:cstheme="minorEastAsia"/>
          <w:color w:val="auto"/>
          <w:sz w:val="24"/>
          <w:highlight w:val="none"/>
        </w:rPr>
      </w:pPr>
    </w:p>
    <w:p w14:paraId="0FCFD0B2">
      <w:pPr>
        <w:widowControl/>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企业名称（盖章）：</w:t>
      </w:r>
    </w:p>
    <w:p w14:paraId="485A90E5">
      <w:pP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日期：</w:t>
      </w:r>
    </w:p>
    <w:p w14:paraId="2125EB46">
      <w:pPr>
        <w:rPr>
          <w:rFonts w:ascii="宋体" w:hAnsi="宋体" w:cs="宋体"/>
          <w:color w:val="auto"/>
          <w:spacing w:val="7"/>
          <w:sz w:val="28"/>
          <w:szCs w:val="28"/>
          <w:highlight w:val="none"/>
          <w14:textOutline w14:w="6540" w14:cap="sq" w14:cmpd="sng" w14:algn="ctr">
            <w14:solidFill>
              <w14:srgbClr w14:val="000000"/>
            </w14:solidFill>
            <w14:prstDash w14:val="solid"/>
            <w14:bevel/>
          </w14:textOutline>
        </w:rPr>
      </w:pPr>
    </w:p>
    <w:p w14:paraId="6D139DE1">
      <w:pPr>
        <w:pStyle w:val="12"/>
        <w:spacing w:after="0" w:line="360" w:lineRule="auto"/>
        <w:ind w:firstLine="480" w:firstLineChars="200"/>
        <w:rPr>
          <w:rFonts w:ascii="宋体" w:hAnsi="宋体" w:cs="宋体"/>
          <w:color w:val="auto"/>
          <w:sz w:val="24"/>
          <w:highlight w:val="none"/>
        </w:rPr>
      </w:pPr>
    </w:p>
    <w:p w14:paraId="1F467321">
      <w:pPr>
        <w:pStyle w:val="12"/>
        <w:spacing w:after="0" w:line="360" w:lineRule="auto"/>
        <w:ind w:firstLine="480" w:firstLineChars="200"/>
        <w:rPr>
          <w:rFonts w:ascii="宋体" w:hAnsi="宋体" w:cs="宋体"/>
          <w:color w:val="auto"/>
          <w:sz w:val="24"/>
          <w:highlight w:val="none"/>
        </w:rPr>
      </w:pPr>
    </w:p>
    <w:p w14:paraId="404ACDE7">
      <w:pPr>
        <w:pStyle w:val="12"/>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从业人员、营业收入、资产总额填报上一年度数据，无上一年度数据的新成立企业可不填报。</w:t>
      </w:r>
    </w:p>
    <w:p w14:paraId="260096F1">
      <w:pPr>
        <w:pStyle w:val="12"/>
        <w:spacing w:after="0" w:line="360" w:lineRule="auto"/>
        <w:ind w:firstLine="480" w:firstLineChars="200"/>
        <w:rPr>
          <w:rFonts w:ascii="宋体" w:hAnsi="宋体" w:cs="宋体"/>
          <w:color w:val="auto"/>
          <w:sz w:val="24"/>
          <w:highlight w:val="none"/>
        </w:rPr>
      </w:pPr>
    </w:p>
    <w:p w14:paraId="30B6D94D">
      <w:pPr>
        <w:rPr>
          <w:rFonts w:ascii="宋体" w:hAnsi="宋体" w:cs="宋体"/>
          <w:color w:val="auto"/>
          <w:spacing w:val="7"/>
          <w:sz w:val="28"/>
          <w:szCs w:val="28"/>
          <w:highlight w:val="none"/>
          <w14:textOutline w14:w="6540" w14:cap="sq" w14:cmpd="sng" w14:algn="ctr">
            <w14:solidFill>
              <w14:srgbClr w14:val="000000"/>
            </w14:solidFill>
            <w14:prstDash w14:val="solid"/>
            <w14:bevel/>
          </w14:textOutline>
        </w:rPr>
      </w:pPr>
      <w:r>
        <w:rPr>
          <w:rFonts w:hint="eastAsia" w:ascii="宋体" w:hAnsi="宋体" w:cs="宋体"/>
          <w:color w:val="auto"/>
          <w:spacing w:val="7"/>
          <w:sz w:val="28"/>
          <w:szCs w:val="28"/>
          <w:highlight w:val="none"/>
          <w14:textOutline w14:w="6540" w14:cap="sq" w14:cmpd="sng" w14:algn="ctr">
            <w14:solidFill>
              <w14:srgbClr w14:val="000000"/>
            </w14:solidFill>
            <w14:prstDash w14:val="solid"/>
            <w14:bevel/>
          </w14:textOutline>
        </w:rPr>
        <w:br w:type="page"/>
      </w:r>
    </w:p>
    <w:p w14:paraId="19C04DFD">
      <w:pPr>
        <w:pStyle w:val="25"/>
        <w:widowControl/>
        <w:spacing w:line="520" w:lineRule="exact"/>
        <w:ind w:firstLine="420"/>
        <w:jc w:val="center"/>
        <w:rPr>
          <w:rStyle w:val="32"/>
          <w:rFonts w:ascii="宋体" w:hAnsi="宋体" w:cs="宋体"/>
          <w:color w:val="auto"/>
          <w:sz w:val="24"/>
          <w:highlight w:val="none"/>
        </w:rPr>
      </w:pPr>
      <w:r>
        <w:rPr>
          <w:rStyle w:val="32"/>
          <w:rFonts w:hint="eastAsia" w:ascii="宋体" w:hAnsi="宋体" w:cs="宋体"/>
          <w:color w:val="auto"/>
          <w:sz w:val="24"/>
          <w:highlight w:val="none"/>
        </w:rPr>
        <w:t>监狱企业的证明文件（如有）</w:t>
      </w:r>
    </w:p>
    <w:p w14:paraId="572A7DED">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（监狱企业适用）</w:t>
      </w:r>
    </w:p>
    <w:p w14:paraId="17859F40">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本公司郑重声明，根据《关于政府采购支持监狱企业发展有关问题的通知》（财库[2014]68号）的规定，本公司为监狱企业。</w:t>
      </w:r>
    </w:p>
    <w:p w14:paraId="1077A768">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本公司参加______单位的______项目竞标活动，竞标活动提供本企业（填写制造的货物，由本企业承担工程、提供服务）。</w:t>
      </w:r>
    </w:p>
    <w:p w14:paraId="76E3F0ED">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本条所称货物不包括使用大型企业注册商标的货物和服务。</w:t>
      </w:r>
    </w:p>
    <w:p w14:paraId="3B271B9E">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本公司对上述声明的真实性负责。如有虚假，将依法承担相应责任。</w:t>
      </w:r>
    </w:p>
    <w:p w14:paraId="2DC5CF6C">
      <w:pPr>
        <w:pStyle w:val="76"/>
        <w:spacing w:line="480" w:lineRule="auto"/>
        <w:jc w:val="both"/>
        <w:rPr>
          <w:rFonts w:ascii="宋体" w:hAnsi="宋体" w:eastAsia="宋体" w:cs="宋体"/>
          <w:b w:val="0"/>
          <w:color w:val="auto"/>
          <w:kern w:val="2"/>
          <w:sz w:val="24"/>
          <w:szCs w:val="22"/>
          <w:highlight w:val="none"/>
        </w:rPr>
      </w:pPr>
    </w:p>
    <w:p w14:paraId="2A30F510">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企业名称（盖公章）：</w:t>
      </w:r>
    </w:p>
    <w:p w14:paraId="549BA4D2">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法定代表人或其授权代表(签字或盖章)：____________</w:t>
      </w:r>
    </w:p>
    <w:p w14:paraId="15DCF304">
      <w:pPr>
        <w:pStyle w:val="76"/>
        <w:spacing w:line="480" w:lineRule="auto"/>
        <w:jc w:val="both"/>
        <w:rPr>
          <w:rFonts w:ascii="宋体" w:hAnsi="宋体" w:eastAsia="宋体" w:cs="宋体"/>
          <w:b w:val="0"/>
          <w:color w:val="auto"/>
          <w:kern w:val="2"/>
          <w:sz w:val="24"/>
          <w:szCs w:val="22"/>
          <w:highlight w:val="none"/>
        </w:rPr>
      </w:pPr>
    </w:p>
    <w:p w14:paraId="01E03501">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日期：</w:t>
      </w:r>
    </w:p>
    <w:p w14:paraId="7E618D5E">
      <w:pPr>
        <w:pStyle w:val="76"/>
        <w:jc w:val="both"/>
        <w:rPr>
          <w:rFonts w:ascii="宋体" w:hAnsi="宋体" w:eastAsia="宋体" w:cs="宋体"/>
          <w:b w:val="0"/>
          <w:color w:val="auto"/>
          <w:kern w:val="2"/>
          <w:sz w:val="24"/>
          <w:szCs w:val="22"/>
          <w:highlight w:val="none"/>
        </w:rPr>
      </w:pPr>
    </w:p>
    <w:p w14:paraId="5A5AFE3E">
      <w:pPr>
        <w:spacing w:line="600" w:lineRule="auto"/>
        <w:ind w:firstLine="435"/>
        <w:rPr>
          <w:color w:val="auto"/>
          <w:sz w:val="24"/>
          <w:szCs w:val="20"/>
          <w:highlight w:val="none"/>
        </w:rPr>
      </w:pPr>
      <w:r>
        <w:rPr>
          <w:rFonts w:hint="eastAsia"/>
          <w:color w:val="auto"/>
          <w:sz w:val="24"/>
          <w:szCs w:val="20"/>
          <w:highlight w:val="none"/>
        </w:rPr>
        <w:t>说明：</w:t>
      </w:r>
    </w:p>
    <w:p w14:paraId="4C4F5664">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1.监狱企业参加政府采购活动时，应当提供由省级以上监狱管理局、戒毒管理局（含新疆生产建设兵团）出具的属于监狱企业的证明文件；</w:t>
      </w:r>
    </w:p>
    <w:p w14:paraId="69B32027">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2.如供应商不属于监狱企业，则无须提供。</w:t>
      </w:r>
    </w:p>
    <w:p w14:paraId="6DC89755">
      <w:pPr>
        <w:pStyle w:val="6"/>
        <w:spacing w:before="0" w:after="0" w:line="360" w:lineRule="auto"/>
        <w:rPr>
          <w:color w:val="auto"/>
          <w:spacing w:val="4"/>
          <w:highlight w:val="none"/>
        </w:rPr>
      </w:pPr>
      <w:r>
        <w:rPr>
          <w:rFonts w:hint="eastAsia"/>
          <w:color w:val="auto"/>
          <w:spacing w:val="4"/>
          <w:highlight w:val="none"/>
        </w:rPr>
        <w:br w:type="page"/>
      </w:r>
    </w:p>
    <w:p w14:paraId="7BA6E1CD">
      <w:pPr>
        <w:pStyle w:val="25"/>
        <w:widowControl/>
        <w:spacing w:line="520" w:lineRule="exact"/>
        <w:ind w:firstLine="420"/>
        <w:jc w:val="center"/>
        <w:rPr>
          <w:rStyle w:val="32"/>
          <w:rFonts w:ascii="宋体" w:hAnsi="宋体" w:cs="宋体"/>
          <w:color w:val="auto"/>
          <w:sz w:val="24"/>
          <w:highlight w:val="none"/>
        </w:rPr>
      </w:pPr>
      <w:r>
        <w:rPr>
          <w:rStyle w:val="32"/>
          <w:rFonts w:hint="eastAsia" w:ascii="宋体" w:hAnsi="宋体" w:cs="宋体"/>
          <w:color w:val="auto"/>
          <w:sz w:val="24"/>
          <w:highlight w:val="none"/>
        </w:rPr>
        <w:t>残疾人福利性单位声明函（如有）</w:t>
      </w:r>
    </w:p>
    <w:p w14:paraId="717DB057">
      <w:pPr>
        <w:pStyle w:val="76"/>
        <w:spacing w:line="480" w:lineRule="auto"/>
        <w:ind w:firstLine="480" w:firstLineChars="200"/>
        <w:jc w:val="both"/>
        <w:rPr>
          <w:rFonts w:ascii="宋体" w:hAnsi="宋体" w:eastAsia="宋体" w:cs="宋体"/>
          <w:b w:val="0"/>
          <w:color w:val="auto"/>
          <w:kern w:val="2"/>
          <w:sz w:val="24"/>
          <w:szCs w:val="22"/>
          <w:highlight w:val="none"/>
        </w:rPr>
      </w:pPr>
    </w:p>
    <w:p w14:paraId="5D9D82B5">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郑重声明，根据《财政部民政部中国残疾人联合会关于促进残疾人就业政府采购政策的通知》（财库〔2017〕141号）的规定，本单位为符合条件的残疾人福利性单位，且本单位参加______单位的______项目竞标活动提供本单位制造的货物（由本单位承担工程/提供服务），或者提供其他残疾人福利性单位制造的货物（不包括使用非残疾人福利性单位注册商标的货物）。</w:t>
      </w:r>
    </w:p>
    <w:p w14:paraId="49E4764F">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本单位对上述声明的真实性负责。如有虚假，将依法承担相应责任。</w:t>
      </w:r>
    </w:p>
    <w:p w14:paraId="1F360BD3">
      <w:pPr>
        <w:spacing w:line="360" w:lineRule="auto"/>
        <w:ind w:firstLine="435"/>
        <w:rPr>
          <w:color w:val="auto"/>
          <w:szCs w:val="16"/>
          <w:highlight w:val="none"/>
        </w:rPr>
      </w:pPr>
    </w:p>
    <w:p w14:paraId="75FD16FE">
      <w:pPr>
        <w:spacing w:line="720" w:lineRule="auto"/>
        <w:ind w:firstLine="435"/>
        <w:rPr>
          <w:color w:val="auto"/>
          <w:szCs w:val="16"/>
          <w:highlight w:val="none"/>
        </w:rPr>
      </w:pPr>
      <w:r>
        <w:rPr>
          <w:rFonts w:hint="eastAsia"/>
          <w:color w:val="auto"/>
          <w:szCs w:val="16"/>
          <w:highlight w:val="none"/>
        </w:rPr>
        <w:t>供应商法定代表人/授权代表（签字或盖私章）：</w:t>
      </w:r>
    </w:p>
    <w:p w14:paraId="2E3416D6">
      <w:pPr>
        <w:spacing w:line="720" w:lineRule="auto"/>
        <w:ind w:firstLine="435"/>
        <w:rPr>
          <w:color w:val="auto"/>
          <w:szCs w:val="16"/>
          <w:highlight w:val="none"/>
        </w:rPr>
      </w:pPr>
      <w:r>
        <w:rPr>
          <w:rFonts w:hint="eastAsia"/>
          <w:color w:val="auto"/>
          <w:szCs w:val="16"/>
          <w:highlight w:val="none"/>
        </w:rPr>
        <w:t>供应商名称（加盖公章）：</w:t>
      </w:r>
    </w:p>
    <w:p w14:paraId="35A219B4">
      <w:pPr>
        <w:spacing w:line="720" w:lineRule="auto"/>
        <w:ind w:firstLine="435"/>
        <w:rPr>
          <w:color w:val="auto"/>
          <w:szCs w:val="16"/>
          <w:highlight w:val="none"/>
        </w:rPr>
      </w:pPr>
      <w:r>
        <w:rPr>
          <w:rFonts w:hint="eastAsia"/>
          <w:color w:val="auto"/>
          <w:szCs w:val="16"/>
          <w:highlight w:val="none"/>
        </w:rPr>
        <w:t>日期：</w:t>
      </w:r>
    </w:p>
    <w:p w14:paraId="746EB379">
      <w:pPr>
        <w:spacing w:line="360" w:lineRule="auto"/>
        <w:ind w:firstLine="435"/>
        <w:rPr>
          <w:color w:val="auto"/>
          <w:szCs w:val="16"/>
          <w:highlight w:val="none"/>
        </w:rPr>
      </w:pPr>
    </w:p>
    <w:p w14:paraId="6E966E7E">
      <w:pPr>
        <w:pStyle w:val="58"/>
        <w:tabs>
          <w:tab w:val="left" w:pos="750"/>
        </w:tabs>
        <w:adjustRightInd w:val="0"/>
        <w:snapToGrid w:val="0"/>
        <w:spacing w:line="500" w:lineRule="exact"/>
        <w:ind w:firstLine="840" w:firstLineChars="300"/>
        <w:rPr>
          <w:rFonts w:hint="eastAsia" w:ascii="宋体" w:hAnsi="宋体"/>
          <w:color w:val="auto"/>
          <w:sz w:val="24"/>
          <w:szCs w:val="24"/>
          <w:highlight w:val="none"/>
        </w:rPr>
      </w:pPr>
      <w:r>
        <w:rPr>
          <w:rFonts w:hint="eastAsia"/>
          <w:color w:val="auto"/>
          <w:szCs w:val="16"/>
          <w:highlight w:val="none"/>
        </w:rPr>
        <w:t>注：如供应商不属于残疾人福利单位，则无须提供。</w:t>
      </w:r>
    </w:p>
    <w:p w14:paraId="0D1D956A">
      <w:pPr>
        <w:pStyle w:val="6"/>
        <w:spacing w:before="0" w:after="0" w:line="360" w:lineRule="auto"/>
        <w:ind w:left="420" w:leftChars="200"/>
        <w:rPr>
          <w:rFonts w:hint="eastAsia" w:ascii="宋体" w:hAnsi="宋体" w:cs="宋体"/>
          <w:color w:val="auto"/>
          <w:sz w:val="32"/>
          <w:szCs w:val="32"/>
          <w:highlight w:val="none"/>
        </w:rPr>
        <w:sectPr>
          <w:pgSz w:w="11906" w:h="16838"/>
          <w:pgMar w:top="1440" w:right="1800" w:bottom="1440" w:left="1800" w:header="851" w:footer="992" w:gutter="0"/>
          <w:cols w:space="425" w:num="1"/>
          <w:docGrid w:type="lines" w:linePitch="312" w:charSpace="0"/>
        </w:sectPr>
      </w:pPr>
    </w:p>
    <w:p w14:paraId="2F3D8CA0">
      <w:pPr>
        <w:pStyle w:val="6"/>
        <w:spacing w:before="0" w:after="0" w:line="360" w:lineRule="auto"/>
        <w:ind w:left="420" w:leftChars="200"/>
        <w:rPr>
          <w:rFonts w:ascii="宋体" w:hAnsi="宋体" w:cs="宋体"/>
          <w:color w:val="auto"/>
          <w:sz w:val="32"/>
          <w:szCs w:val="32"/>
          <w:highlight w:val="none"/>
        </w:rPr>
      </w:pPr>
      <w:r>
        <w:rPr>
          <w:rFonts w:hint="eastAsia" w:ascii="宋体" w:hAnsi="宋体" w:cs="宋体"/>
          <w:color w:val="auto"/>
          <w:sz w:val="32"/>
          <w:szCs w:val="32"/>
          <w:highlight w:val="none"/>
        </w:rPr>
        <w:t>二、报价文件</w:t>
      </w:r>
      <w:bookmarkEnd w:id="77"/>
      <w:bookmarkEnd w:id="78"/>
    </w:p>
    <w:p w14:paraId="1F7E95DB">
      <w:pPr>
        <w:pStyle w:val="6"/>
        <w:spacing w:before="0" w:after="0" w:line="360" w:lineRule="auto"/>
        <w:rPr>
          <w:color w:val="auto"/>
          <w:highlight w:val="none"/>
        </w:rPr>
      </w:pPr>
      <w:r>
        <w:rPr>
          <w:rFonts w:hint="eastAsia"/>
          <w:color w:val="auto"/>
          <w:highlight w:val="none"/>
        </w:rPr>
        <w:t>1.1报价一览表</w:t>
      </w:r>
    </w:p>
    <w:p w14:paraId="555491A7">
      <w:pPr>
        <w:pStyle w:val="6"/>
        <w:spacing w:before="0" w:after="0" w:line="360" w:lineRule="auto"/>
        <w:rPr>
          <w:b w:val="0"/>
          <w:bCs w:val="0"/>
          <w:color w:val="auto"/>
          <w:szCs w:val="16"/>
          <w:highlight w:val="none"/>
          <w:u w:val="single"/>
        </w:rPr>
      </w:pPr>
      <w:r>
        <w:rPr>
          <w:rFonts w:hint="eastAsia"/>
          <w:b w:val="0"/>
          <w:bCs w:val="0"/>
          <w:color w:val="auto"/>
          <w:sz w:val="24"/>
          <w:szCs w:val="24"/>
          <w:highlight w:val="none"/>
        </w:rPr>
        <w:t>项目名称：                                项目编号：</w:t>
      </w:r>
    </w:p>
    <w:tbl>
      <w:tblPr>
        <w:tblStyle w:val="29"/>
        <w:tblpPr w:leftFromText="180" w:rightFromText="180" w:vertAnchor="text" w:horzAnchor="page" w:tblpXSpec="center" w:tblpY="164"/>
        <w:tblOverlap w:val="never"/>
        <w:tblW w:w="8359" w:type="dxa"/>
        <w:jc w:val="center"/>
        <w:tblLayout w:type="fixed"/>
        <w:tblCellMar>
          <w:top w:w="0" w:type="dxa"/>
          <w:left w:w="0" w:type="dxa"/>
          <w:bottom w:w="0" w:type="dxa"/>
          <w:right w:w="0" w:type="dxa"/>
        </w:tblCellMar>
      </w:tblPr>
      <w:tblGrid>
        <w:gridCol w:w="2164"/>
        <w:gridCol w:w="6195"/>
      </w:tblGrid>
      <w:tr w14:paraId="16523AD1">
        <w:tblPrEx>
          <w:tblCellMar>
            <w:top w:w="0" w:type="dxa"/>
            <w:left w:w="0" w:type="dxa"/>
            <w:bottom w:w="0" w:type="dxa"/>
            <w:right w:w="0" w:type="dxa"/>
          </w:tblCellMar>
        </w:tblPrEx>
        <w:trPr>
          <w:trHeight w:val="821" w:hRule="exact"/>
          <w:jc w:val="center"/>
        </w:trPr>
        <w:tc>
          <w:tcPr>
            <w:tcW w:w="2164" w:type="dxa"/>
            <w:tcBorders>
              <w:top w:val="single" w:color="auto" w:sz="8" w:space="0"/>
              <w:left w:val="single" w:color="auto" w:sz="8" w:space="0"/>
              <w:bottom w:val="single" w:color="auto" w:sz="8" w:space="0"/>
              <w:right w:val="single" w:color="auto" w:sz="8" w:space="0"/>
            </w:tcBorders>
            <w:vAlign w:val="center"/>
          </w:tcPr>
          <w:p w14:paraId="61D98405">
            <w:pPr>
              <w:ind w:right="-63" w:rightChars="-30"/>
              <w:jc w:val="center"/>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供应商名称</w:t>
            </w:r>
          </w:p>
        </w:tc>
        <w:tc>
          <w:tcPr>
            <w:tcW w:w="6195" w:type="dxa"/>
            <w:tcBorders>
              <w:top w:val="single" w:color="auto" w:sz="8" w:space="0"/>
              <w:left w:val="single" w:color="auto" w:sz="8" w:space="0"/>
              <w:bottom w:val="single" w:color="auto" w:sz="8" w:space="0"/>
              <w:right w:val="single" w:color="auto" w:sz="8" w:space="0"/>
            </w:tcBorders>
            <w:vAlign w:val="center"/>
          </w:tcPr>
          <w:p w14:paraId="20CBD308">
            <w:pPr>
              <w:ind w:right="-63" w:rightChars="-30"/>
              <w:jc w:val="center"/>
              <w:rPr>
                <w:rFonts w:asciiTheme="minorEastAsia" w:hAnsiTheme="minorEastAsia" w:eastAsiaTheme="minorEastAsia" w:cstheme="minorEastAsia"/>
                <w:bCs/>
                <w:color w:val="auto"/>
                <w:sz w:val="24"/>
                <w:highlight w:val="none"/>
              </w:rPr>
            </w:pPr>
          </w:p>
        </w:tc>
      </w:tr>
      <w:tr w14:paraId="3AECB418">
        <w:tblPrEx>
          <w:tblCellMar>
            <w:top w:w="0" w:type="dxa"/>
            <w:left w:w="0" w:type="dxa"/>
            <w:bottom w:w="0" w:type="dxa"/>
            <w:right w:w="0" w:type="dxa"/>
          </w:tblCellMar>
        </w:tblPrEx>
        <w:trPr>
          <w:trHeight w:val="1613" w:hRule="atLeast"/>
          <w:jc w:val="center"/>
        </w:trPr>
        <w:tc>
          <w:tcPr>
            <w:tcW w:w="2164" w:type="dxa"/>
            <w:tcBorders>
              <w:top w:val="single" w:color="auto" w:sz="8" w:space="0"/>
              <w:left w:val="single" w:color="auto" w:sz="8" w:space="0"/>
              <w:right w:val="single" w:color="auto" w:sz="8" w:space="0"/>
            </w:tcBorders>
            <w:vAlign w:val="center"/>
          </w:tcPr>
          <w:p w14:paraId="6780D4EB">
            <w:pPr>
              <w:pStyle w:val="39"/>
              <w:jc w:val="center"/>
              <w:rPr>
                <w:rFonts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rPr>
              <w:t>投标总报价（%）</w:t>
            </w:r>
          </w:p>
        </w:tc>
        <w:tc>
          <w:tcPr>
            <w:tcW w:w="6195" w:type="dxa"/>
            <w:tcBorders>
              <w:top w:val="single" w:color="auto" w:sz="8" w:space="0"/>
              <w:left w:val="single" w:color="auto" w:sz="8" w:space="0"/>
              <w:bottom w:val="single" w:color="auto" w:sz="8" w:space="0"/>
              <w:right w:val="single" w:color="auto" w:sz="8" w:space="0"/>
            </w:tcBorders>
            <w:vAlign w:val="center"/>
          </w:tcPr>
          <w:p w14:paraId="4819E634">
            <w:pPr>
              <w:pStyle w:val="2"/>
              <w:spacing w:line="480" w:lineRule="auto"/>
              <w:ind w:firstLine="0" w:firstLineChars="0"/>
              <w:jc w:val="center"/>
              <w:rPr>
                <w:color w:val="auto"/>
                <w:highlight w:val="none"/>
              </w:rPr>
            </w:pPr>
            <w:r>
              <w:rPr>
                <w:rFonts w:hint="eastAsia" w:asciiTheme="minorEastAsia" w:hAnsiTheme="minorEastAsia" w:eastAsiaTheme="minorEastAsia" w:cstheme="minorEastAsia"/>
                <w:bCs/>
                <w:color w:val="auto"/>
                <w:sz w:val="24"/>
                <w:highlight w:val="none"/>
              </w:rPr>
              <w:t>折扣率为：</w:t>
            </w:r>
          </w:p>
          <w:p w14:paraId="1C34F80D">
            <w:pPr>
              <w:pStyle w:val="2"/>
              <w:spacing w:line="480" w:lineRule="auto"/>
              <w:ind w:firstLine="0" w:firstLineChars="0"/>
              <w:jc w:val="center"/>
              <w:rPr>
                <w:color w:val="auto"/>
                <w:highlight w:val="none"/>
              </w:rPr>
            </w:pPr>
            <w:r>
              <w:rPr>
                <w:rFonts w:hint="eastAsia" w:asciiTheme="minorEastAsia" w:hAnsiTheme="minorEastAsia" w:eastAsiaTheme="minorEastAsia" w:cstheme="minorEastAsia"/>
                <w:bCs/>
                <w:color w:val="auto"/>
                <w:sz w:val="24"/>
                <w:highlight w:val="none"/>
              </w:rPr>
              <w:t>小写：           大写</w:t>
            </w:r>
          </w:p>
        </w:tc>
      </w:tr>
      <w:tr w14:paraId="58107EC8">
        <w:tblPrEx>
          <w:tblCellMar>
            <w:top w:w="0" w:type="dxa"/>
            <w:left w:w="0" w:type="dxa"/>
            <w:bottom w:w="0" w:type="dxa"/>
            <w:right w:w="0" w:type="dxa"/>
          </w:tblCellMar>
        </w:tblPrEx>
        <w:trPr>
          <w:trHeight w:val="546" w:hRule="atLeast"/>
          <w:jc w:val="center"/>
        </w:trPr>
        <w:tc>
          <w:tcPr>
            <w:tcW w:w="2164" w:type="dxa"/>
            <w:tcBorders>
              <w:top w:val="single" w:color="auto" w:sz="8" w:space="0"/>
              <w:left w:val="single" w:color="auto" w:sz="8" w:space="0"/>
              <w:right w:val="single" w:color="auto" w:sz="8" w:space="0"/>
            </w:tcBorders>
            <w:vAlign w:val="center"/>
          </w:tcPr>
          <w:p w14:paraId="27B0601E">
            <w:pPr>
              <w:pStyle w:val="39"/>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供货期</w:t>
            </w:r>
          </w:p>
        </w:tc>
        <w:tc>
          <w:tcPr>
            <w:tcW w:w="6195" w:type="dxa"/>
            <w:tcBorders>
              <w:top w:val="single" w:color="auto" w:sz="8" w:space="0"/>
              <w:left w:val="single" w:color="auto" w:sz="8" w:space="0"/>
              <w:bottom w:val="single" w:color="auto" w:sz="8" w:space="0"/>
              <w:right w:val="single" w:color="auto" w:sz="8" w:space="0"/>
            </w:tcBorders>
            <w:vAlign w:val="center"/>
          </w:tcPr>
          <w:p w14:paraId="32AB879E">
            <w:pPr>
              <w:pStyle w:val="2"/>
              <w:ind w:firstLine="0" w:firstLineChars="0"/>
              <w:jc w:val="center"/>
              <w:rPr>
                <w:rFonts w:asciiTheme="minorEastAsia" w:hAnsiTheme="minorEastAsia" w:eastAsiaTheme="minorEastAsia" w:cstheme="minorEastAsia"/>
                <w:bCs/>
                <w:color w:val="auto"/>
                <w:sz w:val="24"/>
                <w:highlight w:val="none"/>
              </w:rPr>
            </w:pPr>
          </w:p>
        </w:tc>
      </w:tr>
      <w:tr w14:paraId="6D80A6AA">
        <w:tblPrEx>
          <w:tblCellMar>
            <w:top w:w="0" w:type="dxa"/>
            <w:left w:w="0" w:type="dxa"/>
            <w:bottom w:w="0" w:type="dxa"/>
            <w:right w:w="0" w:type="dxa"/>
          </w:tblCellMar>
        </w:tblPrEx>
        <w:trPr>
          <w:trHeight w:val="476" w:hRule="atLeast"/>
          <w:jc w:val="center"/>
        </w:trPr>
        <w:tc>
          <w:tcPr>
            <w:tcW w:w="2164" w:type="dxa"/>
            <w:tcBorders>
              <w:top w:val="single" w:color="auto" w:sz="8" w:space="0"/>
              <w:left w:val="single" w:color="auto" w:sz="8" w:space="0"/>
              <w:right w:val="single" w:color="auto" w:sz="8" w:space="0"/>
            </w:tcBorders>
            <w:vAlign w:val="center"/>
          </w:tcPr>
          <w:p w14:paraId="447FA287">
            <w:pPr>
              <w:pStyle w:val="39"/>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交货地点</w:t>
            </w:r>
          </w:p>
        </w:tc>
        <w:tc>
          <w:tcPr>
            <w:tcW w:w="6195" w:type="dxa"/>
            <w:tcBorders>
              <w:top w:val="single" w:color="auto" w:sz="8" w:space="0"/>
              <w:left w:val="single" w:color="auto" w:sz="8" w:space="0"/>
              <w:bottom w:val="single" w:color="auto" w:sz="8" w:space="0"/>
              <w:right w:val="single" w:color="auto" w:sz="8" w:space="0"/>
            </w:tcBorders>
            <w:vAlign w:val="center"/>
          </w:tcPr>
          <w:p w14:paraId="158190F4">
            <w:pPr>
              <w:pStyle w:val="2"/>
              <w:ind w:firstLine="0" w:firstLineChars="0"/>
              <w:jc w:val="center"/>
              <w:rPr>
                <w:rFonts w:asciiTheme="minorEastAsia" w:hAnsiTheme="minorEastAsia" w:eastAsiaTheme="minorEastAsia" w:cstheme="minorEastAsia"/>
                <w:bCs/>
                <w:color w:val="auto"/>
                <w:sz w:val="24"/>
                <w:highlight w:val="none"/>
              </w:rPr>
            </w:pPr>
          </w:p>
        </w:tc>
      </w:tr>
      <w:tr w14:paraId="42EF87DF">
        <w:tblPrEx>
          <w:tblCellMar>
            <w:top w:w="0" w:type="dxa"/>
            <w:left w:w="0" w:type="dxa"/>
            <w:bottom w:w="0" w:type="dxa"/>
            <w:right w:w="0" w:type="dxa"/>
          </w:tblCellMar>
        </w:tblPrEx>
        <w:trPr>
          <w:trHeight w:val="599" w:hRule="atLeast"/>
          <w:jc w:val="center"/>
        </w:trPr>
        <w:tc>
          <w:tcPr>
            <w:tcW w:w="2164" w:type="dxa"/>
            <w:tcBorders>
              <w:top w:val="single" w:color="auto" w:sz="8" w:space="0"/>
              <w:left w:val="single" w:color="auto" w:sz="8" w:space="0"/>
              <w:right w:val="single" w:color="auto" w:sz="8" w:space="0"/>
            </w:tcBorders>
            <w:vAlign w:val="center"/>
          </w:tcPr>
          <w:p w14:paraId="26949B4A">
            <w:pPr>
              <w:pStyle w:val="39"/>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c>
          <w:tcPr>
            <w:tcW w:w="6195" w:type="dxa"/>
            <w:tcBorders>
              <w:top w:val="single" w:color="auto" w:sz="8" w:space="0"/>
              <w:left w:val="single" w:color="auto" w:sz="8" w:space="0"/>
              <w:bottom w:val="single" w:color="auto" w:sz="8" w:space="0"/>
              <w:right w:val="single" w:color="auto" w:sz="8" w:space="0"/>
            </w:tcBorders>
            <w:vAlign w:val="center"/>
          </w:tcPr>
          <w:p w14:paraId="3B7062C8">
            <w:pPr>
              <w:pStyle w:val="2"/>
              <w:ind w:firstLine="0" w:firstLineChars="0"/>
              <w:jc w:val="center"/>
              <w:rPr>
                <w:rFonts w:asciiTheme="minorEastAsia" w:hAnsiTheme="minorEastAsia" w:eastAsiaTheme="minorEastAsia" w:cstheme="minorEastAsia"/>
                <w:bCs/>
                <w:color w:val="auto"/>
                <w:sz w:val="24"/>
                <w:highlight w:val="none"/>
              </w:rPr>
            </w:pPr>
          </w:p>
        </w:tc>
      </w:tr>
      <w:tr w14:paraId="20F21F06">
        <w:tblPrEx>
          <w:tblCellMar>
            <w:top w:w="0" w:type="dxa"/>
            <w:left w:w="0" w:type="dxa"/>
            <w:bottom w:w="0" w:type="dxa"/>
            <w:right w:w="0" w:type="dxa"/>
          </w:tblCellMar>
        </w:tblPrEx>
        <w:trPr>
          <w:trHeight w:val="1963" w:hRule="exact"/>
          <w:jc w:val="center"/>
        </w:trPr>
        <w:tc>
          <w:tcPr>
            <w:tcW w:w="8359" w:type="dxa"/>
            <w:gridSpan w:val="2"/>
            <w:tcBorders>
              <w:top w:val="single" w:color="auto" w:sz="8" w:space="0"/>
              <w:left w:val="single" w:color="auto" w:sz="8" w:space="0"/>
              <w:bottom w:val="single" w:color="auto" w:sz="8" w:space="0"/>
              <w:right w:val="single" w:color="auto" w:sz="8" w:space="0"/>
            </w:tcBorders>
            <w:vAlign w:val="center"/>
          </w:tcPr>
          <w:p w14:paraId="4570F9A7">
            <w:pPr>
              <w:rPr>
                <w:color w:val="auto"/>
                <w:sz w:val="24"/>
                <w:highlight w:val="none"/>
              </w:rPr>
            </w:pPr>
            <w:r>
              <w:rPr>
                <w:rFonts w:hint="eastAsia"/>
                <w:color w:val="auto"/>
                <w:sz w:val="24"/>
                <w:highlight w:val="none"/>
              </w:rPr>
              <w:t>说明：</w:t>
            </w:r>
          </w:p>
          <w:p w14:paraId="29F62BE0">
            <w:pPr>
              <w:rPr>
                <w:color w:val="auto"/>
                <w:sz w:val="22"/>
                <w:szCs w:val="22"/>
                <w:highlight w:val="none"/>
              </w:rPr>
            </w:pPr>
            <w:r>
              <w:rPr>
                <w:rFonts w:hint="eastAsia"/>
                <w:color w:val="auto"/>
                <w:sz w:val="22"/>
                <w:szCs w:val="22"/>
                <w:highlight w:val="none"/>
              </w:rPr>
              <w:t>1</w:t>
            </w:r>
            <w:r>
              <w:rPr>
                <w:color w:val="auto"/>
                <w:sz w:val="22"/>
                <w:szCs w:val="22"/>
                <w:highlight w:val="none"/>
              </w:rPr>
              <w:t>.</w:t>
            </w:r>
            <w:r>
              <w:rPr>
                <w:rFonts w:hint="eastAsia"/>
                <w:color w:val="auto"/>
                <w:sz w:val="22"/>
                <w:szCs w:val="22"/>
                <w:highlight w:val="none"/>
              </w:rPr>
              <w:t>报价</w:t>
            </w:r>
            <w:r>
              <w:rPr>
                <w:color w:val="auto"/>
                <w:sz w:val="22"/>
                <w:szCs w:val="22"/>
                <w:highlight w:val="none"/>
              </w:rPr>
              <w:t>包括全部货品、税费、包装费、运输、装卸等费用，以及己支付或将支付的营业税和其它税费等所有费用</w:t>
            </w:r>
            <w:r>
              <w:rPr>
                <w:rFonts w:hint="eastAsia"/>
                <w:color w:val="auto"/>
                <w:sz w:val="22"/>
                <w:szCs w:val="22"/>
                <w:highlight w:val="none"/>
              </w:rPr>
              <w:t>。</w:t>
            </w:r>
          </w:p>
          <w:p w14:paraId="5966027C">
            <w:pPr>
              <w:spacing w:line="360" w:lineRule="auto"/>
              <w:rPr>
                <w:color w:val="auto"/>
                <w:highlight w:val="none"/>
              </w:rPr>
            </w:pPr>
            <w:r>
              <w:rPr>
                <w:color w:val="auto"/>
                <w:sz w:val="22"/>
                <w:szCs w:val="22"/>
                <w:highlight w:val="none"/>
              </w:rPr>
              <w:t>2.报价最多保留两位小数，对于小数点后第三位数字，无论大小，一律按舍去处理。</w:t>
            </w:r>
          </w:p>
        </w:tc>
      </w:tr>
    </w:tbl>
    <w:p w14:paraId="07AED0EC">
      <w:pPr>
        <w:pStyle w:val="58"/>
        <w:tabs>
          <w:tab w:val="left" w:pos="750"/>
        </w:tabs>
        <w:adjustRightInd w:val="0"/>
        <w:snapToGrid w:val="0"/>
        <w:spacing w:line="500" w:lineRule="exact"/>
        <w:ind w:firstLine="720" w:firstLineChars="300"/>
        <w:rPr>
          <w:rFonts w:ascii="宋体" w:hAnsi="宋体"/>
          <w:color w:val="auto"/>
          <w:sz w:val="24"/>
          <w:szCs w:val="24"/>
          <w:highlight w:val="none"/>
        </w:rPr>
      </w:pPr>
    </w:p>
    <w:p w14:paraId="0CE5318D">
      <w:pPr>
        <w:pStyle w:val="58"/>
        <w:tabs>
          <w:tab w:val="left" w:pos="750"/>
        </w:tabs>
        <w:adjustRightInd w:val="0"/>
        <w:snapToGrid w:val="0"/>
        <w:spacing w:line="500" w:lineRule="exact"/>
        <w:ind w:firstLine="720" w:firstLineChars="300"/>
        <w:rPr>
          <w:rFonts w:ascii="宋体" w:hAnsi="宋体"/>
          <w:color w:val="auto"/>
          <w:sz w:val="24"/>
          <w:szCs w:val="24"/>
          <w:highlight w:val="none"/>
        </w:rPr>
      </w:pPr>
    </w:p>
    <w:p w14:paraId="790B288B">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1AE9E1C2">
      <w:pPr>
        <w:pStyle w:val="58"/>
        <w:tabs>
          <w:tab w:val="left" w:pos="750"/>
        </w:tabs>
        <w:adjustRightInd w:val="0"/>
        <w:snapToGrid w:val="0"/>
        <w:spacing w:line="500" w:lineRule="exact"/>
        <w:rPr>
          <w:rFonts w:ascii="宋体" w:hAnsi="宋体"/>
          <w:color w:val="auto"/>
          <w:sz w:val="24"/>
          <w:szCs w:val="24"/>
          <w:highlight w:val="none"/>
        </w:rPr>
      </w:pPr>
    </w:p>
    <w:p w14:paraId="554D9787">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430C3AEB">
      <w:pPr>
        <w:pStyle w:val="58"/>
        <w:tabs>
          <w:tab w:val="left" w:pos="750"/>
        </w:tabs>
        <w:adjustRightInd w:val="0"/>
        <w:snapToGrid w:val="0"/>
        <w:spacing w:line="500" w:lineRule="exact"/>
        <w:rPr>
          <w:rFonts w:ascii="宋体" w:hAnsi="宋体"/>
          <w:color w:val="auto"/>
          <w:sz w:val="24"/>
          <w:szCs w:val="24"/>
          <w:highlight w:val="none"/>
        </w:rPr>
      </w:pPr>
    </w:p>
    <w:p w14:paraId="71FC651E">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755D413A">
      <w:pPr>
        <w:rPr>
          <w:color w:val="auto"/>
          <w:szCs w:val="16"/>
          <w:highlight w:val="none"/>
          <w:u w:val="single"/>
        </w:rPr>
        <w:sectPr>
          <w:pgSz w:w="11906" w:h="16838"/>
          <w:pgMar w:top="1440" w:right="1800" w:bottom="1440" w:left="1800" w:header="851" w:footer="992" w:gutter="0"/>
          <w:cols w:space="425" w:num="1"/>
          <w:docGrid w:type="lines" w:linePitch="312" w:charSpace="0"/>
        </w:sectPr>
      </w:pPr>
      <w:r>
        <w:rPr>
          <w:rFonts w:hint="eastAsia"/>
          <w:color w:val="auto"/>
          <w:szCs w:val="16"/>
          <w:highlight w:val="none"/>
          <w:u w:val="single"/>
        </w:rPr>
        <w:br w:type="page"/>
      </w:r>
    </w:p>
    <w:p w14:paraId="2B220B69">
      <w:pPr>
        <w:spacing w:line="460" w:lineRule="exact"/>
        <w:rPr>
          <w:rFonts w:ascii="宋体" w:hAnsi="宋体" w:cs="宋体"/>
          <w:b/>
          <w:bCs/>
          <w:color w:val="auto"/>
          <w:sz w:val="24"/>
          <w:highlight w:val="none"/>
        </w:rPr>
      </w:pPr>
      <w:bookmarkStart w:id="81" w:name="_Toc2413_WPSOffice_Level1"/>
      <w:bookmarkStart w:id="82" w:name="_Toc17410_WPSOffice_Level1"/>
      <w:r>
        <w:rPr>
          <w:rFonts w:hint="eastAsia" w:ascii="宋体" w:hAnsi="宋体" w:cs="宋体"/>
          <w:b/>
          <w:bCs/>
          <w:color w:val="auto"/>
          <w:sz w:val="32"/>
          <w:szCs w:val="32"/>
          <w:highlight w:val="none"/>
        </w:rPr>
        <w:t>三、商务、技术文件</w:t>
      </w:r>
      <w:bookmarkEnd w:id="79"/>
      <w:bookmarkEnd w:id="80"/>
      <w:bookmarkEnd w:id="81"/>
      <w:bookmarkEnd w:id="82"/>
    </w:p>
    <w:p w14:paraId="079A4AB5">
      <w:pPr>
        <w:spacing w:line="360" w:lineRule="auto"/>
        <w:jc w:val="center"/>
        <w:rPr>
          <w:rFonts w:ascii="宋体" w:hAnsi="宋体" w:cs="宋体"/>
          <w:b/>
          <w:color w:val="auto"/>
          <w:sz w:val="30"/>
          <w:szCs w:val="30"/>
          <w:highlight w:val="none"/>
        </w:rPr>
      </w:pPr>
      <w:r>
        <w:rPr>
          <w:rFonts w:hint="eastAsia" w:ascii="宋体" w:hAnsi="宋体" w:cs="宋体"/>
          <w:b/>
          <w:color w:val="auto"/>
          <w:sz w:val="30"/>
          <w:szCs w:val="30"/>
          <w:highlight w:val="none"/>
        </w:rPr>
        <w:t>1、投标函</w:t>
      </w:r>
      <w:bookmarkEnd w:id="70"/>
    </w:p>
    <w:p w14:paraId="428AB605">
      <w:pPr>
        <w:adjustRightInd w:val="0"/>
        <w:snapToGrid w:val="0"/>
        <w:spacing w:line="360" w:lineRule="auto"/>
        <w:ind w:right="630" w:rightChars="300"/>
        <w:rPr>
          <w:rFonts w:ascii="宋体" w:hAnsi="宋体" w:cs="宋体"/>
          <w:color w:val="auto"/>
          <w:szCs w:val="21"/>
          <w:highlight w:val="none"/>
        </w:rPr>
      </w:pPr>
    </w:p>
    <w:p w14:paraId="3D04534B">
      <w:pPr>
        <w:adjustRightInd w:val="0"/>
        <w:snapToGrid w:val="0"/>
        <w:spacing w:line="360" w:lineRule="auto"/>
        <w:ind w:right="630" w:rightChars="300"/>
        <w:rPr>
          <w:rFonts w:ascii="宋体" w:hAnsi="宋体" w:cs="宋体"/>
          <w:color w:val="auto"/>
          <w:sz w:val="28"/>
          <w:szCs w:val="28"/>
          <w:highlight w:val="none"/>
          <w:u w:val="single"/>
        </w:rPr>
      </w:pPr>
      <w:r>
        <w:rPr>
          <w:rFonts w:hint="eastAsia" w:ascii="宋体" w:hAnsi="宋体" w:cs="宋体"/>
          <w:color w:val="auto"/>
          <w:sz w:val="28"/>
          <w:szCs w:val="28"/>
          <w:highlight w:val="none"/>
          <w:u w:val="single"/>
        </w:rPr>
        <w:t>（采购人或采购代理机构）：</w:t>
      </w:r>
    </w:p>
    <w:p w14:paraId="6374182C">
      <w:pPr>
        <w:pStyle w:val="62"/>
        <w:widowControl/>
        <w:spacing w:line="360" w:lineRule="auto"/>
        <w:ind w:left="0" w:leftChars="0"/>
        <w:rPr>
          <w:rFonts w:ascii="宋体" w:hAnsi="宋体" w:cs="宋体"/>
          <w:color w:val="auto"/>
          <w:sz w:val="28"/>
          <w:szCs w:val="28"/>
          <w:highlight w:val="none"/>
        </w:rPr>
      </w:pPr>
      <w:r>
        <w:rPr>
          <w:rFonts w:hint="eastAsia" w:ascii="宋体" w:hAnsi="宋体" w:cs="宋体"/>
          <w:color w:val="auto"/>
          <w:sz w:val="28"/>
          <w:szCs w:val="28"/>
          <w:highlight w:val="none"/>
          <w:u w:val="single"/>
        </w:rPr>
        <w:t>（采购人名称）</w:t>
      </w:r>
      <w:r>
        <w:rPr>
          <w:rFonts w:hint="eastAsia" w:ascii="宋体" w:hAnsi="宋体" w:cs="宋体"/>
          <w:color w:val="auto"/>
          <w:sz w:val="28"/>
          <w:szCs w:val="28"/>
          <w:highlight w:val="none"/>
        </w:rPr>
        <w:t>：</w:t>
      </w:r>
    </w:p>
    <w:p w14:paraId="25DADBB8">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我方收到并研究了贵方</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（项目名称、项目编号）的招标文件，愿意按照招标文件规定的内容承担该项目的投标任务，严格执行我方所承诺的责任和义务。为此，我方郑重声明以下诸点，并承担法律责任。</w:t>
      </w:r>
    </w:p>
    <w:p w14:paraId="33362D9D">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我方提交投标文件:加密的电子投标文件1份，并在投标截止时间前上传至招标文件规定的指定地点。如我方中标，在领取中标通知书时向招标代理机构提供纸质版投标文件正本1份、副本1份;我方愿按《中华人民共和国政府采购法》及其他有关法律、法规的规定及招标文件的规定，自觉履行自己的全部责任。</w:t>
      </w:r>
    </w:p>
    <w:p w14:paraId="4A0ACD0E">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2、我方同意在投标有效期内遵守本投标文件，在此期限期满前的任何时间，本投标文件一直对我方具有约束力。</w:t>
      </w:r>
    </w:p>
    <w:p w14:paraId="5C937D5E">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3、如果我方投标文件被接受，我方将按照招标文件的规定，保证按招标要求和投标文件中的承诺按期、按质、按量交付使用方</w:t>
      </w:r>
    </w:p>
    <w:p w14:paraId="730B2768">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4、如果我方中标，我方将在招标文件规定的时间内签订委托合同并按招标要求提供履约担保。如果我方违约，除投标保证金不予退还外，贵方有权终止我方中标并选择其它中标人。</w:t>
      </w:r>
    </w:p>
    <w:p w14:paraId="1AC27FD0">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如果我方中标，我方将在招标文件规定的时间内签订政府采购合同。如果我方违约，借故拒签合同或拖延签订的，则采购人有权废除授标没收投标保证金，给采购人造成的损失超过投保证金数额的，我方对超过部分予以赔偿，同时依法承担相应法律责任，采购人可另行选择中标单位。</w:t>
      </w:r>
    </w:p>
    <w:p w14:paraId="0B3EF6A7">
      <w:pPr>
        <w:pStyle w:val="62"/>
        <w:widowControl/>
        <w:spacing w:line="360" w:lineRule="auto"/>
        <w:ind w:left="0" w:leftChars="0" w:firstLine="560" w:firstLineChars="200"/>
        <w:rPr>
          <w:rFonts w:ascii="宋体" w:hAnsi="宋体" w:cs="宋体"/>
          <w:color w:val="auto"/>
          <w:sz w:val="28"/>
          <w:szCs w:val="28"/>
          <w:highlight w:val="none"/>
        </w:rPr>
      </w:pPr>
      <w:bookmarkStart w:id="83" w:name="_Toc32380_WPSOffice_Level1"/>
      <w:bookmarkStart w:id="84" w:name="_Toc14185_WPSOffice_Level1"/>
      <w:bookmarkStart w:id="85" w:name="_Toc32535_WPSOffice_Level1"/>
      <w:r>
        <w:rPr>
          <w:rFonts w:hint="eastAsia" w:ascii="宋体" w:hAnsi="宋体" w:cs="宋体"/>
          <w:color w:val="auto"/>
          <w:sz w:val="28"/>
          <w:szCs w:val="28"/>
          <w:highlight w:val="none"/>
        </w:rPr>
        <w:t>6、一旦我方中标，我方愿意按招标文件要求承担招标代理服务费。</w:t>
      </w:r>
    </w:p>
    <w:p w14:paraId="66B0311F">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7、贵方的中标通知书和本投标文件将成为构成约束双方合同的组成小单位部分。</w:t>
      </w:r>
    </w:p>
    <w:p w14:paraId="1ABC1EE7">
      <w:pPr>
        <w:pStyle w:val="62"/>
        <w:widowControl/>
        <w:spacing w:line="360" w:lineRule="auto"/>
        <w:ind w:left="0" w:leftChars="0"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8、如果我方未中标，贵方没有义务对我方做出任何解释和说明，我方将充分尊重和理解贵方的选择。</w:t>
      </w:r>
    </w:p>
    <w:p w14:paraId="57E42B9C">
      <w:pPr>
        <w:pStyle w:val="62"/>
        <w:widowControl/>
        <w:spacing w:line="360" w:lineRule="auto"/>
        <w:ind w:left="0" w:leftChars="0" w:firstLine="560" w:firstLineChars="200"/>
        <w:rPr>
          <w:rFonts w:ascii="宋体" w:hAnsi="宋体" w:cs="宋体"/>
          <w:color w:val="auto"/>
          <w:sz w:val="24"/>
          <w:highlight w:val="none"/>
        </w:rPr>
      </w:pPr>
      <w:r>
        <w:rPr>
          <w:rFonts w:hint="eastAsia" w:ascii="宋体" w:hAnsi="宋体" w:cs="宋体"/>
          <w:color w:val="auto"/>
          <w:sz w:val="28"/>
          <w:szCs w:val="28"/>
          <w:highlight w:val="none"/>
        </w:rPr>
        <w:t>9、我方的投标文件自提交投标文件截止之日起有效期为</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天。</w:t>
      </w:r>
    </w:p>
    <w:p w14:paraId="19DC1817">
      <w:pPr>
        <w:pStyle w:val="62"/>
        <w:widowControl/>
        <w:spacing w:line="360" w:lineRule="auto"/>
        <w:ind w:left="0" w:leftChars="0"/>
        <w:rPr>
          <w:rFonts w:ascii="宋体" w:hAnsi="宋体" w:cs="宋体"/>
          <w:color w:val="auto"/>
          <w:sz w:val="24"/>
          <w:highlight w:val="none"/>
        </w:rPr>
      </w:pPr>
    </w:p>
    <w:p w14:paraId="7A41A4A0">
      <w:pPr>
        <w:pStyle w:val="58"/>
        <w:tabs>
          <w:tab w:val="left" w:pos="750"/>
        </w:tabs>
        <w:adjustRightInd w:val="0"/>
        <w:snapToGrid w:val="0"/>
        <w:spacing w:line="500" w:lineRule="exact"/>
        <w:ind w:firstLine="840" w:firstLineChars="300"/>
        <w:rPr>
          <w:rFonts w:ascii="宋体" w:hAnsi="宋体"/>
          <w:color w:val="auto"/>
          <w:szCs w:val="28"/>
          <w:highlight w:val="none"/>
        </w:rPr>
      </w:pPr>
      <w:r>
        <w:rPr>
          <w:rFonts w:hint="eastAsia" w:ascii="宋体" w:hAnsi="宋体"/>
          <w:color w:val="auto"/>
          <w:szCs w:val="28"/>
          <w:highlight w:val="none"/>
        </w:rPr>
        <w:t>供应商名称（电子签章）：</w:t>
      </w:r>
    </w:p>
    <w:p w14:paraId="6783190E">
      <w:pPr>
        <w:pStyle w:val="58"/>
        <w:tabs>
          <w:tab w:val="left" w:pos="750"/>
        </w:tabs>
        <w:adjustRightInd w:val="0"/>
        <w:snapToGrid w:val="0"/>
        <w:spacing w:line="500" w:lineRule="exact"/>
        <w:rPr>
          <w:rFonts w:ascii="宋体" w:hAnsi="宋体"/>
          <w:color w:val="auto"/>
          <w:szCs w:val="28"/>
          <w:highlight w:val="none"/>
        </w:rPr>
      </w:pPr>
    </w:p>
    <w:p w14:paraId="716E0BCC">
      <w:pPr>
        <w:pStyle w:val="58"/>
        <w:tabs>
          <w:tab w:val="left" w:pos="750"/>
        </w:tabs>
        <w:adjustRightInd w:val="0"/>
        <w:snapToGrid w:val="0"/>
        <w:spacing w:line="500" w:lineRule="exact"/>
        <w:ind w:firstLine="840" w:firstLineChars="300"/>
        <w:rPr>
          <w:rFonts w:ascii="宋体" w:hAnsi="宋体"/>
          <w:color w:val="auto"/>
          <w:szCs w:val="28"/>
          <w:highlight w:val="none"/>
        </w:rPr>
      </w:pPr>
      <w:r>
        <w:rPr>
          <w:rFonts w:hint="eastAsia" w:ascii="宋体" w:hAnsi="宋体"/>
          <w:color w:val="auto"/>
          <w:szCs w:val="28"/>
          <w:highlight w:val="none"/>
        </w:rPr>
        <w:t>法定代表人（单位负责人）（签字或电子签章）：</w:t>
      </w:r>
    </w:p>
    <w:p w14:paraId="6F005C93">
      <w:pPr>
        <w:pStyle w:val="58"/>
        <w:tabs>
          <w:tab w:val="left" w:pos="750"/>
        </w:tabs>
        <w:adjustRightInd w:val="0"/>
        <w:snapToGrid w:val="0"/>
        <w:spacing w:line="500" w:lineRule="exact"/>
        <w:rPr>
          <w:rFonts w:ascii="宋体" w:hAnsi="宋体"/>
          <w:color w:val="auto"/>
          <w:szCs w:val="28"/>
          <w:highlight w:val="none"/>
        </w:rPr>
      </w:pPr>
    </w:p>
    <w:p w14:paraId="37035967">
      <w:pPr>
        <w:pStyle w:val="58"/>
        <w:tabs>
          <w:tab w:val="left" w:pos="750"/>
        </w:tabs>
        <w:adjustRightInd w:val="0"/>
        <w:snapToGrid w:val="0"/>
        <w:spacing w:line="500" w:lineRule="exact"/>
        <w:ind w:firstLine="840" w:firstLineChars="300"/>
        <w:rPr>
          <w:color w:val="auto"/>
          <w:szCs w:val="28"/>
          <w:highlight w:val="none"/>
        </w:rPr>
      </w:pPr>
      <w:r>
        <w:rPr>
          <w:rFonts w:hint="eastAsia" w:ascii="宋体" w:hAnsi="宋体"/>
          <w:color w:val="auto"/>
          <w:szCs w:val="28"/>
          <w:highlight w:val="none"/>
        </w:rPr>
        <w:t>日期：年月日</w:t>
      </w:r>
    </w:p>
    <w:p w14:paraId="67D91DC8">
      <w:pPr>
        <w:pStyle w:val="62"/>
        <w:widowControl/>
        <w:spacing w:line="360" w:lineRule="auto"/>
        <w:ind w:left="0" w:leftChars="0"/>
        <w:rPr>
          <w:rFonts w:ascii="宋体" w:hAnsi="宋体" w:cs="宋体"/>
          <w:bCs/>
          <w:color w:val="auto"/>
          <w:sz w:val="24"/>
          <w:highlight w:val="none"/>
        </w:rPr>
      </w:pPr>
      <w:r>
        <w:rPr>
          <w:rFonts w:hint="eastAsia" w:ascii="宋体" w:hAnsi="宋体" w:cs="宋体"/>
          <w:b/>
          <w:color w:val="auto"/>
          <w:sz w:val="30"/>
          <w:szCs w:val="30"/>
          <w:highlight w:val="none"/>
        </w:rPr>
        <w:br w:type="page"/>
      </w:r>
      <w:bookmarkEnd w:id="83"/>
      <w:bookmarkEnd w:id="84"/>
    </w:p>
    <w:p w14:paraId="7ED30AE3">
      <w:pPr>
        <w:spacing w:before="120" w:line="360" w:lineRule="auto"/>
        <w:jc w:val="center"/>
        <w:rPr>
          <w:rFonts w:ascii="宋体" w:hAnsi="宋体" w:cs="宋体"/>
          <w:b/>
          <w:bCs/>
          <w:color w:val="auto"/>
          <w:sz w:val="32"/>
          <w:szCs w:val="32"/>
          <w:highlight w:val="none"/>
        </w:rPr>
      </w:pPr>
      <w:bookmarkStart w:id="86" w:name="_Toc30957_WPSOffice_Level1"/>
      <w:bookmarkStart w:id="87" w:name="_Toc24778_WPSOffice_Level1"/>
      <w:bookmarkStart w:id="88" w:name="_Toc13892_WPSOffice_Level1"/>
      <w:r>
        <w:rPr>
          <w:rFonts w:hint="eastAsia" w:ascii="宋体" w:hAnsi="宋体" w:cs="宋体"/>
          <w:b/>
          <w:color w:val="auto"/>
          <w:sz w:val="30"/>
          <w:szCs w:val="30"/>
          <w:highlight w:val="none"/>
        </w:rPr>
        <w:t>2、</w:t>
      </w:r>
      <w:r>
        <w:rPr>
          <w:rFonts w:hint="eastAsia" w:ascii="宋体" w:hAnsi="宋体" w:cs="宋体"/>
          <w:b/>
          <w:bCs/>
          <w:color w:val="auto"/>
          <w:sz w:val="32"/>
          <w:szCs w:val="32"/>
          <w:highlight w:val="none"/>
        </w:rPr>
        <w:t>法定代表人（或非法人组织负责人）身份证明书</w:t>
      </w:r>
      <w:bookmarkEnd w:id="86"/>
      <w:bookmarkEnd w:id="87"/>
    </w:p>
    <w:p w14:paraId="2217D3EB">
      <w:pPr>
        <w:spacing w:line="360" w:lineRule="auto"/>
        <w:rPr>
          <w:rFonts w:ascii="宋体" w:hAnsi="宋体" w:cs="宋体"/>
          <w:color w:val="auto"/>
          <w:sz w:val="24"/>
          <w:highlight w:val="none"/>
        </w:rPr>
      </w:pPr>
    </w:p>
    <w:p w14:paraId="1BBD0D15">
      <w:pPr>
        <w:spacing w:line="360" w:lineRule="auto"/>
        <w:rPr>
          <w:rFonts w:ascii="宋体" w:hAnsi="宋体" w:cs="宋体"/>
          <w:color w:val="auto"/>
          <w:sz w:val="24"/>
          <w:highlight w:val="none"/>
          <w:u w:val="single"/>
        </w:rPr>
      </w:pPr>
      <w:r>
        <w:rPr>
          <w:rFonts w:hint="eastAsia" w:ascii="宋体" w:hAnsi="宋体" w:cs="宋体"/>
          <w:color w:val="auto"/>
          <w:sz w:val="24"/>
          <w:highlight w:val="none"/>
        </w:rPr>
        <w:t>单位名称：</w:t>
      </w:r>
    </w:p>
    <w:p w14:paraId="38E289F4">
      <w:pPr>
        <w:spacing w:line="360" w:lineRule="auto"/>
        <w:rPr>
          <w:rFonts w:ascii="宋体" w:hAnsi="宋体" w:cs="宋体"/>
          <w:color w:val="auto"/>
          <w:sz w:val="24"/>
          <w:highlight w:val="none"/>
          <w:u w:val="single"/>
        </w:rPr>
      </w:pPr>
      <w:r>
        <w:rPr>
          <w:rFonts w:hint="eastAsia" w:ascii="宋体" w:hAnsi="宋体" w:cs="宋体"/>
          <w:color w:val="auto"/>
          <w:sz w:val="24"/>
          <w:highlight w:val="none"/>
        </w:rPr>
        <w:t>企业类型：</w:t>
      </w:r>
    </w:p>
    <w:p w14:paraId="0D7BAFDC">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地址：</w:t>
      </w:r>
    </w:p>
    <w:p w14:paraId="6322E414">
      <w:pPr>
        <w:spacing w:line="360" w:lineRule="auto"/>
        <w:rPr>
          <w:rFonts w:ascii="宋体" w:hAnsi="宋体" w:cs="宋体"/>
          <w:color w:val="auto"/>
          <w:sz w:val="24"/>
          <w:highlight w:val="none"/>
          <w:u w:val="single"/>
        </w:rPr>
      </w:pPr>
      <w:r>
        <w:rPr>
          <w:rFonts w:hint="eastAsia" w:ascii="宋体" w:hAnsi="宋体" w:cs="宋体"/>
          <w:color w:val="auto"/>
          <w:sz w:val="24"/>
          <w:highlight w:val="none"/>
        </w:rPr>
        <w:t>营业期限：</w:t>
      </w:r>
    </w:p>
    <w:p w14:paraId="3C07A3FD">
      <w:pPr>
        <w:spacing w:line="360" w:lineRule="auto"/>
        <w:rPr>
          <w:rFonts w:ascii="宋体" w:hAnsi="宋体" w:cs="宋体"/>
          <w:color w:val="auto"/>
          <w:sz w:val="24"/>
          <w:highlight w:val="none"/>
          <w:u w:val="single"/>
        </w:rPr>
      </w:pPr>
      <w:r>
        <w:rPr>
          <w:rFonts w:hint="eastAsia" w:ascii="宋体" w:hAnsi="宋体" w:cs="宋体"/>
          <w:color w:val="auto"/>
          <w:sz w:val="24"/>
          <w:highlight w:val="none"/>
        </w:rPr>
        <w:t>成立时间：</w:t>
      </w:r>
    </w:p>
    <w:p w14:paraId="363B3E28">
      <w:pPr>
        <w:spacing w:line="360" w:lineRule="auto"/>
        <w:ind w:firstLine="840" w:firstLineChars="400"/>
        <w:rPr>
          <w:rFonts w:ascii="仿宋_GB2312" w:hAnsi="仿宋_GB2312" w:eastAsia="仿宋_GB2312" w:cs="仿宋_GB2312"/>
          <w:color w:val="auto"/>
          <w:szCs w:val="21"/>
          <w:highlight w:val="none"/>
        </w:rPr>
      </w:pPr>
    </w:p>
    <w:p w14:paraId="067A8925">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，出生日期：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，现任职务：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，系（供应商名称）的法定代表人（或非法人组织负责人）。</w:t>
      </w:r>
    </w:p>
    <w:p w14:paraId="7052093D">
      <w:pPr>
        <w:rPr>
          <w:rFonts w:ascii="宋体" w:hAnsi="宋体" w:cs="宋体"/>
          <w:color w:val="auto"/>
          <w:sz w:val="24"/>
          <w:highlight w:val="none"/>
        </w:rPr>
      </w:pPr>
    </w:p>
    <w:p w14:paraId="578FC1CC">
      <w:pPr>
        <w:rPr>
          <w:rFonts w:ascii="宋体" w:hAnsi="宋体" w:cs="宋体"/>
          <w:color w:val="auto"/>
          <w:sz w:val="24"/>
          <w:highlight w:val="none"/>
        </w:rPr>
      </w:pPr>
      <w:r>
        <w:rPr>
          <w:rFonts w:hint="eastAsia" w:ascii="宋体" w:hAnsi="宋体" w:cs="宋体"/>
          <w:color w:val="auto"/>
          <w:sz w:val="24"/>
          <w:highlight w:val="none"/>
        </w:rPr>
        <w:t>特此证明。</w:t>
      </w:r>
    </w:p>
    <w:p w14:paraId="31E4D6A9">
      <w:pPr>
        <w:rPr>
          <w:rFonts w:ascii="仿宋_GB2312" w:hAnsi="仿宋_GB2312" w:eastAsia="仿宋_GB2312" w:cs="仿宋_GB2312"/>
          <w:color w:val="auto"/>
          <w:szCs w:val="21"/>
          <w:highlight w:val="none"/>
        </w:rPr>
      </w:pPr>
    </w:p>
    <w:p w14:paraId="2A2CE170">
      <w:pPr>
        <w:rPr>
          <w:rFonts w:ascii="仿宋_GB2312" w:hAnsi="仿宋_GB2312" w:eastAsia="仿宋_GB2312" w:cs="仿宋_GB2312"/>
          <w:color w:val="auto"/>
          <w:szCs w:val="21"/>
          <w:highlight w:val="none"/>
        </w:rPr>
      </w:pPr>
    </w:p>
    <w:p w14:paraId="753AAF58">
      <w:pPr>
        <w:rPr>
          <w:rFonts w:ascii="仿宋_GB2312" w:hAnsi="仿宋_GB2312" w:eastAsia="仿宋_GB2312" w:cs="仿宋_GB2312"/>
          <w:color w:val="auto"/>
          <w:szCs w:val="21"/>
          <w:highlight w:val="none"/>
        </w:r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8"/>
      </w:tblGrid>
      <w:tr w14:paraId="7EFA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8228" w:type="dxa"/>
          </w:tcPr>
          <w:p w14:paraId="343690F3">
            <w:pPr>
              <w:jc w:val="center"/>
              <w:rPr>
                <w:rFonts w:ascii="宋体" w:hAnsi="宋体" w:cs="宋体"/>
                <w:color w:val="auto"/>
                <w:sz w:val="24"/>
                <w:highlight w:val="none"/>
              </w:rPr>
            </w:pPr>
          </w:p>
          <w:p w14:paraId="73C1C350">
            <w:pPr>
              <w:jc w:val="center"/>
              <w:rPr>
                <w:rFonts w:ascii="宋体" w:hAnsi="宋体" w:cs="宋体"/>
                <w:color w:val="auto"/>
                <w:sz w:val="24"/>
                <w:highlight w:val="none"/>
              </w:rPr>
            </w:pPr>
          </w:p>
          <w:p w14:paraId="78616B1C">
            <w:pPr>
              <w:jc w:val="center"/>
              <w:rPr>
                <w:rFonts w:ascii="宋体" w:hAnsi="宋体" w:cs="宋体"/>
                <w:color w:val="auto"/>
                <w:sz w:val="24"/>
                <w:highlight w:val="none"/>
              </w:rPr>
            </w:pPr>
          </w:p>
          <w:p w14:paraId="3F461869">
            <w:pPr>
              <w:jc w:val="center"/>
              <w:rPr>
                <w:rFonts w:ascii="宋体" w:hAnsi="宋体" w:cs="宋体"/>
                <w:color w:val="auto"/>
                <w:sz w:val="24"/>
                <w:highlight w:val="none"/>
              </w:rPr>
            </w:pPr>
          </w:p>
          <w:p w14:paraId="263C543D">
            <w:pPr>
              <w:jc w:val="center"/>
              <w:rPr>
                <w:rFonts w:ascii="仿宋_GB2312" w:hAnsi="仿宋_GB2312" w:eastAsia="仿宋_GB2312" w:cs="仿宋_GB2312"/>
                <w:color w:val="auto"/>
                <w:szCs w:val="21"/>
                <w:highlight w:val="none"/>
              </w:rPr>
            </w:pPr>
            <w:r>
              <w:rPr>
                <w:rFonts w:hint="eastAsia" w:ascii="宋体" w:hAnsi="宋体" w:cs="宋体"/>
                <w:color w:val="auto"/>
                <w:sz w:val="24"/>
                <w:highlight w:val="none"/>
              </w:rPr>
              <w:t>（法定代表人（或非法人组织负责人）身份证正、反面复印件）</w:t>
            </w:r>
          </w:p>
        </w:tc>
      </w:tr>
    </w:tbl>
    <w:p w14:paraId="7981079C">
      <w:pPr>
        <w:rPr>
          <w:rFonts w:ascii="仿宋_GB2312" w:hAnsi="仿宋_GB2312" w:eastAsia="仿宋_GB2312" w:cs="仿宋_GB2312"/>
          <w:color w:val="auto"/>
          <w:szCs w:val="21"/>
          <w:highlight w:val="none"/>
        </w:rPr>
      </w:pPr>
    </w:p>
    <w:p w14:paraId="7CE48A5A">
      <w:pPr>
        <w:rPr>
          <w:rFonts w:ascii="仿宋_GB2312" w:hAnsi="仿宋_GB2312" w:eastAsia="仿宋_GB2312" w:cs="仿宋_GB2312"/>
          <w:color w:val="auto"/>
          <w:szCs w:val="21"/>
          <w:highlight w:val="none"/>
        </w:rPr>
      </w:pPr>
    </w:p>
    <w:p w14:paraId="39CBE793">
      <w:pPr>
        <w:pStyle w:val="58"/>
        <w:tabs>
          <w:tab w:val="left" w:pos="750"/>
        </w:tabs>
        <w:adjustRightInd w:val="0"/>
        <w:snapToGrid w:val="0"/>
        <w:spacing w:line="500" w:lineRule="exact"/>
        <w:ind w:firstLine="720" w:firstLineChars="300"/>
        <w:rPr>
          <w:rFonts w:ascii="宋体" w:hAnsi="宋体"/>
          <w:color w:val="auto"/>
          <w:sz w:val="24"/>
          <w:szCs w:val="24"/>
          <w:highlight w:val="none"/>
        </w:rPr>
      </w:pPr>
      <w:bookmarkStart w:id="89" w:name="_Toc17821_WPSOffice_Level1"/>
      <w:bookmarkStart w:id="90" w:name="_Toc2816_WPSOffice_Level1"/>
      <w:r>
        <w:rPr>
          <w:rFonts w:hint="eastAsia" w:ascii="宋体" w:hAnsi="宋体"/>
          <w:color w:val="auto"/>
          <w:sz w:val="24"/>
          <w:szCs w:val="24"/>
          <w:highlight w:val="none"/>
        </w:rPr>
        <w:t>供应商名称（电子签章）：</w:t>
      </w:r>
    </w:p>
    <w:p w14:paraId="2D321DD4">
      <w:pPr>
        <w:pStyle w:val="58"/>
        <w:tabs>
          <w:tab w:val="left" w:pos="750"/>
        </w:tabs>
        <w:adjustRightInd w:val="0"/>
        <w:snapToGrid w:val="0"/>
        <w:spacing w:line="500" w:lineRule="exact"/>
        <w:rPr>
          <w:rFonts w:ascii="宋体" w:hAnsi="宋体"/>
          <w:color w:val="auto"/>
          <w:sz w:val="24"/>
          <w:szCs w:val="24"/>
          <w:highlight w:val="none"/>
        </w:rPr>
      </w:pPr>
    </w:p>
    <w:p w14:paraId="64B5A392">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7EAC63C0">
      <w:pPr>
        <w:pStyle w:val="58"/>
        <w:tabs>
          <w:tab w:val="left" w:pos="750"/>
        </w:tabs>
        <w:adjustRightInd w:val="0"/>
        <w:snapToGrid w:val="0"/>
        <w:spacing w:line="500" w:lineRule="exact"/>
        <w:rPr>
          <w:rFonts w:ascii="宋体" w:hAnsi="宋体"/>
          <w:color w:val="auto"/>
          <w:sz w:val="24"/>
          <w:szCs w:val="24"/>
          <w:highlight w:val="none"/>
        </w:rPr>
      </w:pPr>
    </w:p>
    <w:p w14:paraId="3EE8D824">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02B39D88">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58FA6700">
      <w:pPr>
        <w:spacing w:before="120" w:line="360" w:lineRule="auto"/>
        <w:ind w:left="420" w:leftChars="200"/>
        <w:rPr>
          <w:rFonts w:ascii="宋体" w:hAnsi="宋体" w:cs="宋体"/>
          <w:b/>
          <w:bCs/>
          <w:color w:val="auto"/>
          <w:sz w:val="32"/>
          <w:szCs w:val="32"/>
          <w:highlight w:val="none"/>
        </w:rPr>
      </w:pPr>
      <w:r>
        <w:rPr>
          <w:rFonts w:hint="eastAsia" w:ascii="宋体" w:hAnsi="宋体" w:cs="宋体"/>
          <w:b/>
          <w:bCs/>
          <w:color w:val="auto"/>
          <w:sz w:val="32"/>
          <w:szCs w:val="32"/>
          <w:highlight w:val="none"/>
        </w:rPr>
        <w:t>3、法定代表人（或非法人组织负责人）授权委托书</w:t>
      </w:r>
      <w:bookmarkEnd w:id="89"/>
      <w:bookmarkEnd w:id="90"/>
    </w:p>
    <w:p w14:paraId="7D9CE53F">
      <w:pPr>
        <w:spacing w:line="360" w:lineRule="auto"/>
        <w:ind w:firstLine="420" w:firstLineChars="200"/>
        <w:rPr>
          <w:rFonts w:ascii="仿宋_GB2312" w:hAnsi="仿宋_GB2312" w:eastAsia="仿宋_GB2312" w:cs="仿宋_GB2312"/>
          <w:color w:val="auto"/>
          <w:szCs w:val="21"/>
          <w:highlight w:val="none"/>
        </w:rPr>
      </w:pPr>
    </w:p>
    <w:p w14:paraId="26F42963">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本授权书声明：注册于</w:t>
      </w:r>
      <w:r>
        <w:rPr>
          <w:rFonts w:hint="eastAsia" w:ascii="宋体" w:hAnsi="宋体" w:cs="宋体"/>
          <w:color w:val="auto"/>
          <w:sz w:val="24"/>
          <w:highlight w:val="none"/>
          <w:u w:val="single"/>
        </w:rPr>
        <w:t>（地区的名称）</w:t>
      </w:r>
      <w:r>
        <w:rPr>
          <w:rFonts w:hint="eastAsia" w:ascii="宋体" w:hAnsi="宋体" w:cs="宋体"/>
          <w:color w:val="auto"/>
          <w:sz w:val="24"/>
          <w:highlight w:val="none"/>
        </w:rPr>
        <w:t>的</w:t>
      </w:r>
      <w:r>
        <w:rPr>
          <w:rFonts w:hint="eastAsia" w:ascii="宋体" w:hAnsi="宋体" w:cs="宋体"/>
          <w:color w:val="auto"/>
          <w:sz w:val="24"/>
          <w:highlight w:val="none"/>
          <w:u w:val="single"/>
        </w:rPr>
        <w:t>（公司名称）</w:t>
      </w:r>
      <w:r>
        <w:rPr>
          <w:rFonts w:hint="eastAsia" w:ascii="宋体" w:hAnsi="宋体" w:cs="宋体"/>
          <w:color w:val="auto"/>
          <w:sz w:val="24"/>
          <w:highlight w:val="none"/>
        </w:rPr>
        <w:t>，在下面签字的法定代表人</w:t>
      </w:r>
      <w:r>
        <w:rPr>
          <w:rFonts w:hint="eastAsia" w:ascii="宋体" w:hAnsi="宋体" w:cs="宋体"/>
          <w:color w:val="auto"/>
          <w:sz w:val="24"/>
          <w:highlight w:val="none"/>
          <w:u w:val="single"/>
        </w:rPr>
        <w:t>（姓名、职务）</w:t>
      </w:r>
      <w:r>
        <w:rPr>
          <w:rFonts w:hint="eastAsia" w:ascii="宋体" w:hAnsi="宋体" w:cs="宋体"/>
          <w:color w:val="auto"/>
          <w:sz w:val="24"/>
          <w:highlight w:val="none"/>
        </w:rPr>
        <w:t>，代表本公司授权在下面签字的</w:t>
      </w:r>
      <w:r>
        <w:rPr>
          <w:rFonts w:hint="eastAsia" w:ascii="宋体" w:hAnsi="宋体" w:cs="宋体"/>
          <w:color w:val="auto"/>
          <w:sz w:val="24"/>
          <w:highlight w:val="none"/>
          <w:u w:val="single"/>
        </w:rPr>
        <w:t>（委托代理人的姓名、职务）</w:t>
      </w:r>
      <w:r>
        <w:rPr>
          <w:rFonts w:hint="eastAsia" w:ascii="宋体" w:hAnsi="宋体" w:cs="宋体"/>
          <w:color w:val="auto"/>
          <w:sz w:val="24"/>
          <w:highlight w:val="none"/>
        </w:rPr>
        <w:t>为本公司的合法代理人，就</w:t>
      </w:r>
      <w:r>
        <w:rPr>
          <w:rFonts w:hint="eastAsia" w:ascii="宋体" w:hAnsi="宋体" w:cs="宋体"/>
          <w:color w:val="auto"/>
          <w:sz w:val="24"/>
          <w:highlight w:val="none"/>
          <w:u w:val="single"/>
        </w:rPr>
        <w:t>（项目名称/编号）</w:t>
      </w:r>
      <w:r>
        <w:rPr>
          <w:rFonts w:hint="eastAsia" w:ascii="宋体" w:hAnsi="宋体" w:cs="宋体"/>
          <w:color w:val="auto"/>
          <w:sz w:val="24"/>
          <w:highlight w:val="none"/>
        </w:rPr>
        <w:t>的投标，以本公司的名义处理一切与之有关的事务。</w:t>
      </w:r>
    </w:p>
    <w:p w14:paraId="394B818D">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本授权书于年月日签字生效，特此声明。</w:t>
      </w:r>
    </w:p>
    <w:p w14:paraId="107D1E85">
      <w:pPr>
        <w:adjustRightInd w:val="0"/>
        <w:snapToGrid w:val="0"/>
        <w:spacing w:line="360" w:lineRule="auto"/>
        <w:ind w:right="-21" w:rightChars="-10" w:firstLine="480" w:firstLineChars="200"/>
        <w:rPr>
          <w:rFonts w:ascii="宋体" w:hAnsi="宋体" w:cs="宋体"/>
          <w:color w:val="auto"/>
          <w:sz w:val="24"/>
          <w:highlight w:val="none"/>
        </w:rPr>
      </w:pPr>
    </w:p>
    <w:tbl>
      <w:tblPr>
        <w:tblStyle w:val="29"/>
        <w:tblpPr w:leftFromText="180" w:rightFromText="180" w:vertAnchor="text" w:horzAnchor="page" w:tblpX="1402" w:tblpY="3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0"/>
        <w:gridCol w:w="4429"/>
      </w:tblGrid>
      <w:tr w14:paraId="7126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trPr>
        <w:tc>
          <w:tcPr>
            <w:tcW w:w="4710" w:type="dxa"/>
          </w:tcPr>
          <w:p w14:paraId="03637582">
            <w:pPr>
              <w:adjustRightInd w:val="0"/>
              <w:snapToGrid w:val="0"/>
              <w:spacing w:line="360" w:lineRule="auto"/>
              <w:ind w:right="-21" w:rightChars="-10" w:firstLine="480" w:firstLineChars="200"/>
              <w:rPr>
                <w:rFonts w:ascii="宋体" w:hAnsi="宋体" w:cs="宋体"/>
                <w:color w:val="auto"/>
                <w:sz w:val="24"/>
                <w:highlight w:val="none"/>
              </w:rPr>
            </w:pPr>
          </w:p>
          <w:p w14:paraId="619ADDF3">
            <w:pPr>
              <w:adjustRightInd w:val="0"/>
              <w:snapToGrid w:val="0"/>
              <w:spacing w:line="360" w:lineRule="auto"/>
              <w:ind w:right="-21" w:rightChars="-10" w:firstLine="480" w:firstLineChars="200"/>
              <w:rPr>
                <w:rFonts w:ascii="宋体" w:hAnsi="宋体" w:cs="宋体"/>
                <w:color w:val="auto"/>
                <w:sz w:val="24"/>
                <w:highlight w:val="none"/>
              </w:rPr>
            </w:pPr>
          </w:p>
          <w:p w14:paraId="55B48B78">
            <w:pPr>
              <w:adjustRightInd w:val="0"/>
              <w:snapToGrid w:val="0"/>
              <w:spacing w:line="360" w:lineRule="auto"/>
              <w:ind w:right="-21" w:rightChars="-10" w:firstLine="480" w:firstLineChars="200"/>
              <w:rPr>
                <w:rFonts w:ascii="宋体" w:hAnsi="宋体" w:cs="宋体"/>
                <w:color w:val="auto"/>
                <w:sz w:val="24"/>
                <w:highlight w:val="none"/>
              </w:rPr>
            </w:pPr>
            <w:r>
              <w:rPr>
                <w:rFonts w:hint="eastAsia" w:ascii="宋体" w:hAnsi="宋体" w:cs="宋体"/>
                <w:color w:val="auto"/>
                <w:sz w:val="24"/>
                <w:highlight w:val="none"/>
              </w:rPr>
              <w:t>法定代表人身份证正、反面复印件</w:t>
            </w:r>
          </w:p>
        </w:tc>
        <w:tc>
          <w:tcPr>
            <w:tcW w:w="4429" w:type="dxa"/>
          </w:tcPr>
          <w:p w14:paraId="2D6D6FC6">
            <w:pPr>
              <w:adjustRightInd w:val="0"/>
              <w:snapToGrid w:val="0"/>
              <w:spacing w:line="360" w:lineRule="auto"/>
              <w:ind w:right="-21" w:rightChars="-10" w:firstLine="480" w:firstLineChars="200"/>
              <w:rPr>
                <w:rFonts w:ascii="宋体" w:hAnsi="宋体" w:cs="宋体"/>
                <w:color w:val="auto"/>
                <w:sz w:val="24"/>
                <w:highlight w:val="none"/>
              </w:rPr>
            </w:pPr>
          </w:p>
          <w:p w14:paraId="5264D0F2">
            <w:pPr>
              <w:adjustRightInd w:val="0"/>
              <w:snapToGrid w:val="0"/>
              <w:spacing w:line="360" w:lineRule="auto"/>
              <w:ind w:right="-21" w:rightChars="-10" w:firstLine="480" w:firstLineChars="200"/>
              <w:rPr>
                <w:rFonts w:ascii="宋体" w:hAnsi="宋体" w:cs="宋体"/>
                <w:color w:val="auto"/>
                <w:sz w:val="24"/>
                <w:highlight w:val="none"/>
              </w:rPr>
            </w:pPr>
          </w:p>
          <w:p w14:paraId="13E87266">
            <w:pPr>
              <w:adjustRightInd w:val="0"/>
              <w:snapToGrid w:val="0"/>
              <w:spacing w:line="360" w:lineRule="auto"/>
              <w:ind w:right="-21" w:rightChars="-10" w:firstLine="480" w:firstLineChars="200"/>
              <w:rPr>
                <w:rFonts w:ascii="宋体" w:hAnsi="宋体" w:cs="宋体"/>
                <w:color w:val="auto"/>
                <w:sz w:val="24"/>
                <w:highlight w:val="none"/>
              </w:rPr>
            </w:pPr>
            <w:r>
              <w:rPr>
                <w:rFonts w:hint="eastAsia" w:ascii="宋体" w:hAnsi="宋体" w:cs="宋体"/>
                <w:color w:val="auto"/>
                <w:sz w:val="24"/>
                <w:highlight w:val="none"/>
              </w:rPr>
              <w:t>委托代理人身份证正、反面复印件</w:t>
            </w:r>
          </w:p>
        </w:tc>
      </w:tr>
    </w:tbl>
    <w:p w14:paraId="6D04912D">
      <w:pPr>
        <w:adjustRightInd w:val="0"/>
        <w:snapToGrid w:val="0"/>
        <w:spacing w:line="360" w:lineRule="auto"/>
        <w:ind w:right="-21" w:rightChars="-10" w:firstLine="480" w:firstLineChars="200"/>
        <w:rPr>
          <w:rFonts w:ascii="宋体" w:hAnsi="宋体" w:cs="宋体"/>
          <w:color w:val="auto"/>
          <w:sz w:val="24"/>
          <w:highlight w:val="none"/>
        </w:rPr>
      </w:pPr>
    </w:p>
    <w:p w14:paraId="1D17DDD6">
      <w:pPr>
        <w:pStyle w:val="58"/>
        <w:tabs>
          <w:tab w:val="left" w:pos="750"/>
        </w:tabs>
        <w:adjustRightInd w:val="0"/>
        <w:snapToGrid w:val="0"/>
        <w:spacing w:line="500" w:lineRule="exact"/>
        <w:rPr>
          <w:rFonts w:ascii="宋体" w:hAnsi="宋体"/>
          <w:color w:val="auto"/>
          <w:sz w:val="24"/>
          <w:szCs w:val="24"/>
          <w:highlight w:val="none"/>
        </w:rPr>
      </w:pPr>
    </w:p>
    <w:p w14:paraId="5E4A0BC2">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70FB177D">
      <w:pPr>
        <w:pStyle w:val="58"/>
        <w:tabs>
          <w:tab w:val="left" w:pos="750"/>
        </w:tabs>
        <w:adjustRightInd w:val="0"/>
        <w:snapToGrid w:val="0"/>
        <w:spacing w:line="500" w:lineRule="exact"/>
        <w:rPr>
          <w:rFonts w:ascii="宋体" w:hAnsi="宋体"/>
          <w:color w:val="auto"/>
          <w:sz w:val="24"/>
          <w:szCs w:val="24"/>
          <w:highlight w:val="none"/>
        </w:rPr>
      </w:pPr>
    </w:p>
    <w:p w14:paraId="7CFE94CD">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法定代表人（单位负责人）或其委托代理人（签字或电子签章）：</w:t>
      </w:r>
    </w:p>
    <w:p w14:paraId="26BC4B97">
      <w:pPr>
        <w:pStyle w:val="58"/>
        <w:tabs>
          <w:tab w:val="left" w:pos="750"/>
        </w:tabs>
        <w:adjustRightInd w:val="0"/>
        <w:snapToGrid w:val="0"/>
        <w:spacing w:line="500" w:lineRule="exact"/>
        <w:rPr>
          <w:rFonts w:ascii="宋体" w:hAnsi="宋体"/>
          <w:color w:val="auto"/>
          <w:sz w:val="24"/>
          <w:szCs w:val="24"/>
          <w:highlight w:val="none"/>
        </w:rPr>
      </w:pPr>
    </w:p>
    <w:p w14:paraId="6B077A25">
      <w:pPr>
        <w:adjustRightInd w:val="0"/>
        <w:snapToGrid w:val="0"/>
        <w:spacing w:line="480" w:lineRule="auto"/>
        <w:ind w:right="-21" w:rightChars="-10" w:firstLine="720" w:firstLineChars="300"/>
        <w:rPr>
          <w:rFonts w:ascii="宋体" w:hAnsi="宋体"/>
          <w:color w:val="auto"/>
          <w:sz w:val="24"/>
          <w:highlight w:val="none"/>
        </w:rPr>
      </w:pPr>
      <w:r>
        <w:rPr>
          <w:rFonts w:hint="eastAsia" w:ascii="宋体" w:hAnsi="宋体"/>
          <w:color w:val="auto"/>
          <w:sz w:val="24"/>
          <w:highlight w:val="none"/>
        </w:rPr>
        <w:t>电话：</w:t>
      </w:r>
    </w:p>
    <w:p w14:paraId="1B36822E">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55E75064">
      <w:pPr>
        <w:spacing w:line="360" w:lineRule="auto"/>
        <w:ind w:firstLine="482"/>
        <w:rPr>
          <w:rFonts w:ascii="宋体" w:hAnsi="宋体" w:cs="宋体"/>
          <w:b/>
          <w:color w:val="auto"/>
          <w:sz w:val="24"/>
          <w:highlight w:val="none"/>
        </w:rPr>
      </w:pPr>
    </w:p>
    <w:p w14:paraId="121F081B">
      <w:pPr>
        <w:spacing w:line="360" w:lineRule="auto"/>
        <w:ind w:firstLine="482"/>
        <w:rPr>
          <w:rFonts w:ascii="宋体" w:hAnsi="宋体" w:cs="宋体"/>
          <w:b/>
          <w:color w:val="auto"/>
          <w:sz w:val="24"/>
          <w:highlight w:val="none"/>
        </w:rPr>
      </w:pPr>
      <w:r>
        <w:rPr>
          <w:rFonts w:hint="eastAsia" w:ascii="宋体" w:hAnsi="宋体" w:cs="宋体"/>
          <w:b/>
          <w:color w:val="auto"/>
          <w:sz w:val="24"/>
          <w:highlight w:val="none"/>
        </w:rPr>
        <w:t>注：1、法定代表人本人作为公司/（单位）代理人前来参加本项目的供应商，可不提供此项证明文件。</w:t>
      </w:r>
    </w:p>
    <w:p w14:paraId="4C9A5D18">
      <w:pPr>
        <w:spacing w:line="360" w:lineRule="auto"/>
        <w:jc w:val="center"/>
        <w:rPr>
          <w:rFonts w:ascii="宋体" w:hAnsi="宋体" w:cs="宋体"/>
          <w:b/>
          <w:color w:val="auto"/>
          <w:sz w:val="30"/>
          <w:szCs w:val="30"/>
          <w:highlight w:val="none"/>
        </w:rPr>
      </w:pPr>
      <w:r>
        <w:rPr>
          <w:rFonts w:hint="eastAsia" w:ascii="宋体" w:hAnsi="宋体" w:cs="宋体"/>
          <w:b/>
          <w:color w:val="auto"/>
          <w:sz w:val="24"/>
          <w:highlight w:val="none"/>
        </w:rPr>
        <w:t>2、授权书上应当附有法定代表人和委托代理人的居民身份证复印件。</w:t>
      </w:r>
      <w:r>
        <w:rPr>
          <w:rFonts w:hint="eastAsia" w:ascii="宋体" w:hAnsi="宋体" w:cs="宋体"/>
          <w:color w:val="auto"/>
          <w:highlight w:val="none"/>
        </w:rPr>
        <w:br w:type="page"/>
      </w:r>
    </w:p>
    <w:p w14:paraId="18FDAA17">
      <w:pPr>
        <w:spacing w:before="120" w:line="360" w:lineRule="auto"/>
        <w:ind w:left="420" w:leftChars="200"/>
        <w:jc w:val="center"/>
        <w:rPr>
          <w:rFonts w:ascii="宋体" w:hAnsi="宋体" w:cs="宋体"/>
          <w:b/>
          <w:bCs/>
          <w:color w:val="auto"/>
          <w:sz w:val="32"/>
          <w:szCs w:val="32"/>
          <w:highlight w:val="none"/>
        </w:rPr>
      </w:pPr>
      <w:bookmarkStart w:id="91" w:name="_Toc26224_WPSOffice_Level1"/>
      <w:bookmarkStart w:id="92" w:name="_Toc27459_WPSOffice_Level1"/>
      <w:r>
        <w:rPr>
          <w:rFonts w:hint="eastAsia" w:ascii="宋体" w:hAnsi="宋体" w:cs="宋体"/>
          <w:b/>
          <w:bCs/>
          <w:color w:val="auto"/>
          <w:sz w:val="32"/>
          <w:szCs w:val="32"/>
          <w:highlight w:val="none"/>
        </w:rPr>
        <w:t>4、反商业贿赂承诺书</w:t>
      </w:r>
      <w:bookmarkEnd w:id="88"/>
      <w:bookmarkEnd w:id="91"/>
      <w:bookmarkEnd w:id="92"/>
    </w:p>
    <w:p w14:paraId="41082A73">
      <w:pPr>
        <w:pStyle w:val="13"/>
        <w:rPr>
          <w:rFonts w:ascii="宋体" w:hAnsi="宋体" w:cs="宋体"/>
          <w:color w:val="auto"/>
          <w:highlight w:val="none"/>
        </w:rPr>
      </w:pPr>
    </w:p>
    <w:p w14:paraId="1BB6A5A8">
      <w:pPr>
        <w:pStyle w:val="13"/>
        <w:ind w:firstLine="480"/>
        <w:rPr>
          <w:rFonts w:ascii="宋体" w:hAnsi="宋体" w:cs="宋体"/>
          <w:color w:val="auto"/>
          <w:sz w:val="24"/>
          <w:highlight w:val="none"/>
        </w:rPr>
      </w:pPr>
      <w:r>
        <w:rPr>
          <w:rFonts w:hint="eastAsia" w:ascii="宋体" w:hAnsi="宋体" w:cs="宋体"/>
          <w:color w:val="auto"/>
          <w:sz w:val="24"/>
          <w:highlight w:val="none"/>
        </w:rPr>
        <w:t>我公司承诺在</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投标过程中，不给予国家工作人员以及采购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14:paraId="5AFC0C86">
      <w:pPr>
        <w:pStyle w:val="13"/>
        <w:ind w:firstLine="480"/>
        <w:rPr>
          <w:rFonts w:ascii="宋体" w:hAnsi="宋体" w:cs="宋体"/>
          <w:color w:val="auto"/>
          <w:sz w:val="24"/>
          <w:highlight w:val="none"/>
        </w:rPr>
      </w:pPr>
    </w:p>
    <w:p w14:paraId="2BE75E0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104E87BF">
      <w:pPr>
        <w:pStyle w:val="58"/>
        <w:tabs>
          <w:tab w:val="left" w:pos="750"/>
        </w:tabs>
        <w:adjustRightInd w:val="0"/>
        <w:snapToGrid w:val="0"/>
        <w:spacing w:line="500" w:lineRule="exact"/>
        <w:rPr>
          <w:rFonts w:ascii="宋体" w:hAnsi="宋体"/>
          <w:color w:val="auto"/>
          <w:sz w:val="24"/>
          <w:szCs w:val="24"/>
          <w:highlight w:val="none"/>
        </w:rPr>
      </w:pPr>
    </w:p>
    <w:p w14:paraId="3FFA00FC">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2430F414">
      <w:pPr>
        <w:pStyle w:val="58"/>
        <w:tabs>
          <w:tab w:val="left" w:pos="750"/>
        </w:tabs>
        <w:adjustRightInd w:val="0"/>
        <w:snapToGrid w:val="0"/>
        <w:spacing w:line="500" w:lineRule="exact"/>
        <w:rPr>
          <w:rFonts w:ascii="宋体" w:hAnsi="宋体"/>
          <w:color w:val="auto"/>
          <w:sz w:val="24"/>
          <w:szCs w:val="24"/>
          <w:highlight w:val="none"/>
        </w:rPr>
      </w:pPr>
    </w:p>
    <w:p w14:paraId="3713226D">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2AF796EF">
      <w:pPr>
        <w:spacing w:line="440" w:lineRule="exact"/>
        <w:rPr>
          <w:rFonts w:ascii="宋体" w:hAnsi="宋体" w:cs="宋体"/>
          <w:b/>
          <w:bCs/>
          <w:color w:val="auto"/>
          <w:sz w:val="24"/>
          <w:highlight w:val="none"/>
        </w:rPr>
      </w:pPr>
    </w:p>
    <w:p w14:paraId="006A2B84">
      <w:pPr>
        <w:spacing w:line="360" w:lineRule="auto"/>
        <w:jc w:val="left"/>
        <w:rPr>
          <w:rFonts w:ascii="宋体" w:hAnsi="宋体" w:cs="宋体"/>
          <w:b/>
          <w:color w:val="auto"/>
          <w:sz w:val="30"/>
          <w:szCs w:val="30"/>
          <w:highlight w:val="none"/>
        </w:rPr>
      </w:pPr>
    </w:p>
    <w:p w14:paraId="5BAFA2E3">
      <w:pPr>
        <w:pStyle w:val="9"/>
        <w:rPr>
          <w:rFonts w:ascii="宋体" w:hAnsi="宋体" w:eastAsia="宋体" w:cs="宋体"/>
          <w:color w:val="auto"/>
          <w:highlight w:val="none"/>
        </w:rPr>
      </w:pPr>
    </w:p>
    <w:p w14:paraId="2D05DBC7">
      <w:pPr>
        <w:rPr>
          <w:rFonts w:ascii="宋体" w:hAnsi="宋体" w:cs="宋体"/>
          <w:color w:val="auto"/>
          <w:highlight w:val="none"/>
        </w:rPr>
      </w:pPr>
    </w:p>
    <w:p w14:paraId="1EF1A877">
      <w:pPr>
        <w:pStyle w:val="27"/>
        <w:ind w:firstLine="0" w:firstLineChars="0"/>
        <w:jc w:val="center"/>
        <w:rPr>
          <w:rFonts w:ascii="宋体" w:hAnsi="宋体" w:cs="宋体"/>
          <w:color w:val="auto"/>
          <w:highlight w:val="none"/>
        </w:rPr>
      </w:pPr>
      <w:bookmarkStart w:id="93" w:name="_Toc32643_WPSOffice_Level1"/>
      <w:bookmarkStart w:id="94" w:name="_Toc30455_WPSOffice_Level1"/>
      <w:r>
        <w:rPr>
          <w:rFonts w:hint="eastAsia" w:ascii="宋体" w:hAnsi="宋体" w:cs="宋体"/>
          <w:b/>
          <w:color w:val="auto"/>
          <w:sz w:val="30"/>
          <w:szCs w:val="30"/>
          <w:highlight w:val="none"/>
        </w:rPr>
        <w:br w:type="page"/>
      </w:r>
      <w:r>
        <w:rPr>
          <w:rFonts w:hint="eastAsia" w:ascii="宋体" w:hAnsi="宋体" w:cs="宋体"/>
          <w:b/>
          <w:color w:val="auto"/>
          <w:sz w:val="32"/>
          <w:szCs w:val="32"/>
          <w:highlight w:val="none"/>
        </w:rPr>
        <w:t>5、供应商参与政府采购活动（招投标活动）无异议承诺书</w:t>
      </w:r>
    </w:p>
    <w:p w14:paraId="4D64E8FD">
      <w:pPr>
        <w:pStyle w:val="27"/>
        <w:ind w:firstLine="240"/>
        <w:rPr>
          <w:rFonts w:ascii="宋体" w:hAnsi="宋体" w:cs="宋体"/>
          <w:color w:val="auto"/>
          <w:sz w:val="24"/>
          <w:highlight w:val="none"/>
        </w:rPr>
      </w:pPr>
    </w:p>
    <w:p w14:paraId="47729E05">
      <w:pPr>
        <w:widowControl/>
        <w:autoSpaceDE w:val="0"/>
        <w:autoSpaceDN w:val="0"/>
        <w:spacing w:line="360" w:lineRule="auto"/>
        <w:rPr>
          <w:rFonts w:ascii="宋体" w:hAnsi="宋体" w:cs="宋体"/>
          <w:color w:val="auto"/>
          <w:kern w:val="0"/>
          <w:sz w:val="24"/>
          <w:szCs w:val="32"/>
          <w:highlight w:val="none"/>
          <w:u w:val="single"/>
        </w:rPr>
      </w:pPr>
      <w:r>
        <w:rPr>
          <w:rFonts w:hint="eastAsia" w:ascii="宋体" w:hAnsi="宋体" w:cs="宋体"/>
          <w:color w:val="auto"/>
          <w:kern w:val="0"/>
          <w:sz w:val="24"/>
          <w:szCs w:val="32"/>
          <w:highlight w:val="none"/>
        </w:rPr>
        <w:t>致：</w:t>
      </w:r>
      <w:r>
        <w:rPr>
          <w:rFonts w:hint="eastAsia" w:ascii="宋体" w:hAnsi="宋体" w:cs="宋体"/>
          <w:color w:val="auto"/>
          <w:kern w:val="0"/>
          <w:sz w:val="24"/>
          <w:szCs w:val="32"/>
          <w:highlight w:val="none"/>
          <w:u w:val="single"/>
        </w:rPr>
        <w:t>（采购人）</w:t>
      </w:r>
    </w:p>
    <w:p w14:paraId="69B628BD">
      <w:pPr>
        <w:widowControl/>
        <w:autoSpaceDE w:val="0"/>
        <w:autoSpaceDN w:val="0"/>
        <w:spacing w:line="360" w:lineRule="auto"/>
        <w:ind w:firstLine="480" w:firstLineChars="200"/>
        <w:rPr>
          <w:rFonts w:ascii="宋体" w:hAnsi="宋体" w:cs="宋体"/>
          <w:color w:val="auto"/>
          <w:kern w:val="0"/>
          <w:sz w:val="24"/>
          <w:szCs w:val="32"/>
          <w:highlight w:val="none"/>
          <w:u w:val="single"/>
        </w:rPr>
      </w:pPr>
      <w:r>
        <w:rPr>
          <w:rFonts w:hint="eastAsia" w:ascii="宋体" w:hAnsi="宋体" w:cs="宋体"/>
          <w:color w:val="auto"/>
          <w:kern w:val="0"/>
          <w:sz w:val="24"/>
          <w:szCs w:val="32"/>
          <w:highlight w:val="none"/>
          <w:u w:val="single"/>
        </w:rPr>
        <w:t>（采购代理机构）</w:t>
      </w:r>
    </w:p>
    <w:p w14:paraId="198E79E5">
      <w:pPr>
        <w:widowControl/>
        <w:autoSpaceDE w:val="0"/>
        <w:autoSpaceDN w:val="0"/>
        <w:spacing w:line="360" w:lineRule="auto"/>
        <w:ind w:firstLine="480" w:firstLineChars="200"/>
        <w:rPr>
          <w:rFonts w:ascii="宋体" w:hAnsi="宋体" w:cs="宋体"/>
          <w:color w:val="auto"/>
          <w:kern w:val="0"/>
          <w:sz w:val="24"/>
          <w:szCs w:val="32"/>
          <w:highlight w:val="none"/>
        </w:rPr>
      </w:pPr>
    </w:p>
    <w:p w14:paraId="38202B05">
      <w:pPr>
        <w:widowControl/>
        <w:autoSpaceDE w:val="0"/>
        <w:autoSpaceDN w:val="0"/>
        <w:spacing w:line="360" w:lineRule="auto"/>
        <w:ind w:firstLine="480" w:firstLineChars="200"/>
        <w:jc w:val="left"/>
        <w:rPr>
          <w:rFonts w:ascii="宋体" w:hAnsi="宋体" w:cs="宋体"/>
          <w:color w:val="auto"/>
          <w:kern w:val="0"/>
          <w:sz w:val="24"/>
          <w:szCs w:val="32"/>
          <w:highlight w:val="none"/>
        </w:rPr>
      </w:pPr>
      <w:r>
        <w:rPr>
          <w:rFonts w:hint="eastAsia" w:ascii="宋体" w:hAnsi="宋体" w:cs="宋体"/>
          <w:color w:val="auto"/>
          <w:kern w:val="0"/>
          <w:sz w:val="24"/>
          <w:szCs w:val="32"/>
          <w:highlight w:val="none"/>
        </w:rPr>
        <w:t>本人作为法定代表人或经授权供应商代表，清楚知晓我单位本项目投标活动，对以下事项作出承诺:</w:t>
      </w:r>
    </w:p>
    <w:p w14:paraId="3B8F4B7F">
      <w:pPr>
        <w:widowControl/>
        <w:autoSpaceDE w:val="0"/>
        <w:autoSpaceDN w:val="0"/>
        <w:spacing w:line="360" w:lineRule="auto"/>
        <w:ind w:firstLine="480" w:firstLineChars="200"/>
        <w:jc w:val="left"/>
        <w:rPr>
          <w:rFonts w:ascii="宋体" w:hAnsi="宋体" w:cs="宋体"/>
          <w:color w:val="auto"/>
          <w:kern w:val="0"/>
          <w:sz w:val="24"/>
          <w:szCs w:val="32"/>
          <w:highlight w:val="none"/>
        </w:rPr>
      </w:pPr>
      <w:r>
        <w:rPr>
          <w:rFonts w:hint="eastAsia" w:ascii="宋体" w:hAnsi="宋体" w:cs="宋体"/>
          <w:color w:val="auto"/>
          <w:kern w:val="0"/>
          <w:sz w:val="24"/>
          <w:szCs w:val="32"/>
          <w:highlight w:val="none"/>
        </w:rPr>
        <w:t>一、我单位和我本人遵循公开、公平、公正、诚实守信的原则，依法依规参与本项目采购。</w:t>
      </w:r>
    </w:p>
    <w:p w14:paraId="500752DF">
      <w:pPr>
        <w:widowControl/>
        <w:autoSpaceDE w:val="0"/>
        <w:autoSpaceDN w:val="0"/>
        <w:spacing w:line="360" w:lineRule="auto"/>
        <w:ind w:firstLine="480" w:firstLineChars="200"/>
        <w:jc w:val="left"/>
        <w:rPr>
          <w:rFonts w:ascii="宋体" w:hAnsi="宋体" w:cs="宋体"/>
          <w:color w:val="auto"/>
          <w:kern w:val="0"/>
          <w:sz w:val="24"/>
          <w:szCs w:val="32"/>
          <w:highlight w:val="none"/>
        </w:rPr>
      </w:pPr>
      <w:r>
        <w:rPr>
          <w:rFonts w:hint="eastAsia" w:ascii="宋体" w:hAnsi="宋体" w:cs="宋体"/>
          <w:color w:val="auto"/>
          <w:kern w:val="0"/>
          <w:sz w:val="24"/>
          <w:szCs w:val="32"/>
          <w:highlight w:val="none"/>
        </w:rPr>
        <w:t>二、我单位和我本人在本项目采购活动过程中，一旦参与了开标活动，视为供应商默认对采购文件中的所有内容均无异议，予以认可，后期不再对采购文件提出质疑或投诉。</w:t>
      </w:r>
    </w:p>
    <w:p w14:paraId="5D5DCF47">
      <w:pPr>
        <w:widowControl/>
        <w:autoSpaceDE w:val="0"/>
        <w:autoSpaceDN w:val="0"/>
        <w:spacing w:line="360" w:lineRule="auto"/>
        <w:ind w:firstLine="480" w:firstLineChars="200"/>
        <w:jc w:val="left"/>
        <w:rPr>
          <w:rFonts w:ascii="宋体" w:hAnsi="宋体" w:cs="宋体"/>
          <w:color w:val="auto"/>
          <w:kern w:val="0"/>
          <w:sz w:val="24"/>
          <w:szCs w:val="32"/>
          <w:highlight w:val="none"/>
        </w:rPr>
      </w:pPr>
      <w:r>
        <w:rPr>
          <w:rFonts w:hint="eastAsia" w:ascii="宋体" w:hAnsi="宋体" w:cs="宋体"/>
          <w:color w:val="auto"/>
          <w:kern w:val="0"/>
          <w:sz w:val="24"/>
          <w:szCs w:val="32"/>
          <w:highlight w:val="none"/>
        </w:rPr>
        <w:t>三、我单位再次承诺：我单位所提供的所有资料均真实有效，无弄虚作假情况。如采购人发现我公司响应文件中提供虚假材料，我公司将承担所有法律后果。</w:t>
      </w:r>
    </w:p>
    <w:p w14:paraId="3E62EEA5">
      <w:pPr>
        <w:widowControl/>
        <w:ind w:firstLine="360"/>
        <w:jc w:val="left"/>
        <w:rPr>
          <w:rFonts w:ascii="宋体" w:hAnsi="宋体" w:cs="宋体"/>
          <w:color w:val="auto"/>
          <w:kern w:val="0"/>
          <w:sz w:val="24"/>
          <w:szCs w:val="32"/>
          <w:highlight w:val="none"/>
        </w:rPr>
      </w:pPr>
    </w:p>
    <w:p w14:paraId="5BB3BF98">
      <w:pPr>
        <w:widowControl/>
        <w:ind w:firstLine="360"/>
        <w:jc w:val="left"/>
        <w:rPr>
          <w:rFonts w:ascii="宋体" w:hAnsi="宋体" w:cs="宋体"/>
          <w:color w:val="auto"/>
          <w:kern w:val="0"/>
          <w:sz w:val="24"/>
          <w:szCs w:val="32"/>
          <w:highlight w:val="none"/>
        </w:rPr>
      </w:pPr>
    </w:p>
    <w:p w14:paraId="356E0535">
      <w:pPr>
        <w:widowControl/>
        <w:ind w:firstLine="360"/>
        <w:jc w:val="left"/>
        <w:rPr>
          <w:rFonts w:ascii="宋体" w:hAnsi="宋体" w:cs="宋体"/>
          <w:color w:val="auto"/>
          <w:kern w:val="0"/>
          <w:sz w:val="24"/>
          <w:szCs w:val="32"/>
          <w:highlight w:val="none"/>
        </w:rPr>
      </w:pPr>
    </w:p>
    <w:p w14:paraId="33CD3FD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57D27D51">
      <w:pPr>
        <w:pStyle w:val="58"/>
        <w:tabs>
          <w:tab w:val="left" w:pos="750"/>
        </w:tabs>
        <w:adjustRightInd w:val="0"/>
        <w:snapToGrid w:val="0"/>
        <w:spacing w:line="500" w:lineRule="exact"/>
        <w:rPr>
          <w:rFonts w:ascii="宋体" w:hAnsi="宋体"/>
          <w:color w:val="auto"/>
          <w:sz w:val="24"/>
          <w:szCs w:val="24"/>
          <w:highlight w:val="none"/>
        </w:rPr>
      </w:pPr>
    </w:p>
    <w:p w14:paraId="66A102B9">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62104B11">
      <w:pPr>
        <w:pStyle w:val="58"/>
        <w:tabs>
          <w:tab w:val="left" w:pos="750"/>
        </w:tabs>
        <w:adjustRightInd w:val="0"/>
        <w:snapToGrid w:val="0"/>
        <w:spacing w:line="500" w:lineRule="exact"/>
        <w:rPr>
          <w:rFonts w:ascii="宋体" w:hAnsi="宋体"/>
          <w:color w:val="auto"/>
          <w:sz w:val="24"/>
          <w:szCs w:val="24"/>
          <w:highlight w:val="none"/>
        </w:rPr>
      </w:pPr>
    </w:p>
    <w:p w14:paraId="1D6B3461">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23032DB7">
      <w:pPr>
        <w:rPr>
          <w:rFonts w:ascii="宋体" w:hAnsi="宋体" w:cs="宋体"/>
          <w:b/>
          <w:color w:val="auto"/>
          <w:sz w:val="30"/>
          <w:szCs w:val="30"/>
          <w:highlight w:val="none"/>
        </w:rPr>
      </w:pPr>
      <w:r>
        <w:rPr>
          <w:rFonts w:hint="eastAsia" w:ascii="宋体" w:hAnsi="宋体" w:cs="宋体"/>
          <w:b/>
          <w:color w:val="auto"/>
          <w:sz w:val="30"/>
          <w:szCs w:val="30"/>
          <w:highlight w:val="none"/>
        </w:rPr>
        <w:br w:type="page"/>
      </w:r>
    </w:p>
    <w:p w14:paraId="70ABECFB">
      <w:pPr>
        <w:pStyle w:val="27"/>
        <w:ind w:firstLine="0" w:firstLineChars="0"/>
        <w:jc w:val="center"/>
        <w:rPr>
          <w:rFonts w:ascii="宋体" w:hAnsi="宋体" w:cs="宋体"/>
          <w:b/>
          <w:color w:val="auto"/>
          <w:sz w:val="32"/>
          <w:szCs w:val="32"/>
          <w:highlight w:val="none"/>
        </w:rPr>
      </w:pPr>
      <w:r>
        <w:rPr>
          <w:rFonts w:hint="eastAsia" w:ascii="宋体" w:hAnsi="宋体" w:cs="宋体"/>
          <w:b/>
          <w:color w:val="auto"/>
          <w:sz w:val="32"/>
          <w:szCs w:val="32"/>
          <w:highlight w:val="none"/>
        </w:rPr>
        <w:t>6、</w:t>
      </w:r>
      <w:bookmarkStart w:id="95" w:name="_Toc17901_WPSOffice_Level1"/>
      <w:bookmarkStart w:id="96" w:name="_Toc20884"/>
      <w:bookmarkStart w:id="97" w:name="_Toc3579"/>
      <w:r>
        <w:rPr>
          <w:rFonts w:hint="eastAsia" w:ascii="宋体" w:hAnsi="宋体" w:cs="宋体"/>
          <w:b/>
          <w:color w:val="auto"/>
          <w:sz w:val="32"/>
          <w:szCs w:val="32"/>
          <w:highlight w:val="none"/>
        </w:rPr>
        <w:t>不参与围标串标承诺书</w:t>
      </w:r>
    </w:p>
    <w:p w14:paraId="4D983029">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bCs/>
          <w:color w:val="auto"/>
          <w:sz w:val="24"/>
          <w:highlight w:val="none"/>
        </w:rPr>
        <w:t>本人作为</w:t>
      </w:r>
      <w:r>
        <w:rPr>
          <w:rFonts w:hint="eastAsia" w:ascii="宋体" w:hAnsi="宋体" w:eastAsia="宋体" w:cs="宋体"/>
          <w:b w:val="0"/>
          <w:bCs/>
          <w:color w:val="auto"/>
          <w:sz w:val="24"/>
          <w:highlight w:val="none"/>
          <w:u w:val="single"/>
        </w:rPr>
        <w:t>（单位名称）</w:t>
      </w:r>
      <w:r>
        <w:rPr>
          <w:rFonts w:hint="eastAsia" w:ascii="宋体" w:hAnsi="宋体" w:eastAsia="宋体" w:cs="宋体"/>
          <w:b w:val="0"/>
          <w:bCs/>
          <w:color w:val="auto"/>
          <w:sz w:val="24"/>
          <w:highlight w:val="none"/>
        </w:rPr>
        <w:t>的法人，清楚知晓我公司本项目投标</w:t>
      </w:r>
      <w:r>
        <w:rPr>
          <w:rFonts w:hint="eastAsia" w:ascii="宋体" w:hAnsi="宋体" w:eastAsia="宋体" w:cs="宋体"/>
          <w:b w:val="0"/>
          <w:color w:val="auto"/>
          <w:sz w:val="24"/>
          <w:szCs w:val="32"/>
          <w:highlight w:val="none"/>
        </w:rPr>
        <w:t>活动，对以下事项作出承诺：</w:t>
      </w:r>
    </w:p>
    <w:p w14:paraId="13B4831E">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一、我单位遵循公开、公平、公正、诚实守信的原则，依法依规参与本项目竞标。</w:t>
      </w:r>
    </w:p>
    <w:p w14:paraId="0DF24219">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二、我单位在本项目招标投标活动中，未参与围标串标。</w:t>
      </w:r>
    </w:p>
    <w:p w14:paraId="38B5ACA8">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三、我单位如被查实在本项目招标投标活动中存在围标串标的，递交响应文件行为作为实施串通投标违法行为的关键环节，本人承担直接责任人员法律责任，接受相应行政处罚和失信惩戒。</w:t>
      </w:r>
    </w:p>
    <w:p w14:paraId="1A93FA47">
      <w:pPr>
        <w:pStyle w:val="60"/>
        <w:spacing w:line="640" w:lineRule="exact"/>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项目编号：</w:t>
      </w:r>
    </w:p>
    <w:p w14:paraId="2FE7E216">
      <w:pPr>
        <w:pStyle w:val="60"/>
        <w:spacing w:line="640" w:lineRule="exact"/>
        <w:rPr>
          <w:rFonts w:ascii="宋体" w:hAnsi="宋体" w:eastAsia="宋体" w:cs="宋体"/>
          <w:b w:val="0"/>
          <w:bCs/>
          <w:color w:val="auto"/>
          <w:sz w:val="24"/>
          <w:highlight w:val="none"/>
        </w:rPr>
      </w:pPr>
    </w:p>
    <w:p w14:paraId="7E78130C">
      <w:pPr>
        <w:pStyle w:val="60"/>
        <w:spacing w:line="640" w:lineRule="exact"/>
        <w:rPr>
          <w:rFonts w:ascii="宋体" w:hAnsi="宋体" w:eastAsia="宋体" w:cs="宋体"/>
          <w:b w:val="0"/>
          <w:bCs/>
          <w:color w:val="auto"/>
          <w:sz w:val="24"/>
          <w:highlight w:val="none"/>
        </w:rPr>
      </w:pPr>
    </w:p>
    <w:p w14:paraId="2FCB33F8">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3F847EA2">
      <w:pPr>
        <w:pStyle w:val="58"/>
        <w:tabs>
          <w:tab w:val="left" w:pos="750"/>
        </w:tabs>
        <w:adjustRightInd w:val="0"/>
        <w:snapToGrid w:val="0"/>
        <w:spacing w:line="500" w:lineRule="exact"/>
        <w:rPr>
          <w:rFonts w:ascii="宋体" w:hAnsi="宋体"/>
          <w:color w:val="auto"/>
          <w:sz w:val="24"/>
          <w:szCs w:val="24"/>
          <w:highlight w:val="none"/>
        </w:rPr>
      </w:pPr>
    </w:p>
    <w:p w14:paraId="44E79DD4">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6E58DA78">
      <w:pPr>
        <w:pStyle w:val="58"/>
        <w:tabs>
          <w:tab w:val="left" w:pos="750"/>
        </w:tabs>
        <w:adjustRightInd w:val="0"/>
        <w:snapToGrid w:val="0"/>
        <w:spacing w:line="500" w:lineRule="exact"/>
        <w:rPr>
          <w:rFonts w:ascii="宋体" w:hAnsi="宋体"/>
          <w:color w:val="auto"/>
          <w:sz w:val="24"/>
          <w:szCs w:val="24"/>
          <w:highlight w:val="none"/>
        </w:rPr>
      </w:pPr>
    </w:p>
    <w:p w14:paraId="26D57AE4">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6527BC16">
      <w:pPr>
        <w:pStyle w:val="27"/>
        <w:ind w:firstLine="0" w:firstLineChars="0"/>
        <w:jc w:val="center"/>
        <w:rPr>
          <w:rFonts w:ascii="宋体" w:hAnsi="宋体" w:cs="宋体"/>
          <w:color w:val="auto"/>
          <w:highlight w:val="none"/>
        </w:rPr>
      </w:pPr>
      <w:r>
        <w:rPr>
          <w:rFonts w:hint="eastAsia" w:ascii="宋体" w:hAnsi="宋体" w:cs="宋体"/>
          <w:b/>
          <w:color w:val="auto"/>
          <w:sz w:val="30"/>
          <w:szCs w:val="30"/>
          <w:highlight w:val="none"/>
        </w:rPr>
        <w:br w:type="page"/>
      </w:r>
      <w:r>
        <w:rPr>
          <w:rFonts w:hint="eastAsia" w:ascii="宋体" w:hAnsi="宋体" w:cs="宋体"/>
          <w:b/>
          <w:color w:val="auto"/>
          <w:sz w:val="32"/>
          <w:szCs w:val="32"/>
          <w:highlight w:val="none"/>
        </w:rPr>
        <w:t>7、保密承诺书</w:t>
      </w:r>
    </w:p>
    <w:p w14:paraId="7578CF33">
      <w:pPr>
        <w:pStyle w:val="77"/>
        <w:spacing w:line="360" w:lineRule="auto"/>
        <w:rPr>
          <w:rFonts w:hint="default"/>
          <w:color w:val="auto"/>
          <w:highlight w:val="none"/>
        </w:rPr>
      </w:pPr>
    </w:p>
    <w:p w14:paraId="2F791631">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（采购代理机构名称）：</w:t>
      </w:r>
    </w:p>
    <w:p w14:paraId="4EECAED5">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我方参加贵组织的编号为项目采购活动，根据有关保密法规制度，知悉应当承担的保密义务和法律责任，承诺如下：</w:t>
      </w:r>
    </w:p>
    <w:p w14:paraId="17B431A7">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一、严格遵守相关的保密法律法规和规章制度，履行保密义务。</w:t>
      </w:r>
    </w:p>
    <w:p w14:paraId="577F1700">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二、不以任何方式泄露或传播本次采购项目相关信息。</w:t>
      </w:r>
    </w:p>
    <w:p w14:paraId="40EF7B29">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三、不违规记录、存储、复制本次采购项目相关信息。</w:t>
      </w:r>
    </w:p>
    <w:p w14:paraId="476221FA">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四、采购文件以及相关技术文件专室放置、专盘存储、专人管理。</w:t>
      </w:r>
    </w:p>
    <w:p w14:paraId="4E13BCEE">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五、未经采购机构审查批准，不得擅自在互联网、通讯媒体等发表涉及此次采购项目相关内容或资讯。</w:t>
      </w:r>
    </w:p>
    <w:p w14:paraId="6EA1226E">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违反上述承诺，愿承担一切法律责任，接受采购单位管理部门和采购机构按相关规定作出的相关处罚。</w:t>
      </w:r>
    </w:p>
    <w:p w14:paraId="7E692CA3">
      <w:pPr>
        <w:pStyle w:val="60"/>
        <w:spacing w:line="640" w:lineRule="exact"/>
        <w:rPr>
          <w:rFonts w:ascii="宋体" w:hAnsi="宋体" w:eastAsia="宋体" w:cs="宋体"/>
          <w:b w:val="0"/>
          <w:bCs/>
          <w:color w:val="auto"/>
          <w:sz w:val="24"/>
          <w:highlight w:val="none"/>
        </w:rPr>
      </w:pPr>
    </w:p>
    <w:p w14:paraId="239326F1">
      <w:pPr>
        <w:pStyle w:val="60"/>
        <w:spacing w:line="640" w:lineRule="exact"/>
        <w:rPr>
          <w:rFonts w:ascii="宋体" w:hAnsi="宋体" w:eastAsia="宋体" w:cs="宋体"/>
          <w:b w:val="0"/>
          <w:bCs/>
          <w:color w:val="auto"/>
          <w:sz w:val="24"/>
          <w:highlight w:val="none"/>
        </w:rPr>
      </w:pPr>
    </w:p>
    <w:p w14:paraId="39108C8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45279BEA">
      <w:pPr>
        <w:pStyle w:val="58"/>
        <w:tabs>
          <w:tab w:val="left" w:pos="750"/>
        </w:tabs>
        <w:adjustRightInd w:val="0"/>
        <w:snapToGrid w:val="0"/>
        <w:spacing w:line="500" w:lineRule="exact"/>
        <w:rPr>
          <w:rFonts w:ascii="宋体" w:hAnsi="宋体"/>
          <w:color w:val="auto"/>
          <w:sz w:val="24"/>
          <w:szCs w:val="24"/>
          <w:highlight w:val="none"/>
        </w:rPr>
      </w:pPr>
    </w:p>
    <w:p w14:paraId="4AA1DE03">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4D775280">
      <w:pPr>
        <w:pStyle w:val="58"/>
        <w:tabs>
          <w:tab w:val="left" w:pos="750"/>
        </w:tabs>
        <w:adjustRightInd w:val="0"/>
        <w:snapToGrid w:val="0"/>
        <w:spacing w:line="500" w:lineRule="exact"/>
        <w:rPr>
          <w:rFonts w:ascii="宋体" w:hAnsi="宋体"/>
          <w:color w:val="auto"/>
          <w:sz w:val="24"/>
          <w:szCs w:val="24"/>
          <w:highlight w:val="none"/>
        </w:rPr>
      </w:pPr>
    </w:p>
    <w:p w14:paraId="7E3F22E3">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48BDCE54">
      <w:pPr>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14:paraId="1444BCFA">
      <w:pPr>
        <w:pStyle w:val="27"/>
        <w:ind w:firstLine="0" w:firstLineChars="0"/>
        <w:jc w:val="center"/>
        <w:rPr>
          <w:rFonts w:ascii="宋体" w:hAnsi="宋体" w:cs="宋体"/>
          <w:b/>
          <w:color w:val="auto"/>
          <w:sz w:val="32"/>
          <w:szCs w:val="32"/>
          <w:highlight w:val="none"/>
        </w:rPr>
      </w:pPr>
      <w:r>
        <w:rPr>
          <w:rFonts w:hint="eastAsia" w:ascii="宋体" w:hAnsi="宋体" w:cs="宋体"/>
          <w:b/>
          <w:color w:val="auto"/>
          <w:sz w:val="32"/>
          <w:szCs w:val="32"/>
          <w:highlight w:val="none"/>
        </w:rPr>
        <w:t>8、投标保证金</w:t>
      </w:r>
      <w:bookmarkEnd w:id="93"/>
      <w:bookmarkEnd w:id="94"/>
    </w:p>
    <w:p w14:paraId="1769283D">
      <w:pPr>
        <w:pStyle w:val="6"/>
        <w:spacing w:before="0" w:after="0" w:line="360" w:lineRule="auto"/>
        <w:jc w:val="center"/>
        <w:rPr>
          <w:rFonts w:ascii="宋体" w:hAnsi="宋体" w:cs="宋体"/>
          <w:color w:val="auto"/>
          <w:sz w:val="30"/>
          <w:szCs w:val="30"/>
          <w:highlight w:val="none"/>
        </w:rPr>
      </w:pPr>
    </w:p>
    <w:p w14:paraId="48BA4746">
      <w:pPr>
        <w:pStyle w:val="60"/>
        <w:spacing w:line="640" w:lineRule="exact"/>
        <w:ind w:firstLine="480" w:firstLineChars="200"/>
        <w:rPr>
          <w:rFonts w:ascii="宋体" w:hAnsi="宋体" w:eastAsia="宋体" w:cs="宋体"/>
          <w:b w:val="0"/>
          <w:color w:val="auto"/>
          <w:sz w:val="24"/>
          <w:szCs w:val="32"/>
          <w:highlight w:val="none"/>
        </w:rPr>
      </w:pPr>
      <w:r>
        <w:rPr>
          <w:rFonts w:hint="eastAsia" w:ascii="宋体" w:hAnsi="宋体" w:eastAsia="宋体" w:cs="宋体"/>
          <w:b w:val="0"/>
          <w:color w:val="auto"/>
          <w:sz w:val="24"/>
          <w:szCs w:val="32"/>
          <w:highlight w:val="none"/>
        </w:rPr>
        <w:t>以支票、汇票、本票、转账、电汇或者金融机构、担保机构出具的保函等非现金形式提交；（提供相关证明材料）</w:t>
      </w:r>
    </w:p>
    <w:p w14:paraId="587997A0">
      <w:pPr>
        <w:pStyle w:val="60"/>
        <w:spacing w:line="640" w:lineRule="exact"/>
        <w:rPr>
          <w:rFonts w:ascii="宋体" w:hAnsi="宋体" w:eastAsia="宋体" w:cs="宋体"/>
          <w:b w:val="0"/>
          <w:color w:val="auto"/>
          <w:kern w:val="2"/>
          <w:sz w:val="30"/>
          <w:szCs w:val="30"/>
          <w:highlight w:val="none"/>
        </w:rPr>
      </w:pPr>
    </w:p>
    <w:p w14:paraId="47C978BF">
      <w:pPr>
        <w:pStyle w:val="60"/>
        <w:spacing w:line="640" w:lineRule="exact"/>
        <w:rPr>
          <w:rFonts w:ascii="宋体" w:hAnsi="宋体" w:eastAsia="宋体" w:cs="宋体"/>
          <w:b w:val="0"/>
          <w:color w:val="auto"/>
          <w:kern w:val="2"/>
          <w:sz w:val="30"/>
          <w:szCs w:val="30"/>
          <w:highlight w:val="none"/>
        </w:rPr>
      </w:pPr>
    </w:p>
    <w:p w14:paraId="53267586">
      <w:pPr>
        <w:pStyle w:val="60"/>
        <w:spacing w:line="640" w:lineRule="exact"/>
        <w:rPr>
          <w:rFonts w:ascii="宋体" w:hAnsi="宋体" w:eastAsia="宋体" w:cs="宋体"/>
          <w:b w:val="0"/>
          <w:color w:val="auto"/>
          <w:kern w:val="2"/>
          <w:sz w:val="30"/>
          <w:szCs w:val="30"/>
          <w:highlight w:val="none"/>
        </w:rPr>
      </w:pPr>
    </w:p>
    <w:p w14:paraId="4796FD5B">
      <w:pPr>
        <w:pStyle w:val="60"/>
        <w:spacing w:line="640" w:lineRule="exact"/>
        <w:rPr>
          <w:rFonts w:ascii="宋体" w:hAnsi="宋体" w:eastAsia="宋体" w:cs="宋体"/>
          <w:b w:val="0"/>
          <w:color w:val="auto"/>
          <w:kern w:val="2"/>
          <w:sz w:val="30"/>
          <w:szCs w:val="30"/>
          <w:highlight w:val="none"/>
        </w:rPr>
      </w:pPr>
    </w:p>
    <w:p w14:paraId="6C53CF27">
      <w:pPr>
        <w:pStyle w:val="60"/>
        <w:spacing w:line="640" w:lineRule="exact"/>
        <w:rPr>
          <w:rFonts w:ascii="宋体" w:hAnsi="宋体" w:eastAsia="宋体" w:cs="宋体"/>
          <w:b w:val="0"/>
          <w:color w:val="auto"/>
          <w:kern w:val="2"/>
          <w:sz w:val="30"/>
          <w:szCs w:val="30"/>
          <w:highlight w:val="none"/>
        </w:rPr>
      </w:pPr>
    </w:p>
    <w:p w14:paraId="0095FFF5">
      <w:pPr>
        <w:pStyle w:val="60"/>
        <w:spacing w:line="640" w:lineRule="exact"/>
        <w:rPr>
          <w:rFonts w:ascii="宋体" w:hAnsi="宋体" w:eastAsia="宋体" w:cs="宋体"/>
          <w:b w:val="0"/>
          <w:color w:val="auto"/>
          <w:kern w:val="2"/>
          <w:sz w:val="30"/>
          <w:szCs w:val="30"/>
          <w:highlight w:val="none"/>
        </w:rPr>
      </w:pPr>
    </w:p>
    <w:p w14:paraId="54C28341">
      <w:pPr>
        <w:pStyle w:val="6"/>
        <w:spacing w:before="0" w:after="0" w:line="360" w:lineRule="auto"/>
        <w:jc w:val="center"/>
        <w:rPr>
          <w:rFonts w:ascii="宋体" w:hAnsi="宋体"/>
          <w:color w:val="auto"/>
          <w:highlight w:val="none"/>
          <w:u w:val="single"/>
        </w:rPr>
      </w:pPr>
      <w:r>
        <w:rPr>
          <w:rFonts w:hint="eastAsia" w:ascii="宋体" w:hAnsi="宋体" w:cs="宋体"/>
          <w:color w:val="auto"/>
          <w:sz w:val="30"/>
          <w:szCs w:val="30"/>
          <w:highlight w:val="none"/>
        </w:rPr>
        <w:br w:type="page"/>
      </w:r>
      <w:bookmarkStart w:id="98" w:name="_Toc16017_WPSOffice_Level1"/>
      <w:bookmarkStart w:id="99" w:name="_Toc17746_WPSOffice_Level1"/>
      <w:r>
        <w:rPr>
          <w:rFonts w:hint="eastAsia" w:ascii="宋体" w:hAnsi="宋体" w:cs="宋体"/>
          <w:color w:val="auto"/>
          <w:sz w:val="32"/>
          <w:szCs w:val="32"/>
          <w:highlight w:val="none"/>
        </w:rPr>
        <w:t>9、</w:t>
      </w:r>
      <w:bookmarkEnd w:id="98"/>
      <w:bookmarkEnd w:id="99"/>
      <w:r>
        <w:rPr>
          <w:rFonts w:hint="eastAsia" w:ascii="宋体" w:hAnsi="宋体" w:cs="宋体"/>
          <w:bCs w:val="0"/>
          <w:color w:val="auto"/>
          <w:sz w:val="32"/>
          <w:szCs w:val="32"/>
          <w:highlight w:val="none"/>
        </w:rPr>
        <w:t>商务/技术条款偏离表</w:t>
      </w:r>
      <w:r>
        <w:rPr>
          <w:rFonts w:hint="eastAsia" w:ascii="宋体" w:hAnsi="宋体"/>
          <w:color w:val="auto"/>
          <w:highlight w:val="none"/>
        </w:rPr>
        <w:t xml:space="preserve">   </w:t>
      </w:r>
    </w:p>
    <w:tbl>
      <w:tblPr>
        <w:tblStyle w:val="29"/>
        <w:tblW w:w="917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552"/>
        <w:gridCol w:w="2409"/>
        <w:gridCol w:w="1588"/>
        <w:gridCol w:w="1815"/>
      </w:tblGrid>
      <w:tr w14:paraId="06B8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14" w:type="dxa"/>
            <w:vAlign w:val="center"/>
          </w:tcPr>
          <w:p w14:paraId="6A2ED9BB">
            <w:pPr>
              <w:pStyle w:val="46"/>
              <w:spacing w:line="500" w:lineRule="exact"/>
              <w:jc w:val="center"/>
              <w:rPr>
                <w:rFonts w:ascii="宋体" w:hAnsi="宋体"/>
                <w:color w:val="auto"/>
                <w:highlight w:val="none"/>
              </w:rPr>
            </w:pPr>
            <w:r>
              <w:rPr>
                <w:rFonts w:hint="eastAsia" w:ascii="宋体" w:hAnsi="宋体"/>
                <w:color w:val="auto"/>
                <w:highlight w:val="none"/>
              </w:rPr>
              <w:t>序号</w:t>
            </w:r>
          </w:p>
        </w:tc>
        <w:tc>
          <w:tcPr>
            <w:tcW w:w="2552" w:type="dxa"/>
            <w:vAlign w:val="center"/>
          </w:tcPr>
          <w:p w14:paraId="096B2E08">
            <w:pPr>
              <w:pStyle w:val="46"/>
              <w:spacing w:line="500" w:lineRule="exact"/>
              <w:jc w:val="center"/>
              <w:rPr>
                <w:rFonts w:ascii="宋体" w:hAnsi="宋体"/>
                <w:color w:val="auto"/>
                <w:highlight w:val="none"/>
              </w:rPr>
            </w:pPr>
            <w:r>
              <w:rPr>
                <w:rFonts w:hint="eastAsia" w:ascii="宋体" w:hAnsi="宋体"/>
                <w:color w:val="auto"/>
                <w:highlight w:val="none"/>
              </w:rPr>
              <w:t>采购文件的商务/技术条款</w:t>
            </w:r>
          </w:p>
        </w:tc>
        <w:tc>
          <w:tcPr>
            <w:tcW w:w="2409" w:type="dxa"/>
            <w:vAlign w:val="center"/>
          </w:tcPr>
          <w:p w14:paraId="505E5154">
            <w:pPr>
              <w:pStyle w:val="46"/>
              <w:spacing w:line="500" w:lineRule="exact"/>
              <w:jc w:val="center"/>
              <w:rPr>
                <w:rFonts w:ascii="宋体" w:hAnsi="宋体"/>
                <w:color w:val="auto"/>
                <w:highlight w:val="none"/>
              </w:rPr>
            </w:pPr>
            <w:r>
              <w:rPr>
                <w:rFonts w:hint="eastAsia" w:ascii="宋体" w:hAnsi="宋体"/>
                <w:color w:val="auto"/>
                <w:highlight w:val="none"/>
              </w:rPr>
              <w:t>响应文件的商务/技术条款</w:t>
            </w:r>
          </w:p>
        </w:tc>
        <w:tc>
          <w:tcPr>
            <w:tcW w:w="1588" w:type="dxa"/>
            <w:vAlign w:val="center"/>
          </w:tcPr>
          <w:p w14:paraId="31548D9C">
            <w:pPr>
              <w:pStyle w:val="46"/>
              <w:spacing w:line="500" w:lineRule="exact"/>
              <w:jc w:val="center"/>
              <w:rPr>
                <w:rFonts w:ascii="宋体" w:hAnsi="宋体"/>
                <w:color w:val="auto"/>
                <w:highlight w:val="none"/>
              </w:rPr>
            </w:pPr>
            <w:r>
              <w:rPr>
                <w:rFonts w:hint="eastAsia" w:ascii="宋体" w:hAnsi="宋体"/>
                <w:color w:val="auto"/>
                <w:highlight w:val="none"/>
              </w:rPr>
              <w:t>偏离</w:t>
            </w:r>
          </w:p>
        </w:tc>
        <w:tc>
          <w:tcPr>
            <w:tcW w:w="1815" w:type="dxa"/>
            <w:vAlign w:val="center"/>
          </w:tcPr>
          <w:p w14:paraId="70A38CA6">
            <w:pPr>
              <w:pStyle w:val="46"/>
              <w:spacing w:line="500" w:lineRule="exact"/>
              <w:jc w:val="center"/>
              <w:rPr>
                <w:rFonts w:ascii="宋体" w:hAnsi="宋体"/>
                <w:color w:val="auto"/>
                <w:highlight w:val="none"/>
              </w:rPr>
            </w:pPr>
            <w:r>
              <w:rPr>
                <w:rFonts w:hint="eastAsia" w:ascii="宋体" w:hAnsi="宋体"/>
                <w:color w:val="auto"/>
                <w:highlight w:val="none"/>
              </w:rPr>
              <w:t>备注</w:t>
            </w:r>
          </w:p>
        </w:tc>
      </w:tr>
      <w:tr w14:paraId="2E71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3C0E2497">
            <w:pPr>
              <w:pStyle w:val="46"/>
              <w:spacing w:line="500" w:lineRule="exact"/>
              <w:ind w:left="480" w:firstLine="480"/>
              <w:jc w:val="center"/>
              <w:rPr>
                <w:rFonts w:ascii="宋体" w:hAnsi="宋体"/>
                <w:color w:val="auto"/>
                <w:highlight w:val="none"/>
              </w:rPr>
            </w:pPr>
          </w:p>
        </w:tc>
        <w:tc>
          <w:tcPr>
            <w:tcW w:w="2552" w:type="dxa"/>
          </w:tcPr>
          <w:p w14:paraId="78CA28F7">
            <w:pPr>
              <w:pStyle w:val="46"/>
              <w:spacing w:line="500" w:lineRule="exact"/>
              <w:jc w:val="both"/>
              <w:rPr>
                <w:rFonts w:ascii="宋体" w:hAnsi="宋体"/>
                <w:color w:val="auto"/>
                <w:highlight w:val="none"/>
              </w:rPr>
            </w:pPr>
            <w:r>
              <w:rPr>
                <w:rFonts w:hint="eastAsia" w:ascii="宋体" w:hAnsi="宋体"/>
                <w:color w:val="auto"/>
                <w:highlight w:val="none"/>
              </w:rPr>
              <w:t>服务期限</w:t>
            </w:r>
          </w:p>
        </w:tc>
        <w:tc>
          <w:tcPr>
            <w:tcW w:w="2409" w:type="dxa"/>
          </w:tcPr>
          <w:p w14:paraId="3BCC8E46">
            <w:pPr>
              <w:pStyle w:val="46"/>
              <w:spacing w:line="500" w:lineRule="exact"/>
              <w:ind w:left="480" w:firstLine="480"/>
              <w:jc w:val="center"/>
              <w:rPr>
                <w:rFonts w:ascii="宋体" w:hAnsi="宋体"/>
                <w:color w:val="auto"/>
                <w:highlight w:val="none"/>
              </w:rPr>
            </w:pPr>
          </w:p>
        </w:tc>
        <w:tc>
          <w:tcPr>
            <w:tcW w:w="1588" w:type="dxa"/>
          </w:tcPr>
          <w:p w14:paraId="55E5C0E1">
            <w:pPr>
              <w:pStyle w:val="46"/>
              <w:spacing w:line="500" w:lineRule="exact"/>
              <w:ind w:left="480" w:firstLine="480"/>
              <w:jc w:val="center"/>
              <w:rPr>
                <w:rFonts w:ascii="宋体" w:hAnsi="宋体"/>
                <w:color w:val="auto"/>
                <w:highlight w:val="none"/>
              </w:rPr>
            </w:pPr>
          </w:p>
        </w:tc>
        <w:tc>
          <w:tcPr>
            <w:tcW w:w="1815" w:type="dxa"/>
          </w:tcPr>
          <w:p w14:paraId="4D6E2C56">
            <w:pPr>
              <w:pStyle w:val="46"/>
              <w:spacing w:line="500" w:lineRule="exact"/>
              <w:ind w:left="480" w:firstLine="480"/>
              <w:jc w:val="center"/>
              <w:rPr>
                <w:rFonts w:ascii="宋体" w:hAnsi="宋体"/>
                <w:color w:val="auto"/>
                <w:highlight w:val="none"/>
              </w:rPr>
            </w:pPr>
          </w:p>
        </w:tc>
      </w:tr>
      <w:tr w14:paraId="2C30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4D645A0A">
            <w:pPr>
              <w:pStyle w:val="46"/>
              <w:spacing w:line="500" w:lineRule="exact"/>
              <w:ind w:left="480" w:firstLine="480"/>
              <w:jc w:val="center"/>
              <w:rPr>
                <w:rFonts w:ascii="宋体" w:hAnsi="宋体"/>
                <w:color w:val="auto"/>
                <w:highlight w:val="none"/>
              </w:rPr>
            </w:pPr>
          </w:p>
        </w:tc>
        <w:tc>
          <w:tcPr>
            <w:tcW w:w="2552" w:type="dxa"/>
          </w:tcPr>
          <w:p w14:paraId="443545D7">
            <w:pPr>
              <w:pStyle w:val="46"/>
              <w:spacing w:line="500" w:lineRule="exact"/>
              <w:jc w:val="both"/>
              <w:rPr>
                <w:rFonts w:ascii="宋体" w:hAnsi="宋体"/>
                <w:color w:val="auto"/>
                <w:highlight w:val="none"/>
              </w:rPr>
            </w:pPr>
            <w:r>
              <w:rPr>
                <w:rFonts w:hint="eastAsia" w:ascii="宋体" w:hAnsi="宋体" w:cs="宋体"/>
                <w:color w:val="auto"/>
                <w:szCs w:val="24"/>
                <w:highlight w:val="none"/>
              </w:rPr>
              <w:t>供货期</w:t>
            </w:r>
          </w:p>
        </w:tc>
        <w:tc>
          <w:tcPr>
            <w:tcW w:w="2409" w:type="dxa"/>
          </w:tcPr>
          <w:p w14:paraId="53B93726">
            <w:pPr>
              <w:pStyle w:val="46"/>
              <w:spacing w:line="500" w:lineRule="exact"/>
              <w:ind w:left="480" w:firstLine="480"/>
              <w:jc w:val="center"/>
              <w:rPr>
                <w:rFonts w:ascii="宋体" w:hAnsi="宋体"/>
                <w:color w:val="auto"/>
                <w:highlight w:val="none"/>
              </w:rPr>
            </w:pPr>
          </w:p>
        </w:tc>
        <w:tc>
          <w:tcPr>
            <w:tcW w:w="1588" w:type="dxa"/>
          </w:tcPr>
          <w:p w14:paraId="1BE637E6">
            <w:pPr>
              <w:pStyle w:val="46"/>
              <w:spacing w:line="500" w:lineRule="exact"/>
              <w:ind w:left="480" w:firstLine="480"/>
              <w:jc w:val="center"/>
              <w:rPr>
                <w:rFonts w:ascii="宋体" w:hAnsi="宋体"/>
                <w:color w:val="auto"/>
                <w:highlight w:val="none"/>
              </w:rPr>
            </w:pPr>
          </w:p>
        </w:tc>
        <w:tc>
          <w:tcPr>
            <w:tcW w:w="1815" w:type="dxa"/>
          </w:tcPr>
          <w:p w14:paraId="6DD7D724">
            <w:pPr>
              <w:pStyle w:val="46"/>
              <w:spacing w:line="500" w:lineRule="exact"/>
              <w:ind w:left="480" w:firstLine="480"/>
              <w:jc w:val="center"/>
              <w:rPr>
                <w:rFonts w:ascii="宋体" w:hAnsi="宋体"/>
                <w:color w:val="auto"/>
                <w:highlight w:val="none"/>
              </w:rPr>
            </w:pPr>
          </w:p>
        </w:tc>
      </w:tr>
      <w:tr w14:paraId="4B00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3E4A6130">
            <w:pPr>
              <w:pStyle w:val="46"/>
              <w:spacing w:line="500" w:lineRule="exact"/>
              <w:ind w:left="480" w:firstLine="480"/>
              <w:jc w:val="center"/>
              <w:rPr>
                <w:rFonts w:ascii="宋体" w:hAnsi="宋体"/>
                <w:color w:val="auto"/>
                <w:highlight w:val="none"/>
              </w:rPr>
            </w:pPr>
          </w:p>
        </w:tc>
        <w:tc>
          <w:tcPr>
            <w:tcW w:w="2552" w:type="dxa"/>
          </w:tcPr>
          <w:p w14:paraId="6701A44F">
            <w:pPr>
              <w:pStyle w:val="46"/>
              <w:spacing w:line="500" w:lineRule="exact"/>
              <w:jc w:val="both"/>
              <w:rPr>
                <w:rFonts w:ascii="宋体" w:hAnsi="宋体"/>
                <w:color w:val="auto"/>
                <w:highlight w:val="none"/>
              </w:rPr>
            </w:pPr>
            <w:r>
              <w:rPr>
                <w:rFonts w:hint="eastAsia" w:ascii="宋体" w:hAnsi="宋体"/>
                <w:color w:val="auto"/>
                <w:highlight w:val="none"/>
              </w:rPr>
              <w:t>交货地点</w:t>
            </w:r>
          </w:p>
        </w:tc>
        <w:tc>
          <w:tcPr>
            <w:tcW w:w="2409" w:type="dxa"/>
          </w:tcPr>
          <w:p w14:paraId="4F1EAC26">
            <w:pPr>
              <w:pStyle w:val="46"/>
              <w:spacing w:line="500" w:lineRule="exact"/>
              <w:ind w:left="480" w:firstLine="480"/>
              <w:jc w:val="center"/>
              <w:rPr>
                <w:rFonts w:ascii="宋体" w:hAnsi="宋体"/>
                <w:color w:val="auto"/>
                <w:highlight w:val="none"/>
              </w:rPr>
            </w:pPr>
          </w:p>
        </w:tc>
        <w:tc>
          <w:tcPr>
            <w:tcW w:w="1588" w:type="dxa"/>
          </w:tcPr>
          <w:p w14:paraId="7C61463D">
            <w:pPr>
              <w:pStyle w:val="46"/>
              <w:spacing w:line="500" w:lineRule="exact"/>
              <w:ind w:left="480" w:firstLine="480"/>
              <w:jc w:val="center"/>
              <w:rPr>
                <w:rFonts w:ascii="宋体" w:hAnsi="宋体"/>
                <w:color w:val="auto"/>
                <w:highlight w:val="none"/>
              </w:rPr>
            </w:pPr>
          </w:p>
        </w:tc>
        <w:tc>
          <w:tcPr>
            <w:tcW w:w="1815" w:type="dxa"/>
          </w:tcPr>
          <w:p w14:paraId="47F31D70">
            <w:pPr>
              <w:pStyle w:val="46"/>
              <w:spacing w:line="500" w:lineRule="exact"/>
              <w:ind w:left="480" w:firstLine="480"/>
              <w:jc w:val="center"/>
              <w:rPr>
                <w:rFonts w:ascii="宋体" w:hAnsi="宋体"/>
                <w:color w:val="auto"/>
                <w:highlight w:val="none"/>
              </w:rPr>
            </w:pPr>
          </w:p>
        </w:tc>
      </w:tr>
      <w:tr w14:paraId="3184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2B5D9155">
            <w:pPr>
              <w:pStyle w:val="46"/>
              <w:spacing w:line="500" w:lineRule="exact"/>
              <w:ind w:left="480" w:firstLine="480"/>
              <w:jc w:val="center"/>
              <w:rPr>
                <w:rFonts w:ascii="宋体" w:hAnsi="宋体"/>
                <w:color w:val="auto"/>
                <w:highlight w:val="none"/>
              </w:rPr>
            </w:pPr>
          </w:p>
        </w:tc>
        <w:tc>
          <w:tcPr>
            <w:tcW w:w="2552" w:type="dxa"/>
          </w:tcPr>
          <w:p w14:paraId="3A918E81">
            <w:pPr>
              <w:pStyle w:val="46"/>
              <w:spacing w:line="500" w:lineRule="exact"/>
              <w:jc w:val="both"/>
              <w:rPr>
                <w:rFonts w:ascii="宋体" w:hAnsi="宋体"/>
                <w:color w:val="auto"/>
                <w:highlight w:val="none"/>
              </w:rPr>
            </w:pPr>
            <w:r>
              <w:rPr>
                <w:rFonts w:hint="eastAsia" w:ascii="宋体" w:hAnsi="宋体"/>
                <w:color w:val="auto"/>
                <w:highlight w:val="none"/>
              </w:rPr>
              <w:t>付款方式</w:t>
            </w:r>
          </w:p>
        </w:tc>
        <w:tc>
          <w:tcPr>
            <w:tcW w:w="2409" w:type="dxa"/>
          </w:tcPr>
          <w:p w14:paraId="50021A32">
            <w:pPr>
              <w:pStyle w:val="46"/>
              <w:spacing w:line="500" w:lineRule="exact"/>
              <w:ind w:left="480" w:firstLine="480"/>
              <w:jc w:val="center"/>
              <w:rPr>
                <w:rFonts w:ascii="宋体" w:hAnsi="宋体"/>
                <w:color w:val="auto"/>
                <w:highlight w:val="none"/>
              </w:rPr>
            </w:pPr>
          </w:p>
        </w:tc>
        <w:tc>
          <w:tcPr>
            <w:tcW w:w="1588" w:type="dxa"/>
          </w:tcPr>
          <w:p w14:paraId="0BF8AEAD">
            <w:pPr>
              <w:pStyle w:val="46"/>
              <w:spacing w:line="500" w:lineRule="exact"/>
              <w:ind w:left="480" w:firstLine="480"/>
              <w:jc w:val="center"/>
              <w:rPr>
                <w:rFonts w:ascii="宋体" w:hAnsi="宋体"/>
                <w:color w:val="auto"/>
                <w:highlight w:val="none"/>
              </w:rPr>
            </w:pPr>
          </w:p>
        </w:tc>
        <w:tc>
          <w:tcPr>
            <w:tcW w:w="1815" w:type="dxa"/>
          </w:tcPr>
          <w:p w14:paraId="55E5337E">
            <w:pPr>
              <w:pStyle w:val="46"/>
              <w:spacing w:line="500" w:lineRule="exact"/>
              <w:ind w:left="480" w:firstLine="480"/>
              <w:jc w:val="center"/>
              <w:rPr>
                <w:rFonts w:ascii="宋体" w:hAnsi="宋体"/>
                <w:color w:val="auto"/>
                <w:highlight w:val="none"/>
              </w:rPr>
            </w:pPr>
          </w:p>
        </w:tc>
      </w:tr>
      <w:tr w14:paraId="36E7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23AD4DEB">
            <w:pPr>
              <w:pStyle w:val="46"/>
              <w:spacing w:line="500" w:lineRule="exact"/>
              <w:ind w:left="480" w:firstLine="480"/>
              <w:jc w:val="center"/>
              <w:rPr>
                <w:rFonts w:ascii="宋体" w:hAnsi="宋体"/>
                <w:color w:val="auto"/>
                <w:highlight w:val="none"/>
              </w:rPr>
            </w:pPr>
          </w:p>
        </w:tc>
        <w:tc>
          <w:tcPr>
            <w:tcW w:w="2552" w:type="dxa"/>
          </w:tcPr>
          <w:p w14:paraId="1B198F90">
            <w:pPr>
              <w:pStyle w:val="46"/>
              <w:spacing w:line="500" w:lineRule="exact"/>
              <w:jc w:val="both"/>
              <w:rPr>
                <w:rFonts w:ascii="宋体" w:hAnsi="宋体"/>
                <w:color w:val="auto"/>
                <w:highlight w:val="none"/>
              </w:rPr>
            </w:pPr>
          </w:p>
        </w:tc>
        <w:tc>
          <w:tcPr>
            <w:tcW w:w="2409" w:type="dxa"/>
          </w:tcPr>
          <w:p w14:paraId="06017826">
            <w:pPr>
              <w:pStyle w:val="46"/>
              <w:spacing w:line="500" w:lineRule="exact"/>
              <w:ind w:left="480" w:firstLine="480"/>
              <w:jc w:val="center"/>
              <w:rPr>
                <w:rFonts w:ascii="宋体" w:hAnsi="宋体"/>
                <w:color w:val="auto"/>
                <w:highlight w:val="none"/>
              </w:rPr>
            </w:pPr>
          </w:p>
        </w:tc>
        <w:tc>
          <w:tcPr>
            <w:tcW w:w="1588" w:type="dxa"/>
          </w:tcPr>
          <w:p w14:paraId="169241FC">
            <w:pPr>
              <w:pStyle w:val="46"/>
              <w:spacing w:line="500" w:lineRule="exact"/>
              <w:ind w:left="480" w:firstLine="480"/>
              <w:jc w:val="center"/>
              <w:rPr>
                <w:rFonts w:ascii="宋体" w:hAnsi="宋体"/>
                <w:color w:val="auto"/>
                <w:highlight w:val="none"/>
              </w:rPr>
            </w:pPr>
          </w:p>
        </w:tc>
        <w:tc>
          <w:tcPr>
            <w:tcW w:w="1815" w:type="dxa"/>
          </w:tcPr>
          <w:p w14:paraId="488BC6B1">
            <w:pPr>
              <w:pStyle w:val="46"/>
              <w:spacing w:line="500" w:lineRule="exact"/>
              <w:ind w:left="480" w:firstLine="480"/>
              <w:jc w:val="center"/>
              <w:rPr>
                <w:rFonts w:ascii="宋体" w:hAnsi="宋体"/>
                <w:color w:val="auto"/>
                <w:highlight w:val="none"/>
              </w:rPr>
            </w:pPr>
          </w:p>
        </w:tc>
      </w:tr>
      <w:tr w14:paraId="0DA7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4F1A4342">
            <w:pPr>
              <w:pStyle w:val="46"/>
              <w:spacing w:line="500" w:lineRule="exact"/>
              <w:ind w:left="480" w:firstLine="480"/>
              <w:jc w:val="center"/>
              <w:rPr>
                <w:rFonts w:ascii="宋体" w:hAnsi="宋体"/>
                <w:color w:val="auto"/>
                <w:highlight w:val="none"/>
              </w:rPr>
            </w:pPr>
          </w:p>
        </w:tc>
        <w:tc>
          <w:tcPr>
            <w:tcW w:w="2552" w:type="dxa"/>
          </w:tcPr>
          <w:p w14:paraId="1789A020">
            <w:pPr>
              <w:pStyle w:val="46"/>
              <w:spacing w:line="500" w:lineRule="exact"/>
              <w:jc w:val="both"/>
              <w:rPr>
                <w:rFonts w:ascii="宋体" w:hAnsi="宋体"/>
                <w:color w:val="auto"/>
                <w:highlight w:val="none"/>
              </w:rPr>
            </w:pPr>
          </w:p>
        </w:tc>
        <w:tc>
          <w:tcPr>
            <w:tcW w:w="2409" w:type="dxa"/>
          </w:tcPr>
          <w:p w14:paraId="73314F0C">
            <w:pPr>
              <w:pStyle w:val="46"/>
              <w:spacing w:line="500" w:lineRule="exact"/>
              <w:ind w:left="480" w:firstLine="480"/>
              <w:jc w:val="center"/>
              <w:rPr>
                <w:rFonts w:ascii="宋体" w:hAnsi="宋体"/>
                <w:color w:val="auto"/>
                <w:highlight w:val="none"/>
              </w:rPr>
            </w:pPr>
          </w:p>
        </w:tc>
        <w:tc>
          <w:tcPr>
            <w:tcW w:w="1588" w:type="dxa"/>
          </w:tcPr>
          <w:p w14:paraId="61486609">
            <w:pPr>
              <w:pStyle w:val="46"/>
              <w:spacing w:line="500" w:lineRule="exact"/>
              <w:ind w:left="480" w:firstLine="480"/>
              <w:jc w:val="center"/>
              <w:rPr>
                <w:rFonts w:ascii="宋体" w:hAnsi="宋体"/>
                <w:color w:val="auto"/>
                <w:highlight w:val="none"/>
              </w:rPr>
            </w:pPr>
          </w:p>
        </w:tc>
        <w:tc>
          <w:tcPr>
            <w:tcW w:w="1815" w:type="dxa"/>
          </w:tcPr>
          <w:p w14:paraId="11DEAFC3">
            <w:pPr>
              <w:pStyle w:val="46"/>
              <w:spacing w:line="500" w:lineRule="exact"/>
              <w:ind w:left="480" w:firstLine="480"/>
              <w:jc w:val="center"/>
              <w:rPr>
                <w:rFonts w:ascii="宋体" w:hAnsi="宋体"/>
                <w:color w:val="auto"/>
                <w:highlight w:val="none"/>
              </w:rPr>
            </w:pPr>
          </w:p>
        </w:tc>
      </w:tr>
      <w:tr w14:paraId="1F17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4C0D5025">
            <w:pPr>
              <w:pStyle w:val="46"/>
              <w:spacing w:line="500" w:lineRule="exact"/>
              <w:ind w:left="480" w:firstLine="480"/>
              <w:jc w:val="center"/>
              <w:rPr>
                <w:rFonts w:ascii="宋体" w:hAnsi="宋体"/>
                <w:color w:val="auto"/>
                <w:highlight w:val="none"/>
              </w:rPr>
            </w:pPr>
          </w:p>
        </w:tc>
        <w:tc>
          <w:tcPr>
            <w:tcW w:w="2552" w:type="dxa"/>
          </w:tcPr>
          <w:p w14:paraId="6A729785">
            <w:pPr>
              <w:pStyle w:val="46"/>
              <w:spacing w:line="500" w:lineRule="exact"/>
              <w:ind w:left="480" w:firstLine="480"/>
              <w:jc w:val="center"/>
              <w:rPr>
                <w:rFonts w:ascii="宋体" w:hAnsi="宋体"/>
                <w:color w:val="auto"/>
                <w:highlight w:val="none"/>
              </w:rPr>
            </w:pPr>
          </w:p>
        </w:tc>
        <w:tc>
          <w:tcPr>
            <w:tcW w:w="2409" w:type="dxa"/>
          </w:tcPr>
          <w:p w14:paraId="2C0B6B89">
            <w:pPr>
              <w:pStyle w:val="46"/>
              <w:spacing w:line="500" w:lineRule="exact"/>
              <w:ind w:left="480" w:firstLine="480"/>
              <w:jc w:val="center"/>
              <w:rPr>
                <w:rFonts w:ascii="宋体" w:hAnsi="宋体"/>
                <w:color w:val="auto"/>
                <w:highlight w:val="none"/>
              </w:rPr>
            </w:pPr>
          </w:p>
        </w:tc>
        <w:tc>
          <w:tcPr>
            <w:tcW w:w="1588" w:type="dxa"/>
          </w:tcPr>
          <w:p w14:paraId="544988D7">
            <w:pPr>
              <w:pStyle w:val="46"/>
              <w:spacing w:line="500" w:lineRule="exact"/>
              <w:ind w:left="480" w:firstLine="480"/>
              <w:jc w:val="center"/>
              <w:rPr>
                <w:rFonts w:ascii="宋体" w:hAnsi="宋体"/>
                <w:color w:val="auto"/>
                <w:highlight w:val="none"/>
              </w:rPr>
            </w:pPr>
          </w:p>
        </w:tc>
        <w:tc>
          <w:tcPr>
            <w:tcW w:w="1815" w:type="dxa"/>
          </w:tcPr>
          <w:p w14:paraId="0EA90D7A">
            <w:pPr>
              <w:pStyle w:val="46"/>
              <w:spacing w:line="500" w:lineRule="exact"/>
              <w:ind w:left="480" w:firstLine="480"/>
              <w:jc w:val="center"/>
              <w:rPr>
                <w:rFonts w:ascii="宋体" w:hAnsi="宋体"/>
                <w:color w:val="auto"/>
                <w:highlight w:val="none"/>
              </w:rPr>
            </w:pPr>
          </w:p>
        </w:tc>
      </w:tr>
      <w:tr w14:paraId="1132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3172FA28">
            <w:pPr>
              <w:pStyle w:val="46"/>
              <w:spacing w:line="500" w:lineRule="exact"/>
              <w:ind w:left="480" w:firstLine="480"/>
              <w:jc w:val="center"/>
              <w:rPr>
                <w:rFonts w:ascii="宋体" w:hAnsi="宋体"/>
                <w:color w:val="auto"/>
                <w:highlight w:val="none"/>
              </w:rPr>
            </w:pPr>
          </w:p>
        </w:tc>
        <w:tc>
          <w:tcPr>
            <w:tcW w:w="2552" w:type="dxa"/>
          </w:tcPr>
          <w:p w14:paraId="4381E1A1">
            <w:pPr>
              <w:pStyle w:val="46"/>
              <w:spacing w:line="500" w:lineRule="exact"/>
              <w:ind w:left="480" w:firstLine="480"/>
              <w:jc w:val="center"/>
              <w:rPr>
                <w:rFonts w:ascii="宋体" w:hAnsi="宋体"/>
                <w:color w:val="auto"/>
                <w:highlight w:val="none"/>
              </w:rPr>
            </w:pPr>
          </w:p>
        </w:tc>
        <w:tc>
          <w:tcPr>
            <w:tcW w:w="2409" w:type="dxa"/>
          </w:tcPr>
          <w:p w14:paraId="245C7BD0">
            <w:pPr>
              <w:pStyle w:val="46"/>
              <w:spacing w:line="500" w:lineRule="exact"/>
              <w:ind w:left="480" w:firstLine="480"/>
              <w:jc w:val="center"/>
              <w:rPr>
                <w:rFonts w:ascii="宋体" w:hAnsi="宋体"/>
                <w:color w:val="auto"/>
                <w:highlight w:val="none"/>
              </w:rPr>
            </w:pPr>
          </w:p>
        </w:tc>
        <w:tc>
          <w:tcPr>
            <w:tcW w:w="1588" w:type="dxa"/>
          </w:tcPr>
          <w:p w14:paraId="0027375E">
            <w:pPr>
              <w:pStyle w:val="46"/>
              <w:spacing w:line="500" w:lineRule="exact"/>
              <w:ind w:left="480" w:firstLine="480"/>
              <w:jc w:val="center"/>
              <w:rPr>
                <w:rFonts w:ascii="宋体" w:hAnsi="宋体"/>
                <w:color w:val="auto"/>
                <w:highlight w:val="none"/>
              </w:rPr>
            </w:pPr>
          </w:p>
        </w:tc>
        <w:tc>
          <w:tcPr>
            <w:tcW w:w="1815" w:type="dxa"/>
          </w:tcPr>
          <w:p w14:paraId="6D0AAC03">
            <w:pPr>
              <w:pStyle w:val="46"/>
              <w:spacing w:line="500" w:lineRule="exact"/>
              <w:ind w:left="480" w:firstLine="480"/>
              <w:jc w:val="center"/>
              <w:rPr>
                <w:rFonts w:ascii="宋体" w:hAnsi="宋体"/>
                <w:color w:val="auto"/>
                <w:highlight w:val="none"/>
              </w:rPr>
            </w:pPr>
          </w:p>
        </w:tc>
      </w:tr>
      <w:tr w14:paraId="6FB2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0AEC60EA">
            <w:pPr>
              <w:pStyle w:val="46"/>
              <w:spacing w:line="500" w:lineRule="exact"/>
              <w:ind w:left="480" w:firstLine="480"/>
              <w:jc w:val="center"/>
              <w:rPr>
                <w:rFonts w:ascii="宋体" w:hAnsi="宋体"/>
                <w:color w:val="auto"/>
                <w:highlight w:val="none"/>
              </w:rPr>
            </w:pPr>
          </w:p>
        </w:tc>
        <w:tc>
          <w:tcPr>
            <w:tcW w:w="2552" w:type="dxa"/>
          </w:tcPr>
          <w:p w14:paraId="48F25322">
            <w:pPr>
              <w:pStyle w:val="46"/>
              <w:spacing w:line="500" w:lineRule="exact"/>
              <w:ind w:left="480" w:firstLine="480"/>
              <w:jc w:val="center"/>
              <w:rPr>
                <w:rFonts w:ascii="宋体" w:hAnsi="宋体"/>
                <w:color w:val="auto"/>
                <w:highlight w:val="none"/>
              </w:rPr>
            </w:pPr>
          </w:p>
        </w:tc>
        <w:tc>
          <w:tcPr>
            <w:tcW w:w="2409" w:type="dxa"/>
          </w:tcPr>
          <w:p w14:paraId="16AB5E1B">
            <w:pPr>
              <w:pStyle w:val="46"/>
              <w:spacing w:line="500" w:lineRule="exact"/>
              <w:ind w:left="480" w:firstLine="480"/>
              <w:jc w:val="center"/>
              <w:rPr>
                <w:rFonts w:ascii="宋体" w:hAnsi="宋体"/>
                <w:color w:val="auto"/>
                <w:highlight w:val="none"/>
              </w:rPr>
            </w:pPr>
          </w:p>
        </w:tc>
        <w:tc>
          <w:tcPr>
            <w:tcW w:w="1588" w:type="dxa"/>
          </w:tcPr>
          <w:p w14:paraId="7D4BE105">
            <w:pPr>
              <w:pStyle w:val="46"/>
              <w:spacing w:line="500" w:lineRule="exact"/>
              <w:ind w:left="480" w:firstLine="480"/>
              <w:jc w:val="center"/>
              <w:rPr>
                <w:rFonts w:ascii="宋体" w:hAnsi="宋体"/>
                <w:color w:val="auto"/>
                <w:highlight w:val="none"/>
              </w:rPr>
            </w:pPr>
          </w:p>
        </w:tc>
        <w:tc>
          <w:tcPr>
            <w:tcW w:w="1815" w:type="dxa"/>
          </w:tcPr>
          <w:p w14:paraId="6653BFF5">
            <w:pPr>
              <w:pStyle w:val="46"/>
              <w:spacing w:line="500" w:lineRule="exact"/>
              <w:ind w:left="480" w:firstLine="480"/>
              <w:jc w:val="center"/>
              <w:rPr>
                <w:rFonts w:ascii="宋体" w:hAnsi="宋体"/>
                <w:color w:val="auto"/>
                <w:highlight w:val="none"/>
              </w:rPr>
            </w:pPr>
          </w:p>
        </w:tc>
      </w:tr>
      <w:tr w14:paraId="4325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39DC1745">
            <w:pPr>
              <w:pStyle w:val="46"/>
              <w:spacing w:line="500" w:lineRule="exact"/>
              <w:ind w:left="480" w:firstLine="480"/>
              <w:jc w:val="center"/>
              <w:rPr>
                <w:rFonts w:ascii="宋体" w:hAnsi="宋体"/>
                <w:color w:val="auto"/>
                <w:highlight w:val="none"/>
              </w:rPr>
            </w:pPr>
          </w:p>
        </w:tc>
        <w:tc>
          <w:tcPr>
            <w:tcW w:w="2552" w:type="dxa"/>
          </w:tcPr>
          <w:p w14:paraId="2542AC15">
            <w:pPr>
              <w:pStyle w:val="46"/>
              <w:spacing w:line="500" w:lineRule="exact"/>
              <w:ind w:left="480" w:firstLine="480"/>
              <w:jc w:val="center"/>
              <w:rPr>
                <w:rFonts w:ascii="宋体" w:hAnsi="宋体"/>
                <w:color w:val="auto"/>
                <w:highlight w:val="none"/>
              </w:rPr>
            </w:pPr>
          </w:p>
        </w:tc>
        <w:tc>
          <w:tcPr>
            <w:tcW w:w="2409" w:type="dxa"/>
          </w:tcPr>
          <w:p w14:paraId="4663C509">
            <w:pPr>
              <w:pStyle w:val="46"/>
              <w:spacing w:line="500" w:lineRule="exact"/>
              <w:ind w:left="480" w:firstLine="480"/>
              <w:jc w:val="center"/>
              <w:rPr>
                <w:rFonts w:ascii="宋体" w:hAnsi="宋体"/>
                <w:color w:val="auto"/>
                <w:highlight w:val="none"/>
              </w:rPr>
            </w:pPr>
          </w:p>
        </w:tc>
        <w:tc>
          <w:tcPr>
            <w:tcW w:w="1588" w:type="dxa"/>
          </w:tcPr>
          <w:p w14:paraId="37134BA9">
            <w:pPr>
              <w:pStyle w:val="46"/>
              <w:spacing w:line="500" w:lineRule="exact"/>
              <w:ind w:left="480" w:firstLine="480"/>
              <w:jc w:val="center"/>
              <w:rPr>
                <w:rFonts w:ascii="宋体" w:hAnsi="宋体"/>
                <w:color w:val="auto"/>
                <w:highlight w:val="none"/>
              </w:rPr>
            </w:pPr>
          </w:p>
        </w:tc>
        <w:tc>
          <w:tcPr>
            <w:tcW w:w="1815" w:type="dxa"/>
          </w:tcPr>
          <w:p w14:paraId="4EA8610E">
            <w:pPr>
              <w:pStyle w:val="46"/>
              <w:spacing w:line="500" w:lineRule="exact"/>
              <w:ind w:left="480" w:firstLine="480"/>
              <w:jc w:val="center"/>
              <w:rPr>
                <w:rFonts w:ascii="宋体" w:hAnsi="宋体"/>
                <w:color w:val="auto"/>
                <w:highlight w:val="none"/>
              </w:rPr>
            </w:pPr>
          </w:p>
        </w:tc>
      </w:tr>
      <w:tr w14:paraId="3974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5CF34A63">
            <w:pPr>
              <w:pStyle w:val="46"/>
              <w:spacing w:line="500" w:lineRule="exact"/>
              <w:ind w:left="480" w:firstLine="480"/>
              <w:jc w:val="center"/>
              <w:rPr>
                <w:rFonts w:ascii="宋体" w:hAnsi="宋体"/>
                <w:color w:val="auto"/>
                <w:highlight w:val="none"/>
              </w:rPr>
            </w:pPr>
          </w:p>
        </w:tc>
        <w:tc>
          <w:tcPr>
            <w:tcW w:w="2552" w:type="dxa"/>
          </w:tcPr>
          <w:p w14:paraId="1D6D1A02">
            <w:pPr>
              <w:pStyle w:val="46"/>
              <w:spacing w:line="500" w:lineRule="exact"/>
              <w:jc w:val="both"/>
              <w:rPr>
                <w:rFonts w:ascii="宋体" w:hAnsi="宋体"/>
                <w:color w:val="auto"/>
                <w:highlight w:val="none"/>
              </w:rPr>
            </w:pPr>
            <w:r>
              <w:rPr>
                <w:rFonts w:hint="eastAsia" w:asciiTheme="minorEastAsia" w:hAnsiTheme="minorEastAsia" w:eastAsiaTheme="minorEastAsia" w:cstheme="minorEastAsia"/>
                <w:color w:val="auto"/>
                <w:sz w:val="21"/>
                <w:szCs w:val="21"/>
                <w:highlight w:val="none"/>
              </w:rPr>
              <w:t>……</w:t>
            </w:r>
          </w:p>
        </w:tc>
        <w:tc>
          <w:tcPr>
            <w:tcW w:w="2409" w:type="dxa"/>
          </w:tcPr>
          <w:p w14:paraId="7F47285A">
            <w:pPr>
              <w:pStyle w:val="46"/>
              <w:spacing w:line="500" w:lineRule="exact"/>
              <w:jc w:val="both"/>
              <w:rPr>
                <w:rFonts w:ascii="宋体" w:hAnsi="宋体"/>
                <w:color w:val="auto"/>
                <w:highlight w:val="none"/>
              </w:rPr>
            </w:pPr>
            <w:r>
              <w:rPr>
                <w:rFonts w:hint="eastAsia" w:asciiTheme="minorEastAsia" w:hAnsiTheme="minorEastAsia" w:eastAsiaTheme="minorEastAsia" w:cstheme="minorEastAsia"/>
                <w:color w:val="auto"/>
                <w:sz w:val="21"/>
                <w:szCs w:val="21"/>
                <w:highlight w:val="none"/>
              </w:rPr>
              <w:t>……</w:t>
            </w:r>
          </w:p>
        </w:tc>
        <w:tc>
          <w:tcPr>
            <w:tcW w:w="1588" w:type="dxa"/>
          </w:tcPr>
          <w:p w14:paraId="18F044EE">
            <w:pPr>
              <w:pStyle w:val="46"/>
              <w:spacing w:line="500" w:lineRule="exact"/>
              <w:jc w:val="both"/>
              <w:rPr>
                <w:rFonts w:ascii="宋体" w:hAnsi="宋体"/>
                <w:color w:val="auto"/>
                <w:highlight w:val="none"/>
              </w:rPr>
            </w:pPr>
            <w:r>
              <w:rPr>
                <w:rFonts w:hint="eastAsia" w:asciiTheme="minorEastAsia" w:hAnsiTheme="minorEastAsia" w:eastAsiaTheme="minorEastAsia" w:cstheme="minorEastAsia"/>
                <w:color w:val="auto"/>
                <w:sz w:val="21"/>
                <w:szCs w:val="21"/>
                <w:highlight w:val="none"/>
              </w:rPr>
              <w:t>……</w:t>
            </w:r>
          </w:p>
        </w:tc>
        <w:tc>
          <w:tcPr>
            <w:tcW w:w="1815" w:type="dxa"/>
          </w:tcPr>
          <w:p w14:paraId="000B2B53">
            <w:pPr>
              <w:pStyle w:val="46"/>
              <w:spacing w:line="500" w:lineRule="exact"/>
              <w:jc w:val="both"/>
              <w:rPr>
                <w:rFonts w:ascii="宋体" w:hAnsi="宋体"/>
                <w:color w:val="auto"/>
                <w:highlight w:val="none"/>
              </w:rPr>
            </w:pPr>
            <w:r>
              <w:rPr>
                <w:rFonts w:hint="eastAsia" w:asciiTheme="minorEastAsia" w:hAnsiTheme="minorEastAsia" w:eastAsiaTheme="minorEastAsia" w:cstheme="minorEastAsia"/>
                <w:color w:val="auto"/>
                <w:sz w:val="21"/>
                <w:szCs w:val="21"/>
                <w:highlight w:val="none"/>
              </w:rPr>
              <w:t>……</w:t>
            </w:r>
          </w:p>
        </w:tc>
      </w:tr>
    </w:tbl>
    <w:p w14:paraId="30559BC3">
      <w:pPr>
        <w:pStyle w:val="46"/>
        <w:spacing w:line="500" w:lineRule="exact"/>
        <w:ind w:left="480" w:firstLine="480"/>
        <w:rPr>
          <w:rFonts w:ascii="宋体" w:hAnsi="宋体"/>
          <w:color w:val="auto"/>
          <w:highlight w:val="none"/>
        </w:rPr>
      </w:pPr>
      <w:r>
        <w:rPr>
          <w:rFonts w:hint="eastAsia" w:ascii="宋体" w:hAnsi="宋体"/>
          <w:color w:val="auto"/>
          <w:highlight w:val="none"/>
        </w:rPr>
        <w:t>注:如供应商提交的商务/技术条款与采购文件的要求存在偏离，需逐项在偏离一栏中详细说明。若无偏离，请在上述表内注明“无偏离”或“/”，不填写视为不响应。</w:t>
      </w:r>
    </w:p>
    <w:p w14:paraId="38795856">
      <w:pPr>
        <w:pStyle w:val="46"/>
        <w:spacing w:line="500" w:lineRule="exact"/>
        <w:ind w:left="480" w:firstLine="480"/>
        <w:rPr>
          <w:rFonts w:ascii="宋体" w:hAnsi="宋体"/>
          <w:color w:val="auto"/>
          <w:highlight w:val="none"/>
        </w:rPr>
      </w:pPr>
    </w:p>
    <w:p w14:paraId="3A449E1B">
      <w:pPr>
        <w:spacing w:line="440" w:lineRule="exact"/>
        <w:rPr>
          <w:rFonts w:ascii="宋体" w:hAnsi="宋体" w:cs="宋体"/>
          <w:bCs/>
          <w:color w:val="auto"/>
          <w:sz w:val="24"/>
          <w:highlight w:val="none"/>
        </w:rPr>
      </w:pPr>
    </w:p>
    <w:p w14:paraId="21609246">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063996ED">
      <w:pPr>
        <w:pStyle w:val="58"/>
        <w:tabs>
          <w:tab w:val="left" w:pos="750"/>
        </w:tabs>
        <w:adjustRightInd w:val="0"/>
        <w:snapToGrid w:val="0"/>
        <w:spacing w:line="500" w:lineRule="exact"/>
        <w:rPr>
          <w:rFonts w:ascii="宋体" w:hAnsi="宋体"/>
          <w:color w:val="auto"/>
          <w:sz w:val="24"/>
          <w:szCs w:val="24"/>
          <w:highlight w:val="none"/>
        </w:rPr>
      </w:pPr>
    </w:p>
    <w:p w14:paraId="491AEB79">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09A203F3">
      <w:pPr>
        <w:pStyle w:val="58"/>
        <w:tabs>
          <w:tab w:val="left" w:pos="750"/>
        </w:tabs>
        <w:adjustRightInd w:val="0"/>
        <w:snapToGrid w:val="0"/>
        <w:spacing w:line="500" w:lineRule="exact"/>
        <w:rPr>
          <w:rFonts w:ascii="宋体" w:hAnsi="宋体"/>
          <w:color w:val="auto"/>
          <w:sz w:val="24"/>
          <w:szCs w:val="24"/>
          <w:highlight w:val="none"/>
        </w:rPr>
      </w:pPr>
    </w:p>
    <w:p w14:paraId="48E8650F">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6CD20461">
      <w:pPr>
        <w:spacing w:line="440" w:lineRule="exact"/>
        <w:rPr>
          <w:rFonts w:ascii="宋体" w:hAnsi="宋体" w:cs="宋体"/>
          <w:b/>
          <w:bCs/>
          <w:color w:val="auto"/>
          <w:sz w:val="24"/>
          <w:highlight w:val="none"/>
        </w:rPr>
      </w:pPr>
    </w:p>
    <w:p w14:paraId="4E9E6938">
      <w:pPr>
        <w:pStyle w:val="6"/>
        <w:spacing w:before="0" w:after="0" w:line="360" w:lineRule="auto"/>
        <w:jc w:val="center"/>
        <w:rPr>
          <w:color w:val="auto"/>
          <w:highlight w:val="none"/>
        </w:rPr>
      </w:pPr>
      <w:r>
        <w:rPr>
          <w:rFonts w:hint="eastAsia" w:ascii="宋体" w:hAnsi="宋体" w:cs="宋体"/>
          <w:color w:val="auto"/>
          <w:sz w:val="30"/>
          <w:szCs w:val="30"/>
          <w:highlight w:val="none"/>
        </w:rPr>
        <w:br w:type="page"/>
      </w:r>
      <w:bookmarkStart w:id="100" w:name="_Toc5907_WPSOffice_Level1"/>
      <w:bookmarkStart w:id="101" w:name="_Toc16320"/>
      <w:bookmarkStart w:id="102" w:name="_Toc30141_WPSOffice_Level1"/>
      <w:r>
        <w:rPr>
          <w:rFonts w:hint="eastAsia" w:ascii="宋体" w:hAnsi="宋体" w:cs="宋体"/>
          <w:color w:val="auto"/>
          <w:sz w:val="32"/>
          <w:szCs w:val="32"/>
          <w:highlight w:val="none"/>
        </w:rPr>
        <w:t>10、供应商近三年（2023年1月至今）类似项目业绩表</w:t>
      </w:r>
      <w:bookmarkEnd w:id="95"/>
      <w:bookmarkEnd w:id="96"/>
      <w:bookmarkEnd w:id="97"/>
      <w:bookmarkEnd w:id="100"/>
      <w:bookmarkEnd w:id="101"/>
      <w:bookmarkEnd w:id="102"/>
    </w:p>
    <w:tbl>
      <w:tblPr>
        <w:tblStyle w:val="30"/>
        <w:tblW w:w="9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425"/>
        <w:gridCol w:w="1692"/>
        <w:gridCol w:w="1658"/>
        <w:gridCol w:w="1273"/>
        <w:gridCol w:w="1596"/>
        <w:gridCol w:w="1070"/>
      </w:tblGrid>
      <w:tr w14:paraId="0E98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30" w:type="dxa"/>
            <w:vAlign w:val="center"/>
          </w:tcPr>
          <w:p w14:paraId="661DB7B7">
            <w:pPr>
              <w:pStyle w:val="28"/>
              <w:ind w:left="0" w:leftChars="0" w:firstLine="0" w:firstLineChars="0"/>
              <w:jc w:val="center"/>
              <w:rPr>
                <w:color w:val="auto"/>
                <w:szCs w:val="16"/>
                <w:highlight w:val="none"/>
              </w:rPr>
            </w:pPr>
            <w:r>
              <w:rPr>
                <w:rFonts w:hint="eastAsia"/>
                <w:color w:val="auto"/>
                <w:szCs w:val="16"/>
                <w:highlight w:val="none"/>
              </w:rPr>
              <w:t>序号</w:t>
            </w:r>
          </w:p>
        </w:tc>
        <w:tc>
          <w:tcPr>
            <w:tcW w:w="1425" w:type="dxa"/>
            <w:vAlign w:val="center"/>
          </w:tcPr>
          <w:p w14:paraId="5A7FB2AC">
            <w:pPr>
              <w:pStyle w:val="28"/>
              <w:ind w:left="0" w:leftChars="0" w:firstLine="0" w:firstLineChars="0"/>
              <w:jc w:val="center"/>
              <w:rPr>
                <w:color w:val="auto"/>
                <w:szCs w:val="16"/>
                <w:highlight w:val="none"/>
              </w:rPr>
            </w:pPr>
            <w:r>
              <w:rPr>
                <w:rFonts w:hint="eastAsia"/>
                <w:color w:val="auto"/>
                <w:szCs w:val="16"/>
                <w:highlight w:val="none"/>
              </w:rPr>
              <w:t>合同名称</w:t>
            </w:r>
          </w:p>
        </w:tc>
        <w:tc>
          <w:tcPr>
            <w:tcW w:w="1692" w:type="dxa"/>
            <w:vAlign w:val="center"/>
          </w:tcPr>
          <w:p w14:paraId="57E3E5D6">
            <w:pPr>
              <w:pStyle w:val="28"/>
              <w:ind w:left="0" w:leftChars="0" w:firstLine="0" w:firstLineChars="0"/>
              <w:jc w:val="center"/>
              <w:rPr>
                <w:color w:val="auto"/>
                <w:szCs w:val="16"/>
                <w:highlight w:val="none"/>
              </w:rPr>
            </w:pPr>
            <w:r>
              <w:rPr>
                <w:rFonts w:hint="eastAsia"/>
                <w:color w:val="auto"/>
                <w:szCs w:val="16"/>
                <w:highlight w:val="none"/>
              </w:rPr>
              <w:t>合同金额（元）</w:t>
            </w:r>
          </w:p>
        </w:tc>
        <w:tc>
          <w:tcPr>
            <w:tcW w:w="1658" w:type="dxa"/>
            <w:vAlign w:val="center"/>
          </w:tcPr>
          <w:p w14:paraId="08B60268">
            <w:pPr>
              <w:pStyle w:val="28"/>
              <w:ind w:left="0" w:leftChars="0" w:firstLine="0" w:firstLineChars="0"/>
              <w:jc w:val="center"/>
              <w:rPr>
                <w:color w:val="auto"/>
                <w:szCs w:val="16"/>
                <w:highlight w:val="none"/>
              </w:rPr>
            </w:pPr>
            <w:r>
              <w:rPr>
                <w:rFonts w:hint="eastAsia"/>
                <w:color w:val="auto"/>
                <w:szCs w:val="16"/>
                <w:highlight w:val="none"/>
              </w:rPr>
              <w:t>合同签订时间</w:t>
            </w:r>
          </w:p>
        </w:tc>
        <w:tc>
          <w:tcPr>
            <w:tcW w:w="1273" w:type="dxa"/>
            <w:vAlign w:val="center"/>
          </w:tcPr>
          <w:p w14:paraId="313D97D8">
            <w:pPr>
              <w:pStyle w:val="28"/>
              <w:ind w:left="0" w:leftChars="0" w:firstLine="0" w:firstLineChars="0"/>
              <w:jc w:val="center"/>
              <w:rPr>
                <w:color w:val="auto"/>
                <w:szCs w:val="16"/>
                <w:highlight w:val="none"/>
              </w:rPr>
            </w:pPr>
            <w:r>
              <w:rPr>
                <w:rFonts w:hint="eastAsia"/>
                <w:color w:val="auto"/>
                <w:szCs w:val="16"/>
                <w:highlight w:val="none"/>
              </w:rPr>
              <w:t>甲方名称</w:t>
            </w:r>
          </w:p>
        </w:tc>
        <w:tc>
          <w:tcPr>
            <w:tcW w:w="1596" w:type="dxa"/>
            <w:vAlign w:val="center"/>
          </w:tcPr>
          <w:p w14:paraId="409A3AE6">
            <w:pPr>
              <w:pStyle w:val="28"/>
              <w:ind w:left="0" w:leftChars="0" w:firstLine="0" w:firstLineChars="0"/>
              <w:jc w:val="center"/>
              <w:rPr>
                <w:color w:val="auto"/>
                <w:szCs w:val="16"/>
                <w:highlight w:val="none"/>
              </w:rPr>
            </w:pPr>
            <w:r>
              <w:rPr>
                <w:rFonts w:hint="eastAsia"/>
                <w:color w:val="auto"/>
                <w:szCs w:val="16"/>
                <w:highlight w:val="none"/>
              </w:rPr>
              <w:t>甲方负责人</w:t>
            </w:r>
          </w:p>
        </w:tc>
        <w:tc>
          <w:tcPr>
            <w:tcW w:w="1070" w:type="dxa"/>
            <w:vAlign w:val="center"/>
          </w:tcPr>
          <w:p w14:paraId="5227D97F">
            <w:pPr>
              <w:pStyle w:val="28"/>
              <w:ind w:left="0" w:leftChars="0" w:firstLine="0" w:firstLineChars="0"/>
              <w:jc w:val="center"/>
              <w:rPr>
                <w:color w:val="auto"/>
                <w:szCs w:val="16"/>
                <w:highlight w:val="none"/>
              </w:rPr>
            </w:pPr>
            <w:r>
              <w:rPr>
                <w:rFonts w:hint="eastAsia"/>
                <w:color w:val="auto"/>
                <w:szCs w:val="16"/>
                <w:highlight w:val="none"/>
              </w:rPr>
              <w:t>证明材料页码</w:t>
            </w:r>
          </w:p>
        </w:tc>
      </w:tr>
      <w:tr w14:paraId="14EB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5AA03795">
            <w:pPr>
              <w:pStyle w:val="28"/>
              <w:ind w:left="0" w:leftChars="0" w:firstLine="0" w:firstLineChars="0"/>
              <w:rPr>
                <w:color w:val="auto"/>
                <w:highlight w:val="none"/>
              </w:rPr>
            </w:pPr>
          </w:p>
        </w:tc>
        <w:tc>
          <w:tcPr>
            <w:tcW w:w="1425" w:type="dxa"/>
            <w:vAlign w:val="center"/>
          </w:tcPr>
          <w:p w14:paraId="2FBB771B">
            <w:pPr>
              <w:pStyle w:val="28"/>
              <w:jc w:val="center"/>
              <w:rPr>
                <w:color w:val="auto"/>
                <w:highlight w:val="none"/>
              </w:rPr>
            </w:pPr>
          </w:p>
        </w:tc>
        <w:tc>
          <w:tcPr>
            <w:tcW w:w="1692" w:type="dxa"/>
            <w:vAlign w:val="center"/>
          </w:tcPr>
          <w:p w14:paraId="552C1776">
            <w:pPr>
              <w:pStyle w:val="28"/>
              <w:jc w:val="center"/>
              <w:rPr>
                <w:color w:val="auto"/>
                <w:highlight w:val="none"/>
              </w:rPr>
            </w:pPr>
          </w:p>
        </w:tc>
        <w:tc>
          <w:tcPr>
            <w:tcW w:w="1658" w:type="dxa"/>
            <w:vAlign w:val="center"/>
          </w:tcPr>
          <w:p w14:paraId="69E4159D">
            <w:pPr>
              <w:pStyle w:val="28"/>
              <w:jc w:val="center"/>
              <w:rPr>
                <w:color w:val="auto"/>
                <w:highlight w:val="none"/>
              </w:rPr>
            </w:pPr>
          </w:p>
        </w:tc>
        <w:tc>
          <w:tcPr>
            <w:tcW w:w="1273" w:type="dxa"/>
            <w:vAlign w:val="center"/>
          </w:tcPr>
          <w:p w14:paraId="46345095">
            <w:pPr>
              <w:pStyle w:val="28"/>
              <w:jc w:val="center"/>
              <w:rPr>
                <w:color w:val="auto"/>
                <w:highlight w:val="none"/>
              </w:rPr>
            </w:pPr>
          </w:p>
        </w:tc>
        <w:tc>
          <w:tcPr>
            <w:tcW w:w="1596" w:type="dxa"/>
            <w:vAlign w:val="center"/>
          </w:tcPr>
          <w:p w14:paraId="379A9F5D">
            <w:pPr>
              <w:pStyle w:val="28"/>
              <w:jc w:val="center"/>
              <w:rPr>
                <w:color w:val="auto"/>
                <w:highlight w:val="none"/>
              </w:rPr>
            </w:pPr>
          </w:p>
        </w:tc>
        <w:tc>
          <w:tcPr>
            <w:tcW w:w="1070" w:type="dxa"/>
            <w:vAlign w:val="center"/>
          </w:tcPr>
          <w:p w14:paraId="55F59A76">
            <w:pPr>
              <w:pStyle w:val="28"/>
              <w:jc w:val="center"/>
              <w:rPr>
                <w:color w:val="auto"/>
                <w:highlight w:val="none"/>
              </w:rPr>
            </w:pPr>
          </w:p>
        </w:tc>
      </w:tr>
      <w:tr w14:paraId="75E7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60AB3561">
            <w:pPr>
              <w:pStyle w:val="28"/>
              <w:ind w:left="0" w:leftChars="0" w:firstLine="0" w:firstLineChars="0"/>
              <w:rPr>
                <w:color w:val="auto"/>
                <w:highlight w:val="none"/>
              </w:rPr>
            </w:pPr>
          </w:p>
        </w:tc>
        <w:tc>
          <w:tcPr>
            <w:tcW w:w="1425" w:type="dxa"/>
            <w:vAlign w:val="center"/>
          </w:tcPr>
          <w:p w14:paraId="1CE21F46">
            <w:pPr>
              <w:pStyle w:val="28"/>
              <w:jc w:val="center"/>
              <w:rPr>
                <w:color w:val="auto"/>
                <w:highlight w:val="none"/>
              </w:rPr>
            </w:pPr>
          </w:p>
        </w:tc>
        <w:tc>
          <w:tcPr>
            <w:tcW w:w="1692" w:type="dxa"/>
            <w:vAlign w:val="center"/>
          </w:tcPr>
          <w:p w14:paraId="561AE24E">
            <w:pPr>
              <w:pStyle w:val="28"/>
              <w:jc w:val="center"/>
              <w:rPr>
                <w:color w:val="auto"/>
                <w:highlight w:val="none"/>
              </w:rPr>
            </w:pPr>
          </w:p>
        </w:tc>
        <w:tc>
          <w:tcPr>
            <w:tcW w:w="1658" w:type="dxa"/>
            <w:vAlign w:val="center"/>
          </w:tcPr>
          <w:p w14:paraId="73BC15A5">
            <w:pPr>
              <w:pStyle w:val="28"/>
              <w:jc w:val="center"/>
              <w:rPr>
                <w:color w:val="auto"/>
                <w:highlight w:val="none"/>
              </w:rPr>
            </w:pPr>
          </w:p>
        </w:tc>
        <w:tc>
          <w:tcPr>
            <w:tcW w:w="1273" w:type="dxa"/>
            <w:vAlign w:val="center"/>
          </w:tcPr>
          <w:p w14:paraId="0CC86308">
            <w:pPr>
              <w:pStyle w:val="28"/>
              <w:jc w:val="center"/>
              <w:rPr>
                <w:color w:val="auto"/>
                <w:highlight w:val="none"/>
              </w:rPr>
            </w:pPr>
          </w:p>
        </w:tc>
        <w:tc>
          <w:tcPr>
            <w:tcW w:w="1596" w:type="dxa"/>
            <w:vAlign w:val="center"/>
          </w:tcPr>
          <w:p w14:paraId="2736881D">
            <w:pPr>
              <w:pStyle w:val="28"/>
              <w:jc w:val="center"/>
              <w:rPr>
                <w:color w:val="auto"/>
                <w:highlight w:val="none"/>
              </w:rPr>
            </w:pPr>
          </w:p>
        </w:tc>
        <w:tc>
          <w:tcPr>
            <w:tcW w:w="1070" w:type="dxa"/>
            <w:vAlign w:val="center"/>
          </w:tcPr>
          <w:p w14:paraId="6D7E2691">
            <w:pPr>
              <w:pStyle w:val="28"/>
              <w:jc w:val="center"/>
              <w:rPr>
                <w:color w:val="auto"/>
                <w:highlight w:val="none"/>
              </w:rPr>
            </w:pPr>
          </w:p>
        </w:tc>
      </w:tr>
      <w:tr w14:paraId="4423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2AEEFEF2">
            <w:pPr>
              <w:pStyle w:val="28"/>
              <w:jc w:val="center"/>
              <w:rPr>
                <w:color w:val="auto"/>
                <w:highlight w:val="none"/>
              </w:rPr>
            </w:pPr>
          </w:p>
        </w:tc>
        <w:tc>
          <w:tcPr>
            <w:tcW w:w="1425" w:type="dxa"/>
            <w:vAlign w:val="center"/>
          </w:tcPr>
          <w:p w14:paraId="6EBFDD32">
            <w:pPr>
              <w:pStyle w:val="28"/>
              <w:jc w:val="center"/>
              <w:rPr>
                <w:color w:val="auto"/>
                <w:highlight w:val="none"/>
              </w:rPr>
            </w:pPr>
          </w:p>
        </w:tc>
        <w:tc>
          <w:tcPr>
            <w:tcW w:w="1692" w:type="dxa"/>
            <w:vAlign w:val="center"/>
          </w:tcPr>
          <w:p w14:paraId="03725D24">
            <w:pPr>
              <w:pStyle w:val="28"/>
              <w:jc w:val="center"/>
              <w:rPr>
                <w:color w:val="auto"/>
                <w:highlight w:val="none"/>
              </w:rPr>
            </w:pPr>
          </w:p>
        </w:tc>
        <w:tc>
          <w:tcPr>
            <w:tcW w:w="1658" w:type="dxa"/>
            <w:vAlign w:val="center"/>
          </w:tcPr>
          <w:p w14:paraId="2D1EA441">
            <w:pPr>
              <w:pStyle w:val="28"/>
              <w:jc w:val="center"/>
              <w:rPr>
                <w:color w:val="auto"/>
                <w:highlight w:val="none"/>
              </w:rPr>
            </w:pPr>
          </w:p>
        </w:tc>
        <w:tc>
          <w:tcPr>
            <w:tcW w:w="1273" w:type="dxa"/>
            <w:vAlign w:val="center"/>
          </w:tcPr>
          <w:p w14:paraId="3E4FB02B">
            <w:pPr>
              <w:pStyle w:val="28"/>
              <w:jc w:val="center"/>
              <w:rPr>
                <w:color w:val="auto"/>
                <w:highlight w:val="none"/>
              </w:rPr>
            </w:pPr>
          </w:p>
        </w:tc>
        <w:tc>
          <w:tcPr>
            <w:tcW w:w="1596" w:type="dxa"/>
            <w:vAlign w:val="center"/>
          </w:tcPr>
          <w:p w14:paraId="762476CE">
            <w:pPr>
              <w:pStyle w:val="28"/>
              <w:jc w:val="center"/>
              <w:rPr>
                <w:color w:val="auto"/>
                <w:highlight w:val="none"/>
              </w:rPr>
            </w:pPr>
          </w:p>
        </w:tc>
        <w:tc>
          <w:tcPr>
            <w:tcW w:w="1070" w:type="dxa"/>
            <w:vAlign w:val="center"/>
          </w:tcPr>
          <w:p w14:paraId="7F6B55FC">
            <w:pPr>
              <w:pStyle w:val="28"/>
              <w:rPr>
                <w:color w:val="auto"/>
                <w:highlight w:val="none"/>
              </w:rPr>
            </w:pPr>
          </w:p>
        </w:tc>
      </w:tr>
      <w:tr w14:paraId="18C9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4B001F39">
            <w:pPr>
              <w:pStyle w:val="28"/>
              <w:jc w:val="center"/>
              <w:rPr>
                <w:color w:val="auto"/>
                <w:highlight w:val="none"/>
              </w:rPr>
            </w:pPr>
          </w:p>
        </w:tc>
        <w:tc>
          <w:tcPr>
            <w:tcW w:w="1425" w:type="dxa"/>
            <w:vAlign w:val="center"/>
          </w:tcPr>
          <w:p w14:paraId="432BAD2D">
            <w:pPr>
              <w:pStyle w:val="28"/>
              <w:jc w:val="center"/>
              <w:rPr>
                <w:color w:val="auto"/>
                <w:highlight w:val="none"/>
              </w:rPr>
            </w:pPr>
          </w:p>
        </w:tc>
        <w:tc>
          <w:tcPr>
            <w:tcW w:w="1692" w:type="dxa"/>
            <w:vAlign w:val="center"/>
          </w:tcPr>
          <w:p w14:paraId="0C8E7079">
            <w:pPr>
              <w:pStyle w:val="28"/>
              <w:jc w:val="center"/>
              <w:rPr>
                <w:color w:val="auto"/>
                <w:highlight w:val="none"/>
              </w:rPr>
            </w:pPr>
          </w:p>
        </w:tc>
        <w:tc>
          <w:tcPr>
            <w:tcW w:w="1658" w:type="dxa"/>
            <w:vAlign w:val="center"/>
          </w:tcPr>
          <w:p w14:paraId="6F753BDB">
            <w:pPr>
              <w:pStyle w:val="28"/>
              <w:jc w:val="center"/>
              <w:rPr>
                <w:color w:val="auto"/>
                <w:highlight w:val="none"/>
              </w:rPr>
            </w:pPr>
          </w:p>
        </w:tc>
        <w:tc>
          <w:tcPr>
            <w:tcW w:w="1273" w:type="dxa"/>
            <w:vAlign w:val="center"/>
          </w:tcPr>
          <w:p w14:paraId="31306CBA">
            <w:pPr>
              <w:pStyle w:val="28"/>
              <w:jc w:val="center"/>
              <w:rPr>
                <w:color w:val="auto"/>
                <w:highlight w:val="none"/>
              </w:rPr>
            </w:pPr>
          </w:p>
        </w:tc>
        <w:tc>
          <w:tcPr>
            <w:tcW w:w="1596" w:type="dxa"/>
            <w:vAlign w:val="center"/>
          </w:tcPr>
          <w:p w14:paraId="4C037AF1">
            <w:pPr>
              <w:pStyle w:val="28"/>
              <w:jc w:val="center"/>
              <w:rPr>
                <w:color w:val="auto"/>
                <w:highlight w:val="none"/>
              </w:rPr>
            </w:pPr>
          </w:p>
        </w:tc>
        <w:tc>
          <w:tcPr>
            <w:tcW w:w="1070" w:type="dxa"/>
            <w:vAlign w:val="center"/>
          </w:tcPr>
          <w:p w14:paraId="69FC1237">
            <w:pPr>
              <w:pStyle w:val="28"/>
              <w:rPr>
                <w:color w:val="auto"/>
                <w:highlight w:val="none"/>
              </w:rPr>
            </w:pPr>
          </w:p>
        </w:tc>
      </w:tr>
      <w:tr w14:paraId="571A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30" w:type="dxa"/>
            <w:vAlign w:val="center"/>
          </w:tcPr>
          <w:p w14:paraId="7FFA1939">
            <w:pPr>
              <w:pStyle w:val="28"/>
              <w:ind w:firstLine="0" w:firstLineChars="0"/>
              <w:rPr>
                <w:color w:val="auto"/>
                <w:highlight w:val="none"/>
              </w:rPr>
            </w:pPr>
            <w:r>
              <w:rPr>
                <w:rFonts w:hint="eastAsia"/>
                <w:color w:val="auto"/>
                <w:highlight w:val="none"/>
              </w:rPr>
              <w:t>……</w:t>
            </w:r>
          </w:p>
        </w:tc>
        <w:tc>
          <w:tcPr>
            <w:tcW w:w="1425" w:type="dxa"/>
            <w:vAlign w:val="center"/>
          </w:tcPr>
          <w:p w14:paraId="56DF6CA5">
            <w:pPr>
              <w:pStyle w:val="28"/>
              <w:ind w:firstLine="0" w:firstLineChars="0"/>
              <w:rPr>
                <w:color w:val="auto"/>
                <w:highlight w:val="none"/>
              </w:rPr>
            </w:pPr>
            <w:r>
              <w:rPr>
                <w:rFonts w:hint="eastAsia"/>
                <w:color w:val="auto"/>
                <w:highlight w:val="none"/>
              </w:rPr>
              <w:t>……</w:t>
            </w:r>
          </w:p>
        </w:tc>
        <w:tc>
          <w:tcPr>
            <w:tcW w:w="1692" w:type="dxa"/>
            <w:vAlign w:val="center"/>
          </w:tcPr>
          <w:p w14:paraId="24A6B70B">
            <w:pPr>
              <w:pStyle w:val="28"/>
              <w:ind w:firstLine="0" w:firstLineChars="0"/>
              <w:rPr>
                <w:color w:val="auto"/>
                <w:highlight w:val="none"/>
              </w:rPr>
            </w:pPr>
            <w:r>
              <w:rPr>
                <w:rFonts w:hint="eastAsia"/>
                <w:color w:val="auto"/>
                <w:highlight w:val="none"/>
              </w:rPr>
              <w:t>……</w:t>
            </w:r>
          </w:p>
        </w:tc>
        <w:tc>
          <w:tcPr>
            <w:tcW w:w="1658" w:type="dxa"/>
            <w:vAlign w:val="center"/>
          </w:tcPr>
          <w:p w14:paraId="25C10D3D">
            <w:pPr>
              <w:pStyle w:val="28"/>
              <w:ind w:firstLine="0" w:firstLineChars="0"/>
              <w:rPr>
                <w:color w:val="auto"/>
                <w:highlight w:val="none"/>
              </w:rPr>
            </w:pPr>
            <w:r>
              <w:rPr>
                <w:rFonts w:hint="eastAsia"/>
                <w:color w:val="auto"/>
                <w:highlight w:val="none"/>
              </w:rPr>
              <w:t>……</w:t>
            </w:r>
          </w:p>
        </w:tc>
        <w:tc>
          <w:tcPr>
            <w:tcW w:w="1273" w:type="dxa"/>
            <w:vAlign w:val="center"/>
          </w:tcPr>
          <w:p w14:paraId="72875DE6">
            <w:pPr>
              <w:pStyle w:val="28"/>
              <w:ind w:firstLine="0" w:firstLineChars="0"/>
              <w:rPr>
                <w:color w:val="auto"/>
                <w:highlight w:val="none"/>
              </w:rPr>
            </w:pPr>
            <w:r>
              <w:rPr>
                <w:rFonts w:hint="eastAsia"/>
                <w:color w:val="auto"/>
                <w:highlight w:val="none"/>
              </w:rPr>
              <w:t>……</w:t>
            </w:r>
          </w:p>
        </w:tc>
        <w:tc>
          <w:tcPr>
            <w:tcW w:w="1596" w:type="dxa"/>
            <w:vAlign w:val="center"/>
          </w:tcPr>
          <w:p w14:paraId="6BC7B70A">
            <w:pPr>
              <w:pStyle w:val="28"/>
              <w:ind w:firstLine="0" w:firstLineChars="0"/>
              <w:rPr>
                <w:color w:val="auto"/>
                <w:highlight w:val="none"/>
              </w:rPr>
            </w:pPr>
            <w:r>
              <w:rPr>
                <w:rFonts w:hint="eastAsia"/>
                <w:color w:val="auto"/>
                <w:highlight w:val="none"/>
              </w:rPr>
              <w:t>……</w:t>
            </w:r>
          </w:p>
        </w:tc>
        <w:tc>
          <w:tcPr>
            <w:tcW w:w="1070" w:type="dxa"/>
            <w:vAlign w:val="center"/>
          </w:tcPr>
          <w:p w14:paraId="70FA9C22">
            <w:pPr>
              <w:pStyle w:val="28"/>
              <w:ind w:firstLine="0" w:firstLineChars="0"/>
              <w:rPr>
                <w:color w:val="auto"/>
                <w:highlight w:val="none"/>
              </w:rPr>
            </w:pPr>
            <w:r>
              <w:rPr>
                <w:rFonts w:hint="eastAsia"/>
                <w:color w:val="auto"/>
                <w:highlight w:val="none"/>
              </w:rPr>
              <w:t>……</w:t>
            </w:r>
          </w:p>
        </w:tc>
      </w:tr>
    </w:tbl>
    <w:p w14:paraId="75C94A64">
      <w:pPr>
        <w:spacing w:line="360" w:lineRule="auto"/>
        <w:ind w:firstLine="480"/>
        <w:rPr>
          <w:rFonts w:ascii="宋体" w:hAnsi="宋体" w:cs="宋体"/>
          <w:color w:val="auto"/>
          <w:sz w:val="24"/>
          <w:highlight w:val="none"/>
        </w:rPr>
      </w:pPr>
    </w:p>
    <w:p w14:paraId="63FC1DE6">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注：供应商近3年（2023年1月1日至今）的业绩情况</w:t>
      </w:r>
    </w:p>
    <w:p w14:paraId="04FBE859">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须提供合同及发票复印件（合同内容必须体现：金额页、内容页、盖章页、日期页等；每个合同提供2张发票即可，每张发票扫描件须完整清晰且具有电子二维码，发票应体现具体内容，如发票未体现具体内容，必须附服务清单），任意一项合同及发票内容提供不全或上述材料不清晰不完整无法辨识的本项不得分。</w:t>
      </w:r>
    </w:p>
    <w:p w14:paraId="3A781574">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（2）日期以合同签订日期为准，提供业绩证明材料为已完成或者合同正在履约中均可。</w:t>
      </w:r>
    </w:p>
    <w:p w14:paraId="2BCE8AEA">
      <w:pPr>
        <w:spacing w:line="480" w:lineRule="auto"/>
        <w:ind w:firstLine="480" w:firstLineChars="200"/>
        <w:rPr>
          <w:rFonts w:ascii="宋体" w:hAnsi="宋体" w:cs="宋体"/>
          <w:color w:val="auto"/>
          <w:sz w:val="24"/>
          <w:highlight w:val="none"/>
        </w:rPr>
      </w:pPr>
    </w:p>
    <w:p w14:paraId="2FBCA47E">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供应商名称（电子签章）：</w:t>
      </w:r>
    </w:p>
    <w:p w14:paraId="5BF4EDC0">
      <w:pPr>
        <w:pStyle w:val="58"/>
        <w:tabs>
          <w:tab w:val="left" w:pos="750"/>
        </w:tabs>
        <w:adjustRightInd w:val="0"/>
        <w:snapToGrid w:val="0"/>
        <w:spacing w:line="500" w:lineRule="exact"/>
        <w:rPr>
          <w:rFonts w:ascii="宋体" w:hAnsi="宋体"/>
          <w:color w:val="auto"/>
          <w:sz w:val="24"/>
          <w:szCs w:val="24"/>
          <w:highlight w:val="none"/>
        </w:rPr>
      </w:pPr>
    </w:p>
    <w:p w14:paraId="40F93BEC">
      <w:pPr>
        <w:pStyle w:val="5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法定代表人（单位负责人）（签字或电子签章）：</w:t>
      </w:r>
    </w:p>
    <w:p w14:paraId="4062478B">
      <w:pPr>
        <w:pStyle w:val="58"/>
        <w:tabs>
          <w:tab w:val="left" w:pos="750"/>
        </w:tabs>
        <w:adjustRightInd w:val="0"/>
        <w:snapToGrid w:val="0"/>
        <w:spacing w:line="500" w:lineRule="exact"/>
        <w:rPr>
          <w:rFonts w:ascii="宋体" w:hAnsi="宋体"/>
          <w:color w:val="auto"/>
          <w:sz w:val="24"/>
          <w:szCs w:val="24"/>
          <w:highlight w:val="none"/>
        </w:rPr>
      </w:pPr>
    </w:p>
    <w:p w14:paraId="2AEE4D7A">
      <w:pPr>
        <w:pStyle w:val="5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p>
    <w:p w14:paraId="2A6B8AF8">
      <w:pPr>
        <w:spacing w:line="440" w:lineRule="exact"/>
        <w:rPr>
          <w:rFonts w:ascii="宋体" w:hAnsi="宋体" w:cs="宋体"/>
          <w:b/>
          <w:bCs/>
          <w:color w:val="auto"/>
          <w:sz w:val="24"/>
          <w:highlight w:val="none"/>
        </w:rPr>
      </w:pPr>
    </w:p>
    <w:p w14:paraId="3EC5A1E9">
      <w:pPr>
        <w:pStyle w:val="6"/>
        <w:spacing w:before="0" w:after="0" w:line="360" w:lineRule="auto"/>
        <w:jc w:val="center"/>
        <w:rPr>
          <w:rFonts w:ascii="宋体" w:hAnsi="宋体" w:cs="宋体"/>
          <w:color w:val="auto"/>
          <w:sz w:val="30"/>
          <w:szCs w:val="30"/>
          <w:highlight w:val="none"/>
        </w:rPr>
      </w:pPr>
      <w:bookmarkStart w:id="103" w:name="_Toc25234"/>
      <w:bookmarkStart w:id="104" w:name="_Toc16587"/>
      <w:r>
        <w:rPr>
          <w:rFonts w:hint="eastAsia" w:ascii="宋体" w:hAnsi="宋体" w:cs="宋体"/>
          <w:color w:val="auto"/>
          <w:sz w:val="30"/>
          <w:szCs w:val="30"/>
          <w:highlight w:val="none"/>
        </w:rPr>
        <w:br w:type="page"/>
      </w:r>
      <w:bookmarkEnd w:id="103"/>
      <w:bookmarkEnd w:id="104"/>
      <w:bookmarkStart w:id="105" w:name="_Toc41_WPSOffice_Level1"/>
      <w:bookmarkStart w:id="106" w:name="_Toc29004_WPSOffice_Level1"/>
      <w:bookmarkStart w:id="107" w:name="_Toc12611_WPSOffice_Level1"/>
      <w:bookmarkStart w:id="108" w:name="_Toc29460"/>
      <w:bookmarkStart w:id="109" w:name="_Toc5541"/>
      <w:r>
        <w:rPr>
          <w:rFonts w:hint="eastAsia" w:ascii="宋体" w:hAnsi="宋体" w:cs="宋体"/>
          <w:color w:val="auto"/>
          <w:sz w:val="32"/>
          <w:szCs w:val="32"/>
          <w:highlight w:val="none"/>
        </w:rPr>
        <w:t>11、配送车辆</w:t>
      </w:r>
    </w:p>
    <w:p w14:paraId="7C78FD9D">
      <w:pPr>
        <w:rPr>
          <w:color w:val="auto"/>
          <w:highlight w:val="none"/>
        </w:rPr>
      </w:pPr>
    </w:p>
    <w:tbl>
      <w:tblPr>
        <w:tblStyle w:val="29"/>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2316"/>
        <w:gridCol w:w="1925"/>
        <w:gridCol w:w="1988"/>
        <w:gridCol w:w="1878"/>
      </w:tblGrid>
      <w:tr w14:paraId="46DD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13" w:type="dxa"/>
            <w:shd w:val="clear" w:color="auto" w:fill="auto"/>
            <w:vAlign w:val="center"/>
          </w:tcPr>
          <w:p w14:paraId="6EAAC9A2">
            <w:pPr>
              <w:jc w:val="center"/>
              <w:rPr>
                <w:color w:val="auto"/>
                <w:highlight w:val="none"/>
              </w:rPr>
            </w:pPr>
            <w:r>
              <w:rPr>
                <w:rFonts w:hint="eastAsia" w:ascii="宋体" w:hAnsi="宋体" w:cs="宋体"/>
                <w:b/>
                <w:color w:val="auto"/>
                <w:sz w:val="30"/>
                <w:szCs w:val="30"/>
                <w:highlight w:val="none"/>
              </w:rPr>
              <w:br w:type="page"/>
            </w:r>
            <w:r>
              <w:rPr>
                <w:rFonts w:hint="eastAsia"/>
                <w:color w:val="auto"/>
                <w:highlight w:val="none"/>
              </w:rPr>
              <w:t>序号</w:t>
            </w:r>
          </w:p>
        </w:tc>
        <w:tc>
          <w:tcPr>
            <w:tcW w:w="2316" w:type="dxa"/>
            <w:shd w:val="clear" w:color="auto" w:fill="auto"/>
            <w:vAlign w:val="center"/>
          </w:tcPr>
          <w:p w14:paraId="0ADD757D">
            <w:pPr>
              <w:jc w:val="center"/>
              <w:rPr>
                <w:color w:val="auto"/>
                <w:highlight w:val="none"/>
              </w:rPr>
            </w:pPr>
            <w:r>
              <w:rPr>
                <w:rFonts w:hint="eastAsia"/>
                <w:color w:val="auto"/>
                <w:highlight w:val="none"/>
              </w:rPr>
              <w:t>车型</w:t>
            </w:r>
          </w:p>
        </w:tc>
        <w:tc>
          <w:tcPr>
            <w:tcW w:w="1925" w:type="dxa"/>
            <w:shd w:val="clear" w:color="auto" w:fill="auto"/>
            <w:vAlign w:val="center"/>
          </w:tcPr>
          <w:p w14:paraId="7B31235F">
            <w:pPr>
              <w:jc w:val="center"/>
              <w:rPr>
                <w:color w:val="auto"/>
                <w:highlight w:val="none"/>
              </w:rPr>
            </w:pPr>
            <w:r>
              <w:rPr>
                <w:rFonts w:hint="eastAsia"/>
                <w:color w:val="auto"/>
                <w:highlight w:val="none"/>
              </w:rPr>
              <w:t>车牌号</w:t>
            </w:r>
          </w:p>
        </w:tc>
        <w:tc>
          <w:tcPr>
            <w:tcW w:w="1988" w:type="dxa"/>
            <w:shd w:val="clear" w:color="auto" w:fill="auto"/>
            <w:vAlign w:val="center"/>
          </w:tcPr>
          <w:p w14:paraId="3AFEFB15">
            <w:pPr>
              <w:jc w:val="center"/>
              <w:rPr>
                <w:color w:val="auto"/>
                <w:highlight w:val="none"/>
              </w:rPr>
            </w:pPr>
            <w:r>
              <w:rPr>
                <w:rFonts w:hint="eastAsia"/>
                <w:color w:val="auto"/>
                <w:highlight w:val="none"/>
              </w:rPr>
              <w:t>型号</w:t>
            </w:r>
          </w:p>
        </w:tc>
        <w:tc>
          <w:tcPr>
            <w:tcW w:w="1878" w:type="dxa"/>
            <w:shd w:val="clear" w:color="auto" w:fill="auto"/>
            <w:vAlign w:val="center"/>
          </w:tcPr>
          <w:p w14:paraId="1E49173D">
            <w:pPr>
              <w:jc w:val="center"/>
              <w:rPr>
                <w:color w:val="auto"/>
                <w:highlight w:val="none"/>
              </w:rPr>
            </w:pPr>
            <w:r>
              <w:rPr>
                <w:rFonts w:hint="eastAsia"/>
                <w:color w:val="auto"/>
                <w:highlight w:val="none"/>
              </w:rPr>
              <w:t>备注</w:t>
            </w:r>
          </w:p>
        </w:tc>
      </w:tr>
      <w:tr w14:paraId="780D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13" w:type="dxa"/>
            <w:shd w:val="clear" w:color="auto" w:fill="auto"/>
            <w:vAlign w:val="center"/>
          </w:tcPr>
          <w:p w14:paraId="7F1C5268">
            <w:pPr>
              <w:jc w:val="center"/>
              <w:rPr>
                <w:color w:val="auto"/>
                <w:highlight w:val="none"/>
              </w:rPr>
            </w:pPr>
            <w:r>
              <w:rPr>
                <w:rFonts w:hint="eastAsia"/>
                <w:color w:val="auto"/>
                <w:highlight w:val="none"/>
              </w:rPr>
              <w:t>1</w:t>
            </w:r>
          </w:p>
        </w:tc>
        <w:tc>
          <w:tcPr>
            <w:tcW w:w="2316" w:type="dxa"/>
            <w:shd w:val="clear" w:color="auto" w:fill="auto"/>
            <w:vAlign w:val="center"/>
          </w:tcPr>
          <w:p w14:paraId="21D05C9C">
            <w:pPr>
              <w:jc w:val="center"/>
              <w:rPr>
                <w:color w:val="auto"/>
                <w:highlight w:val="none"/>
              </w:rPr>
            </w:pPr>
          </w:p>
        </w:tc>
        <w:tc>
          <w:tcPr>
            <w:tcW w:w="1925" w:type="dxa"/>
            <w:shd w:val="clear" w:color="auto" w:fill="auto"/>
            <w:vAlign w:val="center"/>
          </w:tcPr>
          <w:p w14:paraId="284DBC33">
            <w:pPr>
              <w:jc w:val="center"/>
              <w:rPr>
                <w:color w:val="auto"/>
                <w:highlight w:val="none"/>
              </w:rPr>
            </w:pPr>
          </w:p>
        </w:tc>
        <w:tc>
          <w:tcPr>
            <w:tcW w:w="1988" w:type="dxa"/>
            <w:shd w:val="clear" w:color="auto" w:fill="auto"/>
            <w:vAlign w:val="center"/>
          </w:tcPr>
          <w:p w14:paraId="26D0709C">
            <w:pPr>
              <w:jc w:val="center"/>
              <w:rPr>
                <w:color w:val="auto"/>
                <w:highlight w:val="none"/>
              </w:rPr>
            </w:pPr>
          </w:p>
        </w:tc>
        <w:tc>
          <w:tcPr>
            <w:tcW w:w="1878" w:type="dxa"/>
            <w:shd w:val="clear" w:color="auto" w:fill="auto"/>
            <w:vAlign w:val="center"/>
          </w:tcPr>
          <w:p w14:paraId="1FC01A8E">
            <w:pPr>
              <w:jc w:val="center"/>
              <w:rPr>
                <w:color w:val="auto"/>
                <w:highlight w:val="none"/>
              </w:rPr>
            </w:pPr>
          </w:p>
        </w:tc>
      </w:tr>
      <w:tr w14:paraId="2E5C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13" w:type="dxa"/>
            <w:shd w:val="clear" w:color="auto" w:fill="auto"/>
            <w:vAlign w:val="center"/>
          </w:tcPr>
          <w:p w14:paraId="7665274A">
            <w:pPr>
              <w:jc w:val="center"/>
              <w:rPr>
                <w:color w:val="auto"/>
                <w:highlight w:val="none"/>
              </w:rPr>
            </w:pPr>
            <w:r>
              <w:rPr>
                <w:rFonts w:hint="eastAsia"/>
                <w:color w:val="auto"/>
                <w:highlight w:val="none"/>
              </w:rPr>
              <w:t>2</w:t>
            </w:r>
          </w:p>
        </w:tc>
        <w:tc>
          <w:tcPr>
            <w:tcW w:w="2316" w:type="dxa"/>
            <w:shd w:val="clear" w:color="auto" w:fill="auto"/>
            <w:vAlign w:val="center"/>
          </w:tcPr>
          <w:p w14:paraId="524A9EAB">
            <w:pPr>
              <w:jc w:val="center"/>
              <w:rPr>
                <w:color w:val="auto"/>
                <w:highlight w:val="none"/>
              </w:rPr>
            </w:pPr>
          </w:p>
        </w:tc>
        <w:tc>
          <w:tcPr>
            <w:tcW w:w="1925" w:type="dxa"/>
            <w:shd w:val="clear" w:color="auto" w:fill="auto"/>
            <w:vAlign w:val="center"/>
          </w:tcPr>
          <w:p w14:paraId="6BA09887">
            <w:pPr>
              <w:jc w:val="center"/>
              <w:rPr>
                <w:color w:val="auto"/>
                <w:highlight w:val="none"/>
              </w:rPr>
            </w:pPr>
          </w:p>
        </w:tc>
        <w:tc>
          <w:tcPr>
            <w:tcW w:w="1988" w:type="dxa"/>
            <w:shd w:val="clear" w:color="auto" w:fill="auto"/>
            <w:vAlign w:val="center"/>
          </w:tcPr>
          <w:p w14:paraId="03952CF2">
            <w:pPr>
              <w:jc w:val="center"/>
              <w:rPr>
                <w:color w:val="auto"/>
                <w:highlight w:val="none"/>
              </w:rPr>
            </w:pPr>
          </w:p>
        </w:tc>
        <w:tc>
          <w:tcPr>
            <w:tcW w:w="1878" w:type="dxa"/>
            <w:shd w:val="clear" w:color="auto" w:fill="auto"/>
            <w:vAlign w:val="center"/>
          </w:tcPr>
          <w:p w14:paraId="4DE75F52">
            <w:pPr>
              <w:jc w:val="center"/>
              <w:rPr>
                <w:color w:val="auto"/>
                <w:highlight w:val="none"/>
              </w:rPr>
            </w:pPr>
          </w:p>
        </w:tc>
      </w:tr>
      <w:tr w14:paraId="0261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13" w:type="dxa"/>
            <w:shd w:val="clear" w:color="auto" w:fill="auto"/>
            <w:vAlign w:val="center"/>
          </w:tcPr>
          <w:p w14:paraId="0DC0BA61">
            <w:pPr>
              <w:jc w:val="center"/>
              <w:rPr>
                <w:color w:val="auto"/>
                <w:highlight w:val="none"/>
              </w:rPr>
            </w:pPr>
            <w:r>
              <w:rPr>
                <w:rFonts w:hint="eastAsia"/>
                <w:color w:val="auto"/>
                <w:highlight w:val="none"/>
              </w:rPr>
              <w:t>3</w:t>
            </w:r>
          </w:p>
        </w:tc>
        <w:tc>
          <w:tcPr>
            <w:tcW w:w="2316" w:type="dxa"/>
            <w:shd w:val="clear" w:color="auto" w:fill="auto"/>
            <w:vAlign w:val="center"/>
          </w:tcPr>
          <w:p w14:paraId="081255F8">
            <w:pPr>
              <w:jc w:val="center"/>
              <w:rPr>
                <w:color w:val="auto"/>
                <w:highlight w:val="none"/>
              </w:rPr>
            </w:pPr>
            <w:r>
              <w:rPr>
                <w:rFonts w:hint="eastAsia"/>
                <w:color w:val="auto"/>
                <w:highlight w:val="none"/>
              </w:rPr>
              <w:t>……</w:t>
            </w:r>
          </w:p>
        </w:tc>
        <w:tc>
          <w:tcPr>
            <w:tcW w:w="1925" w:type="dxa"/>
            <w:shd w:val="clear" w:color="auto" w:fill="auto"/>
            <w:vAlign w:val="center"/>
          </w:tcPr>
          <w:p w14:paraId="382E4436">
            <w:pPr>
              <w:jc w:val="center"/>
              <w:rPr>
                <w:color w:val="auto"/>
                <w:highlight w:val="none"/>
              </w:rPr>
            </w:pPr>
            <w:r>
              <w:rPr>
                <w:rFonts w:hint="eastAsia"/>
                <w:color w:val="auto"/>
                <w:highlight w:val="none"/>
              </w:rPr>
              <w:t>……</w:t>
            </w:r>
          </w:p>
        </w:tc>
        <w:tc>
          <w:tcPr>
            <w:tcW w:w="1988" w:type="dxa"/>
            <w:shd w:val="clear" w:color="auto" w:fill="auto"/>
            <w:vAlign w:val="center"/>
          </w:tcPr>
          <w:p w14:paraId="300997B3">
            <w:pPr>
              <w:jc w:val="center"/>
              <w:rPr>
                <w:color w:val="auto"/>
                <w:highlight w:val="none"/>
              </w:rPr>
            </w:pPr>
            <w:r>
              <w:rPr>
                <w:rFonts w:hint="eastAsia"/>
                <w:color w:val="auto"/>
                <w:highlight w:val="none"/>
              </w:rPr>
              <w:t>……</w:t>
            </w:r>
          </w:p>
        </w:tc>
        <w:tc>
          <w:tcPr>
            <w:tcW w:w="1878" w:type="dxa"/>
            <w:shd w:val="clear" w:color="auto" w:fill="auto"/>
            <w:vAlign w:val="center"/>
          </w:tcPr>
          <w:p w14:paraId="4A2F18C1">
            <w:pPr>
              <w:jc w:val="center"/>
              <w:rPr>
                <w:color w:val="auto"/>
                <w:highlight w:val="none"/>
              </w:rPr>
            </w:pPr>
            <w:r>
              <w:rPr>
                <w:rFonts w:hint="eastAsia"/>
                <w:color w:val="auto"/>
                <w:highlight w:val="none"/>
              </w:rPr>
              <w:t>……</w:t>
            </w:r>
          </w:p>
        </w:tc>
      </w:tr>
      <w:tr w14:paraId="1C08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13" w:type="dxa"/>
            <w:shd w:val="clear" w:color="auto" w:fill="auto"/>
            <w:vAlign w:val="center"/>
          </w:tcPr>
          <w:p w14:paraId="53ED0744">
            <w:pPr>
              <w:jc w:val="center"/>
              <w:rPr>
                <w:color w:val="auto"/>
                <w:highlight w:val="none"/>
              </w:rPr>
            </w:pPr>
            <w:r>
              <w:rPr>
                <w:rFonts w:hint="eastAsia"/>
                <w:color w:val="auto"/>
                <w:highlight w:val="none"/>
              </w:rPr>
              <w:t>4</w:t>
            </w:r>
          </w:p>
        </w:tc>
        <w:tc>
          <w:tcPr>
            <w:tcW w:w="2316" w:type="dxa"/>
            <w:shd w:val="clear" w:color="auto" w:fill="auto"/>
            <w:vAlign w:val="center"/>
          </w:tcPr>
          <w:p w14:paraId="4A2CE121">
            <w:pPr>
              <w:jc w:val="center"/>
              <w:rPr>
                <w:color w:val="auto"/>
                <w:highlight w:val="none"/>
              </w:rPr>
            </w:pPr>
            <w:r>
              <w:rPr>
                <w:rFonts w:hint="eastAsia"/>
                <w:color w:val="auto"/>
                <w:highlight w:val="none"/>
              </w:rPr>
              <w:t>……</w:t>
            </w:r>
          </w:p>
        </w:tc>
        <w:tc>
          <w:tcPr>
            <w:tcW w:w="1925" w:type="dxa"/>
            <w:shd w:val="clear" w:color="auto" w:fill="auto"/>
            <w:vAlign w:val="center"/>
          </w:tcPr>
          <w:p w14:paraId="183796D3">
            <w:pPr>
              <w:jc w:val="center"/>
              <w:rPr>
                <w:color w:val="auto"/>
                <w:highlight w:val="none"/>
              </w:rPr>
            </w:pPr>
            <w:r>
              <w:rPr>
                <w:rFonts w:hint="eastAsia"/>
                <w:color w:val="auto"/>
                <w:highlight w:val="none"/>
              </w:rPr>
              <w:t>……</w:t>
            </w:r>
          </w:p>
        </w:tc>
        <w:tc>
          <w:tcPr>
            <w:tcW w:w="1988" w:type="dxa"/>
            <w:shd w:val="clear" w:color="auto" w:fill="auto"/>
            <w:vAlign w:val="center"/>
          </w:tcPr>
          <w:p w14:paraId="7C79A970">
            <w:pPr>
              <w:jc w:val="center"/>
              <w:rPr>
                <w:color w:val="auto"/>
                <w:highlight w:val="none"/>
              </w:rPr>
            </w:pPr>
            <w:r>
              <w:rPr>
                <w:rFonts w:hint="eastAsia"/>
                <w:color w:val="auto"/>
                <w:highlight w:val="none"/>
              </w:rPr>
              <w:t>……</w:t>
            </w:r>
          </w:p>
        </w:tc>
        <w:tc>
          <w:tcPr>
            <w:tcW w:w="1878" w:type="dxa"/>
            <w:shd w:val="clear" w:color="auto" w:fill="auto"/>
            <w:vAlign w:val="center"/>
          </w:tcPr>
          <w:p w14:paraId="0FA6BCBF">
            <w:pPr>
              <w:jc w:val="center"/>
              <w:rPr>
                <w:color w:val="auto"/>
                <w:highlight w:val="none"/>
              </w:rPr>
            </w:pPr>
            <w:r>
              <w:rPr>
                <w:rFonts w:hint="eastAsia"/>
                <w:color w:val="auto"/>
                <w:highlight w:val="none"/>
              </w:rPr>
              <w:t>……</w:t>
            </w:r>
          </w:p>
        </w:tc>
      </w:tr>
    </w:tbl>
    <w:p w14:paraId="514E91A2">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注：（1）自有车辆（或法人所有）提供机动车行驶证及车辆登记证（配送车辆如为租赁的，须提供机动车行驶证及租赁合同）</w:t>
      </w:r>
    </w:p>
    <w:p w14:paraId="30BF7A26">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（2）提供车辆照片且与行驶证一致</w:t>
      </w:r>
    </w:p>
    <w:p w14:paraId="7A31FA64">
      <w:pPr>
        <w:spacing w:line="360" w:lineRule="auto"/>
        <w:ind w:firstLine="480"/>
        <w:rPr>
          <w:rFonts w:ascii="宋体" w:hAnsi="宋体" w:cs="宋体"/>
          <w:b/>
          <w:color w:val="auto"/>
          <w:sz w:val="30"/>
          <w:szCs w:val="30"/>
          <w:highlight w:val="none"/>
        </w:rPr>
      </w:pPr>
      <w:r>
        <w:rPr>
          <w:rFonts w:hint="eastAsia" w:ascii="宋体" w:hAnsi="宋体" w:cs="宋体"/>
          <w:color w:val="auto"/>
          <w:sz w:val="24"/>
          <w:highlight w:val="none"/>
        </w:rPr>
        <w:t>注：以上两项任意一项未提供、提供不全或上述材料不清晰不完整无法辨识的本项不得分。（所有车辆必须符合国家标准货运车辆且在交管部门备案、各类手续齐全）</w:t>
      </w:r>
      <w:r>
        <w:rPr>
          <w:rFonts w:hint="eastAsia" w:ascii="宋体" w:hAnsi="宋体" w:cs="宋体"/>
          <w:b/>
          <w:color w:val="auto"/>
          <w:sz w:val="30"/>
          <w:szCs w:val="30"/>
          <w:highlight w:val="none"/>
        </w:rPr>
        <w:br w:type="page"/>
      </w:r>
    </w:p>
    <w:bookmarkEnd w:id="105"/>
    <w:bookmarkEnd w:id="106"/>
    <w:p w14:paraId="2A0BE8A6">
      <w:pPr>
        <w:pStyle w:val="6"/>
        <w:spacing w:before="0" w:after="0"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12、人员配备</w:t>
      </w:r>
    </w:p>
    <w:p w14:paraId="25C7D0EB">
      <w:pPr>
        <w:rPr>
          <w:color w:val="auto"/>
          <w:highlight w:val="none"/>
        </w:rPr>
      </w:pPr>
    </w:p>
    <w:tbl>
      <w:tblPr>
        <w:tblStyle w:val="29"/>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344"/>
        <w:gridCol w:w="940"/>
        <w:gridCol w:w="1207"/>
        <w:gridCol w:w="1307"/>
        <w:gridCol w:w="1879"/>
        <w:gridCol w:w="1520"/>
      </w:tblGrid>
      <w:tr w14:paraId="2B9D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40" w:type="dxa"/>
            <w:vAlign w:val="center"/>
          </w:tcPr>
          <w:p w14:paraId="155BDE69">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1344" w:type="dxa"/>
            <w:vAlign w:val="center"/>
          </w:tcPr>
          <w:p w14:paraId="168BC079">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tc>
        <w:tc>
          <w:tcPr>
            <w:tcW w:w="940" w:type="dxa"/>
            <w:vAlign w:val="center"/>
          </w:tcPr>
          <w:p w14:paraId="16C4A009">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性别</w:t>
            </w:r>
          </w:p>
        </w:tc>
        <w:tc>
          <w:tcPr>
            <w:tcW w:w="1207" w:type="dxa"/>
            <w:vAlign w:val="center"/>
          </w:tcPr>
          <w:p w14:paraId="40118A86">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身份证号码</w:t>
            </w:r>
          </w:p>
        </w:tc>
        <w:tc>
          <w:tcPr>
            <w:tcW w:w="1307" w:type="dxa"/>
            <w:vAlign w:val="center"/>
          </w:tcPr>
          <w:p w14:paraId="26CC7E97">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工作年限</w:t>
            </w:r>
          </w:p>
        </w:tc>
        <w:tc>
          <w:tcPr>
            <w:tcW w:w="1879" w:type="dxa"/>
            <w:vAlign w:val="center"/>
          </w:tcPr>
          <w:p w14:paraId="69850D22">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拟承担工作内容</w:t>
            </w:r>
          </w:p>
        </w:tc>
        <w:tc>
          <w:tcPr>
            <w:tcW w:w="1520" w:type="dxa"/>
            <w:vAlign w:val="center"/>
          </w:tcPr>
          <w:p w14:paraId="038F5994">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w:t>
            </w:r>
          </w:p>
        </w:tc>
      </w:tr>
      <w:tr w14:paraId="1309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08954DD6">
            <w:pPr>
              <w:rPr>
                <w:rFonts w:asciiTheme="minorEastAsia" w:hAnsiTheme="minorEastAsia" w:eastAsiaTheme="minorEastAsia" w:cstheme="minorEastAsia"/>
                <w:color w:val="auto"/>
                <w:szCs w:val="21"/>
                <w:highlight w:val="none"/>
              </w:rPr>
            </w:pPr>
          </w:p>
        </w:tc>
        <w:tc>
          <w:tcPr>
            <w:tcW w:w="1344" w:type="dxa"/>
          </w:tcPr>
          <w:p w14:paraId="1CC578A0">
            <w:pPr>
              <w:rPr>
                <w:rFonts w:asciiTheme="minorEastAsia" w:hAnsiTheme="minorEastAsia" w:eastAsiaTheme="minorEastAsia" w:cstheme="minorEastAsia"/>
                <w:color w:val="auto"/>
                <w:szCs w:val="21"/>
                <w:highlight w:val="none"/>
              </w:rPr>
            </w:pPr>
          </w:p>
        </w:tc>
        <w:tc>
          <w:tcPr>
            <w:tcW w:w="940" w:type="dxa"/>
          </w:tcPr>
          <w:p w14:paraId="707D844E">
            <w:pPr>
              <w:rPr>
                <w:rFonts w:asciiTheme="minorEastAsia" w:hAnsiTheme="minorEastAsia" w:eastAsiaTheme="minorEastAsia" w:cstheme="minorEastAsia"/>
                <w:color w:val="auto"/>
                <w:szCs w:val="21"/>
                <w:highlight w:val="none"/>
              </w:rPr>
            </w:pPr>
          </w:p>
        </w:tc>
        <w:tc>
          <w:tcPr>
            <w:tcW w:w="1207" w:type="dxa"/>
          </w:tcPr>
          <w:p w14:paraId="3174DDD4">
            <w:pPr>
              <w:rPr>
                <w:rFonts w:asciiTheme="minorEastAsia" w:hAnsiTheme="minorEastAsia" w:eastAsiaTheme="minorEastAsia" w:cstheme="minorEastAsia"/>
                <w:color w:val="auto"/>
                <w:szCs w:val="21"/>
                <w:highlight w:val="none"/>
              </w:rPr>
            </w:pPr>
          </w:p>
        </w:tc>
        <w:tc>
          <w:tcPr>
            <w:tcW w:w="1307" w:type="dxa"/>
          </w:tcPr>
          <w:p w14:paraId="6109ECB9">
            <w:pPr>
              <w:rPr>
                <w:rFonts w:asciiTheme="minorEastAsia" w:hAnsiTheme="minorEastAsia" w:eastAsiaTheme="minorEastAsia" w:cstheme="minorEastAsia"/>
                <w:color w:val="auto"/>
                <w:szCs w:val="21"/>
                <w:highlight w:val="none"/>
              </w:rPr>
            </w:pPr>
          </w:p>
        </w:tc>
        <w:tc>
          <w:tcPr>
            <w:tcW w:w="1879" w:type="dxa"/>
          </w:tcPr>
          <w:p w14:paraId="403CFEB4">
            <w:pPr>
              <w:rPr>
                <w:rFonts w:asciiTheme="minorEastAsia" w:hAnsiTheme="minorEastAsia" w:eastAsiaTheme="minorEastAsia" w:cstheme="minorEastAsia"/>
                <w:color w:val="auto"/>
                <w:szCs w:val="21"/>
                <w:highlight w:val="none"/>
              </w:rPr>
            </w:pPr>
          </w:p>
        </w:tc>
        <w:tc>
          <w:tcPr>
            <w:tcW w:w="1520" w:type="dxa"/>
          </w:tcPr>
          <w:p w14:paraId="3389935D">
            <w:pPr>
              <w:rPr>
                <w:rFonts w:asciiTheme="minorEastAsia" w:hAnsiTheme="minorEastAsia" w:eastAsiaTheme="minorEastAsia" w:cstheme="minorEastAsia"/>
                <w:color w:val="auto"/>
                <w:szCs w:val="21"/>
                <w:highlight w:val="none"/>
              </w:rPr>
            </w:pPr>
          </w:p>
        </w:tc>
      </w:tr>
      <w:tr w14:paraId="2DD0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794E7EAF">
            <w:pPr>
              <w:rPr>
                <w:rFonts w:asciiTheme="minorEastAsia" w:hAnsiTheme="minorEastAsia" w:eastAsiaTheme="minorEastAsia" w:cstheme="minorEastAsia"/>
                <w:color w:val="auto"/>
                <w:szCs w:val="21"/>
                <w:highlight w:val="none"/>
              </w:rPr>
            </w:pPr>
          </w:p>
        </w:tc>
        <w:tc>
          <w:tcPr>
            <w:tcW w:w="1344" w:type="dxa"/>
          </w:tcPr>
          <w:p w14:paraId="405D578E">
            <w:pPr>
              <w:rPr>
                <w:rFonts w:asciiTheme="minorEastAsia" w:hAnsiTheme="minorEastAsia" w:eastAsiaTheme="minorEastAsia" w:cstheme="minorEastAsia"/>
                <w:color w:val="auto"/>
                <w:szCs w:val="21"/>
                <w:highlight w:val="none"/>
              </w:rPr>
            </w:pPr>
          </w:p>
        </w:tc>
        <w:tc>
          <w:tcPr>
            <w:tcW w:w="940" w:type="dxa"/>
          </w:tcPr>
          <w:p w14:paraId="402453E2">
            <w:pPr>
              <w:rPr>
                <w:rFonts w:asciiTheme="minorEastAsia" w:hAnsiTheme="minorEastAsia" w:eastAsiaTheme="minorEastAsia" w:cstheme="minorEastAsia"/>
                <w:color w:val="auto"/>
                <w:szCs w:val="21"/>
                <w:highlight w:val="none"/>
              </w:rPr>
            </w:pPr>
          </w:p>
        </w:tc>
        <w:tc>
          <w:tcPr>
            <w:tcW w:w="1207" w:type="dxa"/>
          </w:tcPr>
          <w:p w14:paraId="4E464226">
            <w:pPr>
              <w:rPr>
                <w:rFonts w:asciiTheme="minorEastAsia" w:hAnsiTheme="minorEastAsia" w:eastAsiaTheme="minorEastAsia" w:cstheme="minorEastAsia"/>
                <w:color w:val="auto"/>
                <w:szCs w:val="21"/>
                <w:highlight w:val="none"/>
              </w:rPr>
            </w:pPr>
          </w:p>
        </w:tc>
        <w:tc>
          <w:tcPr>
            <w:tcW w:w="1307" w:type="dxa"/>
          </w:tcPr>
          <w:p w14:paraId="7834A450">
            <w:pPr>
              <w:rPr>
                <w:rFonts w:asciiTheme="minorEastAsia" w:hAnsiTheme="minorEastAsia" w:eastAsiaTheme="minorEastAsia" w:cstheme="minorEastAsia"/>
                <w:color w:val="auto"/>
                <w:szCs w:val="21"/>
                <w:highlight w:val="none"/>
              </w:rPr>
            </w:pPr>
          </w:p>
        </w:tc>
        <w:tc>
          <w:tcPr>
            <w:tcW w:w="1879" w:type="dxa"/>
          </w:tcPr>
          <w:p w14:paraId="43AE4CDC">
            <w:pPr>
              <w:rPr>
                <w:rFonts w:asciiTheme="minorEastAsia" w:hAnsiTheme="minorEastAsia" w:eastAsiaTheme="minorEastAsia" w:cstheme="minorEastAsia"/>
                <w:color w:val="auto"/>
                <w:szCs w:val="21"/>
                <w:highlight w:val="none"/>
              </w:rPr>
            </w:pPr>
          </w:p>
        </w:tc>
        <w:tc>
          <w:tcPr>
            <w:tcW w:w="1520" w:type="dxa"/>
          </w:tcPr>
          <w:p w14:paraId="6FD06B4D">
            <w:pPr>
              <w:rPr>
                <w:rFonts w:asciiTheme="minorEastAsia" w:hAnsiTheme="minorEastAsia" w:eastAsiaTheme="minorEastAsia" w:cstheme="minorEastAsia"/>
                <w:color w:val="auto"/>
                <w:szCs w:val="21"/>
                <w:highlight w:val="none"/>
              </w:rPr>
            </w:pPr>
          </w:p>
        </w:tc>
      </w:tr>
      <w:tr w14:paraId="390F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459D3165">
            <w:pPr>
              <w:rPr>
                <w:rFonts w:asciiTheme="minorEastAsia" w:hAnsiTheme="minorEastAsia" w:eastAsiaTheme="minorEastAsia" w:cstheme="minorEastAsia"/>
                <w:color w:val="auto"/>
                <w:szCs w:val="21"/>
                <w:highlight w:val="none"/>
              </w:rPr>
            </w:pPr>
          </w:p>
        </w:tc>
        <w:tc>
          <w:tcPr>
            <w:tcW w:w="1344" w:type="dxa"/>
          </w:tcPr>
          <w:p w14:paraId="27D117FA">
            <w:pPr>
              <w:rPr>
                <w:rFonts w:asciiTheme="minorEastAsia" w:hAnsiTheme="minorEastAsia" w:eastAsiaTheme="minorEastAsia" w:cstheme="minorEastAsia"/>
                <w:color w:val="auto"/>
                <w:szCs w:val="21"/>
                <w:highlight w:val="none"/>
              </w:rPr>
            </w:pPr>
          </w:p>
        </w:tc>
        <w:tc>
          <w:tcPr>
            <w:tcW w:w="940" w:type="dxa"/>
          </w:tcPr>
          <w:p w14:paraId="5A458699">
            <w:pPr>
              <w:rPr>
                <w:rFonts w:asciiTheme="minorEastAsia" w:hAnsiTheme="minorEastAsia" w:eastAsiaTheme="minorEastAsia" w:cstheme="minorEastAsia"/>
                <w:color w:val="auto"/>
                <w:szCs w:val="21"/>
                <w:highlight w:val="none"/>
              </w:rPr>
            </w:pPr>
          </w:p>
        </w:tc>
        <w:tc>
          <w:tcPr>
            <w:tcW w:w="1207" w:type="dxa"/>
          </w:tcPr>
          <w:p w14:paraId="5922F0DC">
            <w:pPr>
              <w:rPr>
                <w:rFonts w:asciiTheme="minorEastAsia" w:hAnsiTheme="minorEastAsia" w:eastAsiaTheme="minorEastAsia" w:cstheme="minorEastAsia"/>
                <w:color w:val="auto"/>
                <w:szCs w:val="21"/>
                <w:highlight w:val="none"/>
              </w:rPr>
            </w:pPr>
          </w:p>
        </w:tc>
        <w:tc>
          <w:tcPr>
            <w:tcW w:w="1307" w:type="dxa"/>
          </w:tcPr>
          <w:p w14:paraId="272D2A11">
            <w:pPr>
              <w:rPr>
                <w:rFonts w:asciiTheme="minorEastAsia" w:hAnsiTheme="minorEastAsia" w:eastAsiaTheme="minorEastAsia" w:cstheme="minorEastAsia"/>
                <w:color w:val="auto"/>
                <w:szCs w:val="21"/>
                <w:highlight w:val="none"/>
              </w:rPr>
            </w:pPr>
          </w:p>
        </w:tc>
        <w:tc>
          <w:tcPr>
            <w:tcW w:w="1879" w:type="dxa"/>
          </w:tcPr>
          <w:p w14:paraId="5465DB6C">
            <w:pPr>
              <w:rPr>
                <w:rFonts w:asciiTheme="minorEastAsia" w:hAnsiTheme="minorEastAsia" w:eastAsiaTheme="minorEastAsia" w:cstheme="minorEastAsia"/>
                <w:color w:val="auto"/>
                <w:szCs w:val="21"/>
                <w:highlight w:val="none"/>
              </w:rPr>
            </w:pPr>
          </w:p>
        </w:tc>
        <w:tc>
          <w:tcPr>
            <w:tcW w:w="1520" w:type="dxa"/>
          </w:tcPr>
          <w:p w14:paraId="532BF430">
            <w:pPr>
              <w:rPr>
                <w:rFonts w:asciiTheme="minorEastAsia" w:hAnsiTheme="minorEastAsia" w:eastAsiaTheme="minorEastAsia" w:cstheme="minorEastAsia"/>
                <w:color w:val="auto"/>
                <w:szCs w:val="21"/>
                <w:highlight w:val="none"/>
              </w:rPr>
            </w:pPr>
          </w:p>
        </w:tc>
      </w:tr>
      <w:tr w14:paraId="6200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28EF3769">
            <w:pPr>
              <w:rPr>
                <w:rFonts w:asciiTheme="minorEastAsia" w:hAnsiTheme="minorEastAsia" w:eastAsiaTheme="minorEastAsia" w:cstheme="minorEastAsia"/>
                <w:color w:val="auto"/>
                <w:szCs w:val="21"/>
                <w:highlight w:val="none"/>
              </w:rPr>
            </w:pPr>
          </w:p>
        </w:tc>
        <w:tc>
          <w:tcPr>
            <w:tcW w:w="1344" w:type="dxa"/>
          </w:tcPr>
          <w:p w14:paraId="26015D44">
            <w:pPr>
              <w:rPr>
                <w:rFonts w:asciiTheme="minorEastAsia" w:hAnsiTheme="minorEastAsia" w:eastAsiaTheme="minorEastAsia" w:cstheme="minorEastAsia"/>
                <w:color w:val="auto"/>
                <w:szCs w:val="21"/>
                <w:highlight w:val="none"/>
              </w:rPr>
            </w:pPr>
          </w:p>
        </w:tc>
        <w:tc>
          <w:tcPr>
            <w:tcW w:w="940" w:type="dxa"/>
          </w:tcPr>
          <w:p w14:paraId="4ECDE98A">
            <w:pPr>
              <w:rPr>
                <w:rFonts w:asciiTheme="minorEastAsia" w:hAnsiTheme="minorEastAsia" w:eastAsiaTheme="minorEastAsia" w:cstheme="minorEastAsia"/>
                <w:color w:val="auto"/>
                <w:szCs w:val="21"/>
                <w:highlight w:val="none"/>
              </w:rPr>
            </w:pPr>
          </w:p>
        </w:tc>
        <w:tc>
          <w:tcPr>
            <w:tcW w:w="1207" w:type="dxa"/>
          </w:tcPr>
          <w:p w14:paraId="12AE24EC">
            <w:pPr>
              <w:rPr>
                <w:rFonts w:asciiTheme="minorEastAsia" w:hAnsiTheme="minorEastAsia" w:eastAsiaTheme="minorEastAsia" w:cstheme="minorEastAsia"/>
                <w:color w:val="auto"/>
                <w:szCs w:val="21"/>
                <w:highlight w:val="none"/>
              </w:rPr>
            </w:pPr>
          </w:p>
        </w:tc>
        <w:tc>
          <w:tcPr>
            <w:tcW w:w="1307" w:type="dxa"/>
          </w:tcPr>
          <w:p w14:paraId="62C36B6E">
            <w:pPr>
              <w:rPr>
                <w:rFonts w:asciiTheme="minorEastAsia" w:hAnsiTheme="minorEastAsia" w:eastAsiaTheme="minorEastAsia" w:cstheme="minorEastAsia"/>
                <w:color w:val="auto"/>
                <w:szCs w:val="21"/>
                <w:highlight w:val="none"/>
              </w:rPr>
            </w:pPr>
          </w:p>
        </w:tc>
        <w:tc>
          <w:tcPr>
            <w:tcW w:w="1879" w:type="dxa"/>
          </w:tcPr>
          <w:p w14:paraId="5E87FDE5">
            <w:pPr>
              <w:rPr>
                <w:rFonts w:asciiTheme="minorEastAsia" w:hAnsiTheme="minorEastAsia" w:eastAsiaTheme="minorEastAsia" w:cstheme="minorEastAsia"/>
                <w:color w:val="auto"/>
                <w:szCs w:val="21"/>
                <w:highlight w:val="none"/>
              </w:rPr>
            </w:pPr>
          </w:p>
        </w:tc>
        <w:tc>
          <w:tcPr>
            <w:tcW w:w="1520" w:type="dxa"/>
          </w:tcPr>
          <w:p w14:paraId="6F32CCC7">
            <w:pPr>
              <w:rPr>
                <w:rFonts w:asciiTheme="minorEastAsia" w:hAnsiTheme="minorEastAsia" w:eastAsiaTheme="minorEastAsia" w:cstheme="minorEastAsia"/>
                <w:color w:val="auto"/>
                <w:szCs w:val="21"/>
                <w:highlight w:val="none"/>
              </w:rPr>
            </w:pPr>
          </w:p>
        </w:tc>
      </w:tr>
      <w:tr w14:paraId="3C44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3883402B">
            <w:pPr>
              <w:rPr>
                <w:rFonts w:asciiTheme="minorEastAsia" w:hAnsiTheme="minorEastAsia" w:eastAsiaTheme="minorEastAsia" w:cstheme="minorEastAsia"/>
                <w:color w:val="auto"/>
                <w:szCs w:val="21"/>
                <w:highlight w:val="none"/>
              </w:rPr>
            </w:pPr>
          </w:p>
        </w:tc>
        <w:tc>
          <w:tcPr>
            <w:tcW w:w="1344" w:type="dxa"/>
          </w:tcPr>
          <w:p w14:paraId="56C2B541">
            <w:pPr>
              <w:rPr>
                <w:rFonts w:asciiTheme="minorEastAsia" w:hAnsiTheme="minorEastAsia" w:eastAsiaTheme="minorEastAsia" w:cstheme="minorEastAsia"/>
                <w:color w:val="auto"/>
                <w:szCs w:val="21"/>
                <w:highlight w:val="none"/>
              </w:rPr>
            </w:pPr>
          </w:p>
        </w:tc>
        <w:tc>
          <w:tcPr>
            <w:tcW w:w="940" w:type="dxa"/>
          </w:tcPr>
          <w:p w14:paraId="70554C15">
            <w:pPr>
              <w:rPr>
                <w:rFonts w:asciiTheme="minorEastAsia" w:hAnsiTheme="minorEastAsia" w:eastAsiaTheme="minorEastAsia" w:cstheme="minorEastAsia"/>
                <w:color w:val="auto"/>
                <w:szCs w:val="21"/>
                <w:highlight w:val="none"/>
              </w:rPr>
            </w:pPr>
          </w:p>
        </w:tc>
        <w:tc>
          <w:tcPr>
            <w:tcW w:w="1207" w:type="dxa"/>
          </w:tcPr>
          <w:p w14:paraId="2C50A59E">
            <w:pPr>
              <w:rPr>
                <w:rFonts w:asciiTheme="minorEastAsia" w:hAnsiTheme="minorEastAsia" w:eastAsiaTheme="minorEastAsia" w:cstheme="minorEastAsia"/>
                <w:color w:val="auto"/>
                <w:szCs w:val="21"/>
                <w:highlight w:val="none"/>
              </w:rPr>
            </w:pPr>
          </w:p>
        </w:tc>
        <w:tc>
          <w:tcPr>
            <w:tcW w:w="1307" w:type="dxa"/>
          </w:tcPr>
          <w:p w14:paraId="659FEB3A">
            <w:pPr>
              <w:rPr>
                <w:rFonts w:asciiTheme="minorEastAsia" w:hAnsiTheme="minorEastAsia" w:eastAsiaTheme="minorEastAsia" w:cstheme="minorEastAsia"/>
                <w:color w:val="auto"/>
                <w:szCs w:val="21"/>
                <w:highlight w:val="none"/>
              </w:rPr>
            </w:pPr>
          </w:p>
        </w:tc>
        <w:tc>
          <w:tcPr>
            <w:tcW w:w="1879" w:type="dxa"/>
          </w:tcPr>
          <w:p w14:paraId="6141D21B">
            <w:pPr>
              <w:rPr>
                <w:rFonts w:asciiTheme="minorEastAsia" w:hAnsiTheme="minorEastAsia" w:eastAsiaTheme="minorEastAsia" w:cstheme="minorEastAsia"/>
                <w:color w:val="auto"/>
                <w:szCs w:val="21"/>
                <w:highlight w:val="none"/>
              </w:rPr>
            </w:pPr>
          </w:p>
        </w:tc>
        <w:tc>
          <w:tcPr>
            <w:tcW w:w="1520" w:type="dxa"/>
          </w:tcPr>
          <w:p w14:paraId="68E98B1D">
            <w:pPr>
              <w:rPr>
                <w:rFonts w:asciiTheme="minorEastAsia" w:hAnsiTheme="minorEastAsia" w:eastAsiaTheme="minorEastAsia" w:cstheme="minorEastAsia"/>
                <w:color w:val="auto"/>
                <w:szCs w:val="21"/>
                <w:highlight w:val="none"/>
              </w:rPr>
            </w:pPr>
          </w:p>
        </w:tc>
      </w:tr>
      <w:tr w14:paraId="3B84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2AE854CA">
            <w:pPr>
              <w:rPr>
                <w:rFonts w:asciiTheme="minorEastAsia" w:hAnsiTheme="minorEastAsia" w:eastAsiaTheme="minorEastAsia" w:cstheme="minorEastAsia"/>
                <w:color w:val="auto"/>
                <w:szCs w:val="21"/>
                <w:highlight w:val="none"/>
              </w:rPr>
            </w:pPr>
          </w:p>
        </w:tc>
        <w:tc>
          <w:tcPr>
            <w:tcW w:w="1344" w:type="dxa"/>
          </w:tcPr>
          <w:p w14:paraId="4715DAC0">
            <w:pPr>
              <w:rPr>
                <w:rFonts w:asciiTheme="minorEastAsia" w:hAnsiTheme="minorEastAsia" w:eastAsiaTheme="minorEastAsia" w:cstheme="minorEastAsia"/>
                <w:color w:val="auto"/>
                <w:szCs w:val="21"/>
                <w:highlight w:val="none"/>
              </w:rPr>
            </w:pPr>
          </w:p>
        </w:tc>
        <w:tc>
          <w:tcPr>
            <w:tcW w:w="940" w:type="dxa"/>
          </w:tcPr>
          <w:p w14:paraId="141513C8">
            <w:pPr>
              <w:rPr>
                <w:rFonts w:asciiTheme="minorEastAsia" w:hAnsiTheme="minorEastAsia" w:eastAsiaTheme="minorEastAsia" w:cstheme="minorEastAsia"/>
                <w:color w:val="auto"/>
                <w:szCs w:val="21"/>
                <w:highlight w:val="none"/>
              </w:rPr>
            </w:pPr>
          </w:p>
        </w:tc>
        <w:tc>
          <w:tcPr>
            <w:tcW w:w="1207" w:type="dxa"/>
          </w:tcPr>
          <w:p w14:paraId="1474C855">
            <w:pPr>
              <w:rPr>
                <w:rFonts w:asciiTheme="minorEastAsia" w:hAnsiTheme="minorEastAsia" w:eastAsiaTheme="minorEastAsia" w:cstheme="minorEastAsia"/>
                <w:color w:val="auto"/>
                <w:szCs w:val="21"/>
                <w:highlight w:val="none"/>
              </w:rPr>
            </w:pPr>
          </w:p>
        </w:tc>
        <w:tc>
          <w:tcPr>
            <w:tcW w:w="1307" w:type="dxa"/>
          </w:tcPr>
          <w:p w14:paraId="5FA0ADC0">
            <w:pPr>
              <w:rPr>
                <w:rFonts w:asciiTheme="minorEastAsia" w:hAnsiTheme="minorEastAsia" w:eastAsiaTheme="minorEastAsia" w:cstheme="minorEastAsia"/>
                <w:color w:val="auto"/>
                <w:szCs w:val="21"/>
                <w:highlight w:val="none"/>
              </w:rPr>
            </w:pPr>
          </w:p>
        </w:tc>
        <w:tc>
          <w:tcPr>
            <w:tcW w:w="1879" w:type="dxa"/>
          </w:tcPr>
          <w:p w14:paraId="53ED9B8A">
            <w:pPr>
              <w:rPr>
                <w:rFonts w:asciiTheme="minorEastAsia" w:hAnsiTheme="minorEastAsia" w:eastAsiaTheme="minorEastAsia" w:cstheme="minorEastAsia"/>
                <w:color w:val="auto"/>
                <w:szCs w:val="21"/>
                <w:highlight w:val="none"/>
              </w:rPr>
            </w:pPr>
          </w:p>
        </w:tc>
        <w:tc>
          <w:tcPr>
            <w:tcW w:w="1520" w:type="dxa"/>
          </w:tcPr>
          <w:p w14:paraId="3197AF08">
            <w:pPr>
              <w:rPr>
                <w:rFonts w:asciiTheme="minorEastAsia" w:hAnsiTheme="minorEastAsia" w:eastAsiaTheme="minorEastAsia" w:cstheme="minorEastAsia"/>
                <w:color w:val="auto"/>
                <w:szCs w:val="21"/>
                <w:highlight w:val="none"/>
              </w:rPr>
            </w:pPr>
          </w:p>
        </w:tc>
      </w:tr>
      <w:tr w14:paraId="50F0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tcPr>
          <w:p w14:paraId="5DC6CFC5">
            <w:pPr>
              <w:rPr>
                <w:rFonts w:asciiTheme="minorEastAsia" w:hAnsiTheme="minorEastAsia" w:eastAsiaTheme="minorEastAsia" w:cstheme="minorEastAsia"/>
                <w:color w:val="auto"/>
                <w:szCs w:val="21"/>
                <w:highlight w:val="none"/>
              </w:rPr>
            </w:pPr>
          </w:p>
        </w:tc>
        <w:tc>
          <w:tcPr>
            <w:tcW w:w="1344" w:type="dxa"/>
          </w:tcPr>
          <w:p w14:paraId="014CE09B">
            <w:pPr>
              <w:rPr>
                <w:rFonts w:asciiTheme="minorEastAsia" w:hAnsiTheme="minorEastAsia" w:eastAsiaTheme="minorEastAsia" w:cstheme="minorEastAsia"/>
                <w:color w:val="auto"/>
                <w:szCs w:val="21"/>
                <w:highlight w:val="none"/>
              </w:rPr>
            </w:pPr>
          </w:p>
        </w:tc>
        <w:tc>
          <w:tcPr>
            <w:tcW w:w="940" w:type="dxa"/>
          </w:tcPr>
          <w:p w14:paraId="502382C6">
            <w:pPr>
              <w:rPr>
                <w:rFonts w:asciiTheme="minorEastAsia" w:hAnsiTheme="minorEastAsia" w:eastAsiaTheme="minorEastAsia" w:cstheme="minorEastAsia"/>
                <w:color w:val="auto"/>
                <w:szCs w:val="21"/>
                <w:highlight w:val="none"/>
              </w:rPr>
            </w:pPr>
          </w:p>
        </w:tc>
        <w:tc>
          <w:tcPr>
            <w:tcW w:w="1207" w:type="dxa"/>
          </w:tcPr>
          <w:p w14:paraId="42D286BD">
            <w:pPr>
              <w:rPr>
                <w:rFonts w:asciiTheme="minorEastAsia" w:hAnsiTheme="minorEastAsia" w:eastAsiaTheme="minorEastAsia" w:cstheme="minorEastAsia"/>
                <w:color w:val="auto"/>
                <w:szCs w:val="21"/>
                <w:highlight w:val="none"/>
              </w:rPr>
            </w:pPr>
          </w:p>
        </w:tc>
        <w:tc>
          <w:tcPr>
            <w:tcW w:w="1307" w:type="dxa"/>
          </w:tcPr>
          <w:p w14:paraId="19093600">
            <w:pPr>
              <w:rPr>
                <w:rFonts w:asciiTheme="minorEastAsia" w:hAnsiTheme="minorEastAsia" w:eastAsiaTheme="minorEastAsia" w:cstheme="minorEastAsia"/>
                <w:color w:val="auto"/>
                <w:szCs w:val="21"/>
                <w:highlight w:val="none"/>
              </w:rPr>
            </w:pPr>
          </w:p>
        </w:tc>
        <w:tc>
          <w:tcPr>
            <w:tcW w:w="1879" w:type="dxa"/>
          </w:tcPr>
          <w:p w14:paraId="76CAB173">
            <w:pPr>
              <w:rPr>
                <w:rFonts w:asciiTheme="minorEastAsia" w:hAnsiTheme="minorEastAsia" w:eastAsiaTheme="minorEastAsia" w:cstheme="minorEastAsia"/>
                <w:color w:val="auto"/>
                <w:szCs w:val="21"/>
                <w:highlight w:val="none"/>
              </w:rPr>
            </w:pPr>
          </w:p>
        </w:tc>
        <w:tc>
          <w:tcPr>
            <w:tcW w:w="1520" w:type="dxa"/>
          </w:tcPr>
          <w:p w14:paraId="3E7FECF7">
            <w:pPr>
              <w:rPr>
                <w:rFonts w:asciiTheme="minorEastAsia" w:hAnsiTheme="minorEastAsia" w:eastAsiaTheme="minorEastAsia" w:cstheme="minorEastAsia"/>
                <w:color w:val="auto"/>
                <w:szCs w:val="21"/>
                <w:highlight w:val="none"/>
              </w:rPr>
            </w:pPr>
          </w:p>
        </w:tc>
      </w:tr>
      <w:tr w14:paraId="11F5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40" w:type="dxa"/>
            <w:vAlign w:val="center"/>
          </w:tcPr>
          <w:p w14:paraId="0AB0D9F4">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344" w:type="dxa"/>
            <w:vAlign w:val="center"/>
          </w:tcPr>
          <w:p w14:paraId="52D9A7C1">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940" w:type="dxa"/>
            <w:vAlign w:val="center"/>
          </w:tcPr>
          <w:p w14:paraId="350D0FE0">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07" w:type="dxa"/>
            <w:vAlign w:val="center"/>
          </w:tcPr>
          <w:p w14:paraId="5F66CFAE">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307" w:type="dxa"/>
            <w:vAlign w:val="center"/>
          </w:tcPr>
          <w:p w14:paraId="65CCE6CF">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879" w:type="dxa"/>
            <w:vAlign w:val="center"/>
          </w:tcPr>
          <w:p w14:paraId="2F4A11FE">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520" w:type="dxa"/>
            <w:vAlign w:val="center"/>
          </w:tcPr>
          <w:p w14:paraId="251B598A">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r>
      <w:tr w14:paraId="7F58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40" w:type="dxa"/>
            <w:vAlign w:val="center"/>
          </w:tcPr>
          <w:p w14:paraId="282E70EF">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344" w:type="dxa"/>
            <w:vAlign w:val="center"/>
          </w:tcPr>
          <w:p w14:paraId="2B1E1A1B">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940" w:type="dxa"/>
            <w:vAlign w:val="center"/>
          </w:tcPr>
          <w:p w14:paraId="0F758147">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07" w:type="dxa"/>
            <w:vAlign w:val="center"/>
          </w:tcPr>
          <w:p w14:paraId="20DF2550">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307" w:type="dxa"/>
            <w:vAlign w:val="center"/>
          </w:tcPr>
          <w:p w14:paraId="4E991D52">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879" w:type="dxa"/>
            <w:vAlign w:val="center"/>
          </w:tcPr>
          <w:p w14:paraId="09BA1707">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520" w:type="dxa"/>
            <w:vAlign w:val="center"/>
          </w:tcPr>
          <w:p w14:paraId="33CCB4B7">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r>
    </w:tbl>
    <w:p w14:paraId="7E733DC4">
      <w:pPr>
        <w:spacing w:line="360" w:lineRule="auto"/>
        <w:ind w:firstLine="480"/>
        <w:rPr>
          <w:rFonts w:ascii="宋体" w:hAnsi="宋体" w:cs="宋体"/>
          <w:color w:val="auto"/>
          <w:sz w:val="24"/>
          <w:highlight w:val="none"/>
        </w:rPr>
      </w:pPr>
    </w:p>
    <w:p w14:paraId="5B33FD8E">
      <w:pPr>
        <w:spacing w:line="360" w:lineRule="auto"/>
        <w:ind w:firstLine="480"/>
        <w:rPr>
          <w:rFonts w:ascii="宋体" w:hAnsi="宋体" w:cs="宋体"/>
          <w:b/>
          <w:color w:val="auto"/>
          <w:sz w:val="30"/>
          <w:szCs w:val="30"/>
          <w:highlight w:val="none"/>
        </w:rPr>
      </w:pPr>
      <w:r>
        <w:rPr>
          <w:rFonts w:hint="eastAsia" w:ascii="宋体" w:hAnsi="宋体" w:cs="宋体"/>
          <w:color w:val="auto"/>
          <w:sz w:val="24"/>
          <w:highlight w:val="none"/>
        </w:rPr>
        <w:t>注：须提供以上人员的身份证、劳动合同。</w:t>
      </w:r>
      <w:r>
        <w:rPr>
          <w:rFonts w:hint="eastAsia" w:ascii="宋体" w:hAnsi="宋体" w:cs="宋体"/>
          <w:b/>
          <w:color w:val="auto"/>
          <w:sz w:val="30"/>
          <w:szCs w:val="30"/>
          <w:highlight w:val="none"/>
        </w:rPr>
        <w:br w:type="page"/>
      </w:r>
    </w:p>
    <w:bookmarkEnd w:id="107"/>
    <w:bookmarkEnd w:id="108"/>
    <w:bookmarkEnd w:id="109"/>
    <w:p w14:paraId="51CEB7D8">
      <w:pPr>
        <w:pStyle w:val="6"/>
        <w:spacing w:before="0" w:after="0" w:line="360" w:lineRule="auto"/>
        <w:jc w:val="left"/>
        <w:rPr>
          <w:rFonts w:ascii="宋体" w:hAnsi="宋体" w:cs="宋体"/>
          <w:color w:val="auto"/>
          <w:sz w:val="32"/>
          <w:szCs w:val="32"/>
          <w:highlight w:val="none"/>
        </w:rPr>
      </w:pPr>
      <w:bookmarkStart w:id="110" w:name="_Toc8790_WPSOffice_Level1"/>
      <w:bookmarkStart w:id="111" w:name="_Toc27216_WPSOffice_Level1"/>
      <w:r>
        <w:rPr>
          <w:rFonts w:hint="eastAsia" w:ascii="宋体" w:hAnsi="宋体" w:cs="宋体"/>
          <w:color w:val="auto"/>
          <w:sz w:val="32"/>
          <w:szCs w:val="32"/>
          <w:highlight w:val="none"/>
        </w:rPr>
        <w:t>13、仓储能力</w:t>
      </w:r>
    </w:p>
    <w:p w14:paraId="2506B05D">
      <w:pPr>
        <w:rPr>
          <w:rFonts w:ascii="宋体" w:hAnsi="宋体" w:cs="宋体"/>
          <w:bCs/>
          <w:color w:val="auto"/>
          <w:sz w:val="24"/>
          <w:highlight w:val="none"/>
        </w:rPr>
      </w:pPr>
      <w:r>
        <w:rPr>
          <w:rFonts w:hint="eastAsia" w:ascii="宋体" w:hAnsi="宋体" w:cs="宋体"/>
          <w:bCs/>
          <w:color w:val="auto"/>
          <w:sz w:val="24"/>
          <w:highlight w:val="none"/>
        </w:rPr>
        <w:t>应答：</w:t>
      </w:r>
      <w:bookmarkEnd w:id="110"/>
      <w:bookmarkEnd w:id="111"/>
      <w:r>
        <w:rPr>
          <w:rFonts w:hint="eastAsia" w:ascii="宋体" w:hAnsi="宋体" w:cs="宋体"/>
          <w:bCs/>
          <w:color w:val="auto"/>
          <w:sz w:val="24"/>
          <w:highlight w:val="none"/>
        </w:rPr>
        <w:t>如为自有提供房屋产权证明，租赁则需提供有效的租赁合同，未提供或提供不全不得分。</w:t>
      </w:r>
    </w:p>
    <w:p w14:paraId="56C16A60">
      <w:pPr>
        <w:pStyle w:val="39"/>
        <w:rPr>
          <w:color w:val="auto"/>
          <w:highlight w:val="none"/>
        </w:rPr>
      </w:pPr>
    </w:p>
    <w:p w14:paraId="42A2E544">
      <w:pPr>
        <w:rPr>
          <w:rFonts w:ascii="宋体" w:hAnsi="宋体" w:cs="宋体"/>
          <w:color w:val="auto"/>
          <w:highlight w:val="none"/>
        </w:rPr>
      </w:pPr>
    </w:p>
    <w:p w14:paraId="4931E07C">
      <w:pPr>
        <w:pStyle w:val="9"/>
        <w:rPr>
          <w:rFonts w:ascii="宋体" w:hAnsi="宋体" w:eastAsia="宋体" w:cs="宋体"/>
          <w:b/>
          <w:color w:val="auto"/>
          <w:sz w:val="32"/>
          <w:szCs w:val="32"/>
          <w:highlight w:val="none"/>
        </w:rPr>
      </w:pPr>
      <w:bookmarkStart w:id="112" w:name="_Toc14920_WPSOffice_Level1"/>
      <w:bookmarkStart w:id="113" w:name="_Toc20295_WPSOffice_Level1"/>
      <w:r>
        <w:rPr>
          <w:rFonts w:hint="eastAsia" w:ascii="宋体" w:hAnsi="宋体" w:eastAsia="宋体" w:cs="宋体"/>
          <w:b/>
          <w:color w:val="auto"/>
          <w:sz w:val="32"/>
          <w:szCs w:val="32"/>
          <w:highlight w:val="none"/>
        </w:rPr>
        <w:t>14、供应产品的来源</w:t>
      </w:r>
    </w:p>
    <w:bookmarkEnd w:id="112"/>
    <w:bookmarkEnd w:id="113"/>
    <w:p w14:paraId="560B957A">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284AF165">
      <w:pPr>
        <w:jc w:val="center"/>
        <w:rPr>
          <w:color w:val="auto"/>
          <w:highlight w:val="none"/>
        </w:rPr>
      </w:pPr>
    </w:p>
    <w:p w14:paraId="65C0807D">
      <w:pPr>
        <w:pStyle w:val="12"/>
        <w:jc w:val="center"/>
        <w:rPr>
          <w:color w:val="auto"/>
          <w:sz w:val="32"/>
          <w:szCs w:val="32"/>
          <w:highlight w:val="none"/>
        </w:rPr>
      </w:pPr>
    </w:p>
    <w:p w14:paraId="2C040FED">
      <w:pPr>
        <w:pStyle w:val="9"/>
        <w:rPr>
          <w:rFonts w:ascii="宋体" w:hAnsi="宋体" w:eastAsia="宋体" w:cs="宋体"/>
          <w:b/>
          <w:color w:val="auto"/>
          <w:sz w:val="32"/>
          <w:szCs w:val="32"/>
          <w:highlight w:val="none"/>
        </w:rPr>
      </w:pPr>
      <w:bookmarkStart w:id="114" w:name="_Toc19130_WPSOffice_Level1"/>
      <w:bookmarkStart w:id="115" w:name="_Toc24324_WPSOffice_Level1"/>
      <w:r>
        <w:rPr>
          <w:rFonts w:hint="eastAsia" w:ascii="宋体" w:hAnsi="宋体" w:eastAsia="宋体" w:cs="宋体"/>
          <w:b/>
          <w:color w:val="auto"/>
          <w:sz w:val="32"/>
          <w:szCs w:val="32"/>
          <w:highlight w:val="none"/>
        </w:rPr>
        <w:t>15、</w:t>
      </w:r>
      <w:bookmarkEnd w:id="114"/>
      <w:bookmarkEnd w:id="115"/>
      <w:r>
        <w:rPr>
          <w:rFonts w:hint="eastAsia" w:ascii="宋体" w:hAnsi="宋体" w:eastAsia="宋体" w:cs="宋体"/>
          <w:b/>
          <w:color w:val="auto"/>
          <w:sz w:val="32"/>
          <w:szCs w:val="32"/>
          <w:highlight w:val="none"/>
        </w:rPr>
        <w:t>食品安全检测能力</w:t>
      </w:r>
    </w:p>
    <w:p w14:paraId="43C42D75">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7C1130E7">
      <w:pPr>
        <w:jc w:val="center"/>
        <w:rPr>
          <w:color w:val="auto"/>
          <w:highlight w:val="none"/>
        </w:rPr>
      </w:pPr>
    </w:p>
    <w:p w14:paraId="3F31D091">
      <w:pPr>
        <w:pStyle w:val="12"/>
        <w:jc w:val="center"/>
        <w:rPr>
          <w:color w:val="auto"/>
          <w:highlight w:val="none"/>
        </w:rPr>
      </w:pPr>
    </w:p>
    <w:p w14:paraId="4069EA0B">
      <w:pPr>
        <w:rPr>
          <w:rFonts w:ascii="宋体" w:hAnsi="宋体" w:cs="宋体"/>
          <w:b/>
          <w:color w:val="auto"/>
          <w:sz w:val="32"/>
          <w:szCs w:val="32"/>
          <w:highlight w:val="none"/>
        </w:rPr>
      </w:pPr>
      <w:bookmarkStart w:id="116" w:name="_Toc13080_WPSOffice_Level1"/>
      <w:bookmarkStart w:id="117" w:name="_Toc19006_WPSOffice_Level1"/>
      <w:r>
        <w:rPr>
          <w:rFonts w:hint="eastAsia" w:ascii="宋体" w:hAnsi="宋体" w:cs="宋体"/>
          <w:b/>
          <w:color w:val="auto"/>
          <w:sz w:val="32"/>
          <w:szCs w:val="32"/>
          <w:highlight w:val="none"/>
        </w:rPr>
        <w:t>16、</w:t>
      </w:r>
      <w:bookmarkEnd w:id="116"/>
      <w:bookmarkEnd w:id="117"/>
      <w:r>
        <w:rPr>
          <w:rFonts w:hint="eastAsia" w:ascii="宋体" w:hAnsi="宋体" w:cs="宋体"/>
          <w:b/>
          <w:color w:val="auto"/>
          <w:sz w:val="32"/>
          <w:szCs w:val="32"/>
          <w:highlight w:val="none"/>
        </w:rPr>
        <w:t>实施方案</w:t>
      </w:r>
    </w:p>
    <w:p w14:paraId="20E231AF">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76CAB97E">
      <w:pPr>
        <w:jc w:val="center"/>
        <w:rPr>
          <w:rFonts w:ascii="宋体" w:hAnsi="宋体" w:cs="宋体"/>
          <w:b/>
          <w:color w:val="auto"/>
          <w:sz w:val="30"/>
          <w:szCs w:val="30"/>
          <w:highlight w:val="none"/>
        </w:rPr>
      </w:pPr>
    </w:p>
    <w:p w14:paraId="4662EF1B">
      <w:pPr>
        <w:rPr>
          <w:rFonts w:ascii="宋体" w:hAnsi="宋体" w:cs="宋体"/>
          <w:b/>
          <w:color w:val="auto"/>
          <w:sz w:val="32"/>
          <w:szCs w:val="32"/>
          <w:highlight w:val="none"/>
        </w:rPr>
      </w:pPr>
      <w:bookmarkStart w:id="118" w:name="_Toc12145_WPSOffice_Level1"/>
      <w:bookmarkStart w:id="119" w:name="_Toc19468_WPSOffice_Level1"/>
      <w:r>
        <w:rPr>
          <w:rFonts w:hint="eastAsia" w:ascii="宋体" w:hAnsi="宋体" w:cs="宋体"/>
          <w:b/>
          <w:color w:val="auto"/>
          <w:sz w:val="32"/>
          <w:szCs w:val="32"/>
          <w:highlight w:val="none"/>
        </w:rPr>
        <w:t>17、</w:t>
      </w:r>
      <w:bookmarkEnd w:id="118"/>
      <w:bookmarkEnd w:id="119"/>
      <w:r>
        <w:rPr>
          <w:rFonts w:hint="eastAsia" w:ascii="宋体" w:hAnsi="宋体" w:cs="宋体"/>
          <w:b/>
          <w:color w:val="auto"/>
          <w:sz w:val="32"/>
          <w:szCs w:val="32"/>
          <w:highlight w:val="none"/>
        </w:rPr>
        <w:t>产品质量保障</w:t>
      </w:r>
    </w:p>
    <w:p w14:paraId="0176374B">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4A1F79FF">
      <w:pPr>
        <w:rPr>
          <w:rFonts w:ascii="宋体" w:hAnsi="宋体" w:cs="宋体"/>
          <w:b/>
          <w:color w:val="auto"/>
          <w:sz w:val="30"/>
          <w:szCs w:val="30"/>
          <w:highlight w:val="none"/>
        </w:rPr>
      </w:pPr>
    </w:p>
    <w:p w14:paraId="798C55EC">
      <w:pPr>
        <w:rPr>
          <w:rFonts w:ascii="宋体" w:hAnsi="宋体" w:cs="宋体"/>
          <w:b/>
          <w:color w:val="auto"/>
          <w:sz w:val="32"/>
          <w:szCs w:val="32"/>
          <w:highlight w:val="none"/>
        </w:rPr>
      </w:pPr>
      <w:bookmarkStart w:id="120" w:name="_Toc21080_WPSOffice_Level1"/>
      <w:bookmarkStart w:id="121" w:name="_Toc964_WPSOffice_Level1"/>
      <w:r>
        <w:rPr>
          <w:rFonts w:hint="eastAsia" w:ascii="宋体" w:hAnsi="宋体" w:cs="宋体"/>
          <w:b/>
          <w:color w:val="auto"/>
          <w:sz w:val="32"/>
          <w:szCs w:val="32"/>
          <w:highlight w:val="none"/>
        </w:rPr>
        <w:t>18、</w:t>
      </w:r>
      <w:bookmarkEnd w:id="120"/>
      <w:bookmarkEnd w:id="121"/>
      <w:r>
        <w:rPr>
          <w:rFonts w:hint="eastAsia" w:ascii="宋体" w:hAnsi="宋体" w:cs="宋体"/>
          <w:b/>
          <w:color w:val="auto"/>
          <w:sz w:val="32"/>
          <w:szCs w:val="32"/>
          <w:highlight w:val="none"/>
        </w:rPr>
        <w:t>特殊情况应急保障方案</w:t>
      </w:r>
    </w:p>
    <w:p w14:paraId="5764D2FE">
      <w:pPr>
        <w:rPr>
          <w:rFonts w:ascii="宋体" w:hAnsi="宋体" w:cs="宋体"/>
          <w:bCs/>
          <w:color w:val="auto"/>
          <w:sz w:val="24"/>
          <w:highlight w:val="none"/>
        </w:rPr>
      </w:pPr>
      <w:r>
        <w:rPr>
          <w:rFonts w:hint="eastAsia" w:ascii="宋体" w:hAnsi="宋体" w:cs="宋体"/>
          <w:bCs/>
          <w:color w:val="auto"/>
          <w:sz w:val="24"/>
          <w:highlight w:val="none"/>
        </w:rPr>
        <w:t>应答：（格式内容自拟，建议参照评审标准及办法编写）</w:t>
      </w:r>
    </w:p>
    <w:p w14:paraId="3B572422">
      <w:pPr>
        <w:rPr>
          <w:rFonts w:ascii="宋体" w:hAnsi="宋体" w:cs="宋体"/>
          <w:bCs/>
          <w:color w:val="auto"/>
          <w:sz w:val="24"/>
          <w:highlight w:val="none"/>
        </w:rPr>
      </w:pPr>
    </w:p>
    <w:p w14:paraId="69E44E0B">
      <w:pPr>
        <w:rPr>
          <w:rFonts w:ascii="宋体" w:hAnsi="宋体" w:cs="宋体"/>
          <w:b/>
          <w:color w:val="auto"/>
          <w:sz w:val="32"/>
          <w:szCs w:val="32"/>
          <w:highlight w:val="none"/>
        </w:rPr>
      </w:pPr>
      <w:r>
        <w:rPr>
          <w:rFonts w:hint="eastAsia" w:ascii="宋体" w:hAnsi="宋体" w:cs="宋体"/>
          <w:b/>
          <w:color w:val="auto"/>
          <w:sz w:val="32"/>
          <w:szCs w:val="32"/>
          <w:highlight w:val="none"/>
        </w:rPr>
        <w:t>19、产品质量保障</w:t>
      </w:r>
    </w:p>
    <w:p w14:paraId="56A6B724">
      <w:pPr>
        <w:rPr>
          <w:rFonts w:ascii="宋体" w:hAnsi="宋体" w:cs="宋体"/>
          <w:bCs/>
          <w:color w:val="auto"/>
          <w:sz w:val="24"/>
          <w:highlight w:val="none"/>
        </w:rPr>
      </w:pPr>
      <w:r>
        <w:rPr>
          <w:rFonts w:ascii="宋体" w:hAnsi="宋体" w:cs="宋体"/>
          <w:bCs/>
          <w:color w:val="auto"/>
          <w:sz w:val="24"/>
          <w:highlight w:val="none"/>
        </w:rPr>
        <w:t>应答：（格式内容自拟，建议参照评审标准及办法编写）</w:t>
      </w:r>
    </w:p>
    <w:p w14:paraId="658F5B7B">
      <w:pPr>
        <w:pStyle w:val="2"/>
        <w:ind w:firstLine="0" w:firstLineChars="0"/>
        <w:rPr>
          <w:color w:val="auto"/>
          <w:highlight w:val="none"/>
        </w:rPr>
      </w:pPr>
    </w:p>
    <w:p w14:paraId="28581BF0">
      <w:pPr>
        <w:rPr>
          <w:rFonts w:ascii="宋体" w:hAnsi="宋体" w:cs="宋体"/>
          <w:b/>
          <w:color w:val="auto"/>
          <w:sz w:val="32"/>
          <w:szCs w:val="32"/>
          <w:highlight w:val="none"/>
        </w:rPr>
      </w:pPr>
      <w:bookmarkStart w:id="122" w:name="_Toc26854_WPSOffice_Level1"/>
      <w:bookmarkStart w:id="123" w:name="_Toc8226_WPSOffice_Level1"/>
      <w:bookmarkStart w:id="124" w:name="_Toc24204"/>
      <w:bookmarkStart w:id="125" w:name="_Toc15962"/>
      <w:r>
        <w:rPr>
          <w:rFonts w:hint="eastAsia" w:ascii="宋体" w:hAnsi="宋体" w:cs="宋体"/>
          <w:b/>
          <w:color w:val="auto"/>
          <w:sz w:val="32"/>
          <w:szCs w:val="32"/>
          <w:highlight w:val="none"/>
        </w:rPr>
        <w:t>四、其他文件</w:t>
      </w:r>
      <w:bookmarkEnd w:id="122"/>
      <w:bookmarkEnd w:id="123"/>
    </w:p>
    <w:p w14:paraId="55D53CC9">
      <w:pPr>
        <w:snapToGrid w:val="0"/>
        <w:spacing w:line="500" w:lineRule="exact"/>
        <w:ind w:firstLine="480" w:firstLineChars="200"/>
        <w:rPr>
          <w:rFonts w:ascii="宋体" w:hAnsi="宋体" w:cs="宋体"/>
          <w:color w:val="auto"/>
          <w:spacing w:val="-6"/>
          <w:sz w:val="24"/>
          <w:highlight w:val="none"/>
        </w:rPr>
      </w:pPr>
      <w:bookmarkStart w:id="126" w:name="_Toc28943_WPSOffice_Level1"/>
      <w:bookmarkStart w:id="127" w:name="_Toc2401_WPSOffice_Level1"/>
      <w:r>
        <w:rPr>
          <w:rFonts w:hint="eastAsia" w:ascii="宋体" w:hAnsi="宋体" w:cs="宋体"/>
          <w:bCs/>
          <w:color w:val="auto"/>
          <w:sz w:val="24"/>
          <w:highlight w:val="none"/>
        </w:rPr>
        <w:t>（注：响应文件的内容包括但不仅限于上述内容，如有不足请自行补充，建议参照评审标准及办法编写）</w:t>
      </w:r>
      <w:bookmarkEnd w:id="85"/>
      <w:bookmarkEnd w:id="124"/>
      <w:bookmarkEnd w:id="125"/>
      <w:bookmarkEnd w:id="126"/>
      <w:bookmarkEnd w:id="127"/>
    </w:p>
    <w:p w14:paraId="57EFFE43">
      <w:pPr>
        <w:pStyle w:val="39"/>
        <w:rPr>
          <w:color w:val="auto"/>
          <w:highlight w:val="none"/>
        </w:rPr>
      </w:pPr>
    </w:p>
    <w:p w14:paraId="28532B94">
      <w:pPr>
        <w:pStyle w:val="25"/>
        <w:shd w:val="clear" w:color="auto" w:fill="FFFFFF"/>
        <w:spacing w:before="0" w:beforeAutospacing="0" w:after="0" w:afterAutospacing="0" w:line="500" w:lineRule="exact"/>
        <w:jc w:val="center"/>
        <w:rPr>
          <w:rStyle w:val="32"/>
          <w:rFonts w:ascii="宋体" w:hAnsi="宋体" w:cs="宋体"/>
          <w:color w:val="auto"/>
          <w:sz w:val="36"/>
          <w:szCs w:val="36"/>
          <w:highlight w:val="none"/>
        </w:rPr>
        <w:sectPr>
          <w:pgSz w:w="11906" w:h="16838"/>
          <w:pgMar w:top="1440" w:right="1800" w:bottom="1440" w:left="1800" w:header="851" w:footer="992" w:gutter="0"/>
          <w:cols w:space="425" w:num="1"/>
          <w:docGrid w:type="lines" w:linePitch="312" w:charSpace="0"/>
        </w:sectPr>
      </w:pPr>
      <w:bookmarkStart w:id="128" w:name="_Toc9451_WPSOffice_Level1"/>
      <w:bookmarkStart w:id="129" w:name="_Toc27606_WPSOffice_Level1"/>
    </w:p>
    <w:p w14:paraId="34EBBC62">
      <w:pPr>
        <w:pStyle w:val="25"/>
        <w:widowControl/>
        <w:spacing w:line="520" w:lineRule="exact"/>
        <w:ind w:firstLine="420"/>
        <w:jc w:val="center"/>
        <w:rPr>
          <w:rFonts w:ascii="宋体" w:hAnsi="宋体" w:cs="宋体"/>
          <w:color w:val="auto"/>
          <w:sz w:val="24"/>
          <w:highlight w:val="none"/>
        </w:rPr>
      </w:pPr>
      <w:r>
        <w:rPr>
          <w:rStyle w:val="32"/>
          <w:rFonts w:hint="eastAsia" w:ascii="宋体" w:hAnsi="宋体" w:cs="宋体"/>
          <w:color w:val="auto"/>
          <w:sz w:val="24"/>
          <w:highlight w:val="none"/>
        </w:rPr>
        <w:t>中小企业声明函(（货物)）</w:t>
      </w:r>
    </w:p>
    <w:p w14:paraId="73CD66CD">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本公司（联合体）郑重声明，根据《政府采购促进中小企业发展管理办法》（财库〔2020〕[2020]46号）的规定，本公司（联合体）参加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（单位名称）的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（项目名称）采购活动，提供的货物全部由符合政策要求的中小企业制造。相关企业（含联合体中的中小企业、签订分包意向协议的中小企业）的具体情况如下：</w:t>
      </w:r>
    </w:p>
    <w:p w14:paraId="1C84AE7A">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（标的名称），属于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b/>
          <w:bCs/>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（采购文件中明确的所属行业）；制造商为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（企业名称），从业人员</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（中型企业、小型企业、微型企业）；</w:t>
      </w:r>
    </w:p>
    <w:p w14:paraId="72C53469">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（标的名称），属于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（采购文件中明确的所属行业）；制造商为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（企业名称），从业人员</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（中型企业、小型企业、微型企业）；</w:t>
      </w:r>
    </w:p>
    <w:p w14:paraId="3A23F314">
      <w:pPr>
        <w:pStyle w:val="2"/>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14:paraId="6F7412CE">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以上企业，不属于大企业的分支机构，不存在控股股东为大企业的情形，也不存在与大企业的负责人为同一人的情形。</w:t>
      </w:r>
    </w:p>
    <w:p w14:paraId="6E34DBAE">
      <w:pPr>
        <w:widowControl/>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本企业对上述声明内容的真实性负责。如有虚假，将依法承担相应责任。</w:t>
      </w:r>
    </w:p>
    <w:p w14:paraId="4652E6C1">
      <w:pPr>
        <w:widowControl/>
        <w:spacing w:line="360" w:lineRule="auto"/>
        <w:rPr>
          <w:rFonts w:asciiTheme="minorEastAsia" w:hAnsiTheme="minorEastAsia" w:eastAsiaTheme="minorEastAsia" w:cstheme="minorEastAsia"/>
          <w:color w:val="auto"/>
          <w:sz w:val="24"/>
          <w:highlight w:val="none"/>
        </w:rPr>
      </w:pPr>
    </w:p>
    <w:p w14:paraId="1463848D">
      <w:pPr>
        <w:widowControl/>
        <w:spacing w:line="360" w:lineRule="auto"/>
        <w:rPr>
          <w:rFonts w:asciiTheme="minorEastAsia" w:hAnsiTheme="minorEastAsia" w:eastAsiaTheme="minorEastAsia" w:cstheme="minorEastAsia"/>
          <w:color w:val="auto"/>
          <w:sz w:val="24"/>
          <w:highlight w:val="none"/>
        </w:rPr>
      </w:pPr>
    </w:p>
    <w:p w14:paraId="45AEEEED">
      <w:pPr>
        <w:widowControl/>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企业名称（盖章）：</w:t>
      </w:r>
    </w:p>
    <w:p w14:paraId="5A949161">
      <w:pP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sz w:val="24"/>
          <w:highlight w:val="none"/>
        </w:rPr>
        <w:t>日期：</w:t>
      </w:r>
    </w:p>
    <w:p w14:paraId="774C6090">
      <w:pPr>
        <w:rPr>
          <w:rFonts w:ascii="宋体" w:hAnsi="宋体" w:cs="宋体"/>
          <w:color w:val="auto"/>
          <w:spacing w:val="7"/>
          <w:sz w:val="28"/>
          <w:szCs w:val="28"/>
          <w:highlight w:val="none"/>
          <w14:textOutline w14:w="6540" w14:cap="sq" w14:cmpd="sng" w14:algn="ctr">
            <w14:solidFill>
              <w14:srgbClr w14:val="000000"/>
            </w14:solidFill>
            <w14:prstDash w14:val="solid"/>
            <w14:bevel/>
          </w14:textOutline>
        </w:rPr>
      </w:pPr>
    </w:p>
    <w:p w14:paraId="1299DA31">
      <w:pPr>
        <w:pStyle w:val="12"/>
        <w:spacing w:after="0" w:line="360" w:lineRule="auto"/>
        <w:ind w:firstLine="480" w:firstLineChars="200"/>
        <w:rPr>
          <w:rFonts w:ascii="宋体" w:hAnsi="宋体" w:cs="宋体"/>
          <w:color w:val="auto"/>
          <w:sz w:val="24"/>
          <w:highlight w:val="none"/>
        </w:rPr>
      </w:pPr>
    </w:p>
    <w:p w14:paraId="5693E0A5">
      <w:pPr>
        <w:pStyle w:val="12"/>
        <w:spacing w:after="0" w:line="360" w:lineRule="auto"/>
        <w:ind w:firstLine="480" w:firstLineChars="200"/>
        <w:rPr>
          <w:rFonts w:ascii="宋体" w:hAnsi="宋体" w:cs="宋体"/>
          <w:color w:val="auto"/>
          <w:sz w:val="24"/>
          <w:highlight w:val="none"/>
        </w:rPr>
      </w:pPr>
    </w:p>
    <w:p w14:paraId="07634997">
      <w:pPr>
        <w:pStyle w:val="12"/>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从业人员、营业收入、资产总额填报上一年度数据，无上一年度数据的新成立</w:t>
      </w:r>
      <w:bookmarkStart w:id="130" w:name="_Toc17009"/>
      <w:bookmarkStart w:id="131" w:name="_Toc8531"/>
      <w:bookmarkStart w:id="132" w:name="_Toc31268"/>
      <w:bookmarkStart w:id="133" w:name="_Toc1088"/>
      <w:bookmarkStart w:id="134" w:name="_Toc32110"/>
      <w:bookmarkStart w:id="135" w:name="_Toc5249"/>
      <w:bookmarkStart w:id="136" w:name="_Toc12566"/>
      <w:bookmarkStart w:id="137" w:name="_Toc6760"/>
      <w:r>
        <w:rPr>
          <w:rFonts w:hint="eastAsia" w:ascii="宋体" w:hAnsi="宋体" w:cs="宋体"/>
          <w:color w:val="auto"/>
          <w:sz w:val="24"/>
          <w:highlight w:val="none"/>
        </w:rPr>
        <w:t>企业可不填报。</w:t>
      </w:r>
      <w:bookmarkEnd w:id="130"/>
      <w:bookmarkEnd w:id="131"/>
      <w:bookmarkEnd w:id="132"/>
      <w:bookmarkEnd w:id="133"/>
      <w:bookmarkEnd w:id="134"/>
      <w:bookmarkEnd w:id="135"/>
      <w:bookmarkEnd w:id="136"/>
      <w:bookmarkEnd w:id="137"/>
    </w:p>
    <w:p w14:paraId="4B19AF4F">
      <w:pPr>
        <w:rPr>
          <w:color w:val="auto"/>
          <w:highlight w:val="none"/>
        </w:rPr>
      </w:pPr>
      <w:r>
        <w:rPr>
          <w:rFonts w:hint="eastAsia" w:ascii="宋体" w:hAnsi="宋体" w:cs="宋体"/>
          <w:color w:val="auto"/>
          <w:sz w:val="24"/>
          <w:highlight w:val="none"/>
        </w:rPr>
        <w:t>项目所属行业：【】</w:t>
      </w:r>
      <w:r>
        <w:rPr>
          <w:rFonts w:hint="eastAsia" w:ascii="宋体" w:hAnsi="宋体" w:cs="宋体"/>
          <w:b/>
          <w:bCs/>
          <w:color w:val="auto"/>
          <w:sz w:val="24"/>
          <w:highlight w:val="none"/>
        </w:rPr>
        <w:t>（</w:t>
      </w:r>
      <w:r>
        <w:rPr>
          <w:rFonts w:hint="eastAsia" w:ascii="宋体" w:hAnsi="宋体" w:cs="宋体"/>
          <w:color w:val="auto"/>
          <w:sz w:val="24"/>
          <w:highlight w:val="none"/>
        </w:rPr>
        <w:t>附件1中小企业划型标准规定）</w:t>
      </w:r>
    </w:p>
    <w:p w14:paraId="3D8289D0">
      <w:pPr>
        <w:rPr>
          <w:rFonts w:ascii="宋体" w:hAnsi="宋体" w:cs="宋体"/>
          <w:color w:val="auto"/>
          <w:spacing w:val="7"/>
          <w:sz w:val="28"/>
          <w:szCs w:val="28"/>
          <w:highlight w:val="none"/>
          <w14:textOutline w14:w="6540" w14:cap="sq" w14:cmpd="sng" w14:algn="ctr">
            <w14:solidFill>
              <w14:srgbClr w14:val="000000"/>
            </w14:solidFill>
            <w14:prstDash w14:val="solid"/>
            <w14:bevel/>
          </w14:textOutline>
        </w:rPr>
      </w:pPr>
      <w:r>
        <w:rPr>
          <w:rFonts w:hint="eastAsia" w:ascii="宋体" w:hAnsi="宋体" w:cs="宋体"/>
          <w:color w:val="auto"/>
          <w:spacing w:val="7"/>
          <w:sz w:val="28"/>
          <w:szCs w:val="28"/>
          <w:highlight w:val="none"/>
          <w14:textOutline w14:w="6540" w14:cap="sq" w14:cmpd="sng" w14:algn="ctr">
            <w14:solidFill>
              <w14:srgbClr w14:val="000000"/>
            </w14:solidFill>
            <w14:prstDash w14:val="solid"/>
            <w14:bevel/>
          </w14:textOutline>
        </w:rPr>
        <w:br w:type="page"/>
      </w:r>
    </w:p>
    <w:p w14:paraId="363BD0F9">
      <w:pPr>
        <w:pStyle w:val="25"/>
        <w:widowControl/>
        <w:spacing w:line="520" w:lineRule="exact"/>
        <w:ind w:firstLine="420"/>
        <w:jc w:val="center"/>
        <w:rPr>
          <w:rStyle w:val="32"/>
          <w:rFonts w:ascii="宋体" w:hAnsi="宋体" w:cs="宋体"/>
          <w:color w:val="auto"/>
          <w:sz w:val="24"/>
          <w:highlight w:val="none"/>
        </w:rPr>
      </w:pPr>
      <w:r>
        <w:rPr>
          <w:rStyle w:val="32"/>
          <w:rFonts w:hint="eastAsia" w:ascii="宋体" w:hAnsi="宋体" w:cs="宋体"/>
          <w:color w:val="auto"/>
          <w:sz w:val="24"/>
          <w:highlight w:val="none"/>
        </w:rPr>
        <w:t>监狱企业的证明文件（如有）</w:t>
      </w:r>
    </w:p>
    <w:p w14:paraId="755F22E2">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（监狱企业适用）</w:t>
      </w:r>
    </w:p>
    <w:p w14:paraId="1BD51B31">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本公司郑重声明，根据《关于政府采购支持监狱企业发展有关问题的通知》（财库[2014]68号）的规定，本公司为监狱企业。</w:t>
      </w:r>
    </w:p>
    <w:p w14:paraId="473976DE">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本公司参加______单位的______项目竞标活动，竞标活动提供本企业（填写制造的货物，由本企业承担工程、提供服务）。</w:t>
      </w:r>
    </w:p>
    <w:p w14:paraId="01EE3121">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本条所称货物不包括使用大型企业注册商标的货物和服务。</w:t>
      </w:r>
    </w:p>
    <w:p w14:paraId="6CB3B5C2">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本公司对上述声明的真实性负责。如有虚假，将依法承担相应责任。</w:t>
      </w:r>
    </w:p>
    <w:p w14:paraId="7344B249">
      <w:pPr>
        <w:pStyle w:val="76"/>
        <w:spacing w:line="480" w:lineRule="auto"/>
        <w:jc w:val="both"/>
        <w:rPr>
          <w:rFonts w:ascii="宋体" w:hAnsi="宋体" w:eastAsia="宋体" w:cs="宋体"/>
          <w:b w:val="0"/>
          <w:color w:val="auto"/>
          <w:kern w:val="2"/>
          <w:sz w:val="24"/>
          <w:szCs w:val="22"/>
          <w:highlight w:val="none"/>
        </w:rPr>
      </w:pPr>
    </w:p>
    <w:p w14:paraId="487E46BC">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企业名称（盖公章）：</w:t>
      </w:r>
    </w:p>
    <w:p w14:paraId="1C57D7D3">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法定代表人或其授权代表(签字或盖章)：____________</w:t>
      </w:r>
    </w:p>
    <w:p w14:paraId="73112D35">
      <w:pPr>
        <w:pStyle w:val="76"/>
        <w:spacing w:line="480" w:lineRule="auto"/>
        <w:jc w:val="both"/>
        <w:rPr>
          <w:rFonts w:ascii="宋体" w:hAnsi="宋体" w:eastAsia="宋体" w:cs="宋体"/>
          <w:b w:val="0"/>
          <w:color w:val="auto"/>
          <w:kern w:val="2"/>
          <w:sz w:val="24"/>
          <w:szCs w:val="22"/>
          <w:highlight w:val="none"/>
        </w:rPr>
      </w:pPr>
    </w:p>
    <w:p w14:paraId="08319368">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日期：</w:t>
      </w:r>
    </w:p>
    <w:p w14:paraId="1D88E83E">
      <w:pPr>
        <w:pStyle w:val="76"/>
        <w:jc w:val="both"/>
        <w:rPr>
          <w:rFonts w:ascii="宋体" w:hAnsi="宋体" w:eastAsia="宋体" w:cs="宋体"/>
          <w:b w:val="0"/>
          <w:color w:val="auto"/>
          <w:kern w:val="2"/>
          <w:sz w:val="24"/>
          <w:szCs w:val="22"/>
          <w:highlight w:val="none"/>
        </w:rPr>
      </w:pPr>
    </w:p>
    <w:p w14:paraId="094A16A7">
      <w:pPr>
        <w:spacing w:line="600" w:lineRule="auto"/>
        <w:ind w:firstLine="435"/>
        <w:rPr>
          <w:color w:val="auto"/>
          <w:sz w:val="24"/>
          <w:szCs w:val="20"/>
          <w:highlight w:val="none"/>
        </w:rPr>
      </w:pPr>
      <w:r>
        <w:rPr>
          <w:rFonts w:hint="eastAsia"/>
          <w:color w:val="auto"/>
          <w:sz w:val="24"/>
          <w:szCs w:val="20"/>
          <w:highlight w:val="none"/>
        </w:rPr>
        <w:t>说明：</w:t>
      </w:r>
    </w:p>
    <w:p w14:paraId="0E11FD9A">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1.监狱企业参加政府采购活动时，应当提供由省级以上监狱管理局、戒毒管理局（含新疆生产建设兵团）出具的属于监狱企业的证明文件；</w:t>
      </w:r>
    </w:p>
    <w:p w14:paraId="2CC047AE">
      <w:pPr>
        <w:pStyle w:val="76"/>
        <w:spacing w:line="480" w:lineRule="auto"/>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2.如供应商不属于监狱企业，则无须提供。</w:t>
      </w:r>
    </w:p>
    <w:p w14:paraId="27B7CD33">
      <w:pPr>
        <w:pStyle w:val="6"/>
        <w:spacing w:before="0" w:after="0" w:line="360" w:lineRule="auto"/>
        <w:rPr>
          <w:color w:val="auto"/>
          <w:spacing w:val="4"/>
          <w:highlight w:val="none"/>
        </w:rPr>
      </w:pPr>
      <w:r>
        <w:rPr>
          <w:rFonts w:hint="eastAsia"/>
          <w:color w:val="auto"/>
          <w:spacing w:val="4"/>
          <w:highlight w:val="none"/>
        </w:rPr>
        <w:br w:type="page"/>
      </w:r>
      <w:bookmarkStart w:id="138" w:name="_Toc67046901"/>
    </w:p>
    <w:p w14:paraId="28E29046">
      <w:pPr>
        <w:pStyle w:val="25"/>
        <w:widowControl/>
        <w:spacing w:line="520" w:lineRule="exact"/>
        <w:ind w:firstLine="420"/>
        <w:jc w:val="center"/>
        <w:rPr>
          <w:rStyle w:val="32"/>
          <w:rFonts w:ascii="宋体" w:hAnsi="宋体" w:cs="宋体"/>
          <w:color w:val="auto"/>
          <w:sz w:val="24"/>
          <w:highlight w:val="none"/>
        </w:rPr>
      </w:pPr>
      <w:bookmarkStart w:id="139" w:name="_Toc17121_WPSOffice_Level1"/>
      <w:bookmarkStart w:id="140" w:name="_Toc22706_WPSOffice_Level1"/>
      <w:r>
        <w:rPr>
          <w:rStyle w:val="32"/>
          <w:rFonts w:hint="eastAsia" w:ascii="宋体" w:hAnsi="宋体" w:cs="宋体"/>
          <w:color w:val="auto"/>
          <w:sz w:val="24"/>
          <w:highlight w:val="none"/>
        </w:rPr>
        <w:t>残疾人福利性单位声明函（如有）</w:t>
      </w:r>
      <w:bookmarkEnd w:id="138"/>
      <w:bookmarkEnd w:id="139"/>
      <w:bookmarkEnd w:id="140"/>
    </w:p>
    <w:p w14:paraId="6C31900B">
      <w:pPr>
        <w:pStyle w:val="76"/>
        <w:spacing w:line="480" w:lineRule="auto"/>
        <w:ind w:firstLine="480" w:firstLineChars="200"/>
        <w:jc w:val="both"/>
        <w:rPr>
          <w:rFonts w:ascii="宋体" w:hAnsi="宋体" w:eastAsia="宋体" w:cs="宋体"/>
          <w:b w:val="0"/>
          <w:color w:val="auto"/>
          <w:kern w:val="2"/>
          <w:sz w:val="24"/>
          <w:szCs w:val="22"/>
          <w:highlight w:val="none"/>
        </w:rPr>
      </w:pPr>
    </w:p>
    <w:p w14:paraId="1968B86F">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郑重声明，根据《财政部民政部中国残疾人联合会关于促进残疾人就业政府采购政策的通知》（财库〔2017〕141号）的规定，本单位为符合条件的残疾人福利性单位，且本单位参加______单位的______项目竞标活动提供本单位制造的货物（由本单位承担工程/提供服务），或者提供其他残疾人福利性单位制造的货物（不包括使用非残疾人福利性单位注册商标的货物）。</w:t>
      </w:r>
    </w:p>
    <w:p w14:paraId="2AE48A53">
      <w:pPr>
        <w:pStyle w:val="76"/>
        <w:spacing w:line="480" w:lineRule="auto"/>
        <w:ind w:firstLine="480" w:firstLineChars="200"/>
        <w:jc w:val="both"/>
        <w:outlineLvl w:val="2"/>
        <w:rPr>
          <w:rFonts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本单位对上述声明的真实性负责。如有虚假，将依法承担相应责任。</w:t>
      </w:r>
    </w:p>
    <w:p w14:paraId="77C4C8BD">
      <w:pPr>
        <w:spacing w:line="360" w:lineRule="auto"/>
        <w:ind w:firstLine="435"/>
        <w:rPr>
          <w:color w:val="auto"/>
          <w:szCs w:val="16"/>
          <w:highlight w:val="none"/>
        </w:rPr>
      </w:pPr>
    </w:p>
    <w:p w14:paraId="38C45D58">
      <w:pPr>
        <w:spacing w:line="720" w:lineRule="auto"/>
        <w:ind w:firstLine="435"/>
        <w:rPr>
          <w:color w:val="auto"/>
          <w:szCs w:val="16"/>
          <w:highlight w:val="none"/>
        </w:rPr>
      </w:pPr>
      <w:r>
        <w:rPr>
          <w:rFonts w:hint="eastAsia"/>
          <w:color w:val="auto"/>
          <w:szCs w:val="16"/>
          <w:highlight w:val="none"/>
        </w:rPr>
        <w:t>供应商法定代表人/授权代表（签字或盖私章）：</w:t>
      </w:r>
    </w:p>
    <w:p w14:paraId="6691924A">
      <w:pPr>
        <w:spacing w:line="720" w:lineRule="auto"/>
        <w:ind w:firstLine="435"/>
        <w:rPr>
          <w:color w:val="auto"/>
          <w:szCs w:val="16"/>
          <w:highlight w:val="none"/>
        </w:rPr>
      </w:pPr>
      <w:r>
        <w:rPr>
          <w:rFonts w:hint="eastAsia"/>
          <w:color w:val="auto"/>
          <w:szCs w:val="16"/>
          <w:highlight w:val="none"/>
        </w:rPr>
        <w:t>供应商名称（加盖公章）：</w:t>
      </w:r>
    </w:p>
    <w:p w14:paraId="6EB9EBC7">
      <w:pPr>
        <w:spacing w:line="720" w:lineRule="auto"/>
        <w:ind w:firstLine="435"/>
        <w:rPr>
          <w:color w:val="auto"/>
          <w:szCs w:val="16"/>
          <w:highlight w:val="none"/>
        </w:rPr>
      </w:pPr>
      <w:r>
        <w:rPr>
          <w:rFonts w:hint="eastAsia"/>
          <w:color w:val="auto"/>
          <w:szCs w:val="16"/>
          <w:highlight w:val="none"/>
        </w:rPr>
        <w:t>日期：</w:t>
      </w:r>
    </w:p>
    <w:p w14:paraId="2B9DCD74">
      <w:pPr>
        <w:spacing w:line="360" w:lineRule="auto"/>
        <w:ind w:firstLine="435"/>
        <w:rPr>
          <w:color w:val="auto"/>
          <w:szCs w:val="16"/>
          <w:highlight w:val="none"/>
        </w:rPr>
      </w:pPr>
    </w:p>
    <w:p w14:paraId="3E094299">
      <w:pPr>
        <w:spacing w:line="360" w:lineRule="auto"/>
        <w:ind w:firstLine="435"/>
        <w:rPr>
          <w:color w:val="auto"/>
          <w:szCs w:val="16"/>
          <w:highlight w:val="none"/>
        </w:rPr>
      </w:pPr>
      <w:r>
        <w:rPr>
          <w:rFonts w:hint="eastAsia"/>
          <w:color w:val="auto"/>
          <w:szCs w:val="16"/>
          <w:highlight w:val="none"/>
        </w:rPr>
        <w:t>注：如供应商不属于残疾人福利单位，则无须提供。</w:t>
      </w:r>
    </w:p>
    <w:p w14:paraId="7A653602">
      <w:pPr>
        <w:pStyle w:val="25"/>
        <w:shd w:val="clear" w:color="auto" w:fill="FFFFFF"/>
        <w:spacing w:before="0" w:beforeAutospacing="0" w:after="0" w:afterAutospacing="0" w:line="500" w:lineRule="exact"/>
        <w:jc w:val="center"/>
        <w:rPr>
          <w:rStyle w:val="32"/>
          <w:rFonts w:ascii="宋体" w:hAnsi="宋体" w:cs="宋体"/>
          <w:color w:val="auto"/>
          <w:sz w:val="36"/>
          <w:szCs w:val="36"/>
          <w:highlight w:val="none"/>
        </w:rPr>
        <w:sectPr>
          <w:pgSz w:w="11906" w:h="16838"/>
          <w:pgMar w:top="1440" w:right="1800" w:bottom="1440" w:left="1800" w:header="851" w:footer="992" w:gutter="0"/>
          <w:cols w:space="425" w:num="1"/>
          <w:docGrid w:type="lines" w:linePitch="312" w:charSpace="0"/>
        </w:sectPr>
      </w:pPr>
    </w:p>
    <w:p w14:paraId="42F19001">
      <w:pPr>
        <w:pStyle w:val="25"/>
        <w:shd w:val="clear" w:color="auto" w:fill="FFFFFF"/>
        <w:spacing w:before="0" w:beforeAutospacing="0" w:after="0" w:afterAutospacing="0" w:line="500" w:lineRule="exact"/>
        <w:jc w:val="center"/>
        <w:rPr>
          <w:rFonts w:ascii="宋体" w:hAnsi="宋体" w:cs="宋体"/>
          <w:color w:val="auto"/>
          <w:sz w:val="32"/>
          <w:szCs w:val="32"/>
          <w:highlight w:val="none"/>
        </w:rPr>
      </w:pPr>
      <w:r>
        <w:rPr>
          <w:rStyle w:val="32"/>
          <w:rFonts w:hint="eastAsia" w:ascii="宋体" w:hAnsi="宋体" w:cs="宋体"/>
          <w:color w:val="auto"/>
          <w:sz w:val="36"/>
          <w:szCs w:val="36"/>
          <w:highlight w:val="none"/>
        </w:rPr>
        <w:t>附件1中小企业划型标准规定</w:t>
      </w:r>
      <w:bookmarkEnd w:id="128"/>
      <w:bookmarkEnd w:id="129"/>
    </w:p>
    <w:p w14:paraId="6AEDB684">
      <w:pPr>
        <w:pStyle w:val="25"/>
        <w:shd w:val="clear" w:color="auto" w:fill="FFFFFF"/>
        <w:spacing w:before="0" w:beforeAutospacing="0" w:after="0" w:afterAutospacing="0" w:line="500" w:lineRule="exact"/>
        <w:rPr>
          <w:rFonts w:ascii="宋体" w:hAnsi="宋体" w:cs="宋体"/>
          <w:color w:val="auto"/>
          <w:sz w:val="32"/>
          <w:szCs w:val="32"/>
          <w:highlight w:val="none"/>
        </w:rPr>
      </w:pPr>
      <w:r>
        <w:rPr>
          <w:rFonts w:hint="eastAsia" w:ascii="宋体" w:hAnsi="宋体" w:cs="宋体"/>
          <w:color w:val="auto"/>
          <w:sz w:val="32"/>
          <w:szCs w:val="32"/>
          <w:highlight w:val="none"/>
        </w:rPr>
        <w:t>　</w:t>
      </w:r>
    </w:p>
    <w:p w14:paraId="7A961781">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一、根据《</w:t>
      </w:r>
      <w:r>
        <w:rPr>
          <w:color w:val="auto"/>
          <w:highlight w:val="none"/>
        </w:rPr>
        <w:fldChar w:fldCharType="begin"/>
      </w:r>
      <w:r>
        <w:rPr>
          <w:color w:val="auto"/>
          <w:highlight w:val="none"/>
        </w:rPr>
        <w:instrText xml:space="preserve"> HYPERLINK "https://baike.so.com/doc/6614161-6827954.html" \t "https://baike.so.com/doc/_blank" </w:instrText>
      </w:r>
      <w:r>
        <w:rPr>
          <w:color w:val="auto"/>
          <w:highlight w:val="none"/>
        </w:rPr>
        <w:fldChar w:fldCharType="separate"/>
      </w:r>
      <w:r>
        <w:rPr>
          <w:rFonts w:hint="eastAsia" w:ascii="宋体" w:hAnsi="宋体" w:cs="宋体"/>
          <w:bCs/>
          <w:color w:val="auto"/>
          <w:sz w:val="24"/>
          <w:highlight w:val="none"/>
        </w:rPr>
        <w:t>中华人民共和国中小企业促进法</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》和《国务院关于进一步促进中小企业发展的若干意见》(国发〔2009〕36号)，制定本规定。</w:t>
      </w:r>
    </w:p>
    <w:p w14:paraId="736B579B">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二、中小企业划分为中型、小型、微型三种类型，具体标准根据企业从业人员、营业收入、资产总额等指标，结合行业特点制定。</w:t>
      </w:r>
    </w:p>
    <w:p w14:paraId="7549407C">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92E6A37">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四、各行业划型标准为:</w:t>
      </w:r>
    </w:p>
    <w:p w14:paraId="34DD0046">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(一)农、林、牧、渔业。营业收入20000万元以下的为中小微型企业。其中，营业收入500万元及以上的为中型企业，营业收入50万元及以上的为小型企业，营业收入50万元以下的为微型企业。</w:t>
      </w:r>
    </w:p>
    <w:p w14:paraId="358AC246">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5A2A1AB">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B5379C4">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BD35273">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19A3C84">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5559679">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BC8C591">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E7AB8F2">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B4000D7">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EB1EB5">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5839A50">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2444D19">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C507F95">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9EC8D1C">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61DE9DF">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(十六)其他未列明行业。从业人员300人以下的为中小微型企业。其中，从业人员100人及以上的为中型企业;从业人员10人及以上的为小型企业;从业人员10人以下的为微型企业。</w:t>
      </w:r>
    </w:p>
    <w:p w14:paraId="6A3D4973">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五、企业类型的划分以统计部门的统计数据为依据。</w:t>
      </w:r>
    </w:p>
    <w:p w14:paraId="69A8E93A">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六、本规定适用于在中华人民共和国境内依法设立的各类所有制和各种组织形式的企业。个体工商户和本规定以外的行业，参照本规定进行划型。</w:t>
      </w:r>
    </w:p>
    <w:p w14:paraId="247360E7">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57184D1B">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八、本规定由工业和信息化部、国家统计局会同有关部门根据《</w:t>
      </w:r>
      <w:r>
        <w:rPr>
          <w:color w:val="auto"/>
          <w:highlight w:val="none"/>
        </w:rPr>
        <w:fldChar w:fldCharType="begin"/>
      </w:r>
      <w:r>
        <w:rPr>
          <w:color w:val="auto"/>
          <w:highlight w:val="none"/>
        </w:rPr>
        <w:instrText xml:space="preserve"> HYPERLINK "https://baike.so.com/doc/5401471-5639092.html" \t "https://baike.so.com/doc/_blank" </w:instrText>
      </w:r>
      <w:r>
        <w:rPr>
          <w:color w:val="auto"/>
          <w:highlight w:val="none"/>
        </w:rPr>
        <w:fldChar w:fldCharType="separate"/>
      </w:r>
      <w:r>
        <w:rPr>
          <w:rFonts w:hint="eastAsia" w:ascii="宋体" w:hAnsi="宋体" w:cs="宋体"/>
          <w:bCs/>
          <w:color w:val="auto"/>
          <w:sz w:val="24"/>
          <w:highlight w:val="none"/>
        </w:rPr>
        <w:t>国民经济行业分类</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》修订情况和企业发展变化情况适时修订。</w:t>
      </w:r>
    </w:p>
    <w:p w14:paraId="5DF794F6">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九、本规定由工业和信息化部、国家统计局会同有关部门负责解释。</w:t>
      </w:r>
    </w:p>
    <w:p w14:paraId="0DC84AF9">
      <w:pPr>
        <w:pStyle w:val="25"/>
        <w:widowControl/>
        <w:spacing w:before="0" w:beforeAutospacing="0" w:after="0" w:afterAutospacing="0" w:line="50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十、本规定自发布之日起执行，原国家经贸委、原国家计委、财政部和国家统计局2003年颁布的《中小企业标准暂行规定》同时废止。</w:t>
      </w:r>
    </w:p>
    <w:p w14:paraId="7D985FD1">
      <w:pPr>
        <w:pStyle w:val="25"/>
        <w:widowControl/>
        <w:spacing w:before="0" w:beforeAutospacing="0" w:after="0" w:afterAutospacing="0" w:line="500" w:lineRule="atLeast"/>
        <w:ind w:firstLine="480" w:firstLineChars="200"/>
        <w:rPr>
          <w:rFonts w:ascii="宋体" w:hAnsi="宋体" w:cs="宋体"/>
          <w:bCs/>
          <w:color w:val="auto"/>
          <w:sz w:val="24"/>
          <w:highlight w:val="none"/>
        </w:rPr>
      </w:pPr>
    </w:p>
    <w:p w14:paraId="42F715C2">
      <w:pPr>
        <w:rPr>
          <w:rFonts w:ascii="宋体" w:hAnsi="宋体" w:cs="宋体"/>
          <w:b/>
          <w:color w:val="auto"/>
          <w:sz w:val="30"/>
          <w:szCs w:val="30"/>
          <w:highlight w:val="none"/>
        </w:rPr>
      </w:pPr>
      <w:bookmarkStart w:id="141" w:name="1120129-1185072-3_1"/>
      <w:bookmarkEnd w:id="141"/>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B236902-9FCF-4DE8-A86C-C4C1E1FBED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7D7170F-6DE5-43D2-A362-37C55BD7E9C3}"/>
  </w:font>
  <w:font w:name="幼圆">
    <w:altName w:val="宋体"/>
    <w:panose1 w:val="0201050906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3" w:fontKey="{E28A7ADE-3B93-4DCE-A31E-1E97973C84C3}"/>
  </w:font>
  <w:font w:name="方正小标宋简体">
    <w:panose1 w:val="03000509000000000000"/>
    <w:charset w:val="86"/>
    <w:family w:val="auto"/>
    <w:pitch w:val="default"/>
    <w:sig w:usb0="00000001" w:usb1="080E0000" w:usb2="00000000" w:usb3="00000000" w:csb0="00040000" w:csb1="00000000"/>
    <w:embedRegular r:id="rId4" w:fontKey="{DC148AD2-4673-4B51-881C-CD8EB92478D4}"/>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3B1F21CF-FF8D-44F8-BA43-D51C951813E1}"/>
  </w:font>
  <w:font w:name="TimesNewRomanPSMT">
    <w:altName w:val="Times New Roman"/>
    <w:panose1 w:val="00000000000000000000"/>
    <w:charset w:val="00"/>
    <w:family w:val="roman"/>
    <w:pitch w:val="default"/>
    <w:sig w:usb0="00000000" w:usb1="00000000" w:usb2="00000000" w:usb3="00000000" w:csb0="00000000"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Segoe UI Emoji">
    <w:panose1 w:val="020B0502040204020203"/>
    <w:charset w:val="00"/>
    <w:family w:val="swiss"/>
    <w:pitch w:val="default"/>
    <w:sig w:usb0="00000001" w:usb1="02000000" w:usb2="08000000" w:usb3="00000000" w:csb0="00000001" w:csb1="00000000"/>
    <w:embedRegular r:id="rId6" w:fontKey="{AD8FA421-CAA3-4CEA-80D5-D5C5C0CF4777}"/>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965D1">
    <w:pPr>
      <w:spacing w:line="196" w:lineRule="auto"/>
      <w:ind w:left="4779"/>
      <w:rPr>
        <w:rFonts w:eastAsia="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32468">
    <w:pPr>
      <w:spacing w:line="196" w:lineRule="auto"/>
      <w:ind w:left="4779"/>
      <w:rPr>
        <w:rFonts w:eastAsia="Times New Roman"/>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FB573">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2AFB573">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06669">
    <w:pPr>
      <w:spacing w:line="196" w:lineRule="auto"/>
      <w:ind w:left="4779"/>
      <w:rPr>
        <w:rFonts w:eastAsia="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52E6C">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4152E6C">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6993B">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0E97D">
                          <w:pPr>
                            <w:pStyle w:val="1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4E0E97D">
                    <w:pPr>
                      <w:pStyle w:val="1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ADFDA">
    <w:pPr>
      <w:pStyle w:val="1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EF359">
                          <w:pPr>
                            <w:pStyle w:val="1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D9EF359">
                    <w:pPr>
                      <w:pStyle w:val="1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F4B6A">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10809F">
                          <w:pPr>
                            <w:pStyle w:val="19"/>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F10809F">
                    <w:pPr>
                      <w:pStyle w:val="1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8583A">
    <w:pPr>
      <w:spacing w:line="4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D72CF">
    <w:pPr>
      <w:spacing w:line="4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C8FBB">
    <w:pPr>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A25A96"/>
    <w:multiLevelType w:val="singleLevel"/>
    <w:tmpl w:val="E8A25A96"/>
    <w:lvl w:ilvl="0" w:tentative="0">
      <w:start w:val="1"/>
      <w:numFmt w:val="chineseCounting"/>
      <w:suff w:val="nothing"/>
      <w:lvlText w:val="%1、"/>
      <w:lvlJc w:val="left"/>
      <w:rPr>
        <w:rFonts w:hint="eastAsia"/>
      </w:rPr>
    </w:lvl>
  </w:abstractNum>
  <w:abstractNum w:abstractNumId="1">
    <w:nsid w:val="34FE949C"/>
    <w:multiLevelType w:val="singleLevel"/>
    <w:tmpl w:val="34FE949C"/>
    <w:lvl w:ilvl="0" w:tentative="0">
      <w:start w:val="1"/>
      <w:numFmt w:val="decimal"/>
      <w:pStyle w:val="15"/>
      <w:lvlText w:val="%1."/>
      <w:lvlJc w:val="left"/>
      <w:pPr>
        <w:tabs>
          <w:tab w:val="left" w:pos="2040"/>
        </w:tabs>
        <w:ind w:left="20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wOGI4NGI4OWZmZTk1ODQ5MWE1OGYwNzgzNzU4MWIifQ=="/>
  </w:docVars>
  <w:rsids>
    <w:rsidRoot w:val="00422982"/>
    <w:rsid w:val="0008172E"/>
    <w:rsid w:val="000A6C91"/>
    <w:rsid w:val="00111CD4"/>
    <w:rsid w:val="00146BEF"/>
    <w:rsid w:val="00161899"/>
    <w:rsid w:val="001D4206"/>
    <w:rsid w:val="00204F1A"/>
    <w:rsid w:val="002214E9"/>
    <w:rsid w:val="00281337"/>
    <w:rsid w:val="00294185"/>
    <w:rsid w:val="002D4797"/>
    <w:rsid w:val="00422982"/>
    <w:rsid w:val="00514B03"/>
    <w:rsid w:val="006B331D"/>
    <w:rsid w:val="006D0484"/>
    <w:rsid w:val="0077273D"/>
    <w:rsid w:val="008732B5"/>
    <w:rsid w:val="008E4165"/>
    <w:rsid w:val="008F0A37"/>
    <w:rsid w:val="009A59D3"/>
    <w:rsid w:val="009C3FB7"/>
    <w:rsid w:val="009C4FB0"/>
    <w:rsid w:val="00A26E7A"/>
    <w:rsid w:val="00A73409"/>
    <w:rsid w:val="00B62E97"/>
    <w:rsid w:val="00B7652F"/>
    <w:rsid w:val="00B9046D"/>
    <w:rsid w:val="00C30539"/>
    <w:rsid w:val="00C93CF3"/>
    <w:rsid w:val="00CC2EB5"/>
    <w:rsid w:val="00CF16B2"/>
    <w:rsid w:val="00DF45E3"/>
    <w:rsid w:val="00E83F87"/>
    <w:rsid w:val="00EF32BE"/>
    <w:rsid w:val="00F05596"/>
    <w:rsid w:val="00F30969"/>
    <w:rsid w:val="00F83BBB"/>
    <w:rsid w:val="00FA4984"/>
    <w:rsid w:val="00FE6558"/>
    <w:rsid w:val="010D5EC5"/>
    <w:rsid w:val="011E7FE5"/>
    <w:rsid w:val="011F532B"/>
    <w:rsid w:val="01431C28"/>
    <w:rsid w:val="01454888"/>
    <w:rsid w:val="01455F17"/>
    <w:rsid w:val="014A0195"/>
    <w:rsid w:val="01557D86"/>
    <w:rsid w:val="0161161E"/>
    <w:rsid w:val="01620C7B"/>
    <w:rsid w:val="01883D54"/>
    <w:rsid w:val="018F1F55"/>
    <w:rsid w:val="01937797"/>
    <w:rsid w:val="01A15361"/>
    <w:rsid w:val="01BF4FD4"/>
    <w:rsid w:val="01C016C0"/>
    <w:rsid w:val="01C417A4"/>
    <w:rsid w:val="01C82F20"/>
    <w:rsid w:val="01CB3DD3"/>
    <w:rsid w:val="01D41E6A"/>
    <w:rsid w:val="01E128F1"/>
    <w:rsid w:val="01EC66B2"/>
    <w:rsid w:val="01EE2348"/>
    <w:rsid w:val="01EF29DF"/>
    <w:rsid w:val="02015A4B"/>
    <w:rsid w:val="02056CE6"/>
    <w:rsid w:val="02075520"/>
    <w:rsid w:val="020B009E"/>
    <w:rsid w:val="020C3669"/>
    <w:rsid w:val="020E7526"/>
    <w:rsid w:val="020F534C"/>
    <w:rsid w:val="021B59A9"/>
    <w:rsid w:val="02292ACE"/>
    <w:rsid w:val="022A7090"/>
    <w:rsid w:val="022E333E"/>
    <w:rsid w:val="023C343E"/>
    <w:rsid w:val="023C7916"/>
    <w:rsid w:val="024149ED"/>
    <w:rsid w:val="02427EC8"/>
    <w:rsid w:val="02476B75"/>
    <w:rsid w:val="024A6C99"/>
    <w:rsid w:val="025071C8"/>
    <w:rsid w:val="0252360F"/>
    <w:rsid w:val="025A16AE"/>
    <w:rsid w:val="027327D0"/>
    <w:rsid w:val="02740BB8"/>
    <w:rsid w:val="02766330"/>
    <w:rsid w:val="02881AC5"/>
    <w:rsid w:val="028963E4"/>
    <w:rsid w:val="028A6F7C"/>
    <w:rsid w:val="02C14803"/>
    <w:rsid w:val="02C313AB"/>
    <w:rsid w:val="02C820BA"/>
    <w:rsid w:val="02D92D78"/>
    <w:rsid w:val="02EB2C68"/>
    <w:rsid w:val="02ED5985"/>
    <w:rsid w:val="02EE1C6F"/>
    <w:rsid w:val="02F17034"/>
    <w:rsid w:val="02F261EA"/>
    <w:rsid w:val="02F3345B"/>
    <w:rsid w:val="02F40DB3"/>
    <w:rsid w:val="03175930"/>
    <w:rsid w:val="031B2C7F"/>
    <w:rsid w:val="03446CAE"/>
    <w:rsid w:val="034B44A3"/>
    <w:rsid w:val="036B4029"/>
    <w:rsid w:val="036D5093"/>
    <w:rsid w:val="037E4DB0"/>
    <w:rsid w:val="038124E3"/>
    <w:rsid w:val="0397077B"/>
    <w:rsid w:val="03A369B9"/>
    <w:rsid w:val="03AF6C6B"/>
    <w:rsid w:val="03BF71B5"/>
    <w:rsid w:val="03BF7E06"/>
    <w:rsid w:val="03C15826"/>
    <w:rsid w:val="03D81831"/>
    <w:rsid w:val="03D96696"/>
    <w:rsid w:val="03DE41AE"/>
    <w:rsid w:val="03E106F7"/>
    <w:rsid w:val="03E37A51"/>
    <w:rsid w:val="04093C03"/>
    <w:rsid w:val="04156F31"/>
    <w:rsid w:val="0423616E"/>
    <w:rsid w:val="042D60CF"/>
    <w:rsid w:val="043B6D06"/>
    <w:rsid w:val="043D3A66"/>
    <w:rsid w:val="043F474B"/>
    <w:rsid w:val="04474DDE"/>
    <w:rsid w:val="04524B2D"/>
    <w:rsid w:val="04594EBE"/>
    <w:rsid w:val="0468091F"/>
    <w:rsid w:val="04695CFB"/>
    <w:rsid w:val="047B22C9"/>
    <w:rsid w:val="047E00D6"/>
    <w:rsid w:val="047E3544"/>
    <w:rsid w:val="047F0945"/>
    <w:rsid w:val="04844779"/>
    <w:rsid w:val="04854128"/>
    <w:rsid w:val="04854E8F"/>
    <w:rsid w:val="048C54B6"/>
    <w:rsid w:val="048F701F"/>
    <w:rsid w:val="04A3117E"/>
    <w:rsid w:val="04A90DB9"/>
    <w:rsid w:val="04AD7B1C"/>
    <w:rsid w:val="04B50C03"/>
    <w:rsid w:val="04BD0C79"/>
    <w:rsid w:val="04C454DC"/>
    <w:rsid w:val="04C80EB0"/>
    <w:rsid w:val="04D80AE9"/>
    <w:rsid w:val="04E12020"/>
    <w:rsid w:val="04E417BF"/>
    <w:rsid w:val="04E72105"/>
    <w:rsid w:val="04FC391F"/>
    <w:rsid w:val="05050840"/>
    <w:rsid w:val="05135387"/>
    <w:rsid w:val="05174EC2"/>
    <w:rsid w:val="0538530C"/>
    <w:rsid w:val="05393DE8"/>
    <w:rsid w:val="05427102"/>
    <w:rsid w:val="054536D0"/>
    <w:rsid w:val="05483AD3"/>
    <w:rsid w:val="054E3E49"/>
    <w:rsid w:val="05502949"/>
    <w:rsid w:val="0557755C"/>
    <w:rsid w:val="0569410E"/>
    <w:rsid w:val="056D374B"/>
    <w:rsid w:val="05710EC2"/>
    <w:rsid w:val="05732B11"/>
    <w:rsid w:val="05744F19"/>
    <w:rsid w:val="057929FC"/>
    <w:rsid w:val="057B7474"/>
    <w:rsid w:val="057D1E6A"/>
    <w:rsid w:val="0587053A"/>
    <w:rsid w:val="05881032"/>
    <w:rsid w:val="05946D18"/>
    <w:rsid w:val="059B00A7"/>
    <w:rsid w:val="05B418E6"/>
    <w:rsid w:val="05B91364"/>
    <w:rsid w:val="05C174EC"/>
    <w:rsid w:val="05C2341A"/>
    <w:rsid w:val="05CC2B24"/>
    <w:rsid w:val="05CC7357"/>
    <w:rsid w:val="05D15877"/>
    <w:rsid w:val="05DE6362"/>
    <w:rsid w:val="05E37A63"/>
    <w:rsid w:val="06002114"/>
    <w:rsid w:val="06035901"/>
    <w:rsid w:val="06093262"/>
    <w:rsid w:val="060E438E"/>
    <w:rsid w:val="061424E5"/>
    <w:rsid w:val="061D443E"/>
    <w:rsid w:val="061D713D"/>
    <w:rsid w:val="061F025B"/>
    <w:rsid w:val="06273EBA"/>
    <w:rsid w:val="06344D1B"/>
    <w:rsid w:val="0639341C"/>
    <w:rsid w:val="063C481E"/>
    <w:rsid w:val="06471FDD"/>
    <w:rsid w:val="0648551F"/>
    <w:rsid w:val="065021C5"/>
    <w:rsid w:val="065D2DEC"/>
    <w:rsid w:val="065E07BC"/>
    <w:rsid w:val="066174AF"/>
    <w:rsid w:val="066462EE"/>
    <w:rsid w:val="066F5D15"/>
    <w:rsid w:val="06932236"/>
    <w:rsid w:val="06942B4F"/>
    <w:rsid w:val="069D1CFC"/>
    <w:rsid w:val="06A42F8B"/>
    <w:rsid w:val="06A66D03"/>
    <w:rsid w:val="06B025BD"/>
    <w:rsid w:val="06BB0B67"/>
    <w:rsid w:val="06BD5E7A"/>
    <w:rsid w:val="06BF0909"/>
    <w:rsid w:val="06BF7DC5"/>
    <w:rsid w:val="06C574A8"/>
    <w:rsid w:val="06DB2C97"/>
    <w:rsid w:val="06E07C48"/>
    <w:rsid w:val="06E12B83"/>
    <w:rsid w:val="06E14136"/>
    <w:rsid w:val="06E95BBD"/>
    <w:rsid w:val="06EC076D"/>
    <w:rsid w:val="06F85085"/>
    <w:rsid w:val="06FB7F21"/>
    <w:rsid w:val="06FF0635"/>
    <w:rsid w:val="0710782F"/>
    <w:rsid w:val="071A5701"/>
    <w:rsid w:val="075637AE"/>
    <w:rsid w:val="075744B7"/>
    <w:rsid w:val="07843053"/>
    <w:rsid w:val="078C1C6B"/>
    <w:rsid w:val="07972629"/>
    <w:rsid w:val="07986982"/>
    <w:rsid w:val="079F215D"/>
    <w:rsid w:val="07A82F05"/>
    <w:rsid w:val="07B47D47"/>
    <w:rsid w:val="07B92A66"/>
    <w:rsid w:val="07D520E2"/>
    <w:rsid w:val="07D92EA2"/>
    <w:rsid w:val="07E9494F"/>
    <w:rsid w:val="07EB416A"/>
    <w:rsid w:val="07FA1B3C"/>
    <w:rsid w:val="080D1F98"/>
    <w:rsid w:val="081311EB"/>
    <w:rsid w:val="081E5B36"/>
    <w:rsid w:val="081F50C3"/>
    <w:rsid w:val="08202360"/>
    <w:rsid w:val="08242955"/>
    <w:rsid w:val="08316AA1"/>
    <w:rsid w:val="083737F4"/>
    <w:rsid w:val="083B58EC"/>
    <w:rsid w:val="085302CF"/>
    <w:rsid w:val="08755BCF"/>
    <w:rsid w:val="0889068B"/>
    <w:rsid w:val="088C7A37"/>
    <w:rsid w:val="08987A61"/>
    <w:rsid w:val="08AC29EE"/>
    <w:rsid w:val="08B25CD3"/>
    <w:rsid w:val="08B37162"/>
    <w:rsid w:val="08B7612A"/>
    <w:rsid w:val="08C138B7"/>
    <w:rsid w:val="08C16CD1"/>
    <w:rsid w:val="08CC2E0B"/>
    <w:rsid w:val="08D36D1C"/>
    <w:rsid w:val="08D824EB"/>
    <w:rsid w:val="08E2228D"/>
    <w:rsid w:val="08E81855"/>
    <w:rsid w:val="08F070B8"/>
    <w:rsid w:val="09024EEC"/>
    <w:rsid w:val="0906101C"/>
    <w:rsid w:val="094445DB"/>
    <w:rsid w:val="09495FEF"/>
    <w:rsid w:val="094979E6"/>
    <w:rsid w:val="0953146E"/>
    <w:rsid w:val="09553615"/>
    <w:rsid w:val="097337E4"/>
    <w:rsid w:val="097D1531"/>
    <w:rsid w:val="09815806"/>
    <w:rsid w:val="098211BD"/>
    <w:rsid w:val="09867A33"/>
    <w:rsid w:val="0994772E"/>
    <w:rsid w:val="099757B6"/>
    <w:rsid w:val="09A90F57"/>
    <w:rsid w:val="09AF41F6"/>
    <w:rsid w:val="09BA1A5E"/>
    <w:rsid w:val="09BB47C3"/>
    <w:rsid w:val="09E81DBB"/>
    <w:rsid w:val="09EA5ED1"/>
    <w:rsid w:val="09F84D5E"/>
    <w:rsid w:val="09FA43AB"/>
    <w:rsid w:val="09FF768D"/>
    <w:rsid w:val="0A1B5E17"/>
    <w:rsid w:val="0A356F59"/>
    <w:rsid w:val="0A402359"/>
    <w:rsid w:val="0A477B17"/>
    <w:rsid w:val="0A5251A1"/>
    <w:rsid w:val="0A564CAA"/>
    <w:rsid w:val="0A574C4E"/>
    <w:rsid w:val="0A5E59F2"/>
    <w:rsid w:val="0A6842D0"/>
    <w:rsid w:val="0A7A73A4"/>
    <w:rsid w:val="0A7C5D9A"/>
    <w:rsid w:val="0A912F60"/>
    <w:rsid w:val="0AA25A34"/>
    <w:rsid w:val="0AA70FFE"/>
    <w:rsid w:val="0AAC240E"/>
    <w:rsid w:val="0AC57D42"/>
    <w:rsid w:val="0AC820C6"/>
    <w:rsid w:val="0AC90CD4"/>
    <w:rsid w:val="0ACB60AD"/>
    <w:rsid w:val="0ADD6518"/>
    <w:rsid w:val="0AE75D97"/>
    <w:rsid w:val="0B001CF2"/>
    <w:rsid w:val="0B2E5770"/>
    <w:rsid w:val="0B397DBB"/>
    <w:rsid w:val="0B4478EC"/>
    <w:rsid w:val="0B475FFE"/>
    <w:rsid w:val="0B565F3A"/>
    <w:rsid w:val="0B5B7D7E"/>
    <w:rsid w:val="0B670C20"/>
    <w:rsid w:val="0B6711E6"/>
    <w:rsid w:val="0B733F83"/>
    <w:rsid w:val="0B7363F2"/>
    <w:rsid w:val="0B737FDB"/>
    <w:rsid w:val="0B7C48A4"/>
    <w:rsid w:val="0B8515DB"/>
    <w:rsid w:val="0B8B1944"/>
    <w:rsid w:val="0B922411"/>
    <w:rsid w:val="0B9907D1"/>
    <w:rsid w:val="0BB9603D"/>
    <w:rsid w:val="0BBE46B5"/>
    <w:rsid w:val="0BCD51EC"/>
    <w:rsid w:val="0BD94F85"/>
    <w:rsid w:val="0BE63281"/>
    <w:rsid w:val="0BE97E68"/>
    <w:rsid w:val="0BF01215"/>
    <w:rsid w:val="0C015BDB"/>
    <w:rsid w:val="0C116A61"/>
    <w:rsid w:val="0C1328F8"/>
    <w:rsid w:val="0C285E4F"/>
    <w:rsid w:val="0C2E162E"/>
    <w:rsid w:val="0C321A7D"/>
    <w:rsid w:val="0C3A5F38"/>
    <w:rsid w:val="0C421C91"/>
    <w:rsid w:val="0C48055B"/>
    <w:rsid w:val="0C57284E"/>
    <w:rsid w:val="0C5C3822"/>
    <w:rsid w:val="0C623D5B"/>
    <w:rsid w:val="0C6336EF"/>
    <w:rsid w:val="0C6C5FB4"/>
    <w:rsid w:val="0C724D77"/>
    <w:rsid w:val="0C743FF7"/>
    <w:rsid w:val="0C744623"/>
    <w:rsid w:val="0C7F2FF0"/>
    <w:rsid w:val="0C837BF8"/>
    <w:rsid w:val="0C857F4D"/>
    <w:rsid w:val="0C913FB2"/>
    <w:rsid w:val="0C945EE3"/>
    <w:rsid w:val="0C98256C"/>
    <w:rsid w:val="0CA51C8C"/>
    <w:rsid w:val="0CAB08F7"/>
    <w:rsid w:val="0CB36A34"/>
    <w:rsid w:val="0CB56ED8"/>
    <w:rsid w:val="0CDB026F"/>
    <w:rsid w:val="0CE12D07"/>
    <w:rsid w:val="0CE23502"/>
    <w:rsid w:val="0CE4308B"/>
    <w:rsid w:val="0CEE1716"/>
    <w:rsid w:val="0D245D59"/>
    <w:rsid w:val="0D26492B"/>
    <w:rsid w:val="0D2A0944"/>
    <w:rsid w:val="0D3F0A7C"/>
    <w:rsid w:val="0D3F7C13"/>
    <w:rsid w:val="0D412F0F"/>
    <w:rsid w:val="0D463B94"/>
    <w:rsid w:val="0D503345"/>
    <w:rsid w:val="0D581BA0"/>
    <w:rsid w:val="0D643C9D"/>
    <w:rsid w:val="0D663D36"/>
    <w:rsid w:val="0D6E0B47"/>
    <w:rsid w:val="0D7B0C0D"/>
    <w:rsid w:val="0D8158EB"/>
    <w:rsid w:val="0D8A321D"/>
    <w:rsid w:val="0D8A4D73"/>
    <w:rsid w:val="0D950D58"/>
    <w:rsid w:val="0DA05054"/>
    <w:rsid w:val="0DA475F8"/>
    <w:rsid w:val="0DB24BE8"/>
    <w:rsid w:val="0DB73ADF"/>
    <w:rsid w:val="0DB94BF2"/>
    <w:rsid w:val="0DC02014"/>
    <w:rsid w:val="0DC210F0"/>
    <w:rsid w:val="0DC25076"/>
    <w:rsid w:val="0DDA7D8D"/>
    <w:rsid w:val="0DDD0B79"/>
    <w:rsid w:val="0DE75C7B"/>
    <w:rsid w:val="0E042561"/>
    <w:rsid w:val="0E0B10A1"/>
    <w:rsid w:val="0E0C7BC1"/>
    <w:rsid w:val="0E17155D"/>
    <w:rsid w:val="0E39220B"/>
    <w:rsid w:val="0E4229F8"/>
    <w:rsid w:val="0E4A5DCF"/>
    <w:rsid w:val="0E4C1905"/>
    <w:rsid w:val="0E595FA4"/>
    <w:rsid w:val="0E636DB5"/>
    <w:rsid w:val="0E654101"/>
    <w:rsid w:val="0E95406C"/>
    <w:rsid w:val="0EAF3B53"/>
    <w:rsid w:val="0EB222ED"/>
    <w:rsid w:val="0EC57F43"/>
    <w:rsid w:val="0EC920D0"/>
    <w:rsid w:val="0ECB7A7E"/>
    <w:rsid w:val="0ED2734F"/>
    <w:rsid w:val="0ED3639B"/>
    <w:rsid w:val="0ED62152"/>
    <w:rsid w:val="0EE67DBF"/>
    <w:rsid w:val="0EEF0B20"/>
    <w:rsid w:val="0F16276E"/>
    <w:rsid w:val="0F17365F"/>
    <w:rsid w:val="0F1D0A4F"/>
    <w:rsid w:val="0F1F677D"/>
    <w:rsid w:val="0F252A53"/>
    <w:rsid w:val="0F466BF1"/>
    <w:rsid w:val="0F4B56D3"/>
    <w:rsid w:val="0F4C2387"/>
    <w:rsid w:val="0F4C602A"/>
    <w:rsid w:val="0F4E0EC5"/>
    <w:rsid w:val="0F535D74"/>
    <w:rsid w:val="0F59068B"/>
    <w:rsid w:val="0F86011A"/>
    <w:rsid w:val="0F8676D2"/>
    <w:rsid w:val="0F981AEB"/>
    <w:rsid w:val="0FB10583"/>
    <w:rsid w:val="0FB610D3"/>
    <w:rsid w:val="0FB9307D"/>
    <w:rsid w:val="0FC74656"/>
    <w:rsid w:val="0FC87A76"/>
    <w:rsid w:val="0FD02640"/>
    <w:rsid w:val="0FD146C5"/>
    <w:rsid w:val="0FD760AA"/>
    <w:rsid w:val="0FEA5FC2"/>
    <w:rsid w:val="101908EE"/>
    <w:rsid w:val="101E5995"/>
    <w:rsid w:val="101E758E"/>
    <w:rsid w:val="10382707"/>
    <w:rsid w:val="10412694"/>
    <w:rsid w:val="104B2267"/>
    <w:rsid w:val="104B5041"/>
    <w:rsid w:val="104C1526"/>
    <w:rsid w:val="10550BEA"/>
    <w:rsid w:val="105C2FD7"/>
    <w:rsid w:val="106043C7"/>
    <w:rsid w:val="10737E12"/>
    <w:rsid w:val="107433A5"/>
    <w:rsid w:val="10944581"/>
    <w:rsid w:val="10950E21"/>
    <w:rsid w:val="10A8024D"/>
    <w:rsid w:val="10AD59D5"/>
    <w:rsid w:val="10B17711"/>
    <w:rsid w:val="10C77FA2"/>
    <w:rsid w:val="10CD557B"/>
    <w:rsid w:val="10EB179B"/>
    <w:rsid w:val="10EF4B23"/>
    <w:rsid w:val="10F92A97"/>
    <w:rsid w:val="110B2052"/>
    <w:rsid w:val="110D797F"/>
    <w:rsid w:val="1112279C"/>
    <w:rsid w:val="11190CA6"/>
    <w:rsid w:val="113949BB"/>
    <w:rsid w:val="114B2A0F"/>
    <w:rsid w:val="11515ABE"/>
    <w:rsid w:val="11584447"/>
    <w:rsid w:val="11593A1D"/>
    <w:rsid w:val="115D398D"/>
    <w:rsid w:val="11610D9E"/>
    <w:rsid w:val="11734DC4"/>
    <w:rsid w:val="117D32AF"/>
    <w:rsid w:val="118678B4"/>
    <w:rsid w:val="118B7221"/>
    <w:rsid w:val="118D1B4D"/>
    <w:rsid w:val="11A87DF1"/>
    <w:rsid w:val="11B524F0"/>
    <w:rsid w:val="11CB05E5"/>
    <w:rsid w:val="11CD0A14"/>
    <w:rsid w:val="11D16C2B"/>
    <w:rsid w:val="11D5346E"/>
    <w:rsid w:val="11D81C09"/>
    <w:rsid w:val="11DC3FBE"/>
    <w:rsid w:val="11DF0347"/>
    <w:rsid w:val="11E058AB"/>
    <w:rsid w:val="11E626AA"/>
    <w:rsid w:val="11E701D0"/>
    <w:rsid w:val="11EB0A6E"/>
    <w:rsid w:val="11F333CF"/>
    <w:rsid w:val="11F3549A"/>
    <w:rsid w:val="11F53B87"/>
    <w:rsid w:val="121337FD"/>
    <w:rsid w:val="12165887"/>
    <w:rsid w:val="121A609A"/>
    <w:rsid w:val="121F5BBC"/>
    <w:rsid w:val="12221650"/>
    <w:rsid w:val="12241840"/>
    <w:rsid w:val="122B7211"/>
    <w:rsid w:val="12311EE9"/>
    <w:rsid w:val="12312740"/>
    <w:rsid w:val="12337CD3"/>
    <w:rsid w:val="1241406C"/>
    <w:rsid w:val="12473E5E"/>
    <w:rsid w:val="124904BB"/>
    <w:rsid w:val="124F4532"/>
    <w:rsid w:val="12595AE4"/>
    <w:rsid w:val="125B3ADD"/>
    <w:rsid w:val="126C5111"/>
    <w:rsid w:val="126D6F98"/>
    <w:rsid w:val="126F1D5E"/>
    <w:rsid w:val="12721925"/>
    <w:rsid w:val="12894298"/>
    <w:rsid w:val="128D3ED3"/>
    <w:rsid w:val="129E368A"/>
    <w:rsid w:val="12A601F2"/>
    <w:rsid w:val="12B73E93"/>
    <w:rsid w:val="12C52EDB"/>
    <w:rsid w:val="12DD0CFF"/>
    <w:rsid w:val="12E07076"/>
    <w:rsid w:val="12E11EDA"/>
    <w:rsid w:val="12EF24EC"/>
    <w:rsid w:val="12EF3504"/>
    <w:rsid w:val="12EF5C46"/>
    <w:rsid w:val="12FF465F"/>
    <w:rsid w:val="1302679B"/>
    <w:rsid w:val="13036596"/>
    <w:rsid w:val="13040806"/>
    <w:rsid w:val="130D0DF8"/>
    <w:rsid w:val="13253D9A"/>
    <w:rsid w:val="133311E8"/>
    <w:rsid w:val="133D3589"/>
    <w:rsid w:val="133E4E53"/>
    <w:rsid w:val="13461BDB"/>
    <w:rsid w:val="13693677"/>
    <w:rsid w:val="13790895"/>
    <w:rsid w:val="1384535D"/>
    <w:rsid w:val="138C61F8"/>
    <w:rsid w:val="13945A6A"/>
    <w:rsid w:val="139E3520"/>
    <w:rsid w:val="139F106B"/>
    <w:rsid w:val="13A46AF3"/>
    <w:rsid w:val="13AB7498"/>
    <w:rsid w:val="13AC02D6"/>
    <w:rsid w:val="13AC331F"/>
    <w:rsid w:val="13AC7ACF"/>
    <w:rsid w:val="13B42377"/>
    <w:rsid w:val="13BA4012"/>
    <w:rsid w:val="13CB66E1"/>
    <w:rsid w:val="13CF6848"/>
    <w:rsid w:val="13D11138"/>
    <w:rsid w:val="13D347C6"/>
    <w:rsid w:val="13D549B5"/>
    <w:rsid w:val="13D83EFE"/>
    <w:rsid w:val="13D958DB"/>
    <w:rsid w:val="14060050"/>
    <w:rsid w:val="140E7C96"/>
    <w:rsid w:val="141023CE"/>
    <w:rsid w:val="1412533E"/>
    <w:rsid w:val="14160299"/>
    <w:rsid w:val="141A221F"/>
    <w:rsid w:val="141B163F"/>
    <w:rsid w:val="142E20E6"/>
    <w:rsid w:val="144109FD"/>
    <w:rsid w:val="14447B5C"/>
    <w:rsid w:val="144F18F5"/>
    <w:rsid w:val="1453086B"/>
    <w:rsid w:val="14537014"/>
    <w:rsid w:val="145862E8"/>
    <w:rsid w:val="145D1D0F"/>
    <w:rsid w:val="146077B6"/>
    <w:rsid w:val="14656D97"/>
    <w:rsid w:val="146A6309"/>
    <w:rsid w:val="146F72F4"/>
    <w:rsid w:val="1470123B"/>
    <w:rsid w:val="14787805"/>
    <w:rsid w:val="148150FF"/>
    <w:rsid w:val="148A7C64"/>
    <w:rsid w:val="148C0304"/>
    <w:rsid w:val="14927F29"/>
    <w:rsid w:val="14B800A6"/>
    <w:rsid w:val="14B91EAB"/>
    <w:rsid w:val="14BD71B5"/>
    <w:rsid w:val="14C85DBE"/>
    <w:rsid w:val="14CC0610"/>
    <w:rsid w:val="14EB1588"/>
    <w:rsid w:val="14EF5D5B"/>
    <w:rsid w:val="14F02D82"/>
    <w:rsid w:val="14F07B4B"/>
    <w:rsid w:val="14F96B98"/>
    <w:rsid w:val="14FA53FE"/>
    <w:rsid w:val="151B1A81"/>
    <w:rsid w:val="153342E1"/>
    <w:rsid w:val="153835C5"/>
    <w:rsid w:val="15466D1F"/>
    <w:rsid w:val="156E201F"/>
    <w:rsid w:val="15794030"/>
    <w:rsid w:val="157C1BB0"/>
    <w:rsid w:val="157F73F1"/>
    <w:rsid w:val="15882AAF"/>
    <w:rsid w:val="158D422E"/>
    <w:rsid w:val="158E5E52"/>
    <w:rsid w:val="15903BF7"/>
    <w:rsid w:val="15903F61"/>
    <w:rsid w:val="15AF07CC"/>
    <w:rsid w:val="15B10E05"/>
    <w:rsid w:val="15B44636"/>
    <w:rsid w:val="15C04DA1"/>
    <w:rsid w:val="15CA5E3E"/>
    <w:rsid w:val="15CD7FE6"/>
    <w:rsid w:val="15CF541B"/>
    <w:rsid w:val="15D67D69"/>
    <w:rsid w:val="15D93539"/>
    <w:rsid w:val="15E3769B"/>
    <w:rsid w:val="15E44A47"/>
    <w:rsid w:val="15FF5FF0"/>
    <w:rsid w:val="16037432"/>
    <w:rsid w:val="16133FB5"/>
    <w:rsid w:val="16140ACE"/>
    <w:rsid w:val="161645B2"/>
    <w:rsid w:val="16172CD0"/>
    <w:rsid w:val="1618494F"/>
    <w:rsid w:val="161A7216"/>
    <w:rsid w:val="16336886"/>
    <w:rsid w:val="163B65F5"/>
    <w:rsid w:val="16430322"/>
    <w:rsid w:val="164A07A8"/>
    <w:rsid w:val="164C0E1F"/>
    <w:rsid w:val="16520BA9"/>
    <w:rsid w:val="16550A4B"/>
    <w:rsid w:val="16581073"/>
    <w:rsid w:val="166354BF"/>
    <w:rsid w:val="167859EC"/>
    <w:rsid w:val="169135ED"/>
    <w:rsid w:val="16934F52"/>
    <w:rsid w:val="169B5B99"/>
    <w:rsid w:val="169D39F1"/>
    <w:rsid w:val="16A20335"/>
    <w:rsid w:val="16A232B5"/>
    <w:rsid w:val="16C7558D"/>
    <w:rsid w:val="16D922FE"/>
    <w:rsid w:val="16DC1398"/>
    <w:rsid w:val="16E42F30"/>
    <w:rsid w:val="16EE4379"/>
    <w:rsid w:val="16F87717"/>
    <w:rsid w:val="171123C9"/>
    <w:rsid w:val="171673CC"/>
    <w:rsid w:val="17195FD9"/>
    <w:rsid w:val="17215F32"/>
    <w:rsid w:val="1739389B"/>
    <w:rsid w:val="17426B41"/>
    <w:rsid w:val="17442EB6"/>
    <w:rsid w:val="1744341B"/>
    <w:rsid w:val="174E7E6A"/>
    <w:rsid w:val="1752072D"/>
    <w:rsid w:val="175569EB"/>
    <w:rsid w:val="176766C9"/>
    <w:rsid w:val="17706AD1"/>
    <w:rsid w:val="17760A21"/>
    <w:rsid w:val="177F38A8"/>
    <w:rsid w:val="17A45CF3"/>
    <w:rsid w:val="17AB0F43"/>
    <w:rsid w:val="17AC7EF2"/>
    <w:rsid w:val="17B460A0"/>
    <w:rsid w:val="17BD58C0"/>
    <w:rsid w:val="17C80986"/>
    <w:rsid w:val="17C83968"/>
    <w:rsid w:val="17CD2363"/>
    <w:rsid w:val="17E64CBC"/>
    <w:rsid w:val="17EA25AE"/>
    <w:rsid w:val="17EB0715"/>
    <w:rsid w:val="17EF6733"/>
    <w:rsid w:val="17F20534"/>
    <w:rsid w:val="18000DA2"/>
    <w:rsid w:val="18221B76"/>
    <w:rsid w:val="18264E11"/>
    <w:rsid w:val="182800CE"/>
    <w:rsid w:val="182A1654"/>
    <w:rsid w:val="182F5D74"/>
    <w:rsid w:val="18335339"/>
    <w:rsid w:val="183775BA"/>
    <w:rsid w:val="184C0485"/>
    <w:rsid w:val="184F14A2"/>
    <w:rsid w:val="185354FE"/>
    <w:rsid w:val="185724EA"/>
    <w:rsid w:val="186E3872"/>
    <w:rsid w:val="187D159A"/>
    <w:rsid w:val="18876EF7"/>
    <w:rsid w:val="188C1B1D"/>
    <w:rsid w:val="188F21DB"/>
    <w:rsid w:val="18A34E47"/>
    <w:rsid w:val="18B550F2"/>
    <w:rsid w:val="18BA2656"/>
    <w:rsid w:val="18D23D64"/>
    <w:rsid w:val="18D75E45"/>
    <w:rsid w:val="18DA05D5"/>
    <w:rsid w:val="18DA12F8"/>
    <w:rsid w:val="18DF42F7"/>
    <w:rsid w:val="18E72936"/>
    <w:rsid w:val="19083AE7"/>
    <w:rsid w:val="190B5B85"/>
    <w:rsid w:val="19122426"/>
    <w:rsid w:val="19157D20"/>
    <w:rsid w:val="191E0E00"/>
    <w:rsid w:val="19341F4D"/>
    <w:rsid w:val="19362169"/>
    <w:rsid w:val="19397763"/>
    <w:rsid w:val="193D01D8"/>
    <w:rsid w:val="194115A9"/>
    <w:rsid w:val="19475905"/>
    <w:rsid w:val="194C143C"/>
    <w:rsid w:val="19544D3A"/>
    <w:rsid w:val="195C3AA7"/>
    <w:rsid w:val="1966511E"/>
    <w:rsid w:val="197B110A"/>
    <w:rsid w:val="19813634"/>
    <w:rsid w:val="19842D82"/>
    <w:rsid w:val="198712C9"/>
    <w:rsid w:val="199E351A"/>
    <w:rsid w:val="19A366B4"/>
    <w:rsid w:val="19A52E4A"/>
    <w:rsid w:val="19B23773"/>
    <w:rsid w:val="19BD3438"/>
    <w:rsid w:val="19BF7CA0"/>
    <w:rsid w:val="19CA0299"/>
    <w:rsid w:val="19D776CE"/>
    <w:rsid w:val="19D96C75"/>
    <w:rsid w:val="19E5653F"/>
    <w:rsid w:val="19F075FF"/>
    <w:rsid w:val="19F81560"/>
    <w:rsid w:val="19FE7890"/>
    <w:rsid w:val="1A155EFE"/>
    <w:rsid w:val="1A191401"/>
    <w:rsid w:val="1A19693D"/>
    <w:rsid w:val="1A275376"/>
    <w:rsid w:val="1A3A76B3"/>
    <w:rsid w:val="1A4053DA"/>
    <w:rsid w:val="1A4817D2"/>
    <w:rsid w:val="1A5A51FF"/>
    <w:rsid w:val="1A767127"/>
    <w:rsid w:val="1A767A16"/>
    <w:rsid w:val="1A775BA1"/>
    <w:rsid w:val="1A792B42"/>
    <w:rsid w:val="1A7E5B1F"/>
    <w:rsid w:val="1A820AB7"/>
    <w:rsid w:val="1A8D5210"/>
    <w:rsid w:val="1A974755"/>
    <w:rsid w:val="1AA61C46"/>
    <w:rsid w:val="1ABB6D7C"/>
    <w:rsid w:val="1ABF08C1"/>
    <w:rsid w:val="1AC0262D"/>
    <w:rsid w:val="1ACC1BF6"/>
    <w:rsid w:val="1ADD372D"/>
    <w:rsid w:val="1AE34D03"/>
    <w:rsid w:val="1AEB08AE"/>
    <w:rsid w:val="1AF44089"/>
    <w:rsid w:val="1AF70129"/>
    <w:rsid w:val="1B084CBE"/>
    <w:rsid w:val="1B13686F"/>
    <w:rsid w:val="1B257F7D"/>
    <w:rsid w:val="1B2B4328"/>
    <w:rsid w:val="1B2C1E5D"/>
    <w:rsid w:val="1B304996"/>
    <w:rsid w:val="1B4B15E7"/>
    <w:rsid w:val="1B5D45F6"/>
    <w:rsid w:val="1B5F444E"/>
    <w:rsid w:val="1B6036C8"/>
    <w:rsid w:val="1B666609"/>
    <w:rsid w:val="1B70239F"/>
    <w:rsid w:val="1BAE3275"/>
    <w:rsid w:val="1BB41072"/>
    <w:rsid w:val="1BBD320E"/>
    <w:rsid w:val="1BBD7B09"/>
    <w:rsid w:val="1BC12731"/>
    <w:rsid w:val="1BCC5083"/>
    <w:rsid w:val="1BD7261C"/>
    <w:rsid w:val="1BE45682"/>
    <w:rsid w:val="1BEA4FEC"/>
    <w:rsid w:val="1BEE7A4F"/>
    <w:rsid w:val="1BFB15ED"/>
    <w:rsid w:val="1C052FB3"/>
    <w:rsid w:val="1C0B2F31"/>
    <w:rsid w:val="1C0D5877"/>
    <w:rsid w:val="1C1036BB"/>
    <w:rsid w:val="1C164D29"/>
    <w:rsid w:val="1C2362A8"/>
    <w:rsid w:val="1C320C8A"/>
    <w:rsid w:val="1C4073D3"/>
    <w:rsid w:val="1C43031D"/>
    <w:rsid w:val="1C463D7C"/>
    <w:rsid w:val="1C4F0E07"/>
    <w:rsid w:val="1C6315F6"/>
    <w:rsid w:val="1C785875"/>
    <w:rsid w:val="1C812F25"/>
    <w:rsid w:val="1C844E32"/>
    <w:rsid w:val="1C917921"/>
    <w:rsid w:val="1C9300A3"/>
    <w:rsid w:val="1C982A38"/>
    <w:rsid w:val="1C9B2541"/>
    <w:rsid w:val="1CA01F2E"/>
    <w:rsid w:val="1CA349A7"/>
    <w:rsid w:val="1CCA4013"/>
    <w:rsid w:val="1CD52FEA"/>
    <w:rsid w:val="1CD922F5"/>
    <w:rsid w:val="1CE562B9"/>
    <w:rsid w:val="1CEC44F0"/>
    <w:rsid w:val="1CED4BD6"/>
    <w:rsid w:val="1CF314D4"/>
    <w:rsid w:val="1CF50629"/>
    <w:rsid w:val="1D097D79"/>
    <w:rsid w:val="1D0B3946"/>
    <w:rsid w:val="1D1B63EF"/>
    <w:rsid w:val="1D1C5E58"/>
    <w:rsid w:val="1D2109B3"/>
    <w:rsid w:val="1D330F1C"/>
    <w:rsid w:val="1D3946F2"/>
    <w:rsid w:val="1D452B63"/>
    <w:rsid w:val="1D4E4A14"/>
    <w:rsid w:val="1D521F1C"/>
    <w:rsid w:val="1D61352C"/>
    <w:rsid w:val="1D64050B"/>
    <w:rsid w:val="1D6478AF"/>
    <w:rsid w:val="1D662C9C"/>
    <w:rsid w:val="1D6A0633"/>
    <w:rsid w:val="1D7501A1"/>
    <w:rsid w:val="1D776D95"/>
    <w:rsid w:val="1D790FCC"/>
    <w:rsid w:val="1D7E436A"/>
    <w:rsid w:val="1D7F1DD1"/>
    <w:rsid w:val="1D8611E5"/>
    <w:rsid w:val="1D887FDD"/>
    <w:rsid w:val="1D891FC7"/>
    <w:rsid w:val="1D903E12"/>
    <w:rsid w:val="1D906B60"/>
    <w:rsid w:val="1DA57AAD"/>
    <w:rsid w:val="1DB2580B"/>
    <w:rsid w:val="1DB32351"/>
    <w:rsid w:val="1DB722E0"/>
    <w:rsid w:val="1DCA2E80"/>
    <w:rsid w:val="1DCC309C"/>
    <w:rsid w:val="1DD468BA"/>
    <w:rsid w:val="1DE974EE"/>
    <w:rsid w:val="1DEF3669"/>
    <w:rsid w:val="1DF33DB2"/>
    <w:rsid w:val="1E05531A"/>
    <w:rsid w:val="1E0A7420"/>
    <w:rsid w:val="1E1A5215"/>
    <w:rsid w:val="1E210712"/>
    <w:rsid w:val="1E2752F7"/>
    <w:rsid w:val="1E317BBC"/>
    <w:rsid w:val="1E36795E"/>
    <w:rsid w:val="1E475F88"/>
    <w:rsid w:val="1E482465"/>
    <w:rsid w:val="1E483B20"/>
    <w:rsid w:val="1E4B1048"/>
    <w:rsid w:val="1E5170FD"/>
    <w:rsid w:val="1E676EDF"/>
    <w:rsid w:val="1E6B45E5"/>
    <w:rsid w:val="1E724DE3"/>
    <w:rsid w:val="1E7361AA"/>
    <w:rsid w:val="1EBC7DE0"/>
    <w:rsid w:val="1EBD29E4"/>
    <w:rsid w:val="1EC2015F"/>
    <w:rsid w:val="1ECA7131"/>
    <w:rsid w:val="1ECE699F"/>
    <w:rsid w:val="1ECF0F2F"/>
    <w:rsid w:val="1ED03DE9"/>
    <w:rsid w:val="1ED27C99"/>
    <w:rsid w:val="1EDA4C19"/>
    <w:rsid w:val="1EE21E4B"/>
    <w:rsid w:val="1F007BC5"/>
    <w:rsid w:val="1F051E2B"/>
    <w:rsid w:val="1F083A58"/>
    <w:rsid w:val="1F112270"/>
    <w:rsid w:val="1F2234BC"/>
    <w:rsid w:val="1F2D0557"/>
    <w:rsid w:val="1F397700"/>
    <w:rsid w:val="1F3E3D05"/>
    <w:rsid w:val="1F536D3F"/>
    <w:rsid w:val="1F5A0A27"/>
    <w:rsid w:val="1F6477E0"/>
    <w:rsid w:val="1F784C48"/>
    <w:rsid w:val="1F860486"/>
    <w:rsid w:val="1F896F37"/>
    <w:rsid w:val="1F9454A9"/>
    <w:rsid w:val="1FA176DF"/>
    <w:rsid w:val="1FA60DAF"/>
    <w:rsid w:val="1FB43DE7"/>
    <w:rsid w:val="1FC61ED5"/>
    <w:rsid w:val="1FC92A24"/>
    <w:rsid w:val="1FD73527"/>
    <w:rsid w:val="1FDC5B1C"/>
    <w:rsid w:val="1FE04BDC"/>
    <w:rsid w:val="1FE11A78"/>
    <w:rsid w:val="20084133"/>
    <w:rsid w:val="20127B0E"/>
    <w:rsid w:val="201B6695"/>
    <w:rsid w:val="201D462F"/>
    <w:rsid w:val="202507BB"/>
    <w:rsid w:val="20255FD9"/>
    <w:rsid w:val="202B5901"/>
    <w:rsid w:val="20390BAA"/>
    <w:rsid w:val="203F45A7"/>
    <w:rsid w:val="2042312F"/>
    <w:rsid w:val="204C004D"/>
    <w:rsid w:val="204E3240"/>
    <w:rsid w:val="20544DFE"/>
    <w:rsid w:val="20765AE9"/>
    <w:rsid w:val="20800C04"/>
    <w:rsid w:val="2090032A"/>
    <w:rsid w:val="20992FDD"/>
    <w:rsid w:val="209D4B49"/>
    <w:rsid w:val="20A60A09"/>
    <w:rsid w:val="20B17816"/>
    <w:rsid w:val="20BB4CAB"/>
    <w:rsid w:val="20BF55AB"/>
    <w:rsid w:val="20C150A1"/>
    <w:rsid w:val="20C40B24"/>
    <w:rsid w:val="20C5226D"/>
    <w:rsid w:val="20E13C43"/>
    <w:rsid w:val="20E75F11"/>
    <w:rsid w:val="211E2230"/>
    <w:rsid w:val="213372B5"/>
    <w:rsid w:val="213C0BDF"/>
    <w:rsid w:val="21486BA6"/>
    <w:rsid w:val="21494AB6"/>
    <w:rsid w:val="21516C2E"/>
    <w:rsid w:val="215749BA"/>
    <w:rsid w:val="216A793E"/>
    <w:rsid w:val="217D1658"/>
    <w:rsid w:val="21876357"/>
    <w:rsid w:val="21973A69"/>
    <w:rsid w:val="21986894"/>
    <w:rsid w:val="219D5C62"/>
    <w:rsid w:val="219E0893"/>
    <w:rsid w:val="21A84A35"/>
    <w:rsid w:val="21AC60B7"/>
    <w:rsid w:val="21AD6E52"/>
    <w:rsid w:val="21BF7D7F"/>
    <w:rsid w:val="21C22705"/>
    <w:rsid w:val="21C347B6"/>
    <w:rsid w:val="21C43B80"/>
    <w:rsid w:val="21E64A84"/>
    <w:rsid w:val="22052DC8"/>
    <w:rsid w:val="220F3DD9"/>
    <w:rsid w:val="222D13B2"/>
    <w:rsid w:val="22412AA4"/>
    <w:rsid w:val="22484D4A"/>
    <w:rsid w:val="225C6F01"/>
    <w:rsid w:val="22664AEB"/>
    <w:rsid w:val="226748AD"/>
    <w:rsid w:val="2274375B"/>
    <w:rsid w:val="227616B0"/>
    <w:rsid w:val="229828DE"/>
    <w:rsid w:val="22AB192E"/>
    <w:rsid w:val="22AD011B"/>
    <w:rsid w:val="22AD51B0"/>
    <w:rsid w:val="22AF6FB4"/>
    <w:rsid w:val="22B57C5B"/>
    <w:rsid w:val="22B819A2"/>
    <w:rsid w:val="22D14A7D"/>
    <w:rsid w:val="22DA55A5"/>
    <w:rsid w:val="22E83154"/>
    <w:rsid w:val="22FE0F77"/>
    <w:rsid w:val="23024E6A"/>
    <w:rsid w:val="230620AA"/>
    <w:rsid w:val="23275032"/>
    <w:rsid w:val="233E581D"/>
    <w:rsid w:val="23475340"/>
    <w:rsid w:val="236153B7"/>
    <w:rsid w:val="236173E4"/>
    <w:rsid w:val="237607F8"/>
    <w:rsid w:val="237C79BA"/>
    <w:rsid w:val="23840747"/>
    <w:rsid w:val="238D484F"/>
    <w:rsid w:val="239D1610"/>
    <w:rsid w:val="23A349DF"/>
    <w:rsid w:val="23A73B8E"/>
    <w:rsid w:val="23AC2440"/>
    <w:rsid w:val="23C2119D"/>
    <w:rsid w:val="23C23745"/>
    <w:rsid w:val="23CB75DA"/>
    <w:rsid w:val="23CC2836"/>
    <w:rsid w:val="23E075A7"/>
    <w:rsid w:val="23E629DD"/>
    <w:rsid w:val="23F46333"/>
    <w:rsid w:val="24023F65"/>
    <w:rsid w:val="240E2B19"/>
    <w:rsid w:val="2413504A"/>
    <w:rsid w:val="241E097D"/>
    <w:rsid w:val="24243C4E"/>
    <w:rsid w:val="24296F7F"/>
    <w:rsid w:val="242B4415"/>
    <w:rsid w:val="24362A37"/>
    <w:rsid w:val="24387D06"/>
    <w:rsid w:val="244B6ED4"/>
    <w:rsid w:val="24640FE3"/>
    <w:rsid w:val="246E40F1"/>
    <w:rsid w:val="24762AA5"/>
    <w:rsid w:val="247B1FE7"/>
    <w:rsid w:val="24A222AD"/>
    <w:rsid w:val="24A432D9"/>
    <w:rsid w:val="24AD11BA"/>
    <w:rsid w:val="24AD3E08"/>
    <w:rsid w:val="24B271F1"/>
    <w:rsid w:val="24CD1E83"/>
    <w:rsid w:val="24EC61D3"/>
    <w:rsid w:val="24F149FA"/>
    <w:rsid w:val="252866F3"/>
    <w:rsid w:val="252E065E"/>
    <w:rsid w:val="254A5846"/>
    <w:rsid w:val="25561369"/>
    <w:rsid w:val="25610EE2"/>
    <w:rsid w:val="256237B8"/>
    <w:rsid w:val="256B397C"/>
    <w:rsid w:val="25791BC4"/>
    <w:rsid w:val="257B2490"/>
    <w:rsid w:val="25822E10"/>
    <w:rsid w:val="25A42AF3"/>
    <w:rsid w:val="25AC4FBE"/>
    <w:rsid w:val="25AD2008"/>
    <w:rsid w:val="25BA05FA"/>
    <w:rsid w:val="25CF6CDD"/>
    <w:rsid w:val="25D26BF1"/>
    <w:rsid w:val="25DC32E7"/>
    <w:rsid w:val="25E27E8F"/>
    <w:rsid w:val="26066C92"/>
    <w:rsid w:val="260757FB"/>
    <w:rsid w:val="261455E0"/>
    <w:rsid w:val="26230C1A"/>
    <w:rsid w:val="262B5006"/>
    <w:rsid w:val="263F18CA"/>
    <w:rsid w:val="26403AF5"/>
    <w:rsid w:val="265A6A68"/>
    <w:rsid w:val="26722306"/>
    <w:rsid w:val="267F78C7"/>
    <w:rsid w:val="268D2189"/>
    <w:rsid w:val="26A65F2E"/>
    <w:rsid w:val="26AA7B90"/>
    <w:rsid w:val="26AE2A83"/>
    <w:rsid w:val="26B17617"/>
    <w:rsid w:val="26BE52D9"/>
    <w:rsid w:val="26C718EF"/>
    <w:rsid w:val="26CA63EC"/>
    <w:rsid w:val="26D7660D"/>
    <w:rsid w:val="26E02BF7"/>
    <w:rsid w:val="26F31699"/>
    <w:rsid w:val="26FC74E3"/>
    <w:rsid w:val="26FD4EF1"/>
    <w:rsid w:val="2708121B"/>
    <w:rsid w:val="270A79AF"/>
    <w:rsid w:val="27216B9E"/>
    <w:rsid w:val="27221E02"/>
    <w:rsid w:val="27277595"/>
    <w:rsid w:val="2728510E"/>
    <w:rsid w:val="272B7B38"/>
    <w:rsid w:val="272F13E2"/>
    <w:rsid w:val="2738729D"/>
    <w:rsid w:val="274D73A3"/>
    <w:rsid w:val="2751456D"/>
    <w:rsid w:val="27653C1A"/>
    <w:rsid w:val="276E1EDD"/>
    <w:rsid w:val="277841EE"/>
    <w:rsid w:val="277F3615"/>
    <w:rsid w:val="27832D0B"/>
    <w:rsid w:val="278334E1"/>
    <w:rsid w:val="278C6770"/>
    <w:rsid w:val="278D30D3"/>
    <w:rsid w:val="279F1686"/>
    <w:rsid w:val="27AC219C"/>
    <w:rsid w:val="27BA1113"/>
    <w:rsid w:val="27BA1C0D"/>
    <w:rsid w:val="27C2539A"/>
    <w:rsid w:val="27CD3795"/>
    <w:rsid w:val="27CD66E6"/>
    <w:rsid w:val="27D11AB5"/>
    <w:rsid w:val="27DA17F9"/>
    <w:rsid w:val="27E506DE"/>
    <w:rsid w:val="27E72880"/>
    <w:rsid w:val="28080567"/>
    <w:rsid w:val="281404E4"/>
    <w:rsid w:val="281A5F65"/>
    <w:rsid w:val="282D3B7A"/>
    <w:rsid w:val="28320BEF"/>
    <w:rsid w:val="2835183D"/>
    <w:rsid w:val="285579A3"/>
    <w:rsid w:val="286136B2"/>
    <w:rsid w:val="286835D0"/>
    <w:rsid w:val="286C3EFE"/>
    <w:rsid w:val="28764D45"/>
    <w:rsid w:val="28815308"/>
    <w:rsid w:val="288D4D90"/>
    <w:rsid w:val="288F53F1"/>
    <w:rsid w:val="289363ED"/>
    <w:rsid w:val="28A44971"/>
    <w:rsid w:val="28A7566A"/>
    <w:rsid w:val="28AB365F"/>
    <w:rsid w:val="28BB5C8C"/>
    <w:rsid w:val="28C820DE"/>
    <w:rsid w:val="28CB31AE"/>
    <w:rsid w:val="28CB4F9F"/>
    <w:rsid w:val="28D23530"/>
    <w:rsid w:val="28D64F00"/>
    <w:rsid w:val="28D84929"/>
    <w:rsid w:val="28E27260"/>
    <w:rsid w:val="28EB63A0"/>
    <w:rsid w:val="28F83DF8"/>
    <w:rsid w:val="28FD6BEC"/>
    <w:rsid w:val="29312557"/>
    <w:rsid w:val="293255C4"/>
    <w:rsid w:val="29325D7D"/>
    <w:rsid w:val="29373017"/>
    <w:rsid w:val="29447C90"/>
    <w:rsid w:val="29513F9E"/>
    <w:rsid w:val="29523185"/>
    <w:rsid w:val="29531179"/>
    <w:rsid w:val="29567A3B"/>
    <w:rsid w:val="295E40CB"/>
    <w:rsid w:val="296248B4"/>
    <w:rsid w:val="296C76B4"/>
    <w:rsid w:val="29772B08"/>
    <w:rsid w:val="297B57EB"/>
    <w:rsid w:val="29A12388"/>
    <w:rsid w:val="29A2341F"/>
    <w:rsid w:val="29A247B8"/>
    <w:rsid w:val="29A66843"/>
    <w:rsid w:val="29A906AC"/>
    <w:rsid w:val="29AB3EBD"/>
    <w:rsid w:val="29B027A3"/>
    <w:rsid w:val="29BD5A2D"/>
    <w:rsid w:val="29C06E6B"/>
    <w:rsid w:val="29C67A86"/>
    <w:rsid w:val="29CE5BFF"/>
    <w:rsid w:val="29DD1501"/>
    <w:rsid w:val="29F556B9"/>
    <w:rsid w:val="29FC2F7D"/>
    <w:rsid w:val="2A06455B"/>
    <w:rsid w:val="2A067467"/>
    <w:rsid w:val="2A0E179C"/>
    <w:rsid w:val="2A0F2FCC"/>
    <w:rsid w:val="2A1249D6"/>
    <w:rsid w:val="2A1D4BAB"/>
    <w:rsid w:val="2A213B26"/>
    <w:rsid w:val="2A481CFC"/>
    <w:rsid w:val="2A496A6A"/>
    <w:rsid w:val="2A5C0AED"/>
    <w:rsid w:val="2A6E2985"/>
    <w:rsid w:val="2A6F5F9E"/>
    <w:rsid w:val="2A7722C8"/>
    <w:rsid w:val="2A7C06B4"/>
    <w:rsid w:val="2A8D5961"/>
    <w:rsid w:val="2AAC2374"/>
    <w:rsid w:val="2AAD4509"/>
    <w:rsid w:val="2AB87F34"/>
    <w:rsid w:val="2ABA315A"/>
    <w:rsid w:val="2ABC010F"/>
    <w:rsid w:val="2AC824BE"/>
    <w:rsid w:val="2ADE00FE"/>
    <w:rsid w:val="2AF40B26"/>
    <w:rsid w:val="2AF815A9"/>
    <w:rsid w:val="2B05199B"/>
    <w:rsid w:val="2B1B2D6A"/>
    <w:rsid w:val="2B215656"/>
    <w:rsid w:val="2B271173"/>
    <w:rsid w:val="2B2B370F"/>
    <w:rsid w:val="2B2E7FC8"/>
    <w:rsid w:val="2B4B7D6A"/>
    <w:rsid w:val="2B4D7E1F"/>
    <w:rsid w:val="2B53763F"/>
    <w:rsid w:val="2B5446D0"/>
    <w:rsid w:val="2B6E6791"/>
    <w:rsid w:val="2B7F02AD"/>
    <w:rsid w:val="2B8B413B"/>
    <w:rsid w:val="2BBB5724"/>
    <w:rsid w:val="2BD372F7"/>
    <w:rsid w:val="2BD441CC"/>
    <w:rsid w:val="2BD51896"/>
    <w:rsid w:val="2BE42958"/>
    <w:rsid w:val="2BEE2055"/>
    <w:rsid w:val="2C0B4624"/>
    <w:rsid w:val="2C0F7289"/>
    <w:rsid w:val="2C115363"/>
    <w:rsid w:val="2C243785"/>
    <w:rsid w:val="2C3312C1"/>
    <w:rsid w:val="2C513745"/>
    <w:rsid w:val="2C647115"/>
    <w:rsid w:val="2C6818B4"/>
    <w:rsid w:val="2C7C30FA"/>
    <w:rsid w:val="2C830635"/>
    <w:rsid w:val="2C885AA5"/>
    <w:rsid w:val="2C8D1C48"/>
    <w:rsid w:val="2C9D6E3E"/>
    <w:rsid w:val="2CAA4E81"/>
    <w:rsid w:val="2CAD4098"/>
    <w:rsid w:val="2CBC1D1B"/>
    <w:rsid w:val="2CCF4551"/>
    <w:rsid w:val="2CE23732"/>
    <w:rsid w:val="2CE37D43"/>
    <w:rsid w:val="2CE7380B"/>
    <w:rsid w:val="2CE952A3"/>
    <w:rsid w:val="2D2156A2"/>
    <w:rsid w:val="2D3673F2"/>
    <w:rsid w:val="2D371BB4"/>
    <w:rsid w:val="2D381FF5"/>
    <w:rsid w:val="2D3845E6"/>
    <w:rsid w:val="2D38772A"/>
    <w:rsid w:val="2D3E3463"/>
    <w:rsid w:val="2D3F04E7"/>
    <w:rsid w:val="2D406F06"/>
    <w:rsid w:val="2D445D96"/>
    <w:rsid w:val="2D46629B"/>
    <w:rsid w:val="2D53008F"/>
    <w:rsid w:val="2D6931B5"/>
    <w:rsid w:val="2D6A7FB8"/>
    <w:rsid w:val="2D6B462B"/>
    <w:rsid w:val="2D6E26B8"/>
    <w:rsid w:val="2D7005F4"/>
    <w:rsid w:val="2D751490"/>
    <w:rsid w:val="2D76006E"/>
    <w:rsid w:val="2D7E7BD3"/>
    <w:rsid w:val="2D92277A"/>
    <w:rsid w:val="2D956C21"/>
    <w:rsid w:val="2DB33DE8"/>
    <w:rsid w:val="2DB604B0"/>
    <w:rsid w:val="2DBA384D"/>
    <w:rsid w:val="2DC67A03"/>
    <w:rsid w:val="2DDB6288"/>
    <w:rsid w:val="2DDC6497"/>
    <w:rsid w:val="2DE04046"/>
    <w:rsid w:val="2DEA11CB"/>
    <w:rsid w:val="2DEB7215"/>
    <w:rsid w:val="2DFA5A75"/>
    <w:rsid w:val="2DFB204D"/>
    <w:rsid w:val="2E0732D5"/>
    <w:rsid w:val="2E103B52"/>
    <w:rsid w:val="2E1B5AC0"/>
    <w:rsid w:val="2E216777"/>
    <w:rsid w:val="2E310269"/>
    <w:rsid w:val="2E322D3A"/>
    <w:rsid w:val="2E710D80"/>
    <w:rsid w:val="2E730F8A"/>
    <w:rsid w:val="2E7749D4"/>
    <w:rsid w:val="2E7F2D87"/>
    <w:rsid w:val="2E886779"/>
    <w:rsid w:val="2E8D3377"/>
    <w:rsid w:val="2E8D73C3"/>
    <w:rsid w:val="2E8E6D20"/>
    <w:rsid w:val="2E937607"/>
    <w:rsid w:val="2EA56A2B"/>
    <w:rsid w:val="2EA746CD"/>
    <w:rsid w:val="2EB4686A"/>
    <w:rsid w:val="2EB66590"/>
    <w:rsid w:val="2EB7060A"/>
    <w:rsid w:val="2EC65056"/>
    <w:rsid w:val="2ED24BD4"/>
    <w:rsid w:val="2EDB150E"/>
    <w:rsid w:val="2EF77BB3"/>
    <w:rsid w:val="2F053DEC"/>
    <w:rsid w:val="2F1C6F44"/>
    <w:rsid w:val="2F241A7A"/>
    <w:rsid w:val="2F2C2BC7"/>
    <w:rsid w:val="2F3462D4"/>
    <w:rsid w:val="2F365B49"/>
    <w:rsid w:val="2F3E4FCD"/>
    <w:rsid w:val="2F405B63"/>
    <w:rsid w:val="2F450834"/>
    <w:rsid w:val="2F521E00"/>
    <w:rsid w:val="2F56009D"/>
    <w:rsid w:val="2F566550"/>
    <w:rsid w:val="2F5B427F"/>
    <w:rsid w:val="2F6A544C"/>
    <w:rsid w:val="2F6B4248"/>
    <w:rsid w:val="2F7366CB"/>
    <w:rsid w:val="2F7576E6"/>
    <w:rsid w:val="2F7650AD"/>
    <w:rsid w:val="2F83315F"/>
    <w:rsid w:val="2F9D27C7"/>
    <w:rsid w:val="2FAC68B5"/>
    <w:rsid w:val="2FB71D1A"/>
    <w:rsid w:val="2FBA5300"/>
    <w:rsid w:val="2FBC4CD9"/>
    <w:rsid w:val="2FE27FC9"/>
    <w:rsid w:val="2FE71BC4"/>
    <w:rsid w:val="2FE8319B"/>
    <w:rsid w:val="2FF40DE3"/>
    <w:rsid w:val="2FF50078"/>
    <w:rsid w:val="30017543"/>
    <w:rsid w:val="30082943"/>
    <w:rsid w:val="300A0D8F"/>
    <w:rsid w:val="300D123A"/>
    <w:rsid w:val="30121E1C"/>
    <w:rsid w:val="3015744F"/>
    <w:rsid w:val="302C0757"/>
    <w:rsid w:val="30326D59"/>
    <w:rsid w:val="30364B8B"/>
    <w:rsid w:val="303F3FE9"/>
    <w:rsid w:val="304A65CF"/>
    <w:rsid w:val="305014D9"/>
    <w:rsid w:val="305A2656"/>
    <w:rsid w:val="30603E4D"/>
    <w:rsid w:val="307433AA"/>
    <w:rsid w:val="307D7E96"/>
    <w:rsid w:val="30952A87"/>
    <w:rsid w:val="30A60134"/>
    <w:rsid w:val="30A92DC8"/>
    <w:rsid w:val="30B03E85"/>
    <w:rsid w:val="30B05E95"/>
    <w:rsid w:val="30B84A87"/>
    <w:rsid w:val="30C1776C"/>
    <w:rsid w:val="30D2634C"/>
    <w:rsid w:val="30E0568A"/>
    <w:rsid w:val="30F14CD5"/>
    <w:rsid w:val="30F9053F"/>
    <w:rsid w:val="30FB05EC"/>
    <w:rsid w:val="30FE7F03"/>
    <w:rsid w:val="31084B91"/>
    <w:rsid w:val="310F7E8C"/>
    <w:rsid w:val="31110BCE"/>
    <w:rsid w:val="311510C2"/>
    <w:rsid w:val="311A35B4"/>
    <w:rsid w:val="311C52FC"/>
    <w:rsid w:val="31295CB7"/>
    <w:rsid w:val="312A7702"/>
    <w:rsid w:val="3132038F"/>
    <w:rsid w:val="314A0D46"/>
    <w:rsid w:val="314E5E3F"/>
    <w:rsid w:val="315136FC"/>
    <w:rsid w:val="315A25ED"/>
    <w:rsid w:val="315D6678"/>
    <w:rsid w:val="31662B54"/>
    <w:rsid w:val="316722D2"/>
    <w:rsid w:val="318E3536"/>
    <w:rsid w:val="31900765"/>
    <w:rsid w:val="31912424"/>
    <w:rsid w:val="31957115"/>
    <w:rsid w:val="31A17989"/>
    <w:rsid w:val="31AF6900"/>
    <w:rsid w:val="31CC3470"/>
    <w:rsid w:val="31DD3FBE"/>
    <w:rsid w:val="31EC5663"/>
    <w:rsid w:val="31F7367C"/>
    <w:rsid w:val="32047EB3"/>
    <w:rsid w:val="320C27F5"/>
    <w:rsid w:val="320D241D"/>
    <w:rsid w:val="321405BB"/>
    <w:rsid w:val="321E3ECC"/>
    <w:rsid w:val="32203688"/>
    <w:rsid w:val="323B2E07"/>
    <w:rsid w:val="327706BE"/>
    <w:rsid w:val="328E04C8"/>
    <w:rsid w:val="32915A23"/>
    <w:rsid w:val="32A11EA0"/>
    <w:rsid w:val="32A9114A"/>
    <w:rsid w:val="32D656FE"/>
    <w:rsid w:val="32DB1CEF"/>
    <w:rsid w:val="32F368A2"/>
    <w:rsid w:val="32FC7B27"/>
    <w:rsid w:val="330905CD"/>
    <w:rsid w:val="331B6025"/>
    <w:rsid w:val="331F355D"/>
    <w:rsid w:val="332F39E9"/>
    <w:rsid w:val="333251E6"/>
    <w:rsid w:val="33347BCB"/>
    <w:rsid w:val="3339430A"/>
    <w:rsid w:val="3355340B"/>
    <w:rsid w:val="335F213E"/>
    <w:rsid w:val="33690F4F"/>
    <w:rsid w:val="336B7D69"/>
    <w:rsid w:val="33756644"/>
    <w:rsid w:val="337566C2"/>
    <w:rsid w:val="337A048F"/>
    <w:rsid w:val="3386214C"/>
    <w:rsid w:val="338B299E"/>
    <w:rsid w:val="338F0A74"/>
    <w:rsid w:val="33917D65"/>
    <w:rsid w:val="33A3020C"/>
    <w:rsid w:val="33A43F7B"/>
    <w:rsid w:val="33AF4DD2"/>
    <w:rsid w:val="33B37AE8"/>
    <w:rsid w:val="33BB46BC"/>
    <w:rsid w:val="33C10FED"/>
    <w:rsid w:val="33D51916"/>
    <w:rsid w:val="33E10ACB"/>
    <w:rsid w:val="33E62675"/>
    <w:rsid w:val="33E972AB"/>
    <w:rsid w:val="33EC5E56"/>
    <w:rsid w:val="33ED3D45"/>
    <w:rsid w:val="33F31EFB"/>
    <w:rsid w:val="33F56F37"/>
    <w:rsid w:val="33F93374"/>
    <w:rsid w:val="340A6274"/>
    <w:rsid w:val="34167076"/>
    <w:rsid w:val="34192A85"/>
    <w:rsid w:val="341E587B"/>
    <w:rsid w:val="342C0CBF"/>
    <w:rsid w:val="34371FDB"/>
    <w:rsid w:val="34397FF5"/>
    <w:rsid w:val="34484903"/>
    <w:rsid w:val="34485595"/>
    <w:rsid w:val="344B2A41"/>
    <w:rsid w:val="34553478"/>
    <w:rsid w:val="3466422C"/>
    <w:rsid w:val="346E38DD"/>
    <w:rsid w:val="34721080"/>
    <w:rsid w:val="347D600F"/>
    <w:rsid w:val="348E2E5C"/>
    <w:rsid w:val="349A3324"/>
    <w:rsid w:val="349B3405"/>
    <w:rsid w:val="34AA07B0"/>
    <w:rsid w:val="34AD579D"/>
    <w:rsid w:val="34B62671"/>
    <w:rsid w:val="34B934E0"/>
    <w:rsid w:val="34BA3CF0"/>
    <w:rsid w:val="34BD150C"/>
    <w:rsid w:val="34C7210A"/>
    <w:rsid w:val="34D45687"/>
    <w:rsid w:val="34E475F8"/>
    <w:rsid w:val="34E66BA3"/>
    <w:rsid w:val="34FB516A"/>
    <w:rsid w:val="35196837"/>
    <w:rsid w:val="351B2C32"/>
    <w:rsid w:val="352246A7"/>
    <w:rsid w:val="352C5BEF"/>
    <w:rsid w:val="354350F3"/>
    <w:rsid w:val="3547790F"/>
    <w:rsid w:val="355E5BCB"/>
    <w:rsid w:val="35642F4C"/>
    <w:rsid w:val="356559A9"/>
    <w:rsid w:val="356D3A55"/>
    <w:rsid w:val="35701B86"/>
    <w:rsid w:val="35732362"/>
    <w:rsid w:val="3573293B"/>
    <w:rsid w:val="35735344"/>
    <w:rsid w:val="357540AF"/>
    <w:rsid w:val="357868EB"/>
    <w:rsid w:val="358523D0"/>
    <w:rsid w:val="358B4A9D"/>
    <w:rsid w:val="35922636"/>
    <w:rsid w:val="35BD778E"/>
    <w:rsid w:val="35BD7A13"/>
    <w:rsid w:val="35C96397"/>
    <w:rsid w:val="35CA68AB"/>
    <w:rsid w:val="35D47B2B"/>
    <w:rsid w:val="35E410ED"/>
    <w:rsid w:val="35EB2FD4"/>
    <w:rsid w:val="35EF20C9"/>
    <w:rsid w:val="35F332E8"/>
    <w:rsid w:val="36044441"/>
    <w:rsid w:val="3604696C"/>
    <w:rsid w:val="360C625B"/>
    <w:rsid w:val="36106BA5"/>
    <w:rsid w:val="36123620"/>
    <w:rsid w:val="361B3581"/>
    <w:rsid w:val="3633415F"/>
    <w:rsid w:val="363D0C4C"/>
    <w:rsid w:val="366A17AB"/>
    <w:rsid w:val="367364E1"/>
    <w:rsid w:val="3673672C"/>
    <w:rsid w:val="369763B5"/>
    <w:rsid w:val="369E142E"/>
    <w:rsid w:val="36A0221E"/>
    <w:rsid w:val="36A11284"/>
    <w:rsid w:val="36A84D62"/>
    <w:rsid w:val="36A971CE"/>
    <w:rsid w:val="36B4678E"/>
    <w:rsid w:val="36B84626"/>
    <w:rsid w:val="36B90B11"/>
    <w:rsid w:val="36C7366A"/>
    <w:rsid w:val="36D00958"/>
    <w:rsid w:val="36D30CA0"/>
    <w:rsid w:val="36D81EED"/>
    <w:rsid w:val="36D83D40"/>
    <w:rsid w:val="37144F35"/>
    <w:rsid w:val="371464A7"/>
    <w:rsid w:val="3717340B"/>
    <w:rsid w:val="37254CF6"/>
    <w:rsid w:val="3737345F"/>
    <w:rsid w:val="373A6E70"/>
    <w:rsid w:val="374110E2"/>
    <w:rsid w:val="37544118"/>
    <w:rsid w:val="375B2B26"/>
    <w:rsid w:val="375B3801"/>
    <w:rsid w:val="375F18C4"/>
    <w:rsid w:val="3763753D"/>
    <w:rsid w:val="37654388"/>
    <w:rsid w:val="37683D1E"/>
    <w:rsid w:val="37763AB9"/>
    <w:rsid w:val="37835258"/>
    <w:rsid w:val="379744F3"/>
    <w:rsid w:val="379B06AC"/>
    <w:rsid w:val="37B3452D"/>
    <w:rsid w:val="37B40B90"/>
    <w:rsid w:val="37C61F92"/>
    <w:rsid w:val="37C97BEC"/>
    <w:rsid w:val="37E57428"/>
    <w:rsid w:val="37F768B1"/>
    <w:rsid w:val="3802504D"/>
    <w:rsid w:val="380A1A96"/>
    <w:rsid w:val="38132AC7"/>
    <w:rsid w:val="383244EC"/>
    <w:rsid w:val="38401AD7"/>
    <w:rsid w:val="385174B2"/>
    <w:rsid w:val="38731012"/>
    <w:rsid w:val="387A423D"/>
    <w:rsid w:val="38857685"/>
    <w:rsid w:val="38883F94"/>
    <w:rsid w:val="388C0EEA"/>
    <w:rsid w:val="389E09CC"/>
    <w:rsid w:val="38A87E0A"/>
    <w:rsid w:val="38AC2BB7"/>
    <w:rsid w:val="38BC42B5"/>
    <w:rsid w:val="38C87FF3"/>
    <w:rsid w:val="38CA5555"/>
    <w:rsid w:val="38D4366C"/>
    <w:rsid w:val="38D82A07"/>
    <w:rsid w:val="38DC6A7D"/>
    <w:rsid w:val="38E64A91"/>
    <w:rsid w:val="38F77C64"/>
    <w:rsid w:val="39003FBD"/>
    <w:rsid w:val="390546DB"/>
    <w:rsid w:val="39166552"/>
    <w:rsid w:val="391813F5"/>
    <w:rsid w:val="39296717"/>
    <w:rsid w:val="392B5F09"/>
    <w:rsid w:val="392F75E2"/>
    <w:rsid w:val="39411DB4"/>
    <w:rsid w:val="39496EDF"/>
    <w:rsid w:val="394A08C1"/>
    <w:rsid w:val="396124D1"/>
    <w:rsid w:val="397C09D4"/>
    <w:rsid w:val="397F44ED"/>
    <w:rsid w:val="398B089B"/>
    <w:rsid w:val="39B06716"/>
    <w:rsid w:val="39B1469C"/>
    <w:rsid w:val="39B30EA9"/>
    <w:rsid w:val="39C57AE5"/>
    <w:rsid w:val="39C80CDA"/>
    <w:rsid w:val="39D27B89"/>
    <w:rsid w:val="39DF3228"/>
    <w:rsid w:val="39E72100"/>
    <w:rsid w:val="39EE332A"/>
    <w:rsid w:val="39F24C64"/>
    <w:rsid w:val="39F417E4"/>
    <w:rsid w:val="39F50A1C"/>
    <w:rsid w:val="3A046706"/>
    <w:rsid w:val="3A0D71BE"/>
    <w:rsid w:val="3A1B14E1"/>
    <w:rsid w:val="3A236CA2"/>
    <w:rsid w:val="3A2715D6"/>
    <w:rsid w:val="3A2736BF"/>
    <w:rsid w:val="3A312FB7"/>
    <w:rsid w:val="3A4B3142"/>
    <w:rsid w:val="3A4E3B48"/>
    <w:rsid w:val="3A5C1DF9"/>
    <w:rsid w:val="3A652D65"/>
    <w:rsid w:val="3A680F85"/>
    <w:rsid w:val="3A695377"/>
    <w:rsid w:val="3A6A4AC3"/>
    <w:rsid w:val="3A6D0814"/>
    <w:rsid w:val="3A6D0882"/>
    <w:rsid w:val="3A76269A"/>
    <w:rsid w:val="3A79380C"/>
    <w:rsid w:val="3A7D5F3A"/>
    <w:rsid w:val="3A8B3054"/>
    <w:rsid w:val="3A9940F0"/>
    <w:rsid w:val="3ABB43FF"/>
    <w:rsid w:val="3ABD0BEB"/>
    <w:rsid w:val="3AC578B2"/>
    <w:rsid w:val="3ADD7705"/>
    <w:rsid w:val="3AE20D32"/>
    <w:rsid w:val="3AEB2D9D"/>
    <w:rsid w:val="3AF479B5"/>
    <w:rsid w:val="3AF51BE4"/>
    <w:rsid w:val="3AFC0880"/>
    <w:rsid w:val="3B092937"/>
    <w:rsid w:val="3B14504C"/>
    <w:rsid w:val="3B16080F"/>
    <w:rsid w:val="3B186CDD"/>
    <w:rsid w:val="3B4F2158"/>
    <w:rsid w:val="3B5205A1"/>
    <w:rsid w:val="3B5737B6"/>
    <w:rsid w:val="3B6B6574"/>
    <w:rsid w:val="3B6C4D3D"/>
    <w:rsid w:val="3B7B77B8"/>
    <w:rsid w:val="3B8350CC"/>
    <w:rsid w:val="3B8367ED"/>
    <w:rsid w:val="3B86205D"/>
    <w:rsid w:val="3B8B65D4"/>
    <w:rsid w:val="3B92781F"/>
    <w:rsid w:val="3B9A599F"/>
    <w:rsid w:val="3BA0139B"/>
    <w:rsid w:val="3BA22581"/>
    <w:rsid w:val="3BA735B9"/>
    <w:rsid w:val="3BB0325D"/>
    <w:rsid w:val="3BB66353"/>
    <w:rsid w:val="3BC52883"/>
    <w:rsid w:val="3BD17677"/>
    <w:rsid w:val="3BD41145"/>
    <w:rsid w:val="3BE272D1"/>
    <w:rsid w:val="3BED2EA4"/>
    <w:rsid w:val="3BF14B73"/>
    <w:rsid w:val="3C0021D6"/>
    <w:rsid w:val="3C050F37"/>
    <w:rsid w:val="3C0C2346"/>
    <w:rsid w:val="3C1A1D46"/>
    <w:rsid w:val="3C1D35EE"/>
    <w:rsid w:val="3C2A7809"/>
    <w:rsid w:val="3C3C71E7"/>
    <w:rsid w:val="3C3D1C69"/>
    <w:rsid w:val="3C3D30A0"/>
    <w:rsid w:val="3C414037"/>
    <w:rsid w:val="3C46704F"/>
    <w:rsid w:val="3C511526"/>
    <w:rsid w:val="3C571283"/>
    <w:rsid w:val="3C61432F"/>
    <w:rsid w:val="3C770104"/>
    <w:rsid w:val="3C781317"/>
    <w:rsid w:val="3C7A0774"/>
    <w:rsid w:val="3C7D2F65"/>
    <w:rsid w:val="3C803E26"/>
    <w:rsid w:val="3C8505CD"/>
    <w:rsid w:val="3C86152F"/>
    <w:rsid w:val="3C8A317C"/>
    <w:rsid w:val="3C8D1558"/>
    <w:rsid w:val="3C9E1A99"/>
    <w:rsid w:val="3CA55AE0"/>
    <w:rsid w:val="3CAA6701"/>
    <w:rsid w:val="3CB01844"/>
    <w:rsid w:val="3CBA314E"/>
    <w:rsid w:val="3D10624F"/>
    <w:rsid w:val="3D135F4D"/>
    <w:rsid w:val="3D204391"/>
    <w:rsid w:val="3D25510D"/>
    <w:rsid w:val="3D2E72E7"/>
    <w:rsid w:val="3D351DF4"/>
    <w:rsid w:val="3D41628E"/>
    <w:rsid w:val="3D424490"/>
    <w:rsid w:val="3D466827"/>
    <w:rsid w:val="3D5045AA"/>
    <w:rsid w:val="3D5708C1"/>
    <w:rsid w:val="3D6024FB"/>
    <w:rsid w:val="3D637792"/>
    <w:rsid w:val="3D692E2E"/>
    <w:rsid w:val="3D6C643F"/>
    <w:rsid w:val="3D706A98"/>
    <w:rsid w:val="3D72521A"/>
    <w:rsid w:val="3D8B366C"/>
    <w:rsid w:val="3D946B14"/>
    <w:rsid w:val="3DA22F5E"/>
    <w:rsid w:val="3DAC5A65"/>
    <w:rsid w:val="3DBD7407"/>
    <w:rsid w:val="3DC95986"/>
    <w:rsid w:val="3DCA2C9E"/>
    <w:rsid w:val="3DE06189"/>
    <w:rsid w:val="3DEA3293"/>
    <w:rsid w:val="3DF31B27"/>
    <w:rsid w:val="3DF90189"/>
    <w:rsid w:val="3E042635"/>
    <w:rsid w:val="3E0A2C48"/>
    <w:rsid w:val="3E0D3030"/>
    <w:rsid w:val="3E0E6D7D"/>
    <w:rsid w:val="3E126451"/>
    <w:rsid w:val="3E1F364B"/>
    <w:rsid w:val="3E274166"/>
    <w:rsid w:val="3E647654"/>
    <w:rsid w:val="3E744690"/>
    <w:rsid w:val="3EA20FA0"/>
    <w:rsid w:val="3EC701A5"/>
    <w:rsid w:val="3ECA3044"/>
    <w:rsid w:val="3ED43706"/>
    <w:rsid w:val="3EE0687D"/>
    <w:rsid w:val="3EE60FF4"/>
    <w:rsid w:val="3EEB59B0"/>
    <w:rsid w:val="3EF71AB3"/>
    <w:rsid w:val="3F0C3C07"/>
    <w:rsid w:val="3F333DE0"/>
    <w:rsid w:val="3F355C78"/>
    <w:rsid w:val="3F4409A2"/>
    <w:rsid w:val="3F6253B0"/>
    <w:rsid w:val="3F647E7F"/>
    <w:rsid w:val="3F6A4E56"/>
    <w:rsid w:val="3F6A64F7"/>
    <w:rsid w:val="3F8A4240"/>
    <w:rsid w:val="3F8B304C"/>
    <w:rsid w:val="3F981511"/>
    <w:rsid w:val="3F9C5862"/>
    <w:rsid w:val="3F9D38CE"/>
    <w:rsid w:val="3FBA0827"/>
    <w:rsid w:val="3FBA6B59"/>
    <w:rsid w:val="3FC6058A"/>
    <w:rsid w:val="3FCD31D2"/>
    <w:rsid w:val="3FE714A3"/>
    <w:rsid w:val="3FE84B22"/>
    <w:rsid w:val="3FED5117"/>
    <w:rsid w:val="3FF04220"/>
    <w:rsid w:val="3FFB3AB0"/>
    <w:rsid w:val="3FFB455C"/>
    <w:rsid w:val="400044FA"/>
    <w:rsid w:val="40100C28"/>
    <w:rsid w:val="402538AF"/>
    <w:rsid w:val="402803C2"/>
    <w:rsid w:val="403141A3"/>
    <w:rsid w:val="403F534F"/>
    <w:rsid w:val="40486B6D"/>
    <w:rsid w:val="40492F59"/>
    <w:rsid w:val="40500C5D"/>
    <w:rsid w:val="40671B36"/>
    <w:rsid w:val="40691F2D"/>
    <w:rsid w:val="406E5359"/>
    <w:rsid w:val="40723D14"/>
    <w:rsid w:val="407A6A5F"/>
    <w:rsid w:val="407C28A3"/>
    <w:rsid w:val="408556D9"/>
    <w:rsid w:val="408702C9"/>
    <w:rsid w:val="408829E4"/>
    <w:rsid w:val="4090365D"/>
    <w:rsid w:val="409C4797"/>
    <w:rsid w:val="409D778E"/>
    <w:rsid w:val="409F587D"/>
    <w:rsid w:val="40AD7E31"/>
    <w:rsid w:val="40B622E0"/>
    <w:rsid w:val="40B856B5"/>
    <w:rsid w:val="40C02C90"/>
    <w:rsid w:val="40C32938"/>
    <w:rsid w:val="40C54587"/>
    <w:rsid w:val="40C600AE"/>
    <w:rsid w:val="40D474E0"/>
    <w:rsid w:val="40E604BB"/>
    <w:rsid w:val="40ED383F"/>
    <w:rsid w:val="40F241E8"/>
    <w:rsid w:val="40FD00C1"/>
    <w:rsid w:val="410535DA"/>
    <w:rsid w:val="41083028"/>
    <w:rsid w:val="41195558"/>
    <w:rsid w:val="411A02EA"/>
    <w:rsid w:val="41231E1C"/>
    <w:rsid w:val="4127143E"/>
    <w:rsid w:val="41273A2A"/>
    <w:rsid w:val="41297F31"/>
    <w:rsid w:val="412D5822"/>
    <w:rsid w:val="413B647B"/>
    <w:rsid w:val="4141169C"/>
    <w:rsid w:val="414420E6"/>
    <w:rsid w:val="4144661B"/>
    <w:rsid w:val="414E2A28"/>
    <w:rsid w:val="415A1E69"/>
    <w:rsid w:val="415C28AC"/>
    <w:rsid w:val="416A47E5"/>
    <w:rsid w:val="41941490"/>
    <w:rsid w:val="41986C3E"/>
    <w:rsid w:val="41AF4535"/>
    <w:rsid w:val="41B85D0C"/>
    <w:rsid w:val="41BC0AB1"/>
    <w:rsid w:val="41D751DE"/>
    <w:rsid w:val="41DA5B4C"/>
    <w:rsid w:val="41F3619F"/>
    <w:rsid w:val="41F56D18"/>
    <w:rsid w:val="41F62566"/>
    <w:rsid w:val="41F710A5"/>
    <w:rsid w:val="41FB7C1B"/>
    <w:rsid w:val="41FD19E7"/>
    <w:rsid w:val="42107E72"/>
    <w:rsid w:val="421F302E"/>
    <w:rsid w:val="422E218C"/>
    <w:rsid w:val="42315F45"/>
    <w:rsid w:val="4237043D"/>
    <w:rsid w:val="423D72E4"/>
    <w:rsid w:val="423F6BAA"/>
    <w:rsid w:val="42437340"/>
    <w:rsid w:val="42507548"/>
    <w:rsid w:val="426C096B"/>
    <w:rsid w:val="42812B20"/>
    <w:rsid w:val="42967175"/>
    <w:rsid w:val="42A23EAE"/>
    <w:rsid w:val="42AA2C24"/>
    <w:rsid w:val="42B57906"/>
    <w:rsid w:val="42CC27A0"/>
    <w:rsid w:val="42D310A0"/>
    <w:rsid w:val="42DC0D8F"/>
    <w:rsid w:val="42E07B44"/>
    <w:rsid w:val="42E14644"/>
    <w:rsid w:val="42F02C29"/>
    <w:rsid w:val="42F72C47"/>
    <w:rsid w:val="43065A98"/>
    <w:rsid w:val="43085D36"/>
    <w:rsid w:val="43117473"/>
    <w:rsid w:val="431760D2"/>
    <w:rsid w:val="432E7F09"/>
    <w:rsid w:val="43690347"/>
    <w:rsid w:val="43691DD2"/>
    <w:rsid w:val="436B04CF"/>
    <w:rsid w:val="43701F86"/>
    <w:rsid w:val="43783740"/>
    <w:rsid w:val="437E66CF"/>
    <w:rsid w:val="438410CD"/>
    <w:rsid w:val="438A0837"/>
    <w:rsid w:val="438E2903"/>
    <w:rsid w:val="43900D1B"/>
    <w:rsid w:val="43941EF9"/>
    <w:rsid w:val="43A55759"/>
    <w:rsid w:val="43AE57C9"/>
    <w:rsid w:val="43AE7C4C"/>
    <w:rsid w:val="43BE570B"/>
    <w:rsid w:val="43C053BE"/>
    <w:rsid w:val="43C2326D"/>
    <w:rsid w:val="43DC74C2"/>
    <w:rsid w:val="43DF5F41"/>
    <w:rsid w:val="43E02D35"/>
    <w:rsid w:val="43E15C5E"/>
    <w:rsid w:val="43E5384B"/>
    <w:rsid w:val="43F23F61"/>
    <w:rsid w:val="440A03A4"/>
    <w:rsid w:val="441A6704"/>
    <w:rsid w:val="442A60BB"/>
    <w:rsid w:val="445033E8"/>
    <w:rsid w:val="4459240E"/>
    <w:rsid w:val="445D5F4C"/>
    <w:rsid w:val="445E09D5"/>
    <w:rsid w:val="446D660C"/>
    <w:rsid w:val="44A8678C"/>
    <w:rsid w:val="44C9538F"/>
    <w:rsid w:val="44D21BE9"/>
    <w:rsid w:val="44D82781"/>
    <w:rsid w:val="44DB3AAF"/>
    <w:rsid w:val="44EC3348"/>
    <w:rsid w:val="44F8664A"/>
    <w:rsid w:val="44FA19ED"/>
    <w:rsid w:val="44FB1005"/>
    <w:rsid w:val="44FF4853"/>
    <w:rsid w:val="45065F5D"/>
    <w:rsid w:val="45102DD1"/>
    <w:rsid w:val="45111F84"/>
    <w:rsid w:val="451E16D4"/>
    <w:rsid w:val="4524423D"/>
    <w:rsid w:val="452D285F"/>
    <w:rsid w:val="45381B79"/>
    <w:rsid w:val="454B0E83"/>
    <w:rsid w:val="455604F1"/>
    <w:rsid w:val="45584112"/>
    <w:rsid w:val="457F3CA1"/>
    <w:rsid w:val="45812B97"/>
    <w:rsid w:val="458839BF"/>
    <w:rsid w:val="45887F17"/>
    <w:rsid w:val="458D7FB3"/>
    <w:rsid w:val="458E7AE0"/>
    <w:rsid w:val="458E7B9E"/>
    <w:rsid w:val="458F0387"/>
    <w:rsid w:val="459578E9"/>
    <w:rsid w:val="45A04BAE"/>
    <w:rsid w:val="45AC5423"/>
    <w:rsid w:val="45BF4D22"/>
    <w:rsid w:val="45C4185E"/>
    <w:rsid w:val="45C46745"/>
    <w:rsid w:val="45D47B04"/>
    <w:rsid w:val="45D778F8"/>
    <w:rsid w:val="45DD47D8"/>
    <w:rsid w:val="45DF75B3"/>
    <w:rsid w:val="45EC5B58"/>
    <w:rsid w:val="45F06D5A"/>
    <w:rsid w:val="45F71D50"/>
    <w:rsid w:val="45F934F4"/>
    <w:rsid w:val="45FA6896"/>
    <w:rsid w:val="45FF3F96"/>
    <w:rsid w:val="463E2770"/>
    <w:rsid w:val="46401774"/>
    <w:rsid w:val="464D2D29"/>
    <w:rsid w:val="46535CF2"/>
    <w:rsid w:val="46735148"/>
    <w:rsid w:val="46860F13"/>
    <w:rsid w:val="468913B5"/>
    <w:rsid w:val="469A3FCF"/>
    <w:rsid w:val="46C2653A"/>
    <w:rsid w:val="46C9271D"/>
    <w:rsid w:val="46D0797E"/>
    <w:rsid w:val="46DB78A8"/>
    <w:rsid w:val="46E51F43"/>
    <w:rsid w:val="46EA3AC1"/>
    <w:rsid w:val="47081865"/>
    <w:rsid w:val="470C0B02"/>
    <w:rsid w:val="470D6A52"/>
    <w:rsid w:val="471450DC"/>
    <w:rsid w:val="472479E2"/>
    <w:rsid w:val="473F4843"/>
    <w:rsid w:val="47466C18"/>
    <w:rsid w:val="47490958"/>
    <w:rsid w:val="474C1B90"/>
    <w:rsid w:val="475E4D8C"/>
    <w:rsid w:val="475F6FFB"/>
    <w:rsid w:val="47613706"/>
    <w:rsid w:val="47680E90"/>
    <w:rsid w:val="476D294A"/>
    <w:rsid w:val="47744A88"/>
    <w:rsid w:val="47761971"/>
    <w:rsid w:val="47890476"/>
    <w:rsid w:val="4797006A"/>
    <w:rsid w:val="47A01A89"/>
    <w:rsid w:val="47A950EA"/>
    <w:rsid w:val="47BC062E"/>
    <w:rsid w:val="47BE18CE"/>
    <w:rsid w:val="47C22283"/>
    <w:rsid w:val="47C64BB4"/>
    <w:rsid w:val="47CB32E2"/>
    <w:rsid w:val="47D227AD"/>
    <w:rsid w:val="47D71873"/>
    <w:rsid w:val="47E47BD6"/>
    <w:rsid w:val="47FB3EBA"/>
    <w:rsid w:val="47FD5AEF"/>
    <w:rsid w:val="480B2333"/>
    <w:rsid w:val="48167AAA"/>
    <w:rsid w:val="48373870"/>
    <w:rsid w:val="48413862"/>
    <w:rsid w:val="48486D82"/>
    <w:rsid w:val="487A031B"/>
    <w:rsid w:val="4895190E"/>
    <w:rsid w:val="48981E2D"/>
    <w:rsid w:val="48A117EC"/>
    <w:rsid w:val="48AE4C4E"/>
    <w:rsid w:val="48BC5A6C"/>
    <w:rsid w:val="48BE01AF"/>
    <w:rsid w:val="48BE4616"/>
    <w:rsid w:val="48C27E3A"/>
    <w:rsid w:val="48C65766"/>
    <w:rsid w:val="48D75B50"/>
    <w:rsid w:val="48DE608B"/>
    <w:rsid w:val="48FC2EB6"/>
    <w:rsid w:val="49011B36"/>
    <w:rsid w:val="490536CC"/>
    <w:rsid w:val="490A7305"/>
    <w:rsid w:val="4915438D"/>
    <w:rsid w:val="49274AC8"/>
    <w:rsid w:val="492A36A1"/>
    <w:rsid w:val="4938244D"/>
    <w:rsid w:val="493A564A"/>
    <w:rsid w:val="493C55DD"/>
    <w:rsid w:val="4948541D"/>
    <w:rsid w:val="49497FEC"/>
    <w:rsid w:val="494B402A"/>
    <w:rsid w:val="49556D02"/>
    <w:rsid w:val="49560219"/>
    <w:rsid w:val="495E542A"/>
    <w:rsid w:val="49631C5C"/>
    <w:rsid w:val="49794060"/>
    <w:rsid w:val="497E2BEC"/>
    <w:rsid w:val="49815194"/>
    <w:rsid w:val="4987471C"/>
    <w:rsid w:val="49911FF8"/>
    <w:rsid w:val="49986490"/>
    <w:rsid w:val="49A07007"/>
    <w:rsid w:val="49AB669F"/>
    <w:rsid w:val="49B2454B"/>
    <w:rsid w:val="49B303F3"/>
    <w:rsid w:val="49E65A94"/>
    <w:rsid w:val="49F679EF"/>
    <w:rsid w:val="4A06561F"/>
    <w:rsid w:val="4A0668DF"/>
    <w:rsid w:val="4A167EEC"/>
    <w:rsid w:val="4A174386"/>
    <w:rsid w:val="4A1B239F"/>
    <w:rsid w:val="4A250AF5"/>
    <w:rsid w:val="4A25406F"/>
    <w:rsid w:val="4A290D7C"/>
    <w:rsid w:val="4A2E6757"/>
    <w:rsid w:val="4A40609E"/>
    <w:rsid w:val="4A41428F"/>
    <w:rsid w:val="4A4E51BA"/>
    <w:rsid w:val="4A4E64B2"/>
    <w:rsid w:val="4A536B62"/>
    <w:rsid w:val="4A5A0E17"/>
    <w:rsid w:val="4A5A16B1"/>
    <w:rsid w:val="4A627556"/>
    <w:rsid w:val="4A6536BD"/>
    <w:rsid w:val="4A69564B"/>
    <w:rsid w:val="4A7033D7"/>
    <w:rsid w:val="4A7757D2"/>
    <w:rsid w:val="4A7B5132"/>
    <w:rsid w:val="4A934DFD"/>
    <w:rsid w:val="4A987CDE"/>
    <w:rsid w:val="4A9B4822"/>
    <w:rsid w:val="4ABF1A80"/>
    <w:rsid w:val="4AC15225"/>
    <w:rsid w:val="4ACD263C"/>
    <w:rsid w:val="4AF05152"/>
    <w:rsid w:val="4AF46A18"/>
    <w:rsid w:val="4B041530"/>
    <w:rsid w:val="4B094DA8"/>
    <w:rsid w:val="4B123B29"/>
    <w:rsid w:val="4B2C16F1"/>
    <w:rsid w:val="4B341992"/>
    <w:rsid w:val="4B342A49"/>
    <w:rsid w:val="4B382EC2"/>
    <w:rsid w:val="4B3C2D5F"/>
    <w:rsid w:val="4B4E00F3"/>
    <w:rsid w:val="4B5C75C6"/>
    <w:rsid w:val="4B5D316A"/>
    <w:rsid w:val="4B6717E4"/>
    <w:rsid w:val="4B67770C"/>
    <w:rsid w:val="4B705824"/>
    <w:rsid w:val="4B766CA0"/>
    <w:rsid w:val="4B7C5A8E"/>
    <w:rsid w:val="4B84465D"/>
    <w:rsid w:val="4B8B0E4A"/>
    <w:rsid w:val="4B8D7117"/>
    <w:rsid w:val="4BA1286E"/>
    <w:rsid w:val="4BA729F0"/>
    <w:rsid w:val="4BAE7484"/>
    <w:rsid w:val="4BB01E2B"/>
    <w:rsid w:val="4BB35325"/>
    <w:rsid w:val="4BB51437"/>
    <w:rsid w:val="4BC50363"/>
    <w:rsid w:val="4BCD0B56"/>
    <w:rsid w:val="4BD220D9"/>
    <w:rsid w:val="4BD25472"/>
    <w:rsid w:val="4BE17E7B"/>
    <w:rsid w:val="4BF244BC"/>
    <w:rsid w:val="4BF742E4"/>
    <w:rsid w:val="4BFF78E1"/>
    <w:rsid w:val="4C00529C"/>
    <w:rsid w:val="4C160AFB"/>
    <w:rsid w:val="4C177A54"/>
    <w:rsid w:val="4C18316B"/>
    <w:rsid w:val="4C2552F8"/>
    <w:rsid w:val="4C2C3E0B"/>
    <w:rsid w:val="4C37556E"/>
    <w:rsid w:val="4C501B69"/>
    <w:rsid w:val="4C52540B"/>
    <w:rsid w:val="4C5825DD"/>
    <w:rsid w:val="4C59514C"/>
    <w:rsid w:val="4C5A3761"/>
    <w:rsid w:val="4C690850"/>
    <w:rsid w:val="4C6958C8"/>
    <w:rsid w:val="4C8214A7"/>
    <w:rsid w:val="4C8776D7"/>
    <w:rsid w:val="4C90243C"/>
    <w:rsid w:val="4C905EA7"/>
    <w:rsid w:val="4C984E71"/>
    <w:rsid w:val="4CA304F0"/>
    <w:rsid w:val="4CAD26EA"/>
    <w:rsid w:val="4CAE37A3"/>
    <w:rsid w:val="4CAF45F6"/>
    <w:rsid w:val="4CB46925"/>
    <w:rsid w:val="4CB47E59"/>
    <w:rsid w:val="4CB84CD1"/>
    <w:rsid w:val="4CC6471F"/>
    <w:rsid w:val="4CC823D1"/>
    <w:rsid w:val="4CC8569B"/>
    <w:rsid w:val="4CDB5C21"/>
    <w:rsid w:val="4CEF22C2"/>
    <w:rsid w:val="4CF84A64"/>
    <w:rsid w:val="4CF85267"/>
    <w:rsid w:val="4D026998"/>
    <w:rsid w:val="4D081739"/>
    <w:rsid w:val="4D157F4F"/>
    <w:rsid w:val="4D1C5D83"/>
    <w:rsid w:val="4D213BF7"/>
    <w:rsid w:val="4D363FB7"/>
    <w:rsid w:val="4D402AFA"/>
    <w:rsid w:val="4D40746B"/>
    <w:rsid w:val="4D436429"/>
    <w:rsid w:val="4D5109CA"/>
    <w:rsid w:val="4D552358"/>
    <w:rsid w:val="4D563BBD"/>
    <w:rsid w:val="4D6E4D26"/>
    <w:rsid w:val="4D761E2D"/>
    <w:rsid w:val="4D761F2F"/>
    <w:rsid w:val="4D793DD7"/>
    <w:rsid w:val="4D8A6E74"/>
    <w:rsid w:val="4D8B2729"/>
    <w:rsid w:val="4DAE35B1"/>
    <w:rsid w:val="4DB67FFC"/>
    <w:rsid w:val="4DB80E16"/>
    <w:rsid w:val="4DBF3F22"/>
    <w:rsid w:val="4DC5776B"/>
    <w:rsid w:val="4DCF7290"/>
    <w:rsid w:val="4DD424D2"/>
    <w:rsid w:val="4DDD09A1"/>
    <w:rsid w:val="4DE0206F"/>
    <w:rsid w:val="4DE70530"/>
    <w:rsid w:val="4DEF489C"/>
    <w:rsid w:val="4DF2005D"/>
    <w:rsid w:val="4DF94EFA"/>
    <w:rsid w:val="4E0208A1"/>
    <w:rsid w:val="4E0B6688"/>
    <w:rsid w:val="4E1232D1"/>
    <w:rsid w:val="4E173610"/>
    <w:rsid w:val="4E1D19D2"/>
    <w:rsid w:val="4E1E6139"/>
    <w:rsid w:val="4E224F42"/>
    <w:rsid w:val="4E257ADB"/>
    <w:rsid w:val="4E2C707E"/>
    <w:rsid w:val="4E316BCD"/>
    <w:rsid w:val="4E3826D6"/>
    <w:rsid w:val="4E3F1C16"/>
    <w:rsid w:val="4E3F57BC"/>
    <w:rsid w:val="4E493DC4"/>
    <w:rsid w:val="4E4C44CD"/>
    <w:rsid w:val="4E50386D"/>
    <w:rsid w:val="4E55309F"/>
    <w:rsid w:val="4E7474E8"/>
    <w:rsid w:val="4E796078"/>
    <w:rsid w:val="4E7B73B3"/>
    <w:rsid w:val="4E7C4BA1"/>
    <w:rsid w:val="4E973A50"/>
    <w:rsid w:val="4E9F4105"/>
    <w:rsid w:val="4EA720E5"/>
    <w:rsid w:val="4EB02476"/>
    <w:rsid w:val="4EC3367F"/>
    <w:rsid w:val="4EE05CAA"/>
    <w:rsid w:val="4EE12346"/>
    <w:rsid w:val="4EE17CA8"/>
    <w:rsid w:val="4EE773E2"/>
    <w:rsid w:val="4EEC30DE"/>
    <w:rsid w:val="4EF76CAE"/>
    <w:rsid w:val="4F114828"/>
    <w:rsid w:val="4F366BC7"/>
    <w:rsid w:val="4F3F7826"/>
    <w:rsid w:val="4F4641AC"/>
    <w:rsid w:val="4F6B689F"/>
    <w:rsid w:val="4F731591"/>
    <w:rsid w:val="4F8E010D"/>
    <w:rsid w:val="4F8F7D82"/>
    <w:rsid w:val="4F9A0837"/>
    <w:rsid w:val="4FAC1042"/>
    <w:rsid w:val="4FB60D92"/>
    <w:rsid w:val="4FB94E52"/>
    <w:rsid w:val="4FBE3AFD"/>
    <w:rsid w:val="4FDB3720"/>
    <w:rsid w:val="4FDF5967"/>
    <w:rsid w:val="4FEB69B0"/>
    <w:rsid w:val="4FFC4363"/>
    <w:rsid w:val="4FFD5A12"/>
    <w:rsid w:val="4FFF6489"/>
    <w:rsid w:val="500B0ED4"/>
    <w:rsid w:val="50102D4A"/>
    <w:rsid w:val="502A5588"/>
    <w:rsid w:val="502D6447"/>
    <w:rsid w:val="50360C21"/>
    <w:rsid w:val="503D6F10"/>
    <w:rsid w:val="50401737"/>
    <w:rsid w:val="504946BC"/>
    <w:rsid w:val="50526BF2"/>
    <w:rsid w:val="5064689E"/>
    <w:rsid w:val="50696AB5"/>
    <w:rsid w:val="506E556F"/>
    <w:rsid w:val="50747150"/>
    <w:rsid w:val="507703C6"/>
    <w:rsid w:val="50804F6F"/>
    <w:rsid w:val="50812FC2"/>
    <w:rsid w:val="50922234"/>
    <w:rsid w:val="50A0169A"/>
    <w:rsid w:val="50A548F7"/>
    <w:rsid w:val="50A95358"/>
    <w:rsid w:val="50D01829"/>
    <w:rsid w:val="50D240A9"/>
    <w:rsid w:val="50E74E4F"/>
    <w:rsid w:val="50F32C05"/>
    <w:rsid w:val="51014856"/>
    <w:rsid w:val="510A7849"/>
    <w:rsid w:val="51100044"/>
    <w:rsid w:val="5147293F"/>
    <w:rsid w:val="515570E4"/>
    <w:rsid w:val="51575EB9"/>
    <w:rsid w:val="515F6445"/>
    <w:rsid w:val="516113B8"/>
    <w:rsid w:val="51744CB0"/>
    <w:rsid w:val="518178BC"/>
    <w:rsid w:val="51846C5D"/>
    <w:rsid w:val="518E4D56"/>
    <w:rsid w:val="51930C54"/>
    <w:rsid w:val="51932D58"/>
    <w:rsid w:val="5198443A"/>
    <w:rsid w:val="519F23F2"/>
    <w:rsid w:val="51B21398"/>
    <w:rsid w:val="51B65C8D"/>
    <w:rsid w:val="51B9350B"/>
    <w:rsid w:val="51C82E54"/>
    <w:rsid w:val="51E26886"/>
    <w:rsid w:val="52065E75"/>
    <w:rsid w:val="52066D18"/>
    <w:rsid w:val="520F3871"/>
    <w:rsid w:val="521117D6"/>
    <w:rsid w:val="5227352B"/>
    <w:rsid w:val="522B0B10"/>
    <w:rsid w:val="522D3402"/>
    <w:rsid w:val="52386C48"/>
    <w:rsid w:val="523C6D60"/>
    <w:rsid w:val="524F1CF2"/>
    <w:rsid w:val="525B4D0A"/>
    <w:rsid w:val="525D0DDD"/>
    <w:rsid w:val="525E7D94"/>
    <w:rsid w:val="526A557B"/>
    <w:rsid w:val="527234DF"/>
    <w:rsid w:val="52866E27"/>
    <w:rsid w:val="52933667"/>
    <w:rsid w:val="52937784"/>
    <w:rsid w:val="52A422AF"/>
    <w:rsid w:val="52B40CD1"/>
    <w:rsid w:val="52C73780"/>
    <w:rsid w:val="52D30187"/>
    <w:rsid w:val="52DE294E"/>
    <w:rsid w:val="52E80C5A"/>
    <w:rsid w:val="52EB39D6"/>
    <w:rsid w:val="52F45CCD"/>
    <w:rsid w:val="52F61A46"/>
    <w:rsid w:val="530D11E7"/>
    <w:rsid w:val="53194497"/>
    <w:rsid w:val="531B5950"/>
    <w:rsid w:val="532B274E"/>
    <w:rsid w:val="532B79AE"/>
    <w:rsid w:val="53301642"/>
    <w:rsid w:val="53383909"/>
    <w:rsid w:val="533A55FD"/>
    <w:rsid w:val="533E1C9D"/>
    <w:rsid w:val="535911AD"/>
    <w:rsid w:val="536034E5"/>
    <w:rsid w:val="53717427"/>
    <w:rsid w:val="53756F3F"/>
    <w:rsid w:val="538237C6"/>
    <w:rsid w:val="53B0409F"/>
    <w:rsid w:val="53DF24DA"/>
    <w:rsid w:val="53E00D9A"/>
    <w:rsid w:val="53E05B8F"/>
    <w:rsid w:val="53E8049B"/>
    <w:rsid w:val="53E82405"/>
    <w:rsid w:val="54157FC5"/>
    <w:rsid w:val="541A2918"/>
    <w:rsid w:val="54204C9F"/>
    <w:rsid w:val="5426167E"/>
    <w:rsid w:val="54280325"/>
    <w:rsid w:val="54385FD8"/>
    <w:rsid w:val="543D19F2"/>
    <w:rsid w:val="543F078D"/>
    <w:rsid w:val="54624A1A"/>
    <w:rsid w:val="5467079A"/>
    <w:rsid w:val="546A2608"/>
    <w:rsid w:val="546F53E5"/>
    <w:rsid w:val="547C4670"/>
    <w:rsid w:val="5482785F"/>
    <w:rsid w:val="54834761"/>
    <w:rsid w:val="54842B46"/>
    <w:rsid w:val="54981906"/>
    <w:rsid w:val="54992160"/>
    <w:rsid w:val="54B13FCD"/>
    <w:rsid w:val="54C07BCA"/>
    <w:rsid w:val="54DF53DD"/>
    <w:rsid w:val="54E7304B"/>
    <w:rsid w:val="54E95ADA"/>
    <w:rsid w:val="54F07210"/>
    <w:rsid w:val="550D21E2"/>
    <w:rsid w:val="55106B9E"/>
    <w:rsid w:val="55293CD7"/>
    <w:rsid w:val="55397F95"/>
    <w:rsid w:val="553B72BC"/>
    <w:rsid w:val="55402FD8"/>
    <w:rsid w:val="55567D78"/>
    <w:rsid w:val="5562356C"/>
    <w:rsid w:val="557612C1"/>
    <w:rsid w:val="55794AFE"/>
    <w:rsid w:val="557A22BF"/>
    <w:rsid w:val="558D63DE"/>
    <w:rsid w:val="55A91797"/>
    <w:rsid w:val="55A955BC"/>
    <w:rsid w:val="55AC042B"/>
    <w:rsid w:val="55CD6CE1"/>
    <w:rsid w:val="55D128B6"/>
    <w:rsid w:val="55D3548E"/>
    <w:rsid w:val="55E820F0"/>
    <w:rsid w:val="55EC5382"/>
    <w:rsid w:val="55ED3A66"/>
    <w:rsid w:val="55FC5BB6"/>
    <w:rsid w:val="56032E96"/>
    <w:rsid w:val="561F3061"/>
    <w:rsid w:val="562F7218"/>
    <w:rsid w:val="563811F3"/>
    <w:rsid w:val="563B47EF"/>
    <w:rsid w:val="563D2F23"/>
    <w:rsid w:val="56442AC9"/>
    <w:rsid w:val="565A1A66"/>
    <w:rsid w:val="565C303E"/>
    <w:rsid w:val="56696A15"/>
    <w:rsid w:val="566E6F0C"/>
    <w:rsid w:val="568147E6"/>
    <w:rsid w:val="56905AE9"/>
    <w:rsid w:val="56AD7F56"/>
    <w:rsid w:val="56B0015D"/>
    <w:rsid w:val="56B14A4E"/>
    <w:rsid w:val="56BC2FA6"/>
    <w:rsid w:val="56DB6B9E"/>
    <w:rsid w:val="56E47121"/>
    <w:rsid w:val="56E93EB2"/>
    <w:rsid w:val="56EA6B57"/>
    <w:rsid w:val="56F332BC"/>
    <w:rsid w:val="56F72AE0"/>
    <w:rsid w:val="56FC0A62"/>
    <w:rsid w:val="57121C92"/>
    <w:rsid w:val="57285CD2"/>
    <w:rsid w:val="5729650D"/>
    <w:rsid w:val="57302BC2"/>
    <w:rsid w:val="573202DA"/>
    <w:rsid w:val="5734273B"/>
    <w:rsid w:val="57512180"/>
    <w:rsid w:val="5763554D"/>
    <w:rsid w:val="57644F14"/>
    <w:rsid w:val="57730938"/>
    <w:rsid w:val="577E549B"/>
    <w:rsid w:val="578904F9"/>
    <w:rsid w:val="57C344BA"/>
    <w:rsid w:val="57CE0C4E"/>
    <w:rsid w:val="57D727B4"/>
    <w:rsid w:val="57E11A79"/>
    <w:rsid w:val="57F6321B"/>
    <w:rsid w:val="58025991"/>
    <w:rsid w:val="58026C75"/>
    <w:rsid w:val="580B590A"/>
    <w:rsid w:val="58123DE6"/>
    <w:rsid w:val="581667FF"/>
    <w:rsid w:val="581F1405"/>
    <w:rsid w:val="582901C7"/>
    <w:rsid w:val="582B4A6E"/>
    <w:rsid w:val="583A7F2A"/>
    <w:rsid w:val="584863F5"/>
    <w:rsid w:val="58543C7C"/>
    <w:rsid w:val="5858263B"/>
    <w:rsid w:val="585869BD"/>
    <w:rsid w:val="58923CB1"/>
    <w:rsid w:val="58927B2F"/>
    <w:rsid w:val="589D3BF4"/>
    <w:rsid w:val="58A2699C"/>
    <w:rsid w:val="58AA6661"/>
    <w:rsid w:val="58AB6F65"/>
    <w:rsid w:val="58B32ECD"/>
    <w:rsid w:val="58C16F0F"/>
    <w:rsid w:val="58C83C33"/>
    <w:rsid w:val="58DC71A7"/>
    <w:rsid w:val="58DE696E"/>
    <w:rsid w:val="58E63860"/>
    <w:rsid w:val="58F07B9D"/>
    <w:rsid w:val="58F410EC"/>
    <w:rsid w:val="592074AC"/>
    <w:rsid w:val="592E72DE"/>
    <w:rsid w:val="592F5CB1"/>
    <w:rsid w:val="5938443B"/>
    <w:rsid w:val="593D04C8"/>
    <w:rsid w:val="59460173"/>
    <w:rsid w:val="59490B80"/>
    <w:rsid w:val="594C24B0"/>
    <w:rsid w:val="59822B75"/>
    <w:rsid w:val="598850C0"/>
    <w:rsid w:val="59B459DE"/>
    <w:rsid w:val="59B52CD9"/>
    <w:rsid w:val="59BE124D"/>
    <w:rsid w:val="59C84CDF"/>
    <w:rsid w:val="59CA4C89"/>
    <w:rsid w:val="59D14FBA"/>
    <w:rsid w:val="59DC20FA"/>
    <w:rsid w:val="59E309B6"/>
    <w:rsid w:val="59E37ED8"/>
    <w:rsid w:val="59E44CEE"/>
    <w:rsid w:val="59E63DC8"/>
    <w:rsid w:val="59EF48C8"/>
    <w:rsid w:val="5A166E71"/>
    <w:rsid w:val="5A247CDB"/>
    <w:rsid w:val="5A290E19"/>
    <w:rsid w:val="5A335194"/>
    <w:rsid w:val="5A356DDA"/>
    <w:rsid w:val="5A371A5D"/>
    <w:rsid w:val="5A575D91"/>
    <w:rsid w:val="5A581480"/>
    <w:rsid w:val="5A596039"/>
    <w:rsid w:val="5A6A2BD2"/>
    <w:rsid w:val="5A6E7822"/>
    <w:rsid w:val="5A7236C9"/>
    <w:rsid w:val="5A894444"/>
    <w:rsid w:val="5A8F7875"/>
    <w:rsid w:val="5A9579D4"/>
    <w:rsid w:val="5A994586"/>
    <w:rsid w:val="5AA248EB"/>
    <w:rsid w:val="5ABB5323"/>
    <w:rsid w:val="5ABF3065"/>
    <w:rsid w:val="5AC053E4"/>
    <w:rsid w:val="5ACE09A3"/>
    <w:rsid w:val="5ADE17FA"/>
    <w:rsid w:val="5AF91A16"/>
    <w:rsid w:val="5AFF7905"/>
    <w:rsid w:val="5B006CAA"/>
    <w:rsid w:val="5B0C5194"/>
    <w:rsid w:val="5B152458"/>
    <w:rsid w:val="5B264A86"/>
    <w:rsid w:val="5B396F85"/>
    <w:rsid w:val="5B3C37FD"/>
    <w:rsid w:val="5B475858"/>
    <w:rsid w:val="5B491849"/>
    <w:rsid w:val="5B567D36"/>
    <w:rsid w:val="5B5C7179"/>
    <w:rsid w:val="5B6416F3"/>
    <w:rsid w:val="5B676EA6"/>
    <w:rsid w:val="5B6D56EA"/>
    <w:rsid w:val="5B6E3384"/>
    <w:rsid w:val="5B7127AA"/>
    <w:rsid w:val="5B802A5A"/>
    <w:rsid w:val="5B80588C"/>
    <w:rsid w:val="5B8A0154"/>
    <w:rsid w:val="5B904646"/>
    <w:rsid w:val="5B996C0C"/>
    <w:rsid w:val="5BA046D8"/>
    <w:rsid w:val="5BA248C9"/>
    <w:rsid w:val="5BB271D5"/>
    <w:rsid w:val="5BC4536F"/>
    <w:rsid w:val="5BD708F5"/>
    <w:rsid w:val="5BE11D3E"/>
    <w:rsid w:val="5BE32481"/>
    <w:rsid w:val="5BE76365"/>
    <w:rsid w:val="5BF54256"/>
    <w:rsid w:val="5C25620A"/>
    <w:rsid w:val="5C355397"/>
    <w:rsid w:val="5C3A0AA8"/>
    <w:rsid w:val="5C3F2070"/>
    <w:rsid w:val="5C435E0B"/>
    <w:rsid w:val="5C4444BD"/>
    <w:rsid w:val="5C5123E2"/>
    <w:rsid w:val="5C6F0385"/>
    <w:rsid w:val="5C770320"/>
    <w:rsid w:val="5C8017A6"/>
    <w:rsid w:val="5C864881"/>
    <w:rsid w:val="5C924B81"/>
    <w:rsid w:val="5C9E09E2"/>
    <w:rsid w:val="5CA363E0"/>
    <w:rsid w:val="5CA70719"/>
    <w:rsid w:val="5CB82EBF"/>
    <w:rsid w:val="5CBE05E3"/>
    <w:rsid w:val="5CC05D9E"/>
    <w:rsid w:val="5CC708B0"/>
    <w:rsid w:val="5CDA71D3"/>
    <w:rsid w:val="5CE54876"/>
    <w:rsid w:val="5CEF5874"/>
    <w:rsid w:val="5CFB2FDE"/>
    <w:rsid w:val="5D186A5C"/>
    <w:rsid w:val="5D1A6F31"/>
    <w:rsid w:val="5D1E5536"/>
    <w:rsid w:val="5D1F5A7E"/>
    <w:rsid w:val="5D236ED9"/>
    <w:rsid w:val="5D2A1B13"/>
    <w:rsid w:val="5D2C20B7"/>
    <w:rsid w:val="5D393E6A"/>
    <w:rsid w:val="5D476082"/>
    <w:rsid w:val="5D4A0A98"/>
    <w:rsid w:val="5D4B4145"/>
    <w:rsid w:val="5D4C6C2E"/>
    <w:rsid w:val="5D5059DF"/>
    <w:rsid w:val="5D5A52FA"/>
    <w:rsid w:val="5D755474"/>
    <w:rsid w:val="5D766193"/>
    <w:rsid w:val="5D966AF6"/>
    <w:rsid w:val="5D98478A"/>
    <w:rsid w:val="5D9E18CE"/>
    <w:rsid w:val="5DAC6B99"/>
    <w:rsid w:val="5DBF4C78"/>
    <w:rsid w:val="5DC0691D"/>
    <w:rsid w:val="5DD26EE0"/>
    <w:rsid w:val="5DE514EE"/>
    <w:rsid w:val="5DE53F7C"/>
    <w:rsid w:val="5E013701"/>
    <w:rsid w:val="5E0513FB"/>
    <w:rsid w:val="5E1570CE"/>
    <w:rsid w:val="5E171C43"/>
    <w:rsid w:val="5E1C6562"/>
    <w:rsid w:val="5E2800BA"/>
    <w:rsid w:val="5E2C09B6"/>
    <w:rsid w:val="5E2D14BF"/>
    <w:rsid w:val="5E3C0189"/>
    <w:rsid w:val="5E404FB0"/>
    <w:rsid w:val="5E42301F"/>
    <w:rsid w:val="5E467B9F"/>
    <w:rsid w:val="5E51227F"/>
    <w:rsid w:val="5E514CD5"/>
    <w:rsid w:val="5E52263A"/>
    <w:rsid w:val="5E5A59C7"/>
    <w:rsid w:val="5E6E104D"/>
    <w:rsid w:val="5E731849"/>
    <w:rsid w:val="5E7C1280"/>
    <w:rsid w:val="5EAB53C3"/>
    <w:rsid w:val="5EAF39DF"/>
    <w:rsid w:val="5EB874C0"/>
    <w:rsid w:val="5EC31AC3"/>
    <w:rsid w:val="5EC91D37"/>
    <w:rsid w:val="5EE27322"/>
    <w:rsid w:val="5EE564C9"/>
    <w:rsid w:val="5EE65064"/>
    <w:rsid w:val="5EEE7B08"/>
    <w:rsid w:val="5EF55234"/>
    <w:rsid w:val="5F0E3CF1"/>
    <w:rsid w:val="5F1624F5"/>
    <w:rsid w:val="5F193A26"/>
    <w:rsid w:val="5F1C125D"/>
    <w:rsid w:val="5F2522A0"/>
    <w:rsid w:val="5F2B4794"/>
    <w:rsid w:val="5F2D1625"/>
    <w:rsid w:val="5F357A2D"/>
    <w:rsid w:val="5F3758C0"/>
    <w:rsid w:val="5F383FA3"/>
    <w:rsid w:val="5F441D8B"/>
    <w:rsid w:val="5F4B2EB5"/>
    <w:rsid w:val="5F4C3A88"/>
    <w:rsid w:val="5F4D7AE0"/>
    <w:rsid w:val="5F5A15AE"/>
    <w:rsid w:val="5F5A4C82"/>
    <w:rsid w:val="5F870365"/>
    <w:rsid w:val="5F886238"/>
    <w:rsid w:val="5F981562"/>
    <w:rsid w:val="5FA161BA"/>
    <w:rsid w:val="5FA378F3"/>
    <w:rsid w:val="5FC001D5"/>
    <w:rsid w:val="5FC240D0"/>
    <w:rsid w:val="5FCA38F9"/>
    <w:rsid w:val="5FD84A30"/>
    <w:rsid w:val="5FE170F8"/>
    <w:rsid w:val="5FE86F17"/>
    <w:rsid w:val="5FED41D0"/>
    <w:rsid w:val="5FF200BA"/>
    <w:rsid w:val="5FF20A16"/>
    <w:rsid w:val="5FF6085F"/>
    <w:rsid w:val="5FF8256B"/>
    <w:rsid w:val="5FFC1120"/>
    <w:rsid w:val="5FFD12A5"/>
    <w:rsid w:val="60064D2A"/>
    <w:rsid w:val="60082B45"/>
    <w:rsid w:val="601158D1"/>
    <w:rsid w:val="6017480A"/>
    <w:rsid w:val="601D045C"/>
    <w:rsid w:val="602653D2"/>
    <w:rsid w:val="60270FD4"/>
    <w:rsid w:val="60303AFA"/>
    <w:rsid w:val="604324D0"/>
    <w:rsid w:val="60445AFC"/>
    <w:rsid w:val="604B60D3"/>
    <w:rsid w:val="60646268"/>
    <w:rsid w:val="606D7CFC"/>
    <w:rsid w:val="606F505F"/>
    <w:rsid w:val="607D7FE8"/>
    <w:rsid w:val="60884998"/>
    <w:rsid w:val="608942B2"/>
    <w:rsid w:val="60A15641"/>
    <w:rsid w:val="60B27E50"/>
    <w:rsid w:val="60B44302"/>
    <w:rsid w:val="60B658E9"/>
    <w:rsid w:val="60B928B7"/>
    <w:rsid w:val="60C66B21"/>
    <w:rsid w:val="60C80EC0"/>
    <w:rsid w:val="60CD2CF0"/>
    <w:rsid w:val="60D2369F"/>
    <w:rsid w:val="60DF67A6"/>
    <w:rsid w:val="60E41416"/>
    <w:rsid w:val="60E52C42"/>
    <w:rsid w:val="60E6759D"/>
    <w:rsid w:val="60E855DE"/>
    <w:rsid w:val="60E96F99"/>
    <w:rsid w:val="60EF662F"/>
    <w:rsid w:val="60F71F45"/>
    <w:rsid w:val="60F80C24"/>
    <w:rsid w:val="610231C1"/>
    <w:rsid w:val="610278FD"/>
    <w:rsid w:val="611C05A5"/>
    <w:rsid w:val="611C39DE"/>
    <w:rsid w:val="611E5474"/>
    <w:rsid w:val="61376941"/>
    <w:rsid w:val="613F7A7D"/>
    <w:rsid w:val="61406582"/>
    <w:rsid w:val="61592BF5"/>
    <w:rsid w:val="615C5FB8"/>
    <w:rsid w:val="61634209"/>
    <w:rsid w:val="61693B6C"/>
    <w:rsid w:val="61AE7948"/>
    <w:rsid w:val="61B87464"/>
    <w:rsid w:val="61D25A07"/>
    <w:rsid w:val="61DE2022"/>
    <w:rsid w:val="61E6608D"/>
    <w:rsid w:val="61ED7533"/>
    <w:rsid w:val="61FC0F2C"/>
    <w:rsid w:val="61FD7DB0"/>
    <w:rsid w:val="62114372"/>
    <w:rsid w:val="62161890"/>
    <w:rsid w:val="62202443"/>
    <w:rsid w:val="62275A5B"/>
    <w:rsid w:val="622C3001"/>
    <w:rsid w:val="623561A0"/>
    <w:rsid w:val="624314DE"/>
    <w:rsid w:val="62483FD7"/>
    <w:rsid w:val="62500F5E"/>
    <w:rsid w:val="626204F3"/>
    <w:rsid w:val="62620EA5"/>
    <w:rsid w:val="62731C1A"/>
    <w:rsid w:val="62867571"/>
    <w:rsid w:val="629F5531"/>
    <w:rsid w:val="62AB40A1"/>
    <w:rsid w:val="62AF7586"/>
    <w:rsid w:val="62B560E9"/>
    <w:rsid w:val="62BE3E96"/>
    <w:rsid w:val="62D338B4"/>
    <w:rsid w:val="62D5294D"/>
    <w:rsid w:val="62EC385F"/>
    <w:rsid w:val="62FB4E56"/>
    <w:rsid w:val="62FB5BA7"/>
    <w:rsid w:val="6301326C"/>
    <w:rsid w:val="63050A1F"/>
    <w:rsid w:val="63080E5B"/>
    <w:rsid w:val="6309206C"/>
    <w:rsid w:val="630E5098"/>
    <w:rsid w:val="631F224A"/>
    <w:rsid w:val="632035A5"/>
    <w:rsid w:val="63294E5F"/>
    <w:rsid w:val="633C082B"/>
    <w:rsid w:val="633C2410"/>
    <w:rsid w:val="633F63DA"/>
    <w:rsid w:val="63545C98"/>
    <w:rsid w:val="635F65AF"/>
    <w:rsid w:val="63620628"/>
    <w:rsid w:val="63651461"/>
    <w:rsid w:val="63870CB8"/>
    <w:rsid w:val="638B7A69"/>
    <w:rsid w:val="63903BC1"/>
    <w:rsid w:val="639248EB"/>
    <w:rsid w:val="63967850"/>
    <w:rsid w:val="639C3EF7"/>
    <w:rsid w:val="63A31776"/>
    <w:rsid w:val="63BD3EBA"/>
    <w:rsid w:val="63BE19B4"/>
    <w:rsid w:val="63F00578"/>
    <w:rsid w:val="640333E3"/>
    <w:rsid w:val="640B6395"/>
    <w:rsid w:val="640C2139"/>
    <w:rsid w:val="641522A9"/>
    <w:rsid w:val="641C35B1"/>
    <w:rsid w:val="641F101E"/>
    <w:rsid w:val="64237E60"/>
    <w:rsid w:val="642E543B"/>
    <w:rsid w:val="64316853"/>
    <w:rsid w:val="643353CD"/>
    <w:rsid w:val="64442D14"/>
    <w:rsid w:val="644665A5"/>
    <w:rsid w:val="64533B61"/>
    <w:rsid w:val="64537D8A"/>
    <w:rsid w:val="645529CF"/>
    <w:rsid w:val="64582752"/>
    <w:rsid w:val="645B42E9"/>
    <w:rsid w:val="64632D49"/>
    <w:rsid w:val="646F6A4F"/>
    <w:rsid w:val="64734452"/>
    <w:rsid w:val="64741109"/>
    <w:rsid w:val="6474752A"/>
    <w:rsid w:val="647868BD"/>
    <w:rsid w:val="64831720"/>
    <w:rsid w:val="648F71C6"/>
    <w:rsid w:val="64A82A8C"/>
    <w:rsid w:val="64AA707D"/>
    <w:rsid w:val="64B5748D"/>
    <w:rsid w:val="64BD683C"/>
    <w:rsid w:val="64C55F55"/>
    <w:rsid w:val="64C834FC"/>
    <w:rsid w:val="64CD637E"/>
    <w:rsid w:val="64E119E4"/>
    <w:rsid w:val="64EB7DFD"/>
    <w:rsid w:val="65003032"/>
    <w:rsid w:val="65050F4E"/>
    <w:rsid w:val="650C334E"/>
    <w:rsid w:val="650D3E92"/>
    <w:rsid w:val="65146C68"/>
    <w:rsid w:val="65190895"/>
    <w:rsid w:val="653D616B"/>
    <w:rsid w:val="65482211"/>
    <w:rsid w:val="654A3764"/>
    <w:rsid w:val="65653B74"/>
    <w:rsid w:val="6569417B"/>
    <w:rsid w:val="656D4997"/>
    <w:rsid w:val="657F5034"/>
    <w:rsid w:val="657F5A99"/>
    <w:rsid w:val="658C6239"/>
    <w:rsid w:val="65923A57"/>
    <w:rsid w:val="65971A81"/>
    <w:rsid w:val="65980F79"/>
    <w:rsid w:val="65984BDE"/>
    <w:rsid w:val="659E7533"/>
    <w:rsid w:val="65A97453"/>
    <w:rsid w:val="65AE4402"/>
    <w:rsid w:val="65AF3B9A"/>
    <w:rsid w:val="65C1644B"/>
    <w:rsid w:val="65E75F6F"/>
    <w:rsid w:val="65EF01E5"/>
    <w:rsid w:val="65FC33BF"/>
    <w:rsid w:val="65FC5496"/>
    <w:rsid w:val="65FC6E6D"/>
    <w:rsid w:val="6605765F"/>
    <w:rsid w:val="660F2AC1"/>
    <w:rsid w:val="662304CB"/>
    <w:rsid w:val="66464E42"/>
    <w:rsid w:val="66551F6F"/>
    <w:rsid w:val="665C3A62"/>
    <w:rsid w:val="66644E66"/>
    <w:rsid w:val="66770B4B"/>
    <w:rsid w:val="667D07B1"/>
    <w:rsid w:val="667D1B95"/>
    <w:rsid w:val="668058D3"/>
    <w:rsid w:val="66827D54"/>
    <w:rsid w:val="668A6259"/>
    <w:rsid w:val="66916C3F"/>
    <w:rsid w:val="66974852"/>
    <w:rsid w:val="66AC7DC6"/>
    <w:rsid w:val="66B8113E"/>
    <w:rsid w:val="66BD26E5"/>
    <w:rsid w:val="66D125F5"/>
    <w:rsid w:val="66D9630D"/>
    <w:rsid w:val="66E75B0D"/>
    <w:rsid w:val="66E77BFC"/>
    <w:rsid w:val="66FA4F21"/>
    <w:rsid w:val="6712048C"/>
    <w:rsid w:val="671458DD"/>
    <w:rsid w:val="671B3B7A"/>
    <w:rsid w:val="67266141"/>
    <w:rsid w:val="673C081D"/>
    <w:rsid w:val="674F0550"/>
    <w:rsid w:val="67565996"/>
    <w:rsid w:val="676E3F41"/>
    <w:rsid w:val="67713305"/>
    <w:rsid w:val="677752E1"/>
    <w:rsid w:val="67AB0BF9"/>
    <w:rsid w:val="67B04EEE"/>
    <w:rsid w:val="67B970C3"/>
    <w:rsid w:val="67CB7146"/>
    <w:rsid w:val="67D33980"/>
    <w:rsid w:val="67DE5264"/>
    <w:rsid w:val="67F35DF1"/>
    <w:rsid w:val="68010CFF"/>
    <w:rsid w:val="68092B5E"/>
    <w:rsid w:val="680D364D"/>
    <w:rsid w:val="680F5AE3"/>
    <w:rsid w:val="68117613"/>
    <w:rsid w:val="6820477D"/>
    <w:rsid w:val="682C160E"/>
    <w:rsid w:val="68427665"/>
    <w:rsid w:val="684775C0"/>
    <w:rsid w:val="684B1376"/>
    <w:rsid w:val="684D136C"/>
    <w:rsid w:val="684F0E2C"/>
    <w:rsid w:val="68570D81"/>
    <w:rsid w:val="6865733B"/>
    <w:rsid w:val="68684609"/>
    <w:rsid w:val="686B477F"/>
    <w:rsid w:val="687141FF"/>
    <w:rsid w:val="6877412F"/>
    <w:rsid w:val="6880201F"/>
    <w:rsid w:val="68835AA2"/>
    <w:rsid w:val="68844ECD"/>
    <w:rsid w:val="688A2354"/>
    <w:rsid w:val="688C1BB2"/>
    <w:rsid w:val="688F4E56"/>
    <w:rsid w:val="6894390C"/>
    <w:rsid w:val="6895754F"/>
    <w:rsid w:val="689A781C"/>
    <w:rsid w:val="68A0780C"/>
    <w:rsid w:val="68A42548"/>
    <w:rsid w:val="68AD27CD"/>
    <w:rsid w:val="68C64618"/>
    <w:rsid w:val="68CE053F"/>
    <w:rsid w:val="68D7007A"/>
    <w:rsid w:val="68D7712D"/>
    <w:rsid w:val="68E727E3"/>
    <w:rsid w:val="68F266B3"/>
    <w:rsid w:val="6909085B"/>
    <w:rsid w:val="690D2738"/>
    <w:rsid w:val="69176A78"/>
    <w:rsid w:val="69234699"/>
    <w:rsid w:val="69262D4A"/>
    <w:rsid w:val="692C1F12"/>
    <w:rsid w:val="69366B94"/>
    <w:rsid w:val="694D2D55"/>
    <w:rsid w:val="695E7C59"/>
    <w:rsid w:val="69617970"/>
    <w:rsid w:val="6967030C"/>
    <w:rsid w:val="697D3DF1"/>
    <w:rsid w:val="69817A0A"/>
    <w:rsid w:val="69877BD5"/>
    <w:rsid w:val="69883909"/>
    <w:rsid w:val="698C7784"/>
    <w:rsid w:val="69931944"/>
    <w:rsid w:val="6996284D"/>
    <w:rsid w:val="699833FF"/>
    <w:rsid w:val="6999757A"/>
    <w:rsid w:val="69A00505"/>
    <w:rsid w:val="69A27DC6"/>
    <w:rsid w:val="69A67461"/>
    <w:rsid w:val="69AA3132"/>
    <w:rsid w:val="69B361C6"/>
    <w:rsid w:val="69BB76DC"/>
    <w:rsid w:val="69C34C7C"/>
    <w:rsid w:val="69CD7A7A"/>
    <w:rsid w:val="69E3443A"/>
    <w:rsid w:val="69E65023"/>
    <w:rsid w:val="69EE1BDC"/>
    <w:rsid w:val="69F81080"/>
    <w:rsid w:val="69FF787E"/>
    <w:rsid w:val="6A007DE8"/>
    <w:rsid w:val="6A11613C"/>
    <w:rsid w:val="6A256586"/>
    <w:rsid w:val="6A302DD5"/>
    <w:rsid w:val="6A396A80"/>
    <w:rsid w:val="6A461F5E"/>
    <w:rsid w:val="6A5A0FF9"/>
    <w:rsid w:val="6A5A4DFC"/>
    <w:rsid w:val="6A654291"/>
    <w:rsid w:val="6A680E8F"/>
    <w:rsid w:val="6A703E49"/>
    <w:rsid w:val="6A730966"/>
    <w:rsid w:val="6A797550"/>
    <w:rsid w:val="6A7E689E"/>
    <w:rsid w:val="6A8355EC"/>
    <w:rsid w:val="6A891457"/>
    <w:rsid w:val="6AA652D2"/>
    <w:rsid w:val="6AA72340"/>
    <w:rsid w:val="6AA933EA"/>
    <w:rsid w:val="6AB04219"/>
    <w:rsid w:val="6ACE2B18"/>
    <w:rsid w:val="6ACF25A6"/>
    <w:rsid w:val="6AD60DC8"/>
    <w:rsid w:val="6ADC0399"/>
    <w:rsid w:val="6ADF0BB9"/>
    <w:rsid w:val="6AEB0476"/>
    <w:rsid w:val="6B0743D3"/>
    <w:rsid w:val="6B077010"/>
    <w:rsid w:val="6B204E64"/>
    <w:rsid w:val="6B33492D"/>
    <w:rsid w:val="6B3F0486"/>
    <w:rsid w:val="6B4B4F61"/>
    <w:rsid w:val="6B570869"/>
    <w:rsid w:val="6B5D3298"/>
    <w:rsid w:val="6B6946AD"/>
    <w:rsid w:val="6B7436DD"/>
    <w:rsid w:val="6B846633"/>
    <w:rsid w:val="6B861AFC"/>
    <w:rsid w:val="6BAD411E"/>
    <w:rsid w:val="6BB07A53"/>
    <w:rsid w:val="6BB72063"/>
    <w:rsid w:val="6BBD7915"/>
    <w:rsid w:val="6BBE0A12"/>
    <w:rsid w:val="6BC11AEE"/>
    <w:rsid w:val="6BD15E73"/>
    <w:rsid w:val="6BE916E2"/>
    <w:rsid w:val="6BF250F0"/>
    <w:rsid w:val="6BFD5174"/>
    <w:rsid w:val="6C032272"/>
    <w:rsid w:val="6C090CE8"/>
    <w:rsid w:val="6C0B7728"/>
    <w:rsid w:val="6C0D1647"/>
    <w:rsid w:val="6C0E71A4"/>
    <w:rsid w:val="6C180D76"/>
    <w:rsid w:val="6C1C6176"/>
    <w:rsid w:val="6C326AF7"/>
    <w:rsid w:val="6C3B3B64"/>
    <w:rsid w:val="6C4C0148"/>
    <w:rsid w:val="6C5B440E"/>
    <w:rsid w:val="6C5F40C9"/>
    <w:rsid w:val="6C653C4C"/>
    <w:rsid w:val="6C6B7426"/>
    <w:rsid w:val="6C6C6DC9"/>
    <w:rsid w:val="6C6D234E"/>
    <w:rsid w:val="6C724308"/>
    <w:rsid w:val="6C8815DE"/>
    <w:rsid w:val="6C8B1137"/>
    <w:rsid w:val="6C9047E9"/>
    <w:rsid w:val="6CAC4790"/>
    <w:rsid w:val="6CC44182"/>
    <w:rsid w:val="6CD44D00"/>
    <w:rsid w:val="6CDF505E"/>
    <w:rsid w:val="6CE229EC"/>
    <w:rsid w:val="6CE32E09"/>
    <w:rsid w:val="6CEC6037"/>
    <w:rsid w:val="6D0501AC"/>
    <w:rsid w:val="6D0E6B36"/>
    <w:rsid w:val="6D2324B0"/>
    <w:rsid w:val="6D2867C4"/>
    <w:rsid w:val="6D2D081F"/>
    <w:rsid w:val="6D2E5003"/>
    <w:rsid w:val="6D2F25FE"/>
    <w:rsid w:val="6D38139C"/>
    <w:rsid w:val="6D421CE6"/>
    <w:rsid w:val="6D554C2B"/>
    <w:rsid w:val="6D614390"/>
    <w:rsid w:val="6D675032"/>
    <w:rsid w:val="6D680AD9"/>
    <w:rsid w:val="6D7320FC"/>
    <w:rsid w:val="6D7F71AD"/>
    <w:rsid w:val="6D7F7C0A"/>
    <w:rsid w:val="6D891878"/>
    <w:rsid w:val="6DAC6531"/>
    <w:rsid w:val="6DC53456"/>
    <w:rsid w:val="6DC91E26"/>
    <w:rsid w:val="6DCC36C7"/>
    <w:rsid w:val="6DCE16F6"/>
    <w:rsid w:val="6DD47B0C"/>
    <w:rsid w:val="6DD90D09"/>
    <w:rsid w:val="6DE361D8"/>
    <w:rsid w:val="6DE615F1"/>
    <w:rsid w:val="6DFC60DE"/>
    <w:rsid w:val="6E0820D7"/>
    <w:rsid w:val="6E0B777B"/>
    <w:rsid w:val="6E197336"/>
    <w:rsid w:val="6E1E5789"/>
    <w:rsid w:val="6E252535"/>
    <w:rsid w:val="6E256CE8"/>
    <w:rsid w:val="6E280525"/>
    <w:rsid w:val="6E285844"/>
    <w:rsid w:val="6E3102B9"/>
    <w:rsid w:val="6E3E3FF3"/>
    <w:rsid w:val="6E4603B2"/>
    <w:rsid w:val="6E483075"/>
    <w:rsid w:val="6E4E0DED"/>
    <w:rsid w:val="6E4F4250"/>
    <w:rsid w:val="6E540DBD"/>
    <w:rsid w:val="6E55134A"/>
    <w:rsid w:val="6E5B3D71"/>
    <w:rsid w:val="6E6146D4"/>
    <w:rsid w:val="6E626043"/>
    <w:rsid w:val="6E672EB2"/>
    <w:rsid w:val="6E697118"/>
    <w:rsid w:val="6E6D6DFA"/>
    <w:rsid w:val="6E7454FB"/>
    <w:rsid w:val="6E9A108B"/>
    <w:rsid w:val="6E9E2DA7"/>
    <w:rsid w:val="6EA22C41"/>
    <w:rsid w:val="6EA9209B"/>
    <w:rsid w:val="6EB12C72"/>
    <w:rsid w:val="6EC65D5F"/>
    <w:rsid w:val="6EC66750"/>
    <w:rsid w:val="6EC75EF8"/>
    <w:rsid w:val="6ED0100B"/>
    <w:rsid w:val="6ED578AE"/>
    <w:rsid w:val="6EE163A3"/>
    <w:rsid w:val="6EEE791B"/>
    <w:rsid w:val="6F1C418A"/>
    <w:rsid w:val="6F1D0497"/>
    <w:rsid w:val="6F1E4E6F"/>
    <w:rsid w:val="6F26325B"/>
    <w:rsid w:val="6F332D93"/>
    <w:rsid w:val="6F3573A8"/>
    <w:rsid w:val="6F3D4088"/>
    <w:rsid w:val="6F4F25A6"/>
    <w:rsid w:val="6F655B31"/>
    <w:rsid w:val="6F687E8A"/>
    <w:rsid w:val="6F6F11E3"/>
    <w:rsid w:val="6F8136B2"/>
    <w:rsid w:val="6F8A5CED"/>
    <w:rsid w:val="6F8C1474"/>
    <w:rsid w:val="6F965EAE"/>
    <w:rsid w:val="6F967250"/>
    <w:rsid w:val="6F991B91"/>
    <w:rsid w:val="6F9D0044"/>
    <w:rsid w:val="6FB13CF0"/>
    <w:rsid w:val="6FB4208D"/>
    <w:rsid w:val="6FB77CB5"/>
    <w:rsid w:val="6FDB7183"/>
    <w:rsid w:val="6FDD487B"/>
    <w:rsid w:val="6FE14FB9"/>
    <w:rsid w:val="6FE16CDF"/>
    <w:rsid w:val="6FE17B80"/>
    <w:rsid w:val="6FE8152F"/>
    <w:rsid w:val="6FFE4939"/>
    <w:rsid w:val="701142D5"/>
    <w:rsid w:val="702039C6"/>
    <w:rsid w:val="70220651"/>
    <w:rsid w:val="702432DB"/>
    <w:rsid w:val="70247FB9"/>
    <w:rsid w:val="702F7C58"/>
    <w:rsid w:val="70366918"/>
    <w:rsid w:val="703D24BF"/>
    <w:rsid w:val="70410704"/>
    <w:rsid w:val="704C3957"/>
    <w:rsid w:val="70505DA3"/>
    <w:rsid w:val="705523CF"/>
    <w:rsid w:val="70587444"/>
    <w:rsid w:val="706008FD"/>
    <w:rsid w:val="706143B5"/>
    <w:rsid w:val="706416A4"/>
    <w:rsid w:val="706A6530"/>
    <w:rsid w:val="706E286A"/>
    <w:rsid w:val="70705898"/>
    <w:rsid w:val="70715E81"/>
    <w:rsid w:val="708006AE"/>
    <w:rsid w:val="70855FE8"/>
    <w:rsid w:val="70984617"/>
    <w:rsid w:val="70992996"/>
    <w:rsid w:val="70A62950"/>
    <w:rsid w:val="70C47C11"/>
    <w:rsid w:val="70C52F14"/>
    <w:rsid w:val="70C91C07"/>
    <w:rsid w:val="70DC3F2A"/>
    <w:rsid w:val="70DD47D0"/>
    <w:rsid w:val="70DF53F6"/>
    <w:rsid w:val="70E520FB"/>
    <w:rsid w:val="70E73597"/>
    <w:rsid w:val="70E77ABF"/>
    <w:rsid w:val="70EE0AA3"/>
    <w:rsid w:val="7110138D"/>
    <w:rsid w:val="71183F87"/>
    <w:rsid w:val="711B3D70"/>
    <w:rsid w:val="71201024"/>
    <w:rsid w:val="712D6B72"/>
    <w:rsid w:val="713922D3"/>
    <w:rsid w:val="714E4AD4"/>
    <w:rsid w:val="7156089A"/>
    <w:rsid w:val="715F216C"/>
    <w:rsid w:val="71635D44"/>
    <w:rsid w:val="716D1800"/>
    <w:rsid w:val="716F71B1"/>
    <w:rsid w:val="717226C5"/>
    <w:rsid w:val="71823A6C"/>
    <w:rsid w:val="71881558"/>
    <w:rsid w:val="718E0149"/>
    <w:rsid w:val="718F2EAC"/>
    <w:rsid w:val="71A410DC"/>
    <w:rsid w:val="71AA0E32"/>
    <w:rsid w:val="71AB11DF"/>
    <w:rsid w:val="71B40FF2"/>
    <w:rsid w:val="71C30BF1"/>
    <w:rsid w:val="71E015FD"/>
    <w:rsid w:val="71E72EEB"/>
    <w:rsid w:val="71F05038"/>
    <w:rsid w:val="71F10FFC"/>
    <w:rsid w:val="71F6413C"/>
    <w:rsid w:val="720F7144"/>
    <w:rsid w:val="72134629"/>
    <w:rsid w:val="721455EC"/>
    <w:rsid w:val="72215C67"/>
    <w:rsid w:val="723F1032"/>
    <w:rsid w:val="72407DBB"/>
    <w:rsid w:val="72415169"/>
    <w:rsid w:val="724167EC"/>
    <w:rsid w:val="72425EC5"/>
    <w:rsid w:val="72657315"/>
    <w:rsid w:val="726F35E9"/>
    <w:rsid w:val="72715A32"/>
    <w:rsid w:val="727C1377"/>
    <w:rsid w:val="727C75F4"/>
    <w:rsid w:val="72870D7F"/>
    <w:rsid w:val="72B92789"/>
    <w:rsid w:val="72BE70BB"/>
    <w:rsid w:val="72C43BB5"/>
    <w:rsid w:val="72D26D9D"/>
    <w:rsid w:val="72DC71C3"/>
    <w:rsid w:val="72FD1063"/>
    <w:rsid w:val="730205E8"/>
    <w:rsid w:val="732263F9"/>
    <w:rsid w:val="732A215B"/>
    <w:rsid w:val="73310666"/>
    <w:rsid w:val="73321BC9"/>
    <w:rsid w:val="733533A4"/>
    <w:rsid w:val="734325B6"/>
    <w:rsid w:val="73504EC4"/>
    <w:rsid w:val="73636AF7"/>
    <w:rsid w:val="737A7A8E"/>
    <w:rsid w:val="73894681"/>
    <w:rsid w:val="73956FD0"/>
    <w:rsid w:val="739F538A"/>
    <w:rsid w:val="73A043E4"/>
    <w:rsid w:val="73B77990"/>
    <w:rsid w:val="73B8252E"/>
    <w:rsid w:val="73DC7BC2"/>
    <w:rsid w:val="73E01BEC"/>
    <w:rsid w:val="73E65B0F"/>
    <w:rsid w:val="73FC3876"/>
    <w:rsid w:val="74012C08"/>
    <w:rsid w:val="74122000"/>
    <w:rsid w:val="741D733B"/>
    <w:rsid w:val="742167A4"/>
    <w:rsid w:val="74390B33"/>
    <w:rsid w:val="743F1E08"/>
    <w:rsid w:val="74414A70"/>
    <w:rsid w:val="74535E78"/>
    <w:rsid w:val="745862A9"/>
    <w:rsid w:val="7482388F"/>
    <w:rsid w:val="749709B4"/>
    <w:rsid w:val="74A83EB4"/>
    <w:rsid w:val="74B2594D"/>
    <w:rsid w:val="74BB16A3"/>
    <w:rsid w:val="74C176BB"/>
    <w:rsid w:val="74DB02F4"/>
    <w:rsid w:val="74E7523A"/>
    <w:rsid w:val="74ED3428"/>
    <w:rsid w:val="74F64F37"/>
    <w:rsid w:val="74FB7801"/>
    <w:rsid w:val="74FC79C6"/>
    <w:rsid w:val="75022074"/>
    <w:rsid w:val="75074E9E"/>
    <w:rsid w:val="751455B4"/>
    <w:rsid w:val="751D6E79"/>
    <w:rsid w:val="751E3BF2"/>
    <w:rsid w:val="75201781"/>
    <w:rsid w:val="752765A4"/>
    <w:rsid w:val="754054B6"/>
    <w:rsid w:val="7555679F"/>
    <w:rsid w:val="755A5C07"/>
    <w:rsid w:val="756468FA"/>
    <w:rsid w:val="757C0A36"/>
    <w:rsid w:val="75851FA9"/>
    <w:rsid w:val="75B1424A"/>
    <w:rsid w:val="75B15533"/>
    <w:rsid w:val="75C55E4B"/>
    <w:rsid w:val="75D04609"/>
    <w:rsid w:val="75D5182E"/>
    <w:rsid w:val="75DC2EE9"/>
    <w:rsid w:val="75DF0362"/>
    <w:rsid w:val="75E06DDA"/>
    <w:rsid w:val="75F05F7D"/>
    <w:rsid w:val="75F90750"/>
    <w:rsid w:val="75FB217F"/>
    <w:rsid w:val="76063755"/>
    <w:rsid w:val="760910BC"/>
    <w:rsid w:val="760D0C61"/>
    <w:rsid w:val="76236746"/>
    <w:rsid w:val="763444AF"/>
    <w:rsid w:val="763923C6"/>
    <w:rsid w:val="764122A7"/>
    <w:rsid w:val="76524935"/>
    <w:rsid w:val="76553823"/>
    <w:rsid w:val="765608FC"/>
    <w:rsid w:val="765C7562"/>
    <w:rsid w:val="767545EC"/>
    <w:rsid w:val="76777861"/>
    <w:rsid w:val="768E1277"/>
    <w:rsid w:val="7694298E"/>
    <w:rsid w:val="769F6A79"/>
    <w:rsid w:val="76A95B6E"/>
    <w:rsid w:val="76AE63BC"/>
    <w:rsid w:val="76B332B4"/>
    <w:rsid w:val="76BB0769"/>
    <w:rsid w:val="76BC3C22"/>
    <w:rsid w:val="76D5748A"/>
    <w:rsid w:val="76D70321"/>
    <w:rsid w:val="77041AF3"/>
    <w:rsid w:val="7707189B"/>
    <w:rsid w:val="77251168"/>
    <w:rsid w:val="772807E2"/>
    <w:rsid w:val="7729440A"/>
    <w:rsid w:val="77320F1E"/>
    <w:rsid w:val="774C609C"/>
    <w:rsid w:val="77541D32"/>
    <w:rsid w:val="7764047F"/>
    <w:rsid w:val="776547BE"/>
    <w:rsid w:val="777419A5"/>
    <w:rsid w:val="778B7CBA"/>
    <w:rsid w:val="77A75D03"/>
    <w:rsid w:val="77AB1518"/>
    <w:rsid w:val="77B207C5"/>
    <w:rsid w:val="77CB0E43"/>
    <w:rsid w:val="77D37B47"/>
    <w:rsid w:val="77D93177"/>
    <w:rsid w:val="77D97A23"/>
    <w:rsid w:val="77E43CB3"/>
    <w:rsid w:val="77F443D5"/>
    <w:rsid w:val="780D7714"/>
    <w:rsid w:val="781142A0"/>
    <w:rsid w:val="78150AED"/>
    <w:rsid w:val="78240373"/>
    <w:rsid w:val="783109E9"/>
    <w:rsid w:val="783562BD"/>
    <w:rsid w:val="783B10C2"/>
    <w:rsid w:val="78483EA9"/>
    <w:rsid w:val="785A1E30"/>
    <w:rsid w:val="785D284E"/>
    <w:rsid w:val="78687BA7"/>
    <w:rsid w:val="78690B16"/>
    <w:rsid w:val="786D623F"/>
    <w:rsid w:val="78702BD9"/>
    <w:rsid w:val="787170CD"/>
    <w:rsid w:val="787E0C0C"/>
    <w:rsid w:val="78811BBF"/>
    <w:rsid w:val="78904AF8"/>
    <w:rsid w:val="789A1E33"/>
    <w:rsid w:val="78A204E1"/>
    <w:rsid w:val="78A33548"/>
    <w:rsid w:val="78A97962"/>
    <w:rsid w:val="78AA5A39"/>
    <w:rsid w:val="78AD7EF2"/>
    <w:rsid w:val="78B2607D"/>
    <w:rsid w:val="78C94DED"/>
    <w:rsid w:val="78D30F09"/>
    <w:rsid w:val="78D87374"/>
    <w:rsid w:val="78DE6224"/>
    <w:rsid w:val="79165D39"/>
    <w:rsid w:val="791D0E14"/>
    <w:rsid w:val="792A002F"/>
    <w:rsid w:val="792C14EF"/>
    <w:rsid w:val="792D08F7"/>
    <w:rsid w:val="793C3FB6"/>
    <w:rsid w:val="79421BC3"/>
    <w:rsid w:val="79450345"/>
    <w:rsid w:val="794569F7"/>
    <w:rsid w:val="79456DEF"/>
    <w:rsid w:val="794613B8"/>
    <w:rsid w:val="79494AD9"/>
    <w:rsid w:val="794E23D8"/>
    <w:rsid w:val="79571A0F"/>
    <w:rsid w:val="796444AC"/>
    <w:rsid w:val="7967694A"/>
    <w:rsid w:val="79685409"/>
    <w:rsid w:val="796F1BB2"/>
    <w:rsid w:val="79703A50"/>
    <w:rsid w:val="797177C8"/>
    <w:rsid w:val="797343FB"/>
    <w:rsid w:val="797A3DC2"/>
    <w:rsid w:val="797A52C9"/>
    <w:rsid w:val="797C66E4"/>
    <w:rsid w:val="798535C5"/>
    <w:rsid w:val="799A18DA"/>
    <w:rsid w:val="799A54B2"/>
    <w:rsid w:val="799F1D8D"/>
    <w:rsid w:val="79AF5B7C"/>
    <w:rsid w:val="79B402AC"/>
    <w:rsid w:val="79B46429"/>
    <w:rsid w:val="79B71626"/>
    <w:rsid w:val="79C30125"/>
    <w:rsid w:val="79C478F8"/>
    <w:rsid w:val="79CA4571"/>
    <w:rsid w:val="79DD73AB"/>
    <w:rsid w:val="79DE3F03"/>
    <w:rsid w:val="79E35935"/>
    <w:rsid w:val="79E43C88"/>
    <w:rsid w:val="79E519B9"/>
    <w:rsid w:val="79E9159A"/>
    <w:rsid w:val="79F357E3"/>
    <w:rsid w:val="79FD15C9"/>
    <w:rsid w:val="79FD3D06"/>
    <w:rsid w:val="79FD4190"/>
    <w:rsid w:val="7A1D7EB6"/>
    <w:rsid w:val="7A202D75"/>
    <w:rsid w:val="7A226176"/>
    <w:rsid w:val="7A2E402A"/>
    <w:rsid w:val="7A320D06"/>
    <w:rsid w:val="7A350D55"/>
    <w:rsid w:val="7A3C333A"/>
    <w:rsid w:val="7A4F3740"/>
    <w:rsid w:val="7A5D1673"/>
    <w:rsid w:val="7A62556E"/>
    <w:rsid w:val="7A682979"/>
    <w:rsid w:val="7A7A10A3"/>
    <w:rsid w:val="7A7D167B"/>
    <w:rsid w:val="7A7D2E5E"/>
    <w:rsid w:val="7A82615B"/>
    <w:rsid w:val="7A8607CB"/>
    <w:rsid w:val="7A881869"/>
    <w:rsid w:val="7A943E55"/>
    <w:rsid w:val="7A9762A8"/>
    <w:rsid w:val="7A996A33"/>
    <w:rsid w:val="7AAB24DC"/>
    <w:rsid w:val="7AAC0D7F"/>
    <w:rsid w:val="7AC1208A"/>
    <w:rsid w:val="7ACD0A2E"/>
    <w:rsid w:val="7ACD17E9"/>
    <w:rsid w:val="7AD409A4"/>
    <w:rsid w:val="7ADA7D8C"/>
    <w:rsid w:val="7AE36C78"/>
    <w:rsid w:val="7AE73FDE"/>
    <w:rsid w:val="7AF62E6A"/>
    <w:rsid w:val="7AFD3CA9"/>
    <w:rsid w:val="7B0B0D89"/>
    <w:rsid w:val="7B13204F"/>
    <w:rsid w:val="7B1B1275"/>
    <w:rsid w:val="7B1F3EF6"/>
    <w:rsid w:val="7B260239"/>
    <w:rsid w:val="7B40606A"/>
    <w:rsid w:val="7B4B6302"/>
    <w:rsid w:val="7B7376E0"/>
    <w:rsid w:val="7B7B2C26"/>
    <w:rsid w:val="7B7C6C8D"/>
    <w:rsid w:val="7B83642F"/>
    <w:rsid w:val="7B8D1365"/>
    <w:rsid w:val="7B920DF9"/>
    <w:rsid w:val="7BBB0378"/>
    <w:rsid w:val="7BBB1184"/>
    <w:rsid w:val="7BBC2061"/>
    <w:rsid w:val="7BE00D04"/>
    <w:rsid w:val="7BE4480F"/>
    <w:rsid w:val="7BE74D9F"/>
    <w:rsid w:val="7BF53138"/>
    <w:rsid w:val="7C0C3423"/>
    <w:rsid w:val="7C0F1373"/>
    <w:rsid w:val="7C104214"/>
    <w:rsid w:val="7C123AA9"/>
    <w:rsid w:val="7C3F157D"/>
    <w:rsid w:val="7C403511"/>
    <w:rsid w:val="7C4930AC"/>
    <w:rsid w:val="7C641B7B"/>
    <w:rsid w:val="7C653452"/>
    <w:rsid w:val="7C6B656D"/>
    <w:rsid w:val="7C7C362A"/>
    <w:rsid w:val="7C8567F9"/>
    <w:rsid w:val="7C860AE5"/>
    <w:rsid w:val="7C8666A5"/>
    <w:rsid w:val="7C924BF9"/>
    <w:rsid w:val="7C941047"/>
    <w:rsid w:val="7CC11A55"/>
    <w:rsid w:val="7CCE2EB1"/>
    <w:rsid w:val="7CD41C08"/>
    <w:rsid w:val="7CD568DC"/>
    <w:rsid w:val="7CE46A05"/>
    <w:rsid w:val="7CE6661E"/>
    <w:rsid w:val="7CED7166"/>
    <w:rsid w:val="7CFE15DE"/>
    <w:rsid w:val="7D02203A"/>
    <w:rsid w:val="7D036563"/>
    <w:rsid w:val="7D0D2B40"/>
    <w:rsid w:val="7D2535FF"/>
    <w:rsid w:val="7D2605B6"/>
    <w:rsid w:val="7D266DD5"/>
    <w:rsid w:val="7D2C5EE0"/>
    <w:rsid w:val="7D324510"/>
    <w:rsid w:val="7D3C17C7"/>
    <w:rsid w:val="7D3E0998"/>
    <w:rsid w:val="7D421BBC"/>
    <w:rsid w:val="7D594363"/>
    <w:rsid w:val="7D5F438F"/>
    <w:rsid w:val="7D7F6AD2"/>
    <w:rsid w:val="7D9817C8"/>
    <w:rsid w:val="7D986822"/>
    <w:rsid w:val="7D9B3C00"/>
    <w:rsid w:val="7DD80DB5"/>
    <w:rsid w:val="7DDE7A42"/>
    <w:rsid w:val="7DE402A9"/>
    <w:rsid w:val="7E003DF6"/>
    <w:rsid w:val="7E24400D"/>
    <w:rsid w:val="7E2F3A3B"/>
    <w:rsid w:val="7E320D54"/>
    <w:rsid w:val="7E344CCE"/>
    <w:rsid w:val="7E471977"/>
    <w:rsid w:val="7E627264"/>
    <w:rsid w:val="7E6504D7"/>
    <w:rsid w:val="7E6B4E98"/>
    <w:rsid w:val="7E6F5E8D"/>
    <w:rsid w:val="7E756B34"/>
    <w:rsid w:val="7E9C180F"/>
    <w:rsid w:val="7EA85760"/>
    <w:rsid w:val="7EBA06EE"/>
    <w:rsid w:val="7EBD69B4"/>
    <w:rsid w:val="7EC127D4"/>
    <w:rsid w:val="7EC43B98"/>
    <w:rsid w:val="7ECA5D39"/>
    <w:rsid w:val="7ECA7590"/>
    <w:rsid w:val="7ED5251E"/>
    <w:rsid w:val="7EED5678"/>
    <w:rsid w:val="7EFE285D"/>
    <w:rsid w:val="7F144E7E"/>
    <w:rsid w:val="7F174816"/>
    <w:rsid w:val="7F2A4A83"/>
    <w:rsid w:val="7F3C4409"/>
    <w:rsid w:val="7F433469"/>
    <w:rsid w:val="7F516910"/>
    <w:rsid w:val="7F5725D5"/>
    <w:rsid w:val="7F5E1A9C"/>
    <w:rsid w:val="7F686092"/>
    <w:rsid w:val="7F6C1BC1"/>
    <w:rsid w:val="7F714013"/>
    <w:rsid w:val="7F7E03BE"/>
    <w:rsid w:val="7F843808"/>
    <w:rsid w:val="7F936A03"/>
    <w:rsid w:val="7F945543"/>
    <w:rsid w:val="7FAA57E2"/>
    <w:rsid w:val="7FC5261C"/>
    <w:rsid w:val="7FCA64E6"/>
    <w:rsid w:val="7FD17419"/>
    <w:rsid w:val="7FD60D09"/>
    <w:rsid w:val="7FE474D2"/>
    <w:rsid w:val="7FEE1326"/>
    <w:rsid w:val="7FF156C4"/>
    <w:rsid w:val="7FFB2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4">
    <w:name w:val="heading 2"/>
    <w:basedOn w:val="1"/>
    <w:next w:val="1"/>
    <w:autoRedefine/>
    <w:qFormat/>
    <w:uiPriority w:val="0"/>
    <w:pPr>
      <w:keepNext/>
      <w:tabs>
        <w:tab w:val="left" w:pos="980"/>
      </w:tabs>
      <w:ind w:left="980" w:hanging="420"/>
      <w:outlineLvl w:val="1"/>
    </w:pPr>
    <w:rPr>
      <w:rFonts w:ascii="幼圆" w:eastAsia="幼圆"/>
      <w:kern w:val="0"/>
      <w:sz w:val="28"/>
    </w:rPr>
  </w:style>
  <w:style w:type="paragraph" w:styleId="5">
    <w:name w:val="heading 3"/>
    <w:basedOn w:val="1"/>
    <w:next w:val="1"/>
    <w:autoRedefine/>
    <w:unhideWhenUsed/>
    <w:qFormat/>
    <w:uiPriority w:val="9"/>
    <w:pPr>
      <w:keepNext/>
      <w:keepLines/>
      <w:spacing w:before="260" w:after="260" w:line="416" w:lineRule="auto"/>
      <w:outlineLvl w:val="2"/>
    </w:pPr>
    <w:rPr>
      <w:b/>
      <w:bCs/>
      <w:sz w:val="32"/>
      <w:szCs w:val="32"/>
    </w:rPr>
  </w:style>
  <w:style w:type="paragraph" w:styleId="6">
    <w:name w:val="heading 4"/>
    <w:basedOn w:val="1"/>
    <w:next w:val="1"/>
    <w:autoRedefine/>
    <w:qFormat/>
    <w:uiPriority w:val="0"/>
    <w:pPr>
      <w:keepNext/>
      <w:keepLines/>
      <w:spacing w:before="280" w:after="290" w:line="376" w:lineRule="auto"/>
      <w:outlineLvl w:val="3"/>
    </w:pPr>
    <w:rPr>
      <w:b/>
      <w:bCs/>
      <w:sz w:val="28"/>
      <w:szCs w:val="28"/>
    </w:rPr>
  </w:style>
  <w:style w:type="paragraph" w:styleId="7">
    <w:name w:val="heading 5"/>
    <w:basedOn w:val="1"/>
    <w:next w:val="1"/>
    <w:link w:val="83"/>
    <w:semiHidden/>
    <w:unhideWhenUsed/>
    <w:qFormat/>
    <w:uiPriority w:val="0"/>
    <w:pPr>
      <w:keepNext/>
      <w:keepLines/>
      <w:spacing w:before="280" w:after="290" w:line="372" w:lineRule="auto"/>
      <w:outlineLvl w:val="4"/>
    </w:pPr>
    <w:rPr>
      <w:b/>
      <w:sz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0"/>
    <w:pPr>
      <w:ind w:firstLine="420" w:firstLineChars="200"/>
    </w:pPr>
  </w:style>
  <w:style w:type="paragraph" w:styleId="8">
    <w:name w:val="List 3"/>
    <w:basedOn w:val="1"/>
    <w:autoRedefine/>
    <w:qFormat/>
    <w:uiPriority w:val="0"/>
    <w:pPr>
      <w:ind w:left="100" w:leftChars="400" w:hanging="200" w:hangingChars="200"/>
    </w:pPr>
  </w:style>
  <w:style w:type="paragraph" w:styleId="9">
    <w:name w:val="toa heading"/>
    <w:basedOn w:val="1"/>
    <w:next w:val="1"/>
    <w:autoRedefine/>
    <w:qFormat/>
    <w:uiPriority w:val="0"/>
    <w:pPr>
      <w:spacing w:before="120"/>
    </w:pPr>
    <w:rPr>
      <w:rFonts w:ascii="Arial" w:hAnsi="Arial" w:eastAsia="仿宋"/>
      <w:sz w:val="24"/>
      <w:szCs w:val="20"/>
    </w:rPr>
  </w:style>
  <w:style w:type="paragraph" w:styleId="10">
    <w:name w:val="annotation text"/>
    <w:basedOn w:val="1"/>
    <w:autoRedefine/>
    <w:qFormat/>
    <w:uiPriority w:val="0"/>
    <w:pPr>
      <w:jc w:val="left"/>
    </w:pPr>
  </w:style>
  <w:style w:type="paragraph" w:styleId="11">
    <w:name w:val="Salutation"/>
    <w:basedOn w:val="1"/>
    <w:next w:val="1"/>
    <w:autoRedefine/>
    <w:qFormat/>
    <w:uiPriority w:val="0"/>
  </w:style>
  <w:style w:type="paragraph" w:styleId="12">
    <w:name w:val="Body Text"/>
    <w:basedOn w:val="1"/>
    <w:next w:val="1"/>
    <w:autoRedefine/>
    <w:qFormat/>
    <w:uiPriority w:val="0"/>
    <w:pPr>
      <w:spacing w:after="120"/>
    </w:pPr>
  </w:style>
  <w:style w:type="paragraph" w:styleId="13">
    <w:name w:val="Body Text Indent"/>
    <w:basedOn w:val="1"/>
    <w:next w:val="6"/>
    <w:autoRedefine/>
    <w:qFormat/>
    <w:uiPriority w:val="0"/>
    <w:pPr>
      <w:adjustRightInd w:val="0"/>
      <w:snapToGrid w:val="0"/>
      <w:spacing w:line="360" w:lineRule="auto"/>
      <w:ind w:firstLine="420" w:firstLineChars="200"/>
    </w:pPr>
  </w:style>
  <w:style w:type="paragraph" w:styleId="14">
    <w:name w:val="Plain Text"/>
    <w:basedOn w:val="1"/>
    <w:next w:val="15"/>
    <w:autoRedefine/>
    <w:qFormat/>
    <w:uiPriority w:val="99"/>
    <w:rPr>
      <w:rFonts w:ascii="宋体" w:hAnsi="Courier New"/>
    </w:rPr>
  </w:style>
  <w:style w:type="paragraph" w:styleId="15">
    <w:name w:val="List Number 5"/>
    <w:basedOn w:val="1"/>
    <w:qFormat/>
    <w:uiPriority w:val="0"/>
    <w:pPr>
      <w:numPr>
        <w:ilvl w:val="0"/>
        <w:numId w:val="1"/>
      </w:numPr>
    </w:pPr>
  </w:style>
  <w:style w:type="paragraph" w:styleId="16">
    <w:name w:val="Date"/>
    <w:basedOn w:val="1"/>
    <w:next w:val="1"/>
    <w:autoRedefine/>
    <w:qFormat/>
    <w:uiPriority w:val="0"/>
    <w:rPr>
      <w:rFonts w:ascii="Arial" w:hAnsi="Arial" w:cs="Arial"/>
      <w:b/>
      <w:sz w:val="28"/>
    </w:rPr>
  </w:style>
  <w:style w:type="paragraph" w:styleId="17">
    <w:name w:val="Body Text Indent 2"/>
    <w:basedOn w:val="1"/>
    <w:autoRedefine/>
    <w:unhideWhenUsed/>
    <w:qFormat/>
    <w:uiPriority w:val="99"/>
    <w:pPr>
      <w:spacing w:after="120" w:line="480" w:lineRule="auto"/>
      <w:ind w:left="420" w:leftChars="200"/>
    </w:pPr>
    <w:rPr>
      <w:rFonts w:eastAsia="仿宋"/>
    </w:rPr>
  </w:style>
  <w:style w:type="paragraph" w:styleId="18">
    <w:name w:val="Balloon Text"/>
    <w:basedOn w:val="1"/>
    <w:link w:val="86"/>
    <w:qFormat/>
    <w:uiPriority w:val="0"/>
    <w:rPr>
      <w:sz w:val="18"/>
      <w:szCs w:val="18"/>
    </w:rPr>
  </w:style>
  <w:style w:type="paragraph" w:styleId="19">
    <w:name w:val="footer"/>
    <w:basedOn w:val="1"/>
    <w:next w:val="1"/>
    <w:autoRedefine/>
    <w:qFormat/>
    <w:uiPriority w:val="0"/>
    <w:pPr>
      <w:tabs>
        <w:tab w:val="center" w:pos="4153"/>
        <w:tab w:val="right" w:pos="8306"/>
      </w:tabs>
      <w:snapToGrid w:val="0"/>
      <w:jc w:val="left"/>
    </w:pPr>
    <w:rPr>
      <w:sz w:val="18"/>
    </w:rPr>
  </w:style>
  <w:style w:type="paragraph" w:styleId="20">
    <w:name w:val="envelope return"/>
    <w:basedOn w:val="1"/>
    <w:autoRedefine/>
    <w:qFormat/>
    <w:uiPriority w:val="99"/>
    <w:pPr>
      <w:snapToGrid w:val="0"/>
    </w:pPr>
    <w:rPr>
      <w:rFonts w:ascii="Arial" w:hAnsi="Arial" w:cs="Arial"/>
    </w:rPr>
  </w:style>
  <w:style w:type="paragraph" w:styleId="2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autoRedefine/>
    <w:qFormat/>
    <w:uiPriority w:val="0"/>
  </w:style>
  <w:style w:type="paragraph" w:styleId="23">
    <w:name w:val="footnote text"/>
    <w:basedOn w:val="1"/>
    <w:autoRedefine/>
    <w:qFormat/>
    <w:uiPriority w:val="0"/>
    <w:pPr>
      <w:snapToGrid w:val="0"/>
      <w:jc w:val="left"/>
    </w:pPr>
    <w:rPr>
      <w:sz w:val="18"/>
    </w:rPr>
  </w:style>
  <w:style w:type="paragraph" w:styleId="24">
    <w:name w:val="Body Text Indent 3"/>
    <w:basedOn w:val="1"/>
    <w:autoRedefine/>
    <w:qFormat/>
    <w:uiPriority w:val="0"/>
    <w:pPr>
      <w:tabs>
        <w:tab w:val="left" w:pos="1134"/>
        <w:tab w:val="left" w:pos="5481"/>
        <w:tab w:val="left" w:pos="5859"/>
      </w:tabs>
      <w:spacing w:line="500" w:lineRule="exact"/>
      <w:ind w:firstLine="8275" w:firstLineChars="1200"/>
    </w:pPr>
    <w:rPr>
      <w:rFonts w:eastAsia="黑体"/>
      <w:b/>
      <w:bCs/>
      <w:sz w:val="72"/>
    </w:rPr>
  </w:style>
  <w:style w:type="paragraph" w:styleId="25">
    <w:name w:val="Normal (Web)"/>
    <w:basedOn w:val="1"/>
    <w:autoRedefine/>
    <w:qFormat/>
    <w:uiPriority w:val="99"/>
    <w:pPr>
      <w:spacing w:before="100" w:beforeAutospacing="1" w:after="100" w:afterAutospacing="1"/>
    </w:pPr>
    <w:rPr>
      <w:rFonts w:ascii="Courier New" w:hAnsi="Courier New"/>
      <w:color w:val="000000"/>
    </w:rPr>
  </w:style>
  <w:style w:type="paragraph" w:styleId="26">
    <w:name w:val="Title"/>
    <w:basedOn w:val="1"/>
    <w:next w:val="1"/>
    <w:autoRedefine/>
    <w:qFormat/>
    <w:uiPriority w:val="0"/>
    <w:pPr>
      <w:adjustRightInd w:val="0"/>
      <w:snapToGrid w:val="0"/>
      <w:spacing w:before="120" w:after="120" w:line="520" w:lineRule="exact"/>
      <w:jc w:val="center"/>
      <w:outlineLvl w:val="0"/>
    </w:pPr>
    <w:rPr>
      <w:rFonts w:ascii="黑体" w:eastAsia="黑体"/>
      <w:snapToGrid w:val="0"/>
      <w:kern w:val="0"/>
      <w:sz w:val="28"/>
    </w:rPr>
  </w:style>
  <w:style w:type="paragraph" w:styleId="27">
    <w:name w:val="Body Text First Indent"/>
    <w:basedOn w:val="12"/>
    <w:next w:val="1"/>
    <w:autoRedefine/>
    <w:qFormat/>
    <w:uiPriority w:val="0"/>
    <w:pPr>
      <w:ind w:firstLine="420" w:firstLineChars="100"/>
    </w:pPr>
    <w:rPr>
      <w:rFonts w:hAnsi="Calibri"/>
    </w:rPr>
  </w:style>
  <w:style w:type="paragraph" w:styleId="28">
    <w:name w:val="Body Text First Indent 2"/>
    <w:basedOn w:val="13"/>
    <w:next w:val="1"/>
    <w:autoRedefine/>
    <w:qFormat/>
    <w:uiPriority w:val="0"/>
    <w:pPr>
      <w:adjustRightInd/>
      <w:snapToGrid/>
      <w:spacing w:after="120" w:line="240" w:lineRule="auto"/>
      <w:ind w:left="420" w:leftChars="200"/>
    </w:pPr>
  </w:style>
  <w:style w:type="table" w:styleId="30">
    <w:name w:val="Table Grid"/>
    <w:basedOn w:val="29"/>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autoRedefine/>
    <w:qFormat/>
    <w:uiPriority w:val="0"/>
    <w:rPr>
      <w:b/>
      <w:bCs/>
    </w:rPr>
  </w:style>
  <w:style w:type="character" w:styleId="33">
    <w:name w:val="Hyperlink"/>
    <w:basedOn w:val="31"/>
    <w:autoRedefine/>
    <w:qFormat/>
    <w:uiPriority w:val="0"/>
    <w:rPr>
      <w:color w:val="0000FF"/>
      <w:u w:val="single"/>
    </w:rPr>
  </w:style>
  <w:style w:type="character" w:styleId="34">
    <w:name w:val="annotation reference"/>
    <w:basedOn w:val="31"/>
    <w:autoRedefine/>
    <w:semiHidden/>
    <w:unhideWhenUsed/>
    <w:qFormat/>
    <w:uiPriority w:val="99"/>
    <w:rPr>
      <w:sz w:val="21"/>
      <w:szCs w:val="21"/>
    </w:rPr>
  </w:style>
  <w:style w:type="character" w:styleId="35">
    <w:name w:val="HTML Sample"/>
    <w:basedOn w:val="31"/>
    <w:autoRedefine/>
    <w:qFormat/>
    <w:uiPriority w:val="0"/>
    <w:rPr>
      <w:rFonts w:ascii="Courier New" w:hAnsi="Courier New"/>
    </w:rPr>
  </w:style>
  <w:style w:type="paragraph" w:customStyle="1" w:styleId="36">
    <w:name w:val="BodyText1I2"/>
    <w:basedOn w:val="37"/>
    <w:autoRedefine/>
    <w:qFormat/>
    <w:uiPriority w:val="0"/>
    <w:pPr>
      <w:spacing w:after="120" w:line="240" w:lineRule="auto"/>
      <w:ind w:left="420" w:leftChars="200" w:firstLine="420" w:firstLineChars="200"/>
      <w:jc w:val="both"/>
    </w:pPr>
    <w:rPr>
      <w:rFonts w:ascii="Times New Roman" w:hAnsi="Times New Roman"/>
      <w:kern w:val="2"/>
      <w:sz w:val="21"/>
    </w:rPr>
  </w:style>
  <w:style w:type="paragraph" w:customStyle="1" w:styleId="37">
    <w:name w:val="BodyTextIndent"/>
    <w:basedOn w:val="1"/>
    <w:next w:val="38"/>
    <w:autoRedefine/>
    <w:qFormat/>
    <w:uiPriority w:val="0"/>
    <w:pPr>
      <w:spacing w:line="360" w:lineRule="auto"/>
      <w:ind w:firstLine="480"/>
      <w:jc w:val="left"/>
      <w:textAlignment w:val="baseline"/>
    </w:pPr>
    <w:rPr>
      <w:rFonts w:ascii="宋体" w:hAnsi="宋体"/>
      <w:kern w:val="0"/>
      <w:sz w:val="24"/>
    </w:rPr>
  </w:style>
  <w:style w:type="paragraph" w:customStyle="1" w:styleId="38">
    <w:name w:val="EnvelopeReturn"/>
    <w:basedOn w:val="1"/>
    <w:autoRedefine/>
    <w:qFormat/>
    <w:uiPriority w:val="0"/>
    <w:pPr>
      <w:snapToGrid w:val="0"/>
      <w:textAlignment w:val="baseline"/>
    </w:pPr>
    <w:rPr>
      <w:rFonts w:ascii="Arial" w:hAnsi="Arial"/>
    </w:rPr>
  </w:style>
  <w:style w:type="paragraph" w:customStyle="1" w:styleId="39">
    <w:name w:val="Default"/>
    <w:next w:val="40"/>
    <w:autoRedefine/>
    <w:qFormat/>
    <w:uiPriority w:val="99"/>
    <w:pPr>
      <w:widowControl w:val="0"/>
      <w:autoSpaceDE w:val="0"/>
      <w:autoSpaceDN w:val="0"/>
      <w:adjustRightInd w:val="0"/>
    </w:pPr>
    <w:rPr>
      <w:rFonts w:ascii="方正小标宋简体" w:hAnsi="Times New Roman" w:eastAsia="方正小标宋简体" w:cs="方正小标宋简体"/>
      <w:color w:val="000000"/>
      <w:sz w:val="24"/>
      <w:szCs w:val="24"/>
      <w:lang w:val="en-US" w:eastAsia="zh-CN" w:bidi="ar-SA"/>
    </w:rPr>
  </w:style>
  <w:style w:type="paragraph" w:customStyle="1" w:styleId="40">
    <w:name w:val="Char Char10 Char Char Char Char"/>
    <w:basedOn w:val="1"/>
    <w:next w:val="1"/>
    <w:autoRedefine/>
    <w:qFormat/>
    <w:uiPriority w:val="0"/>
    <w:rPr>
      <w:rFonts w:ascii="Calibri" w:hAnsi="Calibri"/>
      <w:kern w:val="0"/>
    </w:rPr>
  </w:style>
  <w:style w:type="paragraph" w:customStyle="1" w:styleId="41">
    <w:name w:val="样式 首行缩进:  2 字符"/>
    <w:basedOn w:val="1"/>
    <w:autoRedefine/>
    <w:qFormat/>
    <w:uiPriority w:val="99"/>
    <w:pPr>
      <w:spacing w:beforeLines="50" w:afterLines="50"/>
      <w:ind w:firstLine="200" w:firstLineChars="200"/>
    </w:pPr>
    <w:rPr>
      <w:rFonts w:eastAsia="仿宋" w:cs="宋体"/>
      <w:sz w:val="24"/>
      <w:szCs w:val="20"/>
    </w:rPr>
  </w:style>
  <w:style w:type="character" w:customStyle="1" w:styleId="42">
    <w:name w:val="case31"/>
    <w:autoRedefine/>
    <w:qFormat/>
    <w:uiPriority w:val="0"/>
    <w:rPr>
      <w:rFonts w:hint="default" w:ascii="ˎ̥" w:hAnsi="ˎ̥"/>
      <w:sz w:val="21"/>
      <w:szCs w:val="21"/>
    </w:rPr>
  </w:style>
  <w:style w:type="paragraph" w:customStyle="1" w:styleId="43">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44">
    <w:name w:val="列表段落1"/>
    <w:basedOn w:val="1"/>
    <w:autoRedefine/>
    <w:qFormat/>
    <w:uiPriority w:val="0"/>
    <w:pPr>
      <w:ind w:firstLine="420" w:firstLineChars="200"/>
    </w:pPr>
    <w:rPr>
      <w:rFonts w:ascii="Calibri" w:hAnsi="Calibri"/>
      <w:szCs w:val="22"/>
    </w:rPr>
  </w:style>
  <w:style w:type="paragraph" w:customStyle="1" w:styleId="45">
    <w:name w:val="È±Ê¡ÎÄ±¾"/>
    <w:basedOn w:val="1"/>
    <w:autoRedefine/>
    <w:qFormat/>
    <w:uiPriority w:val="0"/>
    <w:pPr>
      <w:widowControl/>
      <w:overflowPunct w:val="0"/>
      <w:autoSpaceDE w:val="0"/>
      <w:autoSpaceDN w:val="0"/>
      <w:adjustRightInd w:val="0"/>
      <w:jc w:val="left"/>
    </w:pPr>
    <w:rPr>
      <w:kern w:val="0"/>
      <w:sz w:val="24"/>
    </w:rPr>
  </w:style>
  <w:style w:type="paragraph" w:customStyle="1" w:styleId="46">
    <w:name w:val="Default Text"/>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character" w:customStyle="1" w:styleId="48">
    <w:name w:val="font31"/>
    <w:basedOn w:val="31"/>
    <w:autoRedefine/>
    <w:qFormat/>
    <w:uiPriority w:val="0"/>
    <w:rPr>
      <w:rFonts w:hint="eastAsia" w:ascii="宋体" w:hAnsi="宋体" w:eastAsia="宋体" w:cs="宋体"/>
      <w:color w:val="000000"/>
      <w:sz w:val="18"/>
      <w:szCs w:val="18"/>
      <w:u w:val="none"/>
    </w:rPr>
  </w:style>
  <w:style w:type="character" w:customStyle="1" w:styleId="49">
    <w:name w:val="font01"/>
    <w:basedOn w:val="31"/>
    <w:autoRedefine/>
    <w:qFormat/>
    <w:uiPriority w:val="0"/>
    <w:rPr>
      <w:rFonts w:hint="default" w:ascii="Times New Roman" w:hAnsi="Times New Roman" w:cs="Times New Roman"/>
      <w:color w:val="000000"/>
      <w:sz w:val="18"/>
      <w:szCs w:val="18"/>
      <w:u w:val="none"/>
    </w:rPr>
  </w:style>
  <w:style w:type="character" w:customStyle="1" w:styleId="50">
    <w:name w:val="font21"/>
    <w:basedOn w:val="31"/>
    <w:autoRedefine/>
    <w:qFormat/>
    <w:uiPriority w:val="0"/>
    <w:rPr>
      <w:rFonts w:hint="eastAsia" w:ascii="宋体" w:hAnsi="宋体" w:eastAsia="宋体" w:cs="宋体"/>
      <w:color w:val="000000"/>
      <w:sz w:val="21"/>
      <w:szCs w:val="21"/>
      <w:u w:val="none"/>
    </w:rPr>
  </w:style>
  <w:style w:type="character" w:customStyle="1" w:styleId="51">
    <w:name w:val="font11"/>
    <w:basedOn w:val="31"/>
    <w:autoRedefine/>
    <w:qFormat/>
    <w:uiPriority w:val="0"/>
    <w:rPr>
      <w:rFonts w:ascii="Calibri" w:hAnsi="Calibri" w:cs="Calibri"/>
      <w:color w:val="000000"/>
      <w:sz w:val="21"/>
      <w:szCs w:val="21"/>
      <w:u w:val="none"/>
    </w:rPr>
  </w:style>
  <w:style w:type="paragraph" w:customStyle="1" w:styleId="52">
    <w:name w:val="Table Paragraph"/>
    <w:basedOn w:val="53"/>
    <w:autoRedefine/>
    <w:qFormat/>
    <w:uiPriority w:val="1"/>
    <w:rPr>
      <w:rFonts w:ascii="宋体" w:hAnsi="宋体" w:cs="宋体"/>
      <w:lang w:val="zh-CN" w:bidi="zh-CN"/>
    </w:rPr>
  </w:style>
  <w:style w:type="paragraph" w:customStyle="1" w:styleId="53">
    <w:name w:val="正文_0_2_0"/>
    <w:autoRedefine/>
    <w:semiHidden/>
    <w:qFormat/>
    <w:uiPriority w:val="0"/>
    <w:pPr>
      <w:widowControl w:val="0"/>
      <w:jc w:val="both"/>
    </w:pPr>
    <w:rPr>
      <w:rFonts w:ascii="Calibri" w:hAnsi="Calibri" w:eastAsia="宋体" w:cs="Times New Roman"/>
      <w:kern w:val="2"/>
      <w:sz w:val="21"/>
      <w:szCs w:val="24"/>
      <w:lang w:val="en-US" w:eastAsia="zh-CN" w:bidi="ar-SA"/>
    </w:rPr>
  </w:style>
  <w:style w:type="paragraph" w:customStyle="1" w:styleId="54">
    <w:name w:val="章节内容"/>
    <w:basedOn w:val="1"/>
    <w:autoRedefine/>
    <w:qFormat/>
    <w:uiPriority w:val="0"/>
    <w:pPr>
      <w:shd w:val="clear" w:color="auto" w:fill="FFFFFF"/>
    </w:pPr>
  </w:style>
  <w:style w:type="character" w:customStyle="1" w:styleId="55">
    <w:name w:val="fontstyle01"/>
    <w:basedOn w:val="31"/>
    <w:autoRedefine/>
    <w:qFormat/>
    <w:uiPriority w:val="0"/>
    <w:rPr>
      <w:rFonts w:hint="eastAsia" w:ascii="宋体" w:hAnsi="宋体" w:eastAsia="宋体"/>
      <w:color w:val="000000"/>
      <w:sz w:val="22"/>
      <w:szCs w:val="22"/>
    </w:rPr>
  </w:style>
  <w:style w:type="character" w:customStyle="1" w:styleId="56">
    <w:name w:val="fontstyle21"/>
    <w:basedOn w:val="31"/>
    <w:autoRedefine/>
    <w:qFormat/>
    <w:uiPriority w:val="0"/>
    <w:rPr>
      <w:rFonts w:hint="default" w:ascii="TimesNewRomanPSMT" w:hAnsi="TimesNewRomanPSMT"/>
      <w:color w:val="000000"/>
      <w:sz w:val="22"/>
      <w:szCs w:val="22"/>
    </w:rPr>
  </w:style>
  <w:style w:type="paragraph" w:customStyle="1" w:styleId="57">
    <w:name w:val="缺省文本"/>
    <w:autoRedefine/>
    <w:qFormat/>
    <w:uiPriority w:val="0"/>
    <w:pPr>
      <w:widowControl w:val="0"/>
      <w:autoSpaceDE w:val="0"/>
      <w:autoSpaceDN w:val="0"/>
      <w:adjustRightInd w:val="0"/>
    </w:pPr>
    <w:rPr>
      <w:rFonts w:ascii="Calibri" w:hAnsi="Calibri" w:eastAsia="宋体" w:cs="Times New Roman"/>
      <w:color w:val="000000"/>
      <w:sz w:val="21"/>
      <w:szCs w:val="22"/>
      <w:lang w:val="en-US" w:eastAsia="zh-CN" w:bidi="ar-SA"/>
    </w:rPr>
  </w:style>
  <w:style w:type="paragraph" w:customStyle="1" w:styleId="58">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59">
    <w:name w:val="Normal_6"/>
    <w:autoRedefine/>
    <w:qFormat/>
    <w:uiPriority w:val="0"/>
    <w:rPr>
      <w:rFonts w:ascii="黑体" w:hAnsi="黑体" w:eastAsia="黑体" w:cs="Times New Roman"/>
      <w:b/>
      <w:sz w:val="32"/>
      <w:szCs w:val="24"/>
      <w:lang w:val="en-US" w:eastAsia="zh-CN" w:bidi="ar-SA"/>
    </w:rPr>
  </w:style>
  <w:style w:type="paragraph" w:customStyle="1" w:styleId="60">
    <w:name w:val="Normal_7"/>
    <w:autoRedefine/>
    <w:qFormat/>
    <w:uiPriority w:val="0"/>
    <w:rPr>
      <w:rFonts w:ascii="黑体" w:hAnsi="黑体" w:eastAsia="黑体" w:cs="Times New Roman"/>
      <w:b/>
      <w:sz w:val="32"/>
      <w:szCs w:val="24"/>
      <w:lang w:val="en-US" w:eastAsia="zh-CN" w:bidi="ar-SA"/>
    </w:rPr>
  </w:style>
  <w:style w:type="character" w:customStyle="1" w:styleId="61">
    <w:name w:val="NormalCharacter"/>
    <w:autoRedefine/>
    <w:qFormat/>
    <w:uiPriority w:val="0"/>
  </w:style>
  <w:style w:type="paragraph" w:customStyle="1" w:styleId="62">
    <w:name w:val="日期_0"/>
    <w:basedOn w:val="63"/>
    <w:next w:val="64"/>
    <w:autoRedefine/>
    <w:qFormat/>
    <w:uiPriority w:val="0"/>
    <w:pPr>
      <w:ind w:left="100" w:leftChars="2500"/>
    </w:pPr>
    <w:rPr>
      <w:rFonts w:ascii="Times New Roman" w:hAnsi="Times New Roman"/>
      <w:szCs w:val="24"/>
    </w:rPr>
  </w:style>
  <w:style w:type="paragraph" w:customStyle="1" w:styleId="63">
    <w:name w:val="正文_5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4">
    <w:name w:val="正文_12"/>
    <w:autoRedefine/>
    <w:semiHidden/>
    <w:qFormat/>
    <w:uiPriority w:val="0"/>
    <w:pPr>
      <w:widowControl w:val="0"/>
      <w:jc w:val="both"/>
    </w:pPr>
    <w:rPr>
      <w:rFonts w:ascii="Calibri" w:hAnsi="Calibri" w:eastAsia="宋体" w:cs="Times New Roman"/>
      <w:kern w:val="2"/>
      <w:sz w:val="21"/>
      <w:szCs w:val="22"/>
      <w:lang w:val="en-US" w:eastAsia="zh-CN" w:bidi="ar-SA"/>
    </w:rPr>
  </w:style>
  <w:style w:type="table" w:customStyle="1" w:styleId="65">
    <w:name w:val="Table Normal"/>
    <w:autoRedefine/>
    <w:semiHidden/>
    <w:unhideWhenUsed/>
    <w:qFormat/>
    <w:uiPriority w:val="0"/>
    <w:tblPr>
      <w:tblCellMar>
        <w:top w:w="0" w:type="dxa"/>
        <w:left w:w="0" w:type="dxa"/>
        <w:bottom w:w="0" w:type="dxa"/>
        <w:right w:w="0" w:type="dxa"/>
      </w:tblCellMar>
    </w:tblPr>
  </w:style>
  <w:style w:type="paragraph" w:customStyle="1" w:styleId="66">
    <w:name w:val="Normal_0"/>
    <w:autoRedefine/>
    <w:qFormat/>
    <w:uiPriority w:val="0"/>
    <w:rPr>
      <w:rFonts w:ascii="Times New Roman" w:hAnsi="Times New Roman" w:eastAsia="Times New Roman" w:cs="Times New Roman"/>
      <w:sz w:val="24"/>
      <w:szCs w:val="24"/>
      <w:lang w:val="en-US" w:eastAsia="zh-CN" w:bidi="ar-SA"/>
    </w:rPr>
  </w:style>
  <w:style w:type="paragraph" w:customStyle="1" w:styleId="67">
    <w:name w:val="Normal_1"/>
    <w:autoRedefine/>
    <w:qFormat/>
    <w:uiPriority w:val="0"/>
    <w:rPr>
      <w:rFonts w:ascii="黑体" w:hAnsi="黑体" w:eastAsia="黑体" w:cs="Times New Roman"/>
      <w:b/>
      <w:sz w:val="32"/>
      <w:szCs w:val="24"/>
      <w:lang w:val="en-US" w:eastAsia="zh-CN" w:bidi="ar-SA"/>
    </w:rPr>
  </w:style>
  <w:style w:type="paragraph" w:customStyle="1" w:styleId="68">
    <w:name w:val="正文_5"/>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Normal_3"/>
    <w:autoRedefine/>
    <w:qFormat/>
    <w:uiPriority w:val="0"/>
    <w:rPr>
      <w:rFonts w:ascii="黑体" w:hAnsi="黑体" w:eastAsia="黑体" w:cs="Times New Roman"/>
      <w:b/>
      <w:sz w:val="32"/>
      <w:szCs w:val="24"/>
      <w:lang w:val="en-US" w:eastAsia="zh-CN" w:bidi="ar-SA"/>
    </w:rPr>
  </w:style>
  <w:style w:type="paragraph" w:customStyle="1" w:styleId="70">
    <w:name w:val="正文1"/>
    <w:next w:val="71"/>
    <w:autoRedefine/>
    <w:qFormat/>
    <w:uiPriority w:val="0"/>
    <w:rPr>
      <w:rFonts w:ascii="Times New Roman" w:hAnsi="Times New Roman" w:eastAsia="Times New Roman" w:cs="Times New Roman"/>
      <w:sz w:val="24"/>
      <w:szCs w:val="24"/>
      <w:lang w:val="en-US" w:eastAsia="zh-CN" w:bidi="ar-SA"/>
    </w:rPr>
  </w:style>
  <w:style w:type="paragraph" w:customStyle="1" w:styleId="71">
    <w:name w:val="引文目录标题1"/>
    <w:basedOn w:val="70"/>
    <w:next w:val="70"/>
    <w:autoRedefine/>
    <w:qFormat/>
    <w:uiPriority w:val="0"/>
    <w:pPr>
      <w:spacing w:before="120"/>
    </w:pPr>
    <w:rPr>
      <w:rFonts w:ascii="Arial" w:hAnsi="Arial"/>
      <w:szCs w:val="21"/>
    </w:rPr>
  </w:style>
  <w:style w:type="table" w:customStyle="1" w:styleId="72">
    <w:name w:val="TableGrid"/>
    <w:autoRedefine/>
    <w:qFormat/>
    <w:uiPriority w:val="0"/>
    <w:rPr>
      <w:rFonts w:ascii="Calibri" w:hAnsi="Calibri"/>
      <w:kern w:val="2"/>
      <w:sz w:val="21"/>
      <w:szCs w:val="24"/>
    </w:rPr>
    <w:tblPr>
      <w:tblCellMar>
        <w:top w:w="0" w:type="dxa"/>
        <w:left w:w="0" w:type="dxa"/>
        <w:bottom w:w="0" w:type="dxa"/>
        <w:right w:w="0" w:type="dxa"/>
      </w:tblCellMar>
    </w:tblPr>
  </w:style>
  <w:style w:type="paragraph" w:customStyle="1" w:styleId="73">
    <w:name w:val="纯文本_1"/>
    <w:basedOn w:val="74"/>
    <w:autoRedefine/>
    <w:unhideWhenUsed/>
    <w:qFormat/>
    <w:uiPriority w:val="0"/>
    <w:rPr>
      <w:rFonts w:ascii="宋体" w:hAnsi="Courier New" w:cs="Courier New"/>
      <w:szCs w:val="21"/>
    </w:rPr>
  </w:style>
  <w:style w:type="paragraph" w:customStyle="1" w:styleId="74">
    <w:name w:val="正文_0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Normal_11"/>
    <w:autoRedefine/>
    <w:qFormat/>
    <w:uiPriority w:val="0"/>
    <w:rPr>
      <w:rFonts w:ascii="黑体" w:hAnsi="黑体" w:eastAsia="黑体" w:cs="Times New Roman"/>
      <w:b/>
      <w:sz w:val="32"/>
      <w:szCs w:val="24"/>
      <w:lang w:val="en-US" w:eastAsia="zh-CN" w:bidi="ar-SA"/>
    </w:rPr>
  </w:style>
  <w:style w:type="paragraph" w:customStyle="1" w:styleId="77">
    <w:name w:val="正文内容"/>
    <w:basedOn w:val="1"/>
    <w:autoRedefine/>
    <w:qFormat/>
    <w:uiPriority w:val="0"/>
    <w:rPr>
      <w:rFonts w:hint="eastAsia" w:ascii="宋体" w:hAnsi="宋体" w:cs="宋体"/>
      <w:sz w:val="28"/>
    </w:rPr>
  </w:style>
  <w:style w:type="paragraph" w:customStyle="1" w:styleId="78">
    <w:name w:val="正文_1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正文文本_0"/>
    <w:basedOn w:val="78"/>
    <w:autoRedefine/>
    <w:unhideWhenUsed/>
    <w:qFormat/>
    <w:uiPriority w:val="0"/>
    <w:pPr>
      <w:spacing w:after="120"/>
    </w:pPr>
    <w:rPr>
      <w:rFonts w:ascii="Times New Roman" w:hAnsi="Times New Roman" w:eastAsia="仿宋_GB2312"/>
      <w:sz w:val="28"/>
      <w:szCs w:val="24"/>
    </w:rPr>
  </w:style>
  <w:style w:type="character" w:customStyle="1" w:styleId="80">
    <w:name w:val="font61"/>
    <w:basedOn w:val="31"/>
    <w:autoRedefine/>
    <w:qFormat/>
    <w:uiPriority w:val="0"/>
    <w:rPr>
      <w:rFonts w:hint="eastAsia" w:ascii="宋体" w:hAnsi="宋体" w:eastAsia="宋体" w:cs="宋体"/>
      <w:color w:val="000000"/>
      <w:sz w:val="21"/>
      <w:szCs w:val="21"/>
      <w:u w:val="none"/>
    </w:rPr>
  </w:style>
  <w:style w:type="paragraph" w:customStyle="1" w:styleId="81">
    <w:name w:val="p"/>
    <w:basedOn w:val="1"/>
    <w:autoRedefine/>
    <w:qFormat/>
    <w:uiPriority w:val="0"/>
    <w:pPr>
      <w:widowControl/>
      <w:spacing w:line="525" w:lineRule="atLeast"/>
      <w:ind w:firstLine="375"/>
      <w:jc w:val="left"/>
    </w:pPr>
    <w:rPr>
      <w:kern w:val="0"/>
      <w:sz w:val="24"/>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3">
    <w:name w:val="标题 5 字符"/>
    <w:link w:val="7"/>
    <w:qFormat/>
    <w:uiPriority w:val="0"/>
    <w:rPr>
      <w:b/>
      <w:sz w:val="28"/>
    </w:rPr>
  </w:style>
  <w:style w:type="paragraph" w:customStyle="1" w:styleId="84">
    <w:name w:val="列出段落1"/>
    <w:basedOn w:val="1"/>
    <w:qFormat/>
    <w:uiPriority w:val="1"/>
    <w:pPr>
      <w:ind w:left="111" w:firstLine="640"/>
    </w:pPr>
  </w:style>
  <w:style w:type="paragraph" w:styleId="85">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86">
    <w:name w:val="批注框文本 字符"/>
    <w:basedOn w:val="31"/>
    <w:link w:val="18"/>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24008</Words>
  <Characters>25565</Characters>
  <Lines>309</Lines>
  <Paragraphs>87</Paragraphs>
  <TotalTime>0</TotalTime>
  <ScaleCrop>false</ScaleCrop>
  <LinksUpToDate>false</LinksUpToDate>
  <CharactersWithSpaces>25696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2026-05-21T09:44:00Z</dcterms:created>
  <dc:creator>Administrator</dc:creator>
  <cp:lastModifiedBy> Miss Dong</cp:lastModifiedBy>
  <cp:lastPrinted>2023-03-22T05:20:00Z</cp:lastPrinted>
  <dcterms:modified xsi:type="dcterms:W3CDTF">2026-05-25T07:56:21Z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1BC02E664A7D4A43B19DB57BCBFE3F10_13</vt:lpwstr>
  </property>
  <property fmtid="{D5CDD505-2E9C-101B-9397-08002B2CF9AE}" pid="4" name="KSOTemplateDocerSaveRecord">
    <vt:lpwstr>eyJoZGlkIjoiOGYzMmNhMzgxZDhkYWRmYTJiMDZiOTdiMWQzN2IyYmIiLCJ1c2VySWQiOiIzMzI1NDg5NDQifQ==</vt:lpwstr>
  </property>
</Properties>
</file>