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D124E">
      <w:pPr>
        <w:adjustRightInd w:val="0"/>
        <w:snapToGrid w:val="0"/>
        <w:spacing w:line="800" w:lineRule="exact"/>
        <w:jc w:val="center"/>
        <w:rPr>
          <w:rFonts w:ascii="宋体" w:hAnsi="宋体" w:cs="宋体"/>
          <w:b/>
          <w:color w:val="auto"/>
          <w:sz w:val="72"/>
          <w:szCs w:val="72"/>
          <w:highlight w:val="none"/>
        </w:rPr>
      </w:pPr>
      <w:r>
        <w:rPr>
          <w:rFonts w:hint="eastAsia" w:ascii="宋体" w:hAnsi="宋体" w:cs="宋体"/>
          <w:b/>
          <w:color w:val="auto"/>
          <w:sz w:val="72"/>
          <w:szCs w:val="72"/>
          <w:highlight w:val="none"/>
        </w:rPr>
        <w:drawing>
          <wp:anchor distT="0" distB="0" distL="114300" distR="114300" simplePos="0" relativeHeight="251661312" behindDoc="0" locked="0" layoutInCell="1" allowOverlap="1">
            <wp:simplePos x="0" y="0"/>
            <wp:positionH relativeFrom="column">
              <wp:posOffset>-4445</wp:posOffset>
            </wp:positionH>
            <wp:positionV relativeFrom="paragraph">
              <wp:posOffset>-12700</wp:posOffset>
            </wp:positionV>
            <wp:extent cx="834390" cy="1076325"/>
            <wp:effectExtent l="0" t="0" r="3810" b="9525"/>
            <wp:wrapSquare wrapText="bothSides"/>
            <wp:docPr id="3" name="图片 3" descr="盛世乾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盛世乾元logo"/>
                    <pic:cNvPicPr>
                      <a:picLocks noChangeAspect="1"/>
                    </pic:cNvPicPr>
                  </pic:nvPicPr>
                  <pic:blipFill>
                    <a:blip r:embed="rId11"/>
                    <a:stretch>
                      <a:fillRect/>
                    </a:stretch>
                  </pic:blipFill>
                  <pic:spPr>
                    <a:xfrm>
                      <a:off x="0" y="0"/>
                      <a:ext cx="834390" cy="1076325"/>
                    </a:xfrm>
                    <a:prstGeom prst="rect">
                      <a:avLst/>
                    </a:prstGeom>
                  </pic:spPr>
                </pic:pic>
              </a:graphicData>
            </a:graphic>
          </wp:anchor>
        </w:drawing>
      </w:r>
    </w:p>
    <w:p w14:paraId="68DDB0B3">
      <w:pPr>
        <w:adjustRightInd w:val="0"/>
        <w:snapToGrid w:val="0"/>
        <w:spacing w:line="800" w:lineRule="exact"/>
        <w:jc w:val="center"/>
        <w:rPr>
          <w:rFonts w:ascii="宋体" w:hAnsi="宋体" w:cs="宋体"/>
          <w:b/>
          <w:color w:val="auto"/>
          <w:sz w:val="72"/>
          <w:szCs w:val="72"/>
          <w:highlight w:val="none"/>
        </w:rPr>
      </w:pPr>
    </w:p>
    <w:p w14:paraId="592958F5">
      <w:pPr>
        <w:adjustRightInd w:val="0"/>
        <w:snapToGrid w:val="0"/>
        <w:spacing w:line="800" w:lineRule="exact"/>
        <w:jc w:val="center"/>
        <w:rPr>
          <w:rFonts w:ascii="宋体" w:hAnsi="宋体" w:cs="宋体"/>
          <w:b/>
          <w:color w:val="auto"/>
          <w:sz w:val="72"/>
          <w:szCs w:val="72"/>
          <w:highlight w:val="none"/>
        </w:rPr>
      </w:pPr>
    </w:p>
    <w:p w14:paraId="129E4AE8">
      <w:pPr>
        <w:adjustRightInd w:val="0"/>
        <w:snapToGrid w:val="0"/>
        <w:spacing w:line="800" w:lineRule="exact"/>
        <w:jc w:val="center"/>
        <w:outlineLvl w:val="0"/>
        <w:rPr>
          <w:rFonts w:ascii="宋体" w:hAnsi="宋体" w:cs="宋体"/>
          <w:b/>
          <w:color w:val="auto"/>
          <w:sz w:val="72"/>
          <w:szCs w:val="72"/>
          <w:highlight w:val="none"/>
        </w:rPr>
      </w:pPr>
      <w:bookmarkStart w:id="0" w:name="_Toc13532"/>
      <w:r>
        <w:rPr>
          <w:rFonts w:hint="eastAsia" w:ascii="宋体" w:hAnsi="宋体" w:cs="宋体"/>
          <w:b/>
          <w:color w:val="auto"/>
          <w:sz w:val="72"/>
          <w:szCs w:val="72"/>
          <w:highlight w:val="none"/>
        </w:rPr>
        <w:t>采购文件</w:t>
      </w:r>
      <w:bookmarkEnd w:id="0"/>
    </w:p>
    <w:p w14:paraId="21CA652C">
      <w:pPr>
        <w:adjustRightInd w:val="0"/>
        <w:snapToGrid w:val="0"/>
        <w:spacing w:line="800" w:lineRule="exact"/>
        <w:jc w:val="center"/>
        <w:rPr>
          <w:rFonts w:ascii="宋体" w:hAnsi="宋体" w:cs="宋体"/>
          <w:b/>
          <w:color w:val="auto"/>
          <w:sz w:val="72"/>
          <w:szCs w:val="72"/>
          <w:highlight w:val="none"/>
        </w:rPr>
      </w:pPr>
    </w:p>
    <w:p w14:paraId="0868B0A8">
      <w:pPr>
        <w:adjustRightInd w:val="0"/>
        <w:snapToGrid w:val="0"/>
        <w:spacing w:line="800" w:lineRule="exact"/>
        <w:jc w:val="center"/>
        <w:outlineLvl w:val="0"/>
        <w:rPr>
          <w:rFonts w:ascii="宋体" w:hAnsi="宋体" w:cs="宋体"/>
          <w:b/>
          <w:color w:val="auto"/>
          <w:sz w:val="30"/>
          <w:szCs w:val="30"/>
          <w:highlight w:val="none"/>
        </w:rPr>
      </w:pPr>
      <w:bookmarkStart w:id="1" w:name="_Toc22751"/>
      <w:r>
        <w:rPr>
          <w:rFonts w:hint="eastAsia" w:ascii="宋体" w:hAnsi="宋体" w:cs="宋体"/>
          <w:b/>
          <w:color w:val="auto"/>
          <w:sz w:val="30"/>
          <w:szCs w:val="30"/>
          <w:highlight w:val="none"/>
        </w:rPr>
        <w:t>项目编号：</w:t>
      </w:r>
      <w:bookmarkEnd w:id="1"/>
      <w:r>
        <w:rPr>
          <w:rFonts w:hint="eastAsia" w:ascii="宋体" w:hAnsi="宋体" w:cs="宋体"/>
          <w:b/>
          <w:color w:val="auto"/>
          <w:sz w:val="30"/>
          <w:szCs w:val="30"/>
          <w:highlight w:val="none"/>
        </w:rPr>
        <w:t>SSQYZB-CG2026059</w:t>
      </w:r>
    </w:p>
    <w:p w14:paraId="2782C6E4">
      <w:pPr>
        <w:autoSpaceDE w:val="0"/>
        <w:autoSpaceDN w:val="0"/>
        <w:adjustRightInd w:val="0"/>
        <w:spacing w:line="440" w:lineRule="exact"/>
        <w:ind w:firstLine="843" w:firstLineChars="300"/>
        <w:rPr>
          <w:rFonts w:ascii="宋体" w:hAnsi="宋体" w:cs="宋体"/>
          <w:b/>
          <w:color w:val="auto"/>
          <w:sz w:val="28"/>
          <w:szCs w:val="28"/>
          <w:highlight w:val="none"/>
        </w:rPr>
      </w:pPr>
    </w:p>
    <w:p w14:paraId="2B4AA961">
      <w:pPr>
        <w:pStyle w:val="2"/>
        <w:ind w:firstLine="0" w:firstLineChars="0"/>
        <w:rPr>
          <w:rFonts w:ascii="宋体" w:hAnsi="宋体" w:cs="宋体"/>
          <w:b/>
          <w:color w:val="auto"/>
          <w:sz w:val="28"/>
          <w:szCs w:val="28"/>
          <w:highlight w:val="none"/>
        </w:rPr>
      </w:pPr>
    </w:p>
    <w:p w14:paraId="79BAA4E4">
      <w:pPr>
        <w:autoSpaceDE w:val="0"/>
        <w:autoSpaceDN w:val="0"/>
        <w:adjustRightInd w:val="0"/>
        <w:spacing w:line="480" w:lineRule="auto"/>
        <w:ind w:firstLine="843" w:firstLineChars="300"/>
        <w:rPr>
          <w:rFonts w:ascii="宋体" w:hAnsi="宋体" w:cs="宋体"/>
          <w:b/>
          <w:color w:val="auto"/>
          <w:sz w:val="28"/>
          <w:szCs w:val="28"/>
          <w:highlight w:val="none"/>
        </w:rPr>
      </w:pPr>
    </w:p>
    <w:p w14:paraId="3B12B50C">
      <w:pPr>
        <w:spacing w:line="600" w:lineRule="auto"/>
        <w:ind w:firstLine="578" w:firstLineChars="192"/>
        <w:outlineLvl w:val="0"/>
        <w:rPr>
          <w:rFonts w:ascii="宋体" w:hAnsi="宋体" w:cs="宋体"/>
          <w:b/>
          <w:color w:val="auto"/>
          <w:sz w:val="30"/>
          <w:szCs w:val="30"/>
          <w:highlight w:val="none"/>
        </w:rPr>
      </w:pPr>
      <w:bookmarkStart w:id="2" w:name="_Toc16785"/>
      <w:r>
        <w:rPr>
          <w:rFonts w:hint="eastAsia" w:ascii="宋体" w:hAnsi="宋体" w:cs="宋体"/>
          <w:b/>
          <w:color w:val="auto"/>
          <w:sz w:val="30"/>
          <w:szCs w:val="30"/>
          <w:highlight w:val="none"/>
        </w:rPr>
        <w:t>项目名称：</w:t>
      </w:r>
      <w:bookmarkEnd w:id="2"/>
      <w:r>
        <w:rPr>
          <w:rFonts w:hint="eastAsia" w:ascii="宋体" w:hAnsi="宋体" w:cs="宋体"/>
          <w:bCs/>
          <w:color w:val="auto"/>
          <w:sz w:val="30"/>
          <w:szCs w:val="30"/>
          <w:highlight w:val="none"/>
        </w:rPr>
        <w:t>新疆维吾尔自治区某单位大宗物资采购项目（牛羊肉类）</w:t>
      </w:r>
    </w:p>
    <w:p w14:paraId="0F956C19">
      <w:pPr>
        <w:spacing w:line="600" w:lineRule="auto"/>
        <w:ind w:firstLine="578" w:firstLineChars="192"/>
        <w:rPr>
          <w:rFonts w:ascii="宋体" w:hAnsi="宋体" w:cs="宋体"/>
          <w:b/>
          <w:color w:val="auto"/>
          <w:kern w:val="0"/>
          <w:sz w:val="30"/>
          <w:szCs w:val="30"/>
          <w:highlight w:val="none"/>
          <w:lang w:bidi="en-US"/>
        </w:rPr>
      </w:pPr>
      <w:r>
        <w:rPr>
          <w:rFonts w:hint="eastAsia" w:ascii="宋体" w:hAnsi="宋体" w:cs="宋体"/>
          <w:b/>
          <w:color w:val="auto"/>
          <w:sz w:val="30"/>
          <w:szCs w:val="30"/>
          <w:highlight w:val="none"/>
        </w:rPr>
        <w:t>采购人：</w:t>
      </w:r>
      <w:r>
        <w:rPr>
          <w:rFonts w:hint="eastAsia" w:ascii="宋体" w:hAnsi="宋体" w:cs="宋体"/>
          <w:bCs/>
          <w:color w:val="auto"/>
          <w:sz w:val="30"/>
          <w:szCs w:val="30"/>
          <w:highlight w:val="none"/>
          <w:lang w:val="zh-CN"/>
        </w:rPr>
        <w:t>新疆维吾尔自治区某单位</w:t>
      </w:r>
    </w:p>
    <w:p w14:paraId="2EB1D2A6">
      <w:pPr>
        <w:spacing w:line="600" w:lineRule="auto"/>
        <w:ind w:firstLine="602" w:firstLineChars="200"/>
        <w:rPr>
          <w:rFonts w:ascii="宋体" w:hAnsi="宋体" w:cs="仿宋"/>
          <w:bCs/>
          <w:color w:val="auto"/>
          <w:kern w:val="0"/>
          <w:sz w:val="28"/>
          <w:szCs w:val="28"/>
          <w:highlight w:val="none"/>
        </w:rPr>
      </w:pPr>
      <w:r>
        <w:rPr>
          <w:rFonts w:hint="eastAsia" w:ascii="宋体" w:hAnsi="宋体" w:cs="宋体"/>
          <w:b/>
          <w:color w:val="auto"/>
          <w:kern w:val="0"/>
          <w:sz w:val="30"/>
          <w:szCs w:val="30"/>
          <w:highlight w:val="none"/>
        </w:rPr>
        <w:t>联系人：</w:t>
      </w:r>
      <w:r>
        <w:rPr>
          <w:rFonts w:hint="eastAsia" w:ascii="宋体" w:hAnsi="宋体" w:cs="宋体"/>
          <w:bCs/>
          <w:color w:val="auto"/>
          <w:sz w:val="30"/>
          <w:szCs w:val="30"/>
          <w:highlight w:val="none"/>
        </w:rPr>
        <w:t>陆先生</w:t>
      </w:r>
    </w:p>
    <w:p w14:paraId="1728E3A6">
      <w:pPr>
        <w:spacing w:line="600" w:lineRule="auto"/>
        <w:ind w:firstLine="602" w:firstLineChars="200"/>
        <w:rPr>
          <w:rFonts w:ascii="宋体" w:hAnsi="宋体" w:cs="仿宋"/>
          <w:color w:val="auto"/>
          <w:kern w:val="0"/>
          <w:sz w:val="28"/>
          <w:szCs w:val="28"/>
          <w:highlight w:val="none"/>
        </w:rPr>
      </w:pPr>
      <w:r>
        <w:rPr>
          <w:rFonts w:hint="eastAsia" w:ascii="宋体" w:hAnsi="宋体" w:cs="宋体"/>
          <w:b/>
          <w:color w:val="auto"/>
          <w:kern w:val="0"/>
          <w:sz w:val="30"/>
          <w:szCs w:val="30"/>
          <w:highlight w:val="none"/>
        </w:rPr>
        <w:t>联系电话：</w:t>
      </w:r>
      <w:r>
        <w:rPr>
          <w:rFonts w:hint="eastAsia" w:ascii="宋体" w:hAnsi="宋体" w:cs="宋体"/>
          <w:bCs/>
          <w:color w:val="auto"/>
          <w:kern w:val="0"/>
          <w:sz w:val="30"/>
          <w:szCs w:val="30"/>
          <w:highlight w:val="none"/>
        </w:rPr>
        <w:t>0991-5537188</w:t>
      </w:r>
    </w:p>
    <w:p w14:paraId="1A87AC84">
      <w:pPr>
        <w:spacing w:line="440" w:lineRule="exact"/>
        <w:rPr>
          <w:rFonts w:ascii="宋体" w:hAnsi="宋体" w:cs="宋体"/>
          <w:b/>
          <w:color w:val="auto"/>
          <w:sz w:val="30"/>
          <w:szCs w:val="30"/>
          <w:highlight w:val="none"/>
        </w:rPr>
      </w:pPr>
    </w:p>
    <w:p w14:paraId="65B9DE8C">
      <w:pPr>
        <w:spacing w:line="440" w:lineRule="exact"/>
        <w:ind w:firstLine="762" w:firstLineChars="253"/>
        <w:rPr>
          <w:rFonts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34.85pt;margin-top:5.55pt;height:0pt;width:393.75pt;z-index:251660288;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o8FD9YAAAAIAQAADwAAAAAAAAABACAAAAAiAAAAZHJzL2Rvd25yZXYueG1sUEsBAhQAFAAAAAgA&#10;h07iQBCm/WbuAQAA2gMAAA4AAAAAAAAAAQAgAAAAJQEAAGRycy9lMm9Eb2MueG1sUEsFBgAAAAAG&#10;AAYAWQEAAIUFAAAAAA==&#10;">
                <v:fill on="f" focussize="0,0"/>
                <v:stroke weight="1pt" color="#000000" joinstyle="round" dashstyle="1 1"/>
                <v:imagedata o:title=""/>
                <o:lock v:ext="edit" aspectratio="f"/>
              </v:line>
            </w:pict>
          </mc:Fallback>
        </mc:AlternateContent>
      </w:r>
    </w:p>
    <w:p w14:paraId="136C8C9D">
      <w:pPr>
        <w:spacing w:line="440" w:lineRule="exact"/>
        <w:ind w:firstLine="762" w:firstLineChars="253"/>
        <w:rPr>
          <w:rFonts w:ascii="宋体" w:hAnsi="宋体" w:cs="宋体"/>
          <w:b/>
          <w:color w:val="auto"/>
          <w:sz w:val="30"/>
          <w:szCs w:val="30"/>
          <w:highlight w:val="none"/>
        </w:rPr>
      </w:pPr>
    </w:p>
    <w:p w14:paraId="60CC1337">
      <w:pPr>
        <w:spacing w:line="60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采购代理机构：</w:t>
      </w:r>
      <w:r>
        <w:rPr>
          <w:rFonts w:hint="eastAsia" w:ascii="宋体" w:hAnsi="宋体" w:cs="宋体"/>
          <w:bCs/>
          <w:color w:val="auto"/>
          <w:sz w:val="30"/>
          <w:szCs w:val="30"/>
          <w:highlight w:val="none"/>
        </w:rPr>
        <w:t>新疆盛世乾元工程项目管理咨询有限公司</w:t>
      </w:r>
    </w:p>
    <w:p w14:paraId="4D81B7EF">
      <w:pPr>
        <w:spacing w:line="600" w:lineRule="auto"/>
        <w:ind w:firstLine="587" w:firstLineChars="195"/>
        <w:rPr>
          <w:rFonts w:ascii="宋体" w:hAnsi="宋体" w:cs="宋体"/>
          <w:b/>
          <w:color w:val="auto"/>
          <w:sz w:val="30"/>
          <w:szCs w:val="30"/>
          <w:highlight w:val="none"/>
        </w:rPr>
      </w:pPr>
      <w:r>
        <w:rPr>
          <w:rFonts w:hint="eastAsia" w:ascii="宋体" w:hAnsi="宋体" w:cs="宋体"/>
          <w:b/>
          <w:color w:val="auto"/>
          <w:kern w:val="0"/>
          <w:sz w:val="30"/>
          <w:szCs w:val="30"/>
          <w:highlight w:val="none"/>
        </w:rPr>
        <w:t>联系人：</w:t>
      </w:r>
      <w:r>
        <w:rPr>
          <w:rFonts w:hint="eastAsia" w:ascii="宋体" w:hAnsi="宋体" w:cs="宋体"/>
          <w:bCs/>
          <w:color w:val="auto"/>
          <w:kern w:val="0"/>
          <w:sz w:val="30"/>
          <w:szCs w:val="30"/>
          <w:highlight w:val="none"/>
        </w:rPr>
        <w:t>蔡海涛、任广文、董乐</w:t>
      </w:r>
    </w:p>
    <w:p w14:paraId="6A87A665">
      <w:pPr>
        <w:spacing w:line="600" w:lineRule="auto"/>
        <w:ind w:firstLine="602" w:firstLineChars="200"/>
        <w:rPr>
          <w:rFonts w:ascii="宋体" w:hAnsi="宋体" w:cs="宋体"/>
          <w:b/>
          <w:color w:val="auto"/>
          <w:sz w:val="30"/>
          <w:szCs w:val="30"/>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kern w:val="0"/>
          <w:sz w:val="30"/>
          <w:szCs w:val="30"/>
          <w:highlight w:val="none"/>
        </w:rPr>
        <w:t>联系电话：</w:t>
      </w:r>
      <w:r>
        <w:rPr>
          <w:rFonts w:hint="eastAsia" w:ascii="宋体" w:hAnsi="宋体" w:cs="宋体"/>
          <w:bCs/>
          <w:color w:val="auto"/>
          <w:sz w:val="30"/>
          <w:szCs w:val="30"/>
          <w:highlight w:val="none"/>
        </w:rPr>
        <w:t>0991-4659594、18129205025</w:t>
      </w:r>
    </w:p>
    <w:sdt>
      <w:sdtPr>
        <w:rPr>
          <w:rFonts w:ascii="宋体" w:hAnsi="宋体"/>
          <w:color w:val="auto"/>
          <w:highlight w:val="none"/>
        </w:rPr>
        <w:id w:val="147474441"/>
        <w15:color w:val="DBDBDB"/>
        <w:docPartObj>
          <w:docPartGallery w:val="Table of Contents"/>
          <w:docPartUnique/>
        </w:docPartObj>
      </w:sdtPr>
      <w:sdtEndPr>
        <w:rPr>
          <w:rFonts w:ascii="宋体" w:hAnsi="宋体"/>
          <w:color w:val="auto"/>
          <w:highlight w:val="none"/>
        </w:rPr>
      </w:sdtEndPr>
      <w:sdtContent>
        <w:p w14:paraId="6AF517CB">
          <w:pPr>
            <w:jc w:val="center"/>
            <w:rPr>
              <w:color w:val="auto"/>
              <w:highlight w:val="none"/>
            </w:rPr>
          </w:pPr>
          <w:r>
            <w:rPr>
              <w:rFonts w:hint="eastAsia"/>
              <w:b/>
              <w:bCs/>
              <w:color w:val="auto"/>
              <w:sz w:val="28"/>
              <w:szCs w:val="28"/>
              <w:highlight w:val="none"/>
            </w:rPr>
            <w:t>目  录</w:t>
          </w:r>
        </w:p>
        <w:p w14:paraId="379D93D8">
          <w:pPr>
            <w:pStyle w:val="47"/>
            <w:tabs>
              <w:tab w:val="right" w:leader="dot" w:pos="9708"/>
            </w:tabs>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4DD92F7">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"_Toc9599" </w:instrText>
          </w:r>
          <w:r>
            <w:rPr>
              <w:color w:val="auto"/>
              <w:highlight w:val="none"/>
            </w:rPr>
            <w:fldChar w:fldCharType="separate"/>
          </w:r>
          <w:r>
            <w:rPr>
              <w:rFonts w:hint="eastAsia"/>
              <w:bCs/>
              <w:color w:val="auto"/>
              <w:kern w:val="2"/>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_Toc9599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2668423C">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"_Toc2841" </w:instrText>
          </w:r>
          <w:r>
            <w:rPr>
              <w:color w:val="auto"/>
              <w:highlight w:val="none"/>
            </w:rPr>
            <w:fldChar w:fldCharType="separate"/>
          </w:r>
          <w:r>
            <w:rPr>
              <w:rFonts w:hint="eastAsia"/>
              <w:bCs/>
              <w:color w:val="auto"/>
              <w:sz w:val="28"/>
              <w:szCs w:val="28"/>
              <w:highlight w:val="none"/>
            </w:rPr>
            <w:t>第二章  供应商须知前附表</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_Toc2841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9C81BE7">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"_Toc9167" </w:instrText>
          </w:r>
          <w:r>
            <w:rPr>
              <w:color w:val="auto"/>
              <w:highlight w:val="none"/>
            </w:rPr>
            <w:fldChar w:fldCharType="separate"/>
          </w:r>
          <w:r>
            <w:rPr>
              <w:rFonts w:hint="eastAsia"/>
              <w:bCs/>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_Toc9167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color w:val="auto"/>
              <w:sz w:val="28"/>
              <w:szCs w:val="28"/>
              <w:highlight w:val="none"/>
            </w:rPr>
            <w:fldChar w:fldCharType="end"/>
          </w:r>
        </w:p>
        <w:p w14:paraId="336BE0FF">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"_Toc17422"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第四章  </w:t>
          </w:r>
          <w:r>
            <w:rPr>
              <w:rFonts w:hint="eastAsia" w:ascii="宋体" w:hAnsi="宋体" w:cs="宋体"/>
              <w:bCs/>
              <w:color w:val="auto"/>
              <w:sz w:val="28"/>
              <w:szCs w:val="28"/>
              <w:highlight w:val="none"/>
            </w:rPr>
            <w:t>合同条款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_Toc17422 \h </w:instrText>
          </w:r>
          <w:r>
            <w:rPr>
              <w:color w:val="auto"/>
              <w:sz w:val="28"/>
              <w:szCs w:val="28"/>
              <w:highlight w:val="none"/>
            </w:rPr>
            <w:fldChar w:fldCharType="separate"/>
          </w:r>
          <w:r>
            <w:rPr>
              <w:color w:val="auto"/>
              <w:sz w:val="28"/>
              <w:szCs w:val="28"/>
              <w:highlight w:val="none"/>
            </w:rPr>
            <w:t>30</w:t>
          </w:r>
          <w:r>
            <w:rPr>
              <w:color w:val="auto"/>
              <w:sz w:val="28"/>
              <w:szCs w:val="28"/>
              <w:highlight w:val="none"/>
            </w:rPr>
            <w:fldChar w:fldCharType="end"/>
          </w:r>
          <w:r>
            <w:rPr>
              <w:color w:val="auto"/>
              <w:sz w:val="28"/>
              <w:szCs w:val="28"/>
              <w:highlight w:val="none"/>
            </w:rPr>
            <w:fldChar w:fldCharType="end"/>
          </w:r>
        </w:p>
        <w:p w14:paraId="692C8B01">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"_Toc10164"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 xml:space="preserve">第五章  </w:t>
          </w:r>
          <w:r>
            <w:rPr>
              <w:rFonts w:hint="eastAsia" w:ascii="宋体" w:hAnsi="宋体" w:cs="宋体"/>
              <w:bCs/>
              <w:color w:val="auto"/>
              <w:sz w:val="28"/>
              <w:szCs w:val="28"/>
              <w:highlight w:val="none"/>
            </w:rPr>
            <w:t>采购需求及技术要求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_Toc10164 \h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7</w:t>
          </w:r>
          <w:r>
            <w:rPr>
              <w:color w:val="auto"/>
              <w:sz w:val="28"/>
              <w:szCs w:val="28"/>
              <w:highlight w:val="none"/>
            </w:rPr>
            <w:fldChar w:fldCharType="end"/>
          </w:r>
          <w:r>
            <w:rPr>
              <w:color w:val="auto"/>
              <w:sz w:val="28"/>
              <w:szCs w:val="28"/>
              <w:highlight w:val="none"/>
            </w:rPr>
            <w:fldChar w:fldCharType="end"/>
          </w:r>
        </w:p>
        <w:p w14:paraId="31217CD4">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"_Toc32387" </w:instrText>
          </w:r>
          <w:r>
            <w:rPr>
              <w:color w:val="auto"/>
              <w:highlight w:val="none"/>
            </w:rPr>
            <w:fldChar w:fldCharType="separate"/>
          </w:r>
          <w:r>
            <w:rPr>
              <w:rFonts w:hint="eastAsia" w:asciiTheme="minorEastAsia" w:hAnsiTheme="minorEastAsia" w:eastAsiaTheme="minorEastAsia" w:cstheme="minorEastAsia"/>
              <w:bCs/>
              <w:color w:val="auto"/>
              <w:sz w:val="28"/>
              <w:szCs w:val="28"/>
              <w:highlight w:val="none"/>
            </w:rPr>
            <w:t>第六章  评标标准及办法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_Toc32387 \h </w:instrText>
          </w:r>
          <w:r>
            <w:rPr>
              <w:color w:val="auto"/>
              <w:sz w:val="28"/>
              <w:szCs w:val="28"/>
              <w:highlight w:val="none"/>
            </w:rPr>
            <w:fldChar w:fldCharType="separate"/>
          </w:r>
          <w:r>
            <w:rPr>
              <w:color w:val="auto"/>
              <w:sz w:val="28"/>
              <w:szCs w:val="28"/>
              <w:highlight w:val="none"/>
            </w:rPr>
            <w:t>3</w:t>
          </w:r>
          <w:r>
            <w:rPr>
              <w:rFonts w:hint="eastAsia"/>
              <w:color w:val="auto"/>
              <w:sz w:val="28"/>
              <w:szCs w:val="28"/>
              <w:highlight w:val="none"/>
              <w:lang w:val="en-US" w:eastAsia="zh-CN"/>
            </w:rPr>
            <w:t>9</w:t>
          </w:r>
          <w:r>
            <w:rPr>
              <w:color w:val="auto"/>
              <w:sz w:val="28"/>
              <w:szCs w:val="28"/>
              <w:highlight w:val="none"/>
            </w:rPr>
            <w:fldChar w:fldCharType="end"/>
          </w:r>
          <w:r>
            <w:rPr>
              <w:color w:val="auto"/>
              <w:sz w:val="28"/>
              <w:szCs w:val="28"/>
              <w:highlight w:val="none"/>
            </w:rPr>
            <w:fldChar w:fldCharType="end"/>
          </w:r>
        </w:p>
        <w:p w14:paraId="2574E6E2">
          <w:pPr>
            <w:pStyle w:val="47"/>
            <w:tabs>
              <w:tab w:val="right" w:leader="dot" w:pos="9708"/>
            </w:tabs>
            <w:spacing w:line="360" w:lineRule="auto"/>
            <w:rPr>
              <w:color w:val="auto"/>
              <w:sz w:val="28"/>
              <w:szCs w:val="28"/>
              <w:highlight w:val="none"/>
            </w:rPr>
          </w:pPr>
          <w:r>
            <w:rPr>
              <w:color w:val="auto"/>
              <w:highlight w:val="none"/>
            </w:rPr>
            <w:fldChar w:fldCharType="begin"/>
          </w:r>
          <w:r>
            <w:rPr>
              <w:color w:val="auto"/>
              <w:highlight w:val="none"/>
            </w:rPr>
            <w:instrText xml:space="preserve"> HYPERLINK \l "_Toc14690" </w:instrText>
          </w:r>
          <w:r>
            <w:rPr>
              <w:color w:val="auto"/>
              <w:highlight w:val="none"/>
            </w:rPr>
            <w:fldChar w:fldCharType="separate"/>
          </w:r>
          <w:r>
            <w:rPr>
              <w:rFonts w:hint="eastAsia" w:ascii="宋体" w:hAnsi="宋体" w:cs="宋体"/>
              <w:bCs/>
              <w:color w:val="auto"/>
              <w:sz w:val="28"/>
              <w:szCs w:val="28"/>
              <w:highlight w:val="none"/>
            </w:rPr>
            <w:t>第七章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_Toc14690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color w:val="auto"/>
              <w:sz w:val="28"/>
              <w:szCs w:val="28"/>
              <w:highlight w:val="none"/>
            </w:rPr>
            <w:fldChar w:fldCharType="end"/>
          </w:r>
        </w:p>
        <w:p w14:paraId="7E6795E9">
          <w:pPr>
            <w:rPr>
              <w:color w:val="auto"/>
              <w:highlight w:val="none"/>
            </w:rPr>
          </w:pPr>
          <w:r>
            <w:rPr>
              <w:color w:val="auto"/>
              <w:highlight w:val="none"/>
            </w:rPr>
            <w:fldChar w:fldCharType="end"/>
          </w:r>
        </w:p>
      </w:sdtContent>
    </w:sdt>
    <w:p w14:paraId="47646746">
      <w:pPr>
        <w:tabs>
          <w:tab w:val="left" w:pos="3921"/>
          <w:tab w:val="center" w:pos="5194"/>
        </w:tabs>
        <w:spacing w:line="600" w:lineRule="auto"/>
        <w:ind w:firstLine="562" w:firstLineChars="200"/>
        <w:jc w:val="left"/>
        <w:rPr>
          <w:rFonts w:ascii="宋体" w:hAnsi="宋体" w:cs="宋体"/>
          <w:b/>
          <w:color w:val="auto"/>
          <w:sz w:val="28"/>
          <w:szCs w:val="28"/>
          <w:highlight w:val="none"/>
        </w:rPr>
        <w:sectPr>
          <w:headerReference r:id="rId3" w:type="default"/>
          <w:footerReference r:id="rId4" w:type="default"/>
          <w:pgSz w:w="11906" w:h="16839"/>
          <w:pgMar w:top="1431" w:right="1111" w:bottom="1156" w:left="1087" w:header="0" w:footer="996" w:gutter="0"/>
          <w:pgNumType w:start="1"/>
          <w:cols w:space="720" w:num="1"/>
        </w:sectPr>
      </w:pPr>
      <w:r>
        <w:rPr>
          <w:rFonts w:hint="eastAsia" w:ascii="宋体" w:hAnsi="宋体" w:cs="宋体"/>
          <w:b/>
          <w:color w:val="auto"/>
          <w:sz w:val="28"/>
          <w:szCs w:val="28"/>
          <w:highlight w:val="none"/>
        </w:rPr>
        <w:tab/>
      </w:r>
    </w:p>
    <w:p w14:paraId="15D33E41">
      <w:pPr>
        <w:tabs>
          <w:tab w:val="left" w:pos="3921"/>
          <w:tab w:val="center" w:pos="5194"/>
        </w:tabs>
        <w:spacing w:line="360" w:lineRule="auto"/>
        <w:jc w:val="center"/>
        <w:outlineLvl w:val="0"/>
        <w:rPr>
          <w:b/>
          <w:bCs/>
          <w:color w:val="auto"/>
          <w:sz w:val="28"/>
          <w:szCs w:val="28"/>
          <w:highlight w:val="none"/>
        </w:rPr>
      </w:pPr>
      <w:bookmarkStart w:id="3" w:name="_Toc9599"/>
      <w:r>
        <w:rPr>
          <w:rFonts w:hint="eastAsia"/>
          <w:b/>
          <w:bCs/>
          <w:color w:val="auto"/>
          <w:sz w:val="28"/>
          <w:szCs w:val="28"/>
          <w:highlight w:val="none"/>
        </w:rPr>
        <w:t>第一章  招标公告</w:t>
      </w:r>
      <w:bookmarkEnd w:id="3"/>
    </w:p>
    <w:p w14:paraId="44856321">
      <w:pPr>
        <w:pStyle w:val="25"/>
        <w:widowControl/>
        <w:spacing w:before="255" w:beforeAutospacing="0" w:after="255" w:afterAutospacing="0" w:line="300" w:lineRule="atLeast"/>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一、项目基本情况</w:t>
      </w:r>
    </w:p>
    <w:p w14:paraId="457F96C2">
      <w:pPr>
        <w:pStyle w:val="25"/>
        <w:widowControl/>
        <w:spacing w:before="75" w:beforeAutospacing="0" w:after="75" w:afterAutospacing="0" w:line="300" w:lineRule="atLeast"/>
        <w:ind w:firstLine="420"/>
        <w:rPr>
          <w:rFonts w:eastAsia="仿宋"/>
          <w:color w:val="auto"/>
          <w:highlight w:val="none"/>
        </w:rPr>
      </w:pPr>
      <w:r>
        <w:rPr>
          <w:rFonts w:ascii="仿宋" w:hAnsi="仿宋" w:eastAsia="仿宋" w:cs="仿宋"/>
          <w:color w:val="auto"/>
          <w:sz w:val="27"/>
          <w:szCs w:val="27"/>
          <w:highlight w:val="none"/>
        </w:rPr>
        <w:t>项目编号：</w:t>
      </w:r>
      <w:r>
        <w:rPr>
          <w:rFonts w:hint="eastAsia" w:ascii="仿宋" w:hAnsi="仿宋" w:eastAsia="仿宋" w:cs="仿宋"/>
          <w:color w:val="auto"/>
          <w:sz w:val="27"/>
          <w:szCs w:val="27"/>
          <w:highlight w:val="none"/>
        </w:rPr>
        <w:t>SSQYZB-CG2026059</w:t>
      </w:r>
    </w:p>
    <w:p w14:paraId="6DD3BD2B">
      <w:pPr>
        <w:pStyle w:val="25"/>
        <w:widowControl/>
        <w:spacing w:before="75" w:beforeAutospacing="0" w:after="75" w:afterAutospacing="0" w:line="300" w:lineRule="atLeast"/>
        <w:ind w:firstLine="420"/>
        <w:rPr>
          <w:rFonts w:eastAsia="仿宋"/>
          <w:color w:val="auto"/>
          <w:highlight w:val="none"/>
        </w:rPr>
      </w:pPr>
      <w:r>
        <w:rPr>
          <w:rFonts w:hint="eastAsia" w:ascii="仿宋" w:hAnsi="仿宋" w:eastAsia="仿宋" w:cs="仿宋"/>
          <w:color w:val="auto"/>
          <w:sz w:val="27"/>
          <w:szCs w:val="27"/>
          <w:highlight w:val="none"/>
        </w:rPr>
        <w:t>项目名称：新疆维吾尔自治区某单位大宗物资采购项目（牛羊肉类）</w:t>
      </w:r>
    </w:p>
    <w:p w14:paraId="4CA66876">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采购方式：公开招标</w:t>
      </w:r>
    </w:p>
    <w:p w14:paraId="1F01C2B1">
      <w:pPr>
        <w:pStyle w:val="25"/>
        <w:widowControl/>
        <w:spacing w:before="75" w:beforeAutospacing="0" w:after="75" w:afterAutospacing="0" w:line="300" w:lineRule="atLeast"/>
        <w:ind w:firstLine="420"/>
        <w:rPr>
          <w:rFonts w:eastAsia="仿宋"/>
          <w:color w:val="auto"/>
          <w:highlight w:val="none"/>
        </w:rPr>
      </w:pPr>
      <w:r>
        <w:rPr>
          <w:rFonts w:hint="eastAsia" w:ascii="仿宋" w:hAnsi="仿宋" w:eastAsia="仿宋" w:cs="仿宋"/>
          <w:color w:val="auto"/>
          <w:sz w:val="27"/>
          <w:szCs w:val="27"/>
          <w:highlight w:val="none"/>
        </w:rPr>
        <w:t>预算金额（元）：3000000</w:t>
      </w:r>
    </w:p>
    <w:p w14:paraId="2DFDC578">
      <w:pPr>
        <w:pStyle w:val="25"/>
        <w:widowControl/>
        <w:spacing w:before="75" w:beforeAutospacing="0" w:after="75" w:afterAutospacing="0"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最高限价（元）：/</w:t>
      </w:r>
    </w:p>
    <w:p w14:paraId="104B1374">
      <w:pPr>
        <w:pStyle w:val="25"/>
        <w:widowControl/>
        <w:spacing w:before="75" w:beforeAutospacing="0" w:after="75" w:afterAutospacing="0" w:line="300" w:lineRule="atLeast"/>
        <w:ind w:firstLine="420"/>
        <w:rPr>
          <w:rFonts w:ascii="仿宋" w:hAnsi="仿宋" w:eastAsia="仿宋" w:cs="仿宋"/>
          <w:color w:val="auto"/>
          <w:sz w:val="27"/>
          <w:szCs w:val="27"/>
          <w:highlight w:val="none"/>
          <w:shd w:val="clear" w:color="auto" w:fill="F7F7F7"/>
        </w:rPr>
      </w:pPr>
      <w:r>
        <w:rPr>
          <w:rFonts w:hint="eastAsia" w:ascii="仿宋" w:hAnsi="仿宋" w:eastAsia="仿宋" w:cs="仿宋"/>
          <w:color w:val="auto"/>
          <w:sz w:val="27"/>
          <w:szCs w:val="27"/>
          <w:highlight w:val="none"/>
        </w:rPr>
        <w:t>采购需求：</w:t>
      </w:r>
      <w:r>
        <w:rPr>
          <w:rFonts w:hint="eastAsia" w:ascii="仿宋" w:hAnsi="仿宋" w:eastAsia="仿宋" w:cs="仿宋"/>
          <w:color w:val="auto"/>
          <w:sz w:val="27"/>
          <w:szCs w:val="27"/>
          <w:highlight w:val="none"/>
          <w:shd w:val="clear" w:color="auto" w:fill="F7F7F7"/>
        </w:rPr>
        <w:br w:type="textWrapping"/>
      </w:r>
      <w:r>
        <w:rPr>
          <w:rFonts w:hint="eastAsia" w:ascii="仿宋" w:hAnsi="仿宋" w:eastAsia="仿宋" w:cs="仿宋"/>
          <w:color w:val="auto"/>
          <w:sz w:val="27"/>
          <w:szCs w:val="27"/>
          <w:highlight w:val="none"/>
          <w:shd w:val="clear" w:color="auto" w:fill="F7F7F7"/>
        </w:rPr>
        <w:t>   标项名称:新疆维吾尔自治区某单位大宗物资采购项目（牛羊肉类）</w:t>
      </w:r>
      <w:r>
        <w:rPr>
          <w:rFonts w:hint="eastAsia" w:ascii="仿宋" w:hAnsi="仿宋" w:eastAsia="仿宋" w:cs="仿宋"/>
          <w:color w:val="auto"/>
          <w:sz w:val="27"/>
          <w:szCs w:val="27"/>
          <w:highlight w:val="none"/>
          <w:shd w:val="clear" w:color="auto" w:fill="F7F7F7"/>
        </w:rPr>
        <w:br w:type="textWrapping"/>
      </w:r>
      <w:r>
        <w:rPr>
          <w:rFonts w:hint="eastAsia" w:ascii="仿宋" w:hAnsi="仿宋" w:eastAsia="仿宋" w:cs="仿宋"/>
          <w:color w:val="auto"/>
          <w:sz w:val="27"/>
          <w:szCs w:val="27"/>
          <w:highlight w:val="none"/>
          <w:shd w:val="clear" w:color="auto" w:fill="F7F7F7"/>
        </w:rPr>
        <w:t>   数量:1</w:t>
      </w:r>
      <w:r>
        <w:rPr>
          <w:rFonts w:hint="eastAsia" w:ascii="仿宋" w:hAnsi="仿宋" w:eastAsia="仿宋" w:cs="仿宋"/>
          <w:color w:val="auto"/>
          <w:sz w:val="27"/>
          <w:szCs w:val="27"/>
          <w:highlight w:val="none"/>
          <w:shd w:val="clear" w:color="auto" w:fill="F7F7F7"/>
        </w:rPr>
        <w:br w:type="textWrapping"/>
      </w:r>
      <w:r>
        <w:rPr>
          <w:rFonts w:hint="eastAsia" w:ascii="仿宋" w:hAnsi="仿宋" w:eastAsia="仿宋" w:cs="仿宋"/>
          <w:color w:val="auto"/>
          <w:sz w:val="27"/>
          <w:szCs w:val="27"/>
          <w:highlight w:val="none"/>
          <w:shd w:val="clear" w:color="auto" w:fill="F7F7F7"/>
        </w:rPr>
        <w:t>   预算金额（元）：3000000</w:t>
      </w:r>
      <w:r>
        <w:rPr>
          <w:rFonts w:hint="eastAsia" w:ascii="仿宋" w:hAnsi="仿宋" w:eastAsia="仿宋" w:cs="仿宋"/>
          <w:color w:val="auto"/>
          <w:sz w:val="27"/>
          <w:szCs w:val="27"/>
          <w:highlight w:val="none"/>
          <w:shd w:val="clear" w:color="auto" w:fill="F7F7F7"/>
        </w:rPr>
        <w:br w:type="textWrapping"/>
      </w:r>
      <w:r>
        <w:rPr>
          <w:rFonts w:hint="eastAsia" w:ascii="仿宋" w:hAnsi="仿宋" w:eastAsia="仿宋" w:cs="仿宋"/>
          <w:color w:val="auto"/>
          <w:sz w:val="27"/>
          <w:szCs w:val="27"/>
          <w:highlight w:val="none"/>
          <w:shd w:val="clear" w:color="auto" w:fill="F7F7F7"/>
        </w:rPr>
        <w:t xml:space="preserve">  单位：批</w:t>
      </w:r>
    </w:p>
    <w:p w14:paraId="4B06A2E1">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shd w:val="clear" w:color="auto" w:fill="F7F7F7"/>
        </w:rPr>
        <w:t>   简要规格描述或项目基本概况介绍、用途：大宗物资采购，牛肉、羊肉及冻肉冻货等。（具体详见采购文件采购需求）</w:t>
      </w:r>
      <w:r>
        <w:rPr>
          <w:rFonts w:hint="eastAsia" w:ascii="仿宋" w:hAnsi="仿宋" w:eastAsia="仿宋" w:cs="仿宋"/>
          <w:color w:val="auto"/>
          <w:sz w:val="27"/>
          <w:szCs w:val="27"/>
          <w:highlight w:val="none"/>
          <w:shd w:val="clear" w:color="auto" w:fill="F7F7F7"/>
        </w:rPr>
        <w:br w:type="textWrapping"/>
      </w:r>
      <w:r>
        <w:rPr>
          <w:rFonts w:hint="eastAsia" w:ascii="仿宋" w:hAnsi="仿宋" w:eastAsia="仿宋" w:cs="仿宋"/>
          <w:color w:val="auto"/>
          <w:sz w:val="27"/>
          <w:szCs w:val="27"/>
          <w:highlight w:val="none"/>
          <w:shd w:val="clear" w:color="auto" w:fill="F7F7F7"/>
        </w:rPr>
        <w:t>   备注：/</w:t>
      </w:r>
    </w:p>
    <w:p w14:paraId="2C1484B4">
      <w:pPr>
        <w:pStyle w:val="25"/>
        <w:widowControl/>
        <w:spacing w:before="75" w:beforeAutospacing="0" w:after="75" w:afterAutospacing="0"/>
        <w:rPr>
          <w:color w:val="auto"/>
          <w:highlight w:val="none"/>
        </w:rPr>
      </w:pPr>
      <w:r>
        <w:rPr>
          <w:rFonts w:hint="eastAsia" w:ascii="仿宋" w:hAnsi="仿宋" w:eastAsia="仿宋" w:cs="仿宋"/>
          <w:color w:val="auto"/>
          <w:sz w:val="27"/>
          <w:szCs w:val="27"/>
          <w:highlight w:val="none"/>
          <w:shd w:val="clear" w:color="auto" w:fill="F7F7F7"/>
        </w:rPr>
        <w:t xml:space="preserve">  </w:t>
      </w:r>
    </w:p>
    <w:p w14:paraId="7B8E3769">
      <w:pPr>
        <w:pStyle w:val="25"/>
        <w:widowControl/>
        <w:spacing w:before="75" w:beforeAutospacing="0" w:after="75" w:afterAutospacing="0" w:line="300" w:lineRule="atLeast"/>
        <w:ind w:firstLine="420"/>
        <w:rPr>
          <w:rFonts w:eastAsia="仿宋"/>
          <w:color w:val="auto"/>
          <w:highlight w:val="none"/>
        </w:rPr>
      </w:pPr>
      <w:r>
        <w:rPr>
          <w:rFonts w:hint="eastAsia" w:ascii="仿宋" w:hAnsi="仿宋" w:eastAsia="仿宋" w:cs="仿宋"/>
          <w:color w:val="auto"/>
          <w:sz w:val="27"/>
          <w:szCs w:val="27"/>
          <w:highlight w:val="none"/>
        </w:rPr>
        <w:t>合同履约期限：标项1，自合同生效之日起一年</w:t>
      </w:r>
    </w:p>
    <w:p w14:paraId="1DA2C97F">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本项目（否）接受联合体投标。</w:t>
      </w:r>
    </w:p>
    <w:p w14:paraId="25B0D7DC">
      <w:pPr>
        <w:pStyle w:val="25"/>
        <w:widowControl/>
        <w:spacing w:before="75" w:beforeAutospacing="0" w:after="75" w:afterAutospacing="0" w:line="300" w:lineRule="atLeast"/>
        <w:rPr>
          <w:color w:val="auto"/>
          <w:highlight w:val="none"/>
        </w:rPr>
      </w:pPr>
    </w:p>
    <w:p w14:paraId="284B1061">
      <w:pPr>
        <w:pStyle w:val="25"/>
        <w:widowControl/>
        <w:spacing w:before="75" w:beforeAutospacing="0" w:after="75" w:afterAutospacing="0" w:line="300" w:lineRule="atLeast"/>
        <w:rPr>
          <w:color w:val="auto"/>
          <w:highlight w:val="none"/>
        </w:rPr>
      </w:pPr>
      <w:r>
        <w:rPr>
          <w:rStyle w:val="32"/>
          <w:rFonts w:ascii="黑体" w:hAnsi="宋体" w:eastAsia="黑体" w:cs="黑体"/>
          <w:color w:val="auto"/>
          <w:sz w:val="27"/>
          <w:szCs w:val="27"/>
          <w:highlight w:val="none"/>
        </w:rPr>
        <w:t>二、申请人的资格要求：</w:t>
      </w:r>
    </w:p>
    <w:p w14:paraId="66902D5A">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1.满足《中华人民共和国政府采购法》第二十二条规定；</w:t>
      </w:r>
    </w:p>
    <w:p w14:paraId="34C56986">
      <w:pPr>
        <w:pStyle w:val="25"/>
        <w:widowControl/>
        <w:spacing w:before="75" w:beforeAutospacing="0" w:after="75" w:afterAutospacing="0" w:line="300" w:lineRule="atLeast"/>
        <w:ind w:firstLine="420"/>
        <w:rPr>
          <w:rFonts w:eastAsia="仿宋"/>
          <w:color w:val="auto"/>
          <w:highlight w:val="none"/>
        </w:rPr>
      </w:pPr>
      <w:r>
        <w:rPr>
          <w:rFonts w:hint="eastAsia" w:ascii="仿宋" w:hAnsi="仿宋" w:eastAsia="仿宋" w:cs="仿宋"/>
          <w:color w:val="auto"/>
          <w:sz w:val="27"/>
          <w:szCs w:val="27"/>
          <w:highlight w:val="none"/>
        </w:rPr>
        <w:t>2.落实政府采购政策需满足的资格要求：本项目专门面向中小企业采购。</w:t>
      </w:r>
    </w:p>
    <w:p w14:paraId="465F4005">
      <w:pPr>
        <w:pStyle w:val="25"/>
        <w:widowControl/>
        <w:spacing w:before="75" w:beforeAutospacing="0" w:after="75" w:afterAutospacing="0"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3.本项目的特定资格要求：无</w:t>
      </w:r>
    </w:p>
    <w:p w14:paraId="40124854">
      <w:pPr>
        <w:pStyle w:val="25"/>
        <w:widowControl/>
        <w:spacing w:before="255" w:beforeAutospacing="0" w:after="255" w:afterAutospacing="0" w:line="300" w:lineRule="atLeast"/>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三、获取</w:t>
      </w:r>
      <w:r>
        <w:rPr>
          <w:rStyle w:val="32"/>
          <w:rFonts w:hint="eastAsia" w:ascii="黑体" w:hAnsi="宋体" w:eastAsia="黑体" w:cs="黑体"/>
          <w:color w:val="auto"/>
          <w:sz w:val="27"/>
          <w:szCs w:val="27"/>
          <w:highlight w:val="none"/>
        </w:rPr>
        <w:t>采购文件</w:t>
      </w:r>
    </w:p>
    <w:p w14:paraId="29452C03">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时间：2026年05月25日至2026年06月04日，每天上午00:00至14:00，下午14:00至23:59（北京时间）</w:t>
      </w:r>
    </w:p>
    <w:p w14:paraId="66CF4159">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地点：政采云平台（https://login.zcygov.cn/user-login/#/login）</w:t>
      </w:r>
    </w:p>
    <w:p w14:paraId="1A7D623C">
      <w:pPr>
        <w:pStyle w:val="25"/>
        <w:widowControl/>
        <w:spacing w:before="75" w:beforeAutospacing="0" w:after="75" w:afterAutospacing="0" w:line="300" w:lineRule="atLeast"/>
        <w:ind w:firstLine="42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方式：供应商登录政采云平台https://www.zcygov.cn/在线申请获取采购文件（进入“项目采购”应用，在获取采购文件菜单中选择项目，申请获取采购文件</w:t>
      </w:r>
    </w:p>
    <w:p w14:paraId="49DE0625">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售价（元）：0</w:t>
      </w:r>
    </w:p>
    <w:p w14:paraId="7F121536">
      <w:pPr>
        <w:pStyle w:val="25"/>
        <w:widowControl/>
        <w:spacing w:before="255" w:beforeAutospacing="0" w:after="255" w:afterAutospacing="0" w:line="300" w:lineRule="atLeast"/>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四、提交</w:t>
      </w:r>
      <w:r>
        <w:rPr>
          <w:rStyle w:val="32"/>
          <w:rFonts w:hint="eastAsia" w:ascii="黑体" w:hAnsi="宋体" w:eastAsia="黑体" w:cs="黑体"/>
          <w:color w:val="auto"/>
          <w:sz w:val="27"/>
          <w:szCs w:val="27"/>
          <w:highlight w:val="none"/>
        </w:rPr>
        <w:t>响应文件</w:t>
      </w:r>
      <w:r>
        <w:rPr>
          <w:rStyle w:val="32"/>
          <w:rFonts w:ascii="黑体" w:hAnsi="宋体" w:eastAsia="黑体" w:cs="黑体"/>
          <w:color w:val="auto"/>
          <w:sz w:val="27"/>
          <w:szCs w:val="27"/>
          <w:highlight w:val="none"/>
        </w:rPr>
        <w:t>截止时间、开标时间和地点</w:t>
      </w:r>
    </w:p>
    <w:p w14:paraId="4CECF93C">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提交响应文件截止时间：2026年06月17日 11:00（北京时间）</w:t>
      </w:r>
    </w:p>
    <w:p w14:paraId="2E63FCE2">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投标地点：请登录政采云投标客户端投标</w:t>
      </w:r>
    </w:p>
    <w:p w14:paraId="14CCB5C7">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开标时间：2026年06月17日 11:00（北京时间）</w:t>
      </w:r>
    </w:p>
    <w:p w14:paraId="2AE32B17">
      <w:pPr>
        <w:pStyle w:val="25"/>
        <w:widowControl/>
        <w:spacing w:before="75" w:beforeAutospacing="0" w:after="75" w:afterAutospacing="0" w:line="300" w:lineRule="atLeast"/>
        <w:ind w:firstLine="420"/>
        <w:rPr>
          <w:color w:val="auto"/>
          <w:highlight w:val="none"/>
        </w:rPr>
      </w:pPr>
      <w:r>
        <w:rPr>
          <w:rFonts w:hint="eastAsia" w:ascii="仿宋" w:hAnsi="仿宋" w:eastAsia="仿宋" w:cs="仿宋"/>
          <w:color w:val="auto"/>
          <w:sz w:val="27"/>
          <w:szCs w:val="27"/>
          <w:highlight w:val="none"/>
        </w:rPr>
        <w:t>开标地点：投标人登录政采云平台https://www.zcygov.cn/，进入“项目采购-开标评标-右边选择对应项目点击“进入项目”进入开标大厅。</w:t>
      </w:r>
    </w:p>
    <w:p w14:paraId="6D609F8F">
      <w:pPr>
        <w:pStyle w:val="25"/>
        <w:widowControl/>
        <w:spacing w:before="255" w:beforeAutospacing="0" w:after="255" w:afterAutospacing="0" w:line="300" w:lineRule="atLeast"/>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五、公告期限</w:t>
      </w:r>
    </w:p>
    <w:p w14:paraId="52DB36E4">
      <w:pPr>
        <w:pStyle w:val="25"/>
        <w:widowControl/>
        <w:spacing w:before="75" w:beforeAutospacing="0" w:after="75" w:afterAutospacing="0"/>
        <w:ind w:firstLine="420"/>
        <w:rPr>
          <w:color w:val="auto"/>
          <w:highlight w:val="none"/>
        </w:rPr>
      </w:pPr>
      <w:r>
        <w:rPr>
          <w:rFonts w:hint="eastAsia" w:ascii="仿宋" w:hAnsi="仿宋" w:eastAsia="仿宋" w:cs="仿宋"/>
          <w:color w:val="auto"/>
          <w:sz w:val="27"/>
          <w:szCs w:val="27"/>
          <w:highlight w:val="none"/>
        </w:rPr>
        <w:t>自本公告发布之日起5个工作日。</w:t>
      </w:r>
    </w:p>
    <w:p w14:paraId="557131E6">
      <w:pPr>
        <w:pStyle w:val="25"/>
        <w:widowControl/>
        <w:spacing w:before="255" w:beforeAutospacing="0" w:after="255" w:afterAutospacing="0" w:line="300" w:lineRule="atLeast"/>
        <w:rPr>
          <w:rFonts w:ascii="黑体" w:hAnsi="宋体" w:eastAsia="黑体" w:cs="黑体"/>
          <w:color w:val="auto"/>
          <w:sz w:val="27"/>
          <w:szCs w:val="27"/>
          <w:highlight w:val="none"/>
        </w:rPr>
      </w:pPr>
      <w:r>
        <w:rPr>
          <w:rStyle w:val="32"/>
          <w:rFonts w:ascii="黑体" w:hAnsi="宋体" w:eastAsia="黑体" w:cs="黑体"/>
          <w:color w:val="auto"/>
          <w:sz w:val="27"/>
          <w:szCs w:val="27"/>
          <w:highlight w:val="none"/>
        </w:rPr>
        <w:t>六、其他补充事宜</w:t>
      </w:r>
    </w:p>
    <w:p w14:paraId="55801CBF">
      <w:pPr>
        <w:pStyle w:val="25"/>
        <w:widowControl/>
        <w:spacing w:before="75" w:beforeAutospacing="0" w:after="75" w:afterAutospacing="0" w:line="315" w:lineRule="atLeast"/>
        <w:ind w:firstLine="540" w:firstLineChars="20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1.本项目采用全流程不见面电子开评标，投标供应商需要使用CA加密设备，供应商可通过新疆数字证书认证中心官网（https://www.xjca.com.cn/）或下载“新疆政务通”APP自行进行申领。</w:t>
      </w:r>
    </w:p>
    <w:p w14:paraId="4B3B735A">
      <w:pPr>
        <w:pStyle w:val="25"/>
        <w:widowControl/>
        <w:spacing w:before="75" w:beforeAutospacing="0" w:after="75" w:afterAutospacing="0" w:line="315" w:lineRule="atLeast"/>
        <w:ind w:firstLine="540" w:firstLineChars="20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2.本项目实行网上投标，采用加密电子响应文件(供应商须使用CA加密设备通过政采云电子投标客户端制作响应文件)。若供应商参与投标，自行承担投标一切费用。</w:t>
      </w:r>
    </w:p>
    <w:p w14:paraId="767B7E0E">
      <w:pPr>
        <w:pStyle w:val="25"/>
        <w:widowControl/>
        <w:spacing w:before="75" w:beforeAutospacing="0" w:after="75" w:afterAutospacing="0" w:line="315" w:lineRule="atLeast"/>
        <w:ind w:firstLine="540" w:firstLineChars="20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p>
    <w:p w14:paraId="33F92AEC">
      <w:pPr>
        <w:pStyle w:val="25"/>
        <w:widowControl/>
        <w:spacing w:before="75" w:beforeAutospacing="0" w:after="75" w:afterAutospacing="0" w:line="315" w:lineRule="atLeast"/>
        <w:ind w:firstLine="540" w:firstLineChars="200"/>
        <w:jc w:val="left"/>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14:paraId="7D81E3A1">
      <w:pPr>
        <w:pStyle w:val="25"/>
        <w:widowControl/>
        <w:spacing w:before="75" w:beforeAutospacing="0" w:after="75" w:afterAutospacing="0" w:line="315" w:lineRule="atLeast"/>
        <w:ind w:firstLine="540" w:firstLineChars="20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5.供应商在开标时须使用制作加密电子响应文件所使用的CA锁及电脑，电脑须提前配置好浏览器（建议使用谷歌浏览器），以便开标时解锁。</w:t>
      </w:r>
    </w:p>
    <w:p w14:paraId="42EC5136">
      <w:pPr>
        <w:pStyle w:val="25"/>
        <w:widowControl/>
        <w:spacing w:before="75" w:beforeAutospacing="0" w:after="75" w:afterAutospacing="0" w:line="315" w:lineRule="atLeast"/>
        <w:ind w:firstLine="540" w:firstLineChars="200"/>
        <w:rPr>
          <w:rFonts w:ascii="仿宋" w:hAnsi="仿宋" w:eastAsia="仿宋" w:cs="仿宋"/>
          <w:color w:val="auto"/>
          <w:sz w:val="27"/>
          <w:szCs w:val="27"/>
          <w:highlight w:val="none"/>
        </w:rPr>
      </w:pPr>
      <w:r>
        <w:rPr>
          <w:rFonts w:hint="eastAsia" w:ascii="仿宋" w:hAnsi="仿宋" w:eastAsia="仿宋" w:cs="仿宋"/>
          <w:color w:val="auto"/>
          <w:sz w:val="27"/>
          <w:szCs w:val="27"/>
          <w:highlight w:val="none"/>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4DC901F7">
      <w:pPr>
        <w:pStyle w:val="25"/>
        <w:widowControl/>
        <w:spacing w:before="75" w:beforeAutospacing="0" w:after="75" w:afterAutospacing="0" w:line="315" w:lineRule="atLeast"/>
        <w:ind w:firstLine="540" w:firstLineChars="200"/>
        <w:rPr>
          <w:color w:val="auto"/>
          <w:highlight w:val="none"/>
        </w:rPr>
      </w:pPr>
      <w:r>
        <w:rPr>
          <w:rFonts w:hint="eastAsia" w:ascii="仿宋" w:hAnsi="仿宋" w:eastAsia="仿宋" w:cs="仿宋"/>
          <w:color w:val="auto"/>
          <w:sz w:val="27"/>
          <w:szCs w:val="27"/>
          <w:highlight w:val="none"/>
        </w:rPr>
        <w:t>7.为了保证开评标顺利进行，政采云线上开标功能完全实现，供应商开标所使用的电脑设备须具有视频及语音功能。</w:t>
      </w:r>
    </w:p>
    <w:p w14:paraId="19451BFE">
      <w:pPr>
        <w:pStyle w:val="25"/>
        <w:widowControl/>
        <w:spacing w:before="75" w:beforeAutospacing="0" w:after="75" w:afterAutospacing="0"/>
        <w:rPr>
          <w:color w:val="auto"/>
          <w:highlight w:val="none"/>
        </w:rPr>
      </w:pPr>
      <w:r>
        <w:rPr>
          <w:color w:val="auto"/>
          <w:highlight w:val="none"/>
        </w:rPr>
        <w:t>特别提示：</w:t>
      </w:r>
    </w:p>
    <w:p w14:paraId="2AB45E83">
      <w:pPr>
        <w:pStyle w:val="25"/>
        <w:widowControl/>
        <w:spacing w:before="75" w:beforeAutospacing="0" w:after="75" w:afterAutospacing="0"/>
        <w:rPr>
          <w:color w:val="auto"/>
          <w:highlight w:val="none"/>
        </w:rPr>
      </w:pPr>
      <w:r>
        <w:rPr>
          <w:color w:val="auto"/>
          <w:highlight w:val="none"/>
        </w:rPr>
        <w:t>1、采购限额标准以上，200万元以下的货物和服务采购项目、400万元以下的工程采购项目，适宜由中小企业提供的，采购人应当</w:t>
      </w:r>
      <w:r>
        <w:rPr>
          <w:rFonts w:hint="eastAsia"/>
          <w:color w:val="auto"/>
          <w:highlight w:val="none"/>
        </w:rPr>
        <w:t>本项目专门面向中小企业采购，参加本次采购的供应商需提供《中小企业声明函》。</w:t>
      </w:r>
      <w:r>
        <w:rPr>
          <w:color w:val="auto"/>
          <w:highlight w:val="none"/>
        </w:rPr>
        <w:t>采购。</w:t>
      </w:r>
    </w:p>
    <w:p w14:paraId="4A8E4306">
      <w:pPr>
        <w:pStyle w:val="25"/>
        <w:widowControl/>
        <w:spacing w:before="75" w:beforeAutospacing="0" w:after="75" w:afterAutospacing="0"/>
        <w:rPr>
          <w:color w:val="auto"/>
          <w:highlight w:val="none"/>
        </w:rPr>
      </w:pPr>
      <w:r>
        <w:rPr>
          <w:color w:val="auto"/>
          <w:highlight w:val="none"/>
        </w:rPr>
        <w:t>2、超过200万元的货物和服务采购项目，预留该部分采购项目预算总额的30%以上</w:t>
      </w:r>
      <w:r>
        <w:rPr>
          <w:rFonts w:hint="eastAsia"/>
          <w:color w:val="auto"/>
          <w:highlight w:val="none"/>
        </w:rPr>
        <w:t>本项目专门面向中小企业采购，参加本次采购的供应商需提供《中小企业声明函》。</w:t>
      </w:r>
      <w:r>
        <w:rPr>
          <w:color w:val="auto"/>
          <w:highlight w:val="none"/>
        </w:rPr>
        <w:t>采购，其中预留给小微企业的比例不低于60</w:t>
      </w:r>
      <w:r>
        <w:rPr>
          <w:rFonts w:hint="eastAsia"/>
          <w:color w:val="auto"/>
          <w:highlight w:val="none"/>
        </w:rPr>
        <w:t>%</w:t>
      </w:r>
      <w:r>
        <w:rPr>
          <w:color w:val="auto"/>
          <w:highlight w:val="none"/>
        </w:rPr>
        <w:t>。</w:t>
      </w:r>
    </w:p>
    <w:p w14:paraId="02A12A5F">
      <w:pPr>
        <w:pStyle w:val="25"/>
        <w:widowControl/>
        <w:spacing w:before="75" w:beforeAutospacing="0" w:after="75" w:afterAutospacing="0"/>
        <w:rPr>
          <w:color w:val="auto"/>
          <w:highlight w:val="none"/>
        </w:rPr>
      </w:pPr>
      <w:r>
        <w:rPr>
          <w:color w:val="auto"/>
          <w:highlight w:val="none"/>
        </w:rPr>
        <w:t>3、超过400万元的工程采购项目中适宜由中小企业提供的，预留该部分采购项目预算总额的40%以上</w:t>
      </w:r>
      <w:r>
        <w:rPr>
          <w:rFonts w:hint="eastAsia"/>
          <w:color w:val="auto"/>
          <w:highlight w:val="none"/>
        </w:rPr>
        <w:t>本项目专门面向中小企业采购，参加本次采购的供应商需提供《中小企业声明函》。</w:t>
      </w:r>
      <w:r>
        <w:rPr>
          <w:color w:val="auto"/>
          <w:highlight w:val="none"/>
        </w:rPr>
        <w:t>采购，其中预留给小微企业的比例不低于60%。</w:t>
      </w:r>
    </w:p>
    <w:p w14:paraId="05D31B4C">
      <w:pPr>
        <w:pStyle w:val="25"/>
        <w:widowControl/>
        <w:spacing w:before="75" w:beforeAutospacing="0" w:after="75" w:afterAutospacing="0"/>
        <w:rPr>
          <w:color w:val="auto"/>
          <w:highlight w:val="none"/>
        </w:rPr>
      </w:pPr>
      <w:r>
        <w:rPr>
          <w:color w:val="auto"/>
          <w:highlight w:val="none"/>
        </w:rPr>
        <w:t>4、对于未预留份额</w:t>
      </w:r>
      <w:r>
        <w:rPr>
          <w:rFonts w:hint="eastAsia"/>
          <w:color w:val="auto"/>
          <w:highlight w:val="none"/>
        </w:rPr>
        <w:t>本项目专门面向中小企业采购，参加本次采购的供应商需提供《中小企业声明函》。</w:t>
      </w:r>
      <w:r>
        <w:rPr>
          <w:color w:val="auto"/>
          <w:highlight w:val="none"/>
        </w:rPr>
        <w:t>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B5E73D9">
      <w:pPr>
        <w:pStyle w:val="25"/>
        <w:widowControl/>
        <w:spacing w:before="75" w:beforeAutospacing="0" w:after="75" w:afterAutospacing="0"/>
        <w:rPr>
          <w:color w:val="auto"/>
          <w:highlight w:val="none"/>
        </w:rPr>
      </w:pPr>
      <w:r>
        <w:rPr>
          <w:color w:val="auto"/>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64FC3CC">
      <w:pPr>
        <w:pStyle w:val="25"/>
        <w:widowControl/>
        <w:spacing w:before="255" w:beforeAutospacing="0" w:after="255" w:afterAutospacing="0" w:line="480" w:lineRule="atLeast"/>
        <w:rPr>
          <w:rFonts w:ascii="黑体" w:hAnsi="宋体" w:eastAsia="黑体" w:cs="黑体"/>
          <w:color w:val="auto"/>
          <w:sz w:val="31"/>
          <w:szCs w:val="31"/>
          <w:highlight w:val="none"/>
        </w:rPr>
      </w:pPr>
      <w:r>
        <w:rPr>
          <w:rStyle w:val="32"/>
          <w:rFonts w:ascii="黑体" w:hAnsi="宋体" w:eastAsia="黑体" w:cs="黑体"/>
          <w:color w:val="auto"/>
          <w:sz w:val="27"/>
          <w:szCs w:val="27"/>
          <w:highlight w:val="none"/>
        </w:rPr>
        <w:t>七、对本次采购提出询问，请按以下方式联系</w:t>
      </w:r>
    </w:p>
    <w:p w14:paraId="0444287A">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1.采购人信息</w:t>
      </w:r>
    </w:p>
    <w:p w14:paraId="069C3C95">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名 称：</w:t>
      </w:r>
      <w:r>
        <w:rPr>
          <w:rStyle w:val="35"/>
          <w:rFonts w:hint="eastAsia" w:ascii="仿宋" w:hAnsi="仿宋" w:eastAsia="仿宋" w:cs="仿宋"/>
          <w:color w:val="auto"/>
          <w:sz w:val="27"/>
          <w:szCs w:val="27"/>
          <w:highlight w:val="none"/>
        </w:rPr>
        <w:t>新疆维吾尔自治区某单位</w:t>
      </w:r>
    </w:p>
    <w:p w14:paraId="522228D6">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地 址：新疆乌鲁木齐市</w:t>
      </w:r>
    </w:p>
    <w:p w14:paraId="58CD3024">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联系方式：0991-5537188</w:t>
      </w:r>
    </w:p>
    <w:p w14:paraId="3BC1580C">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2.采购代理机构信息</w:t>
      </w:r>
    </w:p>
    <w:p w14:paraId="07E356F3">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名 称：新疆盛世乾元工程项目管理咨询有限公司</w:t>
      </w:r>
    </w:p>
    <w:p w14:paraId="0081D0F3">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地 址：新疆乌鲁木齐市水磨沟区南湖北路1956号亚欧财富广场A座1603室</w:t>
      </w:r>
    </w:p>
    <w:p w14:paraId="374B997B">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联系方式：蔡海涛、任广文、董乐 0991-4659594</w:t>
      </w:r>
    </w:p>
    <w:p w14:paraId="4E56B88D">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3.项目联系方式</w:t>
      </w:r>
    </w:p>
    <w:p w14:paraId="159C5350">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项目联系人：</w:t>
      </w:r>
      <w:r>
        <w:rPr>
          <w:rStyle w:val="35"/>
          <w:rFonts w:hint="eastAsia" w:ascii="仿宋" w:hAnsi="仿宋" w:eastAsia="仿宋" w:cs="仿宋"/>
          <w:color w:val="auto"/>
          <w:sz w:val="27"/>
          <w:szCs w:val="27"/>
          <w:highlight w:val="none"/>
        </w:rPr>
        <w:t xml:space="preserve">蔡海涛、任广文、董乐 </w:t>
      </w:r>
    </w:p>
    <w:p w14:paraId="718DCF05">
      <w:pPr>
        <w:pStyle w:val="25"/>
        <w:widowControl/>
        <w:spacing w:before="75" w:beforeAutospacing="0" w:after="75" w:afterAutospacing="0"/>
        <w:ind w:firstLine="420"/>
        <w:rPr>
          <w:rFonts w:ascii="仿宋" w:hAnsi="仿宋" w:eastAsia="仿宋" w:cs="仿宋"/>
          <w:color w:val="auto"/>
          <w:highlight w:val="none"/>
        </w:rPr>
      </w:pPr>
      <w:r>
        <w:rPr>
          <w:rFonts w:hint="eastAsia" w:ascii="仿宋" w:hAnsi="仿宋" w:eastAsia="仿宋" w:cs="仿宋"/>
          <w:color w:val="auto"/>
          <w:sz w:val="27"/>
          <w:szCs w:val="27"/>
          <w:highlight w:val="none"/>
        </w:rPr>
        <w:t>电 话：</w:t>
      </w:r>
      <w:r>
        <w:rPr>
          <w:rStyle w:val="35"/>
          <w:rFonts w:hint="eastAsia" w:ascii="仿宋" w:hAnsi="仿宋" w:eastAsia="仿宋" w:cs="仿宋"/>
          <w:color w:val="auto"/>
          <w:sz w:val="27"/>
          <w:szCs w:val="27"/>
          <w:highlight w:val="none"/>
        </w:rPr>
        <w:t>0991-4659594、18129205025</w:t>
      </w:r>
    </w:p>
    <w:p w14:paraId="73956980">
      <w:pPr>
        <w:pStyle w:val="25"/>
        <w:widowControl/>
        <w:spacing w:before="75" w:beforeAutospacing="0" w:after="75" w:afterAutospacing="0"/>
        <w:rPr>
          <w:color w:val="auto"/>
          <w:highlight w:val="none"/>
        </w:rPr>
      </w:pPr>
    </w:p>
    <w:p w14:paraId="74EF9A8A">
      <w:pPr>
        <w:rPr>
          <w:b/>
          <w:bCs/>
          <w:color w:val="auto"/>
          <w:sz w:val="28"/>
          <w:szCs w:val="28"/>
          <w:highlight w:val="none"/>
        </w:rPr>
      </w:pPr>
      <w:r>
        <w:rPr>
          <w:rFonts w:hint="eastAsia"/>
          <w:b/>
          <w:bCs/>
          <w:color w:val="auto"/>
          <w:sz w:val="28"/>
          <w:szCs w:val="28"/>
          <w:highlight w:val="none"/>
        </w:rPr>
        <w:br w:type="page"/>
      </w:r>
    </w:p>
    <w:p w14:paraId="360F8D17">
      <w:pPr>
        <w:pStyle w:val="2"/>
        <w:spacing w:line="360" w:lineRule="auto"/>
        <w:ind w:firstLine="0" w:firstLineChars="0"/>
        <w:jc w:val="center"/>
        <w:outlineLvl w:val="0"/>
        <w:rPr>
          <w:b/>
          <w:bCs/>
          <w:color w:val="auto"/>
          <w:sz w:val="28"/>
          <w:szCs w:val="28"/>
          <w:highlight w:val="none"/>
        </w:rPr>
      </w:pPr>
      <w:bookmarkStart w:id="4" w:name="_Toc2841"/>
      <w:r>
        <w:rPr>
          <w:rFonts w:hint="eastAsia"/>
          <w:b/>
          <w:bCs/>
          <w:color w:val="auto"/>
          <w:sz w:val="28"/>
          <w:szCs w:val="28"/>
          <w:highlight w:val="none"/>
        </w:rPr>
        <w:t>第二章  供应商须知前附表</w:t>
      </w:r>
      <w:bookmarkEnd w:id="4"/>
    </w:p>
    <w:tbl>
      <w:tblPr>
        <w:tblStyle w:val="29"/>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4669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2728A8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5A67B4C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内容</w:t>
            </w:r>
          </w:p>
        </w:tc>
      </w:tr>
      <w:tr w14:paraId="2D8E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3D0626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259BDE3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bookmarkStart w:id="5" w:name="OLE_LINK2"/>
            <w:r>
              <w:rPr>
                <w:rFonts w:hint="eastAsia" w:asciiTheme="minorEastAsia" w:hAnsiTheme="minorEastAsia" w:eastAsiaTheme="minorEastAsia" w:cstheme="minorEastAsia"/>
                <w:color w:val="auto"/>
                <w:sz w:val="24"/>
                <w:highlight w:val="none"/>
              </w:rPr>
              <w:t>项目名称：</w:t>
            </w:r>
            <w:bookmarkEnd w:id="5"/>
            <w:r>
              <w:rPr>
                <w:rFonts w:hint="eastAsia" w:asciiTheme="minorEastAsia" w:hAnsiTheme="minorEastAsia" w:eastAsiaTheme="minorEastAsia" w:cstheme="minorEastAsia"/>
                <w:color w:val="auto"/>
                <w:sz w:val="24"/>
                <w:highlight w:val="none"/>
              </w:rPr>
              <w:t>新疆维吾尔自治区某单位大宗物资采购项目（牛羊肉类）</w:t>
            </w:r>
          </w:p>
          <w:p w14:paraId="7978307E">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Theme="minorEastAsia" w:hAnsiTheme="minorEastAsia" w:eastAsiaTheme="minorEastAsia" w:cstheme="minorEastAsia"/>
                <w:color w:val="auto"/>
                <w:sz w:val="24"/>
                <w:highlight w:val="none"/>
              </w:rPr>
              <w:t>项目编号：SSQYZB-CG2026059</w:t>
            </w:r>
          </w:p>
        </w:tc>
      </w:tr>
      <w:tr w14:paraId="2E8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2EDF21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8158" w:type="dxa"/>
            <w:tcBorders>
              <w:top w:val="single" w:color="auto" w:sz="4" w:space="0"/>
              <w:left w:val="single" w:color="auto" w:sz="4" w:space="0"/>
              <w:bottom w:val="single" w:color="auto" w:sz="4" w:space="0"/>
              <w:right w:val="single" w:color="auto" w:sz="4" w:space="0"/>
            </w:tcBorders>
            <w:vAlign w:val="center"/>
          </w:tcPr>
          <w:p w14:paraId="2910DE08">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采购单位：新疆维吾尔自治区某单位</w:t>
            </w:r>
          </w:p>
          <w:p w14:paraId="3CE4E662">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联系人：陆先生</w:t>
            </w:r>
          </w:p>
          <w:p w14:paraId="4DC09FC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color w:val="auto"/>
                <w:sz w:val="24"/>
                <w:highlight w:val="none"/>
              </w:rPr>
              <w:t>联系电话：0991-5537188</w:t>
            </w:r>
          </w:p>
        </w:tc>
      </w:tr>
      <w:tr w14:paraId="50FD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CD066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8158" w:type="dxa"/>
            <w:tcBorders>
              <w:top w:val="single" w:color="auto" w:sz="4" w:space="0"/>
              <w:left w:val="single" w:color="auto" w:sz="4" w:space="0"/>
              <w:bottom w:val="single" w:color="auto" w:sz="4" w:space="0"/>
              <w:right w:val="single" w:color="auto" w:sz="4" w:space="0"/>
            </w:tcBorders>
            <w:vAlign w:val="center"/>
          </w:tcPr>
          <w:p w14:paraId="033C02B4">
            <w:pPr>
              <w:keepNext w:val="0"/>
              <w:keepLines w:val="0"/>
              <w:suppressLineNumbers w:val="0"/>
              <w:spacing w:before="0" w:beforeAutospacing="0" w:after="0" w:afterAutospacing="0" w:line="360" w:lineRule="auto"/>
              <w:ind w:left="1680" w:right="0" w:hanging="1680" w:hangingChars="700"/>
              <w:rPr>
                <w:rFonts w:hint="default"/>
                <w:color w:val="auto"/>
                <w:sz w:val="24"/>
                <w:highlight w:val="none"/>
              </w:rPr>
            </w:pPr>
            <w:r>
              <w:rPr>
                <w:rFonts w:hint="eastAsia"/>
                <w:color w:val="auto"/>
                <w:sz w:val="24"/>
                <w:highlight w:val="none"/>
              </w:rPr>
              <w:t>采购代理机构：新疆盛世乾元工程项目管理咨询有限公司</w:t>
            </w:r>
          </w:p>
          <w:p w14:paraId="584265B5">
            <w:pPr>
              <w:pStyle w:val="2"/>
              <w:spacing w:line="360" w:lineRule="auto"/>
              <w:ind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联系人：蔡海涛、任广文、董乐</w:t>
            </w:r>
          </w:p>
          <w:p w14:paraId="1E89E5E0">
            <w:pPr>
              <w:pStyle w:val="2"/>
              <w:spacing w:line="360" w:lineRule="auto"/>
              <w:ind w:firstLine="0"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联系电话：0991-4659594、18129205025</w:t>
            </w:r>
          </w:p>
        </w:tc>
      </w:tr>
      <w:tr w14:paraId="41DF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38DDBE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8158" w:type="dxa"/>
            <w:tcBorders>
              <w:top w:val="single" w:color="auto" w:sz="4" w:space="0"/>
              <w:left w:val="single" w:color="auto" w:sz="4" w:space="0"/>
              <w:bottom w:val="single" w:color="auto" w:sz="4" w:space="0"/>
              <w:right w:val="single" w:color="auto" w:sz="4" w:space="0"/>
            </w:tcBorders>
            <w:vAlign w:val="center"/>
          </w:tcPr>
          <w:p w14:paraId="5C8DFC99">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Theme="minorEastAsia" w:hAnsiTheme="minorEastAsia" w:eastAsiaTheme="minorEastAsia" w:cstheme="minorEastAsia"/>
                <w:color w:val="auto"/>
                <w:sz w:val="24"/>
                <w:highlight w:val="none"/>
              </w:rPr>
              <w:t>采购内容：大宗物资采购，牛肉、羊肉及冻肉冻货等。（具体详见采购文件采购需求）</w:t>
            </w:r>
          </w:p>
        </w:tc>
      </w:tr>
      <w:tr w14:paraId="1FB6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6CD7A2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p>
        </w:tc>
        <w:tc>
          <w:tcPr>
            <w:tcW w:w="8158" w:type="dxa"/>
            <w:tcBorders>
              <w:top w:val="single" w:color="auto" w:sz="4" w:space="0"/>
              <w:left w:val="single" w:color="auto" w:sz="4" w:space="0"/>
              <w:bottom w:val="single" w:color="auto" w:sz="4" w:space="0"/>
              <w:right w:val="single" w:color="auto" w:sz="4" w:space="0"/>
            </w:tcBorders>
            <w:vAlign w:val="center"/>
          </w:tcPr>
          <w:p w14:paraId="215C174D">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交货地点：采购人指定地点</w:t>
            </w:r>
          </w:p>
        </w:tc>
      </w:tr>
      <w:tr w14:paraId="213A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C493B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p>
        </w:tc>
        <w:tc>
          <w:tcPr>
            <w:tcW w:w="8158" w:type="dxa"/>
            <w:tcBorders>
              <w:top w:val="single" w:color="auto" w:sz="4" w:space="0"/>
              <w:left w:val="single" w:color="auto" w:sz="4" w:space="0"/>
              <w:bottom w:val="single" w:color="auto" w:sz="4" w:space="0"/>
              <w:right w:val="single" w:color="auto" w:sz="4" w:space="0"/>
            </w:tcBorders>
            <w:vAlign w:val="center"/>
          </w:tcPr>
          <w:p w14:paraId="39DD931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供货期：自合同生效之日起一年；</w:t>
            </w:r>
          </w:p>
          <w:p w14:paraId="40DFB10F">
            <w:pPr>
              <w:pStyle w:val="2"/>
              <w:ind w:firstLine="0" w:firstLineChars="0"/>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质量标准：合格，通过采购人及有关部门组织项目验收</w:t>
            </w:r>
          </w:p>
        </w:tc>
      </w:tr>
      <w:tr w14:paraId="6916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7AD1E8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p>
        </w:tc>
        <w:tc>
          <w:tcPr>
            <w:tcW w:w="8158" w:type="dxa"/>
            <w:tcBorders>
              <w:top w:val="single" w:color="auto" w:sz="4" w:space="0"/>
              <w:left w:val="single" w:color="auto" w:sz="4" w:space="0"/>
              <w:bottom w:val="single" w:color="auto" w:sz="4" w:space="0"/>
              <w:right w:val="single" w:color="auto" w:sz="4" w:space="0"/>
            </w:tcBorders>
            <w:vAlign w:val="center"/>
          </w:tcPr>
          <w:p w14:paraId="732B6F11">
            <w:pPr>
              <w:pStyle w:val="36"/>
              <w:keepNext w:val="0"/>
              <w:keepLines w:val="0"/>
              <w:suppressLineNumbers w:val="0"/>
              <w:spacing w:before="0" w:beforeAutospacing="0" w:afterAutospacing="0"/>
              <w:ind w:left="0" w:leftChars="0" w:right="0" w:firstLine="0" w:firstLineChars="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甲乙双方签订合同之后，实行按月滚动结款。乙方需在每月25日前提交经甲方验收合格的供货明细、对账单及等额有效增值税普通发票，甲方审核无误后，在次月15日前完成本月货款的结算。中标供应商根据采购人签字确认的相关单据完成结算，并且按照税务部门的相关要求向采购人提供正式发票和中标供应商收款账户信息后，采购人再行通过转账付清款项；</w:t>
            </w:r>
          </w:p>
          <w:p w14:paraId="5A36EDF6">
            <w:pPr>
              <w:pStyle w:val="36"/>
              <w:keepNext w:val="0"/>
              <w:keepLines w:val="0"/>
              <w:suppressLineNumbers w:val="0"/>
              <w:spacing w:before="0" w:beforeAutospacing="0" w:afterAutospacing="0"/>
              <w:ind w:left="0" w:leftChars="0" w:right="0" w:firstLine="0" w:firstLineChars="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w:t>
            </w:r>
          </w:p>
          <w:p w14:paraId="531BFD46">
            <w:pPr>
              <w:pStyle w:val="36"/>
              <w:keepNext w:val="0"/>
              <w:keepLines w:val="0"/>
              <w:suppressLineNumbers w:val="0"/>
              <w:spacing w:before="0" w:beforeAutospacing="0" w:afterAutospacing="0"/>
              <w:ind w:left="0" w:leftChars="0" w:right="0" w:firstLine="0" w:firstLineChars="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1、履约保证金递交：中标供应商需在中标公示期结束后三个工作日内向采购单位缴纳，履约保证金的数额不超过合同金额的10%。 </w:t>
            </w:r>
          </w:p>
          <w:p w14:paraId="48CF5C6B">
            <w:pPr>
              <w:pStyle w:val="36"/>
              <w:keepNext w:val="0"/>
              <w:keepLines w:val="0"/>
              <w:suppressLineNumbers w:val="0"/>
              <w:spacing w:before="0" w:beforeAutospacing="0" w:afterAutospacing="0"/>
              <w:ind w:left="0" w:leftChars="0" w:right="0" w:firstLine="0" w:firstLineChars="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2、履约保证金形式：甲方指定账户。</w:t>
            </w:r>
          </w:p>
          <w:p w14:paraId="64B8E301">
            <w:pPr>
              <w:pStyle w:val="36"/>
              <w:keepNext w:val="0"/>
              <w:keepLines w:val="0"/>
              <w:suppressLineNumbers w:val="0"/>
              <w:spacing w:before="0" w:beforeAutospacing="0" w:afterAutospacing="0"/>
              <w:ind w:left="0" w:leftChars="0" w:right="0" w:firstLine="0" w:firstLineChars="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3、中标候选人未按采购文件规定缴纳履约保证金的，采购人将取消其中标资格，且投标保证金将不予退还。</w:t>
            </w:r>
          </w:p>
          <w:p w14:paraId="2AE79B5F">
            <w:pPr>
              <w:pStyle w:val="36"/>
              <w:keepNext w:val="0"/>
              <w:keepLines w:val="0"/>
              <w:suppressLineNumbers w:val="0"/>
              <w:spacing w:before="0" w:beforeAutospacing="0" w:afterAutospacing="0"/>
              <w:ind w:left="0" w:leftChars="0" w:right="0" w:firstLine="0" w:firstLineChars="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4、履约期满后无息返还。</w:t>
            </w:r>
          </w:p>
          <w:p w14:paraId="0D0FF18B">
            <w:pPr>
              <w:pStyle w:val="36"/>
              <w:keepNext w:val="0"/>
              <w:keepLines w:val="0"/>
              <w:suppressLineNumbers w:val="0"/>
              <w:spacing w:before="0" w:beforeAutospacing="0" w:afterAutospacing="0"/>
              <w:ind w:left="0" w:leftChars="0" w:right="0" w:firstLine="0" w:firstLineChars="0"/>
              <w:rPr>
                <w:rFonts w:hint="default" w:ascii="宋体" w:hAnsi="宋体" w:cs="宋体"/>
                <w:color w:val="auto"/>
                <w:sz w:val="24"/>
                <w:highlight w:val="none"/>
              </w:rPr>
            </w:pPr>
            <w:r>
              <w:rPr>
                <w:rFonts w:hint="eastAsia" w:asciiTheme="minorEastAsia" w:hAnsiTheme="minorEastAsia" w:eastAsiaTheme="minorEastAsia" w:cstheme="minorEastAsia"/>
                <w:b/>
                <w:bCs/>
                <w:color w:val="auto"/>
                <w:sz w:val="24"/>
                <w:highlight w:val="none"/>
              </w:rPr>
              <w:t>注：本项目不允许转包。</w:t>
            </w:r>
          </w:p>
        </w:tc>
      </w:tr>
      <w:tr w14:paraId="1F9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C4248A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8158" w:type="dxa"/>
            <w:tcBorders>
              <w:top w:val="single" w:color="auto" w:sz="4" w:space="0"/>
              <w:left w:val="single" w:color="auto" w:sz="4" w:space="0"/>
              <w:bottom w:val="single" w:color="auto" w:sz="4" w:space="0"/>
              <w:right w:val="single" w:color="auto" w:sz="4" w:space="0"/>
            </w:tcBorders>
            <w:vAlign w:val="center"/>
          </w:tcPr>
          <w:p w14:paraId="5356FA9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采购方式：公开招标</w:t>
            </w:r>
          </w:p>
        </w:tc>
      </w:tr>
      <w:tr w14:paraId="5CB3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6792A8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8158" w:type="dxa"/>
            <w:tcBorders>
              <w:top w:val="single" w:color="auto" w:sz="4" w:space="0"/>
              <w:left w:val="single" w:color="auto" w:sz="4" w:space="0"/>
              <w:bottom w:val="single" w:color="auto" w:sz="4" w:space="0"/>
              <w:right w:val="single" w:color="auto" w:sz="4" w:space="0"/>
            </w:tcBorders>
            <w:vAlign w:val="center"/>
          </w:tcPr>
          <w:p w14:paraId="3377935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审查方式：资格后审</w:t>
            </w:r>
          </w:p>
        </w:tc>
      </w:tr>
      <w:tr w14:paraId="0FDA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A4AA5F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p>
        </w:tc>
        <w:tc>
          <w:tcPr>
            <w:tcW w:w="8158" w:type="dxa"/>
            <w:tcBorders>
              <w:top w:val="single" w:color="auto" w:sz="4" w:space="0"/>
              <w:left w:val="single" w:color="auto" w:sz="4" w:space="0"/>
              <w:bottom w:val="single" w:color="auto" w:sz="4" w:space="0"/>
              <w:right w:val="single" w:color="auto" w:sz="4" w:space="0"/>
            </w:tcBorders>
            <w:vAlign w:val="center"/>
          </w:tcPr>
          <w:p w14:paraId="64B11D4A">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评标办法：</w:t>
            </w:r>
          </w:p>
          <w:p w14:paraId="497FD115">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☑资格后审□资格预审</w:t>
            </w:r>
          </w:p>
          <w:p w14:paraId="4772F42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☑综合评分法□最低评标价法</w:t>
            </w:r>
          </w:p>
          <w:p w14:paraId="61512EC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134F9D66">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最低评标价法，是指以价格为主要因素确定中标供应商的评标方法，即在全部满足采购文件实质性要求前提下，依据统一的价格要素评定最低报价，以提出最低报价的供应商作为中标候选供应商或者中标供应商的评标方法。投标报价相同的，按技术指标优劣顺序排列，技术指标较优的一方为中标人。</w:t>
            </w:r>
          </w:p>
          <w:p w14:paraId="46F8E38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综合评分法是指在最大限度地满足采购文件实质性要求前提下，按照采购文件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4D05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E865D4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8158" w:type="dxa"/>
            <w:tcBorders>
              <w:top w:val="single" w:color="auto" w:sz="4" w:space="0"/>
              <w:left w:val="single" w:color="auto" w:sz="4" w:space="0"/>
              <w:bottom w:val="single" w:color="auto" w:sz="4" w:space="0"/>
              <w:right w:val="single" w:color="auto" w:sz="4" w:space="0"/>
            </w:tcBorders>
            <w:vAlign w:val="center"/>
          </w:tcPr>
          <w:p w14:paraId="266BB08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供应商资格要求：</w:t>
            </w:r>
          </w:p>
          <w:p w14:paraId="48B30C59">
            <w:pPr>
              <w:keepNext w:val="0"/>
              <w:keepLines w:val="0"/>
              <w:suppressLineNumbers w:val="0"/>
              <w:spacing w:before="0" w:beforeAutospacing="0" w:after="0" w:afterAutospacing="0" w:line="360" w:lineRule="auto"/>
              <w:ind w:left="0" w:right="0" w:firstLine="240" w:firstLineChars="10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1.满足《中华人民共和国政府采购法》第二十二条规定；</w:t>
            </w:r>
          </w:p>
          <w:p w14:paraId="545AD0B4">
            <w:pPr>
              <w:keepNext w:val="0"/>
              <w:keepLines w:val="0"/>
              <w:suppressLineNumbers w:val="0"/>
              <w:spacing w:before="0" w:beforeAutospacing="0" w:after="0" w:afterAutospacing="0" w:line="360" w:lineRule="auto"/>
              <w:ind w:left="0" w:right="0" w:firstLine="240" w:firstLineChars="10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2.落实政府采购政策需满足的资格要求：本项目专门面向中小企业采购</w:t>
            </w:r>
          </w:p>
          <w:p w14:paraId="458AACD4">
            <w:pPr>
              <w:keepNext w:val="0"/>
              <w:keepLines w:val="0"/>
              <w:suppressLineNumbers w:val="0"/>
              <w:spacing w:before="0" w:beforeAutospacing="0" w:after="0" w:afterAutospacing="0" w:line="360" w:lineRule="auto"/>
              <w:ind w:left="0" w:right="0" w:firstLine="240" w:firstLineChars="10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3.本项目的特定资格要求：无</w:t>
            </w:r>
          </w:p>
        </w:tc>
      </w:tr>
      <w:tr w14:paraId="37EB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65AEAA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8158" w:type="dxa"/>
            <w:tcBorders>
              <w:top w:val="single" w:color="auto" w:sz="4" w:space="0"/>
              <w:left w:val="single" w:color="auto" w:sz="4" w:space="0"/>
              <w:bottom w:val="single" w:color="auto" w:sz="4" w:space="0"/>
              <w:right w:val="single" w:color="auto" w:sz="4" w:space="0"/>
            </w:tcBorders>
            <w:vAlign w:val="center"/>
          </w:tcPr>
          <w:p w14:paraId="06544DD3">
            <w:pPr>
              <w:keepNext w:val="0"/>
              <w:keepLines w:val="0"/>
              <w:suppressLineNumbers w:val="0"/>
              <w:spacing w:before="0" w:beforeAutospacing="0" w:after="0" w:afterAutospacing="0" w:line="360" w:lineRule="auto"/>
              <w:ind w:left="0" w:right="0"/>
              <w:rPr>
                <w:rFonts w:hint="default"/>
                <w:color w:val="auto"/>
                <w:sz w:val="24"/>
                <w:highlight w:val="none"/>
              </w:rPr>
            </w:pPr>
            <w:r>
              <w:rPr>
                <w:rFonts w:hint="eastAsia"/>
                <w:color w:val="auto"/>
                <w:sz w:val="24"/>
                <w:highlight w:val="none"/>
              </w:rPr>
              <w:t>投标保证金：</w:t>
            </w:r>
          </w:p>
          <w:p w14:paraId="72A3509E">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金额：45000元（肆万伍仟元整）</w:t>
            </w:r>
          </w:p>
          <w:p w14:paraId="5E4BE5EE">
            <w:pPr>
              <w:keepNext w:val="0"/>
              <w:keepLines w:val="0"/>
              <w:suppressLineNumbers w:val="0"/>
              <w:spacing w:before="0" w:beforeAutospacing="0" w:after="0" w:afterAutospacing="0" w:line="360" w:lineRule="auto"/>
              <w:ind w:left="0" w:right="0"/>
              <w:rPr>
                <w:rFonts w:hint="default" w:ascii="宋体" w:hAnsi="宋体"/>
                <w:bCs/>
                <w:snapToGrid w:val="0"/>
                <w:color w:val="auto"/>
                <w:kern w:val="0"/>
                <w:sz w:val="24"/>
                <w:highlight w:val="none"/>
              </w:rPr>
            </w:pPr>
            <w:r>
              <w:rPr>
                <w:rFonts w:hint="eastAsia" w:ascii="宋体" w:hAnsi="宋体"/>
                <w:bCs/>
                <w:snapToGrid w:val="0"/>
                <w:color w:val="auto"/>
                <w:kern w:val="0"/>
                <w:sz w:val="24"/>
                <w:highlight w:val="none"/>
              </w:rPr>
              <w:t>1.账户名：新疆盛世乾元工程项目管理咨询有限公司</w:t>
            </w:r>
          </w:p>
          <w:p w14:paraId="6D0EF959">
            <w:pPr>
              <w:keepNext w:val="0"/>
              <w:keepLines w:val="0"/>
              <w:suppressLineNumbers w:val="0"/>
              <w:spacing w:before="0" w:beforeAutospacing="0" w:after="0" w:afterAutospacing="0" w:line="360" w:lineRule="auto"/>
              <w:ind w:left="0" w:right="0"/>
              <w:rPr>
                <w:rFonts w:hint="default" w:ascii="宋体" w:hAnsi="宋体"/>
                <w:bCs/>
                <w:snapToGrid w:val="0"/>
                <w:color w:val="auto"/>
                <w:kern w:val="0"/>
                <w:sz w:val="24"/>
                <w:highlight w:val="none"/>
              </w:rPr>
            </w:pPr>
            <w:r>
              <w:rPr>
                <w:rFonts w:hint="eastAsia" w:ascii="宋体" w:hAnsi="宋体"/>
                <w:bCs/>
                <w:snapToGrid w:val="0"/>
                <w:color w:val="auto"/>
                <w:kern w:val="0"/>
                <w:sz w:val="24"/>
                <w:highlight w:val="none"/>
              </w:rPr>
              <w:t>2.开户银行：中国农业银行股份有限公司乌鲁木齐南湖路（兵团）支行</w:t>
            </w:r>
          </w:p>
          <w:p w14:paraId="7E75CABE">
            <w:pPr>
              <w:keepNext w:val="0"/>
              <w:keepLines w:val="0"/>
              <w:suppressLineNumbers w:val="0"/>
              <w:spacing w:before="0" w:beforeAutospacing="0" w:after="0" w:afterAutospacing="0" w:line="360" w:lineRule="auto"/>
              <w:ind w:left="0" w:right="0"/>
              <w:rPr>
                <w:rFonts w:hint="default" w:ascii="宋体" w:hAnsi="宋体"/>
                <w:bCs/>
                <w:snapToGrid w:val="0"/>
                <w:color w:val="auto"/>
                <w:kern w:val="0"/>
                <w:sz w:val="24"/>
                <w:highlight w:val="none"/>
              </w:rPr>
            </w:pPr>
            <w:r>
              <w:rPr>
                <w:rFonts w:hint="eastAsia" w:ascii="宋体" w:hAnsi="宋体"/>
                <w:bCs/>
                <w:snapToGrid w:val="0"/>
                <w:color w:val="auto"/>
                <w:kern w:val="0"/>
                <w:sz w:val="24"/>
                <w:highlight w:val="none"/>
              </w:rPr>
              <w:t>3.账号：30704501040008571</w:t>
            </w:r>
          </w:p>
          <w:p w14:paraId="76BFAE51">
            <w:pPr>
              <w:keepNext w:val="0"/>
              <w:keepLines w:val="0"/>
              <w:suppressLineNumbers w:val="0"/>
              <w:spacing w:before="0" w:beforeAutospacing="0" w:after="0" w:afterAutospacing="0" w:line="360" w:lineRule="auto"/>
              <w:ind w:left="0" w:right="0"/>
              <w:rPr>
                <w:rFonts w:hint="default" w:ascii="宋体" w:hAnsi="宋体"/>
                <w:bCs/>
                <w:snapToGrid w:val="0"/>
                <w:color w:val="auto"/>
                <w:kern w:val="0"/>
                <w:sz w:val="24"/>
                <w:highlight w:val="none"/>
              </w:rPr>
            </w:pPr>
            <w:r>
              <w:rPr>
                <w:rFonts w:hint="eastAsia" w:ascii="宋体" w:hAnsi="宋体"/>
                <w:bCs/>
                <w:snapToGrid w:val="0"/>
                <w:color w:val="auto"/>
                <w:kern w:val="0"/>
                <w:sz w:val="24"/>
                <w:highlight w:val="none"/>
              </w:rPr>
              <w:t>4.行号：103881070457</w:t>
            </w:r>
          </w:p>
          <w:p w14:paraId="27696F02">
            <w:pPr>
              <w:pStyle w:val="2"/>
              <w:spacing w:line="360" w:lineRule="auto"/>
              <w:ind w:firstLine="0" w:firstLineChars="0"/>
              <w:rPr>
                <w:color w:val="auto"/>
                <w:sz w:val="24"/>
                <w:highlight w:val="none"/>
              </w:rPr>
            </w:pPr>
            <w:r>
              <w:rPr>
                <w:rFonts w:hint="eastAsia" w:ascii="宋体" w:hAnsi="宋体" w:cs="宋体"/>
                <w:color w:val="auto"/>
                <w:sz w:val="24"/>
                <w:highlight w:val="none"/>
              </w:rPr>
              <w:t>请于投标截止时间前将投标保证金以支票、汇票、本票、转账、电汇或者金融机构、担保机构出具的保函等非现金形式提交；</w:t>
            </w:r>
            <w:r>
              <w:rPr>
                <w:rFonts w:hint="eastAsia" w:ascii="宋体" w:hAnsi="宋体" w:cs="宋体"/>
                <w:color w:val="auto"/>
                <w:sz w:val="24"/>
                <w:highlight w:val="none"/>
              </w:rPr>
              <w:br w:type="textWrapping"/>
            </w:r>
            <w:r>
              <w:rPr>
                <w:rFonts w:hint="eastAsia" w:ascii="宋体" w:hAnsi="宋体" w:cs="宋体"/>
                <w:b/>
                <w:bCs/>
                <w:color w:val="auto"/>
                <w:sz w:val="24"/>
                <w:highlight w:val="none"/>
              </w:rPr>
              <w:t>备注：需备注项目名称简称或项目编号，如未注明，造成保证金无法查明的，责任由供应商自行承担。</w:t>
            </w:r>
          </w:p>
        </w:tc>
      </w:tr>
      <w:tr w14:paraId="56C8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060731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8158" w:type="dxa"/>
            <w:tcBorders>
              <w:top w:val="single" w:color="auto" w:sz="4" w:space="0"/>
              <w:left w:val="single" w:color="auto" w:sz="4" w:space="0"/>
              <w:bottom w:val="single" w:color="auto" w:sz="4" w:space="0"/>
              <w:right w:val="single" w:color="auto" w:sz="4" w:space="0"/>
            </w:tcBorders>
            <w:vAlign w:val="center"/>
          </w:tcPr>
          <w:p w14:paraId="57265271">
            <w:pPr>
              <w:keepNext w:val="0"/>
              <w:keepLines w:val="0"/>
              <w:suppressLineNumbers w:val="0"/>
              <w:spacing w:before="0" w:beforeAutospacing="0" w:after="0" w:afterAutospacing="0" w:line="360" w:lineRule="auto"/>
              <w:ind w:left="0" w:right="0"/>
              <w:rPr>
                <w:rFonts w:hint="default" w:ascii="宋体" w:hAnsi="宋体"/>
                <w:bCs/>
                <w:snapToGrid w:val="0"/>
                <w:color w:val="auto"/>
                <w:kern w:val="0"/>
                <w:sz w:val="24"/>
                <w:highlight w:val="none"/>
              </w:rPr>
            </w:pPr>
            <w:r>
              <w:rPr>
                <w:rFonts w:hint="eastAsia" w:ascii="宋体" w:hAnsi="宋体"/>
                <w:bCs/>
                <w:snapToGrid w:val="0"/>
                <w:color w:val="auto"/>
                <w:kern w:val="0"/>
                <w:sz w:val="24"/>
                <w:highlight w:val="none"/>
              </w:rPr>
              <w:t>答疑澄清：于投标截止时间至少15日前接受供应商疑问或澄清要求（逾期不予受理）。</w:t>
            </w:r>
          </w:p>
          <w:p w14:paraId="0F88863D">
            <w:pPr>
              <w:keepNext w:val="0"/>
              <w:keepLines w:val="0"/>
              <w:suppressLineNumbers w:val="0"/>
              <w:spacing w:before="0" w:beforeAutospacing="0" w:after="0" w:afterAutospacing="0" w:line="360" w:lineRule="auto"/>
              <w:ind w:left="0" w:right="0"/>
              <w:rPr>
                <w:rFonts w:hint="default" w:ascii="宋体" w:hAnsi="宋体"/>
                <w:bCs/>
                <w:snapToGrid w:val="0"/>
                <w:color w:val="auto"/>
                <w:kern w:val="0"/>
                <w:sz w:val="24"/>
                <w:highlight w:val="none"/>
              </w:rPr>
            </w:pPr>
            <w:r>
              <w:rPr>
                <w:rFonts w:hint="eastAsia" w:ascii="宋体" w:hAnsi="宋体"/>
                <w:bCs/>
                <w:snapToGrid w:val="0"/>
                <w:color w:val="auto"/>
                <w:kern w:val="0"/>
                <w:sz w:val="24"/>
                <w:highlight w:val="none"/>
              </w:rPr>
              <w:t>提交方式：提交纸质材料以及营业执照复印件和授权委托书并加盖供应商公章,或直接在新疆政府采购网上提问。</w:t>
            </w:r>
          </w:p>
          <w:p w14:paraId="708CCA1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宋体" w:hAnsi="宋体"/>
                <w:bCs/>
                <w:snapToGrid w:val="0"/>
                <w:color w:val="auto"/>
                <w:kern w:val="0"/>
                <w:sz w:val="24"/>
                <w:highlight w:val="none"/>
              </w:rPr>
              <w:t>注：如有最新的答疑采购文件，供应商必须下载并使用该文件制作电子响应文件，否则将无法完成上传、参与投标。</w:t>
            </w:r>
          </w:p>
        </w:tc>
      </w:tr>
      <w:tr w14:paraId="7CDD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69320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8158" w:type="dxa"/>
            <w:tcBorders>
              <w:top w:val="single" w:color="auto" w:sz="4" w:space="0"/>
              <w:left w:val="single" w:color="auto" w:sz="4" w:space="0"/>
              <w:bottom w:val="single" w:color="auto" w:sz="4" w:space="0"/>
              <w:right w:val="single" w:color="auto" w:sz="4" w:space="0"/>
            </w:tcBorders>
            <w:vAlign w:val="center"/>
          </w:tcPr>
          <w:p w14:paraId="6D04CD6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投标有效期：</w:t>
            </w:r>
            <w:r>
              <w:rPr>
                <w:rFonts w:hint="eastAsia" w:ascii="宋体" w:hAnsi="宋体" w:cs="宋体" w:eastAsiaTheme="minorEastAsia"/>
                <w:color w:val="auto"/>
                <w:sz w:val="24"/>
                <w:highlight w:val="none"/>
              </w:rPr>
              <w:t>投标截止时间后90个日历日。</w:t>
            </w:r>
          </w:p>
        </w:tc>
      </w:tr>
      <w:tr w14:paraId="1657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6B6939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8158" w:type="dxa"/>
            <w:tcBorders>
              <w:top w:val="single" w:color="auto" w:sz="4" w:space="0"/>
              <w:left w:val="single" w:color="auto" w:sz="4" w:space="0"/>
              <w:bottom w:val="single" w:color="auto" w:sz="4" w:space="0"/>
              <w:right w:val="single" w:color="auto" w:sz="4" w:space="0"/>
            </w:tcBorders>
            <w:vAlign w:val="center"/>
          </w:tcPr>
          <w:p w14:paraId="5D00CB7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投标截止时间：2026年06月17日11时00分（北京时间）</w:t>
            </w:r>
          </w:p>
          <w:p w14:paraId="7D618CEF">
            <w:pPr>
              <w:pStyle w:val="39"/>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响应文件递交至：</w:t>
            </w:r>
            <w:r>
              <w:rPr>
                <w:rFonts w:hint="eastAsia" w:asciiTheme="minorEastAsia" w:hAnsiTheme="minorEastAsia" w:eastAsiaTheme="minorEastAsia" w:cstheme="minorEastAsia"/>
                <w:b/>
                <w:bCs/>
                <w:color w:val="auto"/>
                <w:highlight w:val="none"/>
                <w:u w:val="single"/>
              </w:rPr>
              <w:t>新疆政府采购网-政采云平台（https://www.zcygov.cn）</w:t>
            </w:r>
          </w:p>
        </w:tc>
      </w:tr>
      <w:tr w14:paraId="6A5D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2697B2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w:t>
            </w:r>
          </w:p>
        </w:tc>
        <w:tc>
          <w:tcPr>
            <w:tcW w:w="8158" w:type="dxa"/>
            <w:tcBorders>
              <w:top w:val="single" w:color="auto" w:sz="4" w:space="0"/>
              <w:left w:val="single" w:color="auto" w:sz="4" w:space="0"/>
              <w:bottom w:val="single" w:color="auto" w:sz="4" w:space="0"/>
              <w:right w:val="single" w:color="auto" w:sz="4" w:space="0"/>
            </w:tcBorders>
            <w:vAlign w:val="center"/>
          </w:tcPr>
          <w:p w14:paraId="06F7091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开标时间：2026年06月17日11时00分（北京时间）</w:t>
            </w:r>
          </w:p>
          <w:p w14:paraId="4CF5B66B">
            <w:pPr>
              <w:pStyle w:val="39"/>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bCs/>
                <w:color w:val="auto"/>
                <w:highlight w:val="none"/>
                <w:u w:val="single"/>
              </w:rPr>
            </w:pPr>
            <w:r>
              <w:rPr>
                <w:rFonts w:hint="eastAsia" w:asciiTheme="minorEastAsia" w:hAnsiTheme="minorEastAsia" w:eastAsiaTheme="minorEastAsia" w:cstheme="minorEastAsia"/>
                <w:color w:val="auto"/>
                <w:highlight w:val="none"/>
              </w:rPr>
              <w:t>开标地点：</w:t>
            </w:r>
            <w:r>
              <w:rPr>
                <w:rFonts w:hint="eastAsia" w:asciiTheme="minorEastAsia" w:hAnsiTheme="minorEastAsia" w:eastAsiaTheme="minorEastAsia" w:cstheme="minorEastAsia"/>
                <w:b/>
                <w:bCs/>
                <w:color w:val="auto"/>
                <w:highlight w:val="none"/>
                <w:u w:val="single"/>
              </w:rPr>
              <w:t>投标人登录政采云平台https://www.zcygov.cn/，进入“项目采购-开标评标-右边选择对应项目点击“进入项目”进入开标大厅。</w:t>
            </w:r>
          </w:p>
          <w:p w14:paraId="5F7FB7E6">
            <w:pPr>
              <w:pStyle w:val="39"/>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u w:val="single"/>
              </w:rPr>
              <w:t>本项目为不见面的线上电子评标，电子评标全过程期间，投标供应商必需安排专业人员值守电脑，以便顺利完成整个评标过程。如投标供应商因网络、电脑故障、无人值守等其它任何自身原因造成无法完成招标评标过程，造成不利后果的全部责任完全由投标供应商自己承担。</w:t>
            </w:r>
          </w:p>
        </w:tc>
      </w:tr>
      <w:tr w14:paraId="65C4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2D15D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w:t>
            </w:r>
          </w:p>
        </w:tc>
        <w:tc>
          <w:tcPr>
            <w:tcW w:w="8158" w:type="dxa"/>
            <w:tcBorders>
              <w:top w:val="single" w:color="auto" w:sz="4" w:space="0"/>
              <w:left w:val="single" w:color="auto" w:sz="4" w:space="0"/>
              <w:bottom w:val="single" w:color="auto" w:sz="4" w:space="0"/>
              <w:right w:val="single" w:color="auto" w:sz="4" w:space="0"/>
            </w:tcBorders>
            <w:vAlign w:val="center"/>
          </w:tcPr>
          <w:p w14:paraId="5D5B532A">
            <w:pPr>
              <w:pStyle w:val="36"/>
              <w:keepNext w:val="0"/>
              <w:keepLines w:val="0"/>
              <w:suppressLineNumbers w:val="0"/>
              <w:spacing w:before="0" w:beforeAutospacing="0" w:after="0" w:afterAutospacing="0" w:line="360" w:lineRule="auto"/>
              <w:ind w:left="0" w:leftChars="0" w:right="0" w:firstLine="0" w:firstLineChars="0"/>
              <w:textAlignment w:val="auto"/>
              <w:rPr>
                <w:rFonts w:hint="default" w:ascii="宋体" w:hAnsi="宋体" w:cs="宋体"/>
                <w:color w:val="auto"/>
                <w:sz w:val="24"/>
                <w:highlight w:val="none"/>
              </w:rPr>
            </w:pPr>
            <w:r>
              <w:rPr>
                <w:rFonts w:hint="eastAsia" w:ascii="宋体" w:hAnsi="宋体" w:cs="宋体"/>
                <w:color w:val="auto"/>
                <w:sz w:val="24"/>
                <w:highlight w:val="none"/>
              </w:rPr>
              <w:t>响应文件份数：</w:t>
            </w:r>
          </w:p>
          <w:p w14:paraId="617CFBC5">
            <w:pPr>
              <w:pStyle w:val="36"/>
              <w:keepNext w:val="0"/>
              <w:keepLines w:val="0"/>
              <w:suppressLineNumbers w:val="0"/>
              <w:spacing w:before="0" w:beforeAutospacing="0" w:after="0" w:afterAutospacing="0" w:line="360" w:lineRule="auto"/>
              <w:ind w:left="0" w:leftChars="0" w:right="0" w:firstLine="0" w:firstLineChars="0"/>
              <w:textAlignment w:val="auto"/>
              <w:rPr>
                <w:rFonts w:hint="default" w:ascii="宋体" w:hAnsi="宋体" w:cs="宋体"/>
                <w:color w:val="auto"/>
                <w:sz w:val="24"/>
                <w:highlight w:val="none"/>
              </w:rPr>
            </w:pPr>
            <w:r>
              <w:rPr>
                <w:rFonts w:hint="eastAsia" w:ascii="宋体" w:hAnsi="宋体" w:cs="宋体"/>
                <w:color w:val="auto"/>
                <w:sz w:val="24"/>
                <w:highlight w:val="none"/>
              </w:rPr>
              <w:t>1．本项目为电子招投标项目供应商的法人代表人或其委托代理人无需到开标现场递交响应文件。</w:t>
            </w:r>
          </w:p>
          <w:p w14:paraId="19332120">
            <w:pPr>
              <w:pStyle w:val="36"/>
              <w:keepNext w:val="0"/>
              <w:keepLines w:val="0"/>
              <w:suppressLineNumbers w:val="0"/>
              <w:spacing w:before="0" w:beforeAutospacing="0" w:after="0" w:afterAutospacing="0" w:line="360" w:lineRule="auto"/>
              <w:ind w:left="0" w:leftChars="0" w:right="0" w:firstLine="0" w:firstLineChars="0"/>
              <w:textAlignment w:val="auto"/>
              <w:rPr>
                <w:rFonts w:hint="default" w:ascii="宋体" w:hAnsi="宋体" w:cs="宋体"/>
                <w:color w:val="auto"/>
                <w:sz w:val="24"/>
                <w:highlight w:val="none"/>
              </w:rPr>
            </w:pPr>
            <w:r>
              <w:rPr>
                <w:rFonts w:hint="eastAsia" w:ascii="宋体" w:hAnsi="宋体" w:cs="宋体"/>
                <w:color w:val="auto"/>
                <w:sz w:val="24"/>
                <w:highlight w:val="none"/>
              </w:rPr>
              <w:t>2.供应商应当在投标截止时间前，将生成的“电子加密响应文件”上传递交至“政府采购云平台”，投标截止时间以后上传递交的响应文件将被“政府采购云平台”拒收。一份电子加密标书(“.jmbs”格式)</w:t>
            </w:r>
          </w:p>
          <w:p w14:paraId="5378E81A">
            <w:pPr>
              <w:pStyle w:val="36"/>
              <w:keepNext w:val="0"/>
              <w:keepLines w:val="0"/>
              <w:suppressLineNumbers w:val="0"/>
              <w:spacing w:before="0" w:beforeAutospacing="0" w:after="0" w:afterAutospacing="0" w:line="360" w:lineRule="auto"/>
              <w:ind w:left="0" w:leftChars="0" w:right="0" w:firstLine="0" w:firstLineChars="0"/>
              <w:textAlignment w:val="auto"/>
              <w:rPr>
                <w:rFonts w:hint="default" w:ascii="宋体" w:hAnsi="宋体" w:cs="宋体"/>
                <w:color w:val="auto"/>
                <w:sz w:val="24"/>
                <w:highlight w:val="none"/>
              </w:rPr>
            </w:pPr>
            <w:r>
              <w:rPr>
                <w:rFonts w:hint="eastAsia" w:ascii="宋体" w:hAnsi="宋体" w:cs="宋体"/>
                <w:color w:val="auto"/>
                <w:sz w:val="24"/>
                <w:highlight w:val="none"/>
              </w:rPr>
              <w:t>3.供应商登录政采云平台，在开标时间后30分钟内用“项目采购-开标评标”功能进行解密响应文件。若供应商在规定时间内未按时解密的，视为无效投标。解密与加密响应文件须使用同一个CA。  </w:t>
            </w:r>
          </w:p>
          <w:p w14:paraId="69E0E2BF">
            <w:pPr>
              <w:pStyle w:val="36"/>
              <w:keepNext w:val="0"/>
              <w:keepLines w:val="0"/>
              <w:suppressLineNumbers w:val="0"/>
              <w:spacing w:before="0" w:beforeAutospacing="0" w:after="0" w:afterAutospacing="0" w:line="360" w:lineRule="auto"/>
              <w:ind w:left="0" w:leftChars="0" w:right="0" w:firstLine="0" w:firstLineChars="0"/>
              <w:textAlignment w:val="auto"/>
              <w:rPr>
                <w:rFonts w:hint="default" w:asciiTheme="minorEastAsia" w:hAnsiTheme="minorEastAsia" w:cstheme="minorEastAsia"/>
                <w:color w:val="auto"/>
                <w:sz w:val="24"/>
                <w:highlight w:val="none"/>
              </w:rPr>
            </w:pPr>
            <w:r>
              <w:rPr>
                <w:rFonts w:hint="eastAsia" w:ascii="宋体" w:hAnsi="宋体" w:cs="宋体"/>
                <w:color w:val="auto"/>
                <w:sz w:val="24"/>
                <w:highlight w:val="none"/>
              </w:rPr>
              <w:t>4.不见面开标默认解密时长：30分钟（由于供应商自身原因导致无法按时解密，后果由供应商自行承担）。</w:t>
            </w:r>
          </w:p>
        </w:tc>
      </w:tr>
      <w:tr w14:paraId="26B9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ABC7B2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w:t>
            </w:r>
          </w:p>
        </w:tc>
        <w:tc>
          <w:tcPr>
            <w:tcW w:w="8158" w:type="dxa"/>
            <w:tcBorders>
              <w:top w:val="single" w:color="auto" w:sz="4" w:space="0"/>
              <w:left w:val="single" w:color="auto" w:sz="4" w:space="0"/>
              <w:bottom w:val="single" w:color="auto" w:sz="4" w:space="0"/>
              <w:right w:val="single" w:color="auto" w:sz="4" w:space="0"/>
            </w:tcBorders>
            <w:vAlign w:val="center"/>
          </w:tcPr>
          <w:p w14:paraId="575689BF">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资格审查：</w:t>
            </w:r>
          </w:p>
          <w:p w14:paraId="0F5FED9E">
            <w:pPr>
              <w:keepNext w:val="0"/>
              <w:keepLines w:val="0"/>
              <w:suppressLineNumbers w:val="0"/>
              <w:spacing w:before="0" w:beforeAutospacing="0" w:after="0" w:afterAutospacing="0" w:line="360" w:lineRule="auto"/>
              <w:ind w:left="0" w:right="0" w:firstLine="482" w:firstLineChars="200"/>
              <w:rPr>
                <w:rFonts w:hint="default" w:ascii="宋体" w:hAnsi="宋体" w:cs="宋体"/>
                <w:b/>
                <w:bCs/>
                <w:color w:val="auto"/>
                <w:sz w:val="24"/>
                <w:highlight w:val="none"/>
              </w:rPr>
            </w:pPr>
            <w:r>
              <w:rPr>
                <w:rFonts w:hint="eastAsia" w:ascii="宋体" w:hAnsi="宋体" w:cs="宋体"/>
                <w:b/>
                <w:bCs/>
                <w:color w:val="auto"/>
                <w:sz w:val="24"/>
                <w:highlight w:val="none"/>
              </w:rPr>
              <w:t>采购人代表或采购代理机构依据法律法规和采购文件中规定的内容，对供应商的资格进行审查，供应商应按照第三章供应商须知的二、对供应商的资质要求的第8条、投标资</w:t>
            </w:r>
            <w:r>
              <w:rPr>
                <w:rFonts w:hint="eastAsia" w:asciiTheme="minorEastAsia" w:hAnsiTheme="minorEastAsia" w:eastAsiaTheme="minorEastAsia" w:cstheme="minorEastAsia"/>
                <w:b/>
                <w:color w:val="auto"/>
                <w:sz w:val="24"/>
                <w:highlight w:val="none"/>
              </w:rPr>
              <w:t>质</w:t>
            </w:r>
            <w:r>
              <w:rPr>
                <w:rFonts w:hint="eastAsia" w:ascii="宋体" w:hAnsi="宋体" w:cs="宋体"/>
                <w:b/>
                <w:bCs/>
                <w:color w:val="auto"/>
                <w:sz w:val="24"/>
                <w:highlight w:val="none"/>
              </w:rPr>
              <w:t>要求提交资格证明材料。未通过资格审查的供应商不能进入评标，其投标将被认定为投标无效；通过资格审查的供应商不足3家的，不得评标。</w:t>
            </w:r>
          </w:p>
          <w:p w14:paraId="5BE7F6FB">
            <w:pPr>
              <w:keepNext w:val="0"/>
              <w:keepLines w:val="0"/>
              <w:suppressLineNumbers w:val="0"/>
              <w:spacing w:before="0" w:beforeAutospacing="0" w:after="0" w:afterAutospacing="0" w:line="360" w:lineRule="auto"/>
              <w:ind w:left="0" w:right="0"/>
              <w:rPr>
                <w:rFonts w:hint="default" w:ascii="宋体" w:hAnsi="宋体" w:cs="宋体"/>
                <w:color w:val="auto"/>
                <w:sz w:val="28"/>
                <w:szCs w:val="28"/>
                <w:highlight w:val="none"/>
              </w:rPr>
            </w:pPr>
            <w:r>
              <w:rPr>
                <w:rFonts w:hint="eastAsia" w:ascii="宋体" w:hAnsi="宋体" w:cs="宋体"/>
                <w:b/>
                <w:bCs/>
                <w:color w:val="auto"/>
                <w:sz w:val="24"/>
                <w:highlight w:val="none"/>
              </w:rPr>
              <w:t>备注：以上资质证件为投标时资格审查的必备条件，供应商必须按要求提供，如果提供不全或未提供，则视为对响应文件资格审查内容的不响应，投标将被拒绝（不接受二次提供）。</w:t>
            </w:r>
          </w:p>
        </w:tc>
      </w:tr>
      <w:tr w14:paraId="1903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A8A66A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w:t>
            </w:r>
          </w:p>
        </w:tc>
        <w:tc>
          <w:tcPr>
            <w:tcW w:w="8158" w:type="dxa"/>
            <w:tcBorders>
              <w:top w:val="single" w:color="auto" w:sz="4" w:space="0"/>
              <w:left w:val="single" w:color="auto" w:sz="4" w:space="0"/>
              <w:bottom w:val="single" w:color="auto" w:sz="4" w:space="0"/>
              <w:right w:val="single" w:color="auto" w:sz="4" w:space="0"/>
            </w:tcBorders>
            <w:vAlign w:val="center"/>
          </w:tcPr>
          <w:p w14:paraId="73EBA227">
            <w:pPr>
              <w:keepNext w:val="0"/>
              <w:keepLines w:val="0"/>
              <w:suppressLineNumbers w:val="0"/>
              <w:spacing w:before="0" w:beforeAutospacing="0" w:after="0" w:afterAutospacing="0" w:line="360" w:lineRule="auto"/>
              <w:ind w:left="0" w:right="0"/>
              <w:rPr>
                <w:rFonts w:hint="default" w:ascii="宋体" w:hAnsi="宋体"/>
                <w:b/>
                <w:bCs/>
                <w:color w:val="auto"/>
                <w:sz w:val="24"/>
                <w:highlight w:val="none"/>
              </w:rPr>
            </w:pPr>
            <w:r>
              <w:rPr>
                <w:rFonts w:hint="eastAsia" w:ascii="宋体" w:hAnsi="宋体"/>
                <w:b/>
                <w:bCs/>
                <w:color w:val="auto"/>
                <w:sz w:val="24"/>
                <w:highlight w:val="none"/>
              </w:rPr>
              <w:t>报价说明：</w:t>
            </w:r>
          </w:p>
          <w:p w14:paraId="18D6C8B5">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
                <w:bCs/>
                <w:color w:val="auto"/>
                <w:sz w:val="24"/>
                <w:highlight w:val="none"/>
              </w:rPr>
              <w:t>1、</w:t>
            </w:r>
            <w:r>
              <w:rPr>
                <w:rFonts w:hint="eastAsia" w:ascii="宋体" w:hAnsi="宋体" w:cs="宋体"/>
                <w:color w:val="auto"/>
                <w:sz w:val="24"/>
                <w:highlight w:val="none"/>
              </w:rPr>
              <w:t>按北园春官网（http://www.beiyuanchun.com/）中公布当日市场公示的</w:t>
            </w:r>
            <w:r>
              <w:rPr>
                <w:rFonts w:hint="eastAsia" w:ascii="宋体" w:hAnsi="宋体" w:cs="宋体"/>
                <w:b/>
                <w:bCs/>
                <w:color w:val="auto"/>
                <w:sz w:val="24"/>
                <w:highlight w:val="none"/>
              </w:rPr>
              <w:t>中间价</w:t>
            </w:r>
            <w:r>
              <w:rPr>
                <w:rFonts w:hint="eastAsia" w:ascii="宋体" w:hAnsi="宋体" w:cs="宋体"/>
                <w:color w:val="auto"/>
                <w:sz w:val="24"/>
                <w:highlight w:val="none"/>
              </w:rPr>
              <w:t>为基础报折扣率，即若在市场价的基础上报九五折，则报折扣率为95%；</w:t>
            </w:r>
          </w:p>
          <w:p w14:paraId="1264AD55">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报价方式：折扣率报价（折扣率不得高于100%）</w:t>
            </w:r>
          </w:p>
          <w:p w14:paraId="15D70A5A">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最高限价：</w:t>
            </w:r>
          </w:p>
          <w:p w14:paraId="4212EAA6">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1、供应商报价超过最高限价作废标处理，最高限价详见采购文件第五章  采购需求。</w:t>
            </w:r>
          </w:p>
          <w:p w14:paraId="14B69288">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2、应根据项目的实际需要整体报价，报价应包含合同期限内服务及其他相关工作的所有费用，总价包干方式报价。</w:t>
            </w:r>
          </w:p>
          <w:p w14:paraId="3735DF5B">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3、配送价格应包含乙方所有税费、成本、利润、运输、装卸、各类劳保、保险等一切费用。</w:t>
            </w:r>
          </w:p>
          <w:p w14:paraId="648B31F3">
            <w:pPr>
              <w:pStyle w:val="5"/>
              <w:suppressLineNumbers w:val="0"/>
              <w:spacing w:before="0" w:beforeAutospacing="0" w:after="0" w:afterAutospacing="0" w:line="360" w:lineRule="auto"/>
              <w:ind w:left="0" w:right="0"/>
              <w:jc w:val="left"/>
              <w:rPr>
                <w:rFonts w:hint="default" w:asciiTheme="minorEastAsia" w:hAnsiTheme="minorEastAsia" w:eastAsiaTheme="minorEastAsia" w:cstheme="minorEastAsia"/>
                <w:color w:val="auto"/>
                <w:sz w:val="24"/>
                <w:szCs w:val="24"/>
                <w:highlight w:val="none"/>
              </w:rPr>
            </w:pPr>
            <w:r>
              <w:rPr>
                <w:rFonts w:hint="eastAsia" w:ascii="宋体" w:hAnsi="宋体" w:cs="宋体"/>
                <w:color w:val="auto"/>
                <w:sz w:val="24"/>
                <w:szCs w:val="24"/>
                <w:highlight w:val="none"/>
              </w:rPr>
              <w:t>4、具体品种及数量以实际供货为准。</w:t>
            </w:r>
          </w:p>
        </w:tc>
      </w:tr>
      <w:tr w14:paraId="1A06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01E17F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w:t>
            </w:r>
          </w:p>
        </w:tc>
        <w:tc>
          <w:tcPr>
            <w:tcW w:w="8158" w:type="dxa"/>
            <w:tcBorders>
              <w:top w:val="single" w:color="auto" w:sz="4" w:space="0"/>
              <w:left w:val="single" w:color="auto" w:sz="4" w:space="0"/>
              <w:bottom w:val="single" w:color="auto" w:sz="4" w:space="0"/>
              <w:right w:val="single" w:color="auto" w:sz="4" w:space="0"/>
            </w:tcBorders>
            <w:vAlign w:val="center"/>
          </w:tcPr>
          <w:p w14:paraId="5436E14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
                <w:bCs/>
                <w:color w:val="auto"/>
                <w:sz w:val="24"/>
                <w:highlight w:val="none"/>
              </w:rPr>
              <w:t>本项目采购预算及资金来源：</w:t>
            </w:r>
          </w:p>
          <w:p w14:paraId="47CB2241">
            <w:pPr>
              <w:keepNext w:val="0"/>
              <w:keepLines w:val="0"/>
              <w:suppressLineNumbers w:val="0"/>
              <w:spacing w:before="0" w:beforeAutospacing="0" w:after="0" w:afterAutospacing="0" w:line="360" w:lineRule="auto"/>
              <w:ind w:left="0" w:right="0"/>
              <w:rPr>
                <w:rFonts w:hint="default"/>
                <w:color w:val="auto"/>
                <w:highlight w:val="none"/>
              </w:rPr>
            </w:pPr>
            <w:r>
              <w:rPr>
                <w:rFonts w:hint="eastAsia" w:ascii="宋体" w:hAnsi="宋体" w:cs="宋体"/>
                <w:b/>
                <w:bCs/>
                <w:color w:val="auto"/>
                <w:sz w:val="24"/>
                <w:highlight w:val="none"/>
              </w:rPr>
              <w:t>预算金额：300万元；资金来源：财政资金。</w:t>
            </w:r>
          </w:p>
        </w:tc>
      </w:tr>
      <w:tr w14:paraId="471E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26001B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w:t>
            </w:r>
          </w:p>
        </w:tc>
        <w:tc>
          <w:tcPr>
            <w:tcW w:w="8158" w:type="dxa"/>
            <w:tcBorders>
              <w:top w:val="single" w:color="auto" w:sz="4" w:space="0"/>
              <w:left w:val="single" w:color="auto" w:sz="4" w:space="0"/>
              <w:bottom w:val="single" w:color="auto" w:sz="4" w:space="0"/>
              <w:right w:val="single" w:color="auto" w:sz="4" w:space="0"/>
            </w:tcBorders>
            <w:vAlign w:val="center"/>
          </w:tcPr>
          <w:p w14:paraId="58FE2D0C">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评标委员会：</w:t>
            </w:r>
          </w:p>
          <w:p w14:paraId="3E0528F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（1）构成：</w:t>
            </w:r>
            <w:r>
              <w:rPr>
                <w:rFonts w:hint="eastAsia" w:ascii="宋体" w:hAnsi="宋体" w:cs="宋体"/>
                <w:color w:val="auto"/>
                <w:sz w:val="24"/>
                <w:highlight w:val="none"/>
                <w:u w:val="single"/>
              </w:rPr>
              <w:t>7</w:t>
            </w:r>
            <w:r>
              <w:rPr>
                <w:rFonts w:hint="eastAsia" w:ascii="宋体" w:hAnsi="宋体" w:cs="宋体"/>
                <w:color w:val="auto"/>
                <w:sz w:val="24"/>
                <w:highlight w:val="none"/>
              </w:rPr>
              <w:t>人，其中采购人代表</w:t>
            </w:r>
            <w:r>
              <w:rPr>
                <w:rFonts w:hint="eastAsia" w:ascii="宋体" w:hAnsi="宋体" w:cs="宋体"/>
                <w:color w:val="auto"/>
                <w:sz w:val="24"/>
                <w:highlight w:val="none"/>
                <w:u w:val="single"/>
              </w:rPr>
              <w:t>/</w:t>
            </w:r>
            <w:r>
              <w:rPr>
                <w:rFonts w:hint="eastAsia" w:ascii="宋体" w:hAnsi="宋体" w:cs="宋体"/>
                <w:color w:val="auto"/>
                <w:sz w:val="24"/>
                <w:highlight w:val="none"/>
              </w:rPr>
              <w:t>人，技术、经济专家</w:t>
            </w:r>
            <w:r>
              <w:rPr>
                <w:rFonts w:hint="eastAsia" w:ascii="宋体" w:hAnsi="宋体" w:cs="宋体"/>
                <w:color w:val="auto"/>
                <w:sz w:val="24"/>
                <w:highlight w:val="none"/>
                <w:u w:val="single"/>
              </w:rPr>
              <w:t>7</w:t>
            </w:r>
            <w:r>
              <w:rPr>
                <w:rFonts w:hint="eastAsia" w:ascii="宋体" w:hAnsi="宋体" w:cs="宋体"/>
                <w:color w:val="auto"/>
                <w:sz w:val="24"/>
                <w:highlight w:val="none"/>
              </w:rPr>
              <w:t>人</w:t>
            </w:r>
          </w:p>
          <w:p w14:paraId="49226613">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bCs/>
                <w:color w:val="auto"/>
                <w:sz w:val="24"/>
                <w:highlight w:val="none"/>
              </w:rPr>
            </w:pPr>
            <w:r>
              <w:rPr>
                <w:rFonts w:hint="eastAsia" w:ascii="宋体" w:hAnsi="宋体" w:cs="宋体"/>
                <w:color w:val="auto"/>
                <w:sz w:val="24"/>
                <w:highlight w:val="none"/>
              </w:rPr>
              <w:t>（2）方式：</w:t>
            </w:r>
            <w:r>
              <w:rPr>
                <w:rFonts w:hint="eastAsia" w:ascii="宋体" w:hAnsi="宋体" w:cs="宋体"/>
                <w:color w:val="auto"/>
                <w:sz w:val="24"/>
                <w:highlight w:val="none"/>
                <w:u w:val="single"/>
              </w:rPr>
              <w:t>新疆政府采购网政采云</w:t>
            </w:r>
            <w:r>
              <w:rPr>
                <w:rFonts w:hint="eastAsia" w:ascii="宋体" w:hAnsi="宋体" w:cs="宋体"/>
                <w:color w:val="auto"/>
                <w:sz w:val="24"/>
                <w:highlight w:val="none"/>
              </w:rPr>
              <w:t>评标专家库中随机抽取</w:t>
            </w:r>
          </w:p>
        </w:tc>
      </w:tr>
      <w:tr w14:paraId="41DC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4AE813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w:t>
            </w:r>
          </w:p>
        </w:tc>
        <w:tc>
          <w:tcPr>
            <w:tcW w:w="8158" w:type="dxa"/>
            <w:tcBorders>
              <w:top w:val="single" w:color="auto" w:sz="4" w:space="0"/>
              <w:left w:val="single" w:color="auto" w:sz="4" w:space="0"/>
              <w:bottom w:val="single" w:color="auto" w:sz="4" w:space="0"/>
              <w:right w:val="single" w:color="auto" w:sz="4" w:space="0"/>
            </w:tcBorders>
            <w:vAlign w:val="center"/>
          </w:tcPr>
          <w:p w14:paraId="4DC36B22">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中标公示：</w:t>
            </w:r>
            <w:r>
              <w:rPr>
                <w:rFonts w:hint="eastAsia" w:ascii="宋体" w:hAnsi="宋体" w:cs="宋体"/>
                <w:color w:val="auto"/>
                <w:sz w:val="24"/>
                <w:highlight w:val="none"/>
              </w:rPr>
              <w:t>对中标结果在规定的媒体上进行公示，中标</w:t>
            </w:r>
            <w:r>
              <w:rPr>
                <w:rFonts w:hint="eastAsia" w:cs="宋体"/>
                <w:color w:val="auto"/>
                <w:sz w:val="24"/>
                <w:highlight w:val="none"/>
              </w:rPr>
              <w:t>结果公示</w:t>
            </w:r>
            <w:r>
              <w:rPr>
                <w:rFonts w:hint="eastAsia" w:ascii="宋体" w:hAnsi="宋体" w:cs="宋体"/>
                <w:color w:val="auto"/>
                <w:sz w:val="24"/>
                <w:highlight w:val="none"/>
              </w:rPr>
              <w:t>期限为1个工作日。</w:t>
            </w:r>
          </w:p>
        </w:tc>
      </w:tr>
      <w:tr w14:paraId="6698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19253A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23</w:t>
            </w:r>
          </w:p>
        </w:tc>
        <w:tc>
          <w:tcPr>
            <w:tcW w:w="8158" w:type="dxa"/>
            <w:tcBorders>
              <w:top w:val="single" w:color="auto" w:sz="4" w:space="0"/>
              <w:left w:val="single" w:color="auto" w:sz="4" w:space="0"/>
              <w:bottom w:val="single" w:color="auto" w:sz="4" w:space="0"/>
              <w:right w:val="single" w:color="auto" w:sz="4" w:space="0"/>
            </w:tcBorders>
            <w:vAlign w:val="center"/>
          </w:tcPr>
          <w:p w14:paraId="2A91DE3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签订合同：中标（成交）通知书发出之日起30日内。</w:t>
            </w:r>
          </w:p>
        </w:tc>
      </w:tr>
      <w:tr w14:paraId="3CDE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0AD5E6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w:t>
            </w:r>
          </w:p>
        </w:tc>
        <w:tc>
          <w:tcPr>
            <w:tcW w:w="8158" w:type="dxa"/>
            <w:tcBorders>
              <w:top w:val="single" w:color="auto" w:sz="4" w:space="0"/>
              <w:left w:val="single" w:color="auto" w:sz="4" w:space="0"/>
              <w:bottom w:val="single" w:color="auto" w:sz="4" w:space="0"/>
              <w:right w:val="single" w:color="auto" w:sz="4" w:space="0"/>
            </w:tcBorders>
            <w:vAlign w:val="center"/>
          </w:tcPr>
          <w:p w14:paraId="16B5CF27">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重新招标或其他方式采购：</w:t>
            </w:r>
          </w:p>
          <w:p w14:paraId="5460D9F6">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公开招标数额标准以上的采购项目，投标截止后</w:t>
            </w:r>
            <w:r>
              <w:rPr>
                <w:rFonts w:hint="eastAsia" w:cs="宋体"/>
                <w:color w:val="auto"/>
                <w:sz w:val="24"/>
                <w:highlight w:val="none"/>
              </w:rPr>
              <w:t>供应商</w:t>
            </w:r>
            <w:r>
              <w:rPr>
                <w:rFonts w:hint="eastAsia" w:ascii="宋体" w:hAnsi="宋体" w:cs="宋体"/>
                <w:color w:val="auto"/>
                <w:sz w:val="24"/>
                <w:highlight w:val="none"/>
              </w:rPr>
              <w:t>不足</w:t>
            </w:r>
            <w:r>
              <w:rPr>
                <w:rFonts w:hint="eastAsia" w:cs="宋体"/>
                <w:color w:val="auto"/>
                <w:sz w:val="24"/>
                <w:highlight w:val="none"/>
              </w:rPr>
              <w:t>3</w:t>
            </w:r>
            <w:r>
              <w:rPr>
                <w:rFonts w:hint="eastAsia" w:ascii="宋体" w:hAnsi="宋体" w:cs="宋体"/>
                <w:color w:val="auto"/>
                <w:sz w:val="24"/>
                <w:highlight w:val="none"/>
              </w:rPr>
              <w:t>家或者通过资格审查或符合性审查的</w:t>
            </w:r>
            <w:r>
              <w:rPr>
                <w:rFonts w:hint="eastAsia" w:cs="宋体"/>
                <w:color w:val="auto"/>
                <w:sz w:val="24"/>
                <w:highlight w:val="none"/>
              </w:rPr>
              <w:t>供应商</w:t>
            </w:r>
            <w:r>
              <w:rPr>
                <w:rFonts w:hint="eastAsia" w:ascii="宋体" w:hAnsi="宋体" w:cs="宋体"/>
                <w:color w:val="auto"/>
                <w:sz w:val="24"/>
                <w:highlight w:val="none"/>
              </w:rPr>
              <w:t>不足</w:t>
            </w:r>
            <w:r>
              <w:rPr>
                <w:rFonts w:hint="eastAsia" w:cs="宋体"/>
                <w:color w:val="auto"/>
                <w:sz w:val="24"/>
                <w:highlight w:val="none"/>
              </w:rPr>
              <w:t>3</w:t>
            </w:r>
            <w:r>
              <w:rPr>
                <w:rFonts w:hint="eastAsia" w:ascii="宋体" w:hAnsi="宋体" w:cs="宋体"/>
                <w:color w:val="auto"/>
                <w:sz w:val="24"/>
                <w:highlight w:val="none"/>
              </w:rPr>
              <w:t>家的，除采购任务取消情形外，根据《政府采购货物和服务招标投标管理办法》（中华人民共和国财政部令第87号）第四十三条规定，按照以下方式处理：</w:t>
            </w:r>
          </w:p>
          <w:p w14:paraId="6BC4C84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w:t>
            </w:r>
            <w:r>
              <w:rPr>
                <w:rFonts w:hint="eastAsia" w:cs="宋体"/>
                <w:color w:val="auto"/>
                <w:sz w:val="24"/>
                <w:highlight w:val="none"/>
              </w:rPr>
              <w:t>采购文件</w:t>
            </w:r>
            <w:r>
              <w:rPr>
                <w:rFonts w:hint="eastAsia" w:ascii="宋体" w:hAnsi="宋体" w:cs="宋体"/>
                <w:color w:val="auto"/>
                <w:sz w:val="24"/>
                <w:highlight w:val="none"/>
              </w:rPr>
              <w:t>存在不合理条款或者招标程序不符合规定的，采购人、采购代理机构改正后依法重新招标；</w:t>
            </w:r>
          </w:p>
          <w:p w14:paraId="6C287B5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bCs/>
                <w:color w:val="auto"/>
                <w:sz w:val="24"/>
                <w:highlight w:val="none"/>
              </w:rPr>
            </w:pPr>
            <w:r>
              <w:rPr>
                <w:rFonts w:hint="eastAsia" w:ascii="宋体" w:hAnsi="宋体" w:cs="宋体"/>
                <w:color w:val="auto"/>
                <w:sz w:val="24"/>
                <w:highlight w:val="none"/>
              </w:rPr>
              <w:t>（2）</w:t>
            </w:r>
            <w:r>
              <w:rPr>
                <w:rFonts w:hint="eastAsia" w:cs="宋体"/>
                <w:color w:val="auto"/>
                <w:sz w:val="24"/>
                <w:highlight w:val="none"/>
              </w:rPr>
              <w:t>采购文件</w:t>
            </w:r>
            <w:r>
              <w:rPr>
                <w:rFonts w:hint="eastAsia" w:ascii="宋体" w:hAnsi="宋体" w:cs="宋体"/>
                <w:color w:val="auto"/>
                <w:sz w:val="24"/>
                <w:highlight w:val="none"/>
              </w:rPr>
              <w:t>没有不合理条款、招标程序符合规定，需要采用其他采购方式采购的，采购人应当依法报财政部门批准。</w:t>
            </w:r>
          </w:p>
        </w:tc>
      </w:tr>
      <w:tr w14:paraId="79A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A9EB3C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w:t>
            </w:r>
          </w:p>
        </w:tc>
        <w:tc>
          <w:tcPr>
            <w:tcW w:w="8158" w:type="dxa"/>
            <w:tcBorders>
              <w:top w:val="single" w:color="auto" w:sz="4" w:space="0"/>
              <w:left w:val="single" w:color="auto" w:sz="4" w:space="0"/>
              <w:bottom w:val="single" w:color="auto" w:sz="4" w:space="0"/>
              <w:right w:val="single" w:color="auto" w:sz="4" w:space="0"/>
            </w:tcBorders>
            <w:vAlign w:val="center"/>
          </w:tcPr>
          <w:p w14:paraId="2F6010F2">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质疑和投诉：</w:t>
            </w:r>
          </w:p>
          <w:p w14:paraId="118BFA5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供应商认为采购文件、采购过程、中标或者成交结果使自己的权益受到损害的，可以在知道或者应知其权益受到损害之日起7个工作日内，以书面形式向采购人、采购代理机构提出质疑。采购人、采购代理机构不得拒收质疑供应商在法定质疑期内发出的质疑函，应当在收到质疑函后7个工作日内作出答复，并以书面形式通知质疑供应商和其他有关供应商。供应商对答复不满意或采购人 / 代理机构逾期未答复的，可在答复期满后 15 个工作日内向同级财政部门投诉。投诉人对财政部门处理决定不服或其逾期未处理的，可依法申请行政复议或提起行政诉讼</w:t>
            </w:r>
          </w:p>
          <w:p w14:paraId="019C204B">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（2）质疑、投诉必须采用书面形式，明确阐述权益受损的实质性内容，并提供相关事实、法律依据、证据及线索，便于调查处理中国政府网</w:t>
            </w:r>
          </w:p>
          <w:p w14:paraId="70E8FA1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（3）针对同一采购程序环节的质疑，应一次性提出，采购人/代理机构不作重复答复。</w:t>
            </w:r>
          </w:p>
        </w:tc>
      </w:tr>
      <w:tr w14:paraId="5C1F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0A5A9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w:t>
            </w:r>
          </w:p>
        </w:tc>
        <w:tc>
          <w:tcPr>
            <w:tcW w:w="8158" w:type="dxa"/>
            <w:tcBorders>
              <w:top w:val="single" w:color="auto" w:sz="4" w:space="0"/>
              <w:left w:val="single" w:color="auto" w:sz="4" w:space="0"/>
              <w:bottom w:val="single" w:color="auto" w:sz="4" w:space="0"/>
              <w:right w:val="single" w:color="auto" w:sz="4" w:space="0"/>
            </w:tcBorders>
            <w:vAlign w:val="center"/>
          </w:tcPr>
          <w:p w14:paraId="39ECC114">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1.采购代理服务费按预算金额计取，由中标人支付。</w:t>
            </w:r>
          </w:p>
          <w:p w14:paraId="50B2767F">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2.采购代理服务费的计算参照国家发展计划委员会文件（计价格[2002]1980号文）和（发改价格[2011]534 号）下浮20%计取。中标人须在领取中标通知书时一次性付清采购代理服务费。</w:t>
            </w:r>
          </w:p>
        </w:tc>
      </w:tr>
      <w:tr w14:paraId="4FA1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8A75EF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w:t>
            </w:r>
          </w:p>
        </w:tc>
        <w:tc>
          <w:tcPr>
            <w:tcW w:w="8158" w:type="dxa"/>
            <w:tcBorders>
              <w:top w:val="single" w:color="auto" w:sz="4" w:space="0"/>
              <w:left w:val="single" w:color="auto" w:sz="4" w:space="0"/>
              <w:bottom w:val="single" w:color="auto" w:sz="4" w:space="0"/>
              <w:right w:val="single" w:color="auto" w:sz="4" w:space="0"/>
            </w:tcBorders>
            <w:vAlign w:val="center"/>
          </w:tcPr>
          <w:p w14:paraId="09FF2441">
            <w:pPr>
              <w:keepNext w:val="0"/>
              <w:keepLines w:val="0"/>
              <w:suppressLineNumbers w:val="0"/>
              <w:spacing w:before="0" w:beforeAutospacing="0" w:after="0" w:afterAutospacing="0" w:line="360" w:lineRule="auto"/>
              <w:ind w:left="0" w:right="0"/>
              <w:rPr>
                <w:rFonts w:hint="default" w:cs="宋体"/>
                <w:color w:val="auto"/>
                <w:sz w:val="24"/>
                <w:highlight w:val="none"/>
              </w:rPr>
            </w:pPr>
            <w:r>
              <w:rPr>
                <w:rFonts w:hint="eastAsia" w:cs="宋体"/>
                <w:color w:val="auto"/>
                <w:sz w:val="24"/>
                <w:highlight w:val="none"/>
              </w:rPr>
              <w:t>本项目采购标的对应的中小企业划分标准所属行业为：</w:t>
            </w:r>
            <w:r>
              <w:rPr>
                <w:rFonts w:hint="eastAsia" w:cs="宋体"/>
                <w:b/>
                <w:bCs/>
                <w:color w:val="auto"/>
                <w:sz w:val="24"/>
                <w:highlight w:val="none"/>
                <w:u w:val="single"/>
              </w:rPr>
              <w:t>农、林、牧、渔业</w:t>
            </w:r>
            <w:r>
              <w:rPr>
                <w:rFonts w:hint="eastAsia" w:cs="宋体"/>
                <w:b/>
                <w:bCs/>
                <w:color w:val="auto"/>
                <w:sz w:val="24"/>
                <w:highlight w:val="none"/>
              </w:rPr>
              <w:t>。营业收入20000万元以下的为中小微型企业。其中，营业收入500万元及以上的为中型企业，营业收入50万元及以上的为小型企业，营业收入50万元以下的为微型企业。</w:t>
            </w:r>
            <w:r>
              <w:rPr>
                <w:rFonts w:hint="eastAsia" w:cs="宋体"/>
                <w:color w:val="auto"/>
                <w:sz w:val="24"/>
                <w:highlight w:val="none"/>
              </w:rPr>
              <w:t>（附件1中小企业划型标准规定）</w:t>
            </w:r>
          </w:p>
          <w:p w14:paraId="33A197F5">
            <w:pPr>
              <w:pStyle w:val="2"/>
              <w:spacing w:line="360" w:lineRule="auto"/>
              <w:ind w:firstLine="0" w:firstLineChars="0"/>
              <w:rPr>
                <w:b/>
                <w:bCs/>
                <w:color w:val="auto"/>
                <w:sz w:val="24"/>
                <w:highlight w:val="none"/>
              </w:rPr>
            </w:pPr>
            <w:r>
              <w:rPr>
                <w:rFonts w:hint="eastAsia"/>
                <w:b/>
                <w:bCs/>
                <w:color w:val="auto"/>
                <w:sz w:val="24"/>
                <w:highlight w:val="none"/>
              </w:rPr>
              <w:t>是否专门面向中小企业采购：是</w:t>
            </w:r>
          </w:p>
          <w:p w14:paraId="4965B988">
            <w:pPr>
              <w:pStyle w:val="2"/>
              <w:spacing w:line="360" w:lineRule="auto"/>
              <w:ind w:firstLine="0" w:firstLineChars="0"/>
              <w:rPr>
                <w:rFonts w:asciiTheme="minorEastAsia" w:hAnsiTheme="minorEastAsia" w:eastAsiaTheme="minorEastAsia" w:cstheme="minorEastAsia"/>
                <w:b/>
                <w:bCs/>
                <w:color w:val="auto"/>
                <w:sz w:val="24"/>
                <w:highlight w:val="none"/>
              </w:rPr>
            </w:pPr>
            <w:r>
              <w:rPr>
                <w:rFonts w:hint="eastAsia"/>
                <w:b/>
                <w:bCs/>
                <w:color w:val="auto"/>
                <w:sz w:val="24"/>
                <w:highlight w:val="none"/>
              </w:rPr>
              <w:t>是否为本项目面向中小企业采购预留份额：中小企业预留份额：30.00%，其中：小微企业预留份额：60.00%。</w:t>
            </w:r>
          </w:p>
        </w:tc>
      </w:tr>
      <w:tr w14:paraId="2B33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1D0CAB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w:t>
            </w:r>
          </w:p>
        </w:tc>
        <w:tc>
          <w:tcPr>
            <w:tcW w:w="8158" w:type="dxa"/>
            <w:tcBorders>
              <w:top w:val="single" w:color="auto" w:sz="4" w:space="0"/>
              <w:left w:val="single" w:color="auto" w:sz="4" w:space="0"/>
              <w:bottom w:val="single" w:color="auto" w:sz="4" w:space="0"/>
              <w:right w:val="single" w:color="auto" w:sz="4" w:space="0"/>
            </w:tcBorders>
            <w:vAlign w:val="center"/>
          </w:tcPr>
          <w:p w14:paraId="77A5799B">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备注：</w:t>
            </w:r>
            <w:r>
              <w:rPr>
                <w:rFonts w:hint="eastAsia" w:ascii="宋体" w:hAnsi="宋体" w:cs="宋体"/>
                <w:color w:val="auto"/>
                <w:kern w:val="1"/>
                <w:sz w:val="24"/>
                <w:highlight w:val="none"/>
              </w:rPr>
              <w:t>如本《供应商须知前附表》相关内容与采购文件中的相关内容如有不一致处，则以本《供应商须知前附表》相关内容为准。</w:t>
            </w:r>
          </w:p>
        </w:tc>
      </w:tr>
      <w:tr w14:paraId="08C4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BBC697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w:t>
            </w:r>
          </w:p>
        </w:tc>
        <w:tc>
          <w:tcPr>
            <w:tcW w:w="8158" w:type="dxa"/>
            <w:tcBorders>
              <w:top w:val="single" w:color="auto" w:sz="4" w:space="0"/>
              <w:left w:val="single" w:color="auto" w:sz="4" w:space="0"/>
              <w:bottom w:val="single" w:color="auto" w:sz="4" w:space="0"/>
              <w:right w:val="single" w:color="auto" w:sz="4" w:space="0"/>
            </w:tcBorders>
            <w:vAlign w:val="center"/>
          </w:tcPr>
          <w:p w14:paraId="48419642">
            <w:pPr>
              <w:keepNext w:val="0"/>
              <w:keepLines w:val="0"/>
              <w:suppressLineNumbers w:val="0"/>
              <w:spacing w:before="68" w:beforeAutospacing="0" w:after="0" w:afterAutospacing="0" w:line="227" w:lineRule="auto"/>
              <w:ind w:left="103" w:right="0"/>
              <w:rPr>
                <w:rFonts w:hint="default" w:ascii="宋体" w:hAnsi="宋体" w:cs="宋体"/>
                <w:color w:val="auto"/>
                <w:spacing w:val="11"/>
                <w:sz w:val="24"/>
                <w:highlight w:val="none"/>
              </w:rPr>
            </w:pPr>
            <w:r>
              <w:rPr>
                <w:rFonts w:hint="eastAsia" w:ascii="宋体" w:hAnsi="宋体" w:cs="宋体"/>
                <w:color w:val="auto"/>
                <w:spacing w:val="11"/>
                <w:sz w:val="24"/>
                <w:highlight w:val="none"/>
              </w:rPr>
              <w:t>1.重要说明：</w:t>
            </w:r>
          </w:p>
          <w:p w14:paraId="6E8F0B6C">
            <w:pPr>
              <w:keepNext w:val="0"/>
              <w:keepLines w:val="0"/>
              <w:suppressLineNumbers w:val="0"/>
              <w:spacing w:before="68" w:beforeAutospacing="0" w:after="0" w:afterAutospacing="0" w:line="227" w:lineRule="auto"/>
              <w:ind w:left="0" w:right="0"/>
              <w:rPr>
                <w:rFonts w:hint="default" w:ascii="宋体" w:hAnsi="宋体" w:cs="宋体"/>
                <w:color w:val="auto"/>
                <w:sz w:val="24"/>
                <w:highlight w:val="none"/>
              </w:rPr>
            </w:pPr>
            <w:r>
              <w:rPr>
                <w:rFonts w:hint="eastAsia" w:ascii="宋体" w:hAnsi="宋体" w:cs="宋体"/>
                <w:color w:val="auto"/>
                <w:spacing w:val="11"/>
                <w:sz w:val="24"/>
                <w:highlight w:val="none"/>
              </w:rPr>
              <w:t>（1）本项目采用全流程不见面电子开评标，投标供应商需要使用CA加密设备，供应商可通过新疆数字证书认证中心官网(</w:t>
            </w:r>
            <w:r>
              <w:rPr>
                <w:rFonts w:hint="default"/>
                <w:color w:val="auto"/>
                <w:highlight w:val="none"/>
              </w:rPr>
              <w:fldChar w:fldCharType="begin"/>
            </w:r>
            <w:r>
              <w:rPr>
                <w:rFonts w:hint="default"/>
                <w:color w:val="auto"/>
                <w:highlight w:val="none"/>
              </w:rPr>
              <w:instrText xml:space="preserve"> HYPERLINK "https://www.xjca.com.cn/" </w:instrText>
            </w:r>
            <w:r>
              <w:rPr>
                <w:rFonts w:hint="default"/>
                <w:color w:val="auto"/>
                <w:highlight w:val="none"/>
              </w:rPr>
              <w:fldChar w:fldCharType="separate"/>
            </w:r>
            <w:r>
              <w:rPr>
                <w:rFonts w:hint="eastAsia" w:ascii="宋体" w:hAnsi="宋体" w:cs="宋体"/>
                <w:color w:val="auto"/>
                <w:spacing w:val="11"/>
                <w:sz w:val="24"/>
                <w:highlight w:val="none"/>
              </w:rPr>
              <w:t>https://www.xjca.com.cn/</w:t>
            </w:r>
            <w:r>
              <w:rPr>
                <w:rFonts w:hint="eastAsia" w:ascii="宋体" w:hAnsi="宋体" w:cs="宋体"/>
                <w:color w:val="auto"/>
                <w:spacing w:val="11"/>
                <w:sz w:val="24"/>
                <w:highlight w:val="none"/>
              </w:rPr>
              <w:fldChar w:fldCharType="end"/>
            </w:r>
            <w:r>
              <w:rPr>
                <w:rFonts w:hint="eastAsia" w:ascii="宋体" w:hAnsi="宋体" w:cs="宋体"/>
                <w:color w:val="auto"/>
                <w:spacing w:val="11"/>
                <w:sz w:val="24"/>
                <w:highlight w:val="none"/>
              </w:rPr>
              <w:t>)或下载“新</w:t>
            </w:r>
            <w:r>
              <w:rPr>
                <w:rFonts w:hint="eastAsia" w:ascii="宋体" w:hAnsi="宋体" w:cs="宋体"/>
                <w:color w:val="auto"/>
                <w:spacing w:val="5"/>
                <w:sz w:val="24"/>
                <w:highlight w:val="none"/>
              </w:rPr>
              <w:t>疆政务通”</w:t>
            </w:r>
            <w:r>
              <w:rPr>
                <w:rFonts w:hint="eastAsia" w:ascii="宋体" w:hAnsi="宋体" w:cs="宋体"/>
                <w:color w:val="auto"/>
                <w:sz w:val="24"/>
                <w:highlight w:val="none"/>
              </w:rPr>
              <w:t>APP</w:t>
            </w:r>
            <w:r>
              <w:rPr>
                <w:rFonts w:hint="eastAsia" w:ascii="宋体" w:hAnsi="宋体" w:cs="宋体"/>
                <w:color w:val="auto"/>
                <w:spacing w:val="5"/>
                <w:sz w:val="24"/>
                <w:highlight w:val="none"/>
              </w:rPr>
              <w:t>自行进行申领。</w:t>
            </w:r>
          </w:p>
          <w:p w14:paraId="30677C1E">
            <w:pPr>
              <w:keepNext w:val="0"/>
              <w:keepLines w:val="0"/>
              <w:suppressLineNumbers w:val="0"/>
              <w:spacing w:before="40" w:beforeAutospacing="0" w:after="0" w:afterAutospacing="0" w:line="268" w:lineRule="auto"/>
              <w:ind w:left="0" w:right="97"/>
              <w:jc w:val="left"/>
              <w:rPr>
                <w:rFonts w:hint="default" w:ascii="宋体" w:hAnsi="宋体" w:cs="宋体"/>
                <w:color w:val="auto"/>
                <w:sz w:val="24"/>
                <w:highlight w:val="none"/>
              </w:rPr>
            </w:pPr>
            <w:r>
              <w:rPr>
                <w:rFonts w:hint="eastAsia" w:ascii="宋体" w:hAnsi="宋体" w:cs="宋体"/>
                <w:color w:val="auto"/>
                <w:spacing w:val="12"/>
                <w:sz w:val="24"/>
                <w:highlight w:val="none"/>
              </w:rPr>
              <w:t>（2）本</w:t>
            </w:r>
            <w:r>
              <w:rPr>
                <w:rFonts w:hint="eastAsia" w:ascii="宋体" w:hAnsi="宋体" w:cs="宋体"/>
                <w:color w:val="auto"/>
                <w:spacing w:val="9"/>
                <w:sz w:val="24"/>
                <w:highlight w:val="none"/>
              </w:rPr>
              <w:t>项</w:t>
            </w:r>
            <w:r>
              <w:rPr>
                <w:rFonts w:hint="eastAsia" w:ascii="宋体" w:hAnsi="宋体" w:cs="宋体"/>
                <w:color w:val="auto"/>
                <w:spacing w:val="6"/>
                <w:sz w:val="24"/>
                <w:highlight w:val="none"/>
              </w:rPr>
              <w:t>目实行网上投标，采用加密电子响应文件(供应商须使用</w:t>
            </w:r>
            <w:r>
              <w:rPr>
                <w:rFonts w:hint="eastAsia" w:ascii="宋体" w:hAnsi="宋体" w:cs="宋体"/>
                <w:color w:val="auto"/>
                <w:sz w:val="24"/>
                <w:highlight w:val="none"/>
              </w:rPr>
              <w:t>CA</w:t>
            </w:r>
            <w:r>
              <w:rPr>
                <w:rFonts w:hint="eastAsia" w:ascii="宋体" w:hAnsi="宋体" w:cs="宋体"/>
                <w:color w:val="auto"/>
                <w:spacing w:val="6"/>
                <w:sz w:val="24"/>
                <w:highlight w:val="none"/>
              </w:rPr>
              <w:t>加密设备通过</w:t>
            </w:r>
            <w:r>
              <w:rPr>
                <w:rFonts w:hint="eastAsia" w:ascii="宋体" w:hAnsi="宋体" w:cs="宋体"/>
                <w:color w:val="auto"/>
                <w:spacing w:val="12"/>
                <w:sz w:val="24"/>
                <w:highlight w:val="none"/>
              </w:rPr>
              <w:t>政采云</w:t>
            </w:r>
            <w:r>
              <w:rPr>
                <w:rFonts w:hint="eastAsia" w:ascii="宋体" w:hAnsi="宋体" w:cs="宋体"/>
                <w:color w:val="auto"/>
                <w:spacing w:val="7"/>
                <w:sz w:val="24"/>
                <w:highlight w:val="none"/>
              </w:rPr>
              <w:t>电</w:t>
            </w:r>
            <w:r>
              <w:rPr>
                <w:rFonts w:hint="eastAsia" w:ascii="宋体" w:hAnsi="宋体" w:cs="宋体"/>
                <w:color w:val="auto"/>
                <w:spacing w:val="6"/>
                <w:sz w:val="24"/>
                <w:highlight w:val="none"/>
              </w:rPr>
              <w:t>子投标客户端制作响应文件)。若供应商参与投标自行承担投标一切</w:t>
            </w:r>
            <w:r>
              <w:rPr>
                <w:rFonts w:hint="eastAsia" w:ascii="宋体" w:hAnsi="宋体" w:cs="宋体"/>
                <w:color w:val="auto"/>
                <w:spacing w:val="15"/>
                <w:sz w:val="24"/>
                <w:highlight w:val="none"/>
              </w:rPr>
              <w:t>费</w:t>
            </w:r>
            <w:r>
              <w:rPr>
                <w:rFonts w:hint="eastAsia" w:ascii="宋体" w:hAnsi="宋体" w:cs="宋体"/>
                <w:color w:val="auto"/>
                <w:spacing w:val="13"/>
                <w:sz w:val="24"/>
                <w:highlight w:val="none"/>
              </w:rPr>
              <w:t>用。</w:t>
            </w:r>
            <w:r>
              <w:rPr>
                <w:rFonts w:hint="eastAsia" w:ascii="宋体" w:hAnsi="宋体" w:cs="宋体"/>
                <w:color w:val="auto"/>
                <w:sz w:val="24"/>
                <w:highlight w:val="none"/>
              </w:rPr>
              <w:t>（3）</w:t>
            </w:r>
            <w:r>
              <w:rPr>
                <w:rFonts w:hint="eastAsia" w:ascii="宋体" w:hAnsi="宋体" w:cs="宋体"/>
                <w:color w:val="auto"/>
                <w:spacing w:val="9"/>
                <w:sz w:val="24"/>
                <w:highlight w:val="none"/>
              </w:rPr>
              <w:t>各供应商在开标前应确保成为新疆维吾尔自治区政府采购网正式注册入库供</w:t>
            </w:r>
            <w:r>
              <w:rPr>
                <w:rFonts w:hint="eastAsia" w:ascii="宋体" w:hAnsi="宋体" w:cs="宋体"/>
                <w:color w:val="auto"/>
                <w:spacing w:val="2"/>
                <w:sz w:val="24"/>
                <w:highlight w:val="none"/>
              </w:rPr>
              <w:t>应商，并完成</w:t>
            </w:r>
            <w:r>
              <w:rPr>
                <w:rFonts w:hint="eastAsia" w:ascii="宋体" w:hAnsi="宋体" w:cs="宋体"/>
                <w:color w:val="auto"/>
                <w:sz w:val="24"/>
                <w:highlight w:val="none"/>
              </w:rPr>
              <w:t>CA</w:t>
            </w:r>
            <w:r>
              <w:rPr>
                <w:rFonts w:hint="eastAsia" w:ascii="宋体" w:hAnsi="宋体" w:cs="宋体"/>
                <w:color w:val="auto"/>
                <w:spacing w:val="1"/>
                <w:sz w:val="24"/>
                <w:highlight w:val="none"/>
              </w:rPr>
              <w:t>数字证书申领。因未注册入库、未办理</w:t>
            </w:r>
            <w:r>
              <w:rPr>
                <w:rFonts w:hint="eastAsia" w:ascii="宋体" w:hAnsi="宋体" w:cs="宋体"/>
                <w:color w:val="auto"/>
                <w:sz w:val="24"/>
                <w:highlight w:val="none"/>
              </w:rPr>
              <w:t>CA</w:t>
            </w:r>
            <w:r>
              <w:rPr>
                <w:rFonts w:hint="eastAsia" w:ascii="宋体" w:hAnsi="宋体" w:cs="宋体"/>
                <w:color w:val="auto"/>
                <w:spacing w:val="1"/>
                <w:sz w:val="24"/>
                <w:highlight w:val="none"/>
              </w:rPr>
              <w:t>数字证书等原因造成</w:t>
            </w:r>
            <w:r>
              <w:rPr>
                <w:rFonts w:hint="eastAsia" w:ascii="宋体" w:hAnsi="宋体" w:cs="宋体"/>
                <w:color w:val="auto"/>
                <w:spacing w:val="20"/>
                <w:sz w:val="24"/>
                <w:highlight w:val="none"/>
              </w:rPr>
              <w:t>无</w:t>
            </w:r>
            <w:r>
              <w:rPr>
                <w:rFonts w:hint="eastAsia" w:ascii="宋体" w:hAnsi="宋体" w:cs="宋体"/>
                <w:color w:val="auto"/>
                <w:spacing w:val="11"/>
                <w:sz w:val="24"/>
                <w:highlight w:val="none"/>
              </w:rPr>
              <w:t>法</w:t>
            </w:r>
            <w:r>
              <w:rPr>
                <w:rFonts w:hint="eastAsia" w:ascii="宋体" w:hAnsi="宋体" w:cs="宋体"/>
                <w:color w:val="auto"/>
                <w:spacing w:val="10"/>
                <w:sz w:val="24"/>
                <w:highlight w:val="none"/>
              </w:rPr>
              <w:t>投标或投标失败等后果由供应商自行承担。</w:t>
            </w:r>
          </w:p>
          <w:p w14:paraId="5C96CD8A">
            <w:pPr>
              <w:keepNext w:val="0"/>
              <w:keepLines w:val="0"/>
              <w:suppressLineNumbers w:val="0"/>
              <w:spacing w:before="40" w:beforeAutospacing="0" w:after="0" w:afterAutospacing="0" w:line="268" w:lineRule="auto"/>
              <w:ind w:left="0" w:right="97"/>
              <w:rPr>
                <w:rFonts w:hint="default" w:ascii="宋体" w:hAnsi="宋体" w:cs="宋体"/>
                <w:color w:val="auto"/>
                <w:sz w:val="24"/>
                <w:highlight w:val="none"/>
              </w:rPr>
            </w:pPr>
            <w:r>
              <w:rPr>
                <w:rFonts w:hint="eastAsia" w:ascii="宋体" w:hAnsi="宋体" w:cs="宋体"/>
                <w:color w:val="auto"/>
                <w:spacing w:val="12"/>
                <w:sz w:val="24"/>
                <w:highlight w:val="none"/>
              </w:rPr>
              <w:t>（4）供</w:t>
            </w:r>
            <w:r>
              <w:rPr>
                <w:rFonts w:hint="eastAsia" w:ascii="宋体" w:hAnsi="宋体" w:cs="宋体"/>
                <w:color w:val="auto"/>
                <w:spacing w:val="8"/>
                <w:sz w:val="24"/>
                <w:highlight w:val="none"/>
              </w:rPr>
              <w:t>应</w:t>
            </w:r>
            <w:r>
              <w:rPr>
                <w:rFonts w:hint="eastAsia" w:ascii="宋体" w:hAnsi="宋体" w:cs="宋体"/>
                <w:color w:val="auto"/>
                <w:spacing w:val="6"/>
                <w:sz w:val="24"/>
                <w:highlight w:val="none"/>
              </w:rPr>
              <w:t>商将政采云电子交易客户端下载、安装完成后，可通过账号密码或</w:t>
            </w:r>
            <w:r>
              <w:rPr>
                <w:rFonts w:hint="eastAsia" w:ascii="宋体" w:hAnsi="宋体" w:cs="宋体"/>
                <w:color w:val="auto"/>
                <w:sz w:val="24"/>
                <w:highlight w:val="none"/>
              </w:rPr>
              <w:t>CA</w:t>
            </w:r>
            <w:r>
              <w:rPr>
                <w:rFonts w:hint="eastAsia" w:ascii="宋体" w:hAnsi="宋体" w:cs="宋体"/>
                <w:color w:val="auto"/>
                <w:spacing w:val="6"/>
                <w:sz w:val="24"/>
                <w:highlight w:val="none"/>
              </w:rPr>
              <w:t>登</w:t>
            </w:r>
            <w:r>
              <w:rPr>
                <w:rFonts w:hint="eastAsia" w:ascii="宋体" w:hAnsi="宋体" w:cs="宋体"/>
                <w:color w:val="auto"/>
                <w:spacing w:val="18"/>
                <w:sz w:val="24"/>
                <w:highlight w:val="none"/>
              </w:rPr>
              <w:t>录</w:t>
            </w:r>
            <w:r>
              <w:rPr>
                <w:rFonts w:hint="eastAsia" w:ascii="宋体" w:hAnsi="宋体" w:cs="宋体"/>
                <w:color w:val="auto"/>
                <w:spacing w:val="11"/>
                <w:sz w:val="24"/>
                <w:highlight w:val="none"/>
              </w:rPr>
              <w:t>客户端进行响应文件制作。在使用政采云投标客户端时，建议使用</w:t>
            </w:r>
            <w:r>
              <w:rPr>
                <w:rFonts w:hint="eastAsia" w:ascii="宋体" w:hAnsi="宋体" w:cs="宋体"/>
                <w:color w:val="auto"/>
                <w:sz w:val="24"/>
                <w:highlight w:val="none"/>
              </w:rPr>
              <w:t>WIN</w:t>
            </w:r>
            <w:r>
              <w:rPr>
                <w:rFonts w:hint="eastAsia" w:ascii="宋体" w:hAnsi="宋体" w:cs="宋体"/>
                <w:color w:val="auto"/>
                <w:spacing w:val="11"/>
                <w:sz w:val="24"/>
                <w:highlight w:val="none"/>
              </w:rPr>
              <w:t>7+64</w:t>
            </w:r>
            <w:r>
              <w:rPr>
                <w:rFonts w:hint="eastAsia" w:ascii="宋体" w:hAnsi="宋体" w:cs="宋体"/>
                <w:color w:val="auto"/>
                <w:spacing w:val="18"/>
                <w:sz w:val="24"/>
                <w:highlight w:val="none"/>
              </w:rPr>
              <w:t>位</w:t>
            </w:r>
            <w:r>
              <w:rPr>
                <w:rFonts w:hint="eastAsia" w:ascii="宋体" w:hAnsi="宋体" w:cs="宋体"/>
                <w:color w:val="auto"/>
                <w:spacing w:val="12"/>
                <w:sz w:val="24"/>
                <w:highlight w:val="none"/>
              </w:rPr>
              <w:t>及</w:t>
            </w:r>
            <w:r>
              <w:rPr>
                <w:rFonts w:hint="eastAsia" w:ascii="宋体" w:hAnsi="宋体" w:cs="宋体"/>
                <w:color w:val="auto"/>
                <w:spacing w:val="9"/>
                <w:sz w:val="24"/>
                <w:highlight w:val="none"/>
              </w:rPr>
              <w:t>以上操作系统。客户端请至新疆政府采购网</w:t>
            </w:r>
            <w:r>
              <w:rPr>
                <w:rFonts w:hint="eastAsia" w:ascii="宋体" w:hAnsi="宋体" w:cs="宋体"/>
                <w:color w:val="auto"/>
                <w:spacing w:val="22"/>
                <w:sz w:val="24"/>
                <w:highlight w:val="none"/>
              </w:rPr>
              <w:t>(</w:t>
            </w:r>
            <w:r>
              <w:rPr>
                <w:rFonts w:hint="default"/>
                <w:color w:val="auto"/>
                <w:highlight w:val="none"/>
              </w:rPr>
              <w:fldChar w:fldCharType="begin"/>
            </w:r>
            <w:r>
              <w:rPr>
                <w:rFonts w:hint="default"/>
                <w:color w:val="auto"/>
                <w:highlight w:val="none"/>
              </w:rPr>
              <w:instrText xml:space="preserve"> HYPERLINK "http://www.ccgp-xinjiang.gov.cn/" </w:instrText>
            </w:r>
            <w:r>
              <w:rPr>
                <w:rFonts w:hint="default"/>
                <w:color w:val="auto"/>
                <w:highlight w:val="none"/>
              </w:rPr>
              <w:fldChar w:fldCharType="separate"/>
            </w:r>
            <w:r>
              <w:rPr>
                <w:rFonts w:hint="eastAsia" w:ascii="宋体" w:hAnsi="宋体" w:cs="宋体"/>
                <w:color w:val="auto"/>
                <w:sz w:val="24"/>
                <w:highlight w:val="none"/>
              </w:rPr>
              <w:t>http</w:t>
            </w:r>
            <w:r>
              <w:rPr>
                <w:rFonts w:hint="eastAsia" w:ascii="宋体" w:hAnsi="宋体" w:cs="宋体"/>
                <w:color w:val="auto"/>
                <w:spacing w:val="21"/>
                <w:sz w:val="24"/>
                <w:highlight w:val="none"/>
              </w:rPr>
              <w:t>:</w:t>
            </w:r>
            <w:r>
              <w:rPr>
                <w:rFonts w:hint="eastAsia" w:ascii="宋体" w:hAnsi="宋体" w:cs="宋体"/>
                <w:color w:val="auto"/>
                <w:spacing w:val="11"/>
                <w:sz w:val="24"/>
                <w:highlight w:val="none"/>
              </w:rPr>
              <w:t>//</w:t>
            </w:r>
            <w:r>
              <w:rPr>
                <w:rFonts w:hint="eastAsia" w:ascii="宋体" w:hAnsi="宋体" w:cs="宋体"/>
                <w:color w:val="auto"/>
                <w:sz w:val="24"/>
                <w:highlight w:val="none"/>
              </w:rPr>
              <w:t>www</w:t>
            </w:r>
            <w:r>
              <w:rPr>
                <w:rFonts w:hint="eastAsia" w:ascii="宋体" w:hAnsi="宋体" w:cs="宋体"/>
                <w:color w:val="auto"/>
                <w:spacing w:val="11"/>
                <w:sz w:val="24"/>
                <w:highlight w:val="none"/>
              </w:rPr>
              <w:t>.</w:t>
            </w:r>
            <w:r>
              <w:rPr>
                <w:rFonts w:hint="eastAsia" w:ascii="宋体" w:hAnsi="宋体" w:cs="宋体"/>
                <w:color w:val="auto"/>
                <w:sz w:val="24"/>
                <w:highlight w:val="none"/>
              </w:rPr>
              <w:t>ccgp</w:t>
            </w:r>
            <w:r>
              <w:rPr>
                <w:rFonts w:hint="eastAsia" w:ascii="宋体" w:hAnsi="宋体" w:cs="宋体"/>
                <w:color w:val="auto"/>
                <w:spacing w:val="11"/>
                <w:sz w:val="24"/>
                <w:highlight w:val="none"/>
              </w:rPr>
              <w:t>-</w:t>
            </w:r>
            <w:r>
              <w:rPr>
                <w:rFonts w:hint="eastAsia" w:ascii="宋体" w:hAnsi="宋体" w:cs="宋体"/>
                <w:color w:val="auto"/>
                <w:sz w:val="24"/>
                <w:highlight w:val="none"/>
              </w:rPr>
              <w:t>xinjiang</w:t>
            </w:r>
            <w:r>
              <w:rPr>
                <w:rFonts w:hint="eastAsia" w:ascii="宋体" w:hAnsi="宋体" w:cs="宋体"/>
                <w:color w:val="auto"/>
                <w:spacing w:val="11"/>
                <w:sz w:val="24"/>
                <w:highlight w:val="none"/>
              </w:rPr>
              <w:t>.</w:t>
            </w:r>
            <w:r>
              <w:rPr>
                <w:rFonts w:hint="eastAsia" w:ascii="宋体" w:hAnsi="宋体" w:cs="宋体"/>
                <w:color w:val="auto"/>
                <w:sz w:val="24"/>
                <w:highlight w:val="none"/>
              </w:rPr>
              <w:t>gov</w:t>
            </w:r>
            <w:r>
              <w:rPr>
                <w:rFonts w:hint="eastAsia" w:ascii="宋体" w:hAnsi="宋体" w:cs="宋体"/>
                <w:color w:val="auto"/>
                <w:spacing w:val="11"/>
                <w:sz w:val="24"/>
                <w:highlight w:val="none"/>
              </w:rPr>
              <w:t>.</w:t>
            </w:r>
            <w:r>
              <w:rPr>
                <w:rFonts w:hint="eastAsia" w:ascii="宋体" w:hAnsi="宋体" w:cs="宋体"/>
                <w:color w:val="auto"/>
                <w:sz w:val="24"/>
                <w:highlight w:val="none"/>
              </w:rPr>
              <w:t>cn</w:t>
            </w:r>
            <w:r>
              <w:rPr>
                <w:rFonts w:hint="eastAsia" w:ascii="宋体" w:hAnsi="宋体" w:cs="宋体"/>
                <w:color w:val="auto"/>
                <w:spacing w:val="11"/>
                <w:sz w:val="24"/>
                <w:highlight w:val="none"/>
              </w:rPr>
              <w:t>/</w:t>
            </w:r>
            <w:r>
              <w:rPr>
                <w:rFonts w:hint="eastAsia" w:ascii="宋体" w:hAnsi="宋体" w:cs="宋体"/>
                <w:color w:val="auto"/>
                <w:spacing w:val="11"/>
                <w:sz w:val="24"/>
                <w:highlight w:val="none"/>
              </w:rPr>
              <w:fldChar w:fldCharType="end"/>
            </w:r>
            <w:r>
              <w:rPr>
                <w:rFonts w:hint="eastAsia" w:ascii="宋体" w:hAnsi="宋体" w:cs="宋体"/>
                <w:color w:val="auto"/>
                <w:spacing w:val="11"/>
                <w:sz w:val="24"/>
                <w:highlight w:val="none"/>
              </w:rPr>
              <w:t>)下载专区查看，如有问题可拨打政采云</w:t>
            </w:r>
            <w:r>
              <w:rPr>
                <w:rFonts w:hint="eastAsia" w:ascii="宋体" w:hAnsi="宋体" w:cs="宋体"/>
                <w:color w:val="auto"/>
                <w:spacing w:val="12"/>
                <w:sz w:val="24"/>
                <w:highlight w:val="none"/>
              </w:rPr>
              <w:t>客</w:t>
            </w:r>
            <w:r>
              <w:rPr>
                <w:rFonts w:hint="eastAsia" w:ascii="宋体" w:hAnsi="宋体" w:cs="宋体"/>
                <w:color w:val="auto"/>
                <w:spacing w:val="9"/>
                <w:sz w:val="24"/>
                <w:highlight w:val="none"/>
              </w:rPr>
              <w:t>户服务热线“95763”进行咨询。</w:t>
            </w:r>
            <w:r>
              <w:rPr>
                <w:rFonts w:hint="eastAsia" w:ascii="宋体" w:hAnsi="宋体" w:cs="宋体"/>
                <w:color w:val="auto"/>
                <w:spacing w:val="12"/>
                <w:sz w:val="24"/>
                <w:highlight w:val="none"/>
              </w:rPr>
              <w:t>（5）供</w:t>
            </w:r>
            <w:r>
              <w:rPr>
                <w:rFonts w:hint="eastAsia" w:ascii="宋体" w:hAnsi="宋体" w:cs="宋体"/>
                <w:color w:val="auto"/>
                <w:spacing w:val="6"/>
                <w:sz w:val="24"/>
                <w:highlight w:val="none"/>
              </w:rPr>
              <w:t>应商在开标时须使用制作加密电子响应文件所使用的</w:t>
            </w:r>
            <w:r>
              <w:rPr>
                <w:rFonts w:hint="eastAsia" w:ascii="宋体" w:hAnsi="宋体" w:cs="宋体"/>
                <w:color w:val="auto"/>
                <w:sz w:val="24"/>
                <w:highlight w:val="none"/>
              </w:rPr>
              <w:t>CA</w:t>
            </w:r>
            <w:r>
              <w:rPr>
                <w:rFonts w:hint="eastAsia" w:ascii="宋体" w:hAnsi="宋体" w:cs="宋体"/>
                <w:color w:val="auto"/>
                <w:spacing w:val="6"/>
                <w:sz w:val="24"/>
                <w:highlight w:val="none"/>
              </w:rPr>
              <w:t>锁及电脑，电脑须</w:t>
            </w:r>
            <w:r>
              <w:rPr>
                <w:rFonts w:hint="eastAsia" w:ascii="宋体" w:hAnsi="宋体" w:cs="宋体"/>
                <w:color w:val="auto"/>
                <w:spacing w:val="8"/>
                <w:sz w:val="24"/>
                <w:highlight w:val="none"/>
              </w:rPr>
              <w:t>提</w:t>
            </w:r>
            <w:r>
              <w:rPr>
                <w:rFonts w:hint="eastAsia" w:ascii="宋体" w:hAnsi="宋体" w:cs="宋体"/>
                <w:color w:val="auto"/>
                <w:spacing w:val="6"/>
                <w:sz w:val="24"/>
                <w:highlight w:val="none"/>
              </w:rPr>
              <w:t>前配置好浏览器(建议使用谷歌浏览器)，以便开标时解锁。</w:t>
            </w:r>
          </w:p>
          <w:p w14:paraId="15EA4E57">
            <w:pPr>
              <w:keepNext w:val="0"/>
              <w:keepLines w:val="0"/>
              <w:suppressLineNumbers w:val="0"/>
              <w:spacing w:before="40" w:beforeAutospacing="0" w:after="0" w:afterAutospacing="0" w:line="268" w:lineRule="auto"/>
              <w:ind w:left="0" w:right="97"/>
              <w:rPr>
                <w:rFonts w:hint="default" w:ascii="宋体" w:hAnsi="宋体" w:cs="宋体"/>
                <w:color w:val="auto"/>
                <w:sz w:val="24"/>
                <w:highlight w:val="none"/>
              </w:rPr>
            </w:pPr>
            <w:r>
              <w:rPr>
                <w:rFonts w:hint="eastAsia" w:ascii="宋体" w:hAnsi="宋体" w:cs="宋体"/>
                <w:color w:val="auto"/>
                <w:spacing w:val="9"/>
                <w:sz w:val="24"/>
                <w:highlight w:val="none"/>
              </w:rPr>
              <w:t>（6）供应商对不见面开评标系统的技术操作咨询，可通过</w:t>
            </w:r>
          </w:p>
          <w:p w14:paraId="4E86BF27">
            <w:pPr>
              <w:keepNext w:val="0"/>
              <w:keepLines w:val="0"/>
              <w:suppressLineNumbers w:val="0"/>
              <w:spacing w:before="0" w:beforeAutospacing="0" w:after="0" w:afterAutospacing="0" w:line="268" w:lineRule="auto"/>
              <w:ind w:left="100" w:right="97" w:hanging="2"/>
              <w:rPr>
                <w:rFonts w:hint="default" w:ascii="宋体" w:hAnsi="宋体" w:cs="宋体"/>
                <w:color w:val="auto"/>
                <w:sz w:val="24"/>
                <w:highlight w:val="none"/>
              </w:rPr>
            </w:pPr>
            <w:r>
              <w:rPr>
                <w:rFonts w:hint="default"/>
                <w:color w:val="auto"/>
                <w:highlight w:val="none"/>
              </w:rPr>
              <w:fldChar w:fldCharType="begin"/>
            </w:r>
            <w:r>
              <w:rPr>
                <w:rFonts w:hint="default"/>
                <w:color w:val="auto"/>
                <w:highlight w:val="none"/>
              </w:rPr>
              <w:instrText xml:space="preserve"> HYPERLINK "https://edu.zcygov.cn/luban/xinjiang-e-biding" </w:instrText>
            </w:r>
            <w:r>
              <w:rPr>
                <w:rFonts w:hint="default"/>
                <w:color w:val="auto"/>
                <w:highlight w:val="none"/>
              </w:rPr>
              <w:fldChar w:fldCharType="separate"/>
            </w:r>
            <w:r>
              <w:rPr>
                <w:rFonts w:hint="eastAsia" w:ascii="宋体" w:hAnsi="宋体" w:cs="宋体"/>
                <w:color w:val="auto"/>
                <w:sz w:val="24"/>
                <w:highlight w:val="none"/>
              </w:rPr>
              <w:t>https</w:t>
            </w:r>
            <w:r>
              <w:rPr>
                <w:rFonts w:hint="eastAsia" w:ascii="宋体" w:hAnsi="宋体" w:cs="宋体"/>
                <w:color w:val="auto"/>
                <w:spacing w:val="13"/>
                <w:sz w:val="24"/>
                <w:highlight w:val="none"/>
              </w:rPr>
              <w:t>:</w:t>
            </w:r>
            <w:r>
              <w:rPr>
                <w:rFonts w:hint="eastAsia" w:ascii="宋体" w:hAnsi="宋体" w:cs="宋体"/>
                <w:color w:val="auto"/>
                <w:spacing w:val="11"/>
                <w:sz w:val="24"/>
                <w:highlight w:val="none"/>
              </w:rPr>
              <w:t>//</w:t>
            </w:r>
            <w:r>
              <w:rPr>
                <w:rFonts w:hint="eastAsia" w:ascii="宋体" w:hAnsi="宋体" w:cs="宋体"/>
                <w:color w:val="auto"/>
                <w:sz w:val="24"/>
                <w:highlight w:val="none"/>
              </w:rPr>
              <w:t>edu</w:t>
            </w:r>
            <w:r>
              <w:rPr>
                <w:rFonts w:hint="eastAsia" w:ascii="宋体" w:hAnsi="宋体" w:cs="宋体"/>
                <w:color w:val="auto"/>
                <w:spacing w:val="11"/>
                <w:sz w:val="24"/>
                <w:highlight w:val="none"/>
              </w:rPr>
              <w:t>.</w:t>
            </w:r>
            <w:r>
              <w:rPr>
                <w:rFonts w:hint="eastAsia" w:ascii="宋体" w:hAnsi="宋体" w:cs="宋体"/>
                <w:color w:val="auto"/>
                <w:sz w:val="24"/>
                <w:highlight w:val="none"/>
              </w:rPr>
              <w:t>zcygov</w:t>
            </w:r>
            <w:r>
              <w:rPr>
                <w:rFonts w:hint="eastAsia" w:ascii="宋体" w:hAnsi="宋体" w:cs="宋体"/>
                <w:color w:val="auto"/>
                <w:spacing w:val="11"/>
                <w:sz w:val="24"/>
                <w:highlight w:val="none"/>
              </w:rPr>
              <w:t>.</w:t>
            </w:r>
            <w:r>
              <w:rPr>
                <w:rFonts w:hint="eastAsia" w:ascii="宋体" w:hAnsi="宋体" w:cs="宋体"/>
                <w:color w:val="auto"/>
                <w:sz w:val="24"/>
                <w:highlight w:val="none"/>
              </w:rPr>
              <w:t>cn</w:t>
            </w:r>
            <w:r>
              <w:rPr>
                <w:rFonts w:hint="eastAsia" w:ascii="宋体" w:hAnsi="宋体" w:cs="宋体"/>
                <w:color w:val="auto"/>
                <w:spacing w:val="11"/>
                <w:sz w:val="24"/>
                <w:highlight w:val="none"/>
              </w:rPr>
              <w:t>/</w:t>
            </w:r>
            <w:r>
              <w:rPr>
                <w:rFonts w:hint="eastAsia" w:ascii="宋体" w:hAnsi="宋体" w:cs="宋体"/>
                <w:color w:val="auto"/>
                <w:sz w:val="24"/>
                <w:highlight w:val="none"/>
              </w:rPr>
              <w:t>luban</w:t>
            </w:r>
            <w:r>
              <w:rPr>
                <w:rFonts w:hint="eastAsia" w:ascii="宋体" w:hAnsi="宋体" w:cs="宋体"/>
                <w:color w:val="auto"/>
                <w:spacing w:val="11"/>
                <w:sz w:val="24"/>
                <w:highlight w:val="none"/>
              </w:rPr>
              <w:t>/</w:t>
            </w:r>
            <w:r>
              <w:rPr>
                <w:rFonts w:hint="eastAsia" w:ascii="宋体" w:hAnsi="宋体" w:cs="宋体"/>
                <w:color w:val="auto"/>
                <w:sz w:val="24"/>
                <w:highlight w:val="none"/>
              </w:rPr>
              <w:t>xinjiang</w:t>
            </w:r>
            <w:r>
              <w:rPr>
                <w:rFonts w:hint="eastAsia" w:ascii="宋体" w:hAnsi="宋体" w:cs="宋体"/>
                <w:color w:val="auto"/>
                <w:spacing w:val="11"/>
                <w:sz w:val="24"/>
                <w:highlight w:val="none"/>
              </w:rPr>
              <w:t>-</w:t>
            </w:r>
            <w:r>
              <w:rPr>
                <w:rFonts w:hint="eastAsia" w:ascii="宋体" w:hAnsi="宋体" w:cs="宋体"/>
                <w:color w:val="auto"/>
                <w:sz w:val="24"/>
                <w:highlight w:val="none"/>
              </w:rPr>
              <w:t>e</w:t>
            </w:r>
            <w:r>
              <w:rPr>
                <w:rFonts w:hint="eastAsia" w:ascii="宋体" w:hAnsi="宋体" w:cs="宋体"/>
                <w:color w:val="auto"/>
                <w:spacing w:val="11"/>
                <w:sz w:val="24"/>
                <w:highlight w:val="none"/>
              </w:rPr>
              <w:t>-</w:t>
            </w:r>
            <w:r>
              <w:rPr>
                <w:rFonts w:hint="eastAsia" w:ascii="宋体" w:hAnsi="宋体" w:cs="宋体"/>
                <w:color w:val="auto"/>
                <w:sz w:val="24"/>
                <w:highlight w:val="none"/>
              </w:rPr>
              <w:t>biding</w:t>
            </w:r>
            <w:r>
              <w:rPr>
                <w:rFonts w:hint="eastAsia" w:ascii="宋体" w:hAnsi="宋体" w:cs="宋体"/>
                <w:color w:val="auto"/>
                <w:sz w:val="24"/>
                <w:highlight w:val="none"/>
              </w:rPr>
              <w:fldChar w:fldCharType="end"/>
            </w:r>
            <w:r>
              <w:rPr>
                <w:rFonts w:hint="eastAsia" w:ascii="宋体" w:hAnsi="宋体" w:cs="宋体"/>
                <w:color w:val="auto"/>
                <w:spacing w:val="11"/>
                <w:sz w:val="24"/>
                <w:highlight w:val="none"/>
              </w:rPr>
              <w:t>自助查询，也可在政采云帮</w:t>
            </w:r>
            <w:r>
              <w:rPr>
                <w:rFonts w:hint="eastAsia" w:ascii="宋体" w:hAnsi="宋体" w:cs="宋体"/>
                <w:color w:val="auto"/>
                <w:spacing w:val="17"/>
                <w:sz w:val="24"/>
                <w:highlight w:val="none"/>
              </w:rPr>
              <w:t>助</w:t>
            </w:r>
            <w:r>
              <w:rPr>
                <w:rFonts w:hint="eastAsia" w:ascii="宋体" w:hAnsi="宋体" w:cs="宋体"/>
                <w:color w:val="auto"/>
                <w:spacing w:val="9"/>
                <w:sz w:val="24"/>
                <w:highlight w:val="none"/>
              </w:rPr>
              <w:t>中心常见问题解答和操作流程讲解视频中自助查询，网址为：</w:t>
            </w:r>
            <w:r>
              <w:rPr>
                <w:rFonts w:hint="default"/>
                <w:color w:val="auto"/>
                <w:highlight w:val="none"/>
              </w:rPr>
              <w:fldChar w:fldCharType="begin"/>
            </w:r>
            <w:r>
              <w:rPr>
                <w:rFonts w:hint="default"/>
                <w:color w:val="auto"/>
                <w:highlight w:val="none"/>
              </w:rPr>
              <w:instrText xml:space="preserve"> HYPERLINK "https://service.zcygov.cn/" \l "/help" </w:instrText>
            </w:r>
            <w:r>
              <w:rPr>
                <w:rFonts w:hint="default"/>
                <w:color w:val="auto"/>
                <w:highlight w:val="none"/>
              </w:rPr>
              <w:fldChar w:fldCharType="separate"/>
            </w:r>
            <w:r>
              <w:rPr>
                <w:rFonts w:hint="eastAsia" w:ascii="宋体" w:hAnsi="宋体" w:cs="宋体"/>
                <w:color w:val="auto"/>
                <w:sz w:val="24"/>
                <w:highlight w:val="none"/>
              </w:rPr>
              <w:t>https</w:t>
            </w:r>
            <w:r>
              <w:rPr>
                <w:rFonts w:hint="eastAsia" w:ascii="宋体" w:hAnsi="宋体" w:cs="宋体"/>
                <w:color w:val="auto"/>
                <w:spacing w:val="16"/>
                <w:sz w:val="24"/>
                <w:highlight w:val="none"/>
              </w:rPr>
              <w:t>:/</w:t>
            </w:r>
            <w:r>
              <w:rPr>
                <w:rFonts w:hint="eastAsia" w:ascii="宋体" w:hAnsi="宋体" w:cs="宋体"/>
                <w:color w:val="auto"/>
                <w:spacing w:val="10"/>
                <w:sz w:val="24"/>
                <w:highlight w:val="none"/>
              </w:rPr>
              <w:t>/</w:t>
            </w:r>
            <w:r>
              <w:rPr>
                <w:rFonts w:hint="eastAsia" w:ascii="宋体" w:hAnsi="宋体" w:cs="宋体"/>
                <w:color w:val="auto"/>
                <w:sz w:val="24"/>
                <w:highlight w:val="none"/>
              </w:rPr>
              <w:t>service</w:t>
            </w:r>
            <w:r>
              <w:rPr>
                <w:rFonts w:hint="eastAsia" w:ascii="宋体" w:hAnsi="宋体" w:cs="宋体"/>
                <w:color w:val="auto"/>
                <w:spacing w:val="8"/>
                <w:sz w:val="24"/>
                <w:highlight w:val="none"/>
              </w:rPr>
              <w:t>.</w:t>
            </w:r>
            <w:r>
              <w:rPr>
                <w:rFonts w:hint="eastAsia" w:ascii="宋体" w:hAnsi="宋体" w:cs="宋体"/>
                <w:color w:val="auto"/>
                <w:sz w:val="24"/>
                <w:highlight w:val="none"/>
              </w:rPr>
              <w:t>zcygov</w:t>
            </w:r>
            <w:r>
              <w:rPr>
                <w:rFonts w:hint="eastAsia" w:ascii="宋体" w:hAnsi="宋体" w:cs="宋体"/>
                <w:color w:val="auto"/>
                <w:spacing w:val="8"/>
                <w:sz w:val="24"/>
                <w:highlight w:val="none"/>
              </w:rPr>
              <w:t>.</w:t>
            </w:r>
            <w:r>
              <w:rPr>
                <w:rFonts w:hint="eastAsia" w:ascii="宋体" w:hAnsi="宋体" w:cs="宋体"/>
                <w:color w:val="auto"/>
                <w:sz w:val="24"/>
                <w:highlight w:val="none"/>
              </w:rPr>
              <w:t>cn</w:t>
            </w:r>
            <w:r>
              <w:rPr>
                <w:rFonts w:hint="eastAsia" w:ascii="宋体" w:hAnsi="宋体" w:cs="宋体"/>
                <w:color w:val="auto"/>
                <w:spacing w:val="8"/>
                <w:sz w:val="24"/>
                <w:highlight w:val="none"/>
              </w:rPr>
              <w:t>/#/</w:t>
            </w:r>
            <w:r>
              <w:rPr>
                <w:rFonts w:hint="eastAsia" w:ascii="宋体" w:hAnsi="宋体" w:cs="宋体"/>
                <w:color w:val="auto"/>
                <w:sz w:val="24"/>
                <w:highlight w:val="none"/>
              </w:rPr>
              <w:t>help</w:t>
            </w:r>
            <w:r>
              <w:rPr>
                <w:rFonts w:hint="eastAsia" w:ascii="宋体" w:hAnsi="宋体" w:cs="宋体"/>
                <w:color w:val="auto"/>
                <w:sz w:val="24"/>
                <w:highlight w:val="none"/>
              </w:rPr>
              <w:fldChar w:fldCharType="end"/>
            </w:r>
            <w:r>
              <w:rPr>
                <w:rFonts w:hint="eastAsia" w:ascii="宋体" w:hAnsi="宋体" w:cs="宋体"/>
                <w:color w:val="auto"/>
                <w:spacing w:val="8"/>
                <w:sz w:val="24"/>
                <w:highlight w:val="none"/>
              </w:rPr>
              <w:t>，“项目采购”—“操作流程-电子招投标”</w:t>
            </w:r>
            <w:r>
              <w:rPr>
                <w:rFonts w:hint="eastAsia" w:ascii="宋体" w:hAnsi="宋体" w:cs="宋体"/>
                <w:color w:val="auto"/>
                <w:spacing w:val="14"/>
                <w:sz w:val="24"/>
                <w:highlight w:val="none"/>
              </w:rPr>
              <w:t>—</w:t>
            </w:r>
            <w:r>
              <w:rPr>
                <w:rFonts w:hint="eastAsia" w:ascii="宋体" w:hAnsi="宋体" w:cs="宋体"/>
                <w:color w:val="auto"/>
                <w:spacing w:val="10"/>
                <w:sz w:val="24"/>
                <w:highlight w:val="none"/>
              </w:rPr>
              <w:t>“</w:t>
            </w:r>
            <w:r>
              <w:rPr>
                <w:rFonts w:hint="eastAsia" w:ascii="宋体" w:hAnsi="宋体" w:cs="宋体"/>
                <w:color w:val="auto"/>
                <w:spacing w:val="7"/>
                <w:sz w:val="24"/>
                <w:highlight w:val="none"/>
              </w:rPr>
              <w:t>政府采购项目电子交易管理操作指南-供应商”版面获取操作指南。</w:t>
            </w:r>
          </w:p>
          <w:p w14:paraId="2BFAA128">
            <w:pPr>
              <w:keepNext w:val="0"/>
              <w:keepLines w:val="0"/>
              <w:suppressLineNumbers w:val="0"/>
              <w:spacing w:before="0" w:beforeAutospacing="0" w:after="0" w:afterAutospacing="0" w:line="360" w:lineRule="auto"/>
              <w:ind w:left="0" w:right="0"/>
              <w:rPr>
                <w:rFonts w:hint="default" w:ascii="宋体" w:hAnsi="宋体" w:cs="宋体"/>
                <w:color w:val="auto"/>
                <w:spacing w:val="6"/>
                <w:sz w:val="24"/>
                <w:highlight w:val="none"/>
              </w:rPr>
            </w:pPr>
            <w:r>
              <w:rPr>
                <w:rFonts w:hint="eastAsia" w:ascii="宋体" w:hAnsi="宋体" w:cs="宋体"/>
                <w:color w:val="auto"/>
                <w:spacing w:val="6"/>
                <w:sz w:val="24"/>
                <w:highlight w:val="none"/>
              </w:rPr>
              <w:t>（7）为了保证开评标</w:t>
            </w:r>
            <w:r>
              <w:rPr>
                <w:rFonts w:hint="eastAsia" w:ascii="宋体" w:hAnsi="宋体" w:cs="宋体"/>
                <w:color w:val="auto"/>
                <w:spacing w:val="4"/>
                <w:sz w:val="24"/>
                <w:highlight w:val="none"/>
              </w:rPr>
              <w:t>顺</w:t>
            </w:r>
            <w:r>
              <w:rPr>
                <w:rFonts w:hint="eastAsia" w:ascii="宋体" w:hAnsi="宋体" w:cs="宋体"/>
                <w:color w:val="auto"/>
                <w:spacing w:val="3"/>
                <w:sz w:val="24"/>
                <w:highlight w:val="none"/>
              </w:rPr>
              <w:t>利进行，政采云线上开标功能完全实现，供应商开标所使用</w:t>
            </w:r>
            <w:r>
              <w:rPr>
                <w:rFonts w:hint="eastAsia" w:ascii="宋体" w:hAnsi="宋体" w:cs="宋体"/>
                <w:color w:val="auto"/>
                <w:spacing w:val="6"/>
                <w:sz w:val="24"/>
                <w:highlight w:val="none"/>
              </w:rPr>
              <w:t>的电脑设备须具有视频及语音功能。</w:t>
            </w:r>
          </w:p>
          <w:p w14:paraId="2C35261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2、电子招投标情况说明：</w:t>
            </w:r>
          </w:p>
          <w:p w14:paraId="5B81425F">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(1)电子招投标：本项目以数据电文形式，依托“政府采购云平台(www.zcygov.cn)”进行招投标活动。</w:t>
            </w:r>
          </w:p>
          <w:p w14:paraId="0B4659A2">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5BAF0917">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(3)采购文件的获取：使用账号登录或者短信验证码或者使用CA登录政采云平台；进入“项目采购”应用，在获取采购文件菜单中选择项目，获取采购文件。</w:t>
            </w:r>
          </w:p>
          <w:p w14:paraId="13487CD5">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(4)响应文件的制作：在“政采云电子交易客户端”中完成“填写基本信息”、“导入响应文件”、“标书关联”、“标书检查”、“电子签名”、“生成电子标书”等操作。</w:t>
            </w:r>
          </w:p>
          <w:p w14:paraId="25C376B6">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(5)响应文件的传输递交：供应商在投标截止时间前将加密的响应文件上传至政府采购云平台，如不提供或未按要求提供的，当电子响应文件无法解密时，将导致无备份响应文件而失去投标资格。</w:t>
            </w:r>
          </w:p>
          <w:p w14:paraId="2F5EBE8E">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(6)响应文件的解密：供应商按照平台提示和采购文件的规定在半小时内完成在线解密。</w:t>
            </w:r>
          </w:p>
          <w:p w14:paraId="3ABD1F8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(7)具体操作指南：详见政采云平台“服务中心-帮助文档-项目采购-操作流程-电子招投标-政府采购项目电子交易管理操作指南-供应商”。</w:t>
            </w:r>
          </w:p>
          <w:p w14:paraId="7FE5A5D0">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(8)供应商在进行上述操作时，如遇技术问题可登录政采云</w:t>
            </w:r>
          </w:p>
          <w:p w14:paraId="43077F91">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(https://www.zcygov.cn/)，点击右侧咨询小采，获取采小蜜智能服务管家帮助，或拨打政采云服务热线“95763”获取热线服务帮助。</w:t>
            </w:r>
          </w:p>
          <w:p w14:paraId="280A326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温馨提醒：供应商应提前上传，以便在上传时遇到技术问题，有充足的时间请教平台的技术人员；</w:t>
            </w:r>
          </w:p>
        </w:tc>
      </w:tr>
      <w:tr w14:paraId="6D4B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885D87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w:t>
            </w:r>
          </w:p>
        </w:tc>
        <w:tc>
          <w:tcPr>
            <w:tcW w:w="8158" w:type="dxa"/>
            <w:tcBorders>
              <w:top w:val="single" w:color="auto" w:sz="4" w:space="0"/>
              <w:left w:val="single" w:color="auto" w:sz="4" w:space="0"/>
              <w:bottom w:val="single" w:color="auto" w:sz="4" w:space="0"/>
              <w:right w:val="single" w:color="auto" w:sz="4" w:space="0"/>
            </w:tcBorders>
            <w:vAlign w:val="center"/>
          </w:tcPr>
          <w:p w14:paraId="61B8D5AE">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注：除法律、法规和规章规定外，采购文件中用“拒绝”、“不接受”、“无效”、“不得”等文字规定，对其中任何一条的偏离，在评审时将其视为无效文件。未用上述文字规定或符号标注的条款为非实质性要求条款(即一般条款)。除非另有特殊说明，若采购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响应文件中的报价为一次报价。</w:t>
            </w:r>
          </w:p>
        </w:tc>
      </w:tr>
      <w:tr w14:paraId="51B9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72213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w:t>
            </w:r>
          </w:p>
        </w:tc>
        <w:tc>
          <w:tcPr>
            <w:tcW w:w="8158" w:type="dxa"/>
            <w:tcBorders>
              <w:top w:val="single" w:color="auto" w:sz="4" w:space="0"/>
              <w:left w:val="single" w:color="auto" w:sz="4" w:space="0"/>
              <w:bottom w:val="single" w:color="auto" w:sz="4" w:space="0"/>
              <w:right w:val="single" w:color="auto" w:sz="4" w:space="0"/>
            </w:tcBorders>
            <w:vAlign w:val="center"/>
          </w:tcPr>
          <w:p w14:paraId="15F21A4C">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政采云平台上传响应文件注意事项：</w:t>
            </w:r>
          </w:p>
          <w:p w14:paraId="397AB9F1">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供应商在政采云投标客户端中制作和导入投标（响应）文件时，响应文件共分为三部分：资格响应文件、报价要求响应文件、商务技术响应文件。▲其中商务技术响应文件应当上传完整的响应文件，即按照采购文件第六章《响应文件格式》规定的内容和顺序编制的全部内容（包含资格响应文件、报价要求响应文件、商务技术响应文件的全部内容），资格响应文件、报价要求响应文件应按照系统要求另行逐个引用或上传。所有响应文件导入完成后，进入关联标书环节，供应商 需将标项的各响应项关联至标书对应页码，以供专家评审。具体操作流程详见新疆政府采购网（http://www.ccgp-xinjiang.gov.cn/）下载专区其他部分中供应商 --政采云平台操作指南。▲供应商如未按上述要求上传响应文件，所造成的不利后果由供应商自行承担。</w:t>
            </w:r>
          </w:p>
        </w:tc>
      </w:tr>
      <w:tr w14:paraId="3761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5BDCED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p>
        </w:tc>
        <w:tc>
          <w:tcPr>
            <w:tcW w:w="8158" w:type="dxa"/>
            <w:tcBorders>
              <w:top w:val="single" w:color="auto" w:sz="4" w:space="0"/>
              <w:left w:val="single" w:color="auto" w:sz="4" w:space="0"/>
              <w:bottom w:val="single" w:color="auto" w:sz="4" w:space="0"/>
              <w:right w:val="single" w:color="auto" w:sz="4" w:space="0"/>
            </w:tcBorders>
            <w:vAlign w:val="center"/>
          </w:tcPr>
          <w:p w14:paraId="39BF0D08">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开标及评标顺序：</w:t>
            </w:r>
          </w:p>
          <w:p w14:paraId="6DA26239">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（1）新疆维吾尔自治区某单位大宗物资采购项目(禽肉、水产类)（项目编号：CYZX-2026-106）</w:t>
            </w:r>
          </w:p>
          <w:p w14:paraId="6F6FAD00">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（2）新疆维吾尔自治区某单位大宗物资采购项目(粮油类)（项目编号：CYZX-2026-107）</w:t>
            </w:r>
          </w:p>
          <w:p w14:paraId="1FE46DEA">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（3）新疆维吾尔自治区某单位大宗物资采购项目(奶蛋类)（项目编号：CYZX-2026-108）</w:t>
            </w:r>
          </w:p>
          <w:p w14:paraId="417346E0">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（4）新疆维吾尔自治区某单位大宗物资采购项目（牛羊肉类）（项目编号：SSQYZB-CG2026059）</w:t>
            </w:r>
          </w:p>
          <w:p w14:paraId="4D509331">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（5）新疆维吾尔自治区某单位大宗物资采购项目（蔬菜、水果及干果类）（项目编号：SSQYZB-CG2026058）</w:t>
            </w:r>
          </w:p>
          <w:p w14:paraId="4AE13634">
            <w:pPr>
              <w:keepNext w:val="0"/>
              <w:keepLines w:val="0"/>
              <w:suppressLineNumbers w:val="0"/>
              <w:spacing w:before="0" w:beforeAutospacing="0" w:after="0" w:afterAutospacing="0" w:line="360" w:lineRule="auto"/>
              <w:ind w:left="0" w:right="0"/>
              <w:rPr>
                <w:rFonts w:hint="default" w:ascii="宋体" w:hAnsi="宋体" w:cs="宋体"/>
                <w:b/>
                <w:bCs/>
                <w:color w:val="auto"/>
                <w:sz w:val="24"/>
                <w:highlight w:val="none"/>
              </w:rPr>
            </w:pPr>
            <w:r>
              <w:rPr>
                <w:rFonts w:hint="eastAsia" w:ascii="宋体" w:hAnsi="宋体" w:cs="宋体"/>
                <w:b/>
                <w:bCs/>
                <w:color w:val="auto"/>
                <w:sz w:val="24"/>
                <w:highlight w:val="none"/>
              </w:rPr>
              <w:t>（6）新疆维吾尔自治区某单位大宗物资采购项目（副食品及其他类）（项目编号：SSQYZB-CG2026060）</w:t>
            </w:r>
          </w:p>
          <w:p w14:paraId="15DB8536">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b/>
                <w:bCs/>
                <w:color w:val="auto"/>
                <w:sz w:val="24"/>
                <w:highlight w:val="none"/>
              </w:rPr>
              <w:t>本项目共分为6个项目，6个项目供应商可兼投但不可兼中。即6个项目供应商均可参与投标，但同一供应商只允许中标一个项目。按照开标及评标顺序进行评标推荐，如在第一个项目中标后，后续项目可参与评标，但不再推荐为前三名中标（成交）候选人。</w:t>
            </w:r>
          </w:p>
        </w:tc>
      </w:tr>
    </w:tbl>
    <w:p w14:paraId="0B577998">
      <w:pPr>
        <w:pStyle w:val="2"/>
        <w:spacing w:line="360" w:lineRule="auto"/>
        <w:ind w:firstLine="0" w:firstLineChars="0"/>
        <w:jc w:val="center"/>
        <w:outlineLvl w:val="0"/>
        <w:rPr>
          <w:color w:val="auto"/>
          <w:sz w:val="24"/>
          <w:highlight w:val="none"/>
        </w:rPr>
      </w:pPr>
      <w:r>
        <w:rPr>
          <w:color w:val="auto"/>
          <w:sz w:val="24"/>
          <w:highlight w:val="none"/>
        </w:rPr>
        <w:br w:type="page"/>
      </w:r>
      <w:bookmarkStart w:id="6" w:name="_Toc9167"/>
      <w:r>
        <w:rPr>
          <w:rFonts w:hint="eastAsia"/>
          <w:b/>
          <w:bCs/>
          <w:color w:val="auto"/>
          <w:sz w:val="28"/>
          <w:szCs w:val="28"/>
          <w:highlight w:val="none"/>
        </w:rPr>
        <w:t>第三章  供应商须知</w:t>
      </w:r>
      <w:bookmarkEnd w:id="6"/>
    </w:p>
    <w:p w14:paraId="644C3C9A">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b/>
          <w:color w:val="auto"/>
          <w:sz w:val="24"/>
          <w:highlight w:val="none"/>
        </w:rPr>
        <w:t>适用范围</w:t>
      </w:r>
    </w:p>
    <w:p w14:paraId="6EF7B23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Style w:val="42"/>
          <w:rFonts w:hint="eastAsia" w:asciiTheme="minorEastAsia" w:hAnsiTheme="minorEastAsia" w:eastAsiaTheme="minorEastAsia" w:cstheme="minorEastAsia"/>
          <w:color w:val="auto"/>
          <w:sz w:val="24"/>
          <w:szCs w:val="24"/>
          <w:highlight w:val="none"/>
        </w:rPr>
        <w:t>本采购文件仅适用于本次采购活动。</w:t>
      </w:r>
    </w:p>
    <w:p w14:paraId="614EB008">
      <w:pPr>
        <w:tabs>
          <w:tab w:val="left" w:pos="3088"/>
        </w:tabs>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2、投标资格</w:t>
      </w:r>
      <w:r>
        <w:rPr>
          <w:rFonts w:hint="eastAsia" w:asciiTheme="minorEastAsia" w:hAnsiTheme="minorEastAsia" w:eastAsiaTheme="minorEastAsia" w:cstheme="minorEastAsia"/>
          <w:b/>
          <w:color w:val="auto"/>
          <w:sz w:val="24"/>
          <w:highlight w:val="none"/>
        </w:rPr>
        <w:tab/>
      </w:r>
    </w:p>
    <w:p w14:paraId="6A74951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2.1.满足《中华人民共和国政府采购法》第二十二条规定；</w:t>
      </w:r>
    </w:p>
    <w:p w14:paraId="0E210F9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2.2.落实政府采购政策需满足的资格要求：本项目专门面向中小企业采购</w:t>
      </w:r>
    </w:p>
    <w:p w14:paraId="344507E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3.本项目的特定资格要求：无；</w:t>
      </w:r>
    </w:p>
    <w:p w14:paraId="73DC3224">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3、定义</w:t>
      </w:r>
    </w:p>
    <w:p w14:paraId="36CC3692">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下列术语和缩写的定义为：</w:t>
      </w:r>
    </w:p>
    <w:p w14:paraId="37AAC903">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3.1“采购人”系指新疆维吾尔自治区某单位。</w:t>
      </w:r>
    </w:p>
    <w:p w14:paraId="1921882B">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3.2“采购代理机构”系指新疆盛世乾元工程项目管理咨询有限公司。</w:t>
      </w:r>
    </w:p>
    <w:p w14:paraId="34453833">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3.3“供应商”系指向采购人提交响应文件的供应商。</w:t>
      </w:r>
    </w:p>
    <w:p w14:paraId="3CDEAF42">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3.4“服务”系指合同规定中标人须提供合同货物、承担的运输、装卸、仓储保管、售后服务等其他类似的义务。</w:t>
      </w:r>
    </w:p>
    <w:p w14:paraId="3E94D63F">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3.5“乙方”系指提供合同货物和服务的经济实体。</w:t>
      </w:r>
    </w:p>
    <w:p w14:paraId="78A91056">
      <w:pPr>
        <w:spacing w:line="360" w:lineRule="auto"/>
        <w:ind w:firstLine="480" w:firstLineChars="200"/>
        <w:rPr>
          <w:rStyle w:val="42"/>
          <w:rFonts w:asciiTheme="minorEastAsia" w:hAnsiTheme="minorEastAsia" w:eastAsiaTheme="minorEastAsia" w:cstheme="minorEastAsia"/>
          <w:color w:val="auto"/>
          <w:sz w:val="24"/>
          <w:szCs w:val="24"/>
          <w:highlight w:val="none"/>
        </w:rPr>
      </w:pPr>
      <w:r>
        <w:rPr>
          <w:rStyle w:val="42"/>
          <w:rFonts w:hint="eastAsia" w:asciiTheme="minorEastAsia" w:hAnsiTheme="minorEastAsia" w:eastAsiaTheme="minorEastAsia" w:cstheme="minorEastAsia"/>
          <w:color w:val="auto"/>
          <w:sz w:val="24"/>
          <w:szCs w:val="24"/>
          <w:highlight w:val="none"/>
        </w:rPr>
        <w:t>3.6“甲方”系指采购货物及要求提供服务的单位。</w:t>
      </w:r>
    </w:p>
    <w:p w14:paraId="3EBFC6F5">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b/>
          <w:color w:val="auto"/>
          <w:sz w:val="24"/>
          <w:highlight w:val="none"/>
        </w:rPr>
        <w:t>投标费用</w:t>
      </w:r>
    </w:p>
    <w:p w14:paraId="1F18EFF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4.1无论投标结果如何，凡参与招标、投标活动有关的所有费用将由供应商自行承担。</w:t>
      </w:r>
    </w:p>
    <w:p w14:paraId="157C724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4.2供应商被视为熟悉本招标项目的各种情况以及与履行合同有关的一切情况。</w:t>
      </w:r>
    </w:p>
    <w:p w14:paraId="5B8F62C2">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b/>
          <w:color w:val="auto"/>
          <w:sz w:val="24"/>
          <w:highlight w:val="none"/>
        </w:rPr>
        <w:t>采购文件的构成</w:t>
      </w:r>
    </w:p>
    <w:p w14:paraId="39B9D37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采购文件由下述部分组成：</w:t>
      </w:r>
    </w:p>
    <w:p w14:paraId="6239489A">
      <w:pPr>
        <w:pStyle w:val="47"/>
        <w:tabs>
          <w:tab w:val="right" w:leader="dot" w:pos="8306"/>
        </w:tabs>
        <w:spacing w:line="360" w:lineRule="auto"/>
        <w:ind w:firstLine="400" w:firstLineChars="20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"_Toc8148"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  招标公告</w:t>
      </w:r>
      <w:r>
        <w:rPr>
          <w:rFonts w:hint="eastAsia" w:asciiTheme="minorEastAsia" w:hAnsiTheme="minorEastAsia" w:eastAsiaTheme="minorEastAsia" w:cstheme="minorEastAsia"/>
          <w:color w:val="auto"/>
          <w:sz w:val="24"/>
          <w:szCs w:val="24"/>
          <w:highlight w:val="none"/>
        </w:rPr>
        <w:fldChar w:fldCharType="end"/>
      </w:r>
    </w:p>
    <w:p w14:paraId="1493AE05">
      <w:pPr>
        <w:pStyle w:val="47"/>
        <w:tabs>
          <w:tab w:val="right" w:leader="dot" w:pos="8306"/>
        </w:tabs>
        <w:spacing w:line="360" w:lineRule="auto"/>
        <w:ind w:firstLine="400" w:firstLineChars="20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"_Toc32271"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第二章  供应商须知前附表</w:t>
      </w:r>
      <w:r>
        <w:rPr>
          <w:rFonts w:hint="eastAsia" w:asciiTheme="minorEastAsia" w:hAnsiTheme="minorEastAsia" w:eastAsiaTheme="minorEastAsia" w:cstheme="minorEastAsia"/>
          <w:color w:val="auto"/>
          <w:sz w:val="24"/>
          <w:szCs w:val="24"/>
          <w:highlight w:val="none"/>
        </w:rPr>
        <w:fldChar w:fldCharType="end"/>
      </w:r>
    </w:p>
    <w:p w14:paraId="7C6FD40E">
      <w:pPr>
        <w:pStyle w:val="47"/>
        <w:tabs>
          <w:tab w:val="right" w:leader="dot" w:pos="8306"/>
        </w:tabs>
        <w:spacing w:line="360" w:lineRule="auto"/>
        <w:ind w:firstLine="400" w:firstLineChars="20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"_Toc12619"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第三章  供应商须知</w:t>
      </w:r>
      <w:r>
        <w:rPr>
          <w:rFonts w:hint="eastAsia" w:asciiTheme="minorEastAsia" w:hAnsiTheme="minorEastAsia" w:eastAsiaTheme="minorEastAsia" w:cstheme="minorEastAsia"/>
          <w:color w:val="auto"/>
          <w:sz w:val="24"/>
          <w:szCs w:val="24"/>
          <w:highlight w:val="none"/>
        </w:rPr>
        <w:fldChar w:fldCharType="end"/>
      </w:r>
    </w:p>
    <w:p w14:paraId="1EA8F219">
      <w:pPr>
        <w:pStyle w:val="47"/>
        <w:tabs>
          <w:tab w:val="right" w:leader="dot" w:pos="8306"/>
        </w:tabs>
        <w:spacing w:line="360" w:lineRule="auto"/>
        <w:ind w:firstLine="400" w:firstLineChars="20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"_Toc1557"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第四章  合同</w:t>
      </w:r>
      <w:r>
        <w:rPr>
          <w:rFonts w:hint="eastAsia" w:asciiTheme="minorEastAsia" w:hAnsiTheme="minorEastAsia" w:eastAsiaTheme="minorEastAsia" w:cstheme="minorEastAsia"/>
          <w:color w:val="auto"/>
          <w:sz w:val="24"/>
          <w:szCs w:val="24"/>
          <w:highlight w:val="none"/>
        </w:rPr>
        <w:fldChar w:fldCharType="end"/>
      </w:r>
    </w:p>
    <w:p w14:paraId="125DCFCA">
      <w:pPr>
        <w:pStyle w:val="47"/>
        <w:tabs>
          <w:tab w:val="right" w:leader="dot" w:pos="8306"/>
        </w:tabs>
        <w:spacing w:line="360" w:lineRule="auto"/>
        <w:ind w:firstLine="400" w:firstLineChars="20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"_Toc5996"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第五章  采购需求及技术要求</w:t>
      </w:r>
      <w:r>
        <w:rPr>
          <w:rFonts w:hint="eastAsia" w:asciiTheme="minorEastAsia" w:hAnsiTheme="minorEastAsia" w:eastAsiaTheme="minorEastAsia" w:cstheme="minorEastAsia"/>
          <w:color w:val="auto"/>
          <w:sz w:val="24"/>
          <w:szCs w:val="24"/>
          <w:highlight w:val="none"/>
        </w:rPr>
        <w:fldChar w:fldCharType="end"/>
      </w:r>
    </w:p>
    <w:p w14:paraId="2F2F7972">
      <w:pPr>
        <w:pStyle w:val="47"/>
        <w:tabs>
          <w:tab w:val="right" w:leader="dot" w:pos="8306"/>
        </w:tabs>
        <w:spacing w:line="360" w:lineRule="auto"/>
        <w:ind w:firstLine="400" w:firstLineChars="200"/>
        <w:rPr>
          <w:rFonts w:asciiTheme="minorEastAsia" w:hAnsiTheme="minorEastAsia" w:eastAsiaTheme="minorEastAsia" w:cstheme="minorEastAsia"/>
          <w:color w:val="auto"/>
          <w:sz w:val="24"/>
          <w:szCs w:val="24"/>
          <w:highlight w:val="none"/>
        </w:rPr>
      </w:pPr>
      <w:r>
        <w:rPr>
          <w:color w:val="auto"/>
          <w:highlight w:val="none"/>
        </w:rPr>
        <w:fldChar w:fldCharType="begin"/>
      </w:r>
      <w:r>
        <w:rPr>
          <w:color w:val="auto"/>
          <w:highlight w:val="none"/>
        </w:rPr>
        <w:instrText xml:space="preserve"> HYPERLINK \l "_Toc18961"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第六章  评标标准及办法</w:t>
      </w:r>
      <w:r>
        <w:rPr>
          <w:rFonts w:hint="eastAsia" w:asciiTheme="minorEastAsia" w:hAnsiTheme="minorEastAsia" w:eastAsiaTheme="minorEastAsia" w:cstheme="minorEastAsia"/>
          <w:color w:val="auto"/>
          <w:sz w:val="24"/>
          <w:szCs w:val="24"/>
          <w:highlight w:val="none"/>
        </w:rPr>
        <w:fldChar w:fldCharType="end"/>
      </w:r>
    </w:p>
    <w:p w14:paraId="659DE6E4">
      <w:pPr>
        <w:spacing w:line="360" w:lineRule="auto"/>
        <w:ind w:firstLine="420" w:firstLineChars="200"/>
        <w:rPr>
          <w:rFonts w:asciiTheme="minorEastAsia" w:hAnsiTheme="minorEastAsia" w:eastAsiaTheme="minorEastAsia" w:cstheme="minorEastAsia"/>
          <w:color w:val="auto"/>
          <w:sz w:val="24"/>
          <w:highlight w:val="none"/>
        </w:rPr>
      </w:pPr>
      <w:r>
        <w:rPr>
          <w:color w:val="auto"/>
          <w:highlight w:val="none"/>
        </w:rPr>
        <w:fldChar w:fldCharType="begin"/>
      </w:r>
      <w:r>
        <w:rPr>
          <w:color w:val="auto"/>
          <w:highlight w:val="none"/>
        </w:rPr>
        <w:instrText xml:space="preserve"> HYPERLINK \l "_Toc28443" </w:instrText>
      </w:r>
      <w:r>
        <w:rPr>
          <w:color w:val="auto"/>
          <w:highlight w:val="none"/>
        </w:rPr>
        <w:fldChar w:fldCharType="separate"/>
      </w:r>
      <w:r>
        <w:rPr>
          <w:rFonts w:hint="eastAsia" w:asciiTheme="minorEastAsia" w:hAnsiTheme="minorEastAsia" w:eastAsiaTheme="minorEastAsia" w:cstheme="minorEastAsia"/>
          <w:color w:val="auto"/>
          <w:sz w:val="24"/>
          <w:highlight w:val="none"/>
        </w:rPr>
        <w:t>第七章  响应文件格式</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end"/>
      </w:r>
    </w:p>
    <w:p w14:paraId="6C087C52">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6、采购文件的澄清</w:t>
      </w:r>
    </w:p>
    <w:p w14:paraId="6F46B36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对于响应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30分钟。</w:t>
      </w:r>
    </w:p>
    <w:p w14:paraId="43B5D4D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投标供应商的澄清、说明或者补正应当通过“政府采购云平台”在线答复的方式提交，并加盖公章(电子印章)，或者由法定代表人(负责人)或其授权的代表签字。投标供应商的澄清、说明或者补正不得超出响应文件的范围或者改变响应文件的实质性内容，不接受投标供应商主动对响应文件的澄清、说明或者补正。</w:t>
      </w:r>
    </w:p>
    <w:p w14:paraId="5B1580B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34B74F5">
      <w:pPr>
        <w:spacing w:line="360" w:lineRule="auto"/>
        <w:ind w:firstLine="723" w:firstLineChars="3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错误修正的原则</w:t>
      </w:r>
    </w:p>
    <w:p w14:paraId="41D16CA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电子交易平台客户端里开标一览表录入的投标报价或优惠率与扫描上传的报价文件信息不一致的，以扫描上传的报价文件信息为准进行修正。</w:t>
      </w:r>
    </w:p>
    <w:p w14:paraId="53D3D2D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响应文件报价出现前后不一致的，除采购文件另有规定外，按照下列规定修正：</w:t>
      </w:r>
    </w:p>
    <w:p w14:paraId="70D153C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1）投标函中表述的内容与报价一览表中不一致的，以报价一览表为准；报价一览表中的内容与报价明细表不一致的，以报价一览表为准；</w:t>
      </w:r>
    </w:p>
    <w:p w14:paraId="491C142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2）响应文件中的大写金额和小写金额不一致的，以大写金额为准；</w:t>
      </w:r>
    </w:p>
    <w:p w14:paraId="5832C3E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3）单价金额小数点或者百分比有明显错位的，以开标一览表的总价为准，并修改单价；</w:t>
      </w:r>
    </w:p>
    <w:p w14:paraId="2D1F166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4）总价金额与按单价汇总金额不一致的，以单价金额计算结果为准；</w:t>
      </w:r>
    </w:p>
    <w:p w14:paraId="0DD48B3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5）若用文字表示的数值与用数字表示的数值不一致，以文字表示的数值为准；</w:t>
      </w:r>
    </w:p>
    <w:p w14:paraId="5619070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6）如有多报(指数量超出采购文件需求)、重报(指同一货物重复报价)，其投标总价在评标过程中不予调整，如其中标，其合同价按其投标单价予以调整；</w:t>
      </w:r>
    </w:p>
    <w:p w14:paraId="06DF765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7）对不同文字文本响应文件的解释发生异议的，以中文文本为准；</w:t>
      </w:r>
    </w:p>
    <w:p w14:paraId="0154A3E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按上述修正错误的原则及方法调整或修正响应文件的投标报价，供应商确认后，以调整或修正后的投标报价为准。如供应商拒绝调整或修正的，其响应文件按无效标处理。修正应当采用电子询标的形式，并加盖公章(电子印章)。</w:t>
      </w:r>
    </w:p>
    <w:p w14:paraId="6C1A79B0">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7、采购文件的修改或补充</w:t>
      </w:r>
    </w:p>
    <w:p w14:paraId="3FEFBCC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响应文件撤回。投标截止时间后传输递交的响应文件，“政府采购云平台”将予以拒收。投标截止时间后，供应商不得修改(补充)或撤回其响应文件。</w:t>
      </w:r>
    </w:p>
    <w:p w14:paraId="78DFDA3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7.2为使供应商在准备投标时有适当的时间考虑响应文件的修改，招标方有权决定推迟投标截止时间和开标日期，并将此变更通知所有的供应商。</w:t>
      </w:r>
    </w:p>
    <w:p w14:paraId="7D62009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7.3采购文件的修改和补充文件将构成采购文件的一部分，并且对供应商具有优先约束力。</w:t>
      </w:r>
    </w:p>
    <w:p w14:paraId="1591DCAD">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二、对供应商的资质要求</w:t>
      </w:r>
    </w:p>
    <w:p w14:paraId="36BA41D3">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b/>
          <w:color w:val="auto"/>
          <w:sz w:val="24"/>
          <w:highlight w:val="none"/>
        </w:rPr>
        <w:t>投标资质</w:t>
      </w:r>
    </w:p>
    <w:p w14:paraId="0362BD7F">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资格审查表</w:t>
      </w:r>
    </w:p>
    <w:tbl>
      <w:tblPr>
        <w:tblStyle w:val="29"/>
        <w:tblW w:w="9782" w:type="dxa"/>
        <w:jc w:val="center"/>
        <w:tblLayout w:type="fixed"/>
        <w:tblCellMar>
          <w:top w:w="0" w:type="dxa"/>
          <w:left w:w="0" w:type="dxa"/>
          <w:bottom w:w="0" w:type="dxa"/>
          <w:right w:w="0" w:type="dxa"/>
        </w:tblCellMar>
      </w:tblPr>
      <w:tblGrid>
        <w:gridCol w:w="448"/>
        <w:gridCol w:w="1955"/>
        <w:gridCol w:w="7379"/>
      </w:tblGrid>
      <w:tr w14:paraId="7863CE55">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DE4D4D">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07EB1B">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审查标准</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3DD495">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审查证明材料</w:t>
            </w:r>
          </w:p>
        </w:tc>
      </w:tr>
      <w:tr w14:paraId="5D1DFF77">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44D8D28">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C66A8">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bCs/>
                <w:color w:val="auto"/>
                <w:sz w:val="24"/>
                <w:highlight w:val="none"/>
              </w:rPr>
              <w:t>具有独立承担民事责任的能力</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4E95AB">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11D1F160">
        <w:tblPrEx>
          <w:tblCellMar>
            <w:top w:w="0" w:type="dxa"/>
            <w:left w:w="0" w:type="dxa"/>
            <w:bottom w:w="0" w:type="dxa"/>
            <w:right w:w="0" w:type="dxa"/>
          </w:tblCellMar>
        </w:tblPrEx>
        <w:trPr>
          <w:trHeight w:val="430"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78B215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07E2EE">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具有良好的商业信誉和健全的财务会计制度</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9FE4E1">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提供2024或2025年度经审计财务报告复印件（加盖公章），含资产负债表、利润表、现金流量表；或投标截止前3个月内基本开户银行出具的资信证明（银行存款证明无效），附基本账户开户信息；或提供良好商业信誉及健全财务会计制度承诺函（加盖单位公章），附基本账户开户信息。</w:t>
            </w:r>
          </w:p>
        </w:tc>
      </w:tr>
      <w:tr w14:paraId="14CCCB94">
        <w:tblPrEx>
          <w:tblCellMar>
            <w:top w:w="0" w:type="dxa"/>
            <w:left w:w="0" w:type="dxa"/>
            <w:bottom w:w="0" w:type="dxa"/>
            <w:right w:w="0" w:type="dxa"/>
          </w:tblCellMar>
        </w:tblPrEx>
        <w:trPr>
          <w:trHeight w:val="794" w:hRule="atLeast"/>
          <w:jc w:val="center"/>
        </w:trPr>
        <w:tc>
          <w:tcPr>
            <w:tcW w:w="448" w:type="dxa"/>
            <w:vMerge w:val="restart"/>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vAlign w:val="center"/>
          </w:tcPr>
          <w:p w14:paraId="5CF25044">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3</w:t>
            </w:r>
          </w:p>
        </w:tc>
        <w:tc>
          <w:tcPr>
            <w:tcW w:w="195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52B84AF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有依法缴纳税收和社会保障资金的良好记录</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8C2AA">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供应商依法缴纳税收的证明材料：</w:t>
            </w:r>
          </w:p>
          <w:p w14:paraId="60BC37AA">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1.投标截止时间前一年内任意1个月的纳税凭据（完税证明、缴款书、银行代扣（代缴）转账凭证）；</w:t>
            </w:r>
          </w:p>
          <w:p w14:paraId="6DC6A956">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2.供应商为其他组织的，也需按此项规定提供缴纳税收凭据；自然人无需提供。</w:t>
            </w:r>
          </w:p>
          <w:p w14:paraId="02091056">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3.依法免税的供应商，须提供相应文件证明其依法免税。</w:t>
            </w:r>
          </w:p>
          <w:p w14:paraId="7E7A42B9">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4.成立时间不足3个月、无应税收入或当期税收零申报的供应商，无需提供纳税凭据，提供承诺函即可。</w:t>
            </w:r>
          </w:p>
        </w:tc>
      </w:tr>
      <w:tr w14:paraId="24E6D9C0">
        <w:tblPrEx>
          <w:tblCellMar>
            <w:top w:w="0" w:type="dxa"/>
            <w:left w:w="0" w:type="dxa"/>
            <w:bottom w:w="0" w:type="dxa"/>
            <w:right w:w="0" w:type="dxa"/>
          </w:tblCellMar>
        </w:tblPrEx>
        <w:trPr>
          <w:trHeight w:val="794" w:hRule="atLeast"/>
          <w:jc w:val="center"/>
        </w:trPr>
        <w:tc>
          <w:tcPr>
            <w:tcW w:w="448" w:type="dxa"/>
            <w:vMerge w:val="continue"/>
            <w:tcBorders>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9D9DEEC">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955"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62CE8ECD">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138FC2">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供应商依法缴纳社会保障资金的证明材料：</w:t>
            </w:r>
          </w:p>
          <w:p w14:paraId="3371D17C">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1.投标截止时间前一年内任意 1 个月的社保缴纳凭据（专用收据或社会保险交纳清单）；</w:t>
            </w:r>
          </w:p>
          <w:p w14:paraId="0B0D8392">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2.供应商为其他组织，也需按此项规定提供缴纳社会保险的凭据。自然人无需提供。</w:t>
            </w:r>
          </w:p>
          <w:p w14:paraId="6C5543E3">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3.依法不需要缴纳社会保障资金的供应商，须提供相应文件证明其依法不需要缴纳社会保障资金。</w:t>
            </w:r>
          </w:p>
          <w:p w14:paraId="39378F0E">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4.成立时间不足3个月、暂无从业人员未缴纳社保的供应商，无需提供本项社保缴纳材料，提供承诺函即可。</w:t>
            </w:r>
          </w:p>
        </w:tc>
      </w:tr>
      <w:tr w14:paraId="70C1E8A9">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C7705">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8A0472">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具有履行合同所必需的设备和专业技术能力</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79CC2C">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供应商履行合同所必须的设备和专业技术能力承诺函</w:t>
            </w:r>
          </w:p>
        </w:tc>
      </w:tr>
      <w:tr w14:paraId="14CAD14D">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42C15E3E">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346D91">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8874D6">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参加政府采购活动前三年内在经营活动中没有重大违法记录的书面声明函</w:t>
            </w:r>
          </w:p>
        </w:tc>
      </w:tr>
      <w:tr w14:paraId="29506730">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2CE9B3B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FDECD0">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限制行为</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35F3DC">
            <w:pPr>
              <w:keepNext w:val="0"/>
              <w:keepLines w:val="0"/>
              <w:suppressLineNumbers w:val="0"/>
              <w:adjustRightInd w:val="0"/>
              <w:snapToGrid w:val="0"/>
              <w:spacing w:before="0" w:beforeAutospacing="0" w:after="0" w:afterAutospacing="0"/>
              <w:ind w:left="0" w:right="0"/>
              <w:jc w:val="left"/>
              <w:rPr>
                <w:rFonts w:hint="default"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提供相关承诺函并加盖供应商单位公章。</w:t>
            </w:r>
          </w:p>
        </w:tc>
      </w:tr>
      <w:tr w14:paraId="2640D48B">
        <w:tblPrEx>
          <w:tblCellMar>
            <w:top w:w="0" w:type="dxa"/>
            <w:left w:w="0" w:type="dxa"/>
            <w:bottom w:w="0" w:type="dxa"/>
            <w:right w:w="0" w:type="dxa"/>
          </w:tblCellMar>
        </w:tblPrEx>
        <w:trPr>
          <w:trHeight w:val="805" w:hRule="atLeast"/>
          <w:jc w:val="center"/>
        </w:trPr>
        <w:tc>
          <w:tcPr>
            <w:tcW w:w="448"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14:paraId="5D4486A1">
            <w:pPr>
              <w:keepNext w:val="0"/>
              <w:keepLines w:val="0"/>
              <w:suppressLineNumbers w:val="0"/>
              <w:spacing w:before="0" w:beforeAutospacing="0" w:after="0" w:afterAutospacing="0"/>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9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3CF56B">
            <w:pPr>
              <w:keepNext w:val="0"/>
              <w:keepLines w:val="0"/>
              <w:suppressLineNumbers w:val="0"/>
              <w:adjustRightInd w:val="0"/>
              <w:snapToGrid w:val="0"/>
              <w:spacing w:before="0" w:beforeAutospacing="0" w:after="0" w:afterAutospacing="0"/>
              <w:ind w:left="0" w:right="0"/>
              <w:jc w:val="left"/>
              <w:rPr>
                <w:rFonts w:hint="eastAsia" w:ascii="宋体" w:hAnsi="宋体" w:cs="宋体"/>
                <w:color w:val="auto"/>
                <w:sz w:val="24"/>
                <w:highlight w:val="none"/>
              </w:rPr>
            </w:pPr>
            <w:r>
              <w:rPr>
                <w:rFonts w:hint="eastAsia" w:ascii="宋体" w:hAnsi="宋体" w:cs="宋体"/>
                <w:color w:val="auto"/>
                <w:sz w:val="24"/>
                <w:highlight w:val="none"/>
              </w:rPr>
              <w:t>供应商应为中小企业</w:t>
            </w:r>
          </w:p>
        </w:tc>
        <w:tc>
          <w:tcPr>
            <w:tcW w:w="73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120A6E">
            <w:pPr>
              <w:keepNext w:val="0"/>
              <w:keepLines w:val="0"/>
              <w:suppressLineNumbers w:val="0"/>
              <w:adjustRightInd w:val="0"/>
              <w:snapToGrid w:val="0"/>
              <w:spacing w:before="0" w:beforeAutospacing="0" w:after="0" w:afterAutospacing="0"/>
              <w:ind w:left="0" w:right="0"/>
              <w:jc w:val="left"/>
              <w:rPr>
                <w:rFonts w:hint="eastAsia" w:ascii="宋体" w:hAnsi="宋体" w:cs="宋体"/>
                <w:color w:val="auto"/>
                <w:sz w:val="24"/>
                <w:highlight w:val="none"/>
              </w:rPr>
            </w:pPr>
            <w:r>
              <w:rPr>
                <w:rFonts w:hint="eastAsia" w:ascii="宋体" w:hAnsi="宋体" w:cs="宋体"/>
                <w:color w:val="auto"/>
                <w:sz w:val="24"/>
                <w:highlight w:val="none"/>
              </w:rPr>
              <w:t>请根据要求单独上传《中小企业声明函》。格式以采购文件要求为准。</w:t>
            </w:r>
          </w:p>
        </w:tc>
      </w:tr>
    </w:tbl>
    <w:p w14:paraId="54901DB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8.2所有资格证明文件必须满足采购文件的要求，否则将视为无效标。</w:t>
      </w:r>
    </w:p>
    <w:p w14:paraId="041F899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8.3供应商在投标中违反国家有关法律法规的强制性规定的，其投标按无效标处理。</w:t>
      </w:r>
    </w:p>
    <w:p w14:paraId="106C1F05">
      <w:pPr>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三、响应文件的编写</w:t>
      </w:r>
    </w:p>
    <w:p w14:paraId="7FE8FBF9">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9、响应文件编写要求</w:t>
      </w:r>
    </w:p>
    <w:p w14:paraId="692229B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供应商应仔细阅读采购文件，了解采购文件的要求，按采购文件的要求提供响应文件，并保证所提供的全部资料的真实性，以确保其投标对采购文件做出实质性的响应，否则，其投标可能被拒绝。</w:t>
      </w:r>
    </w:p>
    <w:p w14:paraId="22AD21DC">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10、</w:t>
      </w:r>
      <w:r>
        <w:rPr>
          <w:rFonts w:hint="eastAsia" w:asciiTheme="minorEastAsia" w:hAnsiTheme="minorEastAsia" w:eastAsiaTheme="minorEastAsia" w:cstheme="minorEastAsia"/>
          <w:b/>
          <w:color w:val="auto"/>
          <w:sz w:val="24"/>
          <w:highlight w:val="none"/>
        </w:rPr>
        <w:t>响应文件语言和度量单位</w:t>
      </w:r>
      <w:r>
        <w:rPr>
          <w:rFonts w:hint="eastAsia" w:asciiTheme="minorEastAsia" w:hAnsiTheme="minorEastAsia" w:eastAsiaTheme="minorEastAsia" w:cstheme="minorEastAsia"/>
          <w:b/>
          <w:color w:val="auto"/>
          <w:sz w:val="24"/>
          <w:highlight w:val="none"/>
        </w:rPr>
        <w:tab/>
      </w:r>
    </w:p>
    <w:p w14:paraId="3682A2A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10.1供应商的响应文件以及供应商与采购代理机构就有关采购活动的所有来往函电和文件均应使用中文。如果响应文件或与投标有关的其它文件、信件及来往函电以其他语言书写，供应商应将其译成中文。</w:t>
      </w:r>
    </w:p>
    <w:p w14:paraId="733A2E2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10.2响应文件中所使用的计量单位除采购文件中有特殊规定外，一律使用法定计量单位。</w:t>
      </w:r>
    </w:p>
    <w:p w14:paraId="43DCAFF2">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11、响应文件的组成</w:t>
      </w:r>
    </w:p>
    <w:p w14:paraId="1E851B4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11.1供应商应按下列顺序排列响应文件：</w:t>
      </w:r>
    </w:p>
    <w:p w14:paraId="30C7AA9C">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一、资格证明文件</w:t>
      </w:r>
    </w:p>
    <w:p w14:paraId="68D92C0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1、具有独立承担民事责任的能力</w:t>
      </w:r>
    </w:p>
    <w:p w14:paraId="54CA182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2、良好的商业信誉和健全的财务会计制度</w:t>
      </w:r>
    </w:p>
    <w:p w14:paraId="28F2E08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3、依法缴纳税收和社会保障资金的良好记录</w:t>
      </w:r>
    </w:p>
    <w:p w14:paraId="2F7415F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4、履行合同所必需的设备和专业技术能力的承诺函</w:t>
      </w:r>
    </w:p>
    <w:p w14:paraId="1603A75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5、参加政府采购活动前3年内，在经营活动中没有重大违法记录的书面声明函</w:t>
      </w:r>
    </w:p>
    <w:p w14:paraId="628A789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6、限制行为承诺书</w:t>
      </w:r>
    </w:p>
    <w:p w14:paraId="2CEEE4E5">
      <w:pPr>
        <w:spacing w:line="360" w:lineRule="auto"/>
        <w:ind w:firstLine="480" w:firstLineChars="200"/>
      </w:pPr>
      <w:r>
        <w:rPr>
          <w:rFonts w:hint="eastAsia" w:asciiTheme="minorEastAsia" w:hAnsiTheme="minorEastAsia" w:eastAsiaTheme="minorEastAsia" w:cstheme="minorEastAsia"/>
          <w:color w:val="auto"/>
          <w:sz w:val="24"/>
          <w:highlight w:val="none"/>
          <w:lang w:val="en-US" w:eastAsia="zh-CN"/>
        </w:rPr>
        <w:t>7、中小企业声明函</w:t>
      </w:r>
    </w:p>
    <w:p w14:paraId="19501BC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二、报价文件</w:t>
      </w:r>
    </w:p>
    <w:p w14:paraId="554CF74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1.1报价一览表</w:t>
      </w:r>
    </w:p>
    <w:p w14:paraId="4BAD9C96">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三、商务、技术文件</w:t>
      </w:r>
    </w:p>
    <w:p w14:paraId="6A0CBB8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1、投标函</w:t>
      </w:r>
    </w:p>
    <w:p w14:paraId="5A152E6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2、法定代表人（或非法人组织负责人）身份证明书</w:t>
      </w:r>
    </w:p>
    <w:p w14:paraId="1AFDD13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3、法定代表人（或非法人组织负责人）授权委托书</w:t>
      </w:r>
    </w:p>
    <w:p w14:paraId="698CB33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4、反商业贿赂承诺书</w:t>
      </w:r>
    </w:p>
    <w:p w14:paraId="41F2C19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5、供应商参与政府采购活动（招投标活动）无异议承诺书</w:t>
      </w:r>
    </w:p>
    <w:p w14:paraId="43C1B8C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6、不参与围标串标承诺书</w:t>
      </w:r>
    </w:p>
    <w:p w14:paraId="5B217AB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7、保密承诺书</w:t>
      </w:r>
    </w:p>
    <w:p w14:paraId="152A164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8、投标保证金</w:t>
      </w:r>
    </w:p>
    <w:p w14:paraId="354CD18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9、商务/技术条款偏离表</w:t>
      </w:r>
    </w:p>
    <w:p w14:paraId="0C7F382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10、供应商近三年（2023年1月至今）业绩案例一览表</w:t>
      </w:r>
    </w:p>
    <w:p w14:paraId="5CCEA9E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11、配送车辆</w:t>
      </w:r>
    </w:p>
    <w:p w14:paraId="48265EF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12、人员配备</w:t>
      </w:r>
    </w:p>
    <w:p w14:paraId="2DC702A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13、仓储能力</w:t>
      </w:r>
    </w:p>
    <w:p w14:paraId="4E3EF5D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14、供应产品的来源</w:t>
      </w:r>
    </w:p>
    <w:p w14:paraId="77D8E52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15、食品安全检测能力</w:t>
      </w:r>
    </w:p>
    <w:p w14:paraId="2618037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16、实施方案</w:t>
      </w:r>
    </w:p>
    <w:p w14:paraId="204B3BC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17、产品质量保障</w:t>
      </w:r>
    </w:p>
    <w:p w14:paraId="741BE69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18、特殊情况应急保障方案</w:t>
      </w:r>
    </w:p>
    <w:p w14:paraId="10C421C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19、产品质量保障</w:t>
      </w:r>
    </w:p>
    <w:p w14:paraId="71A6D1A2">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四、其他文件</w:t>
      </w:r>
    </w:p>
    <w:p w14:paraId="01D311A2">
      <w:pPr>
        <w:spacing w:line="360"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说明：未按要求提供者在评标打分时涉及到的项目不得分。</w:t>
      </w:r>
    </w:p>
    <w:p w14:paraId="6F9CCFBB">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12、响应文件格式</w:t>
      </w:r>
    </w:p>
    <w:p w14:paraId="19D34E2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12.1供应商应按采购文件的范本格式中提供的响应文件格式认真填写响应文件、开标一览表。如响应文件中提供的各类表格样式不适，供应商可另行设计表格形式，力求清楚、准确。</w:t>
      </w:r>
    </w:p>
    <w:p w14:paraId="15206B52">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13、投标报价的货币单位</w:t>
      </w:r>
    </w:p>
    <w:p w14:paraId="61BF3CB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13.1投标报价单位为折扣率（%）。</w:t>
      </w:r>
    </w:p>
    <w:p w14:paraId="4CD5014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13.2投标报价为最终报价，供应商不得以任何理由要求再追加任何费用。同时，供应商所报价格在合同实施期间不因市场变化因素而变动。</w:t>
      </w:r>
    </w:p>
    <w:p w14:paraId="56550E1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13.3响应文件中的报价只允许一个最终报价，采购人不接受任何有选择性的投标报价。</w:t>
      </w:r>
    </w:p>
    <w:p w14:paraId="0AB4FF13">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14、服务计划</w:t>
      </w:r>
    </w:p>
    <w:p w14:paraId="197DE11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供应商可以针对本次招标项目的实际需求拟定完善的服务计划。</w:t>
      </w:r>
    </w:p>
    <w:p w14:paraId="698599CF">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15、投标有效期</w:t>
      </w:r>
    </w:p>
    <w:p w14:paraId="6A4C571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15.1响应文件从开标之日起，投标有效期为90个日历日。</w:t>
      </w:r>
    </w:p>
    <w:p w14:paraId="77907CE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15.2在特殊情况下，采购人可与供应商协商延长响应文件的有效期。</w:t>
      </w:r>
    </w:p>
    <w:p w14:paraId="0A6EEA7C">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16、投标保证金</w:t>
      </w:r>
    </w:p>
    <w:p w14:paraId="69881CF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16.1采购人因供应商的违规行为而受到损害时将不予退还供应商的投标保证金，将其作为所受损害的补偿。</w:t>
      </w:r>
    </w:p>
    <w:p w14:paraId="5582813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16.2供应商应根据供应商须知前附表第</w:t>
      </w:r>
      <w:r>
        <w:rPr>
          <w:rFonts w:hint="eastAsia" w:asciiTheme="minorEastAsia" w:hAnsiTheme="minorEastAsia" w:eastAsiaTheme="minorEastAsia" w:cstheme="minorEastAsia"/>
          <w:color w:val="auto"/>
          <w:sz w:val="24"/>
          <w:highlight w:val="none"/>
          <w:u w:val="single"/>
        </w:rPr>
        <w:t>12</w:t>
      </w:r>
      <w:r>
        <w:rPr>
          <w:rFonts w:hint="eastAsia" w:asciiTheme="minorEastAsia" w:hAnsiTheme="minorEastAsia" w:eastAsiaTheme="minorEastAsia" w:cstheme="minorEastAsia"/>
          <w:color w:val="auto"/>
          <w:sz w:val="24"/>
          <w:highlight w:val="none"/>
        </w:rPr>
        <w:t>条规定的金额与形式提交投标保证金。</w:t>
      </w:r>
    </w:p>
    <w:p w14:paraId="71A5CEAB">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16.3未中标的供应商的投标保证金，将在中标（成交）通知书发出后五个工作日内无息退还。</w:t>
      </w:r>
    </w:p>
    <w:p w14:paraId="1A7DE07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16.4中标方的投标保证金，将在领取中标（成交）通知书，签订合同后无息退还。</w:t>
      </w:r>
    </w:p>
    <w:p w14:paraId="4FC157D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16.5未按规定提交投标保证金的投标，将被视为投标无效。</w:t>
      </w:r>
    </w:p>
    <w:p w14:paraId="76C69BE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16.6有下列情形之一的，保证金不予退还：</w:t>
      </w:r>
    </w:p>
    <w:p w14:paraId="08B7749F">
      <w:pPr>
        <w:pStyle w:val="39"/>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（1）投标人在投标有效期内撤销投标文件的；</w:t>
      </w:r>
    </w:p>
    <w:p w14:paraId="69795862">
      <w:pPr>
        <w:pStyle w:val="39"/>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（2）投标人在响应文件中提供虚假材料的；</w:t>
      </w:r>
    </w:p>
    <w:p w14:paraId="2CFF4908">
      <w:pPr>
        <w:pStyle w:val="39"/>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（3）除因不可抗力或采购文件认可的情形以外，中标人不与采购人签订合同的；</w:t>
      </w:r>
    </w:p>
    <w:p w14:paraId="06E3B000">
      <w:pPr>
        <w:pStyle w:val="39"/>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（4）中标人与采购人、其他投标人或者招标代理机构恶意串通的；</w:t>
      </w:r>
    </w:p>
    <w:p w14:paraId="0CE62662">
      <w:pPr>
        <w:pStyle w:val="39"/>
        <w:spacing w:line="360" w:lineRule="auto"/>
        <w:ind w:firstLine="48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（5）采购文件及政府采购相关法规规定的其他不予退还投标保证金的情形。</w:t>
      </w:r>
    </w:p>
    <w:p w14:paraId="16196F0A">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17、响应文件的制作、上传及递交要求</w:t>
      </w:r>
    </w:p>
    <w:p w14:paraId="10A51BA8">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17.1响应文件的制作要求</w:t>
      </w:r>
    </w:p>
    <w:p w14:paraId="67B8608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(1)供应商应按照响应文件组成内容及项目招标需求和新疆政府采购云平台要求制作响应文件，不按采购文件和新疆政府采购云平台要求制作响应文件的将视情况处理(拒收等)，由此产生的责任由供应商自行承担。</w:t>
      </w:r>
    </w:p>
    <w:p w14:paraId="6060E01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响应文件部分：供应商应根据“政采云供应商项目采购-电子招投标操作指南”及本采购文件规定的格式和顺序编制电子响应文件并进行关联定位。本文件《第六章响应文件格式》中有提供格式的，供应商应按照格式进行编制(格式中要求提供相关证明材料的还需后附相关证明材料)，并按格式要求在指定位置根据要求进行签章，否则视为未提供；本文件《第六章响应文件格式》未提供格式的，请供应商自行拟定格式，并加盖单位公章，否则视为未提供。</w:t>
      </w:r>
    </w:p>
    <w:p w14:paraId="2B95478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备份电子响应文件：通过“政采云”平台电子投标工具制作响应文件所产生的备份文件。</w:t>
      </w:r>
    </w:p>
    <w:p w14:paraId="63ABD79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(2)供应商应对所提供的全部资料的真实性、有效性承担法律责任，电子响应文件中所须加盖公章部分均采用CA签章。</w:t>
      </w:r>
    </w:p>
    <w:p w14:paraId="7083CBA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(3)响应文件以及供应商与采购组织机构就有关投标事宜的所有来往函电，均应以中文汉语书写。除签字、盖章、专用名称等特殊情形外，以中文汉语以外的文字表述的响应文件视同未提供。</w:t>
      </w:r>
    </w:p>
    <w:p w14:paraId="32F6D84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(4)投标计量单位，采购文件已有明确规定的，使用采购文件规定的计量单位；采购文件没有规定的，应采用中华人民共和国法定计量单位(货币单位：人民币元)。</w:t>
      </w:r>
    </w:p>
    <w:p w14:paraId="5382745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(5)若供应商不按采购文件的要求提供资格审查材料，其风险由供应商自行承担。</w:t>
      </w:r>
    </w:p>
    <w:p w14:paraId="034F243D">
      <w:pPr>
        <w:widowControl/>
        <w:kinsoku w:val="0"/>
        <w:autoSpaceDE w:val="0"/>
        <w:autoSpaceDN w:val="0"/>
        <w:adjustRightInd w:val="0"/>
        <w:snapToGrid w:val="0"/>
        <w:spacing w:before="165" w:line="360" w:lineRule="auto"/>
        <w:ind w:left="423"/>
        <w:textAlignment w:val="baselin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(6)与本次投标无关的内容请不要制作在内，确保响应文件有针对性、简洁明了</w:t>
      </w:r>
    </w:p>
    <w:p w14:paraId="6E49043D">
      <w:pPr>
        <w:widowControl/>
        <w:kinsoku w:val="0"/>
        <w:autoSpaceDE w:val="0"/>
        <w:autoSpaceDN w:val="0"/>
        <w:adjustRightInd w:val="0"/>
        <w:snapToGrid w:val="0"/>
        <w:spacing w:before="165" w:line="360" w:lineRule="auto"/>
        <w:ind w:left="423"/>
        <w:textAlignment w:val="baseline"/>
        <w:rPr>
          <w:rFonts w:ascii="宋体" w:hAnsi="宋体" w:cs="宋体"/>
          <w:color w:val="auto"/>
          <w:sz w:val="24"/>
          <w:highlight w:val="none"/>
        </w:rPr>
      </w:pPr>
      <w:r>
        <w:rPr>
          <w:rFonts w:hint="eastAsia" w:asciiTheme="minorEastAsia" w:hAnsiTheme="minorEastAsia" w:eastAsiaTheme="minorEastAsia" w:cstheme="minorEastAsia"/>
          <w:b/>
          <w:color w:val="auto"/>
          <w:sz w:val="24"/>
          <w:highlight w:val="none"/>
        </w:rPr>
        <w:t>17.2响应文件的上传</w:t>
      </w:r>
    </w:p>
    <w:p w14:paraId="75987357">
      <w:pPr>
        <w:widowControl/>
        <w:kinsoku w:val="0"/>
        <w:autoSpaceDE w:val="0"/>
        <w:autoSpaceDN w:val="0"/>
        <w:adjustRightInd w:val="0"/>
        <w:snapToGrid w:val="0"/>
        <w:spacing w:before="165" w:line="360" w:lineRule="auto"/>
        <w:ind w:left="423"/>
        <w:textAlignment w:val="baseline"/>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电子加密响应文件(“.jmbs”格式)：</w:t>
      </w:r>
    </w:p>
    <w:p w14:paraId="4EF94582">
      <w:pPr>
        <w:widowControl/>
        <w:kinsoku w:val="0"/>
        <w:autoSpaceDE w:val="0"/>
        <w:autoSpaceDN w:val="0"/>
        <w:adjustRightInd w:val="0"/>
        <w:snapToGrid w:val="0"/>
        <w:spacing w:before="160"/>
        <w:ind w:left="2" w:right="54" w:firstLine="524"/>
        <w:textAlignment w:val="baseline"/>
        <w:rPr>
          <w:rFonts w:ascii="宋体" w:hAnsi="宋体" w:cs="宋体"/>
          <w:color w:val="auto"/>
          <w:sz w:val="24"/>
          <w:highlight w:val="none"/>
        </w:rPr>
      </w:pPr>
      <w:r>
        <w:rPr>
          <w:rFonts w:hint="eastAsia" w:ascii="宋体" w:hAnsi="宋体" w:cs="宋体"/>
          <w:color w:val="auto"/>
          <w:sz w:val="24"/>
          <w:highlight w:val="none"/>
        </w:rPr>
        <w:t>a</w:t>
      </w:r>
      <w:r>
        <w:rPr>
          <w:rFonts w:hint="eastAsia" w:ascii="宋体" w:hAnsi="宋体" w:cs="宋体"/>
          <w:color w:val="auto"/>
          <w:spacing w:val="22"/>
          <w:sz w:val="24"/>
          <w:highlight w:val="none"/>
        </w:rPr>
        <w:t>.</w:t>
      </w:r>
      <w:r>
        <w:rPr>
          <w:rFonts w:hint="eastAsia" w:ascii="宋体" w:hAnsi="宋体" w:cs="宋体"/>
          <w:color w:val="auto"/>
          <w:spacing w:val="14"/>
          <w:sz w:val="24"/>
          <w:highlight w:val="none"/>
        </w:rPr>
        <w:t>供应商</w:t>
      </w:r>
      <w:r>
        <w:rPr>
          <w:rFonts w:hint="eastAsia" w:ascii="宋体" w:hAnsi="宋体" w:cs="宋体"/>
          <w:color w:val="auto"/>
          <w:spacing w:val="11"/>
          <w:sz w:val="24"/>
          <w:highlight w:val="none"/>
        </w:rPr>
        <w:t>应在投标截止时间前将电子加密响应文件成功上传递交至新疆政府采购云平台，否则投标</w:t>
      </w:r>
      <w:r>
        <w:rPr>
          <w:rFonts w:hint="eastAsia" w:ascii="宋体" w:hAnsi="宋体" w:cs="宋体"/>
          <w:color w:val="auto"/>
          <w:spacing w:val="3"/>
          <w:sz w:val="24"/>
          <w:highlight w:val="none"/>
        </w:rPr>
        <w:t>无</w:t>
      </w:r>
      <w:r>
        <w:rPr>
          <w:rFonts w:hint="eastAsia" w:ascii="宋体" w:hAnsi="宋体" w:cs="宋体"/>
          <w:color w:val="auto"/>
          <w:spacing w:val="2"/>
          <w:sz w:val="24"/>
          <w:highlight w:val="none"/>
        </w:rPr>
        <w:t>效；</w:t>
      </w:r>
    </w:p>
    <w:p w14:paraId="5A696547">
      <w:pPr>
        <w:widowControl/>
        <w:kinsoku w:val="0"/>
        <w:autoSpaceDE w:val="0"/>
        <w:autoSpaceDN w:val="0"/>
        <w:adjustRightInd w:val="0"/>
        <w:snapToGrid w:val="0"/>
        <w:ind w:left="523"/>
        <w:textAlignment w:val="baseline"/>
        <w:rPr>
          <w:rFonts w:ascii="宋体" w:hAnsi="宋体" w:cs="宋体"/>
          <w:color w:val="auto"/>
          <w:sz w:val="24"/>
          <w:highlight w:val="none"/>
        </w:rPr>
      </w:pPr>
      <w:r>
        <w:rPr>
          <w:rFonts w:hint="eastAsia" w:ascii="宋体" w:hAnsi="宋体" w:cs="宋体"/>
          <w:color w:val="auto"/>
          <w:position w:val="1"/>
          <w:sz w:val="24"/>
          <w:highlight w:val="none"/>
        </w:rPr>
        <w:t>b</w:t>
      </w:r>
      <w:r>
        <w:rPr>
          <w:rFonts w:hint="eastAsia" w:ascii="宋体" w:hAnsi="宋体" w:cs="宋体"/>
          <w:color w:val="auto"/>
          <w:spacing w:val="18"/>
          <w:position w:val="1"/>
          <w:sz w:val="24"/>
          <w:highlight w:val="none"/>
        </w:rPr>
        <w:t>.</w:t>
      </w:r>
      <w:r>
        <w:rPr>
          <w:rFonts w:hint="eastAsia" w:ascii="宋体" w:hAnsi="宋体" w:cs="宋体"/>
          <w:color w:val="auto"/>
          <w:spacing w:val="13"/>
          <w:position w:val="1"/>
          <w:sz w:val="24"/>
          <w:highlight w:val="none"/>
        </w:rPr>
        <w:t>供应商</w:t>
      </w:r>
      <w:r>
        <w:rPr>
          <w:rFonts w:hint="eastAsia" w:ascii="宋体" w:hAnsi="宋体" w:cs="宋体"/>
          <w:color w:val="auto"/>
          <w:spacing w:val="9"/>
          <w:position w:val="1"/>
          <w:sz w:val="24"/>
          <w:highlight w:val="none"/>
        </w:rPr>
        <w:t>成功上传电子加密响应文件后，可自行打印响应文件接收回执。</w:t>
      </w:r>
    </w:p>
    <w:p w14:paraId="566E9605">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六、开标</w:t>
      </w:r>
    </w:p>
    <w:p w14:paraId="2131AA43">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18、开标</w:t>
      </w:r>
    </w:p>
    <w:p w14:paraId="2817F2E8">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18.1(1)开标准备：本项目开标的准备工作由采购组织机构负责落实，开标过程由采购组织机构负责记录；</w:t>
      </w:r>
    </w:p>
    <w:p w14:paraId="7D782592">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(2)开标主持：本项目开标由采购人代表或者采购代理机构主持；</w:t>
      </w:r>
    </w:p>
    <w:p w14:paraId="4A9F7043">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(3)开标邀请：本项目采用电子交易，采购组织机构将按照采购文件规定的时间通过“新疆政府采购云平台，网址：www.zcygov.cn”组织开标、开启投标响应文件，所有供应商均应当准时在线参加。</w:t>
      </w:r>
    </w:p>
    <w:p w14:paraId="1407B5AE">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响应文件无法按时解密等一切后果由供应商自行承担。</w:t>
      </w:r>
    </w:p>
    <w:p w14:paraId="2BCCF037">
      <w:pPr>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18.2(1)开标时间到后，主持人宣布开标会议开始。</w:t>
      </w:r>
    </w:p>
    <w:p w14:paraId="70DCD2FC">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(2)响应文件解密(解密规定见《供应商须知前附表》)。</w:t>
      </w:r>
    </w:p>
    <w:p w14:paraId="7A4E4733">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(3)响应文件解密异常情况处理(处理办法见《供应商须知前附表》)。</w:t>
      </w:r>
    </w:p>
    <w:p w14:paraId="26D36FEE">
      <w:pPr>
        <w:autoSpaceDE w:val="0"/>
        <w:autoSpaceDN w:val="0"/>
        <w:adjustRightInd w:val="0"/>
        <w:snapToGrid w:val="0"/>
        <w:spacing w:line="360" w:lineRule="auto"/>
        <w:ind w:firstLine="480" w:firstLineChars="200"/>
        <w:rPr>
          <w:color w:val="auto"/>
          <w:highlight w:val="none"/>
        </w:rPr>
      </w:pPr>
      <w:r>
        <w:rPr>
          <w:rFonts w:hint="eastAsia" w:asciiTheme="minorEastAsia" w:hAnsiTheme="minorEastAsia" w:eastAsiaTheme="minorEastAsia" w:cstheme="minorEastAsia"/>
          <w:color w:val="auto"/>
          <w:sz w:val="24"/>
          <w:highlight w:val="none"/>
        </w:rPr>
        <w:t>(4)公布响应文件解密情况(响应文件成功解密的供应商名单等信息)。</w:t>
      </w:r>
    </w:p>
    <w:p w14:paraId="450FE575">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开启标书信息(资格证明文件、商务技术文件)。标书信息开启后，首先由采购人代表或采购代理机构依法对投标供应商的资格证明文件进行审查，审查结束公布投标供应商的资格符合情况。资格审查未获通过的供应商，其商务技术文件及报价文件不再进入评审。</w:t>
      </w:r>
    </w:p>
    <w:p w14:paraId="41999A56">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(6)商务技术评审结束后，主持人公布商务技术评审无效投标供应商名单和商务技术评审有效投标供应商名单及其商务技术得分情况。商务技术评审无效的供应商，其报价不再进入评审。</w:t>
      </w:r>
    </w:p>
    <w:p w14:paraId="3198152F">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3CBDB824">
      <w:pPr>
        <w:widowControl/>
        <w:kinsoku w:val="0"/>
        <w:autoSpaceDE w:val="0"/>
        <w:autoSpaceDN w:val="0"/>
        <w:adjustRightInd w:val="0"/>
        <w:snapToGrid w:val="0"/>
        <w:spacing w:before="161" w:line="360" w:lineRule="auto"/>
        <w:ind w:left="481"/>
        <w:textAlignment w:val="baselin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(8)评审结束后，采购代理机构在系统上公布评审结果。</w:t>
      </w:r>
    </w:p>
    <w:p w14:paraId="64012626">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特别情况说明：</w:t>
      </w:r>
    </w:p>
    <w:p w14:paraId="41E6D4FB">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(1)本项目采用电子交易，如遇“新疆政府采购云平台”电子化开标或评审程序调整的，按调整后程序执行。</w:t>
      </w:r>
    </w:p>
    <w:p w14:paraId="7A307655">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14:paraId="67B7E2A9">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19、无效的响应文件</w:t>
      </w:r>
    </w:p>
    <w:p w14:paraId="2669303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开标时，响应文件出现下列情形之一的，应当作为无效响应文件，不得进入评标：</w:t>
      </w:r>
    </w:p>
    <w:p w14:paraId="0F04694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（1）响应文件未按照采购文件的要求予以签章的；</w:t>
      </w:r>
    </w:p>
    <w:p w14:paraId="548CE29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（2）供应商未按照采购文件要求缴纳投标保证金的；</w:t>
      </w:r>
    </w:p>
    <w:p w14:paraId="0FBD36D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（3）按本文件规定的有效证件不齐全的供应商的响应文件。</w:t>
      </w:r>
      <w:bookmarkStart w:id="7" w:name="_Toc14129"/>
    </w:p>
    <w:p w14:paraId="0EF2E7E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（4）供应商的报价明显低于其他通过符合性审查供应商的报价，有可能影响产品质量或者不能诚信履约的，且在规定时间内不能合理说明原因并提供证明材料的</w:t>
      </w:r>
    </w:p>
    <w:p w14:paraId="1B78784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（5）违反国家及政府部门相关法律、法规、文件规定或经评标委员会认定的其他属于重大偏离</w:t>
      </w:r>
    </w:p>
    <w:p w14:paraId="0954A8CE">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20．废标</w:t>
      </w:r>
    </w:p>
    <w:p w14:paraId="7CBD7CD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20.1符合采购文件规定废标情形的；</w:t>
      </w:r>
    </w:p>
    <w:p w14:paraId="637A710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20.2出现影响采购公正的违法、违规行为的；</w:t>
      </w:r>
    </w:p>
    <w:p w14:paraId="5EF10CC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20.3供应商的报价均超过了采购预算(或最高限价)，采购人不能支付的;</w:t>
      </w:r>
    </w:p>
    <w:p w14:paraId="5F103B4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20.4因重大变故，采购任务取消的。</w:t>
      </w:r>
    </w:p>
    <w:p w14:paraId="2AD9BB6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21．突发情况处理</w:t>
      </w:r>
    </w:p>
    <w:p w14:paraId="464BA32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21.1采购过程中出现以下情形，导致电子交易平台无法正常运行，或者无法保证电子交易的公平、公正和安全时，采购组织机构可中止电子交易活动：</w:t>
      </w:r>
    </w:p>
    <w:p w14:paraId="091C624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(1)电子交易平台发生故障而无法登录访问的；</w:t>
      </w:r>
    </w:p>
    <w:p w14:paraId="106464A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(2)电子交易平台应用或数据库出现错误，不能进行正常操作的；</w:t>
      </w:r>
    </w:p>
    <w:p w14:paraId="22FBA6D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(3)电子交易平台发现严重安全漏洞，有潜在泄密危险的；</w:t>
      </w:r>
    </w:p>
    <w:p w14:paraId="1AAA7AA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(4)病毒发作导致不能进行正常操作的；</w:t>
      </w:r>
    </w:p>
    <w:p w14:paraId="5104855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(5)其他无法保证电子交易的公平、公正和安全的情况。</w:t>
      </w:r>
    </w:p>
    <w:p w14:paraId="25E8364C">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AAE9F3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21.2采购代理机构或评标委员会因不可抗力(不可抗力包括但不限于自然灾害、断电、传播疫病等)原因造成电子交易活动无法正常运行的，将采取以下措施：</w:t>
      </w:r>
    </w:p>
    <w:p w14:paraId="4A972B4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(1)短时间内能消除不可抗力因素的，采购代理机构或评标委员会在消除不可抗力因素后继续组织电子交易活动；</w:t>
      </w:r>
    </w:p>
    <w:p w14:paraId="7AE63E4E">
      <w:pPr>
        <w:spacing w:line="360"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(2)长时间内无法消除不可抗力因素的，采购代理机构或评标委员会将中止电子交易活动。中止电子交易活动的，采购人应当重新组织政府采购活动。</w:t>
      </w:r>
    </w:p>
    <w:p w14:paraId="01201ADF">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七、响应文件的审查、评估和比较</w:t>
      </w:r>
      <w:bookmarkEnd w:id="7"/>
    </w:p>
    <w:p w14:paraId="5FB44E7A">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20、评标</w:t>
      </w:r>
    </w:p>
    <w:p w14:paraId="514141E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20.1采购人根据采购项目的特点，组建评标委员会并选定评标委员会组长。</w:t>
      </w:r>
    </w:p>
    <w:p w14:paraId="5FD30D9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20.2结合本次项目采购特点，采取综合评估法进行评标。</w:t>
      </w:r>
    </w:p>
    <w:p w14:paraId="0FB6075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20.3评标的依据为采购文件和响应文件。</w:t>
      </w:r>
    </w:p>
    <w:p w14:paraId="2853EEF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20.4评标过程的保密性。开标后，直到授予供应商合同止，凡是属于审查、澄清、评价和比较的有关资料以及授标建议等均不得向供应商或其他无关的人员透露。</w:t>
      </w:r>
    </w:p>
    <w:p w14:paraId="6CBB9752">
      <w:pPr>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20.5供应商在评标过程中所进行的力图影响评标结果、有悖于招标规则的活动，可能导致取消其中标资格。</w:t>
      </w:r>
    </w:p>
    <w:p w14:paraId="3AF4C223">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21、对响应文件的符合性审查和响应性确定</w:t>
      </w:r>
    </w:p>
    <w:p w14:paraId="0BEAAA95">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21.1开标后采购人将审查响应文件的完整性、计算结果的准确性以及保证金提交、文件签署情况。在审查时，如单价与总价有出入，则以单价为准，修正总价；大写与小写有出入，以大写金额为准。若供应商拒绝接受上述修正，其投标将可能被拒绝。</w:t>
      </w:r>
    </w:p>
    <w:p w14:paraId="26923E4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21.2在对响应文件进行详细评估之前，评标委员会将审查每一份响应文件是否对采购文件的要求做出了实质性的响应。实质性响应的响应文件应该是与采购文件的全部条款、条件相符，而没有重大偏离。</w:t>
      </w:r>
    </w:p>
    <w:p w14:paraId="439F6AF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21.3采购人判断响应文件的响应性是基于响应文件本身而不靠外部证据。</w:t>
      </w:r>
    </w:p>
    <w:p w14:paraId="134F498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21.4采购人将拒绝被定为非响应性的投标，供应商不能通过修正或撤消不符之处而使其投标成为响应性投标。</w:t>
      </w:r>
    </w:p>
    <w:p w14:paraId="61EAC5E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21.5采购人将允许投标中有微小的不正规、不一致或不规则，而该微小之处不致构成重大偏离。</w:t>
      </w:r>
    </w:p>
    <w:p w14:paraId="339E7D10">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26、</w:t>
      </w:r>
      <w:r>
        <w:rPr>
          <w:rFonts w:hint="eastAsia" w:asciiTheme="minorEastAsia" w:hAnsiTheme="minorEastAsia" w:eastAsiaTheme="minorEastAsia" w:cstheme="minorEastAsia"/>
          <w:b/>
          <w:color w:val="auto"/>
          <w:sz w:val="24"/>
          <w:highlight w:val="none"/>
        </w:rPr>
        <w:t>响应文件的澄清</w:t>
      </w:r>
    </w:p>
    <w:p w14:paraId="754D9C2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26.1评标委员会在评标过程中有权随时请供应商就响应文件中含义不明确、对同类问题表述不一致或者有明显文字和计算错误的内容加以澄清或答疑。</w:t>
      </w:r>
    </w:p>
    <w:p w14:paraId="234CE72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26.2供应商对要求澄清的问题应以书面形式明确答复，并应有法人授权代表的签署。</w:t>
      </w:r>
    </w:p>
    <w:p w14:paraId="1D10E8E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26.3供应商的澄清文件是响应文件的组成部分，并取代响应文件中被澄清的部分。</w:t>
      </w:r>
    </w:p>
    <w:p w14:paraId="4D048150">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26.4响应文件的澄清不得改变投标的实质内容。</w:t>
      </w:r>
    </w:p>
    <w:p w14:paraId="4B443A0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26.5如果供应商在响应文件中未对采购文件中的条款或参数要求提出偏离意见或澄清，将视同供应商同意采购文件的全部或部分要求。</w:t>
      </w:r>
    </w:p>
    <w:p w14:paraId="776D24D5">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27.定标</w:t>
      </w:r>
    </w:p>
    <w:p w14:paraId="1647273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27.1评标委员会有权选择和拒绝供应商中标且无需向供应商进行任何有关评标的解释工作。</w:t>
      </w:r>
    </w:p>
    <w:p w14:paraId="0E24B54E">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27.2评标委员会根据供应商资格审查情况，投标书的资信内容及开标结果，考虑质量、价格、服务等综合因素评出中标候选人，经采购人审核后确认中标人。</w:t>
      </w:r>
    </w:p>
    <w:p w14:paraId="73EC9D72">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27.3采购人确定中标人时的原则：排名第一的中标候选人为中标人。排名第一的中标候选人放弃中标、因不可抗力提出不能履行合同，或者采购文件规定应当提交履约保证金而在规定的期限内未能提交的，确定排名第二的中标候选人为中标人。排名第二的中标候选人因前款规定的同样原因不能签订合同的，确定排名第三的中标候选人为中标人。</w:t>
      </w:r>
    </w:p>
    <w:p w14:paraId="3EE83EC9">
      <w:pPr>
        <w:widowControl/>
        <w:kinsoku w:val="0"/>
        <w:autoSpaceDE w:val="0"/>
        <w:autoSpaceDN w:val="0"/>
        <w:adjustRightInd w:val="0"/>
        <w:snapToGrid w:val="0"/>
        <w:spacing w:before="177" w:line="360" w:lineRule="auto"/>
        <w:ind w:left="420"/>
        <w:textAlignment w:val="baseline"/>
        <w:rPr>
          <w:rFonts w:ascii="宋体" w:hAnsi="宋体" w:cs="宋体"/>
          <w:color w:val="auto"/>
          <w:sz w:val="24"/>
          <w:highlight w:val="none"/>
        </w:rPr>
      </w:pPr>
      <w:r>
        <w:rPr>
          <w:rFonts w:hint="eastAsia" w:ascii="宋体" w:hAnsi="宋体" w:cs="宋体"/>
          <w:color w:val="auto"/>
          <w:spacing w:val="5"/>
          <w:sz w:val="24"/>
          <w:highlight w:val="none"/>
        </w:rPr>
        <w:t>27.4采购结果确认(确定中标供应商</w:t>
      </w:r>
      <w:r>
        <w:rPr>
          <w:rFonts w:hint="eastAsia" w:ascii="宋体" w:hAnsi="宋体" w:cs="宋体"/>
          <w:color w:val="auto"/>
          <w:spacing w:val="3"/>
          <w:sz w:val="24"/>
          <w:highlight w:val="none"/>
        </w:rPr>
        <w:t>)</w:t>
      </w:r>
    </w:p>
    <w:p w14:paraId="323933A0">
      <w:pPr>
        <w:widowControl/>
        <w:kinsoku w:val="0"/>
        <w:autoSpaceDE w:val="0"/>
        <w:autoSpaceDN w:val="0"/>
        <w:adjustRightInd w:val="0"/>
        <w:snapToGrid w:val="0"/>
        <w:spacing w:before="193" w:line="360" w:lineRule="auto"/>
        <w:ind w:right="87" w:firstLine="208"/>
        <w:textAlignment w:val="baseline"/>
        <w:rPr>
          <w:rFonts w:ascii="宋体" w:hAnsi="宋体" w:cs="宋体"/>
          <w:color w:val="auto"/>
          <w:sz w:val="24"/>
          <w:highlight w:val="none"/>
        </w:rPr>
      </w:pPr>
      <w:r>
        <w:rPr>
          <w:rFonts w:hint="eastAsia" w:ascii="宋体" w:hAnsi="宋体" w:cs="宋体"/>
          <w:color w:val="auto"/>
          <w:spacing w:val="18"/>
          <w:sz w:val="24"/>
          <w:highlight w:val="none"/>
        </w:rPr>
        <w:t>采购</w:t>
      </w:r>
      <w:r>
        <w:rPr>
          <w:rFonts w:hint="eastAsia" w:ascii="宋体" w:hAnsi="宋体" w:cs="宋体"/>
          <w:color w:val="auto"/>
          <w:spacing w:val="9"/>
          <w:sz w:val="24"/>
          <w:highlight w:val="none"/>
        </w:rPr>
        <w:t>结果确认(确定中标供应商)：本项目由采购人根据评标委员会提交的《评审报告》，通过“政府</w:t>
      </w:r>
      <w:r>
        <w:rPr>
          <w:rFonts w:hint="eastAsia" w:ascii="宋体" w:hAnsi="宋体" w:cs="宋体"/>
          <w:color w:val="auto"/>
          <w:spacing w:val="18"/>
          <w:sz w:val="24"/>
          <w:highlight w:val="none"/>
        </w:rPr>
        <w:t>采</w:t>
      </w:r>
      <w:r>
        <w:rPr>
          <w:rFonts w:hint="eastAsia" w:ascii="宋体" w:hAnsi="宋体" w:cs="宋体"/>
          <w:color w:val="auto"/>
          <w:spacing w:val="11"/>
          <w:sz w:val="24"/>
          <w:highlight w:val="none"/>
        </w:rPr>
        <w:t>购</w:t>
      </w:r>
      <w:r>
        <w:rPr>
          <w:rFonts w:hint="eastAsia" w:ascii="宋体" w:hAnsi="宋体" w:cs="宋体"/>
          <w:color w:val="auto"/>
          <w:spacing w:val="9"/>
          <w:sz w:val="24"/>
          <w:highlight w:val="none"/>
        </w:rPr>
        <w:t>云平台”依法确认采购结果、确定中标供应商。具体流程如下：</w:t>
      </w:r>
    </w:p>
    <w:p w14:paraId="4DEB23E4">
      <w:pPr>
        <w:widowControl/>
        <w:kinsoku w:val="0"/>
        <w:autoSpaceDE w:val="0"/>
        <w:autoSpaceDN w:val="0"/>
        <w:adjustRightInd w:val="0"/>
        <w:snapToGrid w:val="0"/>
        <w:spacing w:line="360" w:lineRule="auto"/>
        <w:ind w:left="219"/>
        <w:textAlignment w:val="baseline"/>
        <w:rPr>
          <w:rFonts w:ascii="宋体" w:hAnsi="宋体" w:cs="宋体"/>
          <w:color w:val="auto"/>
          <w:sz w:val="24"/>
          <w:highlight w:val="none"/>
        </w:rPr>
      </w:pPr>
      <w:r>
        <w:rPr>
          <w:rFonts w:hint="eastAsia" w:ascii="宋体" w:hAnsi="宋体" w:cs="宋体"/>
          <w:color w:val="auto"/>
          <w:spacing w:val="13"/>
          <w:sz w:val="24"/>
          <w:highlight w:val="none"/>
        </w:rPr>
        <w:t>(</w:t>
      </w:r>
      <w:r>
        <w:rPr>
          <w:rFonts w:hint="eastAsia" w:ascii="宋体" w:hAnsi="宋体" w:cs="宋体"/>
          <w:color w:val="auto"/>
          <w:spacing w:val="8"/>
          <w:sz w:val="24"/>
          <w:highlight w:val="none"/>
        </w:rPr>
        <w:t>1)采购代理机构将在评审结束后2个工作日内将评审报告送采购人。</w:t>
      </w:r>
    </w:p>
    <w:p w14:paraId="7E7CD36C">
      <w:pPr>
        <w:widowControl/>
        <w:kinsoku w:val="0"/>
        <w:autoSpaceDE w:val="0"/>
        <w:autoSpaceDN w:val="0"/>
        <w:adjustRightInd w:val="0"/>
        <w:snapToGrid w:val="0"/>
        <w:spacing w:before="193" w:line="360" w:lineRule="auto"/>
        <w:ind w:left="5" w:right="87" w:firstLine="213"/>
        <w:textAlignment w:val="baseline"/>
        <w:rPr>
          <w:rFonts w:ascii="宋体" w:hAnsi="宋体" w:cs="宋体"/>
          <w:color w:val="auto"/>
          <w:sz w:val="24"/>
          <w:highlight w:val="none"/>
        </w:rPr>
      </w:pPr>
      <w:r>
        <w:rPr>
          <w:rFonts w:hint="eastAsia" w:ascii="宋体" w:hAnsi="宋体" w:cs="宋体"/>
          <w:color w:val="auto"/>
          <w:spacing w:val="12"/>
          <w:sz w:val="24"/>
          <w:highlight w:val="none"/>
        </w:rPr>
        <w:t>(2)采购</w:t>
      </w:r>
      <w:r>
        <w:rPr>
          <w:rFonts w:hint="eastAsia" w:ascii="宋体" w:hAnsi="宋体" w:cs="宋体"/>
          <w:color w:val="auto"/>
          <w:spacing w:val="6"/>
          <w:sz w:val="24"/>
          <w:highlight w:val="none"/>
        </w:rPr>
        <w:t>人将在收到评审报告之日起5个工作日内，在评审报告推荐的中标候选供应商名单中按顺序确</w:t>
      </w:r>
      <w:r>
        <w:rPr>
          <w:rFonts w:hint="eastAsia" w:ascii="宋体" w:hAnsi="宋体" w:cs="宋体"/>
          <w:color w:val="auto"/>
          <w:spacing w:val="10"/>
          <w:sz w:val="24"/>
          <w:highlight w:val="none"/>
        </w:rPr>
        <w:t>定</w:t>
      </w:r>
      <w:r>
        <w:rPr>
          <w:rFonts w:hint="eastAsia" w:ascii="宋体" w:hAnsi="宋体" w:cs="宋体"/>
          <w:color w:val="auto"/>
          <w:spacing w:val="9"/>
          <w:sz w:val="24"/>
          <w:highlight w:val="none"/>
        </w:rPr>
        <w:t>中标供应商，并将确认意见以书面形式回复采购代理机构。</w:t>
      </w:r>
    </w:p>
    <w:p w14:paraId="2B7DAC87">
      <w:pPr>
        <w:widowControl/>
        <w:kinsoku w:val="0"/>
        <w:autoSpaceDE w:val="0"/>
        <w:autoSpaceDN w:val="0"/>
        <w:adjustRightInd w:val="0"/>
        <w:snapToGrid w:val="0"/>
        <w:spacing w:before="1" w:line="360" w:lineRule="auto"/>
        <w:ind w:left="2" w:firstLine="206"/>
        <w:textAlignment w:val="baseline"/>
        <w:rPr>
          <w:color w:val="auto"/>
          <w:highlight w:val="none"/>
        </w:rPr>
      </w:pPr>
      <w:r>
        <w:rPr>
          <w:rFonts w:hint="eastAsia" w:ascii="宋体" w:hAnsi="宋体" w:cs="宋体"/>
          <w:color w:val="auto"/>
          <w:spacing w:val="5"/>
          <w:sz w:val="24"/>
          <w:highlight w:val="none"/>
        </w:rPr>
        <w:t>27.5采购结果经采购人确认后2个工作日内，采购代理机构将在</w:t>
      </w:r>
      <w:r>
        <w:rPr>
          <w:rFonts w:hint="eastAsia" w:ascii="宋体" w:hAnsi="宋体" w:cs="宋体"/>
          <w:color w:val="auto"/>
          <w:spacing w:val="12"/>
          <w:sz w:val="24"/>
          <w:highlight w:val="none"/>
        </w:rPr>
        <w:t>新疆政府采购网(www.zjzfcg.gov.cn)上公告采购结果，中标公告期限为1个工作日。</w:t>
      </w:r>
    </w:p>
    <w:p w14:paraId="22A98E01">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28、</w:t>
      </w:r>
      <w:r>
        <w:rPr>
          <w:rFonts w:hint="eastAsia" w:asciiTheme="minorEastAsia" w:hAnsiTheme="minorEastAsia" w:eastAsiaTheme="minorEastAsia" w:cstheme="minorEastAsia"/>
          <w:b/>
          <w:color w:val="auto"/>
          <w:sz w:val="24"/>
          <w:highlight w:val="none"/>
        </w:rPr>
        <w:t>中标通知</w:t>
      </w:r>
    </w:p>
    <w:p w14:paraId="46AB9888">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28.1采购人根据定标结果，在投标有效期届满前，以书面形式向中标单位发出中标通知书。</w:t>
      </w:r>
    </w:p>
    <w:p w14:paraId="48E15F96">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28.2采购代理机构将中标结果及时通知未中标单位并于5日内退还投标保证金。无需解释未中标原因。</w:t>
      </w:r>
    </w:p>
    <w:p w14:paraId="0870F5F1">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28.3在中标通知书发出前，采购人将中标侯选人的情况在新疆政府采购网予以公示，公示期为一个工作日。待公示期结束后，采购组织机构向中标人发出中标通知书。</w:t>
      </w:r>
    </w:p>
    <w:p w14:paraId="0805795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3EF6743C">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29、拒绝某些或所有投标的权力</w:t>
      </w:r>
    </w:p>
    <w:p w14:paraId="513B7F8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29.1采购人有权在定标之前拒绝任何有不正当行为或扰乱正常招标工作的供应商，由此对供应商造成的损失不负任何责任，同时对此无需做任何解释。</w:t>
      </w:r>
    </w:p>
    <w:p w14:paraId="1486A88D">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highlight w:val="none"/>
        </w:rPr>
        <w:t>30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评标过程的保密</w:t>
      </w:r>
    </w:p>
    <w:p w14:paraId="477EBE0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30.1凡属于对投标文件的审查、澄清、评价和比较有关的资料、中标候选人的推荐情况以及与评标有关的其他任何情况，评标委员会成员和与评标活动有关的工作人员不得对任何单位和个人透露。</w:t>
      </w:r>
    </w:p>
    <w:p w14:paraId="3FD8698D">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30.2</w:t>
      </w:r>
      <w:bookmarkStart w:id="8" w:name="_Toc21533"/>
      <w:r>
        <w:rPr>
          <w:rFonts w:hint="eastAsia" w:asciiTheme="minorEastAsia" w:hAnsiTheme="minorEastAsia" w:eastAsiaTheme="minorEastAsia" w:cstheme="minorEastAsia"/>
          <w:color w:val="auto"/>
          <w:sz w:val="24"/>
          <w:highlight w:val="none"/>
        </w:rPr>
        <w:t>在投标文件的评审和比较、中标候选人推荐以及授予合同的过程中，供应商向采购人或者评标委员会施加影响的任何行为，都将会导致其投标被拒绝。</w:t>
      </w:r>
    </w:p>
    <w:p w14:paraId="1657189A">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30.3中标人确定后，采购人不对未中标人就评标过程以及未能中标原因做出任何解释。未中标人不得向评标委员会组成人员或者其他有关人员索问评标过程的情况和材料。</w:t>
      </w:r>
    </w:p>
    <w:bookmarkEnd w:id="8"/>
    <w:p w14:paraId="39C924A4">
      <w:pPr>
        <w:autoSpaceDE w:val="0"/>
        <w:autoSpaceDN w:val="0"/>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八、授予合同</w:t>
      </w:r>
    </w:p>
    <w:p w14:paraId="0C7D79D8">
      <w:pPr>
        <w:autoSpaceDE w:val="0"/>
        <w:autoSpaceDN w:val="0"/>
        <w:adjustRightInd w:val="0"/>
        <w:snapToGrid w:val="0"/>
        <w:spacing w:line="360" w:lineRule="auto"/>
        <w:ind w:firstLine="482"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bCs/>
          <w:color w:val="auto"/>
          <w:kern w:val="0"/>
          <w:sz w:val="24"/>
          <w:highlight w:val="none"/>
        </w:rPr>
        <w:t>31、合同签订</w:t>
      </w:r>
    </w:p>
    <w:p w14:paraId="57583263">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31.1中标人确定后，采购人向中标人发出中标通知书，同时通知未中标人。采购人和中标人应当自中标通知书发出之日起</w:t>
      </w:r>
      <w:r>
        <w:rPr>
          <w:rFonts w:hint="eastAsia" w:asciiTheme="minorEastAsia" w:hAnsiTheme="minorEastAsia" w:eastAsiaTheme="minorEastAsia" w:cstheme="minorEastAsia"/>
          <w:color w:val="auto"/>
          <w:kern w:val="0"/>
          <w:sz w:val="24"/>
          <w:highlight w:val="none"/>
          <w:u w:val="single"/>
        </w:rPr>
        <w:t>30</w:t>
      </w:r>
      <w:r>
        <w:rPr>
          <w:rFonts w:hint="eastAsia" w:asciiTheme="minorEastAsia" w:hAnsiTheme="minorEastAsia" w:eastAsiaTheme="minorEastAsia" w:cstheme="minorEastAsia"/>
          <w:color w:val="auto"/>
          <w:kern w:val="0"/>
          <w:sz w:val="24"/>
          <w:highlight w:val="none"/>
        </w:rPr>
        <w:t>日之内签订合同。</w:t>
      </w:r>
    </w:p>
    <w:p w14:paraId="6979851B">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31.2中标通知书对采购人去和中标人具有法律约束力。中标通知书发出后，采购人改变中标结果或者中标人放弃中标的，应当承担法律责任。</w:t>
      </w:r>
    </w:p>
    <w:p w14:paraId="7458CB04">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31.3采购人与中标人应按照采购文件和中标人的响应文件订立书面合同，并签订保密协议。</w:t>
      </w:r>
    </w:p>
    <w:p w14:paraId="499C6593">
      <w:pPr>
        <w:spacing w:line="360" w:lineRule="auto"/>
        <w:ind w:firstLine="480"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sz w:val="24"/>
          <w:highlight w:val="none"/>
        </w:rPr>
        <w:t>31.4合同的组成</w:t>
      </w:r>
    </w:p>
    <w:p w14:paraId="19889C8B">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下列文件均为合同不可分割部分：</w:t>
      </w:r>
    </w:p>
    <w:p w14:paraId="7F6088B3">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（1）服务合同；</w:t>
      </w:r>
    </w:p>
    <w:p w14:paraId="381E8CC9">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（2）合同条款；</w:t>
      </w:r>
    </w:p>
    <w:p w14:paraId="07AA484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（3）中标通知书；</w:t>
      </w:r>
    </w:p>
    <w:p w14:paraId="300AC7F7">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（4）乙方中标的响应文件；</w:t>
      </w:r>
    </w:p>
    <w:p w14:paraId="2CEB2924">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（5）采购文件；</w:t>
      </w:r>
    </w:p>
    <w:p w14:paraId="719029AF">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（6）评标答疑记录。</w:t>
      </w:r>
    </w:p>
    <w:p w14:paraId="0F626F3C">
      <w:pPr>
        <w:autoSpaceDE w:val="0"/>
        <w:autoSpaceDN w:val="0"/>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九、纪律和监督</w:t>
      </w:r>
    </w:p>
    <w:p w14:paraId="51D04280">
      <w:pPr>
        <w:autoSpaceDE w:val="0"/>
        <w:autoSpaceDN w:val="0"/>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32.对采购人的纪律要求</w:t>
      </w:r>
    </w:p>
    <w:p w14:paraId="5752C2B2">
      <w:pPr>
        <w:widowControl/>
        <w:kinsoku w:val="0"/>
        <w:autoSpaceDE w:val="0"/>
        <w:autoSpaceDN w:val="0"/>
        <w:adjustRightInd w:val="0"/>
        <w:snapToGrid w:val="0"/>
        <w:spacing w:before="192" w:line="360" w:lineRule="auto"/>
        <w:ind w:right="70" w:firstLine="314"/>
        <w:textAlignment w:val="baseline"/>
        <w:rPr>
          <w:rFonts w:ascii="宋体" w:hAnsi="宋体" w:cs="宋体"/>
          <w:color w:val="auto"/>
          <w:sz w:val="24"/>
          <w:highlight w:val="none"/>
        </w:rPr>
      </w:pPr>
      <w:r>
        <w:rPr>
          <w:rFonts w:hint="eastAsia" w:ascii="宋体" w:hAnsi="宋体" w:cs="宋体"/>
          <w:color w:val="auto"/>
          <w:spacing w:val="12"/>
          <w:sz w:val="24"/>
          <w:highlight w:val="none"/>
        </w:rPr>
        <w:t>32.1</w:t>
      </w:r>
      <w:r>
        <w:rPr>
          <w:rFonts w:hint="eastAsia" w:ascii="宋体" w:hAnsi="宋体" w:cs="宋体"/>
          <w:color w:val="auto"/>
          <w:spacing w:val="10"/>
          <w:sz w:val="24"/>
          <w:highlight w:val="none"/>
        </w:rPr>
        <w:t>采购人</w:t>
      </w:r>
      <w:r>
        <w:rPr>
          <w:rFonts w:hint="eastAsia" w:ascii="宋体" w:hAnsi="宋体" w:cs="宋体"/>
          <w:color w:val="auto"/>
          <w:spacing w:val="6"/>
          <w:sz w:val="24"/>
          <w:highlight w:val="none"/>
        </w:rPr>
        <w:t>不得泄漏招标投标活动中应当保密的情况和资料，不得与供应商串通损害国家利益，社会公</w:t>
      </w:r>
      <w:r>
        <w:rPr>
          <w:rFonts w:hint="eastAsia" w:ascii="宋体" w:hAnsi="宋体" w:cs="宋体"/>
          <w:color w:val="auto"/>
          <w:spacing w:val="13"/>
          <w:sz w:val="24"/>
          <w:highlight w:val="none"/>
        </w:rPr>
        <w:t>共</w:t>
      </w:r>
      <w:r>
        <w:rPr>
          <w:rFonts w:hint="eastAsia" w:ascii="宋体" w:hAnsi="宋体" w:cs="宋体"/>
          <w:color w:val="auto"/>
          <w:spacing w:val="8"/>
          <w:sz w:val="24"/>
          <w:highlight w:val="none"/>
        </w:rPr>
        <w:t>利益或者他人合法权益。</w:t>
      </w:r>
    </w:p>
    <w:p w14:paraId="421BC9FD">
      <w:pPr>
        <w:autoSpaceDE w:val="0"/>
        <w:autoSpaceDN w:val="0"/>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33.对供应商的纪律要求</w:t>
      </w:r>
    </w:p>
    <w:p w14:paraId="28184FCA">
      <w:pPr>
        <w:widowControl/>
        <w:kinsoku w:val="0"/>
        <w:autoSpaceDE w:val="0"/>
        <w:autoSpaceDN w:val="0"/>
        <w:adjustRightInd w:val="0"/>
        <w:snapToGrid w:val="0"/>
        <w:spacing w:before="192" w:line="360" w:lineRule="auto"/>
        <w:ind w:left="1" w:firstLine="312"/>
        <w:textAlignment w:val="baseline"/>
        <w:rPr>
          <w:rFonts w:ascii="宋体" w:hAnsi="宋体" w:cs="宋体"/>
          <w:color w:val="auto"/>
          <w:sz w:val="24"/>
          <w:highlight w:val="none"/>
        </w:rPr>
      </w:pPr>
      <w:r>
        <w:rPr>
          <w:rFonts w:hint="eastAsia" w:ascii="宋体" w:hAnsi="宋体" w:cs="宋体"/>
          <w:color w:val="auto"/>
          <w:spacing w:val="16"/>
          <w:sz w:val="24"/>
          <w:highlight w:val="none"/>
        </w:rPr>
        <w:t>33</w:t>
      </w:r>
      <w:r>
        <w:rPr>
          <w:rFonts w:hint="eastAsia" w:ascii="宋体" w:hAnsi="宋体" w:cs="宋体"/>
          <w:color w:val="auto"/>
          <w:spacing w:val="11"/>
          <w:sz w:val="24"/>
          <w:highlight w:val="none"/>
        </w:rPr>
        <w:t>.1供应商不得相互串通投标或者与采购人串通投标，不得向采购人或者评标委员会成员行贿谋取中</w:t>
      </w:r>
      <w:r>
        <w:rPr>
          <w:rFonts w:hint="eastAsia" w:ascii="宋体" w:hAnsi="宋体" w:cs="宋体"/>
          <w:color w:val="auto"/>
          <w:spacing w:val="16"/>
          <w:sz w:val="24"/>
          <w:highlight w:val="none"/>
        </w:rPr>
        <w:t>标，不</w:t>
      </w:r>
      <w:r>
        <w:rPr>
          <w:rFonts w:hint="eastAsia" w:ascii="宋体" w:hAnsi="宋体" w:cs="宋体"/>
          <w:color w:val="auto"/>
          <w:spacing w:val="14"/>
          <w:sz w:val="24"/>
          <w:highlight w:val="none"/>
        </w:rPr>
        <w:t>得</w:t>
      </w:r>
      <w:r>
        <w:rPr>
          <w:rFonts w:hint="eastAsia" w:ascii="宋体" w:hAnsi="宋体" w:cs="宋体"/>
          <w:color w:val="auto"/>
          <w:spacing w:val="8"/>
          <w:sz w:val="24"/>
          <w:highlight w:val="none"/>
        </w:rPr>
        <w:t>以他人名义投标或者以其他方式弄虚作假骗取中标；供应商不得以任何方式干扰、影响评标工作。</w:t>
      </w:r>
    </w:p>
    <w:p w14:paraId="2F367BD0">
      <w:pPr>
        <w:autoSpaceDE w:val="0"/>
        <w:autoSpaceDN w:val="0"/>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34.对评标委员会成员的纪律要求</w:t>
      </w:r>
    </w:p>
    <w:p w14:paraId="5AA28C03">
      <w:pPr>
        <w:widowControl/>
        <w:kinsoku w:val="0"/>
        <w:autoSpaceDE w:val="0"/>
        <w:autoSpaceDN w:val="0"/>
        <w:adjustRightInd w:val="0"/>
        <w:snapToGrid w:val="0"/>
        <w:spacing w:before="195" w:line="360" w:lineRule="auto"/>
        <w:ind w:left="1" w:right="70" w:firstLine="312"/>
        <w:textAlignment w:val="baseline"/>
        <w:rPr>
          <w:rFonts w:ascii="宋体" w:hAnsi="宋体" w:cs="宋体"/>
          <w:color w:val="auto"/>
          <w:sz w:val="24"/>
          <w:highlight w:val="none"/>
        </w:rPr>
      </w:pPr>
      <w:r>
        <w:rPr>
          <w:rFonts w:hint="eastAsia" w:ascii="宋体" w:hAnsi="宋体" w:cs="宋体"/>
          <w:color w:val="auto"/>
          <w:spacing w:val="12"/>
          <w:sz w:val="24"/>
          <w:highlight w:val="none"/>
        </w:rPr>
        <w:t>34.1</w:t>
      </w:r>
      <w:r>
        <w:rPr>
          <w:rFonts w:hint="eastAsia" w:ascii="宋体" w:hAnsi="宋体" w:cs="宋体"/>
          <w:color w:val="auto"/>
          <w:spacing w:val="10"/>
          <w:sz w:val="24"/>
          <w:highlight w:val="none"/>
        </w:rPr>
        <w:t>评</w:t>
      </w:r>
      <w:r>
        <w:rPr>
          <w:rFonts w:hint="eastAsia" w:ascii="宋体" w:hAnsi="宋体" w:cs="宋体"/>
          <w:color w:val="auto"/>
          <w:spacing w:val="6"/>
          <w:sz w:val="24"/>
          <w:highlight w:val="none"/>
        </w:rPr>
        <w:t>标委员会成员不得收受他人的财物或者其他好处，不得向他人透漏对响应文件的评审和比较、中</w:t>
      </w:r>
      <w:r>
        <w:rPr>
          <w:rFonts w:hint="eastAsia" w:ascii="宋体" w:hAnsi="宋体" w:cs="宋体"/>
          <w:color w:val="auto"/>
          <w:spacing w:val="9"/>
          <w:sz w:val="24"/>
          <w:highlight w:val="none"/>
        </w:rPr>
        <w:t>标候选人的推荐情况以及评标有关的其他情况</w:t>
      </w:r>
      <w:r>
        <w:rPr>
          <w:rFonts w:hint="eastAsia" w:ascii="宋体" w:hAnsi="宋体" w:cs="宋体"/>
          <w:color w:val="auto"/>
          <w:spacing w:val="8"/>
          <w:sz w:val="24"/>
          <w:highlight w:val="none"/>
        </w:rPr>
        <w:t>。</w:t>
      </w:r>
    </w:p>
    <w:p w14:paraId="39EB602C">
      <w:pPr>
        <w:widowControl/>
        <w:kinsoku w:val="0"/>
        <w:autoSpaceDE w:val="0"/>
        <w:autoSpaceDN w:val="0"/>
        <w:adjustRightInd w:val="0"/>
        <w:snapToGrid w:val="0"/>
        <w:spacing w:before="1" w:line="360" w:lineRule="auto"/>
        <w:ind w:left="1" w:right="70" w:firstLine="312"/>
        <w:textAlignment w:val="baseline"/>
        <w:rPr>
          <w:rFonts w:ascii="宋体" w:hAnsi="宋体" w:cs="宋体"/>
          <w:color w:val="auto"/>
          <w:sz w:val="24"/>
          <w:highlight w:val="none"/>
        </w:rPr>
      </w:pPr>
      <w:r>
        <w:rPr>
          <w:rFonts w:hint="eastAsia" w:ascii="宋体" w:hAnsi="宋体" w:cs="宋体"/>
          <w:color w:val="auto"/>
          <w:spacing w:val="12"/>
          <w:sz w:val="24"/>
          <w:highlight w:val="none"/>
        </w:rPr>
        <w:t>34.2</w:t>
      </w:r>
      <w:r>
        <w:rPr>
          <w:rFonts w:hint="eastAsia" w:ascii="宋体" w:hAnsi="宋体" w:cs="宋体"/>
          <w:color w:val="auto"/>
          <w:spacing w:val="10"/>
          <w:sz w:val="24"/>
          <w:highlight w:val="none"/>
        </w:rPr>
        <w:t>在</w:t>
      </w:r>
      <w:r>
        <w:rPr>
          <w:rFonts w:hint="eastAsia" w:ascii="宋体" w:hAnsi="宋体" w:cs="宋体"/>
          <w:color w:val="auto"/>
          <w:spacing w:val="6"/>
          <w:sz w:val="24"/>
          <w:highlight w:val="none"/>
        </w:rPr>
        <w:t>评标活动中，评标委员会成员不得擅离职守，影响评标程序正常进行，不得使用第三章“评标办</w:t>
      </w:r>
      <w:r>
        <w:rPr>
          <w:rFonts w:hint="eastAsia" w:ascii="宋体" w:hAnsi="宋体" w:cs="宋体"/>
          <w:color w:val="auto"/>
          <w:spacing w:val="9"/>
          <w:sz w:val="24"/>
          <w:highlight w:val="none"/>
        </w:rPr>
        <w:t>法”没有规定的评审因素和标准进行评标</w:t>
      </w:r>
      <w:r>
        <w:rPr>
          <w:rFonts w:hint="eastAsia" w:ascii="宋体" w:hAnsi="宋体" w:cs="宋体"/>
          <w:color w:val="auto"/>
          <w:spacing w:val="6"/>
          <w:sz w:val="24"/>
          <w:highlight w:val="none"/>
        </w:rPr>
        <w:t>。</w:t>
      </w:r>
    </w:p>
    <w:p w14:paraId="1D982ADD">
      <w:pPr>
        <w:autoSpaceDE w:val="0"/>
        <w:autoSpaceDN w:val="0"/>
        <w:adjustRightInd w:val="0"/>
        <w:snapToGrid w:val="0"/>
        <w:spacing w:line="360" w:lineRule="auto"/>
        <w:ind w:firstLine="482" w:firstLineChars="200"/>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35.对与评标活动有关的工作人员的纪律要求</w:t>
      </w:r>
    </w:p>
    <w:p w14:paraId="7CFC3374">
      <w:pPr>
        <w:widowControl/>
        <w:kinsoku w:val="0"/>
        <w:autoSpaceDE w:val="0"/>
        <w:autoSpaceDN w:val="0"/>
        <w:adjustRightInd w:val="0"/>
        <w:snapToGrid w:val="0"/>
        <w:spacing w:before="195" w:line="360" w:lineRule="auto"/>
        <w:ind w:left="1" w:right="70" w:firstLine="312"/>
        <w:textAlignment w:val="baseline"/>
        <w:rPr>
          <w:rFonts w:ascii="宋体" w:hAnsi="宋体" w:cs="宋体"/>
          <w:color w:val="auto"/>
          <w:sz w:val="24"/>
          <w:highlight w:val="none"/>
        </w:rPr>
      </w:pPr>
      <w:r>
        <w:rPr>
          <w:rFonts w:hint="eastAsia" w:ascii="宋体" w:hAnsi="宋体" w:cs="宋体"/>
          <w:color w:val="auto"/>
          <w:spacing w:val="12"/>
          <w:sz w:val="24"/>
          <w:highlight w:val="none"/>
        </w:rPr>
        <w:t>35.1</w:t>
      </w:r>
      <w:r>
        <w:rPr>
          <w:rFonts w:hint="eastAsia" w:ascii="宋体" w:hAnsi="宋体" w:cs="宋体"/>
          <w:color w:val="auto"/>
          <w:spacing w:val="10"/>
          <w:sz w:val="24"/>
          <w:highlight w:val="none"/>
        </w:rPr>
        <w:t>与</w:t>
      </w:r>
      <w:r>
        <w:rPr>
          <w:rFonts w:hint="eastAsia" w:ascii="宋体" w:hAnsi="宋体" w:cs="宋体"/>
          <w:color w:val="auto"/>
          <w:spacing w:val="6"/>
          <w:sz w:val="24"/>
          <w:highlight w:val="none"/>
        </w:rPr>
        <w:t>评标活动有关的工作人员不得收受他人的财物或者其他好处，不得向他人透漏对响应文件的评审</w:t>
      </w:r>
      <w:r>
        <w:rPr>
          <w:rFonts w:hint="eastAsia" w:ascii="宋体" w:hAnsi="宋体" w:cs="宋体"/>
          <w:color w:val="auto"/>
          <w:spacing w:val="22"/>
          <w:sz w:val="24"/>
          <w:highlight w:val="none"/>
        </w:rPr>
        <w:t>和比</w:t>
      </w:r>
      <w:r>
        <w:rPr>
          <w:rFonts w:hint="eastAsia" w:ascii="宋体" w:hAnsi="宋体" w:cs="宋体"/>
          <w:color w:val="auto"/>
          <w:spacing w:val="17"/>
          <w:sz w:val="24"/>
          <w:highlight w:val="none"/>
        </w:rPr>
        <w:t>较</w:t>
      </w:r>
      <w:r>
        <w:rPr>
          <w:rFonts w:hint="eastAsia" w:ascii="宋体" w:hAnsi="宋体" w:cs="宋体"/>
          <w:color w:val="auto"/>
          <w:spacing w:val="11"/>
          <w:sz w:val="24"/>
          <w:highlight w:val="none"/>
        </w:rPr>
        <w:t>、中标候选人的推荐情况以及评标有关的其他情况。在评标活动中，与评标活动有关的工作人员不</w:t>
      </w:r>
      <w:r>
        <w:rPr>
          <w:rFonts w:hint="eastAsia" w:ascii="宋体" w:hAnsi="宋体" w:cs="宋体"/>
          <w:color w:val="auto"/>
          <w:spacing w:val="16"/>
          <w:sz w:val="24"/>
          <w:highlight w:val="none"/>
        </w:rPr>
        <w:t>得</w:t>
      </w:r>
      <w:r>
        <w:rPr>
          <w:rFonts w:hint="eastAsia" w:ascii="宋体" w:hAnsi="宋体" w:cs="宋体"/>
          <w:color w:val="auto"/>
          <w:spacing w:val="12"/>
          <w:sz w:val="24"/>
          <w:highlight w:val="none"/>
        </w:rPr>
        <w:t>擅</w:t>
      </w:r>
      <w:r>
        <w:rPr>
          <w:rFonts w:hint="eastAsia" w:ascii="宋体" w:hAnsi="宋体" w:cs="宋体"/>
          <w:color w:val="auto"/>
          <w:spacing w:val="8"/>
          <w:sz w:val="24"/>
          <w:highlight w:val="none"/>
        </w:rPr>
        <w:t>离职守，影响评标程序正常进行。</w:t>
      </w:r>
    </w:p>
    <w:p w14:paraId="61727C71">
      <w:pPr>
        <w:autoSpaceDE w:val="0"/>
        <w:autoSpaceDN w:val="0"/>
        <w:adjustRightInd w:val="0"/>
        <w:snapToGrid w:val="0"/>
        <w:spacing w:line="360" w:lineRule="auto"/>
        <w:ind w:firstLine="482" w:firstLineChars="200"/>
        <w:rPr>
          <w:rFonts w:ascii="宋体" w:hAnsi="宋体" w:cs="宋体"/>
          <w:color w:val="auto"/>
          <w:sz w:val="24"/>
          <w:highlight w:val="none"/>
        </w:rPr>
      </w:pPr>
      <w:r>
        <w:rPr>
          <w:rFonts w:hint="eastAsia" w:asciiTheme="minorEastAsia" w:hAnsiTheme="minorEastAsia" w:eastAsiaTheme="minorEastAsia" w:cstheme="minorEastAsia"/>
          <w:b/>
          <w:bCs/>
          <w:color w:val="auto"/>
          <w:kern w:val="0"/>
          <w:sz w:val="24"/>
          <w:highlight w:val="none"/>
        </w:rPr>
        <w:t>十、质疑与投诉</w:t>
      </w:r>
    </w:p>
    <w:p w14:paraId="033C389D">
      <w:pPr>
        <w:widowControl/>
        <w:kinsoku w:val="0"/>
        <w:autoSpaceDE w:val="0"/>
        <w:autoSpaceDN w:val="0"/>
        <w:adjustRightInd w:val="0"/>
        <w:snapToGrid w:val="0"/>
        <w:spacing w:before="181" w:line="360" w:lineRule="auto"/>
        <w:ind w:left="210" w:right="56" w:firstLine="254" w:firstLineChars="100"/>
        <w:textAlignment w:val="baseline"/>
        <w:rPr>
          <w:rFonts w:ascii="宋体" w:hAnsi="宋体" w:cs="宋体"/>
          <w:color w:val="auto"/>
          <w:spacing w:val="7"/>
          <w:position w:val="1"/>
          <w:sz w:val="24"/>
          <w:highlight w:val="none"/>
        </w:rPr>
      </w:pPr>
      <w:r>
        <w:rPr>
          <w:rFonts w:hint="eastAsia" w:ascii="宋体" w:hAnsi="宋体" w:cs="宋体"/>
          <w:color w:val="auto"/>
          <w:spacing w:val="7"/>
          <w:position w:val="1"/>
          <w:sz w:val="24"/>
          <w:highlight w:val="none"/>
        </w:rPr>
        <w:t>36、质疑和投诉</w:t>
      </w:r>
    </w:p>
    <w:p w14:paraId="6BCA743B">
      <w:pPr>
        <w:widowControl/>
        <w:kinsoku w:val="0"/>
        <w:autoSpaceDE w:val="0"/>
        <w:autoSpaceDN w:val="0"/>
        <w:adjustRightInd w:val="0"/>
        <w:snapToGrid w:val="0"/>
        <w:spacing w:before="181" w:line="360" w:lineRule="auto"/>
        <w:ind w:left="208" w:right="56" w:firstLine="264" w:firstLineChars="100"/>
        <w:textAlignment w:val="baseline"/>
        <w:rPr>
          <w:rFonts w:ascii="宋体" w:hAnsi="宋体" w:cs="宋体"/>
          <w:color w:val="auto"/>
          <w:sz w:val="24"/>
          <w:highlight w:val="none"/>
        </w:rPr>
      </w:pPr>
      <w:r>
        <w:rPr>
          <w:rFonts w:hint="eastAsia" w:ascii="宋体" w:hAnsi="宋体" w:cs="宋体"/>
          <w:color w:val="auto"/>
          <w:spacing w:val="12"/>
          <w:sz w:val="24"/>
          <w:highlight w:val="none"/>
        </w:rPr>
        <w:t>36</w:t>
      </w:r>
      <w:r>
        <w:rPr>
          <w:rFonts w:hint="eastAsia" w:ascii="宋体" w:hAnsi="宋体" w:cs="宋体"/>
          <w:color w:val="auto"/>
          <w:spacing w:val="7"/>
          <w:sz w:val="24"/>
          <w:highlight w:val="none"/>
        </w:rPr>
        <w:t>.1.供应商认为采购文件、采购过程和中标、成交结果使自己的权益受到损害的，可以在知道或者应知</w:t>
      </w:r>
      <w:r>
        <w:rPr>
          <w:rFonts w:hint="eastAsia" w:ascii="宋体" w:hAnsi="宋体" w:cs="宋体"/>
          <w:color w:val="auto"/>
          <w:spacing w:val="18"/>
          <w:sz w:val="24"/>
          <w:highlight w:val="none"/>
        </w:rPr>
        <w:t>其权益</w:t>
      </w:r>
      <w:r>
        <w:rPr>
          <w:rFonts w:hint="eastAsia" w:ascii="宋体" w:hAnsi="宋体" w:cs="宋体"/>
          <w:color w:val="auto"/>
          <w:spacing w:val="16"/>
          <w:sz w:val="24"/>
          <w:highlight w:val="none"/>
        </w:rPr>
        <w:t>受</w:t>
      </w:r>
      <w:r>
        <w:rPr>
          <w:rFonts w:hint="eastAsia" w:ascii="宋体" w:hAnsi="宋体" w:cs="宋体"/>
          <w:color w:val="auto"/>
          <w:spacing w:val="9"/>
          <w:sz w:val="24"/>
          <w:highlight w:val="none"/>
        </w:rPr>
        <w:t>到损害之日起七个工作日内，以书面形式向采购人、采购代理机构提出质疑。供应商应当在法定</w:t>
      </w:r>
      <w:r>
        <w:rPr>
          <w:rFonts w:hint="eastAsia" w:ascii="宋体" w:hAnsi="宋体" w:cs="宋体"/>
          <w:color w:val="auto"/>
          <w:spacing w:val="18"/>
          <w:sz w:val="24"/>
          <w:highlight w:val="none"/>
        </w:rPr>
        <w:t>质疑</w:t>
      </w:r>
      <w:r>
        <w:rPr>
          <w:rFonts w:hint="eastAsia" w:ascii="宋体" w:hAnsi="宋体" w:cs="宋体"/>
          <w:color w:val="auto"/>
          <w:spacing w:val="10"/>
          <w:sz w:val="24"/>
          <w:highlight w:val="none"/>
        </w:rPr>
        <w:t>期</w:t>
      </w:r>
      <w:r>
        <w:rPr>
          <w:rFonts w:hint="eastAsia" w:ascii="宋体" w:hAnsi="宋体" w:cs="宋体"/>
          <w:color w:val="auto"/>
          <w:spacing w:val="9"/>
          <w:sz w:val="24"/>
          <w:highlight w:val="none"/>
        </w:rPr>
        <w:t>内一次性提出针对同一采购程序环节的质疑。供应商应知其权益受到损害之日，是指：</w:t>
      </w:r>
    </w:p>
    <w:p w14:paraId="39DCC97B">
      <w:pPr>
        <w:widowControl/>
        <w:kinsoku w:val="0"/>
        <w:autoSpaceDE w:val="0"/>
        <w:autoSpaceDN w:val="0"/>
        <w:adjustRightInd w:val="0"/>
        <w:snapToGrid w:val="0"/>
        <w:spacing w:line="360" w:lineRule="auto"/>
        <w:ind w:left="219"/>
        <w:textAlignment w:val="baseline"/>
        <w:rPr>
          <w:rFonts w:ascii="宋体" w:hAnsi="宋体" w:cs="宋体"/>
          <w:color w:val="auto"/>
          <w:sz w:val="24"/>
          <w:highlight w:val="none"/>
        </w:rPr>
      </w:pPr>
      <w:r>
        <w:rPr>
          <w:rFonts w:hint="eastAsia" w:ascii="宋体" w:hAnsi="宋体" w:cs="宋体"/>
          <w:color w:val="auto"/>
          <w:spacing w:val="9"/>
          <w:sz w:val="24"/>
          <w:highlight w:val="none"/>
        </w:rPr>
        <w:t>(一)对可以质疑的采购文件提出质疑的，为收到采购文件之日或者采购文件公告期限届满之日</w:t>
      </w:r>
      <w:r>
        <w:rPr>
          <w:rFonts w:hint="eastAsia" w:ascii="宋体" w:hAnsi="宋体" w:cs="宋体"/>
          <w:color w:val="auto"/>
          <w:spacing w:val="3"/>
          <w:sz w:val="24"/>
          <w:highlight w:val="none"/>
        </w:rPr>
        <w:t>；</w:t>
      </w:r>
    </w:p>
    <w:p w14:paraId="57E2851F">
      <w:pPr>
        <w:widowControl/>
        <w:kinsoku w:val="0"/>
        <w:autoSpaceDE w:val="0"/>
        <w:autoSpaceDN w:val="0"/>
        <w:adjustRightInd w:val="0"/>
        <w:snapToGrid w:val="0"/>
        <w:spacing w:before="195" w:line="360" w:lineRule="auto"/>
        <w:ind w:left="219"/>
        <w:textAlignment w:val="baseline"/>
        <w:rPr>
          <w:rFonts w:ascii="宋体" w:hAnsi="宋体" w:cs="宋体"/>
          <w:color w:val="auto"/>
          <w:sz w:val="24"/>
          <w:highlight w:val="none"/>
        </w:rPr>
      </w:pPr>
      <w:r>
        <w:rPr>
          <w:rFonts w:hint="eastAsia" w:ascii="宋体" w:hAnsi="宋体" w:cs="宋体"/>
          <w:color w:val="auto"/>
          <w:spacing w:val="15"/>
          <w:sz w:val="24"/>
          <w:highlight w:val="none"/>
        </w:rPr>
        <w:t>(</w:t>
      </w:r>
      <w:r>
        <w:rPr>
          <w:rFonts w:hint="eastAsia" w:ascii="宋体" w:hAnsi="宋体" w:cs="宋体"/>
          <w:color w:val="auto"/>
          <w:spacing w:val="12"/>
          <w:sz w:val="24"/>
          <w:highlight w:val="none"/>
        </w:rPr>
        <w:t>二)对采购过程提出质疑的，为各采购程序环节结束之日；</w:t>
      </w:r>
    </w:p>
    <w:p w14:paraId="344AAEA7">
      <w:pPr>
        <w:widowControl/>
        <w:kinsoku w:val="0"/>
        <w:autoSpaceDE w:val="0"/>
        <w:autoSpaceDN w:val="0"/>
        <w:adjustRightInd w:val="0"/>
        <w:snapToGrid w:val="0"/>
        <w:spacing w:before="193" w:line="360" w:lineRule="auto"/>
        <w:ind w:left="219"/>
        <w:textAlignment w:val="baseline"/>
        <w:rPr>
          <w:rFonts w:ascii="宋体" w:hAnsi="宋体" w:cs="宋体"/>
          <w:color w:val="auto"/>
          <w:sz w:val="24"/>
          <w:highlight w:val="none"/>
        </w:rPr>
      </w:pPr>
      <w:r>
        <w:rPr>
          <w:rFonts w:hint="eastAsia" w:ascii="宋体" w:hAnsi="宋体" w:cs="宋体"/>
          <w:color w:val="auto"/>
          <w:spacing w:val="22"/>
          <w:sz w:val="24"/>
          <w:highlight w:val="none"/>
        </w:rPr>
        <w:t>(三</w:t>
      </w:r>
      <w:r>
        <w:rPr>
          <w:rFonts w:hint="eastAsia" w:ascii="宋体" w:hAnsi="宋体" w:cs="宋体"/>
          <w:color w:val="auto"/>
          <w:spacing w:val="12"/>
          <w:sz w:val="24"/>
          <w:highlight w:val="none"/>
        </w:rPr>
        <w:t>)</w:t>
      </w:r>
      <w:r>
        <w:rPr>
          <w:rFonts w:hint="eastAsia" w:ascii="宋体" w:hAnsi="宋体" w:cs="宋体"/>
          <w:color w:val="auto"/>
          <w:spacing w:val="11"/>
          <w:sz w:val="24"/>
          <w:highlight w:val="none"/>
        </w:rPr>
        <w:t>对中标或者成交结果提出质疑的，为中标或者成交结果公告期限届满之日。</w:t>
      </w:r>
    </w:p>
    <w:p w14:paraId="19198490">
      <w:pPr>
        <w:widowControl/>
        <w:kinsoku w:val="0"/>
        <w:autoSpaceDE w:val="0"/>
        <w:autoSpaceDN w:val="0"/>
        <w:adjustRightInd w:val="0"/>
        <w:snapToGrid w:val="0"/>
        <w:spacing w:before="192" w:line="360" w:lineRule="auto"/>
        <w:ind w:left="3" w:right="56" w:firstLine="205"/>
        <w:textAlignment w:val="baseline"/>
        <w:rPr>
          <w:rFonts w:ascii="宋体" w:hAnsi="宋体" w:cs="宋体"/>
          <w:color w:val="auto"/>
          <w:sz w:val="24"/>
          <w:highlight w:val="none"/>
        </w:rPr>
      </w:pPr>
      <w:r>
        <w:rPr>
          <w:rFonts w:hint="eastAsia" w:ascii="宋体" w:hAnsi="宋体" w:cs="宋体"/>
          <w:color w:val="auto"/>
          <w:spacing w:val="12"/>
          <w:sz w:val="24"/>
          <w:highlight w:val="none"/>
        </w:rPr>
        <w:t>36</w:t>
      </w:r>
      <w:r>
        <w:rPr>
          <w:rFonts w:hint="eastAsia" w:ascii="宋体" w:hAnsi="宋体" w:cs="宋体"/>
          <w:color w:val="auto"/>
          <w:spacing w:val="7"/>
          <w:sz w:val="24"/>
          <w:highlight w:val="none"/>
        </w:rPr>
        <w:t>.2供应商提出质疑应当提交质疑函和必要的证明材料。质疑函应当包括下列内容：供应商的姓名或者</w:t>
      </w:r>
      <w:r>
        <w:rPr>
          <w:rFonts w:hint="eastAsia" w:ascii="宋体" w:hAnsi="宋体" w:cs="宋体"/>
          <w:color w:val="auto"/>
          <w:spacing w:val="18"/>
          <w:sz w:val="24"/>
          <w:highlight w:val="none"/>
        </w:rPr>
        <w:t>名称、</w:t>
      </w:r>
      <w:r>
        <w:rPr>
          <w:rFonts w:hint="eastAsia" w:ascii="宋体" w:hAnsi="宋体" w:cs="宋体"/>
          <w:color w:val="auto"/>
          <w:spacing w:val="14"/>
          <w:sz w:val="24"/>
          <w:highlight w:val="none"/>
        </w:rPr>
        <w:t>地</w:t>
      </w:r>
      <w:r>
        <w:rPr>
          <w:rFonts w:hint="eastAsia" w:ascii="宋体" w:hAnsi="宋体" w:cs="宋体"/>
          <w:color w:val="auto"/>
          <w:spacing w:val="9"/>
          <w:sz w:val="24"/>
          <w:highlight w:val="none"/>
        </w:rPr>
        <w:t>址、邮编、联系人及联系电话；质疑项目的名称、编号；具体、明确的质疑事项和与质疑事项相</w:t>
      </w:r>
      <w:r>
        <w:rPr>
          <w:rFonts w:hint="eastAsia" w:ascii="宋体" w:hAnsi="宋体" w:cs="宋体"/>
          <w:color w:val="auto"/>
          <w:spacing w:val="12"/>
          <w:sz w:val="24"/>
          <w:highlight w:val="none"/>
        </w:rPr>
        <w:t>关</w:t>
      </w:r>
      <w:r>
        <w:rPr>
          <w:rFonts w:hint="eastAsia" w:ascii="宋体" w:hAnsi="宋体" w:cs="宋体"/>
          <w:color w:val="auto"/>
          <w:spacing w:val="10"/>
          <w:sz w:val="24"/>
          <w:highlight w:val="none"/>
        </w:rPr>
        <w:t>的</w:t>
      </w:r>
      <w:r>
        <w:rPr>
          <w:rFonts w:hint="eastAsia" w:ascii="宋体" w:hAnsi="宋体" w:cs="宋体"/>
          <w:color w:val="auto"/>
          <w:spacing w:val="6"/>
          <w:sz w:val="24"/>
          <w:highlight w:val="none"/>
        </w:rPr>
        <w:t>请求；事实依据；必要的法律依据；提出质疑的日期。(具体格式详见附件)</w:t>
      </w:r>
    </w:p>
    <w:p w14:paraId="5BB37F05">
      <w:pPr>
        <w:widowControl/>
        <w:kinsoku w:val="0"/>
        <w:autoSpaceDE w:val="0"/>
        <w:autoSpaceDN w:val="0"/>
        <w:adjustRightInd w:val="0"/>
        <w:snapToGrid w:val="0"/>
        <w:spacing w:before="2" w:line="360" w:lineRule="auto"/>
        <w:ind w:left="3" w:firstLine="206"/>
        <w:textAlignment w:val="baseline"/>
        <w:rPr>
          <w:rFonts w:ascii="宋体" w:hAnsi="宋体" w:cs="宋体"/>
          <w:color w:val="auto"/>
          <w:sz w:val="24"/>
          <w:highlight w:val="none"/>
        </w:rPr>
      </w:pPr>
      <w:r>
        <w:rPr>
          <w:rFonts w:hint="eastAsia" w:ascii="宋体" w:hAnsi="宋体" w:cs="宋体"/>
          <w:color w:val="auto"/>
          <w:spacing w:val="12"/>
          <w:sz w:val="24"/>
          <w:highlight w:val="none"/>
        </w:rPr>
        <w:t>供应商</w:t>
      </w:r>
      <w:r>
        <w:rPr>
          <w:rFonts w:hint="eastAsia" w:ascii="宋体" w:hAnsi="宋体" w:cs="宋体"/>
          <w:color w:val="auto"/>
          <w:spacing w:val="9"/>
          <w:sz w:val="24"/>
          <w:highlight w:val="none"/>
        </w:rPr>
        <w:t>为</w:t>
      </w:r>
      <w:r>
        <w:rPr>
          <w:rFonts w:hint="eastAsia" w:ascii="宋体" w:hAnsi="宋体" w:cs="宋体"/>
          <w:color w:val="auto"/>
          <w:spacing w:val="6"/>
          <w:sz w:val="24"/>
          <w:highlight w:val="none"/>
        </w:rPr>
        <w:t>自然人的，应当由本人签字；供应商为法人或者其他组织的，应当由法定代表人、主要负责人，</w:t>
      </w:r>
      <w:r>
        <w:rPr>
          <w:rFonts w:hint="eastAsia" w:ascii="宋体" w:hAnsi="宋体" w:cs="宋体"/>
          <w:color w:val="auto"/>
          <w:spacing w:val="9"/>
          <w:sz w:val="24"/>
          <w:highlight w:val="none"/>
        </w:rPr>
        <w:t>或者其授权代表签字或者盖章，并加盖公章</w:t>
      </w:r>
      <w:r>
        <w:rPr>
          <w:rFonts w:hint="eastAsia" w:ascii="宋体" w:hAnsi="宋体" w:cs="宋体"/>
          <w:color w:val="auto"/>
          <w:spacing w:val="7"/>
          <w:sz w:val="24"/>
          <w:highlight w:val="none"/>
        </w:rPr>
        <w:t>。</w:t>
      </w:r>
    </w:p>
    <w:p w14:paraId="41375255">
      <w:pPr>
        <w:widowControl/>
        <w:kinsoku w:val="0"/>
        <w:autoSpaceDE w:val="0"/>
        <w:autoSpaceDN w:val="0"/>
        <w:adjustRightInd w:val="0"/>
        <w:snapToGrid w:val="0"/>
        <w:spacing w:before="1" w:line="360" w:lineRule="auto"/>
        <w:ind w:left="5" w:right="57" w:firstLine="202"/>
        <w:textAlignment w:val="baseline"/>
        <w:rPr>
          <w:rFonts w:ascii="宋体" w:hAnsi="宋体" w:cs="宋体"/>
          <w:color w:val="auto"/>
          <w:sz w:val="24"/>
          <w:highlight w:val="none"/>
        </w:rPr>
      </w:pPr>
      <w:r>
        <w:rPr>
          <w:rFonts w:hint="eastAsia" w:ascii="宋体" w:hAnsi="宋体" w:cs="宋体"/>
          <w:color w:val="auto"/>
          <w:spacing w:val="12"/>
          <w:sz w:val="24"/>
          <w:highlight w:val="none"/>
        </w:rPr>
        <w:t>36</w:t>
      </w:r>
      <w:r>
        <w:rPr>
          <w:rFonts w:hint="eastAsia" w:ascii="宋体" w:hAnsi="宋体" w:cs="宋体"/>
          <w:color w:val="auto"/>
          <w:spacing w:val="7"/>
          <w:sz w:val="24"/>
          <w:highlight w:val="none"/>
        </w:rPr>
        <w:t>.3供应商质疑、投诉应当有明确的请求和必要的证明材料。供应商投诉的事项不得超出已质疑事项的</w:t>
      </w:r>
      <w:r>
        <w:rPr>
          <w:rFonts w:hint="eastAsia" w:ascii="宋体" w:hAnsi="宋体" w:cs="宋体"/>
          <w:color w:val="auto"/>
          <w:spacing w:val="18"/>
          <w:sz w:val="24"/>
          <w:highlight w:val="none"/>
        </w:rPr>
        <w:t>范</w:t>
      </w:r>
      <w:r>
        <w:rPr>
          <w:rFonts w:hint="eastAsia" w:ascii="宋体" w:hAnsi="宋体" w:cs="宋体"/>
          <w:color w:val="auto"/>
          <w:spacing w:val="13"/>
          <w:sz w:val="24"/>
          <w:highlight w:val="none"/>
        </w:rPr>
        <w:t>围</w:t>
      </w:r>
      <w:r>
        <w:rPr>
          <w:rFonts w:hint="eastAsia" w:ascii="宋体" w:hAnsi="宋体" w:cs="宋体"/>
          <w:color w:val="auto"/>
          <w:spacing w:val="9"/>
          <w:sz w:val="24"/>
          <w:highlight w:val="none"/>
        </w:rPr>
        <w:t>。采购人及采购代理机构按《政府采购质疑和投诉办法》进行处理供应商质疑事项。</w:t>
      </w:r>
    </w:p>
    <w:p w14:paraId="29BA674A">
      <w:pPr>
        <w:widowControl/>
        <w:kinsoku w:val="0"/>
        <w:autoSpaceDE w:val="0"/>
        <w:autoSpaceDN w:val="0"/>
        <w:adjustRightInd w:val="0"/>
        <w:snapToGrid w:val="0"/>
        <w:spacing w:before="1" w:line="360" w:lineRule="auto"/>
        <w:ind w:left="26" w:right="56" w:firstLine="182"/>
        <w:textAlignment w:val="baseline"/>
        <w:rPr>
          <w:rFonts w:ascii="宋体" w:hAnsi="宋体" w:cs="宋体"/>
          <w:color w:val="auto"/>
          <w:sz w:val="24"/>
          <w:highlight w:val="none"/>
        </w:rPr>
      </w:pPr>
      <w:r>
        <w:rPr>
          <w:rFonts w:hint="eastAsia" w:ascii="宋体" w:hAnsi="宋体" w:cs="宋体"/>
          <w:color w:val="auto"/>
          <w:spacing w:val="12"/>
          <w:sz w:val="24"/>
          <w:highlight w:val="none"/>
        </w:rPr>
        <w:t>36</w:t>
      </w:r>
      <w:r>
        <w:rPr>
          <w:rFonts w:hint="eastAsia" w:ascii="宋体" w:hAnsi="宋体" w:cs="宋体"/>
          <w:color w:val="auto"/>
          <w:spacing w:val="7"/>
          <w:sz w:val="24"/>
          <w:highlight w:val="none"/>
        </w:rPr>
        <w:t>.4质疑供应商对采购人、采购代理机构的质疑答复不满意，或者采购人、采购代理机构未在规定期限</w:t>
      </w:r>
      <w:r>
        <w:rPr>
          <w:rFonts w:hint="eastAsia" w:ascii="宋体" w:hAnsi="宋体" w:cs="宋体"/>
          <w:color w:val="auto"/>
          <w:spacing w:val="10"/>
          <w:sz w:val="24"/>
          <w:highlight w:val="none"/>
        </w:rPr>
        <w:t>内作出答</w:t>
      </w:r>
      <w:r>
        <w:rPr>
          <w:rFonts w:hint="eastAsia" w:ascii="宋体" w:hAnsi="宋体" w:cs="宋体"/>
          <w:color w:val="auto"/>
          <w:spacing w:val="8"/>
          <w:sz w:val="24"/>
          <w:highlight w:val="none"/>
        </w:rPr>
        <w:t>复</w:t>
      </w:r>
      <w:r>
        <w:rPr>
          <w:rFonts w:hint="eastAsia" w:ascii="宋体" w:hAnsi="宋体" w:cs="宋体"/>
          <w:color w:val="auto"/>
          <w:spacing w:val="5"/>
          <w:sz w:val="24"/>
          <w:highlight w:val="none"/>
        </w:rPr>
        <w:t>的，供应商可以在答复期满后15个工作日内向同级财政部门提起投诉。</w:t>
      </w:r>
    </w:p>
    <w:p w14:paraId="5365F6FC">
      <w:pPr>
        <w:widowControl/>
        <w:kinsoku w:val="0"/>
        <w:autoSpaceDE w:val="0"/>
        <w:autoSpaceDN w:val="0"/>
        <w:adjustRightInd w:val="0"/>
        <w:snapToGrid w:val="0"/>
        <w:spacing w:before="1" w:line="360" w:lineRule="auto"/>
        <w:ind w:left="208"/>
        <w:textAlignment w:val="baseline"/>
        <w:rPr>
          <w:rFonts w:ascii="宋体" w:hAnsi="宋体" w:cs="宋体"/>
          <w:color w:val="auto"/>
          <w:sz w:val="24"/>
          <w:highlight w:val="none"/>
        </w:rPr>
      </w:pPr>
      <w:r>
        <w:rPr>
          <w:rFonts w:hint="eastAsia" w:ascii="宋体" w:hAnsi="宋体" w:cs="宋体"/>
          <w:color w:val="auto"/>
          <w:spacing w:val="12"/>
          <w:sz w:val="24"/>
          <w:highlight w:val="none"/>
        </w:rPr>
        <w:t>36.</w:t>
      </w:r>
      <w:r>
        <w:rPr>
          <w:rFonts w:hint="eastAsia" w:ascii="宋体" w:hAnsi="宋体" w:cs="宋体"/>
          <w:color w:val="auto"/>
          <w:spacing w:val="11"/>
          <w:sz w:val="24"/>
          <w:highlight w:val="none"/>
        </w:rPr>
        <w:t>5</w:t>
      </w:r>
      <w:r>
        <w:rPr>
          <w:rFonts w:hint="eastAsia" w:ascii="宋体" w:hAnsi="宋体" w:cs="宋体"/>
          <w:color w:val="auto"/>
          <w:spacing w:val="6"/>
          <w:sz w:val="24"/>
          <w:highlight w:val="none"/>
        </w:rPr>
        <w:t>供应商有下列情形之一的，将其列入不良行为记录名单：</w:t>
      </w:r>
    </w:p>
    <w:p w14:paraId="516EFD74">
      <w:pPr>
        <w:widowControl/>
        <w:kinsoku w:val="0"/>
        <w:autoSpaceDE w:val="0"/>
        <w:autoSpaceDN w:val="0"/>
        <w:adjustRightInd w:val="0"/>
        <w:snapToGrid w:val="0"/>
        <w:spacing w:before="195" w:line="360" w:lineRule="auto"/>
        <w:ind w:left="219"/>
        <w:textAlignment w:val="baseline"/>
        <w:rPr>
          <w:rFonts w:ascii="宋体" w:hAnsi="宋体" w:cs="宋体"/>
          <w:color w:val="auto"/>
          <w:sz w:val="24"/>
          <w:highlight w:val="none"/>
        </w:rPr>
      </w:pPr>
      <w:r>
        <w:rPr>
          <w:rFonts w:hint="eastAsia" w:ascii="宋体" w:hAnsi="宋体" w:cs="宋体"/>
          <w:color w:val="auto"/>
          <w:spacing w:val="14"/>
          <w:sz w:val="24"/>
          <w:highlight w:val="none"/>
        </w:rPr>
        <w:t>(</w:t>
      </w:r>
      <w:r>
        <w:rPr>
          <w:rFonts w:hint="eastAsia" w:ascii="宋体" w:hAnsi="宋体" w:cs="宋体"/>
          <w:color w:val="auto"/>
          <w:spacing w:val="7"/>
          <w:sz w:val="24"/>
          <w:highlight w:val="none"/>
        </w:rPr>
        <w:t>一)一年内三次以上质疑均查无实据的；</w:t>
      </w:r>
    </w:p>
    <w:p w14:paraId="7DBBB041">
      <w:pPr>
        <w:widowControl/>
        <w:kinsoku w:val="0"/>
        <w:autoSpaceDE w:val="0"/>
        <w:autoSpaceDN w:val="0"/>
        <w:adjustRightInd w:val="0"/>
        <w:snapToGrid w:val="0"/>
        <w:spacing w:before="189" w:line="360" w:lineRule="auto"/>
        <w:ind w:left="219"/>
        <w:textAlignment w:val="baseline"/>
        <w:rPr>
          <w:rFonts w:ascii="宋体" w:hAnsi="宋体" w:cs="宋体"/>
          <w:color w:val="auto"/>
          <w:sz w:val="24"/>
          <w:highlight w:val="none"/>
        </w:rPr>
      </w:pPr>
      <w:r>
        <w:rPr>
          <w:rFonts w:hint="eastAsia" w:ascii="宋体" w:hAnsi="宋体" w:cs="宋体"/>
          <w:color w:val="auto"/>
          <w:spacing w:val="13"/>
          <w:sz w:val="24"/>
          <w:highlight w:val="none"/>
        </w:rPr>
        <w:t>(二)捏造事实或者提供虚假质疑材料的</w:t>
      </w:r>
      <w:r>
        <w:rPr>
          <w:rFonts w:hint="eastAsia" w:ascii="宋体" w:hAnsi="宋体" w:cs="宋体"/>
          <w:color w:val="auto"/>
          <w:spacing w:val="12"/>
          <w:sz w:val="24"/>
          <w:highlight w:val="none"/>
        </w:rPr>
        <w:t>。</w:t>
      </w:r>
    </w:p>
    <w:p w14:paraId="1F115A47">
      <w:pPr>
        <w:widowControl/>
        <w:kinsoku w:val="0"/>
        <w:autoSpaceDE w:val="0"/>
        <w:autoSpaceDN w:val="0"/>
        <w:adjustRightInd w:val="0"/>
        <w:snapToGrid w:val="0"/>
        <w:spacing w:before="197" w:line="360" w:lineRule="auto"/>
        <w:ind w:firstLine="219"/>
        <w:textAlignment w:val="baseline"/>
        <w:rPr>
          <w:rFonts w:ascii="宋体" w:hAnsi="宋体" w:cs="宋体"/>
          <w:color w:val="auto"/>
          <w:sz w:val="24"/>
          <w:highlight w:val="none"/>
        </w:rPr>
      </w:pPr>
      <w:r>
        <w:rPr>
          <w:rFonts w:hint="eastAsia" w:ascii="宋体" w:hAnsi="宋体" w:cs="宋体"/>
          <w:color w:val="auto"/>
          <w:spacing w:val="16"/>
          <w:sz w:val="24"/>
          <w:highlight w:val="none"/>
        </w:rPr>
        <w:t>(</w:t>
      </w:r>
      <w:r>
        <w:rPr>
          <w:rFonts w:hint="eastAsia" w:ascii="宋体" w:hAnsi="宋体" w:cs="宋体"/>
          <w:color w:val="auto"/>
          <w:spacing w:val="11"/>
          <w:sz w:val="24"/>
          <w:highlight w:val="none"/>
        </w:rPr>
        <w:t>三</w:t>
      </w:r>
      <w:r>
        <w:rPr>
          <w:rFonts w:hint="eastAsia" w:ascii="宋体" w:hAnsi="宋体" w:cs="宋体"/>
          <w:color w:val="auto"/>
          <w:spacing w:val="8"/>
          <w:sz w:val="24"/>
          <w:highlight w:val="none"/>
        </w:rPr>
        <w:t>)以非法手段取得证明材料。证据来源的合法性存在明显疑问，质疑人无法证明其取得方式合法的，</w:t>
      </w:r>
      <w:r>
        <w:rPr>
          <w:rFonts w:hint="eastAsia" w:ascii="宋体" w:hAnsi="宋体" w:cs="宋体"/>
          <w:color w:val="auto"/>
          <w:spacing w:val="16"/>
          <w:sz w:val="24"/>
          <w:highlight w:val="none"/>
        </w:rPr>
        <w:t>视</w:t>
      </w:r>
      <w:r>
        <w:rPr>
          <w:rFonts w:hint="eastAsia" w:ascii="宋体" w:hAnsi="宋体" w:cs="宋体"/>
          <w:color w:val="auto"/>
          <w:spacing w:val="9"/>
          <w:sz w:val="24"/>
          <w:highlight w:val="none"/>
        </w:rPr>
        <w:t>为</w:t>
      </w:r>
      <w:r>
        <w:rPr>
          <w:rFonts w:hint="eastAsia" w:ascii="宋体" w:hAnsi="宋体" w:cs="宋体"/>
          <w:color w:val="auto"/>
          <w:spacing w:val="8"/>
          <w:sz w:val="24"/>
          <w:highlight w:val="none"/>
        </w:rPr>
        <w:t>以非法手段取得证明材料。</w:t>
      </w:r>
    </w:p>
    <w:p w14:paraId="206024E4">
      <w:pPr>
        <w:widowControl/>
        <w:kinsoku w:val="0"/>
        <w:autoSpaceDE w:val="0"/>
        <w:autoSpaceDN w:val="0"/>
        <w:adjustRightInd w:val="0"/>
        <w:snapToGrid w:val="0"/>
        <w:spacing w:line="360" w:lineRule="auto"/>
        <w:textAlignment w:val="baseline"/>
        <w:rPr>
          <w:rFonts w:ascii="宋体" w:hAnsi="宋体" w:cs="宋体"/>
          <w:color w:val="auto"/>
          <w:sz w:val="24"/>
          <w:highlight w:val="none"/>
        </w:rPr>
        <w:sectPr>
          <w:footerReference r:id="rId5" w:type="default"/>
          <w:pgSz w:w="11906" w:h="16839"/>
          <w:pgMar w:top="1431" w:right="1111" w:bottom="1156" w:left="1087" w:header="0" w:footer="996" w:gutter="0"/>
          <w:pgNumType w:start="1"/>
          <w:cols w:space="720" w:num="1"/>
        </w:sectPr>
      </w:pPr>
    </w:p>
    <w:p w14:paraId="0462CB73">
      <w:pPr>
        <w:spacing w:before="60" w:line="227" w:lineRule="auto"/>
        <w:ind w:left="17"/>
        <w:rPr>
          <w:rFonts w:ascii="宋体" w:hAnsi="宋体" w:cs="宋体"/>
          <w:color w:val="auto"/>
          <w:sz w:val="24"/>
          <w:highlight w:val="none"/>
        </w:rPr>
      </w:pPr>
      <w:r>
        <w:rPr>
          <w:rFonts w:hint="eastAsia" w:ascii="宋体" w:hAnsi="宋体" w:cs="宋体"/>
          <w:color w:val="auto"/>
          <w:spacing w:val="-2"/>
          <w:sz w:val="24"/>
          <w:highlight w:val="none"/>
          <w14:textOutline w14:w="3797" w14:cap="sq" w14:cmpd="sng" w14:algn="ctr">
            <w14:solidFill>
              <w14:srgbClr w14:val="000000"/>
            </w14:solidFill>
            <w14:prstDash w14:val="solid"/>
            <w14:bevel/>
          </w14:textOutline>
        </w:rPr>
        <w:t>附件</w:t>
      </w:r>
      <w:r>
        <w:rPr>
          <w:rFonts w:hint="eastAsia" w:ascii="宋体" w:hAnsi="宋体" w:cs="宋体"/>
          <w:color w:val="auto"/>
          <w:spacing w:val="-1"/>
          <w:sz w:val="24"/>
          <w:highlight w:val="none"/>
          <w14:textOutline w14:w="3797" w14:cap="sq" w14:cmpd="sng" w14:algn="ctr">
            <w14:solidFill>
              <w14:srgbClr w14:val="000000"/>
            </w14:solidFill>
            <w14:prstDash w14:val="solid"/>
            <w14:bevel/>
          </w14:textOutline>
        </w:rPr>
        <w:t>：</w:t>
      </w:r>
    </w:p>
    <w:p w14:paraId="1D50C719">
      <w:pPr>
        <w:spacing w:before="101" w:line="548" w:lineRule="exact"/>
        <w:ind w:left="2103"/>
        <w:rPr>
          <w:rFonts w:ascii="宋体" w:hAnsi="宋体" w:cs="宋体"/>
          <w:color w:val="auto"/>
          <w:sz w:val="24"/>
          <w:highlight w:val="none"/>
        </w:rPr>
      </w:pPr>
      <w:r>
        <w:rPr>
          <w:rFonts w:hint="eastAsia" w:ascii="宋体" w:hAnsi="宋体" w:cs="宋体"/>
          <w:color w:val="auto"/>
          <w:spacing w:val="16"/>
          <w:position w:val="17"/>
          <w:sz w:val="24"/>
          <w:highlight w:val="none"/>
          <w14:textOutline w14:w="5791" w14:cap="sq" w14:cmpd="sng" w14:algn="ctr">
            <w14:solidFill>
              <w14:srgbClr w14:val="000000"/>
            </w14:solidFill>
            <w14:prstDash w14:val="solid"/>
            <w14:bevel/>
          </w14:textOutline>
        </w:rPr>
        <w:t>政</w:t>
      </w:r>
      <w:r>
        <w:rPr>
          <w:rFonts w:hint="eastAsia" w:ascii="宋体" w:hAnsi="宋体" w:cs="宋体"/>
          <w:color w:val="auto"/>
          <w:spacing w:val="9"/>
          <w:position w:val="17"/>
          <w:sz w:val="24"/>
          <w:highlight w:val="none"/>
          <w14:textOutline w14:w="5791" w14:cap="sq" w14:cmpd="sng" w14:algn="ctr">
            <w14:solidFill>
              <w14:srgbClr w14:val="000000"/>
            </w14:solidFill>
            <w14:prstDash w14:val="solid"/>
            <w14:bevel/>
          </w14:textOutline>
        </w:rPr>
        <w:t>府采购投诉书(范本)、质疑函范本</w:t>
      </w:r>
    </w:p>
    <w:p w14:paraId="2913C6AA">
      <w:pPr>
        <w:spacing w:line="219" w:lineRule="auto"/>
        <w:ind w:left="3285"/>
        <w:rPr>
          <w:rFonts w:ascii="宋体" w:hAnsi="宋体" w:cs="宋体"/>
          <w:color w:val="auto"/>
          <w:sz w:val="24"/>
          <w:highlight w:val="none"/>
        </w:rPr>
      </w:pPr>
      <w:r>
        <w:rPr>
          <w:rFonts w:hint="eastAsia" w:ascii="宋体" w:hAnsi="宋体" w:cs="宋体"/>
          <w:color w:val="auto"/>
          <w:sz w:val="24"/>
          <w:highlight w:val="none"/>
          <w14:textOutline w14:w="5105" w14:cap="sq" w14:cmpd="sng" w14:algn="ctr">
            <w14:solidFill>
              <w14:srgbClr w14:val="000000"/>
            </w14:solidFill>
            <w14:prstDash w14:val="solid"/>
            <w14:bevel/>
          </w14:textOutline>
        </w:rPr>
        <w:t>政府采购投诉书(范本)</w:t>
      </w:r>
    </w:p>
    <w:p w14:paraId="3FC5828F">
      <w:pPr>
        <w:spacing w:line="88" w:lineRule="exact"/>
        <w:rPr>
          <w:rFonts w:ascii="宋体" w:hAnsi="宋体" w:cs="宋体"/>
          <w:color w:val="auto"/>
          <w:sz w:val="24"/>
          <w:highlight w:val="none"/>
        </w:rPr>
      </w:pPr>
    </w:p>
    <w:p w14:paraId="209AF26D">
      <w:pPr>
        <w:rPr>
          <w:rFonts w:ascii="宋体" w:hAnsi="宋体" w:cs="宋体"/>
          <w:color w:val="auto"/>
          <w:sz w:val="24"/>
          <w:highlight w:val="none"/>
        </w:rPr>
        <w:sectPr>
          <w:footerReference r:id="rId6" w:type="default"/>
          <w:pgSz w:w="11906" w:h="16839"/>
          <w:pgMar w:top="1431" w:right="1111" w:bottom="1156" w:left="1087" w:header="0" w:footer="996" w:gutter="0"/>
          <w:cols w:equalWidth="0" w:num="1">
            <w:col w:w="9708"/>
          </w:cols>
        </w:sectPr>
      </w:pPr>
    </w:p>
    <w:p w14:paraId="3A966051">
      <w:pPr>
        <w:spacing w:line="360" w:lineRule="auto"/>
        <w:rPr>
          <w:rFonts w:ascii="宋体" w:hAnsi="宋体" w:cs="宋体"/>
          <w:color w:val="auto"/>
          <w:spacing w:val="-5"/>
          <w:sz w:val="24"/>
          <w:highlight w:val="none"/>
        </w:rPr>
      </w:pPr>
      <w:r>
        <w:rPr>
          <w:rFonts w:hint="eastAsia" w:ascii="宋体" w:hAnsi="宋体" w:cs="宋体"/>
          <w:color w:val="auto"/>
          <w:spacing w:val="-8"/>
          <w:sz w:val="24"/>
          <w:highlight w:val="none"/>
        </w:rPr>
        <w:t>投</w:t>
      </w:r>
      <w:r>
        <w:rPr>
          <w:rFonts w:hint="eastAsia" w:ascii="宋体" w:hAnsi="宋体" w:cs="宋体"/>
          <w:color w:val="auto"/>
          <w:spacing w:val="-5"/>
          <w:sz w:val="24"/>
          <w:highlight w:val="none"/>
        </w:rPr>
        <w:t>诉人：</w:t>
      </w:r>
    </w:p>
    <w:p w14:paraId="4043613A">
      <w:pPr>
        <w:spacing w:line="360" w:lineRule="auto"/>
        <w:rPr>
          <w:rFonts w:ascii="宋体" w:hAnsi="宋体" w:cs="宋体"/>
          <w:color w:val="auto"/>
          <w:spacing w:val="-8"/>
          <w:sz w:val="24"/>
          <w:highlight w:val="none"/>
        </w:rPr>
      </w:pPr>
      <w:r>
        <w:rPr>
          <w:rFonts w:hint="eastAsia" w:ascii="宋体" w:hAnsi="宋体" w:cs="宋体"/>
          <w:color w:val="auto"/>
          <w:spacing w:val="-8"/>
          <w:sz w:val="24"/>
          <w:highlight w:val="none"/>
        </w:rPr>
        <w:t>地址：</w:t>
      </w:r>
    </w:p>
    <w:p w14:paraId="7CA5CCEE">
      <w:pPr>
        <w:spacing w:line="360" w:lineRule="auto"/>
        <w:rPr>
          <w:rFonts w:ascii="宋体" w:hAnsi="宋体" w:cs="宋体"/>
          <w:color w:val="auto"/>
          <w:sz w:val="24"/>
          <w:highlight w:val="none"/>
        </w:rPr>
      </w:pPr>
      <w:r>
        <w:rPr>
          <w:rFonts w:hint="eastAsia" w:ascii="宋体" w:hAnsi="宋体" w:cs="宋体"/>
          <w:color w:val="auto"/>
          <w:sz w:val="24"/>
          <w:highlight w:val="none"/>
        </w:rPr>
        <w:t>委托代理人姓名：</w:t>
      </w:r>
    </w:p>
    <w:p w14:paraId="06222CC2">
      <w:pPr>
        <w:spacing w:line="360" w:lineRule="auto"/>
        <w:rPr>
          <w:rFonts w:ascii="宋体" w:hAnsi="宋体" w:cs="宋体"/>
          <w:color w:val="auto"/>
          <w:spacing w:val="-8"/>
          <w:sz w:val="24"/>
          <w:highlight w:val="none"/>
        </w:rPr>
      </w:pPr>
      <w:r>
        <w:rPr>
          <w:rFonts w:hint="eastAsia" w:ascii="宋体" w:hAnsi="宋体" w:cs="宋体"/>
          <w:color w:val="auto"/>
          <w:spacing w:val="-8"/>
          <w:sz w:val="24"/>
          <w:highlight w:val="none"/>
        </w:rPr>
        <w:t>住址：</w:t>
      </w:r>
    </w:p>
    <w:p w14:paraId="2B1BF5C5">
      <w:pPr>
        <w:spacing w:line="360" w:lineRule="auto"/>
        <w:rPr>
          <w:rFonts w:ascii="宋体" w:hAnsi="宋体" w:cs="宋体"/>
          <w:color w:val="auto"/>
          <w:sz w:val="24"/>
          <w:highlight w:val="none"/>
        </w:rPr>
      </w:pPr>
      <w:r>
        <w:rPr>
          <w:rFonts w:hint="eastAsia" w:ascii="宋体" w:hAnsi="宋体" w:cs="宋体"/>
          <w:color w:val="auto"/>
          <w:spacing w:val="6"/>
          <w:sz w:val="24"/>
          <w:highlight w:val="none"/>
        </w:rPr>
        <w:t>被投诉人：</w:t>
      </w:r>
    </w:p>
    <w:p w14:paraId="0C59CE06">
      <w:pPr>
        <w:spacing w:line="360" w:lineRule="auto"/>
        <w:rPr>
          <w:rFonts w:ascii="宋体" w:hAnsi="宋体" w:cs="宋体"/>
          <w:color w:val="auto"/>
          <w:sz w:val="24"/>
          <w:highlight w:val="none"/>
        </w:rPr>
      </w:pPr>
      <w:r>
        <w:rPr>
          <w:rFonts w:hint="eastAsia" w:ascii="宋体" w:hAnsi="宋体" w:cs="宋体"/>
          <w:color w:val="auto"/>
          <w:spacing w:val="3"/>
          <w:sz w:val="24"/>
          <w:highlight w:val="none"/>
        </w:rPr>
        <w:t>地址：</w:t>
      </w:r>
    </w:p>
    <w:p w14:paraId="60EEACD8">
      <w:pPr>
        <w:spacing w:line="360" w:lineRule="auto"/>
        <w:rPr>
          <w:rFonts w:ascii="宋体" w:hAnsi="宋体" w:cs="宋体"/>
          <w:color w:val="auto"/>
          <w:sz w:val="24"/>
          <w:highlight w:val="none"/>
        </w:rPr>
      </w:pPr>
      <w:r>
        <w:rPr>
          <w:rFonts w:hint="eastAsia" w:ascii="宋体" w:hAnsi="宋体" w:cs="宋体"/>
          <w:color w:val="auto"/>
          <w:sz w:val="24"/>
          <w:highlight w:val="none"/>
        </w:rPr>
        <w:br w:type="column"/>
      </w:r>
      <w:r>
        <w:rPr>
          <w:rFonts w:hint="eastAsia" w:ascii="宋体" w:hAnsi="宋体" w:cs="宋体"/>
          <w:color w:val="auto"/>
          <w:spacing w:val="9"/>
          <w:sz w:val="24"/>
          <w:highlight w:val="none"/>
        </w:rPr>
        <w:t>法</w:t>
      </w:r>
      <w:r>
        <w:rPr>
          <w:rFonts w:hint="eastAsia" w:ascii="宋体" w:hAnsi="宋体" w:cs="宋体"/>
          <w:color w:val="auto"/>
          <w:spacing w:val="6"/>
          <w:sz w:val="24"/>
          <w:highlight w:val="none"/>
        </w:rPr>
        <w:t>定代表人：</w:t>
      </w:r>
    </w:p>
    <w:p w14:paraId="0ECFEEE2">
      <w:pPr>
        <w:spacing w:line="360" w:lineRule="auto"/>
        <w:rPr>
          <w:rFonts w:ascii="宋体" w:hAnsi="宋体" w:cs="宋体"/>
          <w:color w:val="auto"/>
          <w:sz w:val="24"/>
          <w:highlight w:val="none"/>
        </w:rPr>
      </w:pPr>
      <w:r>
        <w:rPr>
          <w:rFonts w:hint="eastAsia" w:ascii="宋体" w:hAnsi="宋体" w:cs="宋体"/>
          <w:color w:val="auto"/>
          <w:spacing w:val="-5"/>
          <w:sz w:val="24"/>
          <w:highlight w:val="none"/>
        </w:rPr>
        <w:t>电话：</w:t>
      </w:r>
    </w:p>
    <w:p w14:paraId="3D035561">
      <w:pPr>
        <w:spacing w:line="360" w:lineRule="auto"/>
        <w:rPr>
          <w:rFonts w:ascii="宋体" w:hAnsi="宋体" w:cs="宋体"/>
          <w:color w:val="auto"/>
          <w:sz w:val="24"/>
          <w:highlight w:val="none"/>
        </w:rPr>
      </w:pPr>
      <w:r>
        <w:rPr>
          <w:rFonts w:hint="eastAsia" w:ascii="宋体" w:hAnsi="宋体" w:cs="宋体"/>
          <w:color w:val="auto"/>
          <w:spacing w:val="3"/>
          <w:sz w:val="24"/>
          <w:highlight w:val="none"/>
        </w:rPr>
        <w:t>职务</w:t>
      </w:r>
      <w:r>
        <w:rPr>
          <w:rFonts w:hint="eastAsia" w:ascii="宋体" w:hAnsi="宋体" w:cs="宋体"/>
          <w:color w:val="auto"/>
          <w:spacing w:val="2"/>
          <w:sz w:val="24"/>
          <w:highlight w:val="none"/>
        </w:rPr>
        <w:t>：</w:t>
      </w:r>
    </w:p>
    <w:p w14:paraId="0DDB4E92">
      <w:pPr>
        <w:spacing w:line="360" w:lineRule="auto"/>
        <w:rPr>
          <w:rFonts w:ascii="宋体" w:hAnsi="宋体" w:cs="宋体"/>
          <w:color w:val="auto"/>
          <w:sz w:val="24"/>
          <w:highlight w:val="none"/>
        </w:rPr>
      </w:pPr>
      <w:r>
        <w:rPr>
          <w:rFonts w:hint="eastAsia" w:ascii="宋体" w:hAnsi="宋体" w:cs="宋体"/>
          <w:color w:val="auto"/>
          <w:spacing w:val="8"/>
          <w:sz w:val="24"/>
          <w:highlight w:val="none"/>
        </w:rPr>
        <w:t>联</w:t>
      </w:r>
      <w:r>
        <w:rPr>
          <w:rFonts w:hint="eastAsia" w:ascii="宋体" w:hAnsi="宋体" w:cs="宋体"/>
          <w:color w:val="auto"/>
          <w:spacing w:val="5"/>
          <w:sz w:val="24"/>
          <w:highlight w:val="none"/>
        </w:rPr>
        <w:t>系电话：</w:t>
      </w:r>
    </w:p>
    <w:p w14:paraId="79FC7B73">
      <w:pPr>
        <w:spacing w:line="360" w:lineRule="auto"/>
        <w:rPr>
          <w:rFonts w:ascii="宋体" w:hAnsi="宋体" w:cs="宋体"/>
          <w:color w:val="auto"/>
          <w:sz w:val="24"/>
          <w:highlight w:val="none"/>
        </w:rPr>
      </w:pPr>
      <w:r>
        <w:rPr>
          <w:rFonts w:hint="eastAsia" w:ascii="宋体" w:hAnsi="宋体" w:cs="宋体"/>
          <w:color w:val="auto"/>
          <w:spacing w:val="9"/>
          <w:sz w:val="24"/>
          <w:highlight w:val="none"/>
        </w:rPr>
        <w:t>法</w:t>
      </w:r>
      <w:r>
        <w:rPr>
          <w:rFonts w:hint="eastAsia" w:ascii="宋体" w:hAnsi="宋体" w:cs="宋体"/>
          <w:color w:val="auto"/>
          <w:spacing w:val="6"/>
          <w:sz w:val="24"/>
          <w:highlight w:val="none"/>
        </w:rPr>
        <w:t>定代表人：</w:t>
      </w:r>
    </w:p>
    <w:p w14:paraId="70A46FBB">
      <w:pPr>
        <w:spacing w:line="360" w:lineRule="auto"/>
        <w:rPr>
          <w:rFonts w:ascii="宋体" w:hAnsi="宋体" w:cs="宋体"/>
          <w:color w:val="auto"/>
          <w:sz w:val="24"/>
          <w:highlight w:val="none"/>
        </w:rPr>
      </w:pPr>
      <w:r>
        <w:rPr>
          <w:rFonts w:hint="eastAsia" w:ascii="宋体" w:hAnsi="宋体" w:cs="宋体"/>
          <w:color w:val="auto"/>
          <w:spacing w:val="-5"/>
          <w:sz w:val="24"/>
          <w:highlight w:val="none"/>
        </w:rPr>
        <w:t>电话：</w:t>
      </w:r>
    </w:p>
    <w:p w14:paraId="2CCE5B20">
      <w:pPr>
        <w:rPr>
          <w:rFonts w:ascii="宋体" w:hAnsi="宋体" w:cs="宋体"/>
          <w:color w:val="auto"/>
          <w:sz w:val="24"/>
          <w:highlight w:val="none"/>
        </w:rPr>
        <w:sectPr>
          <w:type w:val="continuous"/>
          <w:pgSz w:w="11906" w:h="16839"/>
          <w:pgMar w:top="1431" w:right="1111" w:bottom="1156" w:left="1087" w:header="0" w:footer="996" w:gutter="0"/>
          <w:cols w:equalWidth="0" w:num="2">
            <w:col w:w="2737" w:space="100"/>
            <w:col w:w="6872"/>
          </w:cols>
        </w:sectPr>
      </w:pPr>
    </w:p>
    <w:p w14:paraId="69A39C13">
      <w:pPr>
        <w:rPr>
          <w:rFonts w:ascii="宋体" w:hAnsi="宋体" w:cs="宋体"/>
          <w:color w:val="auto"/>
          <w:sz w:val="24"/>
          <w:highlight w:val="none"/>
        </w:rPr>
      </w:pPr>
    </w:p>
    <w:p w14:paraId="21564BCB">
      <w:pPr>
        <w:spacing w:line="262" w:lineRule="auto"/>
        <w:rPr>
          <w:rFonts w:ascii="宋体" w:hAnsi="宋体" w:cs="宋体"/>
          <w:color w:val="auto"/>
          <w:sz w:val="24"/>
          <w:highlight w:val="none"/>
        </w:rPr>
      </w:pPr>
    </w:p>
    <w:p w14:paraId="71904623">
      <w:pPr>
        <w:spacing w:before="66" w:line="369" w:lineRule="auto"/>
        <w:ind w:left="1" w:firstLine="420"/>
        <w:rPr>
          <w:rFonts w:ascii="宋体" w:hAnsi="宋体" w:cs="宋体"/>
          <w:color w:val="auto"/>
          <w:sz w:val="24"/>
          <w:highlight w:val="none"/>
        </w:rPr>
      </w:pPr>
      <w:r>
        <w:rPr>
          <w:rFonts w:hint="eastAsia" w:ascii="宋体" w:hAnsi="宋体" w:cs="宋体"/>
          <w:color w:val="auto"/>
          <w:spacing w:val="7"/>
          <w:sz w:val="24"/>
          <w:highlight w:val="none"/>
        </w:rPr>
        <w:t>我公司参加了年月日被投诉人组织的</w:t>
      </w:r>
      <w:r>
        <w:rPr>
          <w:rFonts w:hint="eastAsia" w:ascii="宋体" w:hAnsi="宋体" w:cs="宋体"/>
          <w:color w:val="auto"/>
          <w:spacing w:val="7"/>
          <w:sz w:val="24"/>
          <w:highlight w:val="none"/>
          <w:u w:val="single"/>
        </w:rPr>
        <w:t>(采购人)(项目名称)(项目编号)</w:t>
      </w:r>
      <w:r>
        <w:rPr>
          <w:rFonts w:hint="eastAsia" w:ascii="宋体" w:hAnsi="宋体" w:cs="宋体"/>
          <w:color w:val="auto"/>
          <w:spacing w:val="7"/>
          <w:sz w:val="24"/>
          <w:highlight w:val="none"/>
        </w:rPr>
        <w:t>的采购活</w:t>
      </w:r>
      <w:r>
        <w:rPr>
          <w:rFonts w:hint="eastAsia" w:ascii="宋体" w:hAnsi="宋体" w:cs="宋体"/>
          <w:color w:val="auto"/>
          <w:spacing w:val="6"/>
          <w:sz w:val="24"/>
          <w:highlight w:val="none"/>
        </w:rPr>
        <w:t>动</w:t>
      </w:r>
      <w:r>
        <w:rPr>
          <w:rFonts w:hint="eastAsia" w:ascii="宋体" w:hAnsi="宋体" w:cs="宋体"/>
          <w:color w:val="auto"/>
          <w:sz w:val="24"/>
          <w:highlight w:val="none"/>
        </w:rPr>
        <w:t>，</w:t>
      </w:r>
      <w:r>
        <w:rPr>
          <w:rFonts w:hint="eastAsia" w:ascii="宋体" w:hAnsi="宋体" w:cs="宋体"/>
          <w:color w:val="auto"/>
          <w:spacing w:val="4"/>
          <w:sz w:val="24"/>
          <w:highlight w:val="none"/>
        </w:rPr>
        <w:t>我公司认为该项目的</w:t>
      </w:r>
      <w:r>
        <w:rPr>
          <w:rFonts w:hint="eastAsia" w:ascii="宋体" w:hAnsi="宋体" w:cs="宋体"/>
          <w:color w:val="auto"/>
          <w:spacing w:val="4"/>
          <w:sz w:val="24"/>
          <w:highlight w:val="none"/>
          <w:u w:val="single"/>
        </w:rPr>
        <w:t>(采购文件/采购过程</w:t>
      </w:r>
      <w:r>
        <w:rPr>
          <w:rFonts w:hint="eastAsia" w:ascii="宋体" w:hAnsi="宋体" w:cs="宋体"/>
          <w:color w:val="auto"/>
          <w:spacing w:val="3"/>
          <w:sz w:val="24"/>
          <w:highlight w:val="none"/>
          <w:u w:val="single"/>
        </w:rPr>
        <w:t>/</w:t>
      </w:r>
      <w:r>
        <w:rPr>
          <w:rFonts w:hint="eastAsia" w:ascii="宋体" w:hAnsi="宋体" w:cs="宋体"/>
          <w:color w:val="auto"/>
          <w:spacing w:val="2"/>
          <w:sz w:val="24"/>
          <w:highlight w:val="none"/>
          <w:u w:val="single"/>
        </w:rPr>
        <w:t>中标(中标)结果)</w:t>
      </w:r>
      <w:r>
        <w:rPr>
          <w:rFonts w:hint="eastAsia" w:ascii="宋体" w:hAnsi="宋体" w:cs="宋体"/>
          <w:color w:val="auto"/>
          <w:spacing w:val="2"/>
          <w:sz w:val="24"/>
          <w:highlight w:val="none"/>
        </w:rPr>
        <w:t>损害了我公司权益，对此，我公司于年</w:t>
      </w:r>
      <w:r>
        <w:rPr>
          <w:rFonts w:hint="eastAsia" w:ascii="宋体" w:hAnsi="宋体" w:cs="宋体"/>
          <w:color w:val="auto"/>
          <w:spacing w:val="12"/>
          <w:sz w:val="24"/>
          <w:highlight w:val="none"/>
        </w:rPr>
        <w:t>月</w:t>
      </w:r>
      <w:r>
        <w:rPr>
          <w:rFonts w:hint="eastAsia" w:ascii="宋体" w:hAnsi="宋体" w:cs="宋体"/>
          <w:color w:val="auto"/>
          <w:spacing w:val="6"/>
          <w:sz w:val="24"/>
          <w:highlight w:val="none"/>
        </w:rPr>
        <w:t>日向</w:t>
      </w:r>
      <w:r>
        <w:rPr>
          <w:rFonts w:hint="eastAsia" w:ascii="宋体" w:hAnsi="宋体" w:cs="宋体"/>
          <w:color w:val="auto"/>
          <w:spacing w:val="6"/>
          <w:sz w:val="24"/>
          <w:highlight w:val="none"/>
          <w:u w:val="single"/>
        </w:rPr>
        <w:t>(采购人或者政府采购代理机构)</w:t>
      </w:r>
      <w:r>
        <w:rPr>
          <w:rFonts w:hint="eastAsia" w:ascii="宋体" w:hAnsi="宋体" w:cs="宋体"/>
          <w:color w:val="auto"/>
          <w:spacing w:val="6"/>
          <w:sz w:val="24"/>
          <w:highlight w:val="none"/>
        </w:rPr>
        <w:t>提出了质疑，</w:t>
      </w:r>
      <w:r>
        <w:rPr>
          <w:rFonts w:hint="eastAsia" w:ascii="宋体" w:hAnsi="宋体" w:cs="宋体"/>
          <w:color w:val="auto"/>
          <w:spacing w:val="6"/>
          <w:sz w:val="24"/>
          <w:highlight w:val="none"/>
          <w:u w:val="single"/>
        </w:rPr>
        <w:t>(其于年月日作出书面答复，因对其</w:t>
      </w:r>
      <w:r>
        <w:rPr>
          <w:rFonts w:hint="eastAsia" w:ascii="宋体" w:hAnsi="宋体" w:cs="宋体"/>
          <w:color w:val="auto"/>
          <w:spacing w:val="4"/>
          <w:sz w:val="24"/>
          <w:highlight w:val="none"/>
          <w:u w:val="single"/>
        </w:rPr>
        <w:t>作出的答复不满意)/(被质疑人未在法定期内予以答复，按照政府采购有关规定)</w:t>
      </w:r>
      <w:r>
        <w:rPr>
          <w:rFonts w:hint="eastAsia" w:ascii="宋体" w:hAnsi="宋体" w:cs="宋体"/>
          <w:color w:val="auto"/>
          <w:spacing w:val="4"/>
          <w:sz w:val="24"/>
          <w:highlight w:val="none"/>
        </w:rPr>
        <w:t>，现向贵机关提起投诉：</w:t>
      </w:r>
    </w:p>
    <w:p w14:paraId="386E0E9C">
      <w:pPr>
        <w:spacing w:line="224" w:lineRule="auto"/>
        <w:ind w:left="436"/>
        <w:rPr>
          <w:rFonts w:ascii="宋体" w:hAnsi="宋体" w:cs="宋体"/>
          <w:color w:val="auto"/>
          <w:sz w:val="24"/>
          <w:highlight w:val="none"/>
        </w:rPr>
      </w:pPr>
      <w:r>
        <w:rPr>
          <w:rFonts w:hint="eastAsia" w:ascii="宋体" w:hAnsi="宋体" w:cs="宋体"/>
          <w:color w:val="auto"/>
          <w:spacing w:val="14"/>
          <w:sz w:val="24"/>
          <w:highlight w:val="none"/>
        </w:rPr>
        <w:t>1</w:t>
      </w:r>
      <w:r>
        <w:rPr>
          <w:rFonts w:hint="eastAsia" w:ascii="宋体" w:hAnsi="宋体" w:cs="宋体"/>
          <w:color w:val="auto"/>
          <w:spacing w:val="11"/>
          <w:sz w:val="24"/>
          <w:highlight w:val="none"/>
        </w:rPr>
        <w:t>.</w:t>
      </w:r>
      <w:r>
        <w:rPr>
          <w:rFonts w:hint="eastAsia" w:ascii="宋体" w:hAnsi="宋体" w:cs="宋体"/>
          <w:color w:val="auto"/>
          <w:spacing w:val="7"/>
          <w:sz w:val="24"/>
          <w:highlight w:val="none"/>
          <w:u w:val="single"/>
        </w:rPr>
        <w:t>具体的投诉事项及事实依据；</w:t>
      </w:r>
    </w:p>
    <w:p w14:paraId="5F2F366A">
      <w:pPr>
        <w:spacing w:before="158" w:line="227" w:lineRule="auto"/>
        <w:ind w:left="423"/>
        <w:rPr>
          <w:rFonts w:ascii="宋体" w:hAnsi="宋体" w:cs="宋体"/>
          <w:color w:val="auto"/>
          <w:sz w:val="24"/>
          <w:highlight w:val="none"/>
        </w:rPr>
      </w:pPr>
      <w:r>
        <w:rPr>
          <w:rFonts w:hint="eastAsia" w:ascii="宋体" w:hAnsi="宋体" w:cs="宋体"/>
          <w:color w:val="auto"/>
          <w:spacing w:val="16"/>
          <w:sz w:val="24"/>
          <w:highlight w:val="none"/>
        </w:rPr>
        <w:t>2</w:t>
      </w:r>
      <w:r>
        <w:rPr>
          <w:rFonts w:hint="eastAsia" w:ascii="宋体" w:hAnsi="宋体" w:cs="宋体"/>
          <w:color w:val="auto"/>
          <w:spacing w:val="9"/>
          <w:sz w:val="24"/>
          <w:highlight w:val="none"/>
        </w:rPr>
        <w:t>.</w:t>
      </w:r>
      <w:r>
        <w:rPr>
          <w:rFonts w:hint="eastAsia" w:ascii="宋体" w:hAnsi="宋体" w:cs="宋体"/>
          <w:color w:val="auto"/>
          <w:spacing w:val="8"/>
          <w:sz w:val="24"/>
          <w:highlight w:val="none"/>
          <w:u w:val="single"/>
        </w:rPr>
        <w:t>质疑和质疑答复情况简要描述；</w:t>
      </w:r>
    </w:p>
    <w:p w14:paraId="76C61647">
      <w:pPr>
        <w:spacing w:before="153" w:line="228" w:lineRule="auto"/>
        <w:ind w:left="425"/>
        <w:rPr>
          <w:rFonts w:ascii="宋体" w:hAnsi="宋体" w:cs="宋体"/>
          <w:color w:val="auto"/>
          <w:sz w:val="24"/>
          <w:highlight w:val="none"/>
        </w:rPr>
      </w:pPr>
      <w:r>
        <w:rPr>
          <w:rFonts w:hint="eastAsia" w:ascii="宋体" w:hAnsi="宋体" w:cs="宋体"/>
          <w:color w:val="auto"/>
          <w:spacing w:val="11"/>
          <w:sz w:val="24"/>
          <w:highlight w:val="none"/>
        </w:rPr>
        <w:t>3</w:t>
      </w:r>
      <w:r>
        <w:rPr>
          <w:rFonts w:hint="eastAsia" w:ascii="宋体" w:hAnsi="宋体" w:cs="宋体"/>
          <w:color w:val="auto"/>
          <w:spacing w:val="9"/>
          <w:sz w:val="24"/>
          <w:highlight w:val="none"/>
        </w:rPr>
        <w:t>.</w:t>
      </w:r>
      <w:r>
        <w:rPr>
          <w:rFonts w:hint="eastAsia" w:ascii="宋体" w:hAnsi="宋体" w:cs="宋体"/>
          <w:color w:val="auto"/>
          <w:spacing w:val="9"/>
          <w:sz w:val="24"/>
          <w:highlight w:val="none"/>
          <w:u w:val="single"/>
        </w:rPr>
        <w:t>投诉请求。</w:t>
      </w:r>
    </w:p>
    <w:p w14:paraId="3597832B">
      <w:pPr>
        <w:spacing w:before="153" w:line="401" w:lineRule="exact"/>
        <w:ind w:left="17"/>
        <w:rPr>
          <w:rFonts w:ascii="宋体" w:hAnsi="宋体" w:cs="宋体"/>
          <w:color w:val="auto"/>
          <w:sz w:val="24"/>
          <w:highlight w:val="none"/>
        </w:rPr>
      </w:pPr>
      <w:r>
        <w:rPr>
          <w:rFonts w:hint="eastAsia" w:ascii="宋体" w:hAnsi="宋体" w:cs="宋体"/>
          <w:color w:val="auto"/>
          <w:spacing w:val="-3"/>
          <w:position w:val="14"/>
          <w:sz w:val="24"/>
          <w:highlight w:val="none"/>
        </w:rPr>
        <w:t>附</w:t>
      </w:r>
      <w:r>
        <w:rPr>
          <w:rFonts w:hint="eastAsia" w:ascii="宋体" w:hAnsi="宋体" w:cs="宋体"/>
          <w:color w:val="auto"/>
          <w:spacing w:val="-2"/>
          <w:position w:val="14"/>
          <w:sz w:val="24"/>
          <w:highlight w:val="none"/>
        </w:rPr>
        <w:t>件：</w:t>
      </w:r>
    </w:p>
    <w:p w14:paraId="2699EAC2">
      <w:pPr>
        <w:spacing w:line="270" w:lineRule="exact"/>
        <w:ind w:left="16"/>
        <w:rPr>
          <w:rFonts w:ascii="宋体" w:hAnsi="宋体" w:cs="宋体"/>
          <w:color w:val="auto"/>
          <w:sz w:val="24"/>
          <w:highlight w:val="none"/>
        </w:rPr>
      </w:pPr>
      <w:r>
        <w:rPr>
          <w:rFonts w:hint="eastAsia" w:ascii="宋体" w:hAnsi="宋体" w:cs="宋体"/>
          <w:color w:val="auto"/>
          <w:spacing w:val="8"/>
          <w:position w:val="1"/>
          <w:sz w:val="24"/>
          <w:highlight w:val="none"/>
        </w:rPr>
        <w:t>1</w:t>
      </w:r>
      <w:r>
        <w:rPr>
          <w:rFonts w:hint="eastAsia" w:ascii="宋体" w:hAnsi="宋体" w:cs="宋体"/>
          <w:color w:val="auto"/>
          <w:spacing w:val="6"/>
          <w:position w:val="1"/>
          <w:sz w:val="24"/>
          <w:highlight w:val="none"/>
        </w:rPr>
        <w:t>.质疑书和质疑答复书；</w:t>
      </w:r>
    </w:p>
    <w:p w14:paraId="748E73D8">
      <w:pPr>
        <w:spacing w:before="128" w:line="401" w:lineRule="exact"/>
        <w:ind w:left="3"/>
        <w:rPr>
          <w:rFonts w:ascii="宋体" w:hAnsi="宋体" w:cs="宋体"/>
          <w:color w:val="auto"/>
          <w:sz w:val="24"/>
          <w:highlight w:val="none"/>
        </w:rPr>
      </w:pPr>
      <w:r>
        <w:rPr>
          <w:rFonts w:hint="eastAsia" w:ascii="宋体" w:hAnsi="宋体" w:cs="宋体"/>
          <w:color w:val="auto"/>
          <w:spacing w:val="16"/>
          <w:position w:val="14"/>
          <w:sz w:val="24"/>
          <w:highlight w:val="none"/>
        </w:rPr>
        <w:t>2</w:t>
      </w:r>
      <w:r>
        <w:rPr>
          <w:rFonts w:hint="eastAsia" w:ascii="宋体" w:hAnsi="宋体" w:cs="宋体"/>
          <w:color w:val="auto"/>
          <w:spacing w:val="11"/>
          <w:position w:val="14"/>
          <w:sz w:val="24"/>
          <w:highlight w:val="none"/>
        </w:rPr>
        <w:t>.</w:t>
      </w:r>
      <w:r>
        <w:rPr>
          <w:rFonts w:hint="eastAsia" w:ascii="宋体" w:hAnsi="宋体" w:cs="宋体"/>
          <w:color w:val="auto"/>
          <w:spacing w:val="8"/>
          <w:position w:val="14"/>
          <w:sz w:val="24"/>
          <w:highlight w:val="none"/>
        </w:rPr>
        <w:t>证据材料(需注明证据来源)，证人的姓名、住址和联系方式等；</w:t>
      </w:r>
    </w:p>
    <w:p w14:paraId="156B9EBD">
      <w:pPr>
        <w:spacing w:line="269" w:lineRule="exact"/>
        <w:ind w:left="5"/>
        <w:rPr>
          <w:rFonts w:ascii="宋体" w:hAnsi="宋体" w:cs="宋体"/>
          <w:color w:val="auto"/>
          <w:sz w:val="24"/>
          <w:highlight w:val="none"/>
        </w:rPr>
      </w:pPr>
      <w:r>
        <w:rPr>
          <w:rFonts w:hint="eastAsia" w:ascii="宋体" w:hAnsi="宋体" w:cs="宋体"/>
          <w:color w:val="auto"/>
          <w:spacing w:val="5"/>
          <w:position w:val="1"/>
          <w:sz w:val="24"/>
          <w:highlight w:val="none"/>
        </w:rPr>
        <w:t>3.营业执照</w:t>
      </w:r>
      <w:r>
        <w:rPr>
          <w:rFonts w:hint="eastAsia" w:ascii="宋体" w:hAnsi="宋体" w:cs="宋体"/>
          <w:color w:val="auto"/>
          <w:spacing w:val="4"/>
          <w:position w:val="1"/>
          <w:sz w:val="24"/>
          <w:highlight w:val="none"/>
        </w:rPr>
        <w:t>；</w:t>
      </w:r>
    </w:p>
    <w:p w14:paraId="06BCF638">
      <w:pPr>
        <w:spacing w:before="132" w:line="398" w:lineRule="exact"/>
        <w:rPr>
          <w:rFonts w:ascii="宋体" w:hAnsi="宋体" w:cs="宋体"/>
          <w:color w:val="auto"/>
          <w:sz w:val="24"/>
          <w:highlight w:val="none"/>
        </w:rPr>
      </w:pPr>
      <w:r>
        <w:rPr>
          <w:rFonts w:hint="eastAsia" w:ascii="宋体" w:hAnsi="宋体" w:cs="宋体"/>
          <w:color w:val="auto"/>
          <w:spacing w:val="11"/>
          <w:position w:val="14"/>
          <w:sz w:val="24"/>
          <w:highlight w:val="none"/>
        </w:rPr>
        <w:t>4</w:t>
      </w:r>
      <w:r>
        <w:rPr>
          <w:rFonts w:hint="eastAsia" w:ascii="宋体" w:hAnsi="宋体" w:cs="宋体"/>
          <w:color w:val="auto"/>
          <w:spacing w:val="8"/>
          <w:position w:val="14"/>
          <w:sz w:val="24"/>
          <w:highlight w:val="none"/>
        </w:rPr>
        <w:t>.法定代表人身份证明函；</w:t>
      </w:r>
    </w:p>
    <w:p w14:paraId="1921C18C">
      <w:pPr>
        <w:spacing w:line="224" w:lineRule="auto"/>
        <w:ind w:left="5"/>
        <w:rPr>
          <w:rFonts w:ascii="宋体" w:hAnsi="宋体" w:cs="宋体"/>
          <w:color w:val="auto"/>
          <w:sz w:val="24"/>
          <w:highlight w:val="none"/>
        </w:rPr>
      </w:pPr>
      <w:r>
        <w:rPr>
          <w:rFonts w:hint="eastAsia" w:ascii="宋体" w:hAnsi="宋体" w:cs="宋体"/>
          <w:color w:val="auto"/>
          <w:spacing w:val="16"/>
          <w:sz w:val="24"/>
          <w:highlight w:val="none"/>
        </w:rPr>
        <w:t>5.</w:t>
      </w:r>
      <w:r>
        <w:rPr>
          <w:rFonts w:hint="eastAsia" w:ascii="宋体" w:hAnsi="宋体" w:cs="宋体"/>
          <w:color w:val="auto"/>
          <w:spacing w:val="13"/>
          <w:sz w:val="24"/>
          <w:highlight w:val="none"/>
        </w:rPr>
        <w:t>法</w:t>
      </w:r>
      <w:r>
        <w:rPr>
          <w:rFonts w:hint="eastAsia" w:ascii="宋体" w:hAnsi="宋体" w:cs="宋体"/>
          <w:color w:val="auto"/>
          <w:spacing w:val="8"/>
          <w:sz w:val="24"/>
          <w:highlight w:val="none"/>
        </w:rPr>
        <w:t>定代表人授权委托书(包含法定代表人和委托代理人的身份证复印件)；</w:t>
      </w:r>
    </w:p>
    <w:p w14:paraId="7B4C758F">
      <w:pPr>
        <w:spacing w:before="158" w:line="269" w:lineRule="exact"/>
        <w:ind w:left="2"/>
        <w:rPr>
          <w:rFonts w:ascii="宋体" w:hAnsi="宋体" w:cs="宋体"/>
          <w:color w:val="auto"/>
          <w:sz w:val="24"/>
          <w:highlight w:val="none"/>
        </w:rPr>
      </w:pPr>
      <w:r>
        <w:rPr>
          <w:rFonts w:hint="eastAsia" w:ascii="宋体" w:hAnsi="宋体" w:cs="宋体"/>
          <w:color w:val="auto"/>
          <w:spacing w:val="16"/>
          <w:position w:val="1"/>
          <w:sz w:val="24"/>
          <w:highlight w:val="none"/>
        </w:rPr>
        <w:t>6</w:t>
      </w:r>
      <w:r>
        <w:rPr>
          <w:rFonts w:hint="eastAsia" w:ascii="宋体" w:hAnsi="宋体" w:cs="宋体"/>
          <w:color w:val="auto"/>
          <w:spacing w:val="11"/>
          <w:position w:val="1"/>
          <w:sz w:val="24"/>
          <w:highlight w:val="none"/>
        </w:rPr>
        <w:t>.</w:t>
      </w:r>
      <w:r>
        <w:rPr>
          <w:rFonts w:hint="eastAsia" w:ascii="宋体" w:hAnsi="宋体" w:cs="宋体"/>
          <w:color w:val="auto"/>
          <w:spacing w:val="8"/>
          <w:position w:val="1"/>
          <w:sz w:val="24"/>
          <w:highlight w:val="none"/>
        </w:rPr>
        <w:t>政府采购监管部门认为应当提供的其它材料。</w:t>
      </w:r>
    </w:p>
    <w:p w14:paraId="35B5B458">
      <w:pPr>
        <w:spacing w:before="132" w:line="360" w:lineRule="auto"/>
        <w:ind w:left="3152"/>
        <w:rPr>
          <w:rFonts w:ascii="宋体" w:hAnsi="宋体" w:cs="宋体"/>
          <w:color w:val="auto"/>
          <w:spacing w:val="-2"/>
          <w:sz w:val="24"/>
          <w:highlight w:val="none"/>
        </w:rPr>
      </w:pPr>
    </w:p>
    <w:p w14:paraId="4DB40977">
      <w:pPr>
        <w:spacing w:before="132" w:line="360" w:lineRule="auto"/>
        <w:ind w:left="3152"/>
        <w:rPr>
          <w:rFonts w:ascii="宋体" w:hAnsi="宋体" w:cs="宋体"/>
          <w:color w:val="auto"/>
          <w:sz w:val="24"/>
          <w:highlight w:val="none"/>
        </w:rPr>
      </w:pPr>
      <w:r>
        <w:rPr>
          <w:rFonts w:hint="eastAsia" w:ascii="宋体" w:hAnsi="宋体" w:cs="宋体"/>
          <w:color w:val="auto"/>
          <w:spacing w:val="-2"/>
          <w:sz w:val="24"/>
          <w:highlight w:val="none"/>
        </w:rPr>
        <w:t>投诉供应商：(盖章</w:t>
      </w:r>
      <w:r>
        <w:rPr>
          <w:rFonts w:hint="eastAsia" w:ascii="宋体" w:hAnsi="宋体" w:cs="宋体"/>
          <w:color w:val="auto"/>
          <w:sz w:val="24"/>
          <w:highlight w:val="none"/>
        </w:rPr>
        <w:t>)</w:t>
      </w:r>
    </w:p>
    <w:p w14:paraId="38F214C6">
      <w:pPr>
        <w:spacing w:before="152" w:line="360" w:lineRule="auto"/>
        <w:ind w:left="3150"/>
        <w:rPr>
          <w:rFonts w:ascii="宋体" w:hAnsi="宋体" w:cs="宋体"/>
          <w:color w:val="auto"/>
          <w:sz w:val="24"/>
          <w:highlight w:val="none"/>
        </w:rPr>
      </w:pPr>
      <w:r>
        <w:rPr>
          <w:rFonts w:hint="eastAsia" w:ascii="宋体" w:hAnsi="宋体" w:cs="宋体"/>
          <w:color w:val="auto"/>
          <w:spacing w:val="4"/>
          <w:sz w:val="24"/>
          <w:highlight w:val="none"/>
        </w:rPr>
        <w:t>法定代表人(</w:t>
      </w:r>
      <w:r>
        <w:rPr>
          <w:rFonts w:hint="eastAsia" w:ascii="宋体" w:hAnsi="宋体" w:cs="宋体"/>
          <w:color w:val="auto"/>
          <w:spacing w:val="3"/>
          <w:sz w:val="24"/>
          <w:highlight w:val="none"/>
        </w:rPr>
        <w:t>或</w:t>
      </w:r>
      <w:r>
        <w:rPr>
          <w:rFonts w:hint="eastAsia" w:ascii="宋体" w:hAnsi="宋体" w:cs="宋体"/>
          <w:color w:val="auto"/>
          <w:spacing w:val="2"/>
          <w:sz w:val="24"/>
          <w:highlight w:val="none"/>
        </w:rPr>
        <w:t>主要负责人)：(签字)</w:t>
      </w:r>
    </w:p>
    <w:p w14:paraId="4E424E37">
      <w:pPr>
        <w:tabs>
          <w:tab w:val="left" w:pos="3990"/>
        </w:tabs>
        <w:spacing w:before="157" w:line="360" w:lineRule="auto"/>
        <w:ind w:left="3352"/>
        <w:rPr>
          <w:rFonts w:ascii="宋体" w:hAnsi="宋体" w:cs="宋体"/>
          <w:color w:val="auto"/>
          <w:sz w:val="24"/>
          <w:highlight w:val="none"/>
        </w:rPr>
      </w:pPr>
      <w:r>
        <w:rPr>
          <w:rFonts w:hint="eastAsia" w:ascii="宋体" w:hAnsi="宋体" w:cs="宋体"/>
          <w:color w:val="auto"/>
          <w:spacing w:val="11"/>
          <w:sz w:val="24"/>
          <w:highlight w:val="none"/>
        </w:rPr>
        <w:t xml:space="preserve">年 </w:t>
      </w:r>
      <w:r>
        <w:rPr>
          <w:rFonts w:hint="eastAsia" w:ascii="宋体" w:hAnsi="宋体" w:cs="宋体"/>
          <w:color w:val="auto"/>
          <w:spacing w:val="9"/>
          <w:sz w:val="24"/>
          <w:highlight w:val="none"/>
        </w:rPr>
        <w:t>月 日</w:t>
      </w:r>
    </w:p>
    <w:p w14:paraId="33B5D457">
      <w:pPr>
        <w:spacing w:before="154" w:line="193" w:lineRule="auto"/>
        <w:ind w:right="65"/>
        <w:jc w:val="right"/>
        <w:rPr>
          <w:rFonts w:ascii="宋体" w:hAnsi="宋体" w:cs="宋体"/>
          <w:color w:val="auto"/>
          <w:sz w:val="24"/>
          <w:highlight w:val="none"/>
        </w:rPr>
      </w:pPr>
      <w:r>
        <w:rPr>
          <w:rFonts w:hint="eastAsia" w:ascii="宋体" w:hAnsi="宋体" w:cs="宋体"/>
          <w:color w:val="auto"/>
          <w:spacing w:val="8"/>
          <w:sz w:val="24"/>
          <w:highlight w:val="none"/>
        </w:rPr>
        <w:t>本投诉书正本份，副本份并附电子文档</w:t>
      </w:r>
      <w:r>
        <w:rPr>
          <w:rFonts w:hint="eastAsia" w:ascii="宋体" w:hAnsi="宋体" w:cs="宋体"/>
          <w:color w:val="auto"/>
          <w:spacing w:val="4"/>
          <w:sz w:val="24"/>
          <w:highlight w:val="none"/>
        </w:rPr>
        <w:t>。</w:t>
      </w:r>
    </w:p>
    <w:p w14:paraId="20F1E4DC">
      <w:pPr>
        <w:rPr>
          <w:rFonts w:ascii="宋体" w:hAnsi="宋体" w:cs="宋体"/>
          <w:color w:val="auto"/>
          <w:sz w:val="24"/>
          <w:highlight w:val="none"/>
        </w:rPr>
        <w:sectPr>
          <w:type w:val="continuous"/>
          <w:pgSz w:w="11906" w:h="16839"/>
          <w:pgMar w:top="1431" w:right="1111" w:bottom="1156" w:left="1087" w:header="0" w:footer="996" w:gutter="0"/>
          <w:cols w:equalWidth="0" w:num="1">
            <w:col w:w="9708"/>
          </w:cols>
        </w:sectPr>
      </w:pPr>
    </w:p>
    <w:p w14:paraId="1FD1D4F1">
      <w:pPr>
        <w:spacing w:before="162" w:line="225" w:lineRule="auto"/>
        <w:ind w:left="3875"/>
        <w:rPr>
          <w:rFonts w:ascii="宋体" w:hAnsi="宋体" w:cs="宋体"/>
          <w:color w:val="auto"/>
          <w:sz w:val="24"/>
          <w:highlight w:val="none"/>
        </w:rPr>
      </w:pPr>
      <w:r>
        <w:rPr>
          <w:rFonts w:hint="eastAsia" w:ascii="宋体" w:hAnsi="宋体" w:cs="宋体"/>
          <w:color w:val="auto"/>
          <w:spacing w:val="8"/>
          <w:sz w:val="24"/>
          <w:highlight w:val="none"/>
          <w14:textOutline w14:w="5791" w14:cap="sq" w14:cmpd="sng" w14:algn="ctr">
            <w14:solidFill>
              <w14:srgbClr w14:val="000000"/>
            </w14:solidFill>
            <w14:prstDash w14:val="solid"/>
            <w14:bevel/>
          </w14:textOutline>
        </w:rPr>
        <w:t>投诉相关说明</w:t>
      </w:r>
    </w:p>
    <w:p w14:paraId="54355CD7">
      <w:pPr>
        <w:widowControl/>
        <w:kinsoku w:val="0"/>
        <w:autoSpaceDE w:val="0"/>
        <w:autoSpaceDN w:val="0"/>
        <w:adjustRightInd w:val="0"/>
        <w:snapToGrid w:val="0"/>
        <w:spacing w:before="232" w:line="360" w:lineRule="auto"/>
        <w:ind w:left="423"/>
        <w:textAlignment w:val="baseline"/>
        <w:rPr>
          <w:rFonts w:ascii="宋体" w:hAnsi="宋体" w:cs="宋体"/>
          <w:color w:val="auto"/>
          <w:sz w:val="24"/>
          <w:highlight w:val="none"/>
        </w:rPr>
      </w:pPr>
      <w:r>
        <w:rPr>
          <w:rFonts w:hint="eastAsia" w:ascii="宋体" w:hAnsi="宋体" w:cs="宋体"/>
          <w:color w:val="auto"/>
          <w:spacing w:val="18"/>
          <w:sz w:val="24"/>
          <w:highlight w:val="none"/>
        </w:rPr>
        <w:t>投诉人</w:t>
      </w:r>
      <w:r>
        <w:rPr>
          <w:rFonts w:hint="eastAsia" w:ascii="宋体" w:hAnsi="宋体" w:cs="宋体"/>
          <w:color w:val="auto"/>
          <w:spacing w:val="12"/>
          <w:sz w:val="24"/>
          <w:highlight w:val="none"/>
        </w:rPr>
        <w:t>应</w:t>
      </w:r>
      <w:r>
        <w:rPr>
          <w:rFonts w:hint="eastAsia" w:ascii="宋体" w:hAnsi="宋体" w:cs="宋体"/>
          <w:color w:val="auto"/>
          <w:spacing w:val="9"/>
          <w:sz w:val="24"/>
          <w:highlight w:val="none"/>
        </w:rPr>
        <w:t>当满足《</w:t>
      </w:r>
      <w:r>
        <w:rPr>
          <w:rFonts w:hint="eastAsia" w:ascii="宋体" w:hAnsi="宋体" w:cs="宋体"/>
          <w:color w:val="auto"/>
          <w:spacing w:val="18"/>
          <w:sz w:val="24"/>
          <w:highlight w:val="none"/>
        </w:rPr>
        <w:t>中华</w:t>
      </w:r>
      <w:r>
        <w:rPr>
          <w:rFonts w:hint="eastAsia" w:ascii="宋体" w:hAnsi="宋体" w:cs="宋体"/>
          <w:color w:val="auto"/>
          <w:spacing w:val="10"/>
          <w:sz w:val="24"/>
          <w:highlight w:val="none"/>
        </w:rPr>
        <w:t>人</w:t>
      </w:r>
      <w:r>
        <w:rPr>
          <w:rFonts w:hint="eastAsia" w:ascii="宋体" w:hAnsi="宋体" w:cs="宋体"/>
          <w:color w:val="auto"/>
          <w:spacing w:val="9"/>
          <w:sz w:val="24"/>
          <w:highlight w:val="none"/>
        </w:rPr>
        <w:t>民共和国政府采购法》、《</w:t>
      </w:r>
      <w:r>
        <w:rPr>
          <w:rFonts w:hint="eastAsia" w:ascii="宋体" w:hAnsi="宋体" w:cs="宋体"/>
          <w:color w:val="auto"/>
          <w:spacing w:val="18"/>
          <w:sz w:val="24"/>
          <w:highlight w:val="none"/>
        </w:rPr>
        <w:t>中华</w:t>
      </w:r>
      <w:r>
        <w:rPr>
          <w:rFonts w:hint="eastAsia" w:ascii="宋体" w:hAnsi="宋体" w:cs="宋体"/>
          <w:color w:val="auto"/>
          <w:spacing w:val="10"/>
          <w:sz w:val="24"/>
          <w:highlight w:val="none"/>
        </w:rPr>
        <w:t>人</w:t>
      </w:r>
      <w:r>
        <w:rPr>
          <w:rFonts w:hint="eastAsia" w:ascii="宋体" w:hAnsi="宋体" w:cs="宋体"/>
          <w:color w:val="auto"/>
          <w:spacing w:val="9"/>
          <w:sz w:val="24"/>
          <w:highlight w:val="none"/>
        </w:rPr>
        <w:t>民共和国政府采购法实施条例》和《政府采购质疑和投诉办法》的相</w:t>
      </w:r>
      <w:r>
        <w:rPr>
          <w:rFonts w:hint="eastAsia" w:ascii="宋体" w:hAnsi="宋体" w:cs="宋体"/>
          <w:color w:val="auto"/>
          <w:spacing w:val="5"/>
          <w:sz w:val="24"/>
          <w:highlight w:val="none"/>
        </w:rPr>
        <w:t>关</w:t>
      </w:r>
      <w:r>
        <w:rPr>
          <w:rFonts w:hint="eastAsia" w:ascii="宋体" w:hAnsi="宋体" w:cs="宋体"/>
          <w:color w:val="auto"/>
          <w:spacing w:val="4"/>
          <w:sz w:val="24"/>
          <w:highlight w:val="none"/>
        </w:rPr>
        <w:t>规定。</w:t>
      </w:r>
    </w:p>
    <w:p w14:paraId="2844BE25">
      <w:pPr>
        <w:widowControl/>
        <w:kinsoku w:val="0"/>
        <w:autoSpaceDE w:val="0"/>
        <w:autoSpaceDN w:val="0"/>
        <w:adjustRightInd w:val="0"/>
        <w:snapToGrid w:val="0"/>
        <w:spacing w:before="151" w:line="360" w:lineRule="auto"/>
        <w:ind w:left="4"/>
        <w:textAlignment w:val="baseline"/>
        <w:rPr>
          <w:rFonts w:ascii="宋体" w:hAnsi="宋体" w:cs="宋体"/>
          <w:color w:val="auto"/>
          <w:sz w:val="24"/>
          <w:highlight w:val="none"/>
        </w:rPr>
      </w:pPr>
      <w:r>
        <w:rPr>
          <w:rFonts w:hint="eastAsia" w:ascii="宋体" w:hAnsi="宋体" w:cs="宋体"/>
          <w:color w:val="auto"/>
          <w:spacing w:val="14"/>
          <w:position w:val="2"/>
          <w:sz w:val="24"/>
          <w:highlight w:val="none"/>
          <w14:textOutline w14:w="3797" w14:cap="sq" w14:cmpd="sng" w14:algn="ctr">
            <w14:solidFill>
              <w14:srgbClr w14:val="000000"/>
            </w14:solidFill>
            <w14:prstDash w14:val="solid"/>
            <w14:bevel/>
          </w14:textOutline>
        </w:rPr>
        <w:t>一</w:t>
      </w:r>
      <w:r>
        <w:rPr>
          <w:rFonts w:hint="eastAsia" w:ascii="宋体" w:hAnsi="宋体" w:cs="宋体"/>
          <w:color w:val="auto"/>
          <w:spacing w:val="9"/>
          <w:position w:val="2"/>
          <w:sz w:val="24"/>
          <w:highlight w:val="none"/>
          <w14:textOutline w14:w="3797" w14:cap="sq" w14:cmpd="sng" w14:algn="ctr">
            <w14:solidFill>
              <w14:srgbClr w14:val="000000"/>
            </w14:solidFill>
            <w14:prstDash w14:val="solid"/>
            <w14:bevel/>
          </w14:textOutline>
        </w:rPr>
        <w:t>、质疑前置及时间要求</w:t>
      </w:r>
    </w:p>
    <w:p w14:paraId="758B123C">
      <w:pPr>
        <w:widowControl/>
        <w:kinsoku w:val="0"/>
        <w:autoSpaceDE w:val="0"/>
        <w:autoSpaceDN w:val="0"/>
        <w:adjustRightInd w:val="0"/>
        <w:snapToGrid w:val="0"/>
        <w:spacing w:before="58" w:line="360" w:lineRule="auto"/>
        <w:ind w:left="18" w:right="2" w:firstLine="407"/>
        <w:textAlignment w:val="baseline"/>
        <w:rPr>
          <w:rFonts w:ascii="宋体" w:hAnsi="宋体" w:cs="宋体"/>
          <w:color w:val="auto"/>
          <w:sz w:val="24"/>
          <w:highlight w:val="none"/>
        </w:rPr>
      </w:pPr>
      <w:r>
        <w:rPr>
          <w:rFonts w:hint="eastAsia" w:ascii="宋体" w:hAnsi="宋体" w:cs="宋体"/>
          <w:color w:val="auto"/>
          <w:spacing w:val="18"/>
          <w:sz w:val="24"/>
          <w:highlight w:val="none"/>
        </w:rPr>
        <w:t>《中华</w:t>
      </w:r>
      <w:r>
        <w:rPr>
          <w:rFonts w:hint="eastAsia" w:ascii="宋体" w:hAnsi="宋体" w:cs="宋体"/>
          <w:color w:val="auto"/>
          <w:spacing w:val="10"/>
          <w:sz w:val="24"/>
          <w:highlight w:val="none"/>
        </w:rPr>
        <w:t>人</w:t>
      </w:r>
      <w:r>
        <w:rPr>
          <w:rFonts w:hint="eastAsia" w:ascii="宋体" w:hAnsi="宋体" w:cs="宋体"/>
          <w:color w:val="auto"/>
          <w:spacing w:val="9"/>
          <w:sz w:val="24"/>
          <w:highlight w:val="none"/>
        </w:rPr>
        <w:t>民共和国政府采购法》第五十一条：供应商对政府采购活动事项有疑问的，可以向采购人提</w:t>
      </w:r>
      <w:r>
        <w:rPr>
          <w:rFonts w:hint="eastAsia" w:ascii="宋体" w:hAnsi="宋体" w:cs="宋体"/>
          <w:color w:val="auto"/>
          <w:spacing w:val="16"/>
          <w:sz w:val="24"/>
          <w:highlight w:val="none"/>
        </w:rPr>
        <w:t>出询</w:t>
      </w:r>
      <w:r>
        <w:rPr>
          <w:rFonts w:hint="eastAsia" w:ascii="宋体" w:hAnsi="宋体" w:cs="宋体"/>
          <w:color w:val="auto"/>
          <w:spacing w:val="15"/>
          <w:sz w:val="24"/>
          <w:highlight w:val="none"/>
        </w:rPr>
        <w:t>问</w:t>
      </w:r>
      <w:r>
        <w:rPr>
          <w:rFonts w:hint="eastAsia" w:ascii="宋体" w:hAnsi="宋体" w:cs="宋体"/>
          <w:color w:val="auto"/>
          <w:spacing w:val="8"/>
          <w:sz w:val="24"/>
          <w:highlight w:val="none"/>
        </w:rPr>
        <w:t>，采购人应当及时作出答复，但答复的内容不得涉及商业秘密。</w:t>
      </w:r>
    </w:p>
    <w:p w14:paraId="0511575E">
      <w:pPr>
        <w:widowControl/>
        <w:kinsoku w:val="0"/>
        <w:autoSpaceDE w:val="0"/>
        <w:autoSpaceDN w:val="0"/>
        <w:adjustRightInd w:val="0"/>
        <w:snapToGrid w:val="0"/>
        <w:spacing w:before="2" w:line="360" w:lineRule="auto"/>
        <w:ind w:right="2" w:firstLine="526"/>
        <w:textAlignment w:val="baseline"/>
        <w:rPr>
          <w:rFonts w:ascii="宋体" w:hAnsi="宋体" w:cs="宋体"/>
          <w:color w:val="auto"/>
          <w:sz w:val="24"/>
          <w:highlight w:val="none"/>
        </w:rPr>
      </w:pPr>
      <w:r>
        <w:rPr>
          <w:rFonts w:hint="eastAsia" w:ascii="宋体" w:hAnsi="宋体" w:cs="宋体"/>
          <w:color w:val="auto"/>
          <w:spacing w:val="14"/>
          <w:sz w:val="24"/>
          <w:highlight w:val="none"/>
        </w:rPr>
        <w:t>第五</w:t>
      </w:r>
      <w:r>
        <w:rPr>
          <w:rFonts w:hint="eastAsia" w:ascii="宋体" w:hAnsi="宋体" w:cs="宋体"/>
          <w:color w:val="auto"/>
          <w:spacing w:val="9"/>
          <w:sz w:val="24"/>
          <w:highlight w:val="none"/>
        </w:rPr>
        <w:t>十</w:t>
      </w:r>
      <w:r>
        <w:rPr>
          <w:rFonts w:hint="eastAsia" w:ascii="宋体" w:hAnsi="宋体" w:cs="宋体"/>
          <w:color w:val="auto"/>
          <w:spacing w:val="7"/>
          <w:sz w:val="24"/>
          <w:highlight w:val="none"/>
        </w:rPr>
        <w:t>二条：供应商认为采购文件、采购过程和中标、中标结果使自己的权益受到损害的，可以在知</w:t>
      </w:r>
      <w:r>
        <w:rPr>
          <w:rFonts w:hint="eastAsia" w:ascii="宋体" w:hAnsi="宋体" w:cs="宋体"/>
          <w:color w:val="auto"/>
          <w:spacing w:val="12"/>
          <w:sz w:val="24"/>
          <w:highlight w:val="none"/>
        </w:rPr>
        <w:t>道或者</w:t>
      </w:r>
      <w:r>
        <w:rPr>
          <w:rFonts w:hint="eastAsia" w:ascii="宋体" w:hAnsi="宋体" w:cs="宋体"/>
          <w:color w:val="auto"/>
          <w:spacing w:val="7"/>
          <w:sz w:val="24"/>
          <w:highlight w:val="none"/>
        </w:rPr>
        <w:t>应</w:t>
      </w:r>
      <w:r>
        <w:rPr>
          <w:rFonts w:hint="eastAsia" w:ascii="宋体" w:hAnsi="宋体" w:cs="宋体"/>
          <w:color w:val="auto"/>
          <w:spacing w:val="6"/>
          <w:sz w:val="24"/>
          <w:highlight w:val="none"/>
        </w:rPr>
        <w:t>知其权益受到损害之日起七个工作日内，以书面形式向采购人提出质疑。</w:t>
      </w:r>
    </w:p>
    <w:p w14:paraId="77FD265C">
      <w:pPr>
        <w:widowControl/>
        <w:kinsoku w:val="0"/>
        <w:autoSpaceDE w:val="0"/>
        <w:autoSpaceDN w:val="0"/>
        <w:adjustRightInd w:val="0"/>
        <w:snapToGrid w:val="0"/>
        <w:spacing w:before="2" w:line="360" w:lineRule="auto"/>
        <w:ind w:right="2" w:firstLine="525"/>
        <w:textAlignment w:val="baseline"/>
        <w:rPr>
          <w:rFonts w:ascii="宋体" w:hAnsi="宋体" w:cs="宋体"/>
          <w:color w:val="auto"/>
          <w:sz w:val="24"/>
          <w:highlight w:val="none"/>
        </w:rPr>
      </w:pPr>
      <w:r>
        <w:rPr>
          <w:rFonts w:hint="eastAsia" w:ascii="宋体" w:hAnsi="宋体" w:cs="宋体"/>
          <w:color w:val="auto"/>
          <w:spacing w:val="14"/>
          <w:sz w:val="24"/>
          <w:highlight w:val="none"/>
        </w:rPr>
        <w:t>第五</w:t>
      </w:r>
      <w:r>
        <w:rPr>
          <w:rFonts w:hint="eastAsia" w:ascii="宋体" w:hAnsi="宋体" w:cs="宋体"/>
          <w:color w:val="auto"/>
          <w:spacing w:val="8"/>
          <w:sz w:val="24"/>
          <w:highlight w:val="none"/>
        </w:rPr>
        <w:t>十</w:t>
      </w:r>
      <w:r>
        <w:rPr>
          <w:rFonts w:hint="eastAsia" w:ascii="宋体" w:hAnsi="宋体" w:cs="宋体"/>
          <w:color w:val="auto"/>
          <w:spacing w:val="7"/>
          <w:sz w:val="24"/>
          <w:highlight w:val="none"/>
        </w:rPr>
        <w:t>三条：采购人应当在收到供应商的书面质疑后七个工作日内作出答复，并以书面形式通知质疑</w:t>
      </w:r>
      <w:r>
        <w:rPr>
          <w:rFonts w:hint="eastAsia" w:ascii="宋体" w:hAnsi="宋体" w:cs="宋体"/>
          <w:color w:val="auto"/>
          <w:spacing w:val="15"/>
          <w:sz w:val="24"/>
          <w:highlight w:val="none"/>
        </w:rPr>
        <w:t>供</w:t>
      </w:r>
      <w:r>
        <w:rPr>
          <w:rFonts w:hint="eastAsia" w:ascii="宋体" w:hAnsi="宋体" w:cs="宋体"/>
          <w:color w:val="auto"/>
          <w:spacing w:val="9"/>
          <w:sz w:val="24"/>
          <w:highlight w:val="none"/>
        </w:rPr>
        <w:t>应商和其他有关供应商，但答复的内容不得涉及商业秘密。</w:t>
      </w:r>
    </w:p>
    <w:p w14:paraId="2DE534E1">
      <w:pPr>
        <w:widowControl/>
        <w:kinsoku w:val="0"/>
        <w:autoSpaceDE w:val="0"/>
        <w:autoSpaceDN w:val="0"/>
        <w:adjustRightInd w:val="0"/>
        <w:snapToGrid w:val="0"/>
        <w:spacing w:before="2" w:line="360" w:lineRule="auto"/>
        <w:ind w:left="17" w:right="2" w:firstLine="508"/>
        <w:textAlignment w:val="baseline"/>
        <w:rPr>
          <w:rFonts w:ascii="宋体" w:hAnsi="宋体" w:cs="宋体"/>
          <w:color w:val="auto"/>
          <w:sz w:val="24"/>
          <w:highlight w:val="none"/>
        </w:rPr>
      </w:pPr>
      <w:r>
        <w:rPr>
          <w:rFonts w:hint="eastAsia" w:ascii="宋体" w:hAnsi="宋体" w:cs="宋体"/>
          <w:color w:val="auto"/>
          <w:spacing w:val="18"/>
          <w:sz w:val="24"/>
          <w:highlight w:val="none"/>
        </w:rPr>
        <w:t>第五十</w:t>
      </w:r>
      <w:r>
        <w:rPr>
          <w:rFonts w:hint="eastAsia" w:ascii="宋体" w:hAnsi="宋体" w:cs="宋体"/>
          <w:color w:val="auto"/>
          <w:spacing w:val="9"/>
          <w:sz w:val="24"/>
          <w:highlight w:val="none"/>
        </w:rPr>
        <w:t>五条:质疑供应商对采购人、采购代理机构的答复不满意或者采购人、采购代理机构未在规定</w:t>
      </w:r>
      <w:r>
        <w:rPr>
          <w:rFonts w:hint="eastAsia" w:ascii="宋体" w:hAnsi="宋体" w:cs="宋体"/>
          <w:color w:val="auto"/>
          <w:spacing w:val="12"/>
          <w:sz w:val="24"/>
          <w:highlight w:val="none"/>
        </w:rPr>
        <w:t>的</w:t>
      </w:r>
      <w:r>
        <w:rPr>
          <w:rFonts w:hint="eastAsia" w:ascii="宋体" w:hAnsi="宋体" w:cs="宋体"/>
          <w:color w:val="auto"/>
          <w:spacing w:val="9"/>
          <w:sz w:val="24"/>
          <w:highlight w:val="none"/>
        </w:rPr>
        <w:t>时间内作出答复的，可以在答复期满后十五个工作日内向同级政府采购监督管理部门投诉。</w:t>
      </w:r>
    </w:p>
    <w:p w14:paraId="02D1F896">
      <w:pPr>
        <w:widowControl/>
        <w:kinsoku w:val="0"/>
        <w:autoSpaceDE w:val="0"/>
        <w:autoSpaceDN w:val="0"/>
        <w:adjustRightInd w:val="0"/>
        <w:snapToGrid w:val="0"/>
        <w:spacing w:before="2" w:line="360" w:lineRule="auto"/>
        <w:ind w:left="3" w:right="2" w:firstLine="422"/>
        <w:textAlignment w:val="baseline"/>
        <w:rPr>
          <w:rFonts w:ascii="宋体" w:hAnsi="宋体" w:cs="宋体"/>
          <w:color w:val="auto"/>
          <w:sz w:val="24"/>
          <w:highlight w:val="none"/>
        </w:rPr>
      </w:pPr>
      <w:r>
        <w:rPr>
          <w:rFonts w:hint="eastAsia" w:ascii="宋体" w:hAnsi="宋体" w:cs="宋体"/>
          <w:color w:val="auto"/>
          <w:spacing w:val="18"/>
          <w:sz w:val="24"/>
          <w:highlight w:val="none"/>
        </w:rPr>
        <w:t>《政府</w:t>
      </w:r>
      <w:r>
        <w:rPr>
          <w:rFonts w:hint="eastAsia" w:ascii="宋体" w:hAnsi="宋体" w:cs="宋体"/>
          <w:color w:val="auto"/>
          <w:spacing w:val="9"/>
          <w:sz w:val="24"/>
          <w:highlight w:val="none"/>
        </w:rPr>
        <w:t>采购实施条例》第五十五条：供应商质疑、投诉应当有明确的请求和必要的证明材料。供应商</w:t>
      </w:r>
      <w:r>
        <w:rPr>
          <w:rFonts w:hint="eastAsia" w:ascii="宋体" w:hAnsi="宋体" w:cs="宋体"/>
          <w:color w:val="auto"/>
          <w:spacing w:val="16"/>
          <w:sz w:val="24"/>
          <w:highlight w:val="none"/>
        </w:rPr>
        <w:t>投</w:t>
      </w:r>
      <w:r>
        <w:rPr>
          <w:rFonts w:hint="eastAsia" w:ascii="宋体" w:hAnsi="宋体" w:cs="宋体"/>
          <w:color w:val="auto"/>
          <w:spacing w:val="11"/>
          <w:sz w:val="24"/>
          <w:highlight w:val="none"/>
        </w:rPr>
        <w:t>诉</w:t>
      </w:r>
      <w:r>
        <w:rPr>
          <w:rFonts w:hint="eastAsia" w:ascii="宋体" w:hAnsi="宋体" w:cs="宋体"/>
          <w:color w:val="auto"/>
          <w:spacing w:val="8"/>
          <w:sz w:val="24"/>
          <w:highlight w:val="none"/>
        </w:rPr>
        <w:t>的事项不得超出质疑事项的范围。</w:t>
      </w:r>
    </w:p>
    <w:p w14:paraId="03652B39">
      <w:pPr>
        <w:widowControl/>
        <w:kinsoku w:val="0"/>
        <w:autoSpaceDE w:val="0"/>
        <w:autoSpaceDN w:val="0"/>
        <w:adjustRightInd w:val="0"/>
        <w:snapToGrid w:val="0"/>
        <w:spacing w:line="360" w:lineRule="auto"/>
        <w:ind w:left="4"/>
        <w:textAlignment w:val="baseline"/>
        <w:rPr>
          <w:rFonts w:ascii="宋体" w:hAnsi="宋体" w:cs="宋体"/>
          <w:color w:val="auto"/>
          <w:sz w:val="24"/>
          <w:highlight w:val="none"/>
        </w:rPr>
      </w:pPr>
      <w:r>
        <w:rPr>
          <w:rFonts w:hint="eastAsia" w:ascii="宋体" w:hAnsi="宋体" w:cs="宋体"/>
          <w:color w:val="auto"/>
          <w:spacing w:val="11"/>
          <w:position w:val="1"/>
          <w:sz w:val="24"/>
          <w:highlight w:val="none"/>
          <w14:textOutline w14:w="3797" w14:cap="sq" w14:cmpd="sng" w14:algn="ctr">
            <w14:solidFill>
              <w14:srgbClr w14:val="000000"/>
            </w14:solidFill>
            <w14:prstDash w14:val="solid"/>
            <w14:bevel/>
          </w14:textOutline>
        </w:rPr>
        <w:t>二</w:t>
      </w:r>
      <w:r>
        <w:rPr>
          <w:rFonts w:hint="eastAsia" w:ascii="宋体" w:hAnsi="宋体" w:cs="宋体"/>
          <w:color w:val="auto"/>
          <w:spacing w:val="8"/>
          <w:position w:val="1"/>
          <w:sz w:val="24"/>
          <w:highlight w:val="none"/>
          <w14:textOutline w14:w="3797" w14:cap="sq" w14:cmpd="sng" w14:algn="ctr">
            <w14:solidFill>
              <w14:srgbClr w14:val="000000"/>
            </w14:solidFill>
            <w14:prstDash w14:val="solid"/>
            <w14:bevel/>
          </w14:textOutline>
        </w:rPr>
        <w:t>、书面方式</w:t>
      </w:r>
    </w:p>
    <w:p w14:paraId="1143B0E1">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《政府采购质疑和投诉办法》第十八条 投诉人投诉时,应当提交投诉书和必要的证明材料，并按照被投诉采购人、采购代理机构（以下简称被投诉人）和与投诉事项有关的供应商数量提供投诉书的副本。投诉书应当包括下列内容：</w:t>
      </w:r>
    </w:p>
    <w:p w14:paraId="54A4B168">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（一）投诉人和被投诉人的姓名或者名称、通讯地址、邮编、联系人及联系电话；</w:t>
      </w:r>
    </w:p>
    <w:p w14:paraId="1BA9C4BB">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（二）质疑和质疑答复情况说明及相关证明材料；</w:t>
      </w:r>
    </w:p>
    <w:p w14:paraId="6F2E6994">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（三）具体、明确的投诉事项和与投诉事项相关的投诉请求；</w:t>
      </w:r>
    </w:p>
    <w:p w14:paraId="520E4CA7">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（四）事实依据；</w:t>
      </w:r>
    </w:p>
    <w:p w14:paraId="55346E3F">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（五）法律依据；</w:t>
      </w:r>
    </w:p>
    <w:p w14:paraId="4DF13B5B">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（六）提起投诉的日期。</w:t>
      </w:r>
    </w:p>
    <w:p w14:paraId="3498EB74">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投诉人为自然人的，应当由本人签字；投诉人为法人或者其他组织的，应当由法定代表人、主要负责人，或者其授权代表签字或者盖章，并加盖公章。</w:t>
      </w:r>
    </w:p>
    <w:p w14:paraId="0692E363">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《政府采购质疑和投诉办法》第十九条 投诉人应当根据本办法第七条第二款规定的信息内容，并按照其规定的方式提起投诉。</w:t>
      </w:r>
    </w:p>
    <w:p w14:paraId="088A0BB2">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投诉人提起投诉应当符合下列条件：</w:t>
      </w:r>
    </w:p>
    <w:p w14:paraId="1565B5D9">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（一）提起投诉前已依法进行质疑；</w:t>
      </w:r>
    </w:p>
    <w:p w14:paraId="2FBD979D">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（二）投诉书内容符合本办法的规定；</w:t>
      </w:r>
    </w:p>
    <w:p w14:paraId="5BE84112">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（三）在投诉有效期限内提起投诉；</w:t>
      </w:r>
    </w:p>
    <w:p w14:paraId="7EE60B53">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（四）同一投诉事项未经财政部门投诉处理；</w:t>
      </w:r>
    </w:p>
    <w:p w14:paraId="0E491D29">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（五）财政部规定的其他条件。</w:t>
      </w:r>
    </w:p>
    <w:p w14:paraId="040F9D2F">
      <w:pPr>
        <w:widowControl/>
        <w:kinsoku w:val="0"/>
        <w:autoSpaceDE w:val="0"/>
        <w:autoSpaceDN w:val="0"/>
        <w:adjustRightInd w:val="0"/>
        <w:snapToGrid w:val="0"/>
        <w:spacing w:before="65" w:line="360" w:lineRule="auto"/>
        <w:ind w:firstLine="552" w:firstLineChars="200"/>
        <w:textAlignment w:val="baseline"/>
        <w:rPr>
          <w:rFonts w:ascii="宋体" w:hAnsi="宋体" w:cs="宋体"/>
          <w:color w:val="auto"/>
          <w:spacing w:val="18"/>
          <w:sz w:val="24"/>
          <w:highlight w:val="none"/>
        </w:rPr>
      </w:pPr>
      <w:r>
        <w:rPr>
          <w:rFonts w:hint="eastAsia" w:ascii="宋体" w:hAnsi="宋体" w:cs="宋体"/>
          <w:color w:val="auto"/>
          <w:spacing w:val="18"/>
          <w:sz w:val="24"/>
          <w:highlight w:val="none"/>
        </w:rPr>
        <w:t>《政府采购质疑和投诉办法》第二十条 供应商投诉的事项不得超出已质疑事项的范围，但基于质疑答复内容提出的投诉事项除外。</w:t>
      </w:r>
    </w:p>
    <w:p w14:paraId="3F324226">
      <w:pPr>
        <w:widowControl/>
        <w:kinsoku w:val="0"/>
        <w:autoSpaceDE w:val="0"/>
        <w:autoSpaceDN w:val="0"/>
        <w:adjustRightInd w:val="0"/>
        <w:snapToGrid w:val="0"/>
        <w:spacing w:before="65" w:line="360" w:lineRule="auto"/>
        <w:textAlignment w:val="baseline"/>
        <w:rPr>
          <w:rFonts w:ascii="宋体" w:hAnsi="宋体" w:cs="宋体"/>
          <w:color w:val="auto"/>
          <w:sz w:val="24"/>
          <w:highlight w:val="none"/>
        </w:rPr>
      </w:pPr>
      <w:r>
        <w:rPr>
          <w:rFonts w:hint="eastAsia" w:ascii="宋体" w:hAnsi="宋体" w:cs="宋体"/>
          <w:color w:val="auto"/>
          <w:spacing w:val="10"/>
          <w:position w:val="1"/>
          <w:sz w:val="24"/>
          <w:highlight w:val="none"/>
          <w14:textOutline w14:w="3797" w14:cap="sq" w14:cmpd="sng" w14:algn="ctr">
            <w14:solidFill>
              <w14:srgbClr w14:val="000000"/>
            </w14:solidFill>
            <w14:prstDash w14:val="solid"/>
            <w14:bevel/>
          </w14:textOutline>
        </w:rPr>
        <w:t>三、虚假、恶意投诉法律责任</w:t>
      </w:r>
    </w:p>
    <w:p w14:paraId="6E77C3FE">
      <w:pPr>
        <w:spacing w:before="167" w:line="224" w:lineRule="auto"/>
        <w:ind w:firstLine="536" w:firstLineChars="200"/>
        <w:rPr>
          <w:rFonts w:ascii="宋体" w:hAnsi="宋体" w:cs="宋体"/>
          <w:color w:val="auto"/>
          <w:spacing w:val="14"/>
          <w:sz w:val="24"/>
          <w:highlight w:val="none"/>
        </w:rPr>
      </w:pPr>
      <w:r>
        <w:rPr>
          <w:rFonts w:hint="eastAsia" w:ascii="宋体" w:hAnsi="宋体" w:cs="宋体"/>
          <w:color w:val="auto"/>
          <w:spacing w:val="14"/>
          <w:sz w:val="24"/>
          <w:highlight w:val="none"/>
        </w:rPr>
        <w:t>第三十七条 投诉人在全国范围12个月内三次以上投诉查无实据的，由财政部门列入不良行为记录名单。</w:t>
      </w:r>
    </w:p>
    <w:p w14:paraId="0D2E898C">
      <w:pPr>
        <w:spacing w:before="167" w:line="224" w:lineRule="auto"/>
        <w:ind w:firstLine="536" w:firstLineChars="200"/>
        <w:rPr>
          <w:rFonts w:ascii="宋体" w:hAnsi="宋体" w:cs="宋体"/>
          <w:color w:val="auto"/>
          <w:spacing w:val="14"/>
          <w:sz w:val="24"/>
          <w:highlight w:val="none"/>
        </w:rPr>
      </w:pPr>
      <w:r>
        <w:rPr>
          <w:rFonts w:hint="eastAsia" w:ascii="宋体" w:hAnsi="宋体" w:cs="宋体"/>
          <w:color w:val="auto"/>
          <w:spacing w:val="14"/>
          <w:sz w:val="24"/>
          <w:highlight w:val="none"/>
        </w:rPr>
        <w:t>投诉人有下列行为之一的，属于虚假、恶意投诉，由财政部门列入不良行为记录名单，禁止其1至3年内参加政府采购活动：</w:t>
      </w:r>
    </w:p>
    <w:p w14:paraId="082FCCA5">
      <w:pPr>
        <w:spacing w:before="167" w:line="224" w:lineRule="auto"/>
        <w:ind w:firstLine="536" w:firstLineChars="200"/>
        <w:rPr>
          <w:rFonts w:ascii="宋体" w:hAnsi="宋体" w:cs="宋体"/>
          <w:color w:val="auto"/>
          <w:spacing w:val="14"/>
          <w:sz w:val="24"/>
          <w:highlight w:val="none"/>
        </w:rPr>
      </w:pPr>
      <w:r>
        <w:rPr>
          <w:rFonts w:hint="eastAsia" w:ascii="宋体" w:hAnsi="宋体" w:cs="宋体"/>
          <w:color w:val="auto"/>
          <w:spacing w:val="14"/>
          <w:sz w:val="24"/>
          <w:highlight w:val="none"/>
        </w:rPr>
        <w:t>（一）捏造事实；</w:t>
      </w:r>
    </w:p>
    <w:p w14:paraId="5C14AE1D">
      <w:pPr>
        <w:spacing w:before="167" w:line="224" w:lineRule="auto"/>
        <w:ind w:firstLine="536" w:firstLineChars="200"/>
        <w:rPr>
          <w:rFonts w:ascii="宋体" w:hAnsi="宋体" w:cs="宋体"/>
          <w:color w:val="auto"/>
          <w:spacing w:val="14"/>
          <w:sz w:val="24"/>
          <w:highlight w:val="none"/>
        </w:rPr>
      </w:pPr>
      <w:r>
        <w:rPr>
          <w:rFonts w:hint="eastAsia" w:ascii="宋体" w:hAnsi="宋体" w:cs="宋体"/>
          <w:color w:val="auto"/>
          <w:spacing w:val="14"/>
          <w:sz w:val="24"/>
          <w:highlight w:val="none"/>
        </w:rPr>
        <w:t>（二）提供虚假材料；</w:t>
      </w:r>
    </w:p>
    <w:p w14:paraId="51F3EF6A">
      <w:pPr>
        <w:spacing w:before="167" w:line="224" w:lineRule="auto"/>
        <w:ind w:firstLine="536" w:firstLineChars="200"/>
        <w:rPr>
          <w:rFonts w:ascii="宋体" w:hAnsi="宋体" w:cs="宋体"/>
          <w:color w:val="auto"/>
          <w:spacing w:val="14"/>
          <w:sz w:val="24"/>
          <w:highlight w:val="none"/>
        </w:rPr>
      </w:pPr>
      <w:r>
        <w:rPr>
          <w:rFonts w:hint="eastAsia" w:ascii="宋体" w:hAnsi="宋体" w:cs="宋体"/>
          <w:color w:val="auto"/>
          <w:spacing w:val="14"/>
          <w:sz w:val="24"/>
          <w:highlight w:val="none"/>
        </w:rPr>
        <w:t>（三）以非法手段取得证明材料。</w:t>
      </w:r>
    </w:p>
    <w:p w14:paraId="31FDE8E9">
      <w:pPr>
        <w:spacing w:before="167" w:line="224" w:lineRule="auto"/>
        <w:ind w:firstLine="536" w:firstLineChars="200"/>
        <w:rPr>
          <w:rFonts w:ascii="宋体" w:hAnsi="宋体" w:cs="宋体"/>
          <w:color w:val="auto"/>
          <w:spacing w:val="14"/>
          <w:sz w:val="24"/>
          <w:highlight w:val="none"/>
        </w:rPr>
      </w:pPr>
      <w:r>
        <w:rPr>
          <w:rFonts w:hint="eastAsia" w:ascii="宋体" w:hAnsi="宋体" w:cs="宋体"/>
          <w:color w:val="auto"/>
          <w:spacing w:val="14"/>
          <w:sz w:val="24"/>
          <w:highlight w:val="none"/>
        </w:rPr>
        <w:t>证据来源的合法性存在明显疑问，投诉人无法证明其取得方式合法的，视为以非法手段取得证明材料。</w:t>
      </w:r>
    </w:p>
    <w:p w14:paraId="325DDEA0">
      <w:pPr>
        <w:spacing w:before="167" w:line="224" w:lineRule="auto"/>
        <w:ind w:firstLine="514" w:firstLineChars="200"/>
        <w:rPr>
          <w:rFonts w:ascii="宋体" w:hAnsi="宋体" w:cs="宋体"/>
          <w:color w:val="auto"/>
          <w:sz w:val="24"/>
          <w:highlight w:val="none"/>
        </w:rPr>
      </w:pPr>
      <w:r>
        <w:rPr>
          <w:rFonts w:hint="eastAsia" w:ascii="宋体" w:hAnsi="宋体" w:cs="宋体"/>
          <w:b/>
          <w:bCs/>
          <w:color w:val="auto"/>
          <w:spacing w:val="8"/>
          <w:sz w:val="24"/>
          <w:highlight w:val="none"/>
          <w14:textOutline w14:w="5791" w14:cap="sq" w14:cmpd="sng" w14:algn="ctr">
            <w14:solidFill>
              <w14:srgbClr w14:val="000000"/>
            </w14:solidFill>
            <w14:prstDash w14:val="solid"/>
            <w14:bevel/>
          </w14:textOutline>
        </w:rPr>
        <w:t>质疑函范</w:t>
      </w:r>
      <w:r>
        <w:rPr>
          <w:rFonts w:hint="eastAsia" w:ascii="宋体" w:hAnsi="宋体" w:cs="宋体"/>
          <w:b/>
          <w:bCs/>
          <w:color w:val="auto"/>
          <w:spacing w:val="7"/>
          <w:sz w:val="24"/>
          <w:highlight w:val="none"/>
          <w14:textOutline w14:w="5791" w14:cap="sq" w14:cmpd="sng" w14:algn="ctr">
            <w14:solidFill>
              <w14:srgbClr w14:val="000000"/>
            </w14:solidFill>
            <w14:prstDash w14:val="solid"/>
            <w14:bevel/>
          </w14:textOutline>
        </w:rPr>
        <w:t>本</w:t>
      </w:r>
    </w:p>
    <w:p w14:paraId="0FEA4674">
      <w:pPr>
        <w:spacing w:before="65" w:line="343" w:lineRule="exact"/>
        <w:ind w:left="5"/>
        <w:rPr>
          <w:rFonts w:ascii="宋体" w:hAnsi="宋体" w:cs="宋体"/>
          <w:color w:val="auto"/>
          <w:sz w:val="24"/>
          <w:highlight w:val="none"/>
        </w:rPr>
      </w:pPr>
      <w:r>
        <w:rPr>
          <w:rFonts w:hint="eastAsia" w:ascii="宋体" w:hAnsi="宋体" w:cs="宋体"/>
          <w:color w:val="auto"/>
          <w:spacing w:val="9"/>
          <w:position w:val="2"/>
          <w:sz w:val="24"/>
          <w:highlight w:val="none"/>
        </w:rPr>
        <w:t>一、质疑供应商基本信</w:t>
      </w:r>
      <w:r>
        <w:rPr>
          <w:rFonts w:hint="eastAsia" w:ascii="宋体" w:hAnsi="宋体" w:cs="宋体"/>
          <w:color w:val="auto"/>
          <w:spacing w:val="7"/>
          <w:position w:val="2"/>
          <w:sz w:val="24"/>
          <w:highlight w:val="none"/>
        </w:rPr>
        <w:t>息</w:t>
      </w:r>
    </w:p>
    <w:p w14:paraId="2697C59C">
      <w:pPr>
        <w:spacing w:before="197" w:line="227" w:lineRule="auto"/>
        <w:ind w:left="2"/>
        <w:rPr>
          <w:rFonts w:ascii="宋体" w:hAnsi="宋体" w:cs="宋体"/>
          <w:color w:val="auto"/>
          <w:sz w:val="24"/>
          <w:highlight w:val="none"/>
        </w:rPr>
      </w:pPr>
      <w:r>
        <w:rPr>
          <w:rFonts w:hint="eastAsia" w:ascii="宋体" w:hAnsi="宋体" w:cs="宋体"/>
          <w:color w:val="auto"/>
          <w:spacing w:val="9"/>
          <w:sz w:val="24"/>
          <w:highlight w:val="none"/>
        </w:rPr>
        <w:t>质</w:t>
      </w:r>
      <w:r>
        <w:rPr>
          <w:rFonts w:hint="eastAsia" w:ascii="宋体" w:hAnsi="宋体" w:cs="宋体"/>
          <w:color w:val="auto"/>
          <w:spacing w:val="6"/>
          <w:sz w:val="24"/>
          <w:highlight w:val="none"/>
        </w:rPr>
        <w:t>疑供应商：</w:t>
      </w:r>
    </w:p>
    <w:p w14:paraId="796A7230">
      <w:pPr>
        <w:spacing w:before="293" w:line="228" w:lineRule="auto"/>
        <w:ind w:left="1"/>
        <w:rPr>
          <w:rFonts w:ascii="宋体" w:hAnsi="宋体" w:cs="宋体"/>
          <w:color w:val="auto"/>
          <w:sz w:val="24"/>
          <w:highlight w:val="none"/>
        </w:rPr>
      </w:pPr>
      <w:r>
        <w:rPr>
          <w:rFonts w:hint="eastAsia" w:ascii="宋体" w:hAnsi="宋体" w:cs="宋体"/>
          <w:color w:val="auto"/>
          <w:spacing w:val="-6"/>
          <w:sz w:val="24"/>
          <w:highlight w:val="none"/>
        </w:rPr>
        <w:t>地址：</w:t>
      </w:r>
      <w:r>
        <w:rPr>
          <w:rFonts w:hint="eastAsia" w:ascii="宋体" w:hAnsi="宋体" w:cs="宋体"/>
          <w:color w:val="auto"/>
          <w:spacing w:val="-3"/>
          <w:sz w:val="24"/>
          <w:highlight w:val="none"/>
        </w:rPr>
        <w:t>邮编：</w:t>
      </w:r>
    </w:p>
    <w:p w14:paraId="504C3E4D">
      <w:pPr>
        <w:spacing w:before="293" w:line="230" w:lineRule="auto"/>
        <w:ind w:left="2"/>
        <w:rPr>
          <w:rFonts w:ascii="宋体" w:hAnsi="宋体" w:cs="宋体"/>
          <w:color w:val="auto"/>
          <w:sz w:val="24"/>
          <w:highlight w:val="none"/>
        </w:rPr>
      </w:pPr>
      <w:r>
        <w:rPr>
          <w:rFonts w:hint="eastAsia" w:ascii="宋体" w:hAnsi="宋体" w:cs="宋体"/>
          <w:color w:val="auto"/>
          <w:spacing w:val="-1"/>
          <w:sz w:val="24"/>
          <w:highlight w:val="none"/>
        </w:rPr>
        <w:t>联系人：</w:t>
      </w:r>
      <w:r>
        <w:rPr>
          <w:rFonts w:hint="eastAsia" w:ascii="宋体" w:hAnsi="宋体" w:cs="宋体"/>
          <w:color w:val="auto"/>
          <w:sz w:val="24"/>
          <w:highlight w:val="none"/>
        </w:rPr>
        <w:t>联系电话：</w:t>
      </w:r>
    </w:p>
    <w:p w14:paraId="37D70017">
      <w:pPr>
        <w:spacing w:before="291" w:line="226" w:lineRule="auto"/>
        <w:rPr>
          <w:rFonts w:ascii="宋体" w:hAnsi="宋体" w:cs="宋体"/>
          <w:color w:val="auto"/>
          <w:sz w:val="24"/>
          <w:highlight w:val="none"/>
        </w:rPr>
      </w:pPr>
      <w:r>
        <w:rPr>
          <w:rFonts w:hint="eastAsia" w:ascii="宋体" w:hAnsi="宋体" w:cs="宋体"/>
          <w:color w:val="auto"/>
          <w:spacing w:val="6"/>
          <w:sz w:val="24"/>
          <w:highlight w:val="none"/>
        </w:rPr>
        <w:t>授权代表：</w:t>
      </w:r>
    </w:p>
    <w:p w14:paraId="23B51FB0">
      <w:pPr>
        <w:spacing w:before="294" w:line="230" w:lineRule="auto"/>
        <w:ind w:left="2"/>
        <w:rPr>
          <w:rFonts w:ascii="宋体" w:hAnsi="宋体" w:cs="宋体"/>
          <w:color w:val="auto"/>
          <w:sz w:val="24"/>
          <w:highlight w:val="none"/>
        </w:rPr>
      </w:pPr>
      <w:r>
        <w:rPr>
          <w:rFonts w:hint="eastAsia" w:ascii="宋体" w:hAnsi="宋体" w:cs="宋体"/>
          <w:color w:val="auto"/>
          <w:spacing w:val="8"/>
          <w:sz w:val="24"/>
          <w:highlight w:val="none"/>
        </w:rPr>
        <w:t>联</w:t>
      </w:r>
      <w:r>
        <w:rPr>
          <w:rFonts w:hint="eastAsia" w:ascii="宋体" w:hAnsi="宋体" w:cs="宋体"/>
          <w:color w:val="auto"/>
          <w:spacing w:val="5"/>
          <w:sz w:val="24"/>
          <w:highlight w:val="none"/>
        </w:rPr>
        <w:t>系电话：</w:t>
      </w:r>
    </w:p>
    <w:p w14:paraId="1E985BDF">
      <w:pPr>
        <w:spacing w:before="291" w:line="228" w:lineRule="auto"/>
        <w:ind w:left="1"/>
        <w:rPr>
          <w:rFonts w:ascii="宋体" w:hAnsi="宋体" w:cs="宋体"/>
          <w:color w:val="auto"/>
          <w:sz w:val="24"/>
          <w:highlight w:val="none"/>
        </w:rPr>
      </w:pPr>
      <w:r>
        <w:rPr>
          <w:rFonts w:hint="eastAsia" w:ascii="宋体" w:hAnsi="宋体" w:cs="宋体"/>
          <w:color w:val="auto"/>
          <w:spacing w:val="-4"/>
          <w:sz w:val="24"/>
          <w:highlight w:val="none"/>
        </w:rPr>
        <w:t>地址：邮编：</w:t>
      </w:r>
    </w:p>
    <w:p w14:paraId="103558BB">
      <w:pPr>
        <w:spacing w:before="293" w:line="274" w:lineRule="exact"/>
        <w:ind w:left="5"/>
        <w:rPr>
          <w:rFonts w:ascii="宋体" w:hAnsi="宋体" w:cs="宋体"/>
          <w:color w:val="auto"/>
          <w:sz w:val="24"/>
          <w:highlight w:val="none"/>
        </w:rPr>
      </w:pPr>
      <w:r>
        <w:rPr>
          <w:rFonts w:hint="eastAsia" w:ascii="宋体" w:hAnsi="宋体" w:cs="宋体"/>
          <w:color w:val="auto"/>
          <w:spacing w:val="14"/>
          <w:position w:val="1"/>
          <w:sz w:val="24"/>
          <w:highlight w:val="none"/>
        </w:rPr>
        <w:t>二</w:t>
      </w:r>
      <w:r>
        <w:rPr>
          <w:rFonts w:hint="eastAsia" w:ascii="宋体" w:hAnsi="宋体" w:cs="宋体"/>
          <w:color w:val="auto"/>
          <w:spacing w:val="8"/>
          <w:position w:val="1"/>
          <w:sz w:val="24"/>
          <w:highlight w:val="none"/>
        </w:rPr>
        <w:t>、质疑项目基本情况</w:t>
      </w:r>
    </w:p>
    <w:p w14:paraId="3FB50707">
      <w:pPr>
        <w:spacing w:before="266" w:line="228" w:lineRule="auto"/>
        <w:ind w:left="2"/>
        <w:rPr>
          <w:rFonts w:ascii="宋体" w:hAnsi="宋体" w:cs="宋体"/>
          <w:color w:val="auto"/>
          <w:sz w:val="24"/>
          <w:highlight w:val="none"/>
        </w:rPr>
      </w:pPr>
      <w:r>
        <w:rPr>
          <w:rFonts w:hint="eastAsia" w:ascii="宋体" w:hAnsi="宋体" w:cs="宋体"/>
          <w:color w:val="auto"/>
          <w:spacing w:val="10"/>
          <w:sz w:val="24"/>
          <w:highlight w:val="none"/>
        </w:rPr>
        <w:t>质</w:t>
      </w:r>
      <w:r>
        <w:rPr>
          <w:rFonts w:hint="eastAsia" w:ascii="宋体" w:hAnsi="宋体" w:cs="宋体"/>
          <w:color w:val="auto"/>
          <w:spacing w:val="7"/>
          <w:sz w:val="24"/>
          <w:highlight w:val="none"/>
        </w:rPr>
        <w:t>疑项目的名称：</w:t>
      </w:r>
    </w:p>
    <w:p w14:paraId="682AA401">
      <w:pPr>
        <w:spacing w:before="293" w:line="228" w:lineRule="auto"/>
        <w:ind w:left="2"/>
        <w:rPr>
          <w:rFonts w:ascii="宋体" w:hAnsi="宋体" w:cs="宋体"/>
          <w:color w:val="auto"/>
          <w:sz w:val="24"/>
          <w:highlight w:val="none"/>
        </w:rPr>
      </w:pPr>
      <w:r>
        <w:rPr>
          <w:rFonts w:hint="eastAsia" w:ascii="宋体" w:hAnsi="宋体" w:cs="宋体"/>
          <w:color w:val="auto"/>
          <w:spacing w:val="-2"/>
          <w:sz w:val="24"/>
          <w:highlight w:val="none"/>
        </w:rPr>
        <w:t>质疑项目的编号：</w:t>
      </w:r>
      <w:r>
        <w:rPr>
          <w:rFonts w:hint="eastAsia" w:ascii="宋体" w:hAnsi="宋体" w:cs="宋体"/>
          <w:color w:val="auto"/>
          <w:spacing w:val="-1"/>
          <w:sz w:val="24"/>
          <w:highlight w:val="none"/>
        </w:rPr>
        <w:t>包号：</w:t>
      </w:r>
    </w:p>
    <w:p w14:paraId="6D5533B3">
      <w:pPr>
        <w:spacing w:before="293" w:line="227" w:lineRule="auto"/>
        <w:rPr>
          <w:rFonts w:ascii="宋体" w:hAnsi="宋体" w:cs="宋体"/>
          <w:color w:val="auto"/>
          <w:sz w:val="24"/>
          <w:highlight w:val="none"/>
        </w:rPr>
      </w:pPr>
      <w:r>
        <w:rPr>
          <w:rFonts w:hint="eastAsia" w:ascii="宋体" w:hAnsi="宋体" w:cs="宋体"/>
          <w:color w:val="auto"/>
          <w:spacing w:val="7"/>
          <w:sz w:val="24"/>
          <w:highlight w:val="none"/>
        </w:rPr>
        <w:t>采购人名称</w:t>
      </w:r>
      <w:r>
        <w:rPr>
          <w:rFonts w:hint="eastAsia" w:ascii="宋体" w:hAnsi="宋体" w:cs="宋体"/>
          <w:color w:val="auto"/>
          <w:spacing w:val="6"/>
          <w:sz w:val="24"/>
          <w:highlight w:val="none"/>
        </w:rPr>
        <w:t>：</w:t>
      </w:r>
    </w:p>
    <w:p w14:paraId="55DE67D4">
      <w:pPr>
        <w:spacing w:before="294" w:line="227" w:lineRule="auto"/>
        <w:rPr>
          <w:rFonts w:ascii="宋体" w:hAnsi="宋体" w:cs="宋体"/>
          <w:color w:val="auto"/>
          <w:sz w:val="24"/>
          <w:highlight w:val="none"/>
        </w:rPr>
      </w:pPr>
      <w:r>
        <w:rPr>
          <w:rFonts w:hint="eastAsia" w:ascii="宋体" w:hAnsi="宋体" w:cs="宋体"/>
          <w:color w:val="auto"/>
          <w:spacing w:val="8"/>
          <w:sz w:val="24"/>
          <w:highlight w:val="none"/>
        </w:rPr>
        <w:t>采购文件获取日期</w:t>
      </w:r>
      <w:r>
        <w:rPr>
          <w:rFonts w:hint="eastAsia" w:ascii="宋体" w:hAnsi="宋体" w:cs="宋体"/>
          <w:color w:val="auto"/>
          <w:spacing w:val="6"/>
          <w:sz w:val="24"/>
          <w:highlight w:val="none"/>
        </w:rPr>
        <w:t>：</w:t>
      </w:r>
    </w:p>
    <w:p w14:paraId="468AAB31">
      <w:pPr>
        <w:spacing w:before="295" w:line="265" w:lineRule="exact"/>
        <w:ind w:left="1"/>
        <w:rPr>
          <w:rFonts w:ascii="宋体" w:hAnsi="宋体" w:cs="宋体"/>
          <w:color w:val="auto"/>
          <w:sz w:val="24"/>
          <w:highlight w:val="none"/>
        </w:rPr>
      </w:pPr>
      <w:r>
        <w:rPr>
          <w:rFonts w:hint="eastAsia" w:ascii="宋体" w:hAnsi="宋体" w:cs="宋体"/>
          <w:color w:val="auto"/>
          <w:spacing w:val="9"/>
          <w:position w:val="1"/>
          <w:sz w:val="24"/>
          <w:highlight w:val="none"/>
        </w:rPr>
        <w:t>三、质疑事项具体内</w:t>
      </w:r>
      <w:r>
        <w:rPr>
          <w:rFonts w:hint="eastAsia" w:ascii="宋体" w:hAnsi="宋体" w:cs="宋体"/>
          <w:color w:val="auto"/>
          <w:spacing w:val="8"/>
          <w:position w:val="1"/>
          <w:sz w:val="24"/>
          <w:highlight w:val="none"/>
        </w:rPr>
        <w:t>容</w:t>
      </w:r>
    </w:p>
    <w:sdt>
      <w:sdtPr>
        <w:rPr>
          <w:rFonts w:hint="eastAsia" w:ascii="宋体" w:hAnsi="宋体" w:cs="宋体"/>
          <w:color w:val="auto"/>
          <w:sz w:val="24"/>
          <w:highlight w:val="none"/>
        </w:rPr>
        <w:id w:val="2"/>
        <w:docPartObj>
          <w:docPartGallery w:val="Table of Contents"/>
          <w:docPartUnique/>
        </w:docPartObj>
      </w:sdtPr>
      <w:sdtEndPr>
        <w:rPr>
          <w:rFonts w:hint="eastAsia" w:ascii="宋体" w:hAnsi="宋体" w:cs="宋体"/>
          <w:color w:val="auto"/>
          <w:sz w:val="24"/>
          <w:highlight w:val="none"/>
        </w:rPr>
      </w:sdtEndPr>
      <w:sdtContent>
        <w:p w14:paraId="2B1CC17C">
          <w:pPr>
            <w:tabs>
              <w:tab w:val="right" w:leader="dot" w:pos="5505"/>
            </w:tabs>
            <w:spacing w:before="274" w:line="228" w:lineRule="auto"/>
            <w:ind w:left="2"/>
            <w:rPr>
              <w:rFonts w:ascii="宋体" w:hAnsi="宋体" w:cs="宋体"/>
              <w:color w:val="auto"/>
              <w:sz w:val="24"/>
              <w:highlight w:val="none"/>
            </w:rPr>
          </w:pPr>
          <w:r>
            <w:rPr>
              <w:rFonts w:hint="eastAsia" w:ascii="宋体" w:hAnsi="宋体" w:cs="宋体"/>
              <w:color w:val="auto"/>
              <w:spacing w:val="-25"/>
              <w:sz w:val="24"/>
              <w:highlight w:val="none"/>
            </w:rPr>
            <w:t>质</w:t>
          </w:r>
          <w:r>
            <w:rPr>
              <w:rFonts w:hint="eastAsia" w:ascii="宋体" w:hAnsi="宋体" w:cs="宋体"/>
              <w:color w:val="auto"/>
              <w:spacing w:val="-22"/>
              <w:sz w:val="24"/>
              <w:highlight w:val="none"/>
            </w:rPr>
            <w:t>疑事项1：</w:t>
          </w:r>
          <w:r>
            <w:rPr>
              <w:rFonts w:hint="eastAsia" w:ascii="宋体" w:hAnsi="宋体" w:cs="宋体"/>
              <w:color w:val="auto"/>
              <w:sz w:val="24"/>
              <w:highlight w:val="none"/>
            </w:rPr>
            <w:tab/>
          </w:r>
        </w:p>
        <w:p w14:paraId="12251112">
          <w:pPr>
            <w:tabs>
              <w:tab w:val="right" w:leader="dot" w:pos="5557"/>
            </w:tabs>
            <w:spacing w:before="294" w:line="224" w:lineRule="auto"/>
            <w:ind w:left="1"/>
            <w:rPr>
              <w:rFonts w:ascii="宋体" w:hAnsi="宋体" w:cs="宋体"/>
              <w:color w:val="auto"/>
              <w:sz w:val="24"/>
              <w:highlight w:val="none"/>
            </w:rPr>
          </w:pPr>
          <w:r>
            <w:rPr>
              <w:rFonts w:hint="eastAsia" w:ascii="宋体" w:hAnsi="宋体" w:cs="宋体"/>
              <w:color w:val="auto"/>
              <w:spacing w:val="-24"/>
              <w:sz w:val="24"/>
              <w:highlight w:val="none"/>
            </w:rPr>
            <w:t>事</w:t>
          </w:r>
          <w:r>
            <w:rPr>
              <w:rFonts w:hint="eastAsia" w:ascii="宋体" w:hAnsi="宋体" w:cs="宋体"/>
              <w:color w:val="auto"/>
              <w:spacing w:val="-22"/>
              <w:sz w:val="24"/>
              <w:highlight w:val="none"/>
            </w:rPr>
            <w:t>实依据：</w:t>
          </w:r>
          <w:r>
            <w:rPr>
              <w:rFonts w:hint="eastAsia" w:ascii="宋体" w:hAnsi="宋体" w:cs="宋体"/>
              <w:color w:val="auto"/>
              <w:sz w:val="24"/>
              <w:highlight w:val="none"/>
            </w:rPr>
            <w:tab/>
          </w:r>
        </w:p>
        <w:p w14:paraId="5AA3E85A">
          <w:pPr>
            <w:tabs>
              <w:tab w:val="right" w:leader="dot" w:pos="5557"/>
            </w:tabs>
            <w:spacing w:before="297" w:line="227" w:lineRule="auto"/>
            <w:ind w:left="2"/>
            <w:rPr>
              <w:rFonts w:ascii="宋体" w:hAnsi="宋体" w:cs="宋体"/>
              <w:color w:val="auto"/>
              <w:sz w:val="24"/>
              <w:highlight w:val="none"/>
            </w:rPr>
          </w:pPr>
          <w:r>
            <w:rPr>
              <w:rFonts w:hint="eastAsia" w:ascii="宋体" w:hAnsi="宋体" w:cs="宋体"/>
              <w:color w:val="auto"/>
              <w:spacing w:val="-25"/>
              <w:sz w:val="24"/>
              <w:highlight w:val="none"/>
            </w:rPr>
            <w:t>法</w:t>
          </w:r>
          <w:r>
            <w:rPr>
              <w:rFonts w:hint="eastAsia" w:ascii="宋体" w:hAnsi="宋体" w:cs="宋体"/>
              <w:color w:val="auto"/>
              <w:spacing w:val="-22"/>
              <w:sz w:val="24"/>
              <w:highlight w:val="none"/>
            </w:rPr>
            <w:t>律依据：</w:t>
          </w:r>
          <w:r>
            <w:rPr>
              <w:rFonts w:hint="eastAsia" w:ascii="宋体" w:hAnsi="宋体" w:cs="宋体"/>
              <w:color w:val="auto"/>
              <w:sz w:val="24"/>
              <w:highlight w:val="none"/>
            </w:rPr>
            <w:tab/>
          </w:r>
        </w:p>
      </w:sdtContent>
    </w:sdt>
    <w:p w14:paraId="445087DA">
      <w:pPr>
        <w:spacing w:before="294" w:line="540" w:lineRule="exact"/>
        <w:ind w:left="2"/>
        <w:rPr>
          <w:rFonts w:ascii="宋体" w:hAnsi="宋体" w:cs="宋体"/>
          <w:color w:val="auto"/>
          <w:sz w:val="24"/>
          <w:highlight w:val="none"/>
        </w:rPr>
      </w:pPr>
      <w:r>
        <w:rPr>
          <w:rFonts w:hint="eastAsia" w:ascii="宋体" w:hAnsi="宋体" w:cs="宋体"/>
          <w:color w:val="auto"/>
          <w:spacing w:val="-1"/>
          <w:position w:val="26"/>
          <w:sz w:val="24"/>
          <w:highlight w:val="none"/>
        </w:rPr>
        <w:t>质疑事项2</w:t>
      </w:r>
    </w:p>
    <w:p w14:paraId="27C17426">
      <w:pPr>
        <w:spacing w:line="322" w:lineRule="exact"/>
        <w:ind w:left="14"/>
        <w:rPr>
          <w:rFonts w:ascii="宋体" w:hAnsi="宋体" w:cs="宋体"/>
          <w:color w:val="auto"/>
          <w:sz w:val="24"/>
          <w:highlight w:val="none"/>
        </w:rPr>
      </w:pPr>
      <w:r>
        <w:rPr>
          <w:rFonts w:hint="eastAsia" w:ascii="宋体" w:hAnsi="宋体" w:cs="宋体"/>
          <w:color w:val="auto"/>
          <w:spacing w:val="4"/>
          <w:position w:val="2"/>
          <w:sz w:val="24"/>
          <w:highlight w:val="none"/>
        </w:rPr>
        <w:t>……</w:t>
      </w:r>
    </w:p>
    <w:p w14:paraId="226EC7E0">
      <w:pPr>
        <w:spacing w:before="217" w:line="231" w:lineRule="auto"/>
        <w:ind w:left="21"/>
        <w:rPr>
          <w:rFonts w:ascii="宋体" w:hAnsi="宋体" w:cs="宋体"/>
          <w:color w:val="auto"/>
          <w:sz w:val="24"/>
          <w:highlight w:val="none"/>
        </w:rPr>
      </w:pPr>
      <w:r>
        <w:rPr>
          <w:rFonts w:hint="eastAsia" w:ascii="宋体" w:hAnsi="宋体" w:cs="宋体"/>
          <w:color w:val="auto"/>
          <w:spacing w:val="8"/>
          <w:sz w:val="24"/>
          <w:highlight w:val="none"/>
        </w:rPr>
        <w:t>四、与质疑事项相关的质疑请</w:t>
      </w:r>
      <w:r>
        <w:rPr>
          <w:rFonts w:hint="eastAsia" w:ascii="宋体" w:hAnsi="宋体" w:cs="宋体"/>
          <w:color w:val="auto"/>
          <w:spacing w:val="5"/>
          <w:sz w:val="24"/>
          <w:highlight w:val="none"/>
        </w:rPr>
        <w:t>求</w:t>
      </w:r>
    </w:p>
    <w:p w14:paraId="1735855E">
      <w:pPr>
        <w:spacing w:before="291" w:line="228" w:lineRule="auto"/>
        <w:rPr>
          <w:rFonts w:ascii="宋体" w:hAnsi="宋体" w:cs="宋体"/>
          <w:color w:val="auto"/>
          <w:sz w:val="24"/>
          <w:highlight w:val="none"/>
        </w:rPr>
      </w:pPr>
      <w:r>
        <w:rPr>
          <w:rFonts w:hint="eastAsia" w:ascii="宋体" w:hAnsi="宋体" w:cs="宋体"/>
          <w:color w:val="auto"/>
          <w:spacing w:val="5"/>
          <w:sz w:val="24"/>
          <w:highlight w:val="none"/>
        </w:rPr>
        <w:t>请</w:t>
      </w:r>
      <w:r>
        <w:rPr>
          <w:rFonts w:hint="eastAsia" w:ascii="宋体" w:hAnsi="宋体" w:cs="宋体"/>
          <w:color w:val="auto"/>
          <w:spacing w:val="3"/>
          <w:sz w:val="24"/>
          <w:highlight w:val="none"/>
        </w:rPr>
        <w:t>求：</w:t>
      </w:r>
    </w:p>
    <w:p w14:paraId="715E4421">
      <w:pPr>
        <w:spacing w:before="294" w:line="228" w:lineRule="auto"/>
        <w:ind w:left="37"/>
        <w:rPr>
          <w:rFonts w:asciiTheme="minorEastAsia" w:hAnsiTheme="minorEastAsia" w:eastAsiaTheme="minorEastAsia" w:cstheme="minorEastAsia"/>
          <w:b/>
          <w:bCs/>
          <w:color w:val="auto"/>
          <w:sz w:val="24"/>
          <w:highlight w:val="none"/>
        </w:rPr>
      </w:pPr>
      <w:r>
        <w:rPr>
          <w:rFonts w:hint="eastAsia" w:ascii="宋体" w:hAnsi="宋体" w:cs="宋体"/>
          <w:color w:val="auto"/>
          <w:spacing w:val="-2"/>
          <w:sz w:val="24"/>
          <w:highlight w:val="none"/>
        </w:rPr>
        <w:t>签字(签章</w:t>
      </w:r>
      <w:r>
        <w:rPr>
          <w:rFonts w:hint="eastAsia" w:ascii="宋体" w:hAnsi="宋体" w:cs="宋体"/>
          <w:color w:val="auto"/>
          <w:spacing w:val="-1"/>
          <w:sz w:val="24"/>
          <w:highlight w:val="none"/>
        </w:rPr>
        <w:t xml:space="preserve">)：公章：   </w:t>
      </w:r>
      <w:r>
        <w:rPr>
          <w:rFonts w:hint="eastAsia" w:ascii="宋体" w:hAnsi="宋体" w:cs="宋体"/>
          <w:color w:val="auto"/>
          <w:spacing w:val="-11"/>
          <w:sz w:val="24"/>
          <w:highlight w:val="none"/>
        </w:rPr>
        <w:t>日</w:t>
      </w:r>
      <w:r>
        <w:rPr>
          <w:rFonts w:hint="eastAsia" w:ascii="宋体" w:hAnsi="宋体" w:cs="宋体"/>
          <w:color w:val="auto"/>
          <w:spacing w:val="-8"/>
          <w:sz w:val="24"/>
          <w:highlight w:val="none"/>
        </w:rPr>
        <w:t>期：</w:t>
      </w:r>
    </w:p>
    <w:p w14:paraId="07114547">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32、招标代理费</w:t>
      </w:r>
    </w:p>
    <w:p w14:paraId="37877530">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1.采购代理服务费按预算金额计取，由中标人支付。</w:t>
      </w:r>
    </w:p>
    <w:p w14:paraId="296EFB52">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2.采购代理服务费的计算参照国家发展计划委员会文件（计价格[2002]1980号文）和（发改价格[2011]534 号）下浮20%计取。中标人须在领取中标通知书时一次性付清采购代理服务费。</w:t>
      </w:r>
    </w:p>
    <w:p w14:paraId="775C6388">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33、其它</w:t>
      </w:r>
    </w:p>
    <w:p w14:paraId="417403BD">
      <w:pPr>
        <w:autoSpaceDE w:val="0"/>
        <w:autoSpaceDN w:val="0"/>
        <w:adjustRightInd w:val="0"/>
        <w:snapToGrid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本采购文件是根据《中华人民共和国政府采购法》及《中华人民共和国政府采购法实施条例》的规定编制。</w:t>
      </w:r>
    </w:p>
    <w:p w14:paraId="28EE14E8">
      <w:pP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br w:type="page"/>
      </w:r>
    </w:p>
    <w:p w14:paraId="43A2C71A">
      <w:pPr>
        <w:autoSpaceDE w:val="0"/>
        <w:autoSpaceDN w:val="0"/>
        <w:adjustRightInd w:val="0"/>
        <w:spacing w:line="360" w:lineRule="auto"/>
        <w:jc w:val="center"/>
        <w:outlineLvl w:val="0"/>
        <w:rPr>
          <w:rFonts w:ascii="宋体" w:hAnsi="宋体" w:cs="宋体"/>
          <w:b/>
          <w:bCs/>
          <w:color w:val="auto"/>
          <w:kern w:val="0"/>
          <w:sz w:val="30"/>
          <w:szCs w:val="30"/>
          <w:highlight w:val="none"/>
        </w:rPr>
      </w:pPr>
      <w:bookmarkStart w:id="9" w:name="_Toc17422"/>
      <w:r>
        <w:rPr>
          <w:rFonts w:hint="eastAsia" w:asciiTheme="minorEastAsia" w:hAnsiTheme="minorEastAsia" w:eastAsiaTheme="minorEastAsia" w:cstheme="minorEastAsia"/>
          <w:b/>
          <w:bCs/>
          <w:color w:val="auto"/>
          <w:kern w:val="0"/>
          <w:sz w:val="28"/>
          <w:szCs w:val="28"/>
          <w:highlight w:val="none"/>
        </w:rPr>
        <w:t xml:space="preserve">第四章  </w:t>
      </w:r>
      <w:r>
        <w:rPr>
          <w:rFonts w:hint="eastAsia" w:ascii="宋体" w:hAnsi="宋体" w:cs="宋体"/>
          <w:b/>
          <w:bCs/>
          <w:color w:val="auto"/>
          <w:kern w:val="0"/>
          <w:sz w:val="30"/>
          <w:szCs w:val="30"/>
          <w:highlight w:val="none"/>
        </w:rPr>
        <w:t>合同条款</w:t>
      </w:r>
      <w:bookmarkEnd w:id="9"/>
    </w:p>
    <w:p w14:paraId="1D970516">
      <w:pPr>
        <w:pStyle w:val="14"/>
        <w:adjustRightInd w:val="0"/>
        <w:snapToGrid w:val="0"/>
        <w:spacing w:line="682" w:lineRule="exact"/>
        <w:jc w:val="center"/>
        <w:rPr>
          <w:rFonts w:ascii="方正小标宋简体" w:hAnsi="宋体" w:eastAsia="方正小标宋简体" w:cs="宋体"/>
          <w:color w:val="auto"/>
          <w:sz w:val="48"/>
          <w:szCs w:val="48"/>
          <w:highlight w:val="none"/>
        </w:rPr>
      </w:pPr>
      <w:bookmarkStart w:id="10" w:name="_Toc2103"/>
      <w:bookmarkStart w:id="11" w:name="_Toc10164"/>
      <w:bookmarkStart w:id="12" w:name="_Toc267301295"/>
    </w:p>
    <w:p w14:paraId="6C9E0E5B">
      <w:pPr>
        <w:keepNext w:val="0"/>
        <w:keepLines w:val="0"/>
        <w:widowControl w:val="0"/>
        <w:suppressLineNumbers w:val="0"/>
        <w:spacing w:before="0" w:beforeAutospacing="0" w:after="0" w:afterAutospacing="0" w:line="256" w:lineRule="auto"/>
        <w:ind w:left="17" w:right="0" w:hanging="11"/>
        <w:jc w:val="center"/>
        <w:rPr>
          <w:rFonts w:hint="default" w:ascii="Times New Roman" w:hAnsi="Times New Roman" w:eastAsia="宋体" w:cs="Times New Roman"/>
          <w:kern w:val="2"/>
          <w:sz w:val="21"/>
          <w:szCs w:val="21"/>
        </w:rPr>
      </w:pPr>
      <w:r>
        <w:rPr>
          <w:rFonts w:hint="eastAsia" w:ascii="宋体" w:hAnsi="宋体" w:eastAsia="宋体" w:cs="宋体"/>
          <w:kern w:val="2"/>
          <w:sz w:val="52"/>
          <w:szCs w:val="52"/>
          <w:lang w:val="en-US" w:eastAsia="zh-CN" w:bidi="ar"/>
        </w:rPr>
        <w:t>采购合同</w:t>
      </w:r>
    </w:p>
    <w:p w14:paraId="75DA75FE">
      <w:pPr>
        <w:pStyle w:val="14"/>
        <w:widowControl/>
        <w:rPr>
          <w:rFonts w:hint="eastAsia" w:ascii="宋体" w:hAnsi="Courier New" w:eastAsia="宋体" w:cs="Times New Roman"/>
          <w:kern w:val="2"/>
          <w:sz w:val="24"/>
          <w:szCs w:val="24"/>
        </w:rPr>
      </w:pPr>
      <w:r>
        <w:rPr>
          <w:rFonts w:hint="eastAsia" w:ascii="宋体" w:hAnsi="宋体" w:eastAsia="宋体" w:cs="宋体"/>
          <w:kern w:val="2"/>
          <w:sz w:val="21"/>
          <w:szCs w:val="21"/>
        </w:rPr>
        <w:t>（仅供参考）</w:t>
      </w:r>
    </w:p>
    <w:p w14:paraId="6D7D6C5F">
      <w:pPr>
        <w:pStyle w:val="14"/>
        <w:widowControl/>
        <w:jc w:val="both"/>
        <w:rPr>
          <w:rFonts w:hint="eastAsia" w:ascii="方正小标宋简体" w:hAnsi="宋体" w:eastAsia="方正小标宋简体" w:cs="宋体"/>
          <w:color w:val="000000"/>
          <w:kern w:val="2"/>
          <w:sz w:val="48"/>
          <w:szCs w:val="48"/>
        </w:rPr>
      </w:pPr>
      <w:r>
        <w:rPr>
          <w:rFonts w:hint="eastAsia" w:ascii="宋体" w:hAnsi="宋体" w:eastAsia="宋体" w:cs="宋体"/>
          <w:kern w:val="2"/>
          <w:sz w:val="21"/>
          <w:szCs w:val="21"/>
        </w:rPr>
        <w:t>签约地点：</w:t>
      </w:r>
      <w:r>
        <w:rPr>
          <w:rFonts w:hint="eastAsia" w:ascii="宋体" w:hAnsi="Courier New" w:eastAsia="宋体" w:cs="Times New Roman"/>
          <w:kern w:val="2"/>
          <w:sz w:val="21"/>
          <w:szCs w:val="21"/>
        </w:rPr>
        <w:t xml:space="preserve">                  </w:t>
      </w:r>
    </w:p>
    <w:p w14:paraId="2367DA22">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签约日期：</w:t>
      </w:r>
    </w:p>
    <w:p w14:paraId="5A2C557D">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合同编号：</w:t>
      </w:r>
    </w:p>
    <w:p w14:paraId="08C4B247">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7B4330C">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甲方（买方）：</w:t>
      </w:r>
    </w:p>
    <w:p w14:paraId="702DF559">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p>
    <w:p w14:paraId="32BC4914">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电话：</w:t>
      </w:r>
    </w:p>
    <w:p w14:paraId="1706BCA4">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1101D06E">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乙方（卖方）：</w:t>
      </w:r>
    </w:p>
    <w:p w14:paraId="6E50FAB8">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地址：</w:t>
      </w:r>
    </w:p>
    <w:p w14:paraId="6D2A74DF">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电话：</w:t>
      </w:r>
    </w:p>
    <w:p w14:paraId="4EDAD759">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u w:val="single"/>
        </w:rPr>
      </w:pPr>
      <w:r>
        <w:rPr>
          <w:rFonts w:hint="default" w:ascii="Times New Roman" w:hAnsi="Times New Roman" w:eastAsia="宋体" w:cs="Times New Roman"/>
          <w:kern w:val="2"/>
          <w:sz w:val="24"/>
          <w:szCs w:val="24"/>
          <w:u w:val="single"/>
          <w:lang w:val="en-US" w:eastAsia="zh-CN" w:bidi="ar"/>
        </w:rPr>
        <w:t xml:space="preserve"> </w:t>
      </w:r>
    </w:p>
    <w:p w14:paraId="4954611A">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u w:val="single"/>
          <w:lang w:val="en-US" w:eastAsia="zh-CN" w:bidi="ar"/>
        </w:rPr>
        <w:t>******</w:t>
      </w:r>
      <w:r>
        <w:rPr>
          <w:rFonts w:hint="eastAsia" w:ascii="宋体" w:hAnsi="宋体" w:eastAsia="宋体" w:cs="宋体"/>
          <w:kern w:val="2"/>
          <w:sz w:val="24"/>
          <w:szCs w:val="24"/>
          <w:lang w:val="en-US" w:eastAsia="zh-CN" w:bidi="ar"/>
        </w:rPr>
        <w:t>（以下简称甲方）与（以下简称乙方）就采购配送事宜，根据《中华人民共和国政府采购法》、</w:t>
      </w:r>
      <w:r>
        <w:rPr>
          <w:rFonts w:hint="default" w:ascii="Times New Roman" w:hAnsi="Times New Roman" w:eastAsia="宋体" w:cs="Times New Roman"/>
          <w:kern w:val="2"/>
          <w:sz w:val="21"/>
          <w:szCs w:val="21"/>
          <w:lang w:val="en-US" w:eastAsia="zh-CN" w:bidi="ar"/>
        </w:rPr>
        <w:drawing>
          <wp:inline distT="0" distB="0" distL="114300" distR="114300">
            <wp:extent cx="19050" cy="9525"/>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2"/>
                    <a:stretch>
                      <a:fillRect/>
                    </a:stretch>
                  </pic:blipFill>
                  <pic:spPr>
                    <a:xfrm>
                      <a:off x="0" y="0"/>
                      <a:ext cx="19050" cy="9525"/>
                    </a:xfrm>
                    <a:prstGeom prst="rect">
                      <a:avLst/>
                    </a:prstGeom>
                    <a:noFill/>
                    <a:ln w="9525">
                      <a:noFill/>
                    </a:ln>
                  </pic:spPr>
                </pic:pic>
              </a:graphicData>
            </a:graphic>
          </wp:inline>
        </w:drawing>
      </w:r>
      <w:r>
        <w:rPr>
          <w:rFonts w:hint="eastAsia" w:ascii="宋体" w:hAnsi="宋体" w:eastAsia="宋体" w:cs="宋体"/>
          <w:kern w:val="2"/>
          <w:sz w:val="24"/>
          <w:szCs w:val="24"/>
          <w:lang w:val="en-US" w:eastAsia="zh-CN" w:bidi="ar"/>
        </w:rPr>
        <w:t>《中华人民共和国民法典》等规定，本着平等、自愿、互利、互惠的原则，经各方协商一致，订立本合同。</w:t>
      </w:r>
    </w:p>
    <w:p w14:paraId="673CA5EE">
      <w:pPr>
        <w:keepNext w:val="0"/>
        <w:keepLines w:val="0"/>
        <w:widowControl w:val="0"/>
        <w:suppressLineNumbers w:val="0"/>
        <w:spacing w:before="0" w:beforeAutospacing="0" w:after="71"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一、采购物品名称</w:t>
      </w:r>
    </w:p>
    <w:p w14:paraId="62D1925F">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、乙方提供的货物必须符合国家相关食品安全标准。</w:t>
      </w:r>
    </w:p>
    <w:p w14:paraId="088FF850">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、数量、规格、参数及价格：</w:t>
      </w:r>
    </w:p>
    <w:tbl>
      <w:tblPr>
        <w:tblStyle w:val="2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87"/>
        <w:gridCol w:w="1817"/>
        <w:gridCol w:w="1375"/>
        <w:gridCol w:w="2823"/>
        <w:gridCol w:w="2053"/>
      </w:tblGrid>
      <w:tr w14:paraId="784A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687" w:type="dxa"/>
            <w:tcBorders>
              <w:top w:val="single" w:color="auto" w:sz="4" w:space="0"/>
              <w:left w:val="single" w:color="auto" w:sz="4" w:space="0"/>
              <w:bottom w:val="single" w:color="auto" w:sz="4" w:space="0"/>
              <w:right w:val="single" w:color="auto" w:sz="4" w:space="0"/>
            </w:tcBorders>
            <w:shd w:val="clear"/>
            <w:vAlign w:val="center"/>
          </w:tcPr>
          <w:p w14:paraId="640A053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序号</w:t>
            </w:r>
          </w:p>
        </w:tc>
        <w:tc>
          <w:tcPr>
            <w:tcW w:w="1817" w:type="dxa"/>
            <w:tcBorders>
              <w:top w:val="single" w:color="auto" w:sz="4" w:space="0"/>
              <w:left w:val="single" w:color="auto" w:sz="4" w:space="0"/>
              <w:bottom w:val="single" w:color="auto" w:sz="4" w:space="0"/>
              <w:right w:val="single" w:color="auto" w:sz="4" w:space="0"/>
            </w:tcBorders>
            <w:shd w:val="clear"/>
            <w:vAlign w:val="center"/>
          </w:tcPr>
          <w:p w14:paraId="332C047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品名</w:t>
            </w:r>
          </w:p>
        </w:tc>
        <w:tc>
          <w:tcPr>
            <w:tcW w:w="1375" w:type="dxa"/>
            <w:tcBorders>
              <w:top w:val="single" w:color="auto" w:sz="4" w:space="0"/>
              <w:left w:val="single" w:color="auto" w:sz="4" w:space="0"/>
              <w:bottom w:val="single" w:color="auto" w:sz="4" w:space="0"/>
              <w:right w:val="single" w:color="auto" w:sz="4" w:space="0"/>
            </w:tcBorders>
            <w:shd w:val="clear"/>
            <w:vAlign w:val="center"/>
          </w:tcPr>
          <w:p w14:paraId="08A897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规格</w:t>
            </w: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162185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最高限价（%或元）</w:t>
            </w:r>
          </w:p>
        </w:tc>
        <w:tc>
          <w:tcPr>
            <w:tcW w:w="2053" w:type="dxa"/>
            <w:tcBorders>
              <w:top w:val="single" w:color="auto" w:sz="4" w:space="0"/>
              <w:left w:val="single" w:color="auto" w:sz="4" w:space="0"/>
              <w:bottom w:val="single" w:color="auto" w:sz="4" w:space="0"/>
              <w:right w:val="single" w:color="auto" w:sz="4" w:space="0"/>
            </w:tcBorders>
            <w:shd w:val="clear"/>
            <w:vAlign w:val="center"/>
          </w:tcPr>
          <w:p w14:paraId="5FC4B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szCs w:val="24"/>
                <w:bdr w:val="none" w:color="auto" w:sz="0" w:space="0"/>
              </w:rPr>
            </w:pPr>
            <w:r>
              <w:rPr>
                <w:rFonts w:hint="eastAsia" w:ascii="宋体" w:hAnsi="宋体" w:eastAsia="宋体" w:cs="宋体"/>
                <w:kern w:val="0"/>
                <w:sz w:val="24"/>
                <w:szCs w:val="24"/>
                <w:bdr w:val="none" w:color="auto" w:sz="0" w:space="0"/>
                <w:lang w:val="en-US" w:eastAsia="zh-CN" w:bidi="ar"/>
              </w:rPr>
              <w:t>中标价（元）</w:t>
            </w:r>
          </w:p>
        </w:tc>
      </w:tr>
      <w:tr w14:paraId="4DDC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9" w:hRule="atLeast"/>
        </w:trPr>
        <w:tc>
          <w:tcPr>
            <w:tcW w:w="687" w:type="dxa"/>
            <w:tcBorders>
              <w:top w:val="single" w:color="auto" w:sz="4" w:space="0"/>
              <w:left w:val="single" w:color="auto" w:sz="4" w:space="0"/>
              <w:bottom w:val="single" w:color="auto" w:sz="4" w:space="0"/>
              <w:right w:val="single" w:color="auto" w:sz="4" w:space="0"/>
            </w:tcBorders>
            <w:shd w:val="clear"/>
            <w:vAlign w:val="center"/>
          </w:tcPr>
          <w:p w14:paraId="431912D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1817" w:type="dxa"/>
            <w:tcBorders>
              <w:top w:val="single" w:color="auto" w:sz="4" w:space="0"/>
              <w:left w:val="single" w:color="auto" w:sz="4" w:space="0"/>
              <w:bottom w:val="single" w:color="auto" w:sz="4" w:space="0"/>
              <w:right w:val="single" w:color="auto" w:sz="4" w:space="0"/>
            </w:tcBorders>
            <w:shd w:val="clear"/>
            <w:vAlign w:val="center"/>
          </w:tcPr>
          <w:p w14:paraId="55CB89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1375" w:type="dxa"/>
            <w:tcBorders>
              <w:top w:val="single" w:color="auto" w:sz="4" w:space="0"/>
              <w:left w:val="single" w:color="auto" w:sz="4" w:space="0"/>
              <w:bottom w:val="single" w:color="auto" w:sz="4" w:space="0"/>
              <w:right w:val="single" w:color="auto" w:sz="4" w:space="0"/>
            </w:tcBorders>
            <w:shd w:val="clear"/>
            <w:vAlign w:val="center"/>
          </w:tcPr>
          <w:p w14:paraId="6CB991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33B55E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2053" w:type="dxa"/>
            <w:tcBorders>
              <w:top w:val="single" w:color="auto" w:sz="4" w:space="0"/>
              <w:left w:val="single" w:color="auto" w:sz="4" w:space="0"/>
              <w:bottom w:val="single" w:color="auto" w:sz="4" w:space="0"/>
              <w:right w:val="single" w:color="auto" w:sz="4" w:space="0"/>
            </w:tcBorders>
            <w:shd w:val="clear"/>
            <w:vAlign w:val="center"/>
          </w:tcPr>
          <w:p w14:paraId="69305A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4"/>
                <w:szCs w:val="24"/>
                <w:bdr w:val="none" w:color="auto" w:sz="0" w:space="0"/>
              </w:rPr>
            </w:pPr>
          </w:p>
        </w:tc>
      </w:tr>
      <w:tr w14:paraId="786C9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687" w:type="dxa"/>
            <w:tcBorders>
              <w:top w:val="single" w:color="auto" w:sz="4" w:space="0"/>
              <w:left w:val="single" w:color="auto" w:sz="4" w:space="0"/>
              <w:bottom w:val="single" w:color="auto" w:sz="4" w:space="0"/>
              <w:right w:val="single" w:color="auto" w:sz="4" w:space="0"/>
            </w:tcBorders>
            <w:shd w:val="clear"/>
            <w:vAlign w:val="center"/>
          </w:tcPr>
          <w:p w14:paraId="53739DB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1817" w:type="dxa"/>
            <w:tcBorders>
              <w:top w:val="single" w:color="auto" w:sz="4" w:space="0"/>
              <w:left w:val="single" w:color="auto" w:sz="4" w:space="0"/>
              <w:bottom w:val="single" w:color="auto" w:sz="4" w:space="0"/>
              <w:right w:val="single" w:color="auto" w:sz="4" w:space="0"/>
            </w:tcBorders>
            <w:shd w:val="clear"/>
            <w:vAlign w:val="center"/>
          </w:tcPr>
          <w:p w14:paraId="631411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1375" w:type="dxa"/>
            <w:tcBorders>
              <w:top w:val="single" w:color="auto" w:sz="4" w:space="0"/>
              <w:left w:val="single" w:color="auto" w:sz="4" w:space="0"/>
              <w:bottom w:val="single" w:color="auto" w:sz="4" w:space="0"/>
              <w:right w:val="single" w:color="auto" w:sz="4" w:space="0"/>
            </w:tcBorders>
            <w:shd w:val="clear"/>
            <w:vAlign w:val="center"/>
          </w:tcPr>
          <w:p w14:paraId="31DA13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3B4C21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2053" w:type="dxa"/>
            <w:tcBorders>
              <w:top w:val="single" w:color="auto" w:sz="4" w:space="0"/>
              <w:left w:val="single" w:color="auto" w:sz="4" w:space="0"/>
              <w:bottom w:val="single" w:color="auto" w:sz="4" w:space="0"/>
              <w:right w:val="single" w:color="auto" w:sz="4" w:space="0"/>
            </w:tcBorders>
            <w:shd w:val="clear"/>
            <w:vAlign w:val="center"/>
          </w:tcPr>
          <w:p w14:paraId="60C4FF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4"/>
                <w:szCs w:val="24"/>
                <w:bdr w:val="none" w:color="auto" w:sz="0" w:space="0"/>
              </w:rPr>
            </w:pPr>
          </w:p>
        </w:tc>
      </w:tr>
      <w:tr w14:paraId="6CBAB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687" w:type="dxa"/>
            <w:tcBorders>
              <w:top w:val="single" w:color="auto" w:sz="4" w:space="0"/>
              <w:left w:val="single" w:color="auto" w:sz="4" w:space="0"/>
              <w:bottom w:val="single" w:color="auto" w:sz="4" w:space="0"/>
              <w:right w:val="single" w:color="auto" w:sz="4" w:space="0"/>
            </w:tcBorders>
            <w:shd w:val="clear"/>
            <w:vAlign w:val="top"/>
          </w:tcPr>
          <w:p w14:paraId="1FD93E3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1817" w:type="dxa"/>
            <w:tcBorders>
              <w:top w:val="single" w:color="auto" w:sz="4" w:space="0"/>
              <w:left w:val="single" w:color="auto" w:sz="4" w:space="0"/>
              <w:bottom w:val="single" w:color="auto" w:sz="4" w:space="0"/>
              <w:right w:val="single" w:color="auto" w:sz="4" w:space="0"/>
            </w:tcBorders>
            <w:shd w:val="clear"/>
            <w:vAlign w:val="center"/>
          </w:tcPr>
          <w:p w14:paraId="3337F0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1375" w:type="dxa"/>
            <w:tcBorders>
              <w:top w:val="single" w:color="auto" w:sz="4" w:space="0"/>
              <w:left w:val="single" w:color="auto" w:sz="4" w:space="0"/>
              <w:bottom w:val="single" w:color="auto" w:sz="4" w:space="0"/>
              <w:right w:val="single" w:color="auto" w:sz="4" w:space="0"/>
            </w:tcBorders>
            <w:shd w:val="clear"/>
            <w:vAlign w:val="center"/>
          </w:tcPr>
          <w:p w14:paraId="134A22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11C4F2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4"/>
                <w:szCs w:val="24"/>
                <w:bdr w:val="none" w:color="auto" w:sz="0" w:space="0"/>
              </w:rPr>
            </w:pPr>
          </w:p>
        </w:tc>
        <w:tc>
          <w:tcPr>
            <w:tcW w:w="2053" w:type="dxa"/>
            <w:tcBorders>
              <w:top w:val="single" w:color="auto" w:sz="4" w:space="0"/>
              <w:left w:val="single" w:color="auto" w:sz="4" w:space="0"/>
              <w:bottom w:val="single" w:color="auto" w:sz="4" w:space="0"/>
              <w:right w:val="single" w:color="auto" w:sz="4" w:space="0"/>
            </w:tcBorders>
            <w:shd w:val="clear"/>
            <w:vAlign w:val="center"/>
          </w:tcPr>
          <w:p w14:paraId="01CCDC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4"/>
                <w:szCs w:val="24"/>
                <w:bdr w:val="none" w:color="auto" w:sz="0" w:space="0"/>
              </w:rPr>
            </w:pPr>
          </w:p>
        </w:tc>
      </w:tr>
      <w:tr w14:paraId="2772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trPr>
        <w:tc>
          <w:tcPr>
            <w:tcW w:w="687" w:type="dxa"/>
            <w:tcBorders>
              <w:top w:val="single" w:color="auto" w:sz="4" w:space="0"/>
              <w:left w:val="single" w:color="auto" w:sz="4" w:space="0"/>
              <w:bottom w:val="single" w:color="auto" w:sz="4" w:space="0"/>
              <w:right w:val="single" w:color="auto" w:sz="4" w:space="0"/>
            </w:tcBorders>
            <w:shd w:val="clear"/>
            <w:vAlign w:val="top"/>
          </w:tcPr>
          <w:p w14:paraId="74C351A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1817" w:type="dxa"/>
            <w:tcBorders>
              <w:top w:val="single" w:color="auto" w:sz="4" w:space="0"/>
              <w:left w:val="single" w:color="auto" w:sz="4" w:space="0"/>
              <w:bottom w:val="single" w:color="auto" w:sz="4" w:space="0"/>
              <w:right w:val="single" w:color="auto" w:sz="4" w:space="0"/>
            </w:tcBorders>
            <w:shd w:val="clear"/>
            <w:vAlign w:val="center"/>
          </w:tcPr>
          <w:p w14:paraId="77569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24"/>
                <w:szCs w:val="24"/>
                <w:bdr w:val="none" w:color="auto" w:sz="0" w:space="0"/>
              </w:rPr>
            </w:pPr>
          </w:p>
        </w:tc>
        <w:tc>
          <w:tcPr>
            <w:tcW w:w="1375" w:type="dxa"/>
            <w:tcBorders>
              <w:top w:val="single" w:color="auto" w:sz="4" w:space="0"/>
              <w:left w:val="single" w:color="auto" w:sz="4" w:space="0"/>
              <w:bottom w:val="single" w:color="auto" w:sz="4" w:space="0"/>
              <w:right w:val="single" w:color="auto" w:sz="4" w:space="0"/>
            </w:tcBorders>
            <w:shd w:val="clear"/>
            <w:vAlign w:val="center"/>
          </w:tcPr>
          <w:p w14:paraId="5F0102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4"/>
                <w:szCs w:val="24"/>
                <w:bdr w:val="none" w:color="auto" w:sz="0" w:space="0"/>
              </w:rPr>
            </w:pPr>
          </w:p>
        </w:tc>
        <w:tc>
          <w:tcPr>
            <w:tcW w:w="2823" w:type="dxa"/>
            <w:tcBorders>
              <w:top w:val="single" w:color="auto" w:sz="4" w:space="0"/>
              <w:left w:val="single" w:color="auto" w:sz="4" w:space="0"/>
              <w:bottom w:val="single" w:color="auto" w:sz="4" w:space="0"/>
              <w:right w:val="single" w:color="auto" w:sz="4" w:space="0"/>
            </w:tcBorders>
            <w:shd w:val="clear"/>
            <w:vAlign w:val="center"/>
          </w:tcPr>
          <w:p w14:paraId="09B2B1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4"/>
                <w:szCs w:val="24"/>
                <w:bdr w:val="none" w:color="auto" w:sz="0" w:space="0"/>
              </w:rPr>
            </w:pPr>
          </w:p>
        </w:tc>
        <w:tc>
          <w:tcPr>
            <w:tcW w:w="2053" w:type="dxa"/>
            <w:tcBorders>
              <w:top w:val="single" w:color="auto" w:sz="4" w:space="0"/>
              <w:left w:val="single" w:color="auto" w:sz="4" w:space="0"/>
              <w:bottom w:val="single" w:color="auto" w:sz="4" w:space="0"/>
              <w:right w:val="single" w:color="auto" w:sz="4" w:space="0"/>
            </w:tcBorders>
            <w:shd w:val="clear"/>
            <w:vAlign w:val="center"/>
          </w:tcPr>
          <w:p w14:paraId="446150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0"/>
                <w:sz w:val="24"/>
                <w:szCs w:val="24"/>
                <w:bdr w:val="none" w:color="auto" w:sz="0" w:space="0"/>
              </w:rPr>
            </w:pPr>
          </w:p>
        </w:tc>
      </w:tr>
    </w:tbl>
    <w:p w14:paraId="52931AB2">
      <w:pPr>
        <w:keepNext w:val="0"/>
        <w:keepLines w:val="0"/>
        <w:widowControl w:val="0"/>
        <w:suppressLineNumbers w:val="0"/>
        <w:spacing w:before="0" w:beforeAutospacing="0" w:after="122"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本合同作为今后供货执行单价，以上供货价格系指包括全部货品、税费、包装费、运输、装卸等费用，以及己支付或将支付的营业税和其它税费等所有费用。合同总额按照甲方实际采购且验收合格的数量结合上述供货单价进行结算。</w:t>
      </w:r>
    </w:p>
    <w:p w14:paraId="0C20D6F7">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价格清单表是基于乙方在完全理解本项目所需为前提，甲方对清单中的名称、规格、技术参数及数量等有校对的义务，且每批货物价格以合同约定价格为准，乙方在合同有效期内不得对清单的综合费用提出任何费用的增加。实际供货数量以甲方通知乙方配送到位的净重数量为准，结算数量按照甲方对货物称重并清点合格后的净重数量进行结算。</w:t>
      </w:r>
    </w:p>
    <w:p w14:paraId="37BD6CFD">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、根据卫生防疫需要，乙方有责任配合甲方做好人员、车辆等卫生防控检测的要求。</w:t>
      </w:r>
    </w:p>
    <w:p w14:paraId="335B8F98">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、本合同有效期为</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年，自双方签字盖章后开始起算。自签订合同后，服务期</w:t>
      </w: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年。</w:t>
      </w:r>
    </w:p>
    <w:p w14:paraId="7E2DDE35">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二、质量保证</w:t>
      </w:r>
    </w:p>
    <w:p w14:paraId="11646DDA">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保证提供本合同项下的货物符合国家质量安全标准及招投标文件、答疑附件的质量要求，干净卫生、新鲜、无杂质，无过期、变质、腐烂、以假充真、以次充好等现象，并保证其销售的产品不存在有造成甲方或任何第三人人身损害的现实或潜在的危险；若因此造成任何损失，由乙方承担全部赔偿责任及违约责任。乙方应承担因商品不符合上述标准导致甲方直接损失的赔偿责任。</w:t>
      </w:r>
    </w:p>
    <w:p w14:paraId="716D21F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、食品来源安全可靠，产品质量必须符合国家质量标准。</w:t>
      </w:r>
    </w:p>
    <w:p w14:paraId="051ABB1A">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、乙方应保证其配送的每一个批次的货物符合上述质量标准及相应的安全标准。提供所需证件及产品检验报告单。在实施中甲方将核实乙方投标书中的产品质量标准、检验报告、</w:t>
      </w:r>
      <w:r>
        <w:rPr>
          <w:rFonts w:hint="default" w:ascii="Times New Roman" w:hAnsi="Times New Roman" w:eastAsia="宋体" w:cs="Times New Roman"/>
          <w:kern w:val="2"/>
          <w:sz w:val="24"/>
          <w:szCs w:val="24"/>
          <w:lang w:val="en-US" w:eastAsia="zh-CN" w:bidi="ar"/>
        </w:rPr>
        <w:t>QS</w:t>
      </w:r>
      <w:r>
        <w:rPr>
          <w:rFonts w:hint="eastAsia" w:ascii="宋体" w:hAnsi="宋体" w:eastAsia="宋体" w:cs="宋体"/>
          <w:kern w:val="2"/>
          <w:sz w:val="24"/>
          <w:szCs w:val="24"/>
          <w:lang w:val="en-US" w:eastAsia="zh-CN" w:bidi="ar"/>
        </w:rPr>
        <w:t>标志与实际供货的产品的质量标准、检验报告、</w:t>
      </w:r>
      <w:r>
        <w:rPr>
          <w:rFonts w:hint="default" w:ascii="Times New Roman" w:hAnsi="Times New Roman" w:eastAsia="宋体" w:cs="Times New Roman"/>
          <w:kern w:val="2"/>
          <w:sz w:val="24"/>
          <w:szCs w:val="24"/>
          <w:lang w:val="en-US" w:eastAsia="zh-CN" w:bidi="ar"/>
        </w:rPr>
        <w:t>QS</w:t>
      </w:r>
      <w:r>
        <w:rPr>
          <w:rFonts w:hint="eastAsia" w:ascii="宋体" w:hAnsi="宋体" w:eastAsia="宋体" w:cs="宋体"/>
          <w:kern w:val="2"/>
          <w:sz w:val="24"/>
          <w:szCs w:val="24"/>
          <w:lang w:val="en-US" w:eastAsia="zh-CN" w:bidi="ar"/>
        </w:rPr>
        <w:t>标志是否一致，如发现偏离，甲方将取消乙方供货资格，并追究乙方的违约责任和赔偿责任。</w:t>
      </w:r>
    </w:p>
    <w:p w14:paraId="0C59FE2D">
      <w:pPr>
        <w:keepNext w:val="0"/>
        <w:keepLines w:val="0"/>
        <w:widowControl w:val="0"/>
        <w:suppressLineNumbers w:val="0"/>
        <w:spacing w:before="0" w:beforeAutospacing="0" w:after="87"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乙方需在本合同签署之日向甲方提供各种有效证照的复印件（需加盖乙方公章），包括但不限于：营业执照、食品经营许可证、产品质量检验报告等与食品销售要求的相关资质证明，否则，甲方有权解除合同且不承担违约责任。在本合同有效期内，乙方必须保证上述各类证照始终处于合法、有效状态，乙方如不按上述要求提供，或乙方在合同期限内相关证照被吊销、注销、过期失效等，甲方有权解除合同并将追究乙方的违约责任和赔偿责任。乙方承诺所有提供的证照在合同有效期内持续合法有效，若证照发生变更、吊销、过期等情形，乙方需提前</w:t>
      </w: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个工作日以书面形式通知甲方。乙方每批次货品供货时须提供所需证件、产品检验报告单、肉品品质检验合格证及动物产品检疫验讫证明，否则甲方有权拒收该批次货物，并按照本合同违约送货条款处理；累计三次未按要求提供的，甲方有权单方终止合同，同时扣除乙方全额履约保证金。</w:t>
      </w:r>
    </w:p>
    <w:p w14:paraId="169C4D08">
      <w:pPr>
        <w:keepNext w:val="0"/>
        <w:keepLines w:val="0"/>
        <w:widowControl w:val="0"/>
        <w:suppressLineNumbers w:val="0"/>
        <w:spacing w:before="0" w:beforeAutospacing="0" w:after="136" w:afterAutospacing="0" w:line="360" w:lineRule="auto"/>
        <w:ind w:left="0" w:right="14" w:firstLine="480" w:firstLineChars="200"/>
        <w:jc w:val="both"/>
        <w:rPr>
          <w:rFonts w:hint="default" w:ascii="Times New Roman" w:hAnsi="Times New Roman" w:eastAsia="宋体" w:cs="Times New Roman"/>
          <w:kern w:val="2"/>
          <w:sz w:val="24"/>
          <w:szCs w:val="24"/>
          <w:u w:val="single"/>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、第一次出现该情况，甲方有权要求乙方支付本次订单货款总额等额的违约金，该违约金甲方可在结算货款时直接抵扣；第二次出现该情况，甲方有权单方解除合同，并扣除乙方全额履约保证金。</w:t>
      </w:r>
      <w:r>
        <w:rPr>
          <w:rFonts w:hint="eastAsia" w:ascii="宋体" w:hAnsi="宋体" w:eastAsia="宋体" w:cs="宋体"/>
          <w:color w:val="FF0000"/>
          <w:kern w:val="2"/>
          <w:sz w:val="24"/>
          <w:szCs w:val="24"/>
          <w:lang w:val="en-US" w:eastAsia="zh-CN" w:bidi="ar"/>
        </w:rPr>
        <w:t>此情形构成本合同第八条第</w:t>
      </w:r>
      <w:r>
        <w:rPr>
          <w:rFonts w:hint="default" w:ascii="Times New Roman" w:hAnsi="Times New Roman" w:eastAsia="宋体" w:cs="Times New Roman"/>
          <w:color w:val="FF0000"/>
          <w:kern w:val="2"/>
          <w:sz w:val="24"/>
          <w:szCs w:val="24"/>
          <w:lang w:val="en-US" w:eastAsia="zh-CN" w:bidi="ar"/>
        </w:rPr>
        <w:t>3</w:t>
      </w:r>
      <w:r>
        <w:rPr>
          <w:rFonts w:hint="eastAsia" w:ascii="宋体" w:hAnsi="宋体" w:eastAsia="宋体" w:cs="宋体"/>
          <w:color w:val="FF0000"/>
          <w:kern w:val="2"/>
          <w:sz w:val="24"/>
          <w:szCs w:val="24"/>
          <w:lang w:val="en-US" w:eastAsia="zh-CN" w:bidi="ar"/>
        </w:rPr>
        <w:t>款所述的违约。</w:t>
      </w:r>
      <w:r>
        <w:rPr>
          <w:rFonts w:hint="eastAsia" w:ascii="Times New Roman" w:hAnsi="Times New Roman" w:eastAsia="宋体" w:cs="Times New Roman"/>
          <w:color w:val="FF0000"/>
          <w:kern w:val="2"/>
          <w:sz w:val="24"/>
          <w:szCs w:val="24"/>
          <w:lang w:val="en-US" w:eastAsia="zh-CN" w:bidi="ar"/>
        </w:rPr>
        <w:t xml:space="preserve"> </w:t>
      </w:r>
    </w:p>
    <w:p w14:paraId="4DE91D37">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6</w:t>
      </w:r>
      <w:r>
        <w:rPr>
          <w:rFonts w:hint="eastAsia" w:ascii="宋体" w:hAnsi="宋体" w:eastAsia="宋体" w:cs="宋体"/>
          <w:kern w:val="2"/>
          <w:sz w:val="24"/>
          <w:szCs w:val="24"/>
          <w:lang w:val="en-US" w:eastAsia="zh-CN" w:bidi="ar"/>
        </w:rPr>
        <w:t>、如甲方应急临时需购货品，乙方必须按指定的品种、数量，并保证货物符合国家相关食品安全标准，在接到甲方的要货通知后</w:t>
      </w:r>
      <w:r>
        <w:rPr>
          <w:rFonts w:hint="default" w:ascii="Times New Roman" w:hAnsi="Times New Roman" w:eastAsia="宋体" w:cs="Times New Roman"/>
          <w:kern w:val="2"/>
          <w:sz w:val="24"/>
          <w:szCs w:val="24"/>
          <w:lang w:val="en-US" w:eastAsia="zh-CN" w:bidi="ar"/>
        </w:rPr>
        <w:t>24</w:t>
      </w:r>
      <w:r>
        <w:rPr>
          <w:rFonts w:hint="eastAsia" w:ascii="宋体" w:hAnsi="宋体" w:eastAsia="宋体" w:cs="宋体"/>
          <w:kern w:val="2"/>
          <w:sz w:val="24"/>
          <w:szCs w:val="24"/>
          <w:lang w:val="en-US" w:eastAsia="zh-CN" w:bidi="ar"/>
        </w:rPr>
        <w:t>小时（最短时间）内及时送货至甲方指定地点，运输费用由乙方承担。</w:t>
      </w:r>
    </w:p>
    <w:p w14:paraId="496BC8F6">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、如乙方未能及时响应或解决甲方提出的质量、数量、配送等问题，甲方有权要求退换货、索赔或解除合同。</w:t>
      </w:r>
    </w:p>
    <w:p w14:paraId="523566A8">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w:t>
      </w:r>
      <w:r>
        <w:rPr>
          <w:rFonts w:hint="eastAsia" w:ascii="宋体" w:hAnsi="宋体" w:eastAsia="宋体" w:cs="宋体"/>
          <w:kern w:val="2"/>
          <w:sz w:val="24"/>
          <w:szCs w:val="24"/>
          <w:lang w:val="en-US" w:eastAsia="zh-CN" w:bidi="ar"/>
        </w:rPr>
        <w:t>、根据不同货物确定物品质保期。</w:t>
      </w:r>
    </w:p>
    <w:p w14:paraId="01BA72CF">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三、质量保证期</w:t>
      </w:r>
    </w:p>
    <w:p w14:paraId="4CC8AEDC">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在质量保证期内，因货物出现融化、变质、过期及其他质量问题等，乙方负责免费无条件更换。如遇疫情及不可抗拒因素，乙方货物质量不符合甲方标准要求，乙方负责无偿更换，退回货物暂由甲方保管，待甲方达到正常退回情况时，通知乙方退回，退回货物所产生的包装、运费等一切相关费用由乙方承担，如乙方在接到甲方通知后</w:t>
      </w:r>
      <w:r>
        <w:rPr>
          <w:rFonts w:hint="default" w:ascii="Times New Roman" w:hAnsi="Times New Roman" w:eastAsia="宋体" w:cs="Times New Roman"/>
          <w:kern w:val="2"/>
          <w:sz w:val="24"/>
          <w:szCs w:val="24"/>
          <w:lang w:val="en-US" w:eastAsia="zh-CN" w:bidi="ar"/>
        </w:rPr>
        <w:t>72</w:t>
      </w:r>
      <w:r>
        <w:rPr>
          <w:rFonts w:hint="eastAsia" w:ascii="宋体" w:hAnsi="宋体" w:eastAsia="宋体" w:cs="宋体"/>
          <w:kern w:val="2"/>
          <w:sz w:val="24"/>
          <w:szCs w:val="24"/>
          <w:lang w:val="en-US" w:eastAsia="zh-CN" w:bidi="ar"/>
        </w:rPr>
        <w:t>小时内（或甲乙双方约定时间）未及时取回退货，甲方将按照废弃物处置。</w:t>
      </w:r>
    </w:p>
    <w:p w14:paraId="6A16A1F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、乙方未按甲方要求予以更换或供货，甲方必须及时采购的情况下，甲方有权另行采购其他商家同类货物，由此产生的全部费用及差价损失由乙方承担，且此情形构成本合同第八条约定的违约。</w:t>
      </w:r>
    </w:p>
    <w:p w14:paraId="146CCE56">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四、交货时间、地点及风险转移</w:t>
      </w:r>
    </w:p>
    <w:p w14:paraId="1D3FB47A">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、乙方按甲方要求配送货物的日期将货物送达至指定地点：</w:t>
      </w:r>
      <w:r>
        <w:rPr>
          <w:rFonts w:hint="eastAsia" w:ascii="宋体" w:hAnsi="宋体" w:eastAsia="宋体" w:cs="宋体"/>
          <w:kern w:val="2"/>
          <w:sz w:val="24"/>
          <w:szCs w:val="24"/>
          <w:u w:val="single"/>
          <w:lang w:val="en-US" w:eastAsia="zh-CN" w:bidi="ar"/>
        </w:rPr>
        <w:t>甲方指定地点</w:t>
      </w:r>
      <w:r>
        <w:rPr>
          <w:rFonts w:hint="eastAsia" w:ascii="宋体" w:hAnsi="宋体" w:eastAsia="宋体" w:cs="宋体"/>
          <w:kern w:val="2"/>
          <w:sz w:val="24"/>
          <w:szCs w:val="24"/>
          <w:lang w:val="en-US" w:eastAsia="zh-CN" w:bidi="ar"/>
        </w:rPr>
        <w:t>，并确保及时配合甲方完成验收工作。</w:t>
      </w:r>
      <w:r>
        <w:rPr>
          <w:rFonts w:hint="default" w:ascii="Times New Roman" w:hAnsi="Times New Roman" w:eastAsia="宋体" w:cs="Times New Roman"/>
          <w:kern w:val="2"/>
          <w:sz w:val="21"/>
          <w:szCs w:val="21"/>
          <w:lang w:val="en-US" w:eastAsia="zh-CN" w:bidi="ar"/>
        </w:rPr>
        <w:drawing>
          <wp:inline distT="0" distB="0" distL="114300" distR="114300">
            <wp:extent cx="9525" cy="9525"/>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13"/>
                    <a:stretch>
                      <a:fillRect/>
                    </a:stretch>
                  </pic:blipFill>
                  <pic:spPr>
                    <a:xfrm>
                      <a:off x="0" y="0"/>
                      <a:ext cx="9525" cy="9525"/>
                    </a:xfrm>
                    <a:prstGeom prst="rect">
                      <a:avLst/>
                    </a:prstGeom>
                    <a:noFill/>
                    <a:ln w="9525">
                      <a:noFill/>
                    </a:ln>
                  </pic:spPr>
                </pic:pic>
              </a:graphicData>
            </a:graphic>
          </wp:inline>
        </w:drawing>
      </w:r>
    </w:p>
    <w:p w14:paraId="07E1247B">
      <w:pPr>
        <w:keepNext w:val="0"/>
        <w:keepLines w:val="0"/>
        <w:widowControl w:val="0"/>
        <w:suppressLineNumbers w:val="0"/>
        <w:spacing w:before="0" w:beforeAutospacing="0" w:after="12"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、供货时间：甲方向乙方发送书面订货单（含甲方电子盖章确认的订单）时起，乙方应在</w:t>
      </w: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日内将货物送至甲方指定地点；若甲方有紧急订货需求，乙方需在甲方指定的合理时限内送达，最长不超过</w:t>
      </w:r>
      <w:r>
        <w:rPr>
          <w:rFonts w:hint="default" w:ascii="Times New Roman" w:hAnsi="Times New Roman" w:eastAsia="宋体" w:cs="Times New Roman"/>
          <w:kern w:val="2"/>
          <w:sz w:val="24"/>
          <w:szCs w:val="24"/>
          <w:lang w:val="en-US" w:eastAsia="zh-CN" w:bidi="ar"/>
        </w:rPr>
        <w:t>24</w:t>
      </w:r>
      <w:r>
        <w:rPr>
          <w:rFonts w:hint="eastAsia" w:ascii="宋体" w:hAnsi="宋体" w:eastAsia="宋体" w:cs="宋体"/>
          <w:kern w:val="2"/>
          <w:sz w:val="24"/>
          <w:szCs w:val="24"/>
          <w:lang w:val="en-US" w:eastAsia="zh-CN" w:bidi="ar"/>
        </w:rPr>
        <w:t>小时。甲方将根据订货单进行验收，超出订货单范围的货物甲方有权拒收，乙方应在甲方通知时间内取走，否则甲方将视为乙方无偿提供超出部分货物；如乙方不能及时送货造成甲方需求无法满足，甲方有权扣除</w:t>
      </w:r>
      <w:r>
        <w:rPr>
          <w:rFonts w:hint="default" w:ascii="Times New Roman" w:hAnsi="Times New Roman" w:eastAsia="宋体" w:cs="Times New Roman"/>
          <w:kern w:val="2"/>
          <w:sz w:val="24"/>
          <w:szCs w:val="24"/>
          <w:lang w:val="en-US" w:eastAsia="zh-CN" w:bidi="ar"/>
        </w:rPr>
        <w:t>50%</w:t>
      </w:r>
      <w:r>
        <w:rPr>
          <w:rFonts w:hint="eastAsia" w:ascii="宋体" w:hAnsi="宋体" w:eastAsia="宋体" w:cs="宋体"/>
          <w:kern w:val="2"/>
          <w:sz w:val="24"/>
          <w:szCs w:val="24"/>
          <w:lang w:val="en-US" w:eastAsia="zh-CN" w:bidi="ar"/>
        </w:rPr>
        <w:t>履约保证金；二次出现同样情况者，甲方有权单方解除合同并扣除全额履约保证金。此情形构成本合同第八条第</w:t>
      </w: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款所述的违约。有特殊需求的供货时间，由甲方指定供货时间与频次。</w:t>
      </w:r>
    </w:p>
    <w:p w14:paraId="6A3AB081">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、交货完成前（即货物交付完毕且经甲方书面验收合格前），本合同项下货物的损毁灭失风险由乙方承担，交货完成后（货物交付完毕且经过甲方书面验收合格后），货物的所有权及损毁灭失风险转移至甲方。</w:t>
      </w:r>
    </w:p>
    <w:p w14:paraId="0E629368">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、供货分配方式：按甲方需求供货。</w:t>
      </w:r>
    </w:p>
    <w:p w14:paraId="40994EDF">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五、货物的包装及运输</w:t>
      </w:r>
    </w:p>
    <w:p w14:paraId="090A336E">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、包装必须与运输方式相适应，包装方式的确定和包装费用均由乙方负责；由于不适当的包装而造成的货物有任何的损坏由乙方负责。</w:t>
      </w:r>
    </w:p>
    <w:p w14:paraId="265C915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、包装费、运输费、装卸费和保险费等均己包含在合同单价内。</w:t>
      </w:r>
    </w:p>
    <w:p w14:paraId="4263F0FB">
      <w:pPr>
        <w:keepNext w:val="0"/>
        <w:keepLines w:val="0"/>
        <w:widowControl w:val="0"/>
        <w:suppressLineNumbers w:val="0"/>
        <w:spacing w:before="0" w:beforeAutospacing="0" w:after="104"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采用定型包装的货物，包装必须符合国家对产品包装的有关规定。货品由生产厂家使用符合国家食品卫生要求的包装箱或包装袋进行完整包装，包装上必须有清晰的厂家信息、生产日期、保质期、净重量；必须有</w:t>
      </w:r>
      <w:r>
        <w:rPr>
          <w:rFonts w:hint="default" w:ascii="Times New Roman" w:hAnsi="Times New Roman" w:eastAsia="宋体" w:cs="Times New Roman"/>
          <w:kern w:val="2"/>
          <w:sz w:val="24"/>
          <w:szCs w:val="24"/>
          <w:lang w:val="en-US" w:eastAsia="zh-CN" w:bidi="ar"/>
        </w:rPr>
        <w:t>QS</w:t>
      </w:r>
      <w:r>
        <w:rPr>
          <w:rFonts w:hint="eastAsia" w:ascii="宋体" w:hAnsi="宋体" w:eastAsia="宋体" w:cs="宋体"/>
          <w:kern w:val="2"/>
          <w:sz w:val="24"/>
          <w:szCs w:val="24"/>
          <w:lang w:val="en-US" w:eastAsia="zh-CN" w:bidi="ar"/>
        </w:rPr>
        <w:t>标识；包装破损甲方有权不予以接收。</w:t>
      </w:r>
    </w:p>
    <w:p w14:paraId="5EEA1383">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4</w:t>
      </w:r>
      <w:r>
        <w:rPr>
          <w:rFonts w:hint="eastAsia" w:ascii="宋体" w:hAnsi="宋体" w:eastAsia="宋体" w:cs="宋体"/>
          <w:kern w:val="2"/>
          <w:sz w:val="24"/>
          <w:szCs w:val="24"/>
          <w:lang w:val="en-US" w:eastAsia="zh-CN" w:bidi="ar"/>
        </w:rPr>
        <w:t>、乙方保证运输周转的容器与车辆的清洁卫生和防止货物在运输过程中受到污染。</w:t>
      </w:r>
    </w:p>
    <w:p w14:paraId="318DB2B1">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5</w:t>
      </w:r>
      <w:r>
        <w:rPr>
          <w:rFonts w:hint="eastAsia" w:ascii="宋体" w:hAnsi="宋体" w:eastAsia="宋体" w:cs="宋体"/>
          <w:kern w:val="2"/>
          <w:sz w:val="24"/>
          <w:szCs w:val="24"/>
          <w:lang w:val="en-US" w:eastAsia="zh-CN" w:bidi="ar"/>
        </w:rPr>
        <w:t>、乙方所提供的货物不得敞露运输，货物装卸必须做到轻装轻卸，并码放整齐。</w:t>
      </w:r>
    </w:p>
    <w:p w14:paraId="0A68418C">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六、验收</w:t>
      </w:r>
    </w:p>
    <w:p w14:paraId="324C76F0">
      <w:pPr>
        <w:keepNext w:val="0"/>
        <w:keepLines w:val="0"/>
        <w:widowControl w:val="0"/>
        <w:suppressLineNumbers w:val="0"/>
        <w:spacing w:before="0" w:beforeAutospacing="0" w:after="148"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、验收标准：以招投标文件及本合同甲、乙双方约定的质量标准为货物的验收标准。甲方仅对乙方交付货物的数量、规格、外观等进行初步验收，初步验收合格不代表乙方对所交付货物潜在质量安全问题免责。</w:t>
      </w:r>
    </w:p>
    <w:p w14:paraId="39B07EC4">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数量的认定：乙方每次依据甲方提供的物资计划单中品种数量配送；甲方工作人员和乙方人员现场称重或点数完毕后，共同在送货单上核准并签字，并加盖乙方发票专用章作为结帐凭证。结算数量按照实际进货数量（净重），除去未通过验收数量进行结算。计量单位：按合同签订的规格。</w:t>
      </w:r>
    </w:p>
    <w:p w14:paraId="47BBDDF2">
      <w:pPr>
        <w:pStyle w:val="25"/>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乙方交付的冷冻肉品解冻后，实际净重不得低于订单计划重量的</w:t>
      </w:r>
      <w:r>
        <w:rPr>
          <w:rFonts w:hint="default" w:ascii="Times New Roman" w:hAnsi="Times New Roman" w:eastAsia="宋体" w:cs="Times New Roman"/>
          <w:kern w:val="2"/>
          <w:sz w:val="24"/>
          <w:szCs w:val="24"/>
          <w:lang w:val="en-US" w:eastAsia="zh-CN" w:bidi="ar"/>
        </w:rPr>
        <w:t>90%</w:t>
      </w:r>
      <w:r>
        <w:rPr>
          <w:rFonts w:hint="eastAsia" w:ascii="宋体" w:hAnsi="宋体" w:eastAsia="宋体" w:cs="宋体"/>
          <w:kern w:val="2"/>
          <w:sz w:val="24"/>
          <w:szCs w:val="24"/>
          <w:lang w:val="en-US" w:eastAsia="zh-CN" w:bidi="ar"/>
        </w:rPr>
        <w:t>，低于该比例的，甲方有权扣除对应不足部分的货款，或要求乙方补足重量、退换货物，由此产生的所有费用由乙方承担。甲方有权随时委托第三方对乙方所供货物的质量进行检测，若检测不合格，检测费用由乙方承担，甲方有权同时追究乙方违约责任。</w:t>
      </w:r>
    </w:p>
    <w:p w14:paraId="61EED44D">
      <w:pPr>
        <w:keepNext w:val="0"/>
        <w:keepLines w:val="0"/>
        <w:widowControl w:val="0"/>
        <w:suppressLineNumbers w:val="0"/>
        <w:spacing w:before="0" w:beforeAutospacing="0" w:after="101"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、甲方应依照双方在本合同中约定的质量要求和验收标准进行验收。验收不合格的，应及时向乙方提出异议，乙方应在接到甲方发出异议通知后</w:t>
      </w:r>
      <w:r>
        <w:rPr>
          <w:rFonts w:hint="default" w:ascii="Times New Roman" w:hAnsi="Times New Roman" w:eastAsia="宋体" w:cs="Times New Roman"/>
          <w:kern w:val="2"/>
          <w:sz w:val="24"/>
          <w:szCs w:val="24"/>
          <w:lang w:val="en-US" w:eastAsia="zh-CN" w:bidi="ar"/>
        </w:rPr>
        <w:t>24</w:t>
      </w:r>
      <w:r>
        <w:rPr>
          <w:rFonts w:hint="eastAsia" w:ascii="宋体" w:hAnsi="宋体" w:eastAsia="宋体" w:cs="宋体"/>
          <w:kern w:val="2"/>
          <w:sz w:val="24"/>
          <w:szCs w:val="24"/>
          <w:lang w:val="en-US" w:eastAsia="zh-CN" w:bidi="ar"/>
        </w:rPr>
        <w:t>小时内完成更换，直至验收合格，如果因乙方供货质量原因造成的甲方受到的损失，乙方还应承担相应违约责任并承担相应赔偿责任。</w:t>
      </w:r>
    </w:p>
    <w:p w14:paraId="228AFB7F">
      <w:pPr>
        <w:pStyle w:val="25"/>
        <w:keepNext w:val="0"/>
        <w:keepLines w:val="0"/>
        <w:widowControl w:val="0"/>
        <w:suppressLineNumbers w:val="0"/>
        <w:spacing w:before="0" w:beforeAutospacing="0" w:after="0" w:afterAutospacing="0"/>
        <w:ind w:left="0" w:right="0" w:firstLine="48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4"/>
          <w:szCs w:val="24"/>
          <w:lang w:val="en-US" w:eastAsia="zh-CN" w:bidi="ar"/>
        </w:rPr>
        <w:t>不合格货物被甲方退回的，损毁灭失风险仍由乙方承担。</w:t>
      </w:r>
    </w:p>
    <w:p w14:paraId="2DC1E5DC">
      <w:pPr>
        <w:keepNext w:val="0"/>
        <w:keepLines w:val="0"/>
        <w:widowControl w:val="0"/>
        <w:suppressLineNumbers w:val="0"/>
        <w:spacing w:before="0" w:beforeAutospacing="0" w:after="101"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七、货款的支付</w:t>
      </w:r>
    </w:p>
    <w:p w14:paraId="1B93C542">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、乙方应于每月</w:t>
      </w:r>
      <w:r>
        <w:rPr>
          <w:rFonts w:hint="default" w:ascii="Times New Roman" w:hAnsi="Times New Roman" w:eastAsia="宋体" w:cs="Times New Roman"/>
          <w:kern w:val="2"/>
          <w:sz w:val="24"/>
          <w:szCs w:val="24"/>
          <w:lang w:val="en-US" w:eastAsia="zh-CN" w:bidi="ar"/>
        </w:rPr>
        <w:t>25</w:t>
      </w:r>
      <w:r>
        <w:rPr>
          <w:rFonts w:hint="eastAsia" w:ascii="宋体" w:hAnsi="宋体" w:eastAsia="宋体" w:cs="宋体"/>
          <w:kern w:val="2"/>
          <w:sz w:val="24"/>
          <w:szCs w:val="24"/>
          <w:lang w:val="en-US" w:eastAsia="zh-CN" w:bidi="ar"/>
        </w:rPr>
        <w:t>日前向甲方提交经甲方验收合格的供货明细、对账单及等额有效增值税普通发票，甲方审核无误后，于次月</w:t>
      </w:r>
      <w:r>
        <w:rPr>
          <w:rFonts w:hint="default" w:ascii="Times New Roman" w:hAnsi="Times New Roman" w:eastAsia="宋体" w:cs="Times New Roman"/>
          <w:kern w:val="2"/>
          <w:sz w:val="24"/>
          <w:szCs w:val="24"/>
          <w:lang w:val="en-US" w:eastAsia="zh-CN" w:bidi="ar"/>
        </w:rPr>
        <w:t>15</w:t>
      </w:r>
      <w:r>
        <w:rPr>
          <w:rFonts w:hint="eastAsia" w:ascii="宋体" w:hAnsi="宋体" w:eastAsia="宋体" w:cs="宋体"/>
          <w:kern w:val="2"/>
          <w:sz w:val="24"/>
          <w:szCs w:val="24"/>
          <w:lang w:val="en-US" w:eastAsia="zh-CN" w:bidi="ar"/>
        </w:rPr>
        <w:t>日前完成本月货款的结算。如遇特殊情况无法按时支付，甲方应提前</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个工作日书面通知乙方并协商延期时间。</w:t>
      </w:r>
      <w:r>
        <w:rPr>
          <w:rFonts w:hint="default" w:ascii="Times New Roman" w:hAnsi="Times New Roman" w:eastAsia="宋体" w:cs="Times New Roman"/>
          <w:kern w:val="2"/>
          <w:sz w:val="24"/>
          <w:szCs w:val="24"/>
          <w:lang w:val="en-US" w:eastAsia="zh-CN" w:bidi="ar"/>
        </w:rPr>
        <w:t xml:space="preserve">  </w:t>
      </w:r>
      <w:r>
        <w:rPr>
          <w:rFonts w:hint="eastAsia" w:ascii="Times New Roman" w:hAnsi="Times New Roman" w:eastAsia="宋体" w:cs="Times New Roman"/>
          <w:kern w:val="2"/>
          <w:sz w:val="24"/>
          <w:szCs w:val="24"/>
          <w:lang w:val="en-US" w:eastAsia="zh-CN" w:bidi="ar"/>
        </w:rPr>
        <w:t xml:space="preserve"> </w:t>
      </w:r>
    </w:p>
    <w:p w14:paraId="0E775CA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 xml:space="preserve">、每月末对账，结算货款时，乙方应向甲方开具等额有效的增值税普通发票， </w:t>
      </w:r>
    </w:p>
    <w:p w14:paraId="3367CC3C">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甲方未收到发票或提供发票不合格的，不予支付相应款项直至乙方提供合格发票，延迟支付货款责任由乙方自行承担。</w:t>
      </w:r>
      <w:r>
        <w:rPr>
          <w:rFonts w:hint="eastAsia" w:ascii="Times New Roman" w:hAnsi="Times New Roman" w:eastAsia="宋体" w:cs="Times New Roman"/>
          <w:kern w:val="2"/>
          <w:sz w:val="24"/>
          <w:szCs w:val="24"/>
          <w:lang w:val="en-US" w:eastAsia="zh-CN" w:bidi="ar"/>
        </w:rPr>
        <w:t xml:space="preserve"> </w:t>
      </w:r>
    </w:p>
    <w:p w14:paraId="0C8E063F">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 xml:space="preserve">、在签订本合同之前，乙方要按照采购文件要求向采购人提交履约保证金。 </w:t>
      </w:r>
    </w:p>
    <w:p w14:paraId="46759CA5">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（按实际供货量结算，最终付款方式以和甲方单位签订合同为准）</w:t>
      </w:r>
    </w:p>
    <w:p w14:paraId="75A54C1F">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八、违约责任</w:t>
      </w:r>
    </w:p>
    <w:p w14:paraId="4080BD6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、乙方的履约保证金为</w:t>
      </w:r>
      <w:r>
        <w:rPr>
          <w:rFonts w:hint="eastAsia" w:ascii="宋体" w:hAnsi="宋体" w:eastAsia="宋体" w:cs="宋体"/>
          <w:b/>
          <w:bCs/>
          <w:kern w:val="2"/>
          <w:sz w:val="24"/>
          <w:szCs w:val="24"/>
          <w:u w:val="single"/>
          <w:lang w:val="en-US" w:eastAsia="zh-CN" w:bidi="ar"/>
        </w:rPr>
        <w:t>合同预估总金额的</w:t>
      </w:r>
      <w:r>
        <w:rPr>
          <w:rFonts w:hint="default" w:ascii="Times New Roman" w:hAnsi="Times New Roman" w:eastAsia="宋体" w:cs="Times New Roman"/>
          <w:b/>
          <w:bCs/>
          <w:kern w:val="2"/>
          <w:sz w:val="24"/>
          <w:szCs w:val="24"/>
          <w:u w:val="single"/>
          <w:lang w:val="en-US" w:eastAsia="zh-CN" w:bidi="ar"/>
        </w:rPr>
        <w:t>10%</w:t>
      </w:r>
      <w:r>
        <w:rPr>
          <w:rFonts w:hint="eastAsia" w:ascii="宋体" w:hAnsi="宋体" w:eastAsia="宋体" w:cs="宋体"/>
          <w:kern w:val="2"/>
          <w:sz w:val="24"/>
          <w:szCs w:val="24"/>
          <w:lang w:val="en-US" w:eastAsia="zh-CN" w:bidi="ar"/>
        </w:rPr>
        <w:t>，具体金额以双方签署的合同为准。合同履行期间，实际采购结算总金额如超过合同预估总金额，乙方应按超出部分的</w:t>
      </w:r>
      <w:r>
        <w:rPr>
          <w:rFonts w:hint="default" w:ascii="Times New Roman" w:hAnsi="Times New Roman" w:eastAsia="宋体" w:cs="Times New Roman"/>
          <w:kern w:val="2"/>
          <w:sz w:val="24"/>
          <w:szCs w:val="24"/>
          <w:lang w:val="en-US" w:eastAsia="zh-CN" w:bidi="ar"/>
        </w:rPr>
        <w:t>10%</w:t>
      </w:r>
      <w:r>
        <w:rPr>
          <w:rFonts w:hint="eastAsia" w:ascii="宋体" w:hAnsi="宋体" w:eastAsia="宋体" w:cs="宋体"/>
          <w:kern w:val="2"/>
          <w:sz w:val="24"/>
          <w:szCs w:val="24"/>
          <w:lang w:val="en-US" w:eastAsia="zh-CN" w:bidi="ar"/>
        </w:rPr>
        <w:t>补足履约保证金。合同期满未出现违约情形，甲方无息退还乙方。如乙方有违约行为，甲方有权按照合同约定从中扣除乙方应赔偿部分金额，剩余部分合同期满或合同解除时无息退还给乙方；保证金不足以支付违约金或不足以弥补甲方损失的，由乙方另行向甲方支付。</w:t>
      </w:r>
    </w:p>
    <w:p w14:paraId="2191ECBC">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、若乙方违约，甲方有权扣除保证金并要求赔偿甲方因此遭受的全部损失（包括但不限于直接损失、甲方为处理违约事宜所支出的合理费用等）。甲方因不可抗力或对乙方违约无过错的情况下，不承担违约责任。</w:t>
      </w:r>
    </w:p>
    <w:p w14:paraId="009D7A0A">
      <w:pPr>
        <w:keepNext w:val="0"/>
        <w:keepLines w:val="0"/>
        <w:widowControl w:val="0"/>
        <w:suppressLineNumbers w:val="0"/>
        <w:spacing w:before="0" w:beforeAutospacing="0" w:after="114"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合同签订后，乙方应严格履行合同，如乙方无正当理由，拒绝供货或不能根据合同约定的品种、规格、数量、质量等标准和要求向甲方配送货物，无法满足甲方采购需要，甲方有权解除合同，同时，扣除乙方履约保证金的</w:t>
      </w:r>
      <w:r>
        <w:rPr>
          <w:rFonts w:hint="default" w:ascii="Times New Roman" w:hAnsi="Times New Roman" w:eastAsia="宋体" w:cs="Times New Roman"/>
          <w:kern w:val="2"/>
          <w:sz w:val="24"/>
          <w:szCs w:val="24"/>
          <w:lang w:val="en-US" w:eastAsia="zh-CN" w:bidi="ar"/>
        </w:rPr>
        <w:t>50</w:t>
      </w:r>
      <w:r>
        <w:rPr>
          <w:rFonts w:hint="eastAsia" w:ascii="宋体" w:hAnsi="宋体" w:eastAsia="宋体" w:cs="宋体"/>
          <w:kern w:val="2"/>
          <w:sz w:val="24"/>
          <w:szCs w:val="24"/>
          <w:lang w:val="en-US" w:eastAsia="zh-CN" w:bidi="ar"/>
        </w:rPr>
        <w:t>％向甲方承担违约责任。合同解除后，甲方有权临时性应急与第三方供货商另行签订合同，进行供货。</w:t>
      </w:r>
    </w:p>
    <w:p w14:paraId="5C04019F">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default" w:ascii="华文楷体" w:hAnsi="华文楷体" w:eastAsia="华文楷体" w:cs="华文楷体"/>
          <w:kern w:val="0"/>
          <w:sz w:val="24"/>
          <w:szCs w:val="24"/>
          <w:lang w:val="en-US" w:eastAsia="zh-CN" w:bidi="ar"/>
        </w:rPr>
        <w:t>4、</w:t>
      </w:r>
      <w:r>
        <w:rPr>
          <w:rFonts w:hint="eastAsia" w:ascii="宋体" w:hAnsi="宋体" w:eastAsia="宋体" w:cs="宋体"/>
          <w:kern w:val="0"/>
          <w:sz w:val="24"/>
          <w:szCs w:val="24"/>
          <w:lang w:val="en-US" w:eastAsia="zh-CN" w:bidi="ar"/>
        </w:rPr>
        <w:t>对于采购人已按合同规定下发订单，供应商没有按合同规定时间送货的、或者不按合同规定采购标准送货的，均为违约。</w:t>
      </w:r>
    </w:p>
    <w:p w14:paraId="33F3F9EC">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5、遇不可抗力特殊紧急情况，供应商应及时与采购人沟通，并由采购人重新确定送货时间，否则均为违约。</w:t>
      </w:r>
    </w:p>
    <w:p w14:paraId="1B326C6D">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6、违约送货处理:</w:t>
      </w:r>
    </w:p>
    <w:p w14:paraId="21E6CB67">
      <w:pPr>
        <w:pStyle w:val="25"/>
        <w:keepNext w:val="0"/>
        <w:keepLines w:val="0"/>
        <w:widowControl/>
        <w:suppressLineNumbers w:val="0"/>
        <w:autoSpaceDE w:val="0"/>
        <w:autoSpaceDN w:val="0"/>
        <w:adjustRightInd w:val="0"/>
        <w:spacing w:before="0" w:beforeAutospacing="0" w:after="0" w:afterAutospacing="0" w:line="400" w:lineRule="exact"/>
        <w:ind w:left="0" w:right="0" w:firstLine="440" w:firstLineChars="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6.1、供应商第1次违约送货，由采购人对供应商做警告处理并记录存档；</w:t>
      </w:r>
    </w:p>
    <w:p w14:paraId="145EFB51">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6.2、供应商第2次违约送货，扣除乙方履约保证金的20%并记录存档；</w:t>
      </w:r>
    </w:p>
    <w:p w14:paraId="1C70921D">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6.3、供应商第3次违约送货，扣除乙方履约保证金的50%并记录存档；</w:t>
      </w:r>
    </w:p>
    <w:p w14:paraId="73C8A79F">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6.4、供应商累计出现4次及以上违约送货，或连续3次违约送货，采购人扣除乙方全额履约保证金，有权单方终止本合同。</w:t>
      </w:r>
    </w:p>
    <w:p w14:paraId="44FBE3B7">
      <w:pPr>
        <w:pStyle w:val="25"/>
        <w:keepNext w:val="0"/>
        <w:keepLines w:val="0"/>
        <w:widowControl/>
        <w:suppressLineNumbers w:val="0"/>
        <w:autoSpaceDE w:val="0"/>
        <w:autoSpaceDN w:val="0"/>
        <w:adjustRightInd w:val="0"/>
        <w:spacing w:before="0" w:beforeAutospacing="0" w:after="0" w:afterAutospacing="0" w:line="400" w:lineRule="exact"/>
        <w:ind w:left="0" w:right="0"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本条所述‘违约送货’，其情形定义适用本合同第二条第5款、第四条第2款及第五章第四条的约定。</w:t>
      </w:r>
    </w:p>
    <w:p w14:paraId="7171AF77">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7</w:t>
      </w:r>
      <w:r>
        <w:rPr>
          <w:rFonts w:hint="eastAsia" w:ascii="宋体" w:hAnsi="宋体" w:eastAsia="宋体" w:cs="宋体"/>
          <w:kern w:val="2"/>
          <w:sz w:val="24"/>
          <w:szCs w:val="24"/>
          <w:lang w:val="en-US" w:eastAsia="zh-CN" w:bidi="ar"/>
        </w:rPr>
        <w:t>、在履行合同过程中，如果乙方遇到妨碍按时交货和提供服务等不可抗力的情况，乙方应立即以书面形式将拖延的事实，可能拖延的时间和原因通知甲方，经甲方同意延期交货后，及时采取补救措施，不得无故断货。</w:t>
      </w:r>
    </w:p>
    <w:p w14:paraId="35FD1048">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8</w:t>
      </w:r>
      <w:r>
        <w:rPr>
          <w:rFonts w:hint="eastAsia" w:ascii="宋体" w:hAnsi="宋体" w:eastAsia="宋体" w:cs="宋体"/>
          <w:kern w:val="2"/>
          <w:sz w:val="24"/>
          <w:szCs w:val="24"/>
          <w:lang w:val="en-US" w:eastAsia="zh-CN" w:bidi="ar"/>
        </w:rPr>
        <w:t>、若乙方提供的产品不符合本合同约定的质量标准，甲方或任何第三人发生食物中毒等食品安全事故，乙方应按照《食品安全法》的规定，承担赔偿责任。赔偿款甲方有权直接从履约保证金中扣除，不足部分乙方应另行支付。</w:t>
      </w:r>
    </w:p>
    <w:p w14:paraId="39BF62A5">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9</w:t>
      </w:r>
      <w:r>
        <w:rPr>
          <w:rFonts w:hint="eastAsia" w:ascii="宋体" w:hAnsi="宋体" w:eastAsia="宋体" w:cs="宋体"/>
          <w:kern w:val="2"/>
          <w:sz w:val="24"/>
          <w:szCs w:val="24"/>
          <w:lang w:val="en-US" w:eastAsia="zh-CN" w:bidi="ar"/>
        </w:rPr>
        <w:t>、乙方（中标供应商）保证在供货时遵从甲方关于本项目的采购程序，保证不会将合同及（或）其中的权利、义务转让，保证不会转包、分包。如发现转包、分包现象，甲方有权扣除全额履约保证金及解除合同。</w:t>
      </w:r>
    </w:p>
    <w:p w14:paraId="087DFB1B">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10</w:t>
      </w:r>
      <w:r>
        <w:rPr>
          <w:rFonts w:hint="eastAsia" w:ascii="宋体" w:hAnsi="宋体" w:eastAsia="宋体" w:cs="宋体"/>
          <w:kern w:val="2"/>
          <w:sz w:val="24"/>
          <w:szCs w:val="24"/>
          <w:lang w:val="en-US" w:eastAsia="zh-CN" w:bidi="ar"/>
        </w:rPr>
        <w:t>、乙方在供应过程中，如乙方人员及送货车辆在甲方院内发生事故或问题，乙方承担全部责任，甲方保留追究其相关法律责任的权利。</w:t>
      </w:r>
    </w:p>
    <w:p w14:paraId="4D402359">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11</w:t>
      </w:r>
      <w:r>
        <w:rPr>
          <w:rFonts w:hint="eastAsia" w:ascii="宋体" w:hAnsi="宋体" w:eastAsia="宋体" w:cs="宋体"/>
          <w:kern w:val="2"/>
          <w:sz w:val="24"/>
          <w:szCs w:val="24"/>
          <w:lang w:val="en-US" w:eastAsia="zh-CN" w:bidi="ar"/>
        </w:rPr>
        <w:t>、如出现食品安全事故，乙方承担全部赔偿责任（包括但不限于第三方索赔、律师费、鉴定费、公证费、差旅费、保全保险费等甲方采取诉讼途径发生的一切费用）。</w:t>
      </w:r>
    </w:p>
    <w:p w14:paraId="6E54E4AD">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九、争议解决</w:t>
      </w:r>
    </w:p>
    <w:p w14:paraId="4A0FEF46">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通知与送达</w:t>
      </w:r>
    </w:p>
    <w:p w14:paraId="6015652E">
      <w:pPr>
        <w:keepNext w:val="0"/>
        <w:keepLines w:val="0"/>
        <w:widowControl w:val="0"/>
        <w:suppressLineNumbers w:val="0"/>
        <w:spacing w:before="0" w:beforeAutospacing="0" w:after="3"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本合同履行过程中，任何一方向对方发出的通知、函件等文件，应以书面形式（包括但不限于电子邮件、传真、快递）送达至以下地址。一方变更地址或联系方式的，应提前</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日书面通知对方，否则对方按原地址寄送文件即视为有效送达，寄出后第</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日视为送达之日。因一方提供或变更的地址不准确、或未及时通知变更事项，导致文件被退回或未能实际接收的，文件退回之日或寄出后第</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日（以较早者为准）视为已送达。双方送达地址如下：甲方：【地址：</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，联系人：</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，联系电话：</w:t>
      </w:r>
      <w:r>
        <w:rPr>
          <w:rFonts w:hint="default" w:ascii="Times New Roman" w:hAnsi="Times New Roman" w:eastAsia="宋体" w:cs="Times New Roman"/>
          <w:kern w:val="2"/>
          <w:sz w:val="24"/>
          <w:szCs w:val="24"/>
          <w:lang w:val="en-US" w:eastAsia="zh-CN" w:bidi="ar"/>
        </w:rPr>
        <w:t>***</w:t>
      </w:r>
      <w:r>
        <w:rPr>
          <w:rFonts w:hint="eastAsia" w:ascii="宋体" w:hAnsi="宋体" w:eastAsia="宋体" w:cs="宋体"/>
          <w:kern w:val="2"/>
          <w:sz w:val="24"/>
          <w:szCs w:val="24"/>
          <w:lang w:val="en-US" w:eastAsia="zh-CN" w:bidi="ar"/>
        </w:rPr>
        <w:t>】；乙方：【填写乙方准确地址、联系人、电话】；乙方：【填写乙方准确地址、联系人、电话】。本合同如发生纠纷，当事人双方应首先通过友好协商解决。协商不成的，任何一方均有权向甲方所在地有管辖权的人民法院提起诉讼。双方承诺本合同载明的联系方式及信息均真实有效，能够准确送达一切法律文件或文书，如发生变更，应提前三日书面通知对方，否则视为未变更且文件交邮后</w:t>
      </w:r>
      <w:r>
        <w:rPr>
          <w:rFonts w:hint="default" w:ascii="Times New Roman" w:hAnsi="Times New Roman" w:eastAsia="宋体" w:cs="Times New Roman"/>
          <w:kern w:val="2"/>
          <w:sz w:val="24"/>
          <w:szCs w:val="24"/>
          <w:lang w:val="en-US" w:eastAsia="zh-CN" w:bidi="ar"/>
        </w:rPr>
        <w:t>3</w:t>
      </w:r>
      <w:r>
        <w:rPr>
          <w:rFonts w:hint="eastAsia" w:ascii="宋体" w:hAnsi="宋体" w:eastAsia="宋体" w:cs="宋体"/>
          <w:kern w:val="2"/>
          <w:sz w:val="24"/>
          <w:szCs w:val="24"/>
          <w:lang w:val="en-US" w:eastAsia="zh-CN" w:bidi="ar"/>
        </w:rPr>
        <w:t>日即为送达，由此产生的后果自行承担</w:t>
      </w:r>
    </w:p>
    <w:p w14:paraId="399C5C51">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十、合同的生效与文本</w:t>
      </w:r>
    </w:p>
    <w:p w14:paraId="2DD11D5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1</w:t>
      </w:r>
      <w:r>
        <w:rPr>
          <w:rFonts w:hint="eastAsia" w:ascii="宋体" w:hAnsi="宋体" w:eastAsia="宋体" w:cs="宋体"/>
          <w:kern w:val="2"/>
          <w:sz w:val="24"/>
          <w:szCs w:val="24"/>
          <w:lang w:val="en-US" w:eastAsia="zh-CN" w:bidi="ar"/>
        </w:rPr>
        <w:t>、本合同壹式捌份，甲方陆份、乙方执贰份。</w:t>
      </w:r>
    </w:p>
    <w:p w14:paraId="0E3BED29">
      <w:pPr>
        <w:keepNext w:val="0"/>
        <w:keepLines w:val="0"/>
        <w:widowControl w:val="0"/>
        <w:suppressLineNumbers w:val="0"/>
        <w:spacing w:before="0" w:beforeAutospacing="0" w:after="0" w:afterAutospacing="0" w:line="360" w:lineRule="auto"/>
        <w:ind w:left="0" w:right="14"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2</w:t>
      </w:r>
      <w:r>
        <w:rPr>
          <w:rFonts w:hint="eastAsia" w:ascii="宋体" w:hAnsi="宋体" w:eastAsia="宋体" w:cs="宋体"/>
          <w:kern w:val="2"/>
          <w:sz w:val="24"/>
          <w:szCs w:val="24"/>
          <w:lang w:val="en-US" w:eastAsia="zh-CN" w:bidi="ar"/>
        </w:rPr>
        <w:t>、本合同经双方法定代表人或委托代理人签字并加盖单位公章之日起生效。</w:t>
      </w:r>
    </w:p>
    <w:p w14:paraId="7BE6D0FA">
      <w:pPr>
        <w:keepNext w:val="0"/>
        <w:keepLines w:val="0"/>
        <w:widowControl w:val="0"/>
        <w:suppressLineNumbers w:val="0"/>
        <w:spacing w:before="0" w:beforeAutospacing="0" w:after="0" w:afterAutospacing="0" w:line="360" w:lineRule="auto"/>
        <w:ind w:left="0" w:right="11"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乙方签定的供货补充合同和供货承诺书以及与本合同有关的招投标文件、答疑附件、合同附件《食品安全承诺书》等经甲方签字或盖章后成为本合同不可分割的组成部分，与本合同具有同等法律效力，其他未尽事宜，从其规定。</w:t>
      </w:r>
    </w:p>
    <w:p w14:paraId="26A1ECD0">
      <w:pPr>
        <w:keepNext w:val="0"/>
        <w:keepLines w:val="0"/>
        <w:widowControl w:val="0"/>
        <w:suppressLineNumbers w:val="0"/>
        <w:spacing w:before="0" w:beforeAutospacing="0" w:after="0" w:afterAutospacing="0" w:line="360" w:lineRule="auto"/>
        <w:ind w:left="0" w:right="11" w:firstLine="480" w:firstLineChars="200"/>
        <w:jc w:val="both"/>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（以下无正文，为本合同签署页）</w:t>
      </w:r>
    </w:p>
    <w:tbl>
      <w:tblPr>
        <w:tblStyle w:val="30"/>
        <w:tblW w:w="8707" w:type="dxa"/>
        <w:tblInd w:w="11"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4023"/>
        <w:gridCol w:w="289"/>
        <w:gridCol w:w="4395"/>
      </w:tblGrid>
      <w:tr w14:paraId="724F5B1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tblCellMar>
            <w:top w:w="0" w:type="dxa"/>
            <w:left w:w="108" w:type="dxa"/>
            <w:bottom w:w="0" w:type="dxa"/>
            <w:right w:w="108" w:type="dxa"/>
          </w:tblCellMar>
        </w:tblPrEx>
        <w:trPr>
          <w:trHeight w:val="424" w:hRule="atLeast"/>
        </w:trPr>
        <w:tc>
          <w:tcPr>
            <w:tcW w:w="4023" w:type="dxa"/>
            <w:tcBorders>
              <w:top w:val="nil"/>
              <w:left w:val="nil"/>
              <w:bottom w:val="nil"/>
              <w:right w:val="nil"/>
            </w:tcBorders>
            <w:shd w:val="clear"/>
            <w:vAlign w:val="center"/>
          </w:tcPr>
          <w:p w14:paraId="43501810">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甲方（盖章）：</w:t>
            </w:r>
          </w:p>
        </w:tc>
        <w:tc>
          <w:tcPr>
            <w:tcW w:w="289" w:type="dxa"/>
            <w:tcBorders>
              <w:top w:val="nil"/>
              <w:left w:val="nil"/>
              <w:bottom w:val="nil"/>
              <w:right w:val="nil"/>
            </w:tcBorders>
            <w:shd w:val="clear"/>
            <w:vAlign w:val="center"/>
          </w:tcPr>
          <w:p w14:paraId="688CA9E2">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p>
        </w:tc>
        <w:tc>
          <w:tcPr>
            <w:tcW w:w="4395" w:type="dxa"/>
            <w:tcBorders>
              <w:top w:val="nil"/>
              <w:left w:val="nil"/>
              <w:bottom w:val="nil"/>
              <w:right w:val="nil"/>
            </w:tcBorders>
            <w:shd w:val="clear"/>
            <w:vAlign w:val="center"/>
          </w:tcPr>
          <w:p w14:paraId="2568E386">
            <w:pPr>
              <w:keepNext w:val="0"/>
              <w:keepLines w:val="0"/>
              <w:widowControl w:val="0"/>
              <w:suppressLineNumbers w:val="0"/>
              <w:spacing w:before="0" w:beforeAutospacing="0" w:after="0" w:afterAutospacing="0" w:line="360" w:lineRule="auto"/>
              <w:ind w:left="24" w:right="0"/>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乙方（盖章）：</w:t>
            </w:r>
          </w:p>
        </w:tc>
      </w:tr>
      <w:tr w14:paraId="15879C2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023" w:type="dxa"/>
            <w:tcBorders>
              <w:top w:val="nil"/>
              <w:left w:val="nil"/>
              <w:bottom w:val="nil"/>
              <w:right w:val="nil"/>
            </w:tcBorders>
            <w:shd w:val="clear"/>
            <w:vAlign w:val="center"/>
          </w:tcPr>
          <w:p w14:paraId="4A90E4B5">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法人或授权代表（签字）：</w:t>
            </w:r>
          </w:p>
        </w:tc>
        <w:tc>
          <w:tcPr>
            <w:tcW w:w="289" w:type="dxa"/>
            <w:tcBorders>
              <w:top w:val="nil"/>
              <w:left w:val="nil"/>
              <w:bottom w:val="nil"/>
              <w:right w:val="nil"/>
            </w:tcBorders>
            <w:shd w:val="clear"/>
            <w:vAlign w:val="center"/>
          </w:tcPr>
          <w:p w14:paraId="2E83A035">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p>
        </w:tc>
        <w:tc>
          <w:tcPr>
            <w:tcW w:w="4395" w:type="dxa"/>
            <w:tcBorders>
              <w:top w:val="nil"/>
              <w:left w:val="nil"/>
              <w:bottom w:val="nil"/>
              <w:right w:val="nil"/>
            </w:tcBorders>
            <w:shd w:val="clear"/>
            <w:vAlign w:val="center"/>
          </w:tcPr>
          <w:p w14:paraId="06F0C8C2">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法人或授权代表（签字）：</w:t>
            </w:r>
          </w:p>
        </w:tc>
      </w:tr>
      <w:tr w14:paraId="733713C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tblCellMar>
            <w:top w:w="0" w:type="dxa"/>
            <w:left w:w="108" w:type="dxa"/>
            <w:bottom w:w="0" w:type="dxa"/>
            <w:right w:w="108" w:type="dxa"/>
          </w:tblCellMar>
        </w:tblPrEx>
        <w:trPr>
          <w:trHeight w:val="757" w:hRule="atLeast"/>
        </w:trPr>
        <w:tc>
          <w:tcPr>
            <w:tcW w:w="4023" w:type="dxa"/>
            <w:tcBorders>
              <w:top w:val="nil"/>
              <w:left w:val="nil"/>
              <w:bottom w:val="nil"/>
              <w:right w:val="nil"/>
            </w:tcBorders>
            <w:shd w:val="clear"/>
            <w:vAlign w:val="center"/>
          </w:tcPr>
          <w:p w14:paraId="0B50D841">
            <w:pPr>
              <w:keepNext w:val="0"/>
              <w:keepLines w:val="0"/>
              <w:widowControl w:val="0"/>
              <w:suppressLineNumbers w:val="0"/>
              <w:spacing w:before="0" w:beforeAutospacing="0" w:after="0" w:afterAutospacing="0"/>
              <w:ind w:left="0" w:right="-534"/>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地址：</w:t>
            </w:r>
          </w:p>
        </w:tc>
        <w:tc>
          <w:tcPr>
            <w:tcW w:w="289" w:type="dxa"/>
            <w:tcBorders>
              <w:top w:val="nil"/>
              <w:left w:val="nil"/>
              <w:bottom w:val="nil"/>
              <w:right w:val="nil"/>
            </w:tcBorders>
            <w:shd w:val="clear"/>
            <w:vAlign w:val="center"/>
          </w:tcPr>
          <w:p w14:paraId="3F58E7EF">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p>
        </w:tc>
        <w:tc>
          <w:tcPr>
            <w:tcW w:w="4395" w:type="dxa"/>
            <w:tcBorders>
              <w:top w:val="nil"/>
              <w:left w:val="nil"/>
              <w:bottom w:val="nil"/>
              <w:right w:val="nil"/>
            </w:tcBorders>
            <w:shd w:val="clear"/>
            <w:vAlign w:val="center"/>
          </w:tcPr>
          <w:p w14:paraId="34CD98B3">
            <w:pPr>
              <w:keepNext w:val="0"/>
              <w:keepLines w:val="0"/>
              <w:widowControl w:val="0"/>
              <w:suppressLineNumbers w:val="0"/>
              <w:spacing w:before="0" w:beforeAutospacing="0" w:after="0" w:afterAutospacing="0"/>
              <w:ind w:left="0" w:right="182"/>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地址：</w:t>
            </w:r>
          </w:p>
        </w:tc>
      </w:tr>
      <w:tr w14:paraId="0804758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023" w:type="dxa"/>
            <w:tcBorders>
              <w:top w:val="nil"/>
              <w:left w:val="nil"/>
              <w:bottom w:val="nil"/>
              <w:right w:val="nil"/>
            </w:tcBorders>
            <w:shd w:val="clear"/>
            <w:vAlign w:val="center"/>
          </w:tcPr>
          <w:p w14:paraId="2E60F4A3">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电话：</w:t>
            </w:r>
          </w:p>
        </w:tc>
        <w:tc>
          <w:tcPr>
            <w:tcW w:w="289" w:type="dxa"/>
            <w:tcBorders>
              <w:top w:val="nil"/>
              <w:left w:val="nil"/>
              <w:bottom w:val="nil"/>
              <w:right w:val="nil"/>
            </w:tcBorders>
            <w:shd w:val="clear"/>
            <w:vAlign w:val="center"/>
          </w:tcPr>
          <w:p w14:paraId="73B09B29">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p>
        </w:tc>
        <w:tc>
          <w:tcPr>
            <w:tcW w:w="4395" w:type="dxa"/>
            <w:tcBorders>
              <w:top w:val="nil"/>
              <w:left w:val="nil"/>
              <w:bottom w:val="nil"/>
              <w:right w:val="nil"/>
            </w:tcBorders>
            <w:shd w:val="clear"/>
            <w:vAlign w:val="center"/>
          </w:tcPr>
          <w:p w14:paraId="3458C4BE">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电话：</w:t>
            </w:r>
          </w:p>
        </w:tc>
      </w:tr>
      <w:tr w14:paraId="6EE1F0F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tblCellMar>
            <w:top w:w="0" w:type="dxa"/>
            <w:left w:w="108" w:type="dxa"/>
            <w:bottom w:w="0" w:type="dxa"/>
            <w:right w:w="108" w:type="dxa"/>
          </w:tblCellMar>
        </w:tblPrEx>
        <w:trPr>
          <w:trHeight w:val="424" w:hRule="atLeast"/>
        </w:trPr>
        <w:tc>
          <w:tcPr>
            <w:tcW w:w="4023" w:type="dxa"/>
            <w:tcBorders>
              <w:top w:val="nil"/>
              <w:left w:val="nil"/>
              <w:bottom w:val="nil"/>
              <w:right w:val="nil"/>
            </w:tcBorders>
            <w:shd w:val="clear"/>
            <w:vAlign w:val="center"/>
          </w:tcPr>
          <w:p w14:paraId="79940E44">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日期：年月</w:t>
            </w:r>
            <w:r>
              <w:rPr>
                <w:rFonts w:hint="eastAsia" w:ascii="Times New Roman" w:hAnsi="Times New Roman" w:eastAsia="宋体" w:cs="Times New Roman"/>
                <w:kern w:val="2"/>
                <w:sz w:val="24"/>
                <w:szCs w:val="24"/>
                <w:bdr w:val="none" w:color="auto" w:sz="0" w:space="0"/>
                <w:lang w:val="en-US" w:eastAsia="zh-CN" w:bidi="ar"/>
              </w:rPr>
              <w:t xml:space="preserve"> </w:t>
            </w:r>
            <w:r>
              <w:rPr>
                <w:rFonts w:hint="eastAsia" w:ascii="宋体" w:hAnsi="宋体" w:eastAsia="宋体" w:cs="宋体"/>
                <w:kern w:val="2"/>
                <w:sz w:val="24"/>
                <w:szCs w:val="24"/>
                <w:bdr w:val="none" w:color="auto" w:sz="0" w:space="0"/>
                <w:lang w:val="en-US" w:eastAsia="zh-CN" w:bidi="ar"/>
              </w:rPr>
              <w:t>日</w:t>
            </w:r>
          </w:p>
        </w:tc>
        <w:tc>
          <w:tcPr>
            <w:tcW w:w="289" w:type="dxa"/>
            <w:tcBorders>
              <w:top w:val="nil"/>
              <w:left w:val="nil"/>
              <w:bottom w:val="nil"/>
              <w:right w:val="nil"/>
            </w:tcBorders>
            <w:shd w:val="clear"/>
            <w:vAlign w:val="center"/>
          </w:tcPr>
          <w:p w14:paraId="3157ADD1">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p>
        </w:tc>
        <w:tc>
          <w:tcPr>
            <w:tcW w:w="4395" w:type="dxa"/>
            <w:tcBorders>
              <w:top w:val="nil"/>
              <w:left w:val="nil"/>
              <w:bottom w:val="nil"/>
              <w:right w:val="nil"/>
            </w:tcBorders>
            <w:shd w:val="clear"/>
            <w:vAlign w:val="center"/>
          </w:tcPr>
          <w:p w14:paraId="5712AD1D">
            <w:pPr>
              <w:keepNext w:val="0"/>
              <w:keepLines w:val="0"/>
              <w:widowControl w:val="0"/>
              <w:suppressLineNumbers w:val="0"/>
              <w:spacing w:before="0" w:beforeAutospacing="0" w:after="0" w:afterAutospacing="0"/>
              <w:ind w:left="0" w:right="11"/>
              <w:jc w:val="both"/>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日期：年</w:t>
            </w:r>
            <w:r>
              <w:rPr>
                <w:rFonts w:hint="eastAsia" w:ascii="Times New Roman" w:hAnsi="Times New Roman" w:eastAsia="宋体" w:cs="Times New Roman"/>
                <w:kern w:val="2"/>
                <w:sz w:val="24"/>
                <w:szCs w:val="24"/>
                <w:bdr w:val="none" w:color="auto" w:sz="0" w:space="0"/>
                <w:lang w:val="en-US" w:eastAsia="zh-CN" w:bidi="ar"/>
              </w:rPr>
              <w:t xml:space="preserve"> </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宋体" w:hAnsi="宋体" w:eastAsia="宋体" w:cs="宋体"/>
                <w:kern w:val="2"/>
                <w:sz w:val="24"/>
                <w:szCs w:val="24"/>
                <w:bdr w:val="none" w:color="auto" w:sz="0" w:space="0"/>
                <w:lang w:val="en-US" w:eastAsia="zh-CN" w:bidi="ar"/>
              </w:rPr>
              <w:t>月</w:t>
            </w:r>
            <w:r>
              <w:rPr>
                <w:rFonts w:hint="eastAsia" w:ascii="Times New Roman" w:hAnsi="Times New Roman" w:eastAsia="宋体" w:cs="Times New Roman"/>
                <w:kern w:val="2"/>
                <w:sz w:val="24"/>
                <w:szCs w:val="24"/>
                <w:bdr w:val="none" w:color="auto" w:sz="0" w:space="0"/>
                <w:lang w:val="en-US" w:eastAsia="zh-CN" w:bidi="ar"/>
              </w:rPr>
              <w:t xml:space="preserve"> </w:t>
            </w:r>
            <w:r>
              <w:rPr>
                <w:rFonts w:hint="default" w:ascii="Times New Roman" w:hAnsi="Times New Roman" w:eastAsia="宋体" w:cs="Times New Roman"/>
                <w:kern w:val="2"/>
                <w:sz w:val="24"/>
                <w:szCs w:val="24"/>
                <w:bdr w:val="none" w:color="auto" w:sz="0" w:space="0"/>
                <w:lang w:val="en-US" w:eastAsia="zh-CN" w:bidi="ar"/>
              </w:rPr>
              <w:t xml:space="preserve"> </w:t>
            </w:r>
            <w:r>
              <w:rPr>
                <w:rFonts w:hint="eastAsia" w:ascii="宋体" w:hAnsi="宋体" w:eastAsia="宋体" w:cs="宋体"/>
                <w:kern w:val="2"/>
                <w:sz w:val="24"/>
                <w:szCs w:val="24"/>
                <w:bdr w:val="none" w:color="auto" w:sz="0" w:space="0"/>
                <w:lang w:val="en-US" w:eastAsia="zh-CN" w:bidi="ar"/>
              </w:rPr>
              <w:t>日</w:t>
            </w:r>
          </w:p>
        </w:tc>
      </w:tr>
    </w:tbl>
    <w:p w14:paraId="308F76F1">
      <w:pPr>
        <w:keepNext w:val="0"/>
        <w:keepLines w:val="0"/>
        <w:widowControl w:val="0"/>
        <w:suppressLineNumbers w:val="0"/>
        <w:spacing w:before="0" w:beforeAutospacing="0" w:after="0" w:afterAutospacing="0"/>
        <w:ind w:left="0" w:right="0"/>
        <w:jc w:val="left"/>
        <w:rPr>
          <w:rFonts w:hint="eastAsia" w:ascii="宋体" w:hAnsi="宋体" w:eastAsia="宋体" w:cs="Times New Roman"/>
          <w:b/>
          <w:bCs w:val="0"/>
          <w:kern w:val="2"/>
          <w:sz w:val="22"/>
          <w:szCs w:val="22"/>
        </w:rPr>
      </w:pPr>
      <w:r>
        <w:rPr>
          <w:rFonts w:hint="eastAsia" w:ascii="宋体" w:hAnsi="宋体" w:eastAsia="宋体" w:cs="Times New Roman"/>
          <w:b/>
          <w:bCs w:val="0"/>
          <w:kern w:val="2"/>
          <w:sz w:val="22"/>
          <w:szCs w:val="22"/>
          <w:lang w:val="en-US" w:eastAsia="zh-CN" w:bidi="ar"/>
        </w:rPr>
        <w:t xml:space="preserve"> </w:t>
      </w:r>
    </w:p>
    <w:p w14:paraId="73454732">
      <w:pPr>
        <w:keepNext w:val="0"/>
        <w:keepLines w:val="0"/>
        <w:widowControl w:val="0"/>
        <w:suppressLineNumbers w:val="0"/>
        <w:spacing w:before="0" w:beforeAutospacing="0" w:after="0" w:afterAutospacing="0"/>
        <w:ind w:left="0" w:right="0"/>
        <w:jc w:val="left"/>
        <w:rPr>
          <w:rFonts w:hint="eastAsia" w:ascii="宋体" w:hAnsi="宋体" w:eastAsia="宋体" w:cs="Times New Roman"/>
          <w:b/>
          <w:bCs w:val="0"/>
          <w:kern w:val="2"/>
          <w:sz w:val="22"/>
          <w:szCs w:val="22"/>
        </w:rPr>
      </w:pPr>
      <w:r>
        <w:rPr>
          <w:rFonts w:hint="eastAsia" w:ascii="宋体" w:hAnsi="宋体" w:eastAsia="宋体" w:cs="Times New Roman"/>
          <w:b/>
          <w:bCs w:val="0"/>
          <w:kern w:val="2"/>
          <w:sz w:val="22"/>
          <w:szCs w:val="22"/>
          <w:lang w:val="en-US" w:eastAsia="zh-CN" w:bidi="ar"/>
        </w:rPr>
        <w:t xml:space="preserve"> </w:t>
      </w:r>
    </w:p>
    <w:p w14:paraId="55F89357">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0"/>
          <w:szCs w:val="20"/>
        </w:rPr>
      </w:pPr>
      <w:r>
        <w:rPr>
          <w:rFonts w:hint="eastAsia" w:ascii="宋体" w:hAnsi="宋体" w:eastAsia="宋体" w:cs="宋体"/>
          <w:b/>
          <w:bCs w:val="0"/>
          <w:kern w:val="2"/>
          <w:sz w:val="22"/>
          <w:szCs w:val="22"/>
          <w:lang w:val="en-US" w:eastAsia="zh-CN" w:bidi="ar"/>
        </w:rPr>
        <w:t>注：合同最终以采购人与中标人签订的合同为准。</w:t>
      </w:r>
    </w:p>
    <w:p w14:paraId="2F4BEDC6">
      <w:pPr>
        <w:spacing w:line="640" w:lineRule="exact"/>
        <w:rPr>
          <w:rFonts w:hint="default" w:asciiTheme="minorEastAsia" w:hAnsiTheme="minorEastAsia" w:eastAsiaTheme="minorEastAsia" w:cstheme="minorEastAsia"/>
          <w:b/>
          <w:bCs/>
          <w:color w:val="auto"/>
          <w:sz w:val="28"/>
          <w:szCs w:val="28"/>
          <w:highlight w:val="none"/>
          <w:lang w:val="en-US" w:eastAsia="zh-CN"/>
        </w:rPr>
        <w:sectPr>
          <w:footerReference r:id="rId7" w:type="default"/>
          <w:pgSz w:w="11906" w:h="16838"/>
          <w:pgMar w:top="1531" w:right="1474" w:bottom="1417" w:left="1701" w:header="851" w:footer="794" w:gutter="0"/>
          <w:cols w:space="720" w:num="1"/>
          <w:docGrid w:linePitch="312" w:charSpace="0"/>
        </w:sectPr>
      </w:pPr>
      <w:bookmarkStart w:id="139" w:name="_GoBack"/>
      <w:bookmarkEnd w:id="139"/>
    </w:p>
    <w:p w14:paraId="5AD29EC5">
      <w:pPr>
        <w:spacing w:line="480" w:lineRule="exact"/>
        <w:jc w:val="center"/>
        <w:outlineLvl w:val="0"/>
        <w:rPr>
          <w:color w:val="auto"/>
          <w:sz w:val="24"/>
          <w:highlight w:val="none"/>
        </w:rPr>
      </w:pPr>
      <w:r>
        <w:rPr>
          <w:rFonts w:hint="eastAsia" w:asciiTheme="minorEastAsia" w:hAnsiTheme="minorEastAsia" w:eastAsiaTheme="minorEastAsia" w:cstheme="minorEastAsia"/>
          <w:b/>
          <w:bCs/>
          <w:color w:val="auto"/>
          <w:sz w:val="28"/>
          <w:szCs w:val="28"/>
          <w:highlight w:val="none"/>
        </w:rPr>
        <w:t>第五章</w:t>
      </w:r>
      <w:bookmarkEnd w:id="10"/>
      <w:r>
        <w:rPr>
          <w:rFonts w:hint="eastAsia" w:asciiTheme="minorEastAsia" w:hAnsiTheme="minorEastAsia" w:eastAsiaTheme="minorEastAsia" w:cstheme="minorEastAsia"/>
          <w:b/>
          <w:bCs/>
          <w:color w:val="auto"/>
          <w:sz w:val="28"/>
          <w:szCs w:val="28"/>
          <w:highlight w:val="none"/>
        </w:rPr>
        <w:t xml:space="preserve">  </w:t>
      </w:r>
      <w:r>
        <w:rPr>
          <w:rFonts w:hint="eastAsia" w:ascii="宋体" w:hAnsi="宋体" w:cs="宋体"/>
          <w:b/>
          <w:bCs/>
          <w:color w:val="auto"/>
          <w:sz w:val="28"/>
          <w:szCs w:val="28"/>
          <w:highlight w:val="none"/>
        </w:rPr>
        <w:t>采购需求及技术要求</w:t>
      </w:r>
      <w:bookmarkEnd w:id="11"/>
    </w:p>
    <w:p w14:paraId="155FEC10">
      <w:pPr>
        <w:pStyle w:val="39"/>
        <w:jc w:val="center"/>
        <w:outlineLvl w:val="0"/>
        <w:rPr>
          <w:rFonts w:asciiTheme="minorEastAsia" w:hAnsiTheme="minorEastAsia" w:eastAsiaTheme="minorEastAsia" w:cstheme="minorEastAsia"/>
          <w:color w:val="auto"/>
          <w:sz w:val="28"/>
          <w:szCs w:val="28"/>
          <w:highlight w:val="none"/>
        </w:rPr>
      </w:pPr>
      <w:bookmarkStart w:id="13" w:name="_Toc32387"/>
    </w:p>
    <w:p w14:paraId="14947F17">
      <w:pPr>
        <w:pStyle w:val="39"/>
        <w:spacing w:line="360" w:lineRule="auto"/>
        <w:ind w:firstLine="560" w:firstLineChars="200"/>
        <w:jc w:val="both"/>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新疆维吾尔自治区某单位大宗物资采购项目（牛羊肉类），包含牛肉、羊肉及冻肉冻货等</w:t>
      </w:r>
    </w:p>
    <w:p w14:paraId="7BF1C8A5">
      <w:pPr>
        <w:pStyle w:val="39"/>
        <w:spacing w:line="360" w:lineRule="auto"/>
        <w:ind w:firstLine="562" w:firstLineChars="200"/>
        <w:outlineLvl w:val="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1、总体要求：投标人所提供的产品，各项指标必须符合中华人民共和国食品安全国家标准。</w:t>
      </w:r>
    </w:p>
    <w:p w14:paraId="659CC54B">
      <w:pPr>
        <w:pStyle w:val="39"/>
        <w:spacing w:line="360" w:lineRule="auto"/>
        <w:ind w:firstLine="562" w:firstLineChars="200"/>
        <w:outlineLvl w:val="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2、卫生指标:卫生指标符合卫生相关标准，肉类提供相关检疫证明。</w:t>
      </w:r>
    </w:p>
    <w:p w14:paraId="76C1DDFC">
      <w:pPr>
        <w:pStyle w:val="39"/>
        <w:spacing w:line="360" w:lineRule="auto"/>
        <w:ind w:firstLine="562" w:firstLineChars="200"/>
        <w:outlineLvl w:val="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3、质量要求：</w:t>
      </w:r>
    </w:p>
    <w:p w14:paraId="46F682F6">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（1）牛肉类质量标准符合国家标准。</w:t>
      </w:r>
    </w:p>
    <w:p w14:paraId="3BAD64D0">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（2）供货时需提供所供产品的相关报告。</w:t>
      </w:r>
    </w:p>
    <w:p w14:paraId="300CC88A">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（3）肉品有光泽，颜色正常，表面微干或湿润，无异味，无肉眼可见外来杂质。</w:t>
      </w:r>
    </w:p>
    <w:p w14:paraId="417CE89B">
      <w:pPr>
        <w:pStyle w:val="39"/>
        <w:spacing w:line="360" w:lineRule="auto"/>
        <w:ind w:left="420" w:left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牛肉确保为正规屠宰场宰杀的新鲜肉，色泽深红，表面光泽，脂肪呈微黄色，肉质有弹性，纹理清晰，有一定的筋膜。触摸不粘手、弹性好、无异味，严禁使用注水肉。运输采用真空包装或冷藏保鲜包装，确保卫生和保鲜，来自经过检疫合格的肉源，有相关的证明，严禁病死、毒死或者死因不明的畜禽肉及其制品。</w:t>
      </w:r>
    </w:p>
    <w:p w14:paraId="24D7CABB">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（5）羊肉：整羊重量在10--15公斤；羊排肋骨排列整齐，肥瘦相间，肉层厚实。肉色鲜艳，有光泽，不粘手。按压后能迅速恢复弹性，无血水渗出，无异味或腥臭味。</w:t>
      </w:r>
    </w:p>
    <w:p w14:paraId="117B9093">
      <w:pPr>
        <w:pStyle w:val="39"/>
        <w:spacing w:line="360" w:lineRule="auto"/>
        <w:ind w:firstLine="562"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4、包装要求：</w:t>
      </w:r>
    </w:p>
    <w:p w14:paraId="2ECCA862">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（1）包装使用塑料薄膜、纸制品、泡沫箱等,材料无毒、无害、无异味,具有一定透气性；</w:t>
      </w:r>
    </w:p>
    <w:p w14:paraId="62DB8076">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（2）包装材料应清洁、干燥,不得含有害物质,也不能对肉品造成污染；</w:t>
      </w:r>
    </w:p>
    <w:p w14:paraId="7CC1F997">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（3）肉品需配送前冷冻,去骨切块,尺寸以采购人订单为主；</w:t>
      </w:r>
    </w:p>
    <w:p w14:paraId="011CE042">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（4）解冻后,实际净重不得低于计划重量的 90%。</w:t>
      </w:r>
    </w:p>
    <w:p w14:paraId="26367B71">
      <w:pPr>
        <w:pStyle w:val="39"/>
        <w:spacing w:line="360" w:lineRule="auto"/>
        <w:ind w:firstLine="562" w:firstLineChars="200"/>
        <w:outlineLvl w:val="0"/>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5、配送要求：</w:t>
      </w:r>
    </w:p>
    <w:p w14:paraId="6819B479">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（1）所有食材运输符合卫生标准的外包装和运载工具，运载工具要保持清洁和定期消毒。运输车厢的内仓四周，应使用抗腐蚀、防潮，易清洁消毒的材料。车厢内无异味。</w:t>
      </w:r>
    </w:p>
    <w:p w14:paraId="22000443">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（2）冷藏、冷冻食材须用冷藏、冷冻载具运输，应当有必要的保温设备并在整个运输过程中保持安全的冷藏、冷冻温度，使运输食材处于恒定的环境中。</w:t>
      </w:r>
    </w:p>
    <w:p w14:paraId="2C170C62">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送货车辆实行配送圈运作，目的地在一小时内的用保温车配送，一小时以外的用制冷车配送，保证冷冻肉中心温度控制在-2°C~7°C的范围之内，保证运输过程冷链不中断。食材到达目的地时外包装箱干爽，无软化现象。</w:t>
      </w:r>
    </w:p>
    <w:p w14:paraId="7AA7F34A">
      <w:pPr>
        <w:pStyle w:val="39"/>
        <w:spacing w:line="360" w:lineRule="auto"/>
        <w:ind w:firstLine="562"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 w:val="28"/>
          <w:szCs w:val="28"/>
          <w:highlight w:val="none"/>
        </w:rPr>
        <w:t>6、商务要求：</w:t>
      </w:r>
    </w:p>
    <w:p w14:paraId="58076C67">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★（1）供货时间:在接到甲方的要货通知后24小时(最短时间)内及时送货至甲方指定地点。</w:t>
      </w:r>
    </w:p>
    <w:p w14:paraId="06B73DDE">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★（2）交货地点:甲方指定地点。</w:t>
      </w:r>
    </w:p>
    <w:p w14:paraId="7C5EE7F8">
      <w:pPr>
        <w:pStyle w:val="39"/>
        <w:spacing w:line="360" w:lineRule="auto"/>
        <w:ind w:firstLine="560" w:firstLineChars="200"/>
        <w:outlineLvl w:val="0"/>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注：供货价格以供货当日北园春集团官网同品类中间价为基准价。</w:t>
      </w:r>
    </w:p>
    <w:p w14:paraId="2C046389">
      <w:pPr>
        <w:rPr>
          <w:color w:val="auto"/>
          <w:highlight w:val="none"/>
        </w:rPr>
        <w:sectPr>
          <w:pgSz w:w="11906" w:h="16838"/>
          <w:pgMar w:top="1531" w:right="1474" w:bottom="1417" w:left="1701" w:header="851" w:footer="794" w:gutter="0"/>
          <w:cols w:space="720" w:num="1"/>
          <w:docGrid w:linePitch="312" w:charSpace="0"/>
        </w:sectPr>
      </w:pPr>
    </w:p>
    <w:p w14:paraId="76B4A31B">
      <w:pPr>
        <w:pStyle w:val="39"/>
        <w:jc w:val="center"/>
        <w:outlineLvl w:val="0"/>
        <w:rPr>
          <w:color w:val="auto"/>
          <w:highlight w:val="none"/>
        </w:rPr>
      </w:pPr>
      <w:r>
        <w:rPr>
          <w:rFonts w:hint="eastAsia" w:asciiTheme="minorEastAsia" w:hAnsiTheme="minorEastAsia" w:eastAsiaTheme="minorEastAsia" w:cstheme="minorEastAsia"/>
          <w:b/>
          <w:bCs/>
          <w:color w:val="auto"/>
          <w:sz w:val="28"/>
          <w:szCs w:val="28"/>
          <w:highlight w:val="none"/>
        </w:rPr>
        <w:t>第六章  评标标准及办法</w:t>
      </w:r>
      <w:bookmarkEnd w:id="13"/>
    </w:p>
    <w:p w14:paraId="132A92B8">
      <w:pP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1、符合性审查</w:t>
      </w:r>
    </w:p>
    <w:tbl>
      <w:tblPr>
        <w:tblStyle w:val="30"/>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620"/>
        <w:gridCol w:w="2924"/>
        <w:gridCol w:w="5540"/>
      </w:tblGrid>
      <w:tr w14:paraId="0D28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01" w:type="dxa"/>
            <w:vMerge w:val="restart"/>
            <w:vAlign w:val="center"/>
          </w:tcPr>
          <w:p w14:paraId="6C198133">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符合性审查</w:t>
            </w:r>
          </w:p>
        </w:tc>
        <w:tc>
          <w:tcPr>
            <w:tcW w:w="620" w:type="dxa"/>
            <w:vAlign w:val="center"/>
          </w:tcPr>
          <w:p w14:paraId="5E44C19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2924" w:type="dxa"/>
            <w:vAlign w:val="center"/>
          </w:tcPr>
          <w:p w14:paraId="2E01E2CA">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供应商名称</w:t>
            </w:r>
          </w:p>
        </w:tc>
        <w:tc>
          <w:tcPr>
            <w:tcW w:w="5540" w:type="dxa"/>
            <w:vAlign w:val="center"/>
          </w:tcPr>
          <w:p w14:paraId="54FC709B">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供应商名称是否与营业执照及相关资质证件一致</w:t>
            </w:r>
          </w:p>
        </w:tc>
      </w:tr>
      <w:tr w14:paraId="7214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Merge w:val="continue"/>
            <w:vAlign w:val="center"/>
          </w:tcPr>
          <w:p w14:paraId="5CCA207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vAlign w:val="center"/>
          </w:tcPr>
          <w:p w14:paraId="4AA09070">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2924" w:type="dxa"/>
            <w:vAlign w:val="center"/>
          </w:tcPr>
          <w:p w14:paraId="419819C9">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投文件签署、盖章</w:t>
            </w:r>
          </w:p>
        </w:tc>
        <w:tc>
          <w:tcPr>
            <w:tcW w:w="5540" w:type="dxa"/>
            <w:vAlign w:val="center"/>
          </w:tcPr>
          <w:p w14:paraId="23F90E27">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响应文件（首页及内容）是否按采购文件规定格式完整提供，是否对采购文件的实质性内容完全响应，并按采购文件要求签署、盖章</w:t>
            </w:r>
          </w:p>
        </w:tc>
      </w:tr>
      <w:tr w14:paraId="5A1B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vMerge w:val="continue"/>
            <w:vAlign w:val="center"/>
          </w:tcPr>
          <w:p w14:paraId="07453C75">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vAlign w:val="center"/>
          </w:tcPr>
          <w:p w14:paraId="6BC4D344">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2924" w:type="dxa"/>
            <w:vAlign w:val="center"/>
          </w:tcPr>
          <w:p w14:paraId="0F8DBD04">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供货期、服务期限及投标有效期</w:t>
            </w:r>
          </w:p>
        </w:tc>
        <w:tc>
          <w:tcPr>
            <w:tcW w:w="5540" w:type="dxa"/>
            <w:vAlign w:val="center"/>
          </w:tcPr>
          <w:p w14:paraId="44014CB2">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供货期、服务期限及投标有效期等是否满足采购文件要求</w:t>
            </w:r>
          </w:p>
        </w:tc>
      </w:tr>
      <w:tr w14:paraId="30B4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01" w:type="dxa"/>
            <w:vMerge w:val="continue"/>
            <w:vAlign w:val="center"/>
          </w:tcPr>
          <w:p w14:paraId="372523BB">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shd w:val="clear" w:color="auto" w:fill="auto"/>
            <w:vAlign w:val="center"/>
          </w:tcPr>
          <w:p w14:paraId="4556BE13">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2924" w:type="dxa"/>
            <w:shd w:val="clear" w:color="auto" w:fill="auto"/>
            <w:vAlign w:val="center"/>
          </w:tcPr>
          <w:p w14:paraId="20709169">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kern w:val="0"/>
                <w:sz w:val="24"/>
                <w:highlight w:val="none"/>
              </w:rPr>
              <w:t>投标报价</w:t>
            </w:r>
          </w:p>
        </w:tc>
        <w:tc>
          <w:tcPr>
            <w:tcW w:w="5540" w:type="dxa"/>
            <w:shd w:val="clear" w:color="auto" w:fill="auto"/>
            <w:vAlign w:val="center"/>
          </w:tcPr>
          <w:p w14:paraId="70622174">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供应商的投标报价未超出本项目的最高限价且报价唯一</w:t>
            </w:r>
          </w:p>
        </w:tc>
      </w:tr>
      <w:tr w14:paraId="58F2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1" w:type="dxa"/>
            <w:vMerge w:val="continue"/>
            <w:vAlign w:val="center"/>
          </w:tcPr>
          <w:p w14:paraId="3EA36A85">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shd w:val="clear" w:color="auto" w:fill="auto"/>
            <w:vAlign w:val="center"/>
          </w:tcPr>
          <w:p w14:paraId="33A2B1C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2924" w:type="dxa"/>
            <w:shd w:val="clear" w:color="auto" w:fill="auto"/>
            <w:vAlign w:val="center"/>
          </w:tcPr>
          <w:p w14:paraId="7CF3F1CB">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供应商投标报价合理性审查</w:t>
            </w:r>
          </w:p>
        </w:tc>
        <w:tc>
          <w:tcPr>
            <w:tcW w:w="5540" w:type="dxa"/>
            <w:shd w:val="clear" w:color="auto" w:fill="auto"/>
            <w:vAlign w:val="center"/>
          </w:tcPr>
          <w:p w14:paraId="71E69E56">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评标委员会认为供应商的报价明显低于其他通过符合性审查供应商的报价，有可能影响产品质量或者不能诚信履约的，应当要求其在评标现场合理的时间内提供相关说明，必要时提交相关证明材料；供应商不能证明其报价合理性的，评标委员会应当将其作为无效投标处理。此项审查结果不予通过</w:t>
            </w:r>
          </w:p>
        </w:tc>
      </w:tr>
      <w:tr w14:paraId="228C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1" w:type="dxa"/>
            <w:vMerge w:val="continue"/>
            <w:vAlign w:val="center"/>
          </w:tcPr>
          <w:p w14:paraId="6D636429">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shd w:val="clear" w:color="auto" w:fill="auto"/>
            <w:vAlign w:val="center"/>
          </w:tcPr>
          <w:p w14:paraId="4BAD843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2924" w:type="dxa"/>
            <w:shd w:val="clear" w:color="auto" w:fill="auto"/>
            <w:vAlign w:val="center"/>
          </w:tcPr>
          <w:p w14:paraId="0FBA9C6E">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供应商是否缴纳投标保证金</w:t>
            </w:r>
          </w:p>
        </w:tc>
        <w:tc>
          <w:tcPr>
            <w:tcW w:w="5540" w:type="dxa"/>
            <w:shd w:val="clear" w:color="auto" w:fill="auto"/>
            <w:vAlign w:val="center"/>
          </w:tcPr>
          <w:p w14:paraId="3C13666A">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以支票、汇票、本票、转账、电汇或者金融机构、担保机构出具的保函等非现金形式提交；（提供相关证明材料）</w:t>
            </w:r>
          </w:p>
        </w:tc>
      </w:tr>
      <w:tr w14:paraId="60E3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1" w:type="dxa"/>
            <w:vMerge w:val="continue"/>
            <w:vAlign w:val="center"/>
          </w:tcPr>
          <w:p w14:paraId="29B1BCD5">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shd w:val="clear" w:color="auto" w:fill="auto"/>
            <w:vAlign w:val="center"/>
          </w:tcPr>
          <w:p w14:paraId="199A38E8">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2924" w:type="dxa"/>
            <w:shd w:val="clear" w:color="auto" w:fill="auto"/>
            <w:vAlign w:val="center"/>
          </w:tcPr>
          <w:p w14:paraId="359DFAFB">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采购范围</w:t>
            </w:r>
          </w:p>
        </w:tc>
        <w:tc>
          <w:tcPr>
            <w:tcW w:w="5540" w:type="dxa"/>
            <w:shd w:val="clear" w:color="auto" w:fill="auto"/>
            <w:vAlign w:val="center"/>
          </w:tcPr>
          <w:p w14:paraId="2AA44A47">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投标文件载明的采购范围是否符合采购文件的要求，供应商必须按采购文件要求应答，否则做否决处理。</w:t>
            </w:r>
          </w:p>
        </w:tc>
      </w:tr>
      <w:tr w14:paraId="6CD2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1" w:type="dxa"/>
            <w:vMerge w:val="continue"/>
            <w:vAlign w:val="center"/>
          </w:tcPr>
          <w:p w14:paraId="227A0985">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shd w:val="clear" w:color="auto" w:fill="auto"/>
            <w:vAlign w:val="center"/>
          </w:tcPr>
          <w:p w14:paraId="3055E51F">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2924" w:type="dxa"/>
            <w:shd w:val="clear" w:color="auto" w:fill="auto"/>
            <w:vAlign w:val="center"/>
          </w:tcPr>
          <w:p w14:paraId="0E7E5C14">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实质性条款</w:t>
            </w:r>
          </w:p>
        </w:tc>
        <w:tc>
          <w:tcPr>
            <w:tcW w:w="5540" w:type="dxa"/>
            <w:shd w:val="clear" w:color="auto" w:fill="auto"/>
            <w:vAlign w:val="center"/>
          </w:tcPr>
          <w:p w14:paraId="78D2D470">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投标文件中载明的实质性条款及实质性格式均符合招标文件要求无偏离。</w:t>
            </w:r>
          </w:p>
        </w:tc>
      </w:tr>
      <w:tr w14:paraId="2F3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1" w:type="dxa"/>
            <w:vMerge w:val="continue"/>
            <w:vAlign w:val="center"/>
          </w:tcPr>
          <w:p w14:paraId="53B0F68B">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vAlign w:val="center"/>
          </w:tcPr>
          <w:p w14:paraId="2D8910C0">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2924" w:type="dxa"/>
            <w:shd w:val="clear" w:color="auto" w:fill="auto"/>
            <w:vAlign w:val="center"/>
          </w:tcPr>
          <w:p w14:paraId="523051AE">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串通投标</w:t>
            </w:r>
          </w:p>
        </w:tc>
        <w:tc>
          <w:tcPr>
            <w:tcW w:w="5540" w:type="dxa"/>
            <w:shd w:val="clear" w:color="auto" w:fill="auto"/>
            <w:vAlign w:val="center"/>
          </w:tcPr>
          <w:p w14:paraId="076AC688">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不存在《政府采购货物和服务招标投标管理办法》视为供应商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5C7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1" w:type="dxa"/>
            <w:vMerge w:val="continue"/>
            <w:vAlign w:val="center"/>
          </w:tcPr>
          <w:p w14:paraId="5D5FB98F">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620" w:type="dxa"/>
            <w:vAlign w:val="center"/>
          </w:tcPr>
          <w:p w14:paraId="7139FA52">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2924" w:type="dxa"/>
            <w:shd w:val="clear" w:color="auto" w:fill="auto"/>
            <w:vAlign w:val="center"/>
          </w:tcPr>
          <w:p w14:paraId="6B9AC463">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其他无效情形</w:t>
            </w:r>
          </w:p>
        </w:tc>
        <w:tc>
          <w:tcPr>
            <w:tcW w:w="5540" w:type="dxa"/>
            <w:shd w:val="clear" w:color="auto" w:fill="auto"/>
            <w:vAlign w:val="center"/>
          </w:tcPr>
          <w:p w14:paraId="0978F669">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color w:val="auto"/>
                <w:sz w:val="24"/>
                <w:highlight w:val="none"/>
              </w:rPr>
              <w:t>投标文件未附有采购人不能接受的附加条件及法律、法规和采购文件规定的实质性要求。</w:t>
            </w:r>
          </w:p>
        </w:tc>
      </w:tr>
      <w:tr w14:paraId="1723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785" w:type="dxa"/>
            <w:gridSpan w:val="4"/>
            <w:vAlign w:val="center"/>
          </w:tcPr>
          <w:p w14:paraId="7A701E9E">
            <w:pPr>
              <w:keepNext w:val="0"/>
              <w:keepLines w:val="0"/>
              <w:suppressLineNumbers w:val="0"/>
              <w:spacing w:before="0" w:beforeAutospacing="0" w:after="0" w:afterAutospacing="0"/>
              <w:ind w:left="0" w:right="0"/>
              <w:rPr>
                <w:rFonts w:hint="default" w:ascii="宋体" w:hAnsi="宋体" w:cs="宋体"/>
                <w:color w:val="auto"/>
                <w:sz w:val="24"/>
                <w:highlight w:val="none"/>
              </w:rPr>
            </w:pPr>
            <w:r>
              <w:rPr>
                <w:rFonts w:hint="eastAsia" w:ascii="宋体" w:hAnsi="宋体" w:cs="宋体"/>
                <w:b/>
                <w:bCs/>
                <w:color w:val="auto"/>
                <w:sz w:val="24"/>
                <w:highlight w:val="none"/>
              </w:rPr>
              <w:t>符合性检查不通过者，作无效标处理，不得进入下一环节评审。</w:t>
            </w:r>
          </w:p>
        </w:tc>
      </w:tr>
    </w:tbl>
    <w:p w14:paraId="0631156F">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注：异常低价投标（响应）审查：</w:t>
      </w:r>
    </w:p>
    <w:p w14:paraId="091E6402">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（一）审查依据</w:t>
      </w:r>
    </w:p>
    <w:p w14:paraId="43E3CFC1">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依据《中华人民共和国政府采购法》《中华人民共和国政府采购法实施条例》及财政部2026年2号文件《关于加强政府采购异常低价投标（响应）认定与审查工作的通知》等相关规定，本项目评标委员会对投标（响应）报价开展异常低价审查工作。</w:t>
      </w:r>
    </w:p>
    <w:p w14:paraId="03F9F618">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（二）异常低价情形认定投标（响应）投标人出现下列情形之一的，评标委员会将启动异常低价审查程序：</w:t>
      </w:r>
    </w:p>
    <w:p w14:paraId="18234B0F">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（1）投标（响应）报价低于全部通过符合性审查投标人报价平均值的65%；</w:t>
      </w:r>
    </w:p>
    <w:p w14:paraId="3ED7D585">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（2）投标（响应）报价低于通过符合性审查次低报价的65%；</w:t>
      </w:r>
    </w:p>
    <w:p w14:paraId="137C12AC">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（3）投标（响应）报价低于本项目最高限价的65%；</w:t>
      </w:r>
    </w:p>
    <w:p w14:paraId="0570693D">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（4）评标委员会基于专业判断，认为报价过低可能影响项目履约质量、不能满足采购需求与技术参数或无法诚信履约的其他情形。</w:t>
      </w:r>
    </w:p>
    <w:p w14:paraId="5696AD2A">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（三）审查要求及处理</w:t>
      </w:r>
    </w:p>
    <w:p w14:paraId="51CD7FBC">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被启动审查的投标人，须在合理时间内（不少于30分钟），就报价合理性提交书面说明，并提供项目成本测算明细、原材料采购意向协议、人工成本核算依据等可核验的证明材料。</w:t>
      </w:r>
    </w:p>
    <w:p w14:paraId="40F23081">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投标人未按要求提交说明及证明材料，或提交的材料无法有效证明报价合理性的，评标委员会将其投标（响应）作无效处理。</w:t>
      </w:r>
    </w:p>
    <w:p w14:paraId="7D7D3191">
      <w:pPr>
        <w:spacing w:line="360" w:lineRule="auto"/>
        <w:ind w:firstLine="480" w:firstLineChars="200"/>
        <w:jc w:val="left"/>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异常低价审查的全过程及结论，由评标委员会如实记入评审报告，随招标项目档案一并存档备查。</w:t>
      </w:r>
    </w:p>
    <w:p w14:paraId="70789E68">
      <w:pPr>
        <w:rPr>
          <w:rFonts w:asciiTheme="minorEastAsia" w:hAnsiTheme="minorEastAsia" w:eastAsiaTheme="minorEastAsia" w:cstheme="minorEastAsia"/>
          <w:b/>
          <w:bCs/>
          <w:color w:val="auto"/>
          <w:sz w:val="24"/>
          <w:highlight w:val="none"/>
        </w:rPr>
      </w:pPr>
    </w:p>
    <w:p w14:paraId="2B1B9963">
      <w:pP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2、详细评审</w:t>
      </w:r>
    </w:p>
    <w:p w14:paraId="11B6C698">
      <w:pPr>
        <w:spacing w:line="360" w:lineRule="auto"/>
        <w:ind w:firstLine="480" w:firstLineChars="200"/>
        <w:jc w:val="left"/>
        <w:rPr>
          <w:rStyle w:val="83"/>
          <w:color w:val="auto"/>
          <w:highlight w:val="none"/>
        </w:rPr>
      </w:pPr>
      <w:r>
        <w:rPr>
          <w:rFonts w:hint="eastAsia" w:asciiTheme="minorEastAsia" w:hAnsiTheme="minorEastAsia" w:eastAsiaTheme="minorEastAsia" w:cstheme="minorEastAsia"/>
          <w:bCs/>
          <w:color w:val="auto"/>
          <w:sz w:val="24"/>
          <w:highlight w:val="none"/>
        </w:rPr>
        <w:t>评标委员会将采用综合评分法对响应文件所载明的供应商的投标报价、响应文件的业绩、项目经验等内容进行打分，依据得分从高到低的顺序最终确定成交单位（推荐中标候选人）。评审标准为100分，经济部分占30分、商务技术部分占70分,最终得分=经济得分+商务技术得分，具体评分标准如下：</w:t>
      </w:r>
    </w:p>
    <w:tbl>
      <w:tblPr>
        <w:tblStyle w:val="29"/>
        <w:tblpPr w:leftFromText="180" w:rightFromText="180" w:vertAnchor="text" w:horzAnchor="page" w:tblpXSpec="center" w:tblpY="548"/>
        <w:tblOverlap w:val="never"/>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3"/>
        <w:gridCol w:w="1808"/>
        <w:gridCol w:w="792"/>
        <w:gridCol w:w="6516"/>
      </w:tblGrid>
      <w:tr w14:paraId="596EE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2781" w:type="dxa"/>
            <w:gridSpan w:val="2"/>
            <w:tcBorders>
              <w:top w:val="single" w:color="auto" w:sz="4" w:space="0"/>
              <w:left w:val="single" w:color="auto" w:sz="4" w:space="0"/>
              <w:bottom w:val="single" w:color="auto" w:sz="4" w:space="0"/>
              <w:right w:val="single" w:color="auto" w:sz="4" w:space="0"/>
            </w:tcBorders>
          </w:tcPr>
          <w:p w14:paraId="4F39F222">
            <w:pPr>
              <w:keepNext w:val="0"/>
              <w:keepLines w:val="0"/>
              <w:suppressLineNumbers w:val="0"/>
              <w:adjustRightInd w:val="0"/>
              <w:spacing w:before="0" w:beforeAutospacing="0" w:after="0" w:afterAutospacing="0" w:line="360" w:lineRule="auto"/>
              <w:ind w:left="0" w:right="0"/>
              <w:jc w:val="center"/>
              <w:textAlignment w:val="baseline"/>
              <w:rPr>
                <w:rFonts w:hint="default"/>
                <w:b/>
                <w:color w:val="auto"/>
                <w:sz w:val="24"/>
                <w:highlight w:val="none"/>
              </w:rPr>
            </w:pPr>
            <w:r>
              <w:rPr>
                <w:rFonts w:hint="eastAsia"/>
                <w:b/>
                <w:color w:val="auto"/>
                <w:sz w:val="24"/>
                <w:highlight w:val="none"/>
              </w:rPr>
              <w:t>评审项目</w:t>
            </w:r>
          </w:p>
        </w:tc>
        <w:tc>
          <w:tcPr>
            <w:tcW w:w="792" w:type="dxa"/>
            <w:tcBorders>
              <w:top w:val="single" w:color="auto" w:sz="4" w:space="0"/>
              <w:left w:val="single" w:color="auto" w:sz="4" w:space="0"/>
              <w:bottom w:val="single" w:color="auto" w:sz="4" w:space="0"/>
              <w:right w:val="single" w:color="auto" w:sz="4" w:space="0"/>
            </w:tcBorders>
          </w:tcPr>
          <w:p w14:paraId="06816208">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b/>
                <w:color w:val="auto"/>
                <w:sz w:val="24"/>
                <w:highlight w:val="none"/>
              </w:rPr>
              <w:t>分值</w:t>
            </w:r>
          </w:p>
        </w:tc>
        <w:tc>
          <w:tcPr>
            <w:tcW w:w="6516" w:type="dxa"/>
            <w:tcBorders>
              <w:top w:val="single" w:color="auto" w:sz="4" w:space="0"/>
              <w:left w:val="single" w:color="auto" w:sz="4" w:space="0"/>
              <w:bottom w:val="single" w:color="auto" w:sz="4" w:space="0"/>
              <w:right w:val="single" w:color="auto" w:sz="4" w:space="0"/>
            </w:tcBorders>
          </w:tcPr>
          <w:p w14:paraId="4A5314EA">
            <w:pPr>
              <w:keepNext w:val="0"/>
              <w:keepLines w:val="0"/>
              <w:suppressLineNumbers w:val="0"/>
              <w:adjustRightInd w:val="0"/>
              <w:spacing w:before="0" w:beforeAutospacing="0" w:after="0" w:afterAutospacing="0" w:line="360" w:lineRule="auto"/>
              <w:ind w:left="0" w:right="0"/>
              <w:jc w:val="center"/>
              <w:textAlignment w:val="baseline"/>
              <w:rPr>
                <w:rFonts w:hint="default"/>
                <w:color w:val="auto"/>
                <w:szCs w:val="21"/>
                <w:highlight w:val="none"/>
              </w:rPr>
            </w:pPr>
            <w:r>
              <w:rPr>
                <w:rFonts w:hint="eastAsia"/>
                <w:b/>
                <w:color w:val="auto"/>
                <w:sz w:val="24"/>
                <w:highlight w:val="none"/>
              </w:rPr>
              <w:t>评审内容</w:t>
            </w:r>
          </w:p>
        </w:tc>
      </w:tr>
      <w:tr w14:paraId="343E4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973" w:type="dxa"/>
            <w:tcBorders>
              <w:top w:val="single" w:color="auto" w:sz="4" w:space="0"/>
              <w:left w:val="single" w:color="auto" w:sz="4" w:space="0"/>
              <w:bottom w:val="single" w:color="auto" w:sz="4" w:space="0"/>
              <w:right w:val="single" w:color="auto" w:sz="4" w:space="0"/>
            </w:tcBorders>
            <w:vAlign w:val="center"/>
          </w:tcPr>
          <w:p w14:paraId="6E138153">
            <w:pPr>
              <w:keepNext w:val="0"/>
              <w:keepLines w:val="0"/>
              <w:suppressLineNumbers w:val="0"/>
              <w:adjustRightInd w:val="0"/>
              <w:snapToGrid w:val="0"/>
              <w:spacing w:before="0" w:beforeAutospacing="0" w:after="0" w:afterAutospacing="0" w:line="360" w:lineRule="exact"/>
              <w:ind w:left="0" w:right="0"/>
              <w:jc w:val="center"/>
              <w:textAlignment w:val="baseline"/>
              <w:rPr>
                <w:rFonts w:hint="default"/>
                <w:color w:val="auto"/>
                <w:sz w:val="24"/>
                <w:highlight w:val="none"/>
              </w:rPr>
            </w:pPr>
            <w:r>
              <w:rPr>
                <w:rFonts w:hint="eastAsia"/>
                <w:color w:val="auto"/>
                <w:sz w:val="24"/>
                <w:highlight w:val="none"/>
              </w:rPr>
              <w:t>价格部分</w:t>
            </w:r>
          </w:p>
          <w:p w14:paraId="42C6186E">
            <w:pPr>
              <w:keepNext w:val="0"/>
              <w:keepLines w:val="0"/>
              <w:suppressLineNumbers w:val="0"/>
              <w:adjustRightInd w:val="0"/>
              <w:spacing w:before="0" w:beforeAutospacing="0" w:after="0" w:afterAutospacing="0" w:line="360" w:lineRule="auto"/>
              <w:ind w:left="0" w:right="0"/>
              <w:jc w:val="center"/>
              <w:textAlignment w:val="baseline"/>
              <w:rPr>
                <w:rFonts w:hint="default"/>
                <w:b/>
                <w:color w:val="auto"/>
                <w:sz w:val="24"/>
                <w:highlight w:val="none"/>
              </w:rPr>
            </w:pPr>
            <w:r>
              <w:rPr>
                <w:rFonts w:hint="eastAsia"/>
                <w:color w:val="auto"/>
                <w:sz w:val="24"/>
                <w:highlight w:val="none"/>
              </w:rPr>
              <w:t>（30）</w:t>
            </w:r>
          </w:p>
        </w:tc>
        <w:tc>
          <w:tcPr>
            <w:tcW w:w="1808" w:type="dxa"/>
            <w:tcBorders>
              <w:top w:val="single" w:color="auto" w:sz="4" w:space="0"/>
              <w:left w:val="single" w:color="auto" w:sz="4" w:space="0"/>
              <w:bottom w:val="single" w:color="auto" w:sz="4" w:space="0"/>
              <w:right w:val="single" w:color="auto" w:sz="4" w:space="0"/>
            </w:tcBorders>
            <w:vAlign w:val="center"/>
          </w:tcPr>
          <w:p w14:paraId="7F56EDE3">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color w:val="auto"/>
                <w:sz w:val="24"/>
                <w:highlight w:val="none"/>
              </w:rPr>
              <w:t>报价</w:t>
            </w:r>
          </w:p>
        </w:tc>
        <w:tc>
          <w:tcPr>
            <w:tcW w:w="792" w:type="dxa"/>
            <w:tcBorders>
              <w:top w:val="single" w:color="auto" w:sz="4" w:space="0"/>
              <w:left w:val="single" w:color="auto" w:sz="4" w:space="0"/>
              <w:bottom w:val="single" w:color="auto" w:sz="4" w:space="0"/>
              <w:right w:val="single" w:color="auto" w:sz="4" w:space="0"/>
            </w:tcBorders>
            <w:vAlign w:val="center"/>
          </w:tcPr>
          <w:p w14:paraId="7334411A">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bCs/>
                <w:color w:val="auto"/>
                <w:sz w:val="24"/>
                <w:highlight w:val="none"/>
              </w:rPr>
              <w:t>30</w:t>
            </w:r>
          </w:p>
        </w:tc>
        <w:tc>
          <w:tcPr>
            <w:tcW w:w="6516" w:type="dxa"/>
            <w:tcBorders>
              <w:top w:val="single" w:color="auto" w:sz="4" w:space="0"/>
              <w:left w:val="single" w:color="auto" w:sz="4" w:space="0"/>
              <w:bottom w:val="single" w:color="auto" w:sz="4" w:space="0"/>
              <w:right w:val="single" w:color="auto" w:sz="4" w:space="0"/>
            </w:tcBorders>
            <w:vAlign w:val="center"/>
          </w:tcPr>
          <w:p w14:paraId="3F3458AA">
            <w:pPr>
              <w:pStyle w:val="82"/>
              <w:keepNext w:val="0"/>
              <w:keepLines w:val="0"/>
              <w:widowControl/>
              <w:suppressLineNumbers w:val="0"/>
              <w:spacing w:before="0" w:beforeAutospacing="0" w:after="0" w:afterAutospacing="0" w:line="240" w:lineRule="auto"/>
              <w:ind w:left="0" w:right="0" w:firstLine="0" w:firstLineChars="0"/>
              <w:rPr>
                <w:rFonts w:hint="default"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bidi="ar"/>
              </w:rPr>
              <w:t>满足采购文件要求且折扣率最低的有效投标报价为评标基准价。其他投标人的价格分统一按照下列公式计算：</w:t>
            </w:r>
          </w:p>
          <w:p w14:paraId="5C015431">
            <w:pPr>
              <w:keepNext w:val="0"/>
              <w:keepLines w:val="0"/>
              <w:widowControl/>
              <w:suppressLineNumbers w:val="0"/>
              <w:spacing w:before="0" w:beforeAutospacing="0" w:after="0" w:afterAutospacing="0"/>
              <w:ind w:left="0" w:right="0"/>
              <w:jc w:val="left"/>
              <w:rPr>
                <w:rFonts w:hint="default" w:ascii="宋体" w:hAnsi="宋体" w:cs="宋体"/>
                <w:color w:val="auto"/>
                <w:sz w:val="24"/>
                <w:highlight w:val="none"/>
                <w:lang w:bidi="ar"/>
              </w:rPr>
            </w:pPr>
            <w:r>
              <w:rPr>
                <w:rFonts w:hint="eastAsia" w:ascii="宋体" w:hAnsi="宋体" w:cs="宋体"/>
                <w:color w:val="auto"/>
                <w:sz w:val="24"/>
                <w:highlight w:val="none"/>
                <w:lang w:bidi="ar"/>
              </w:rPr>
              <w:t>报价得分=(评标基准价/投标报价)×30%×100；</w:t>
            </w:r>
            <w:r>
              <w:rPr>
                <w:rFonts w:hint="eastAsia" w:ascii="宋体" w:hAnsi="宋体" w:cs="宋体"/>
                <w:color w:val="auto"/>
                <w:kern w:val="0"/>
                <w:sz w:val="24"/>
                <w:highlight w:val="none"/>
                <w:lang w:bidi="ar"/>
              </w:rPr>
              <w:t>（保留小数点后两位）</w:t>
            </w:r>
          </w:p>
          <w:p w14:paraId="66993F0A">
            <w:pPr>
              <w:keepNext w:val="0"/>
              <w:keepLines w:val="0"/>
              <w:suppressLineNumbers w:val="0"/>
              <w:adjustRightInd w:val="0"/>
              <w:snapToGrid w:val="0"/>
              <w:spacing w:before="0" w:beforeAutospacing="0" w:after="0" w:afterAutospacing="0" w:line="360" w:lineRule="exact"/>
              <w:ind w:left="0" w:right="0"/>
              <w:textAlignment w:val="baseline"/>
              <w:rPr>
                <w:rFonts w:hint="default"/>
                <w:b/>
                <w:bCs/>
                <w:color w:val="auto"/>
                <w:sz w:val="24"/>
                <w:highlight w:val="none"/>
              </w:rPr>
            </w:pPr>
            <w:r>
              <w:rPr>
                <w:rFonts w:hint="eastAsia" w:cs="仿宋_GB2312"/>
                <w:b/>
                <w:bCs/>
                <w:color w:val="auto"/>
                <w:sz w:val="24"/>
                <w:highlight w:val="none"/>
              </w:rPr>
              <w:t>以上所有报价得分小数点后保留两位，报价得负分时按0分计取。</w:t>
            </w:r>
          </w:p>
          <w:p w14:paraId="66BEAB48">
            <w:pPr>
              <w:keepNext w:val="0"/>
              <w:keepLines w:val="0"/>
              <w:suppressLineNumbers w:val="0"/>
              <w:adjustRightInd w:val="0"/>
              <w:snapToGrid w:val="0"/>
              <w:spacing w:before="0" w:beforeAutospacing="0" w:after="0" w:afterAutospacing="0" w:line="360" w:lineRule="exact"/>
              <w:ind w:left="0" w:right="0"/>
              <w:textAlignment w:val="baseline"/>
              <w:rPr>
                <w:rFonts w:hint="default"/>
                <w:b/>
                <w:bCs/>
                <w:color w:val="auto"/>
                <w:sz w:val="24"/>
                <w:highlight w:val="none"/>
              </w:rPr>
            </w:pPr>
            <w:r>
              <w:rPr>
                <w:rFonts w:hint="eastAsia"/>
                <w:b/>
                <w:bCs/>
                <w:color w:val="auto"/>
                <w:sz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特别是对于投入人员及相关设备等成本合理性的说明），其投标将被作为无效投标。</w:t>
            </w:r>
          </w:p>
          <w:p w14:paraId="2455D3D9">
            <w:pPr>
              <w:keepNext w:val="0"/>
              <w:keepLines w:val="0"/>
              <w:suppressLineNumbers w:val="0"/>
              <w:adjustRightInd w:val="0"/>
              <w:spacing w:before="0" w:beforeAutospacing="0" w:after="0" w:afterAutospacing="0" w:line="320" w:lineRule="exact"/>
              <w:ind w:left="0" w:right="0"/>
              <w:textAlignment w:val="baseline"/>
              <w:rPr>
                <w:rFonts w:hint="default"/>
                <w:color w:val="auto"/>
                <w:sz w:val="24"/>
                <w:highlight w:val="none"/>
              </w:rPr>
            </w:pPr>
            <w:r>
              <w:rPr>
                <w:rFonts w:hint="eastAsia"/>
                <w:b/>
                <w:bCs/>
                <w:color w:val="auto"/>
                <w:sz w:val="24"/>
                <w:highlight w:val="none"/>
              </w:rPr>
              <w:t>本项目的价格权重为30%。</w:t>
            </w:r>
          </w:p>
        </w:tc>
      </w:tr>
      <w:tr w14:paraId="36121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973" w:type="dxa"/>
            <w:vMerge w:val="restart"/>
            <w:tcBorders>
              <w:top w:val="single" w:color="auto" w:sz="4" w:space="0"/>
              <w:left w:val="single" w:color="auto" w:sz="4" w:space="0"/>
              <w:right w:val="single" w:color="auto" w:sz="4" w:space="0"/>
            </w:tcBorders>
            <w:vAlign w:val="center"/>
          </w:tcPr>
          <w:p w14:paraId="57784E22">
            <w:pPr>
              <w:keepNext w:val="0"/>
              <w:keepLines w:val="0"/>
              <w:suppressLineNumbers w:val="0"/>
              <w:adjustRightInd w:val="0"/>
              <w:spacing w:before="0" w:beforeAutospacing="0" w:after="0" w:afterAutospacing="0" w:line="360" w:lineRule="auto"/>
              <w:ind w:left="0" w:right="0"/>
              <w:jc w:val="center"/>
              <w:textAlignment w:val="baseline"/>
              <w:rPr>
                <w:rFonts w:hint="default"/>
                <w:b/>
                <w:color w:val="auto"/>
                <w:sz w:val="24"/>
                <w:highlight w:val="none"/>
              </w:rPr>
            </w:pPr>
            <w:r>
              <w:rPr>
                <w:rFonts w:hint="eastAsia"/>
                <w:bCs/>
                <w:color w:val="auto"/>
                <w:sz w:val="24"/>
                <w:highlight w:val="none"/>
              </w:rPr>
              <w:t>商务、技术部分（70分）</w:t>
            </w:r>
          </w:p>
        </w:tc>
        <w:tc>
          <w:tcPr>
            <w:tcW w:w="1808" w:type="dxa"/>
            <w:tcBorders>
              <w:top w:val="single" w:color="auto" w:sz="4" w:space="0"/>
              <w:left w:val="single" w:color="auto" w:sz="4" w:space="0"/>
              <w:bottom w:val="single" w:color="auto" w:sz="4" w:space="0"/>
              <w:right w:val="single" w:color="auto" w:sz="4" w:space="0"/>
            </w:tcBorders>
            <w:vAlign w:val="center"/>
          </w:tcPr>
          <w:p w14:paraId="502119B3">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color w:val="auto"/>
                <w:sz w:val="24"/>
                <w:highlight w:val="none"/>
              </w:rPr>
              <w:t>类似项目经验</w:t>
            </w:r>
          </w:p>
        </w:tc>
        <w:tc>
          <w:tcPr>
            <w:tcW w:w="792" w:type="dxa"/>
            <w:tcBorders>
              <w:top w:val="single" w:color="auto" w:sz="4" w:space="0"/>
              <w:left w:val="single" w:color="auto" w:sz="4" w:space="0"/>
              <w:bottom w:val="single" w:color="auto" w:sz="4" w:space="0"/>
              <w:right w:val="single" w:color="auto" w:sz="4" w:space="0"/>
            </w:tcBorders>
            <w:vAlign w:val="center"/>
          </w:tcPr>
          <w:p w14:paraId="201192AD">
            <w:pPr>
              <w:keepNext w:val="0"/>
              <w:keepLines w:val="0"/>
              <w:suppressLineNumbers w:val="0"/>
              <w:adjustRightInd w:val="0"/>
              <w:spacing w:before="0" w:beforeAutospacing="0" w:after="0" w:afterAutospacing="0" w:line="360" w:lineRule="auto"/>
              <w:ind w:left="0" w:right="0"/>
              <w:jc w:val="center"/>
              <w:textAlignment w:val="baseline"/>
              <w:rPr>
                <w:rFonts w:hint="default"/>
                <w:b/>
                <w:color w:val="auto"/>
                <w:sz w:val="24"/>
                <w:highlight w:val="none"/>
              </w:rPr>
            </w:pPr>
            <w:r>
              <w:rPr>
                <w:rFonts w:hint="eastAsia"/>
                <w:bCs/>
                <w:color w:val="auto"/>
                <w:sz w:val="24"/>
                <w:highlight w:val="none"/>
              </w:rPr>
              <w:t>10</w:t>
            </w:r>
          </w:p>
        </w:tc>
        <w:tc>
          <w:tcPr>
            <w:tcW w:w="6516" w:type="dxa"/>
            <w:tcBorders>
              <w:top w:val="single" w:color="auto" w:sz="4" w:space="0"/>
              <w:left w:val="single" w:color="auto" w:sz="4" w:space="0"/>
              <w:bottom w:val="single" w:color="auto" w:sz="4" w:space="0"/>
              <w:right w:val="single" w:color="auto" w:sz="4" w:space="0"/>
            </w:tcBorders>
            <w:vAlign w:val="center"/>
          </w:tcPr>
          <w:p w14:paraId="4E0BC04A">
            <w:pPr>
              <w:pStyle w:val="36"/>
              <w:keepNext w:val="0"/>
              <w:keepLines w:val="0"/>
              <w:suppressLineNumbers w:val="0"/>
              <w:spacing w:before="0" w:beforeAutospacing="0" w:after="0" w:afterAutospacing="0"/>
              <w:ind w:left="0" w:leftChars="0" w:right="0" w:firstLine="0" w:firstLineChars="0"/>
              <w:rPr>
                <w:rFonts w:hint="default"/>
                <w:color w:val="auto"/>
                <w:sz w:val="24"/>
                <w:highlight w:val="none"/>
              </w:rPr>
            </w:pPr>
            <w:r>
              <w:rPr>
                <w:rFonts w:hint="eastAsia"/>
                <w:color w:val="auto"/>
                <w:sz w:val="24"/>
                <w:highlight w:val="none"/>
              </w:rPr>
              <w:t>供应商近3年（2023年1月1日至今）的业绩情况，每提供一个类似项目业绩得2分，本项最多得10分。</w:t>
            </w:r>
          </w:p>
          <w:p w14:paraId="4EC327E3">
            <w:pPr>
              <w:pStyle w:val="36"/>
              <w:keepNext w:val="0"/>
              <w:keepLines w:val="0"/>
              <w:suppressLineNumbers w:val="0"/>
              <w:spacing w:before="0" w:beforeAutospacing="0" w:after="0" w:afterAutospacing="0"/>
              <w:ind w:left="0" w:leftChars="0" w:right="0" w:firstLine="0" w:firstLineChars="0"/>
              <w:rPr>
                <w:rFonts w:hint="default"/>
                <w:b/>
                <w:bCs/>
                <w:color w:val="auto"/>
                <w:sz w:val="24"/>
                <w:highlight w:val="none"/>
              </w:rPr>
            </w:pPr>
            <w:r>
              <w:rPr>
                <w:rFonts w:hint="eastAsia"/>
                <w:b/>
                <w:bCs/>
                <w:color w:val="auto"/>
                <w:sz w:val="24"/>
                <w:highlight w:val="none"/>
              </w:rPr>
              <w:t>注：（1）须提供合同及发票复印件（合同内容必须体现：金额页、内容页、盖章页、日期页等；每个合同提供2张发票即可，每张发票扫描件须完整清晰且具有电子二维码，发票应体现具体内容，如发票未体现具体内容，必须附服务清单），任意一项合同及发票内容提供不全或上述材料不清晰不完整无法辨识的本项不得分。</w:t>
            </w:r>
          </w:p>
          <w:p w14:paraId="1D39C15F">
            <w:pPr>
              <w:pStyle w:val="36"/>
              <w:keepNext w:val="0"/>
              <w:keepLines w:val="0"/>
              <w:suppressLineNumbers w:val="0"/>
              <w:spacing w:before="0" w:beforeAutospacing="0" w:after="0" w:afterAutospacing="0"/>
              <w:ind w:left="0" w:leftChars="0" w:right="0" w:firstLine="0" w:firstLineChars="0"/>
              <w:rPr>
                <w:rFonts w:hint="default"/>
                <w:color w:val="auto"/>
                <w:sz w:val="24"/>
                <w:highlight w:val="none"/>
              </w:rPr>
            </w:pPr>
            <w:r>
              <w:rPr>
                <w:rFonts w:hint="eastAsia"/>
                <w:b/>
                <w:bCs/>
                <w:color w:val="auto"/>
                <w:sz w:val="24"/>
                <w:highlight w:val="none"/>
              </w:rPr>
              <w:t>（2）日期以合同签订日期为准，提供业绩证明材料为已完成或者合同正在履约中均可，同一项目续签合同的不可重复得分。</w:t>
            </w:r>
          </w:p>
        </w:tc>
      </w:tr>
      <w:tr w14:paraId="50792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73" w:type="dxa"/>
            <w:vMerge w:val="continue"/>
            <w:tcBorders>
              <w:left w:val="single" w:color="auto" w:sz="4" w:space="0"/>
              <w:right w:val="single" w:color="auto" w:sz="4" w:space="0"/>
            </w:tcBorders>
            <w:vAlign w:val="center"/>
          </w:tcPr>
          <w:p w14:paraId="4C00AF54">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529166B6">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color w:val="auto"/>
                <w:sz w:val="24"/>
                <w:highlight w:val="none"/>
              </w:rPr>
              <w:t>配送车辆</w:t>
            </w:r>
          </w:p>
        </w:tc>
        <w:tc>
          <w:tcPr>
            <w:tcW w:w="792" w:type="dxa"/>
            <w:tcBorders>
              <w:top w:val="single" w:color="auto" w:sz="4" w:space="0"/>
              <w:left w:val="single" w:color="auto" w:sz="4" w:space="0"/>
              <w:bottom w:val="single" w:color="auto" w:sz="4" w:space="0"/>
              <w:right w:val="single" w:color="auto" w:sz="4" w:space="0"/>
            </w:tcBorders>
            <w:vAlign w:val="center"/>
          </w:tcPr>
          <w:p w14:paraId="05CCEC85">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bCs/>
                <w:color w:val="auto"/>
                <w:sz w:val="24"/>
                <w:highlight w:val="none"/>
              </w:rPr>
              <w:t>8</w:t>
            </w:r>
          </w:p>
        </w:tc>
        <w:tc>
          <w:tcPr>
            <w:tcW w:w="6516" w:type="dxa"/>
            <w:tcBorders>
              <w:top w:val="single" w:color="auto" w:sz="4" w:space="0"/>
              <w:left w:val="single" w:color="auto" w:sz="4" w:space="0"/>
              <w:bottom w:val="single" w:color="auto" w:sz="4" w:space="0"/>
              <w:right w:val="single" w:color="auto" w:sz="4" w:space="0"/>
            </w:tcBorders>
          </w:tcPr>
          <w:p w14:paraId="09913A06">
            <w:pPr>
              <w:keepNext w:val="0"/>
              <w:keepLines w:val="0"/>
              <w:suppressLineNumbers w:val="0"/>
              <w:adjustRightInd w:val="0"/>
              <w:spacing w:before="0" w:beforeAutospacing="0" w:after="0" w:afterAutospacing="0"/>
              <w:ind w:left="0" w:right="0"/>
              <w:textAlignment w:val="baseline"/>
              <w:rPr>
                <w:rFonts w:hint="default"/>
                <w:color w:val="auto"/>
                <w:sz w:val="24"/>
                <w:highlight w:val="none"/>
              </w:rPr>
            </w:pPr>
            <w:r>
              <w:rPr>
                <w:rFonts w:hint="eastAsia"/>
                <w:color w:val="auto"/>
                <w:sz w:val="24"/>
                <w:highlight w:val="none"/>
              </w:rPr>
              <w:t>提供本项目的配送车辆，且必须为货车（配送车辆至少有一辆冷藏车），每提供1辆车的得2分，满分,8分；</w:t>
            </w:r>
          </w:p>
          <w:p w14:paraId="7A53D039">
            <w:pPr>
              <w:keepNext w:val="0"/>
              <w:keepLines w:val="0"/>
              <w:suppressLineNumbers w:val="0"/>
              <w:adjustRightInd w:val="0"/>
              <w:spacing w:before="0" w:beforeAutospacing="0" w:after="0" w:afterAutospacing="0"/>
              <w:ind w:left="0" w:right="0"/>
              <w:textAlignment w:val="baseline"/>
              <w:rPr>
                <w:rFonts w:hint="default"/>
                <w:b/>
                <w:bCs/>
                <w:color w:val="auto"/>
                <w:sz w:val="24"/>
                <w:highlight w:val="none"/>
              </w:rPr>
            </w:pPr>
            <w:r>
              <w:rPr>
                <w:rFonts w:hint="eastAsia"/>
                <w:b/>
                <w:bCs/>
                <w:color w:val="auto"/>
                <w:sz w:val="24"/>
                <w:highlight w:val="none"/>
              </w:rPr>
              <w:t>（1）自有车辆（或法人所有）提供机动车行驶证及车辆登记证（配送车辆如为租赁的，须提供机动车行驶证及租赁合同）</w:t>
            </w:r>
          </w:p>
          <w:p w14:paraId="74081933">
            <w:pPr>
              <w:keepNext w:val="0"/>
              <w:keepLines w:val="0"/>
              <w:suppressLineNumbers w:val="0"/>
              <w:adjustRightInd w:val="0"/>
              <w:spacing w:before="0" w:beforeAutospacing="0" w:after="0" w:afterAutospacing="0"/>
              <w:ind w:left="0" w:right="0"/>
              <w:textAlignment w:val="baseline"/>
              <w:rPr>
                <w:rFonts w:hint="default"/>
                <w:b/>
                <w:bCs/>
                <w:color w:val="auto"/>
                <w:sz w:val="24"/>
                <w:highlight w:val="none"/>
              </w:rPr>
            </w:pPr>
            <w:r>
              <w:rPr>
                <w:rFonts w:hint="eastAsia"/>
                <w:b/>
                <w:bCs/>
                <w:color w:val="auto"/>
                <w:sz w:val="24"/>
                <w:highlight w:val="none"/>
              </w:rPr>
              <w:t>（2）提供车辆照片且与行驶证一致</w:t>
            </w:r>
          </w:p>
          <w:p w14:paraId="161F6BF7">
            <w:pPr>
              <w:keepNext w:val="0"/>
              <w:keepLines w:val="0"/>
              <w:suppressLineNumbers w:val="0"/>
              <w:adjustRightInd w:val="0"/>
              <w:spacing w:before="0" w:beforeAutospacing="0" w:after="0" w:afterAutospacing="0"/>
              <w:ind w:left="0" w:right="0"/>
              <w:textAlignment w:val="baseline"/>
              <w:rPr>
                <w:rFonts w:hint="default"/>
                <w:color w:val="auto"/>
                <w:sz w:val="24"/>
                <w:highlight w:val="none"/>
              </w:rPr>
            </w:pPr>
            <w:r>
              <w:rPr>
                <w:rFonts w:hint="eastAsia"/>
                <w:b/>
                <w:bCs/>
                <w:color w:val="auto"/>
                <w:sz w:val="24"/>
                <w:highlight w:val="none"/>
              </w:rPr>
              <w:t>注：以上两项任意一项未提供、提供不全或上述材料不清晰不完整无法辨识的本项不得分。（所有车辆必须符合国家标准货运车辆且在交管部门备案、各类手续齐全）</w:t>
            </w:r>
          </w:p>
        </w:tc>
      </w:tr>
      <w:tr w14:paraId="3D2D0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973" w:type="dxa"/>
            <w:vMerge w:val="continue"/>
            <w:tcBorders>
              <w:left w:val="single" w:color="auto" w:sz="4" w:space="0"/>
              <w:right w:val="single" w:color="auto" w:sz="4" w:space="0"/>
            </w:tcBorders>
            <w:vAlign w:val="center"/>
          </w:tcPr>
          <w:p w14:paraId="45615368">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32C22151">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color w:val="auto"/>
                <w:sz w:val="24"/>
                <w:highlight w:val="none"/>
              </w:rPr>
              <w:t>人员配备</w:t>
            </w:r>
          </w:p>
        </w:tc>
        <w:tc>
          <w:tcPr>
            <w:tcW w:w="792" w:type="dxa"/>
            <w:tcBorders>
              <w:top w:val="single" w:color="auto" w:sz="4" w:space="0"/>
              <w:left w:val="single" w:color="auto" w:sz="4" w:space="0"/>
              <w:bottom w:val="single" w:color="auto" w:sz="4" w:space="0"/>
              <w:right w:val="single" w:color="auto" w:sz="4" w:space="0"/>
            </w:tcBorders>
            <w:vAlign w:val="center"/>
          </w:tcPr>
          <w:p w14:paraId="753C5AA6">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bCs/>
                <w:color w:val="auto"/>
                <w:sz w:val="24"/>
                <w:highlight w:val="none"/>
              </w:rPr>
              <w:t>2</w:t>
            </w:r>
          </w:p>
        </w:tc>
        <w:tc>
          <w:tcPr>
            <w:tcW w:w="6516" w:type="dxa"/>
            <w:tcBorders>
              <w:top w:val="single" w:color="auto" w:sz="4" w:space="0"/>
              <w:left w:val="single" w:color="auto" w:sz="4" w:space="0"/>
              <w:bottom w:val="single" w:color="auto" w:sz="4" w:space="0"/>
              <w:right w:val="single" w:color="auto" w:sz="4" w:space="0"/>
            </w:tcBorders>
          </w:tcPr>
          <w:p w14:paraId="25C1D1F4">
            <w:pPr>
              <w:keepNext w:val="0"/>
              <w:keepLines w:val="0"/>
              <w:suppressLineNumbers w:val="0"/>
              <w:adjustRightInd w:val="0"/>
              <w:spacing w:before="0" w:beforeAutospacing="0" w:after="0" w:afterAutospacing="0"/>
              <w:ind w:left="0" w:right="0"/>
              <w:textAlignment w:val="baseline"/>
              <w:rPr>
                <w:rFonts w:hint="default"/>
                <w:color w:val="auto"/>
                <w:sz w:val="24"/>
                <w:highlight w:val="none"/>
              </w:rPr>
            </w:pPr>
            <w:r>
              <w:rPr>
                <w:rFonts w:hint="eastAsia"/>
                <w:color w:val="auto"/>
                <w:sz w:val="24"/>
                <w:highlight w:val="none"/>
              </w:rPr>
              <w:t>供应商拟投入本项目的服务人员配置齐全（包括项目负责人、财务人员、采购人员、配送人员及其职责分工等），不少于4人，每增加1人得1分，满分2分。</w:t>
            </w:r>
          </w:p>
          <w:p w14:paraId="08F96DE7">
            <w:pPr>
              <w:keepNext w:val="0"/>
              <w:keepLines w:val="0"/>
              <w:suppressLineNumbers w:val="0"/>
              <w:adjustRightInd w:val="0"/>
              <w:spacing w:before="0" w:beforeAutospacing="0" w:after="0" w:afterAutospacing="0"/>
              <w:ind w:left="0" w:right="0"/>
              <w:textAlignment w:val="baseline"/>
              <w:rPr>
                <w:rFonts w:hint="default"/>
                <w:color w:val="auto"/>
                <w:sz w:val="24"/>
                <w:highlight w:val="none"/>
              </w:rPr>
            </w:pPr>
            <w:r>
              <w:rPr>
                <w:rFonts w:hint="eastAsia"/>
                <w:b/>
                <w:bCs/>
                <w:color w:val="auto"/>
                <w:sz w:val="24"/>
                <w:highlight w:val="none"/>
              </w:rPr>
              <w:t>注：须提供以上人员的身份证、劳动合同，未提供或缺任意一项不得分。</w:t>
            </w:r>
          </w:p>
        </w:tc>
      </w:tr>
      <w:tr w14:paraId="0E783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5" w:hRule="atLeast"/>
          <w:jc w:val="center"/>
        </w:trPr>
        <w:tc>
          <w:tcPr>
            <w:tcW w:w="973" w:type="dxa"/>
            <w:vMerge w:val="continue"/>
            <w:tcBorders>
              <w:left w:val="single" w:color="auto" w:sz="4" w:space="0"/>
              <w:right w:val="single" w:color="auto" w:sz="4" w:space="0"/>
            </w:tcBorders>
            <w:vAlign w:val="center"/>
          </w:tcPr>
          <w:p w14:paraId="6171B506">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vAlign w:val="center"/>
          </w:tcPr>
          <w:p w14:paraId="14269514">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color w:val="auto"/>
                <w:sz w:val="24"/>
                <w:highlight w:val="none"/>
              </w:rPr>
              <w:t>仓储能力</w:t>
            </w:r>
          </w:p>
        </w:tc>
        <w:tc>
          <w:tcPr>
            <w:tcW w:w="792" w:type="dxa"/>
            <w:tcBorders>
              <w:top w:val="single" w:color="auto" w:sz="4" w:space="0"/>
              <w:left w:val="single" w:color="auto" w:sz="4" w:space="0"/>
              <w:bottom w:val="single" w:color="auto" w:sz="4" w:space="0"/>
              <w:right w:val="single" w:color="auto" w:sz="4" w:space="0"/>
            </w:tcBorders>
            <w:vAlign w:val="center"/>
          </w:tcPr>
          <w:p w14:paraId="5F0A4ACC">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r>
              <w:rPr>
                <w:rFonts w:hint="eastAsia"/>
                <w:bCs/>
                <w:color w:val="auto"/>
                <w:sz w:val="24"/>
                <w:highlight w:val="none"/>
              </w:rPr>
              <w:t>2</w:t>
            </w:r>
          </w:p>
        </w:tc>
        <w:tc>
          <w:tcPr>
            <w:tcW w:w="6516" w:type="dxa"/>
            <w:tcBorders>
              <w:top w:val="single" w:color="auto" w:sz="4" w:space="0"/>
              <w:left w:val="single" w:color="auto" w:sz="4" w:space="0"/>
              <w:bottom w:val="single" w:color="auto" w:sz="4" w:space="0"/>
              <w:right w:val="single" w:color="auto" w:sz="4" w:space="0"/>
            </w:tcBorders>
          </w:tcPr>
          <w:p w14:paraId="65405381">
            <w:pPr>
              <w:keepNext w:val="0"/>
              <w:keepLines w:val="0"/>
              <w:suppressLineNumbers w:val="0"/>
              <w:adjustRightInd w:val="0"/>
              <w:spacing w:before="0" w:beforeAutospacing="0" w:after="0" w:afterAutospacing="0"/>
              <w:ind w:left="0" w:right="0"/>
              <w:textAlignment w:val="baseline"/>
              <w:rPr>
                <w:rFonts w:hint="default"/>
                <w:bCs/>
                <w:color w:val="auto"/>
                <w:sz w:val="24"/>
                <w:highlight w:val="none"/>
              </w:rPr>
            </w:pPr>
            <w:r>
              <w:rPr>
                <w:rFonts w:hint="eastAsia"/>
                <w:bCs/>
                <w:color w:val="auto"/>
                <w:sz w:val="24"/>
                <w:highlight w:val="none"/>
              </w:rPr>
              <w:t>供应商具有相应的的仓储能力，具有冷藏或保鲜功能得2分，否则不得分。</w:t>
            </w:r>
          </w:p>
          <w:p w14:paraId="3FAECD13">
            <w:pPr>
              <w:keepNext w:val="0"/>
              <w:keepLines w:val="0"/>
              <w:suppressLineNumbers w:val="0"/>
              <w:adjustRightInd w:val="0"/>
              <w:spacing w:before="0" w:beforeAutospacing="0" w:after="0" w:afterAutospacing="0"/>
              <w:ind w:left="0" w:right="0"/>
              <w:textAlignment w:val="baseline"/>
              <w:rPr>
                <w:rFonts w:hint="default"/>
                <w:bCs/>
                <w:color w:val="auto"/>
                <w:sz w:val="24"/>
                <w:highlight w:val="none"/>
              </w:rPr>
            </w:pPr>
            <w:r>
              <w:rPr>
                <w:rFonts w:hint="eastAsia"/>
                <w:b/>
                <w:color w:val="auto"/>
                <w:sz w:val="24"/>
                <w:highlight w:val="none"/>
              </w:rPr>
              <w:t>注：如为自有提供房屋产权证明，租赁则需提供有效的租赁合同，未提供或提供不全不得分。</w:t>
            </w:r>
          </w:p>
        </w:tc>
      </w:tr>
      <w:tr w14:paraId="76EDE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73" w:type="dxa"/>
            <w:vMerge w:val="continue"/>
            <w:tcBorders>
              <w:left w:val="single" w:color="auto" w:sz="4" w:space="0"/>
              <w:right w:val="single" w:color="auto" w:sz="4" w:space="0"/>
            </w:tcBorders>
            <w:tcMar>
              <w:top w:w="0" w:type="dxa"/>
              <w:left w:w="28" w:type="dxa"/>
              <w:bottom w:w="0" w:type="dxa"/>
              <w:right w:w="28" w:type="dxa"/>
            </w:tcMar>
            <w:vAlign w:val="center"/>
          </w:tcPr>
          <w:p w14:paraId="412C95F8">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F71B487">
            <w:pPr>
              <w:keepNext w:val="0"/>
              <w:keepLines w:val="0"/>
              <w:suppressLineNumbers w:val="0"/>
              <w:adjustRightInd w:val="0"/>
              <w:spacing w:before="0" w:beforeAutospacing="0" w:after="0" w:afterAutospacing="0" w:line="360" w:lineRule="auto"/>
              <w:ind w:left="0" w:right="0"/>
              <w:jc w:val="center"/>
              <w:textAlignment w:val="baseline"/>
              <w:rPr>
                <w:rFonts w:hint="default"/>
                <w:color w:val="auto"/>
                <w:sz w:val="24"/>
                <w:highlight w:val="none"/>
              </w:rPr>
            </w:pPr>
            <w:r>
              <w:rPr>
                <w:rFonts w:hint="eastAsia"/>
                <w:color w:val="auto"/>
                <w:sz w:val="24"/>
                <w:highlight w:val="none"/>
              </w:rPr>
              <w:t>供应产品的来源</w:t>
            </w:r>
          </w:p>
        </w:tc>
        <w:tc>
          <w:tcPr>
            <w:tcW w:w="79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C10FE31">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4</w:t>
            </w:r>
          </w:p>
        </w:tc>
        <w:tc>
          <w:tcPr>
            <w:tcW w:w="65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2F6A96FD">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供应商承诺：中标后与货源供应商签订有效的合同，且货源可追溯，且包含所投标项的所有货物品类的得4分，提供的供应产品一半及以上能够清晰的追溯来源得2分，未提供不得分。</w:t>
            </w:r>
          </w:p>
        </w:tc>
      </w:tr>
      <w:tr w14:paraId="07352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73" w:type="dxa"/>
            <w:vMerge w:val="continue"/>
            <w:tcBorders>
              <w:left w:val="single" w:color="auto" w:sz="4" w:space="0"/>
              <w:right w:val="single" w:color="auto" w:sz="4" w:space="0"/>
            </w:tcBorders>
            <w:tcMar>
              <w:top w:w="0" w:type="dxa"/>
              <w:left w:w="28" w:type="dxa"/>
              <w:bottom w:w="0" w:type="dxa"/>
              <w:right w:w="28" w:type="dxa"/>
            </w:tcMar>
            <w:vAlign w:val="center"/>
          </w:tcPr>
          <w:p w14:paraId="0130C38C">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08C881B">
            <w:pPr>
              <w:keepNext w:val="0"/>
              <w:keepLines w:val="0"/>
              <w:suppressLineNumbers w:val="0"/>
              <w:adjustRightInd w:val="0"/>
              <w:spacing w:before="0" w:beforeAutospacing="0" w:after="0" w:afterAutospacing="0" w:line="360" w:lineRule="auto"/>
              <w:ind w:left="0" w:right="0"/>
              <w:jc w:val="center"/>
              <w:textAlignment w:val="baseline"/>
              <w:rPr>
                <w:rFonts w:hint="default"/>
                <w:color w:val="auto"/>
                <w:sz w:val="24"/>
                <w:highlight w:val="none"/>
              </w:rPr>
            </w:pPr>
            <w:r>
              <w:rPr>
                <w:rFonts w:hint="eastAsia"/>
                <w:color w:val="auto"/>
                <w:sz w:val="24"/>
                <w:highlight w:val="none"/>
              </w:rPr>
              <w:t>食品安全检测能力</w:t>
            </w:r>
          </w:p>
        </w:tc>
        <w:tc>
          <w:tcPr>
            <w:tcW w:w="79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0739723">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4</w:t>
            </w:r>
          </w:p>
        </w:tc>
        <w:tc>
          <w:tcPr>
            <w:tcW w:w="65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48D6408C">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供应商须承诺，中标后按采购人要求提供：第三方食品检测机构出具的由供应商送检的实际供货货物的食品检测报告的得4分，否则不得分。</w:t>
            </w:r>
          </w:p>
        </w:tc>
      </w:tr>
      <w:tr w14:paraId="037C0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973" w:type="dxa"/>
            <w:vMerge w:val="continue"/>
            <w:tcBorders>
              <w:left w:val="single" w:color="auto" w:sz="4" w:space="0"/>
              <w:right w:val="single" w:color="auto" w:sz="4" w:space="0"/>
            </w:tcBorders>
            <w:tcMar>
              <w:top w:w="0" w:type="dxa"/>
              <w:left w:w="28" w:type="dxa"/>
              <w:bottom w:w="0" w:type="dxa"/>
              <w:right w:w="28" w:type="dxa"/>
            </w:tcMar>
            <w:vAlign w:val="center"/>
          </w:tcPr>
          <w:p w14:paraId="1A0DE52D">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7DA6FF00">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实施方案</w:t>
            </w:r>
          </w:p>
        </w:tc>
        <w:tc>
          <w:tcPr>
            <w:tcW w:w="79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407DFB56">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10</w:t>
            </w:r>
          </w:p>
        </w:tc>
        <w:tc>
          <w:tcPr>
            <w:tcW w:w="65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416B288D">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根据供应商提供的实施方案，包括但不限于：①采购及配送方案、②运输周转方案、③交货验收方案、④缺陷货物退还方案、⑤配送人员管理方案等内容。</w:t>
            </w:r>
          </w:p>
          <w:p w14:paraId="2B92D349">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完全满足项目要求得10分，每缺少一项内容扣2分，每有一处内容缺陷或内容错误的扣0.5分，直至本项扣完为止。</w:t>
            </w:r>
          </w:p>
        </w:tc>
      </w:tr>
      <w:tr w14:paraId="7B39F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973" w:type="dxa"/>
            <w:vMerge w:val="continue"/>
            <w:tcBorders>
              <w:left w:val="single" w:color="auto" w:sz="4" w:space="0"/>
              <w:right w:val="single" w:color="auto" w:sz="4" w:space="0"/>
            </w:tcBorders>
            <w:tcMar>
              <w:top w:w="0" w:type="dxa"/>
              <w:left w:w="28" w:type="dxa"/>
              <w:bottom w:w="0" w:type="dxa"/>
              <w:right w:w="28" w:type="dxa"/>
            </w:tcMar>
            <w:vAlign w:val="center"/>
          </w:tcPr>
          <w:p w14:paraId="1DB66E9E">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219EA44">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产品质量保障</w:t>
            </w:r>
          </w:p>
        </w:tc>
        <w:tc>
          <w:tcPr>
            <w:tcW w:w="79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2D3D7C0E">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15</w:t>
            </w:r>
          </w:p>
        </w:tc>
        <w:tc>
          <w:tcPr>
            <w:tcW w:w="65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50DB5150">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根据供应商提供的产品质量保障，包括但不限于①食品安全保障承诺②食品安全监管措施③配送途径的安全保障④卫生安全管理⑤卫生防疫等内容。</w:t>
            </w:r>
          </w:p>
          <w:p w14:paraId="2B7FCD29">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完全满足项目要求得15分，每缺少一项内容扣3分，每有一处内容缺陷或内容错误的扣0.5分，直至本项扣完为止。</w:t>
            </w:r>
          </w:p>
        </w:tc>
      </w:tr>
      <w:tr w14:paraId="2ABC6E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973" w:type="dxa"/>
            <w:vMerge w:val="continue"/>
            <w:tcBorders>
              <w:left w:val="single" w:color="auto" w:sz="4" w:space="0"/>
              <w:right w:val="single" w:color="auto" w:sz="4" w:space="0"/>
            </w:tcBorders>
            <w:tcMar>
              <w:top w:w="0" w:type="dxa"/>
              <w:left w:w="28" w:type="dxa"/>
              <w:bottom w:w="0" w:type="dxa"/>
              <w:right w:w="28" w:type="dxa"/>
            </w:tcMar>
            <w:vAlign w:val="center"/>
          </w:tcPr>
          <w:p w14:paraId="66ADE7B4">
            <w:pPr>
              <w:keepNext w:val="0"/>
              <w:keepLines w:val="0"/>
              <w:suppressLineNumbers w:val="0"/>
              <w:adjustRightInd w:val="0"/>
              <w:spacing w:before="0" w:beforeAutospacing="0" w:after="0" w:afterAutospacing="0" w:line="360" w:lineRule="auto"/>
              <w:ind w:left="0" w:right="0"/>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6709405F">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特殊情况应急保障方案</w:t>
            </w:r>
          </w:p>
        </w:tc>
        <w:tc>
          <w:tcPr>
            <w:tcW w:w="79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9EFAED2">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7.5</w:t>
            </w:r>
          </w:p>
        </w:tc>
        <w:tc>
          <w:tcPr>
            <w:tcW w:w="65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674B5CED">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根据供应商提供的特殊情况应急保障方案，包括但不限于①货源短缺②极端天气（暴雨、暴雪、台风、寒潮、高温等）③食品安全突发事件 ④交通拥堵、道路封闭、车辆故障⑤其他不可抗力等内容。</w:t>
            </w:r>
          </w:p>
          <w:p w14:paraId="358B89EB">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完全满足项目要求得7.5分，每缺少一项内容扣1.5分，每有一处内容缺陷或内容错误的扣0.5分，直至本项扣完为止。</w:t>
            </w:r>
          </w:p>
        </w:tc>
      </w:tr>
      <w:tr w14:paraId="047FB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73" w:type="dxa"/>
            <w:vMerge w:val="continue"/>
            <w:tcBorders>
              <w:left w:val="single" w:color="auto" w:sz="4" w:space="0"/>
              <w:bottom w:val="single" w:color="auto" w:sz="4" w:space="0"/>
              <w:right w:val="single" w:color="auto" w:sz="4" w:space="0"/>
            </w:tcBorders>
            <w:tcMar>
              <w:top w:w="0" w:type="dxa"/>
              <w:left w:w="28" w:type="dxa"/>
              <w:bottom w:w="0" w:type="dxa"/>
              <w:right w:w="28" w:type="dxa"/>
            </w:tcMar>
            <w:vAlign w:val="center"/>
          </w:tcPr>
          <w:p w14:paraId="04853396">
            <w:pPr>
              <w:keepNext w:val="0"/>
              <w:keepLines w:val="0"/>
              <w:suppressLineNumbers w:val="0"/>
              <w:adjustRightInd w:val="0"/>
              <w:spacing w:before="0" w:beforeAutospacing="0" w:after="0" w:afterAutospacing="0" w:line="360" w:lineRule="auto"/>
              <w:ind w:left="0" w:right="0"/>
              <w:jc w:val="center"/>
              <w:textAlignment w:val="baseline"/>
              <w:rPr>
                <w:rFonts w:hint="default"/>
                <w:bCs/>
                <w:color w:val="auto"/>
                <w:sz w:val="24"/>
                <w:highlight w:val="none"/>
              </w:rPr>
            </w:pPr>
          </w:p>
        </w:tc>
        <w:tc>
          <w:tcPr>
            <w:tcW w:w="1808"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3325826E">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产品质量保障</w:t>
            </w:r>
          </w:p>
        </w:tc>
        <w:tc>
          <w:tcPr>
            <w:tcW w:w="792"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5948DB81">
            <w:pPr>
              <w:keepNext w:val="0"/>
              <w:keepLines w:val="0"/>
              <w:suppressLineNumbers w:val="0"/>
              <w:adjustRightInd w:val="0"/>
              <w:spacing w:before="0" w:beforeAutospacing="0" w:after="0" w:afterAutospacing="0" w:line="360" w:lineRule="exact"/>
              <w:ind w:left="0" w:right="0"/>
              <w:jc w:val="center"/>
              <w:textAlignment w:val="baseline"/>
              <w:rPr>
                <w:rFonts w:hint="default" w:ascii="宋体" w:hAnsi="宋体" w:cs="宋体"/>
                <w:color w:val="auto"/>
                <w:sz w:val="24"/>
                <w:highlight w:val="none"/>
              </w:rPr>
            </w:pPr>
            <w:r>
              <w:rPr>
                <w:rFonts w:hint="eastAsia" w:ascii="宋体" w:hAnsi="宋体" w:cs="宋体"/>
                <w:color w:val="auto"/>
                <w:sz w:val="24"/>
                <w:highlight w:val="none"/>
              </w:rPr>
              <w:t>7.5</w:t>
            </w:r>
          </w:p>
        </w:tc>
        <w:tc>
          <w:tcPr>
            <w:tcW w:w="6516" w:type="dxa"/>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tcPr>
          <w:p w14:paraId="59B570E8">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根据供应商提供的售后服务方案，包括但不限于①产品质量保障承诺②货源品质保障③内部质量监督管理 ④临时存放产品质量保证⑤配送途中产品质量保证等内容。</w:t>
            </w:r>
          </w:p>
          <w:p w14:paraId="0DB49C92">
            <w:pPr>
              <w:keepNext w:val="0"/>
              <w:keepLines w:val="0"/>
              <w:suppressLineNumbers w:val="0"/>
              <w:adjustRightInd w:val="0"/>
              <w:spacing w:before="0" w:beforeAutospacing="0" w:after="0" w:afterAutospacing="0" w:line="360" w:lineRule="exact"/>
              <w:ind w:left="0" w:right="0"/>
              <w:textAlignment w:val="baseline"/>
              <w:rPr>
                <w:rFonts w:hint="default" w:ascii="宋体" w:hAnsi="宋体" w:cs="宋体"/>
                <w:bCs/>
                <w:color w:val="auto"/>
                <w:sz w:val="24"/>
                <w:highlight w:val="none"/>
              </w:rPr>
            </w:pPr>
            <w:r>
              <w:rPr>
                <w:rFonts w:hint="eastAsia" w:ascii="宋体" w:hAnsi="宋体" w:cs="宋体"/>
                <w:bCs/>
                <w:color w:val="auto"/>
                <w:sz w:val="24"/>
                <w:highlight w:val="none"/>
              </w:rPr>
              <w:t>完全满足项目要求得7.5分，每缺少一项内容扣1.5分，每有一处内容缺陷或内容错误的扣0.5分，直至本项扣完为止。</w:t>
            </w:r>
          </w:p>
        </w:tc>
      </w:tr>
      <w:tr w14:paraId="0D47A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0089" w:type="dxa"/>
            <w:gridSpan w:val="4"/>
            <w:tcBorders>
              <w:top w:val="single" w:color="auto" w:sz="4" w:space="0"/>
              <w:left w:val="single" w:color="auto" w:sz="4" w:space="0"/>
              <w:bottom w:val="single" w:color="auto" w:sz="4" w:space="0"/>
              <w:right w:val="single" w:color="auto" w:sz="4" w:space="0"/>
            </w:tcBorders>
            <w:tcMar>
              <w:top w:w="0" w:type="dxa"/>
              <w:left w:w="28" w:type="dxa"/>
              <w:bottom w:w="0" w:type="dxa"/>
              <w:right w:w="28" w:type="dxa"/>
            </w:tcMar>
            <w:vAlign w:val="center"/>
          </w:tcPr>
          <w:p w14:paraId="19D3C840">
            <w:pPr>
              <w:keepNext w:val="0"/>
              <w:keepLines w:val="0"/>
              <w:suppressLineNumbers w:val="0"/>
              <w:spacing w:before="0" w:beforeAutospacing="0" w:after="0" w:afterAutospacing="0"/>
              <w:ind w:left="0" w:right="0"/>
              <w:rPr>
                <w:rFonts w:hint="default" w:ascii="宋体" w:hAnsi="宋体" w:cs="宋体"/>
                <w:color w:val="auto"/>
                <w:spacing w:val="-2"/>
                <w:szCs w:val="21"/>
                <w:highlight w:val="none"/>
              </w:rPr>
            </w:pPr>
            <w:r>
              <w:rPr>
                <w:rFonts w:hint="eastAsia" w:ascii="宋体" w:hAnsi="宋体" w:cs="宋体"/>
                <w:color w:val="auto"/>
                <w:spacing w:val="-2"/>
                <w:szCs w:val="21"/>
                <w:highlight w:val="none"/>
              </w:rPr>
              <w:t>说明：</w:t>
            </w:r>
          </w:p>
          <w:p w14:paraId="54E429B8">
            <w:pPr>
              <w:keepNext w:val="0"/>
              <w:keepLines w:val="0"/>
              <w:suppressLineNumbers w:val="0"/>
              <w:spacing w:before="0" w:beforeAutospacing="0" w:after="0" w:afterAutospacing="0"/>
              <w:ind w:left="0" w:right="0"/>
              <w:rPr>
                <w:rFonts w:hint="default" w:ascii="宋体" w:hAnsi="宋体" w:cs="宋体"/>
                <w:color w:val="auto"/>
                <w:spacing w:val="-2"/>
                <w:szCs w:val="21"/>
                <w:highlight w:val="none"/>
              </w:rPr>
            </w:pPr>
            <w:r>
              <w:rPr>
                <w:rFonts w:hint="eastAsia" w:ascii="宋体" w:hAnsi="宋体" w:cs="宋体"/>
                <w:color w:val="auto"/>
                <w:spacing w:val="-2"/>
                <w:szCs w:val="21"/>
                <w:highlight w:val="none"/>
              </w:rPr>
              <w:t>1、本评审内容中“完全满足项目要求”是指：①内容与项目技术采购需求吻合、层次细化，有具体详细的阐述；②阐述从实际出发，切合项目背景、项目需求以及市场供应情况发现问题并提出合理化专业技术建议或者解决方案；③内容符合国家、地方、行业标准、行业惯例以及项目特点、能有效落地执行和操作，保障项目高质量履约，实现采购目标。④内容清楚明了、表述规范、含义准确。</w:t>
            </w:r>
          </w:p>
          <w:p w14:paraId="1C5C28EC">
            <w:pPr>
              <w:keepNext w:val="0"/>
              <w:keepLines w:val="0"/>
              <w:suppressLineNumbers w:val="0"/>
              <w:spacing w:before="0" w:beforeAutospacing="0" w:after="0" w:afterAutospacing="0"/>
              <w:ind w:left="0" w:right="0"/>
              <w:rPr>
                <w:rFonts w:hint="default" w:ascii="宋体" w:hAnsi="宋体" w:cs="宋体"/>
                <w:color w:val="auto"/>
                <w:spacing w:val="-2"/>
                <w:szCs w:val="21"/>
                <w:highlight w:val="none"/>
              </w:rPr>
            </w:pPr>
            <w:r>
              <w:rPr>
                <w:rFonts w:hint="eastAsia" w:ascii="宋体" w:hAnsi="宋体" w:cs="宋体"/>
                <w:color w:val="auto"/>
                <w:spacing w:val="-2"/>
                <w:szCs w:val="21"/>
                <w:highlight w:val="none"/>
              </w:rPr>
              <w:t>2、本评审内容中“内容缺陷”是指：①内容与实际情况不匹配，②不符合项目特点，③内容不完整或缺少关键节点，④未按采购需求与技术参数针对描述，⑤存在描述内容过于简略，⑥缺失不全，</w:t>
            </w:r>
          </w:p>
          <w:p w14:paraId="5BC5C969">
            <w:pPr>
              <w:keepNext w:val="0"/>
              <w:keepLines w:val="0"/>
              <w:suppressLineNumbers w:val="0"/>
              <w:spacing w:before="0" w:beforeAutospacing="0" w:after="0" w:afterAutospacing="0"/>
              <w:ind w:left="0" w:right="0"/>
              <w:rPr>
                <w:rFonts w:hint="default"/>
                <w:color w:val="auto"/>
                <w:sz w:val="24"/>
                <w:highlight w:val="none"/>
              </w:rPr>
            </w:pPr>
            <w:r>
              <w:rPr>
                <w:rFonts w:hint="eastAsia" w:ascii="宋体" w:hAnsi="宋体" w:cs="宋体"/>
                <w:color w:val="auto"/>
                <w:spacing w:val="-2"/>
                <w:szCs w:val="21"/>
                <w:highlight w:val="none"/>
              </w:rPr>
              <w:t>⑦前后矛盾，⑧表述不清晰，⑨凭空编造，⑩逻辑混淆错误，⑪涉及的规范及标准错误不可能实现的情形等任意一种情形。</w:t>
            </w:r>
          </w:p>
        </w:tc>
      </w:tr>
    </w:tbl>
    <w:p w14:paraId="3695D4EC">
      <w:pPr>
        <w:spacing w:line="480" w:lineRule="auto"/>
        <w:jc w:val="center"/>
        <w:rPr>
          <w:rFonts w:ascii="宋体"/>
          <w:color w:val="auto"/>
          <w:highlight w:val="none"/>
        </w:rPr>
        <w:sectPr>
          <w:pgSz w:w="11906" w:h="16838"/>
          <w:pgMar w:top="1531" w:right="1474" w:bottom="1417" w:left="1701" w:header="851" w:footer="794" w:gutter="0"/>
          <w:cols w:space="720" w:num="1"/>
          <w:docGrid w:linePitch="312" w:charSpace="0"/>
        </w:sectPr>
      </w:pPr>
      <w:r>
        <w:rPr>
          <w:rFonts w:hint="eastAsia" w:asciiTheme="minorEastAsia" w:hAnsiTheme="minorEastAsia" w:eastAsiaTheme="minorEastAsia" w:cstheme="minorEastAsia"/>
          <w:b/>
          <w:bCs/>
          <w:color w:val="auto"/>
          <w:sz w:val="28"/>
          <w:szCs w:val="28"/>
          <w:highlight w:val="none"/>
        </w:rPr>
        <w:br w:type="page"/>
      </w:r>
    </w:p>
    <w:bookmarkEnd w:id="12"/>
    <w:p w14:paraId="1199F9D2">
      <w:pPr>
        <w:pStyle w:val="13"/>
        <w:tabs>
          <w:tab w:val="left" w:pos="0"/>
        </w:tabs>
        <w:spacing w:line="240" w:lineRule="auto"/>
        <w:ind w:firstLine="0" w:firstLineChars="0"/>
        <w:jc w:val="center"/>
        <w:outlineLvl w:val="0"/>
        <w:rPr>
          <w:rFonts w:ascii="宋体" w:hAnsi="宋体" w:cs="宋体"/>
          <w:b/>
          <w:color w:val="auto"/>
          <w:sz w:val="36"/>
          <w:highlight w:val="none"/>
        </w:rPr>
      </w:pPr>
      <w:bookmarkStart w:id="14" w:name="_Toc30396"/>
      <w:bookmarkStart w:id="15" w:name="_Toc4584"/>
      <w:bookmarkStart w:id="16" w:name="_Toc14690"/>
      <w:r>
        <w:rPr>
          <w:rFonts w:hint="eastAsia" w:ascii="宋体" w:hAnsi="宋体" w:cs="宋体"/>
          <w:b/>
          <w:bCs/>
          <w:color w:val="auto"/>
          <w:sz w:val="32"/>
          <w:szCs w:val="32"/>
          <w:highlight w:val="none"/>
        </w:rPr>
        <w:t>第</w:t>
      </w:r>
      <w:bookmarkEnd w:id="14"/>
      <w:bookmarkEnd w:id="15"/>
      <w:r>
        <w:rPr>
          <w:rFonts w:hint="eastAsia" w:ascii="宋体" w:hAnsi="宋体" w:cs="宋体"/>
          <w:b/>
          <w:bCs/>
          <w:color w:val="auto"/>
          <w:sz w:val="32"/>
          <w:szCs w:val="32"/>
          <w:highlight w:val="none"/>
        </w:rPr>
        <w:t>七章  响应文件格式</w:t>
      </w:r>
      <w:bookmarkEnd w:id="16"/>
    </w:p>
    <w:p w14:paraId="663F176A">
      <w:pPr>
        <w:rPr>
          <w:rFonts w:ascii="宋体" w:hAnsi="宋体" w:cs="宋体"/>
          <w:color w:val="auto"/>
          <w:highlight w:val="none"/>
        </w:rPr>
      </w:pPr>
    </w:p>
    <w:p w14:paraId="7FE5739B">
      <w:pPr>
        <w:pStyle w:val="67"/>
        <w:outlineLvl w:val="2"/>
        <w:rPr>
          <w:rFonts w:ascii="宋体" w:hAnsi="宋体" w:eastAsia="宋体" w:cs="宋体"/>
          <w:color w:val="auto"/>
          <w:highlight w:val="none"/>
        </w:rPr>
      </w:pPr>
      <w:bookmarkStart w:id="17" w:name="_Toc23885"/>
      <w:bookmarkStart w:id="18" w:name="_Toc19258"/>
      <w:bookmarkStart w:id="19" w:name="_Toc11511_WPSOffice_Level1"/>
      <w:bookmarkStart w:id="20" w:name="_Toc31154_WPSOffice_Level1"/>
      <w:bookmarkStart w:id="21" w:name="_Toc13681_WPSOffice_Level1"/>
      <w:bookmarkStart w:id="22" w:name="_Toc10113_WPSOffice_Level1"/>
      <w:r>
        <w:rPr>
          <w:rFonts w:hint="eastAsia" w:ascii="宋体" w:hAnsi="宋体" w:eastAsia="宋体" w:cs="宋体"/>
          <w:color w:val="auto"/>
          <w:highlight w:val="none"/>
        </w:rPr>
        <w:t>响应文件封面</w:t>
      </w:r>
      <w:bookmarkEnd w:id="17"/>
      <w:bookmarkEnd w:id="18"/>
      <w:bookmarkEnd w:id="19"/>
      <w:bookmarkEnd w:id="20"/>
      <w:bookmarkEnd w:id="21"/>
      <w:bookmarkEnd w:id="22"/>
    </w:p>
    <w:p w14:paraId="539A4DD6">
      <w:pPr>
        <w:pStyle w:val="68"/>
        <w:spacing w:line="360" w:lineRule="auto"/>
        <w:rPr>
          <w:rFonts w:ascii="宋体" w:hAnsi="宋体" w:cs="宋体"/>
          <w:b/>
          <w:color w:val="auto"/>
          <w:sz w:val="24"/>
          <w:highlight w:val="none"/>
        </w:rPr>
      </w:pPr>
    </w:p>
    <w:p w14:paraId="6BE76303">
      <w:pPr>
        <w:pStyle w:val="68"/>
        <w:spacing w:line="360" w:lineRule="auto"/>
        <w:jc w:val="center"/>
        <w:rPr>
          <w:rFonts w:ascii="宋体" w:hAnsi="宋体" w:cs="宋体"/>
          <w:color w:val="auto"/>
          <w:sz w:val="24"/>
          <w:highlight w:val="none"/>
        </w:rPr>
      </w:pPr>
    </w:p>
    <w:p w14:paraId="60290A6F">
      <w:pPr>
        <w:pStyle w:val="68"/>
        <w:spacing w:line="360" w:lineRule="auto"/>
        <w:jc w:val="center"/>
        <w:rPr>
          <w:rFonts w:ascii="宋体" w:hAnsi="宋体" w:cs="宋体"/>
          <w:color w:val="auto"/>
          <w:sz w:val="24"/>
          <w:highlight w:val="none"/>
        </w:rPr>
      </w:pPr>
    </w:p>
    <w:p w14:paraId="5115144A">
      <w:pPr>
        <w:pStyle w:val="68"/>
        <w:spacing w:line="360" w:lineRule="auto"/>
        <w:jc w:val="center"/>
        <w:rPr>
          <w:rFonts w:ascii="宋体" w:hAnsi="宋体" w:cs="宋体"/>
          <w:color w:val="auto"/>
          <w:sz w:val="24"/>
          <w:highlight w:val="none"/>
        </w:rPr>
      </w:pPr>
    </w:p>
    <w:p w14:paraId="1D1116DC">
      <w:pPr>
        <w:pStyle w:val="68"/>
        <w:spacing w:line="360" w:lineRule="auto"/>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7FD1BA91">
      <w:pPr>
        <w:pStyle w:val="68"/>
        <w:spacing w:line="360" w:lineRule="auto"/>
        <w:jc w:val="center"/>
        <w:rPr>
          <w:rFonts w:ascii="宋体" w:hAnsi="宋体" w:cs="宋体"/>
          <w:color w:val="auto"/>
          <w:sz w:val="24"/>
          <w:highlight w:val="none"/>
        </w:rPr>
      </w:pPr>
    </w:p>
    <w:p w14:paraId="51C2542E">
      <w:pPr>
        <w:pStyle w:val="68"/>
        <w:spacing w:line="360" w:lineRule="auto"/>
        <w:jc w:val="center"/>
        <w:rPr>
          <w:rFonts w:ascii="宋体" w:hAnsi="宋体" w:cs="宋体"/>
          <w:color w:val="auto"/>
          <w:sz w:val="24"/>
          <w:highlight w:val="none"/>
        </w:rPr>
      </w:pPr>
    </w:p>
    <w:p w14:paraId="76EC9417">
      <w:pPr>
        <w:pStyle w:val="68"/>
        <w:spacing w:line="360" w:lineRule="auto"/>
        <w:jc w:val="center"/>
        <w:rPr>
          <w:rFonts w:ascii="宋体" w:hAnsi="宋体" w:cs="宋体"/>
          <w:b/>
          <w:color w:val="auto"/>
          <w:sz w:val="24"/>
          <w:highlight w:val="none"/>
        </w:rPr>
      </w:pPr>
    </w:p>
    <w:p w14:paraId="5EEAB609">
      <w:pPr>
        <w:pStyle w:val="68"/>
        <w:spacing w:line="360" w:lineRule="auto"/>
        <w:jc w:val="center"/>
        <w:rPr>
          <w:rFonts w:ascii="宋体" w:hAnsi="宋体" w:cs="宋体"/>
          <w:b/>
          <w:color w:val="auto"/>
          <w:sz w:val="24"/>
          <w:highlight w:val="none"/>
        </w:rPr>
      </w:pPr>
    </w:p>
    <w:p w14:paraId="554C09BF">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采购人名称：</w:t>
      </w:r>
    </w:p>
    <w:p w14:paraId="40E97804">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项目名称：</w:t>
      </w:r>
    </w:p>
    <w:p w14:paraId="1FED9F65">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27C208C7">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采购代理机构名称：</w:t>
      </w:r>
    </w:p>
    <w:p w14:paraId="68D819CF">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供应商名称（电子签章）：</w:t>
      </w:r>
    </w:p>
    <w:p w14:paraId="40E13F81">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供应商地址：</w:t>
      </w:r>
    </w:p>
    <w:p w14:paraId="367B428C">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法定代表人（单位负责人）或其委托代理人（签字或电子签章）：</w:t>
      </w:r>
    </w:p>
    <w:p w14:paraId="05758C6A">
      <w:pPr>
        <w:pStyle w:val="68"/>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25FF6B5E">
      <w:pPr>
        <w:pStyle w:val="58"/>
        <w:tabs>
          <w:tab w:val="left" w:pos="750"/>
        </w:tabs>
        <w:adjustRightInd w:val="0"/>
        <w:snapToGrid w:val="0"/>
        <w:spacing w:line="500" w:lineRule="exact"/>
        <w:rPr>
          <w:color w:val="auto"/>
          <w:highlight w:val="none"/>
        </w:rPr>
      </w:pPr>
      <w:r>
        <w:rPr>
          <w:rFonts w:hint="eastAsia" w:ascii="宋体" w:hAnsi="宋体"/>
          <w:color w:val="auto"/>
          <w:sz w:val="24"/>
          <w:szCs w:val="24"/>
          <w:highlight w:val="none"/>
        </w:rPr>
        <w:t>日期：     年     月     日</w:t>
      </w:r>
    </w:p>
    <w:p w14:paraId="63B60687">
      <w:pPr>
        <w:autoSpaceDE w:val="0"/>
        <w:autoSpaceDN w:val="0"/>
        <w:adjustRightInd w:val="0"/>
        <w:spacing w:before="3" w:line="130" w:lineRule="exact"/>
        <w:jc w:val="left"/>
        <w:rPr>
          <w:rFonts w:ascii="宋体" w:hAnsi="宋体" w:cs="宋体"/>
          <w:color w:val="auto"/>
          <w:kern w:val="0"/>
          <w:sz w:val="13"/>
          <w:szCs w:val="13"/>
          <w:highlight w:val="none"/>
        </w:rPr>
      </w:pPr>
    </w:p>
    <w:p w14:paraId="61B46F43">
      <w:pPr>
        <w:autoSpaceDE w:val="0"/>
        <w:autoSpaceDN w:val="0"/>
        <w:adjustRightInd w:val="0"/>
        <w:spacing w:line="200" w:lineRule="exact"/>
        <w:jc w:val="left"/>
        <w:rPr>
          <w:rFonts w:ascii="宋体" w:hAnsi="宋体" w:cs="宋体"/>
          <w:color w:val="auto"/>
          <w:kern w:val="0"/>
          <w:sz w:val="20"/>
          <w:szCs w:val="20"/>
          <w:highlight w:val="none"/>
        </w:rPr>
      </w:pPr>
    </w:p>
    <w:p w14:paraId="0292B83C">
      <w:pPr>
        <w:autoSpaceDE w:val="0"/>
        <w:autoSpaceDN w:val="0"/>
        <w:adjustRightInd w:val="0"/>
        <w:spacing w:line="200" w:lineRule="exact"/>
        <w:jc w:val="left"/>
        <w:rPr>
          <w:rFonts w:ascii="宋体" w:hAnsi="宋体" w:cs="宋体"/>
          <w:color w:val="auto"/>
          <w:kern w:val="0"/>
          <w:sz w:val="20"/>
          <w:szCs w:val="20"/>
          <w:highlight w:val="none"/>
        </w:rPr>
      </w:pPr>
    </w:p>
    <w:p w14:paraId="70156004">
      <w:pPr>
        <w:jc w:val="center"/>
        <w:rPr>
          <w:rFonts w:ascii="宋体" w:hAnsi="宋体" w:cs="宋体"/>
          <w:b/>
          <w:bCs/>
          <w:color w:val="auto"/>
          <w:sz w:val="28"/>
          <w:szCs w:val="28"/>
          <w:highlight w:val="none"/>
        </w:rPr>
      </w:pPr>
      <w:bookmarkStart w:id="23" w:name="_Toc6879_WPSOffice_Level1"/>
      <w:bookmarkStart w:id="24" w:name="_Toc18910"/>
      <w:bookmarkStart w:id="25" w:name="_Toc14367_WPSOffice_Level1"/>
      <w:bookmarkStart w:id="26" w:name="_Toc27886_WPSOffice_Level1"/>
      <w:bookmarkStart w:id="27" w:name="_Toc30579_WPSOffice_Level1"/>
    </w:p>
    <w:p w14:paraId="7F1001EF">
      <w:pPr>
        <w:jc w:val="center"/>
        <w:rPr>
          <w:rFonts w:ascii="宋体" w:hAnsi="宋体" w:cs="宋体"/>
          <w:b/>
          <w:bCs/>
          <w:color w:val="auto"/>
          <w:sz w:val="28"/>
          <w:szCs w:val="28"/>
          <w:highlight w:val="none"/>
        </w:rPr>
      </w:pPr>
    </w:p>
    <w:p w14:paraId="09D9843A">
      <w:pPr>
        <w:jc w:val="center"/>
        <w:rPr>
          <w:rFonts w:ascii="宋体" w:hAnsi="宋体" w:cs="宋体"/>
          <w:b/>
          <w:bCs/>
          <w:color w:val="auto"/>
          <w:sz w:val="28"/>
          <w:szCs w:val="28"/>
          <w:highlight w:val="none"/>
        </w:rPr>
      </w:pPr>
    </w:p>
    <w:p w14:paraId="13F3CF3F">
      <w:pPr>
        <w:jc w:val="center"/>
        <w:rPr>
          <w:rFonts w:ascii="宋体" w:hAnsi="宋体" w:cs="宋体"/>
          <w:color w:val="auto"/>
          <w:sz w:val="28"/>
          <w:szCs w:val="28"/>
          <w:highlight w:val="none"/>
        </w:rPr>
      </w:pPr>
      <w:r>
        <w:rPr>
          <w:rFonts w:hint="eastAsia" w:ascii="宋体" w:hAnsi="宋体" w:cs="宋体"/>
          <w:b/>
          <w:bCs/>
          <w:color w:val="auto"/>
          <w:sz w:val="28"/>
          <w:szCs w:val="28"/>
          <w:highlight w:val="none"/>
        </w:rPr>
        <w:t>目录</w:t>
      </w:r>
      <w:bookmarkEnd w:id="23"/>
      <w:bookmarkEnd w:id="24"/>
      <w:bookmarkEnd w:id="25"/>
      <w:bookmarkEnd w:id="26"/>
      <w:bookmarkEnd w:id="27"/>
    </w:p>
    <w:p w14:paraId="6BAA049D">
      <w:pPr>
        <w:spacing w:line="460" w:lineRule="exact"/>
        <w:rPr>
          <w:rFonts w:ascii="宋体" w:hAnsi="宋体" w:cs="宋体"/>
          <w:b/>
          <w:bCs/>
          <w:color w:val="auto"/>
          <w:sz w:val="24"/>
          <w:highlight w:val="none"/>
        </w:rPr>
      </w:pPr>
      <w:bookmarkStart w:id="28" w:name="_Toc23787_WPSOffice_Level1"/>
      <w:bookmarkStart w:id="29" w:name="_Toc17234_WPSOffice_Level1"/>
      <w:r>
        <w:rPr>
          <w:rFonts w:hint="eastAsia" w:ascii="宋体" w:hAnsi="宋体" w:cs="宋体"/>
          <w:b/>
          <w:bCs/>
          <w:color w:val="auto"/>
          <w:sz w:val="24"/>
          <w:highlight w:val="none"/>
        </w:rPr>
        <w:t>一、资格证明文件</w:t>
      </w:r>
      <w:bookmarkEnd w:id="28"/>
      <w:bookmarkEnd w:id="29"/>
    </w:p>
    <w:p w14:paraId="093B4355">
      <w:pPr>
        <w:spacing w:line="460" w:lineRule="exact"/>
        <w:ind w:firstLine="480" w:firstLineChars="200"/>
        <w:rPr>
          <w:rFonts w:ascii="宋体" w:hAnsi="宋体" w:cs="宋体"/>
          <w:color w:val="auto"/>
          <w:sz w:val="24"/>
          <w:highlight w:val="none"/>
        </w:rPr>
      </w:pPr>
      <w:bookmarkStart w:id="30" w:name="_Toc27664_WPSOffice_Level1"/>
      <w:bookmarkStart w:id="31" w:name="_Toc31640_WPSOffice_Level1"/>
      <w:r>
        <w:rPr>
          <w:rFonts w:hint="eastAsia" w:ascii="宋体" w:hAnsi="宋体" w:cs="宋体"/>
          <w:color w:val="auto"/>
          <w:sz w:val="24"/>
          <w:highlight w:val="none"/>
        </w:rPr>
        <w:t>1、具有独立承担民事责任的能力</w:t>
      </w:r>
      <w:bookmarkEnd w:id="30"/>
      <w:bookmarkEnd w:id="31"/>
    </w:p>
    <w:p w14:paraId="5CF890AD">
      <w:pPr>
        <w:spacing w:line="460" w:lineRule="exact"/>
        <w:ind w:firstLine="480" w:firstLineChars="200"/>
        <w:rPr>
          <w:rFonts w:ascii="宋体" w:hAnsi="宋体" w:cs="宋体"/>
          <w:color w:val="auto"/>
          <w:sz w:val="24"/>
          <w:highlight w:val="none"/>
        </w:rPr>
      </w:pPr>
      <w:bookmarkStart w:id="32" w:name="_Toc17343_WPSOffice_Level1"/>
      <w:bookmarkStart w:id="33" w:name="_Toc25568_WPSOffice_Level1"/>
      <w:r>
        <w:rPr>
          <w:rFonts w:hint="eastAsia" w:ascii="宋体" w:hAnsi="宋体" w:cs="宋体"/>
          <w:color w:val="auto"/>
          <w:sz w:val="24"/>
          <w:highlight w:val="none"/>
        </w:rPr>
        <w:t>2、良好的商业信誉和健全的财务会计制度</w:t>
      </w:r>
      <w:bookmarkEnd w:id="32"/>
      <w:bookmarkEnd w:id="33"/>
    </w:p>
    <w:p w14:paraId="60404C3C">
      <w:pPr>
        <w:spacing w:line="460" w:lineRule="exact"/>
        <w:ind w:firstLine="480" w:firstLineChars="200"/>
        <w:rPr>
          <w:rFonts w:ascii="宋体" w:hAnsi="宋体" w:cs="宋体"/>
          <w:color w:val="auto"/>
          <w:sz w:val="24"/>
          <w:highlight w:val="none"/>
        </w:rPr>
      </w:pPr>
      <w:bookmarkStart w:id="34" w:name="_Toc25765_WPSOffice_Level1"/>
      <w:bookmarkStart w:id="35" w:name="_Toc9730_WPSOffice_Level1"/>
      <w:r>
        <w:rPr>
          <w:rFonts w:hint="eastAsia" w:ascii="宋体" w:hAnsi="宋体" w:cs="宋体"/>
          <w:color w:val="auto"/>
          <w:sz w:val="24"/>
          <w:highlight w:val="none"/>
        </w:rPr>
        <w:t>3、依法缴纳税收和社会保障资金的良好记录</w:t>
      </w:r>
      <w:bookmarkEnd w:id="34"/>
      <w:bookmarkEnd w:id="35"/>
    </w:p>
    <w:p w14:paraId="6544C7DF">
      <w:pPr>
        <w:spacing w:line="460" w:lineRule="exact"/>
        <w:ind w:firstLine="480" w:firstLineChars="200"/>
        <w:rPr>
          <w:rFonts w:ascii="宋体" w:hAnsi="宋体" w:cs="宋体"/>
          <w:color w:val="auto"/>
          <w:sz w:val="24"/>
          <w:highlight w:val="none"/>
        </w:rPr>
      </w:pPr>
      <w:bookmarkStart w:id="36" w:name="_Toc11812_WPSOffice_Level1"/>
      <w:bookmarkStart w:id="37" w:name="_Toc8705_WPSOffice_Level1"/>
      <w:r>
        <w:rPr>
          <w:rFonts w:hint="eastAsia" w:ascii="宋体" w:hAnsi="宋体" w:cs="宋体"/>
          <w:color w:val="auto"/>
          <w:sz w:val="24"/>
          <w:highlight w:val="none"/>
        </w:rPr>
        <w:t>4、履行合同所必需的设备和专业技术能力的承诺函</w:t>
      </w:r>
      <w:bookmarkEnd w:id="36"/>
      <w:bookmarkEnd w:id="37"/>
    </w:p>
    <w:p w14:paraId="68C76E4E">
      <w:pPr>
        <w:spacing w:line="460" w:lineRule="exact"/>
        <w:ind w:firstLine="480" w:firstLineChars="200"/>
        <w:rPr>
          <w:rFonts w:ascii="宋体" w:hAnsi="宋体" w:cs="宋体"/>
          <w:color w:val="auto"/>
          <w:sz w:val="24"/>
          <w:highlight w:val="none"/>
        </w:rPr>
      </w:pPr>
      <w:bookmarkStart w:id="38" w:name="_Toc3293_WPSOffice_Level1"/>
      <w:bookmarkStart w:id="39" w:name="_Toc8434_WPSOffice_Level1"/>
      <w:r>
        <w:rPr>
          <w:rFonts w:hint="eastAsia" w:ascii="宋体" w:hAnsi="宋体" w:cs="宋体"/>
          <w:color w:val="auto"/>
          <w:sz w:val="24"/>
          <w:highlight w:val="none"/>
        </w:rPr>
        <w:t>5、参加政府采购活动前3年内，在经营活动中没有重大违法记录的书面声明函</w:t>
      </w:r>
      <w:bookmarkEnd w:id="38"/>
      <w:bookmarkEnd w:id="39"/>
    </w:p>
    <w:p w14:paraId="038AA0A3">
      <w:pPr>
        <w:spacing w:line="460" w:lineRule="exact"/>
        <w:ind w:firstLine="480" w:firstLineChars="200"/>
        <w:rPr>
          <w:rFonts w:hint="eastAsia" w:ascii="宋体" w:hAnsi="宋体" w:cs="宋体"/>
          <w:color w:val="auto"/>
          <w:sz w:val="24"/>
          <w:highlight w:val="none"/>
        </w:rPr>
      </w:pPr>
      <w:bookmarkStart w:id="40" w:name="_Toc2344_WPSOffice_Level1"/>
      <w:bookmarkStart w:id="41" w:name="_Toc30608_WPSOffice_Level1"/>
      <w:r>
        <w:rPr>
          <w:rFonts w:hint="eastAsia" w:ascii="宋体" w:hAnsi="宋体" w:cs="宋体"/>
          <w:color w:val="auto"/>
          <w:sz w:val="24"/>
          <w:highlight w:val="none"/>
        </w:rPr>
        <w:t>6、</w:t>
      </w:r>
      <w:bookmarkEnd w:id="40"/>
      <w:bookmarkEnd w:id="41"/>
      <w:r>
        <w:rPr>
          <w:rFonts w:hint="eastAsia" w:ascii="宋体" w:hAnsi="宋体" w:cs="宋体"/>
          <w:color w:val="auto"/>
          <w:sz w:val="24"/>
          <w:highlight w:val="none"/>
        </w:rPr>
        <w:t>限制行为承诺书</w:t>
      </w:r>
    </w:p>
    <w:p w14:paraId="23D37DF3">
      <w:pPr>
        <w:pStyle w:val="2"/>
      </w:pPr>
      <w:r>
        <w:rPr>
          <w:rFonts w:hint="eastAsia" w:asciiTheme="minorEastAsia" w:hAnsiTheme="minorEastAsia" w:eastAsiaTheme="minorEastAsia" w:cstheme="minorEastAsia"/>
          <w:color w:val="auto"/>
          <w:sz w:val="24"/>
          <w:highlight w:val="none"/>
          <w:lang w:val="en-US" w:eastAsia="zh-CN"/>
        </w:rPr>
        <w:t>7、中小企业声明函</w:t>
      </w:r>
    </w:p>
    <w:p w14:paraId="634C459B">
      <w:pPr>
        <w:spacing w:line="460" w:lineRule="exact"/>
        <w:rPr>
          <w:rFonts w:ascii="宋体" w:hAnsi="宋体" w:cs="宋体"/>
          <w:b/>
          <w:bCs/>
          <w:color w:val="auto"/>
          <w:sz w:val="24"/>
          <w:highlight w:val="none"/>
        </w:rPr>
      </w:pPr>
      <w:bookmarkStart w:id="42" w:name="_Toc16184_WPSOffice_Level1"/>
      <w:bookmarkStart w:id="43" w:name="_Toc11157_WPSOffice_Level1"/>
      <w:r>
        <w:rPr>
          <w:rFonts w:hint="eastAsia" w:ascii="宋体" w:hAnsi="宋体" w:cs="宋体"/>
          <w:b/>
          <w:bCs/>
          <w:color w:val="auto"/>
          <w:sz w:val="24"/>
          <w:highlight w:val="none"/>
        </w:rPr>
        <w:t>二、报价文件</w:t>
      </w:r>
      <w:bookmarkEnd w:id="42"/>
      <w:bookmarkEnd w:id="43"/>
    </w:p>
    <w:p w14:paraId="184EB4A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1.1报价一览表</w:t>
      </w:r>
    </w:p>
    <w:p w14:paraId="319B7BDF">
      <w:pPr>
        <w:spacing w:line="460" w:lineRule="exact"/>
        <w:rPr>
          <w:rFonts w:ascii="宋体" w:hAnsi="宋体" w:cs="宋体"/>
          <w:b/>
          <w:bCs/>
          <w:color w:val="auto"/>
          <w:sz w:val="24"/>
          <w:highlight w:val="none"/>
        </w:rPr>
      </w:pPr>
      <w:bookmarkStart w:id="44" w:name="_Toc26745_WPSOffice_Level1"/>
      <w:bookmarkStart w:id="45" w:name="_Toc21539_WPSOffice_Level1"/>
      <w:r>
        <w:rPr>
          <w:rFonts w:hint="eastAsia" w:ascii="宋体" w:hAnsi="宋体" w:cs="宋体"/>
          <w:b/>
          <w:bCs/>
          <w:color w:val="auto"/>
          <w:sz w:val="24"/>
          <w:highlight w:val="none"/>
        </w:rPr>
        <w:t>三、商务、技术文件</w:t>
      </w:r>
      <w:bookmarkEnd w:id="44"/>
      <w:bookmarkEnd w:id="45"/>
    </w:p>
    <w:p w14:paraId="6EAF4FE3">
      <w:pPr>
        <w:spacing w:line="460" w:lineRule="exact"/>
        <w:ind w:firstLine="480" w:firstLineChars="200"/>
        <w:rPr>
          <w:rFonts w:ascii="宋体" w:hAnsi="宋体" w:cs="宋体"/>
          <w:color w:val="auto"/>
          <w:sz w:val="24"/>
          <w:highlight w:val="none"/>
        </w:rPr>
      </w:pPr>
      <w:bookmarkStart w:id="46" w:name="_Toc12874_WPSOffice_Level1"/>
      <w:bookmarkStart w:id="47" w:name="_Toc13649_WPSOffice_Level1"/>
      <w:r>
        <w:rPr>
          <w:rFonts w:hint="eastAsia" w:ascii="宋体" w:hAnsi="宋体" w:cs="宋体"/>
          <w:color w:val="auto"/>
          <w:sz w:val="24"/>
          <w:highlight w:val="none"/>
        </w:rPr>
        <w:t>1、投标函</w:t>
      </w:r>
      <w:bookmarkEnd w:id="46"/>
      <w:bookmarkEnd w:id="47"/>
    </w:p>
    <w:p w14:paraId="331F4EDE">
      <w:pPr>
        <w:spacing w:line="460" w:lineRule="exact"/>
        <w:ind w:firstLine="480" w:firstLineChars="200"/>
        <w:rPr>
          <w:rFonts w:ascii="宋体" w:hAnsi="宋体" w:cs="宋体"/>
          <w:color w:val="auto"/>
          <w:sz w:val="24"/>
          <w:highlight w:val="none"/>
        </w:rPr>
      </w:pPr>
      <w:bookmarkStart w:id="48" w:name="_Toc16136_WPSOffice_Level1"/>
      <w:bookmarkStart w:id="49" w:name="_Toc19428_WPSOffice_Level1"/>
      <w:r>
        <w:rPr>
          <w:rFonts w:hint="eastAsia" w:ascii="宋体" w:hAnsi="宋体" w:cs="宋体"/>
          <w:color w:val="auto"/>
          <w:sz w:val="24"/>
          <w:highlight w:val="none"/>
        </w:rPr>
        <w:t>2、</w:t>
      </w:r>
      <w:bookmarkEnd w:id="48"/>
      <w:bookmarkEnd w:id="49"/>
      <w:bookmarkStart w:id="50" w:name="_Toc25719_WPSOffice_Level1"/>
      <w:bookmarkStart w:id="51" w:name="_Toc1274_WPSOffice_Level1"/>
      <w:r>
        <w:rPr>
          <w:rFonts w:hint="eastAsia" w:ascii="宋体" w:hAnsi="宋体" w:cs="宋体"/>
          <w:color w:val="auto"/>
          <w:sz w:val="24"/>
          <w:highlight w:val="none"/>
        </w:rPr>
        <w:t>法定代表人（或非法人组织负责人）身份证明书</w:t>
      </w:r>
      <w:bookmarkEnd w:id="50"/>
      <w:bookmarkEnd w:id="51"/>
    </w:p>
    <w:p w14:paraId="78B9EC81">
      <w:pPr>
        <w:spacing w:line="460" w:lineRule="exact"/>
        <w:ind w:firstLine="480" w:firstLineChars="200"/>
        <w:rPr>
          <w:rFonts w:ascii="宋体" w:hAnsi="宋体" w:cs="宋体"/>
          <w:color w:val="auto"/>
          <w:sz w:val="24"/>
          <w:highlight w:val="none"/>
        </w:rPr>
      </w:pPr>
      <w:bookmarkStart w:id="52" w:name="_Toc17873_WPSOffice_Level1"/>
      <w:bookmarkStart w:id="53" w:name="_Toc15759_WPSOffice_Level1"/>
      <w:r>
        <w:rPr>
          <w:rFonts w:hint="eastAsia" w:ascii="宋体" w:hAnsi="宋体" w:cs="宋体"/>
          <w:color w:val="auto"/>
          <w:sz w:val="24"/>
          <w:highlight w:val="none"/>
        </w:rPr>
        <w:t>3、法定代表人（或非法人组织负责人）授权委托书</w:t>
      </w:r>
      <w:bookmarkEnd w:id="52"/>
      <w:bookmarkEnd w:id="53"/>
    </w:p>
    <w:p w14:paraId="67423FB5">
      <w:pPr>
        <w:spacing w:line="460" w:lineRule="exact"/>
        <w:ind w:firstLine="480" w:firstLineChars="200"/>
        <w:rPr>
          <w:rFonts w:ascii="宋体" w:hAnsi="宋体" w:cs="宋体"/>
          <w:color w:val="auto"/>
          <w:sz w:val="24"/>
          <w:highlight w:val="none"/>
        </w:rPr>
      </w:pPr>
      <w:bookmarkStart w:id="54" w:name="_Toc1464_WPSOffice_Level1"/>
      <w:bookmarkStart w:id="55" w:name="_Toc25282_WPSOffice_Level1"/>
      <w:r>
        <w:rPr>
          <w:rFonts w:hint="eastAsia" w:ascii="宋体" w:hAnsi="宋体" w:cs="宋体"/>
          <w:color w:val="auto"/>
          <w:sz w:val="24"/>
          <w:highlight w:val="none"/>
        </w:rPr>
        <w:t>4、反商业贿赂承诺书</w:t>
      </w:r>
      <w:bookmarkEnd w:id="54"/>
      <w:bookmarkEnd w:id="55"/>
    </w:p>
    <w:p w14:paraId="04AA9E80">
      <w:pPr>
        <w:spacing w:line="460" w:lineRule="exact"/>
        <w:ind w:firstLine="480" w:firstLineChars="200"/>
        <w:rPr>
          <w:rFonts w:ascii="宋体" w:hAnsi="宋体" w:cs="宋体"/>
          <w:color w:val="auto"/>
          <w:sz w:val="24"/>
          <w:highlight w:val="none"/>
        </w:rPr>
      </w:pPr>
      <w:bookmarkStart w:id="56" w:name="_Toc20333_WPSOffice_Level1"/>
      <w:bookmarkStart w:id="57" w:name="_Toc22245_WPSOffice_Level1"/>
      <w:r>
        <w:rPr>
          <w:rFonts w:hint="eastAsia" w:ascii="宋体" w:hAnsi="宋体" w:cs="宋体"/>
          <w:color w:val="auto"/>
          <w:sz w:val="24"/>
          <w:highlight w:val="none"/>
        </w:rPr>
        <w:t>5、供应商参与政府采购活动（招投标活动）无异议承诺书</w:t>
      </w:r>
    </w:p>
    <w:p w14:paraId="5952A213">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6、不参与围标串标承诺书</w:t>
      </w:r>
    </w:p>
    <w:p w14:paraId="39FAB10C">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7、保密承诺书</w:t>
      </w:r>
    </w:p>
    <w:p w14:paraId="705DBA1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8、投标保证金</w:t>
      </w:r>
    </w:p>
    <w:p w14:paraId="13A9780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9、商务/技术条款偏离表</w:t>
      </w:r>
    </w:p>
    <w:p w14:paraId="428C64D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10、供应商近三年（2023年1月至今）业绩案例一览表</w:t>
      </w:r>
    </w:p>
    <w:p w14:paraId="1A2BE46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11、配送车辆</w:t>
      </w:r>
    </w:p>
    <w:bookmarkEnd w:id="56"/>
    <w:bookmarkEnd w:id="57"/>
    <w:p w14:paraId="75CC3576">
      <w:pPr>
        <w:spacing w:line="460" w:lineRule="exact"/>
        <w:ind w:firstLine="480" w:firstLineChars="200"/>
        <w:rPr>
          <w:rFonts w:ascii="宋体" w:hAnsi="宋体" w:cs="宋体"/>
          <w:color w:val="auto"/>
          <w:sz w:val="24"/>
          <w:highlight w:val="none"/>
        </w:rPr>
      </w:pPr>
      <w:bookmarkStart w:id="58" w:name="_Toc25600_WPSOffice_Level1"/>
      <w:bookmarkStart w:id="59" w:name="_Toc12214_WPSOffice_Level1"/>
      <w:r>
        <w:rPr>
          <w:rFonts w:hint="eastAsia" w:ascii="宋体" w:hAnsi="宋体" w:cs="宋体"/>
          <w:color w:val="auto"/>
          <w:sz w:val="24"/>
          <w:highlight w:val="none"/>
        </w:rPr>
        <w:t>12、人员配备</w:t>
      </w:r>
    </w:p>
    <w:bookmarkEnd w:id="58"/>
    <w:bookmarkEnd w:id="59"/>
    <w:p w14:paraId="64DFF678">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13、仓储能力</w:t>
      </w:r>
    </w:p>
    <w:p w14:paraId="319045E0">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14、供应产品的来源</w:t>
      </w:r>
    </w:p>
    <w:p w14:paraId="01BF003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15、食品安全检测能力</w:t>
      </w:r>
    </w:p>
    <w:p w14:paraId="056E228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16、实施方案</w:t>
      </w:r>
    </w:p>
    <w:p w14:paraId="1B75B29F">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17、产品质量保障</w:t>
      </w:r>
    </w:p>
    <w:p w14:paraId="07BFD721">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18、特殊情况应急保障方案</w:t>
      </w:r>
    </w:p>
    <w:p w14:paraId="66A5FB1E">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19、产品质量保障</w:t>
      </w:r>
    </w:p>
    <w:p w14:paraId="381BCE28">
      <w:pPr>
        <w:spacing w:line="460" w:lineRule="exact"/>
        <w:rPr>
          <w:rFonts w:ascii="宋体" w:hAnsi="宋体" w:cs="宋体"/>
          <w:b/>
          <w:bCs/>
          <w:color w:val="auto"/>
          <w:sz w:val="24"/>
          <w:highlight w:val="none"/>
        </w:rPr>
      </w:pPr>
      <w:r>
        <w:rPr>
          <w:rFonts w:hint="eastAsia" w:ascii="宋体" w:hAnsi="宋体" w:cs="宋体"/>
          <w:b/>
          <w:bCs/>
          <w:color w:val="auto"/>
          <w:sz w:val="24"/>
          <w:highlight w:val="none"/>
        </w:rPr>
        <w:t>四、其他文件</w:t>
      </w:r>
    </w:p>
    <w:p w14:paraId="19F60235">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响应文件的内容包括但不仅限于上述内容，如有不足请自行补充。</w:t>
      </w:r>
    </w:p>
    <w:p w14:paraId="60D29F39">
      <w:pPr>
        <w:numPr>
          <w:ilvl w:val="0"/>
          <w:numId w:val="2"/>
        </w:numPr>
        <w:spacing w:line="460" w:lineRule="exact"/>
        <w:ind w:firstLine="422" w:firstLineChars="200"/>
        <w:rPr>
          <w:rFonts w:ascii="宋体" w:hAnsi="宋体" w:cs="宋体"/>
          <w:b/>
          <w:bCs/>
          <w:color w:val="auto"/>
          <w:sz w:val="28"/>
          <w:highlight w:val="none"/>
        </w:rPr>
      </w:pPr>
      <w:r>
        <w:rPr>
          <w:rFonts w:hint="eastAsia"/>
          <w:b/>
          <w:bCs/>
          <w:color w:val="auto"/>
          <w:highlight w:val="none"/>
        </w:rPr>
        <w:br w:type="page"/>
      </w:r>
      <w:bookmarkStart w:id="60" w:name="_Toc21330"/>
      <w:bookmarkStart w:id="61" w:name="_Toc22526_WPSOffice_Level1"/>
      <w:bookmarkStart w:id="62" w:name="_Toc9349_WPSOffice_Level1"/>
      <w:bookmarkStart w:id="63" w:name="_Toc13964"/>
      <w:bookmarkStart w:id="64" w:name="_Toc17962_WPSOffice_Level1"/>
      <w:bookmarkStart w:id="65" w:name="_Toc21708_WPSOffice_Level1"/>
      <w:bookmarkStart w:id="66" w:name="_Toc3145_WPSOffice_Level1"/>
      <w:r>
        <w:rPr>
          <w:rFonts w:hint="eastAsia" w:ascii="宋体" w:hAnsi="宋体" w:cs="宋体"/>
          <w:b/>
          <w:bCs/>
          <w:color w:val="auto"/>
          <w:sz w:val="28"/>
          <w:highlight w:val="none"/>
        </w:rPr>
        <w:t>资格证明文件</w:t>
      </w:r>
      <w:bookmarkEnd w:id="60"/>
      <w:bookmarkEnd w:id="61"/>
      <w:bookmarkEnd w:id="62"/>
      <w:bookmarkEnd w:id="63"/>
      <w:bookmarkEnd w:id="64"/>
      <w:bookmarkEnd w:id="65"/>
    </w:p>
    <w:p w14:paraId="70E6596C">
      <w:pPr>
        <w:spacing w:before="120" w:line="360" w:lineRule="auto"/>
        <w:jc w:val="center"/>
        <w:rPr>
          <w:rFonts w:ascii="宋体" w:hAnsi="宋体" w:cs="宋体"/>
          <w:b/>
          <w:bCs/>
          <w:color w:val="auto"/>
          <w:sz w:val="32"/>
          <w:szCs w:val="32"/>
          <w:highlight w:val="none"/>
        </w:rPr>
      </w:pPr>
      <w:bookmarkStart w:id="67" w:name="_Toc18364_WPSOffice_Level1"/>
      <w:bookmarkStart w:id="68" w:name="_Toc28783_WPSOffice_Level1"/>
      <w:r>
        <w:rPr>
          <w:rFonts w:hint="eastAsia" w:ascii="宋体" w:hAnsi="宋体" w:cs="宋体"/>
          <w:b/>
          <w:bCs/>
          <w:color w:val="auto"/>
          <w:sz w:val="32"/>
          <w:szCs w:val="32"/>
          <w:highlight w:val="none"/>
        </w:rPr>
        <w:t>1、独立承担民事责任的能力</w:t>
      </w:r>
    </w:p>
    <w:bookmarkEnd w:id="67"/>
    <w:bookmarkEnd w:id="68"/>
    <w:p w14:paraId="730008E7">
      <w:pPr>
        <w:rPr>
          <w:rFonts w:ascii="Calibri"/>
          <w:color w:val="auto"/>
          <w:highlight w:val="none"/>
        </w:rPr>
      </w:pPr>
    </w:p>
    <w:p w14:paraId="2974F739">
      <w:pPr>
        <w:ind w:firstLine="420" w:firstLineChars="200"/>
        <w:jc w:val="left"/>
        <w:rPr>
          <w:rFonts w:ascii="Calibri"/>
          <w:color w:val="auto"/>
          <w:highlight w:val="none"/>
        </w:rPr>
      </w:pPr>
      <w:r>
        <w:rPr>
          <w:rFonts w:hint="eastAsia" w:ascii="Calibri"/>
          <w:color w:val="auto"/>
          <w:highlight w:val="none"/>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22150EC0">
      <w:pPr>
        <w:pStyle w:val="17"/>
        <w:ind w:left="0" w:left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2、</w:t>
      </w:r>
      <w:r>
        <w:rPr>
          <w:rFonts w:hint="eastAsia" w:ascii="宋体" w:hAnsi="宋体" w:eastAsia="宋体" w:cs="宋体"/>
          <w:b/>
          <w:bCs/>
          <w:color w:val="auto"/>
          <w:sz w:val="32"/>
          <w:szCs w:val="32"/>
          <w:highlight w:val="none"/>
        </w:rPr>
        <w:t>具有良好的商业信誉和健全的财务会计制度</w:t>
      </w:r>
    </w:p>
    <w:p w14:paraId="0776C629">
      <w:pPr>
        <w:ind w:firstLine="420" w:firstLineChars="200"/>
        <w:rPr>
          <w:rFonts w:ascii="Calibri"/>
          <w:color w:val="auto"/>
          <w:highlight w:val="none"/>
        </w:rPr>
      </w:pPr>
    </w:p>
    <w:p w14:paraId="6CB2DF1F">
      <w:pPr>
        <w:ind w:firstLine="420" w:firstLineChars="200"/>
        <w:rPr>
          <w:rFonts w:ascii="Calibri"/>
          <w:color w:val="auto"/>
          <w:highlight w:val="none"/>
        </w:rPr>
      </w:pPr>
      <w:r>
        <w:rPr>
          <w:rFonts w:hint="eastAsia" w:ascii="Calibri"/>
          <w:color w:val="auto"/>
          <w:highlight w:val="none"/>
        </w:rPr>
        <w:t>提供2024或2025年度经审计财务报告复印件（加盖公章），含资产负债表、利润表、现金流量表；或投标截止前3个月内基本开户银行出具的资信证明（银行存款证明无效），附基本账户开户信息；或提供良好商业信誉及健全财务会计制度承诺函（加盖单位公章），附基本账户开户信息。</w:t>
      </w:r>
    </w:p>
    <w:p w14:paraId="1ADB833F">
      <w:pPr>
        <w:snapToGrid w:val="0"/>
        <w:spacing w:line="480" w:lineRule="auto"/>
        <w:rPr>
          <w:rFonts w:ascii="宋体" w:hAnsi="宋体" w:cs="宋体"/>
          <w:color w:val="auto"/>
          <w:sz w:val="24"/>
          <w:highlight w:val="none"/>
        </w:rPr>
      </w:pPr>
    </w:p>
    <w:p w14:paraId="3625C762">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77CB39C1">
      <w:pPr>
        <w:spacing w:before="120" w:line="360" w:lineRule="auto"/>
        <w:ind w:left="420" w:leftChars="200"/>
        <w:jc w:val="center"/>
        <w:rPr>
          <w:rFonts w:ascii="宋体" w:hAnsi="宋体" w:eastAsia="仿宋_GB2312" w:cs="宋体"/>
          <w:b/>
          <w:bCs/>
          <w:color w:val="auto"/>
          <w:sz w:val="32"/>
          <w:szCs w:val="32"/>
          <w:highlight w:val="none"/>
        </w:rPr>
      </w:pPr>
      <w:r>
        <w:rPr>
          <w:rFonts w:hint="eastAsia" w:ascii="宋体" w:hAnsi="宋体" w:cs="宋体"/>
          <w:b/>
          <w:bCs/>
          <w:color w:val="auto"/>
          <w:sz w:val="32"/>
          <w:szCs w:val="32"/>
          <w:highlight w:val="none"/>
        </w:rPr>
        <w:t>3、有依法缴纳税收和社会保障资金的良好记录</w:t>
      </w:r>
    </w:p>
    <w:p w14:paraId="3C9BB17A">
      <w:pPr>
        <w:pStyle w:val="58"/>
        <w:tabs>
          <w:tab w:val="left" w:pos="750"/>
        </w:tabs>
        <w:adjustRightInd w:val="0"/>
        <w:snapToGrid w:val="0"/>
        <w:spacing w:line="500" w:lineRule="exact"/>
        <w:ind w:firstLine="720" w:firstLineChars="300"/>
        <w:rPr>
          <w:rFonts w:ascii="宋体" w:hAnsi="宋体"/>
          <w:color w:val="auto"/>
          <w:sz w:val="24"/>
          <w:szCs w:val="24"/>
          <w:highlight w:val="none"/>
        </w:rPr>
      </w:pPr>
    </w:p>
    <w:p w14:paraId="0166CBE0">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供应商依法缴纳税收的证明材料：</w:t>
      </w:r>
    </w:p>
    <w:p w14:paraId="2C07B749">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1.投标截止时间前一年内任意1个月的纳税凭据（完税证明、缴款书、银行代扣（代缴）转账凭证）；</w:t>
      </w:r>
    </w:p>
    <w:p w14:paraId="5EBDC94A">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2.供应商为其他组织的，也需按此项规定提供缴纳税收凭据；自然人无需提供。</w:t>
      </w:r>
    </w:p>
    <w:p w14:paraId="33DA7A03">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3.依法免税的供应商，须提供相应文件证明其依法免税。</w:t>
      </w:r>
    </w:p>
    <w:p w14:paraId="4C91995F">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4.成立时间不足3个月、无应税收入或当期税收零申报的供应商，无需提供纳税凭据，提供承诺函即可。</w:t>
      </w:r>
    </w:p>
    <w:p w14:paraId="3BCDD895">
      <w:pPr>
        <w:spacing w:line="720" w:lineRule="auto"/>
        <w:rPr>
          <w:color w:val="auto"/>
          <w:szCs w:val="16"/>
          <w:highlight w:val="none"/>
        </w:rPr>
      </w:pPr>
    </w:p>
    <w:p w14:paraId="6185834A">
      <w:pPr>
        <w:pStyle w:val="58"/>
        <w:tabs>
          <w:tab w:val="left" w:pos="750"/>
        </w:tabs>
        <w:adjustRightInd w:val="0"/>
        <w:snapToGrid w:val="0"/>
        <w:spacing w:line="500" w:lineRule="exact"/>
        <w:ind w:firstLine="720" w:firstLineChars="300"/>
        <w:rPr>
          <w:rFonts w:ascii="宋体" w:hAnsi="宋体"/>
          <w:color w:val="auto"/>
          <w:sz w:val="24"/>
          <w:szCs w:val="24"/>
          <w:highlight w:val="none"/>
        </w:rPr>
      </w:pPr>
    </w:p>
    <w:p w14:paraId="44D5CF3D">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供应商依法缴纳社会保障资金的证明材料：</w:t>
      </w:r>
    </w:p>
    <w:p w14:paraId="26C7D166">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1.投标截止时间前一年内任意 1 个月的社保缴纳凭据（专用收据或社会保险交纳清单）；</w:t>
      </w:r>
    </w:p>
    <w:p w14:paraId="52A73909">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2.供应商为其他组织，也需按此项规定提供缴纳社会保险的凭据。自然人无需提供。</w:t>
      </w:r>
    </w:p>
    <w:p w14:paraId="5943FB5A">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3.依法不需要缴纳社会保障资金的供应商，须提供相应文件证明其依法不需要缴纳社会保障资金。</w:t>
      </w:r>
    </w:p>
    <w:p w14:paraId="40889190">
      <w:pPr>
        <w:pStyle w:val="58"/>
        <w:tabs>
          <w:tab w:val="left" w:pos="750"/>
        </w:tabs>
        <w:adjustRightInd w:val="0"/>
        <w:snapToGrid w:val="0"/>
        <w:spacing w:line="500" w:lineRule="exact"/>
        <w:ind w:firstLine="720" w:firstLineChars="300"/>
        <w:rPr>
          <w:color w:val="auto"/>
          <w:szCs w:val="16"/>
          <w:highlight w:val="none"/>
        </w:rPr>
      </w:pPr>
      <w:r>
        <w:rPr>
          <w:rFonts w:hint="eastAsia" w:ascii="宋体" w:hAnsi="宋体"/>
          <w:color w:val="auto"/>
          <w:sz w:val="24"/>
          <w:szCs w:val="24"/>
          <w:highlight w:val="none"/>
        </w:rPr>
        <w:t>4.成立时间不足3个月、暂无从业人员未缴纳社保的供应商，无需提供本项社保缴纳材料，提供承诺函即可。</w:t>
      </w:r>
    </w:p>
    <w:p w14:paraId="6DC605B6">
      <w:pPr>
        <w:spacing w:before="120" w:line="360" w:lineRule="auto"/>
        <w:ind w:left="420" w:left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4、具有履行合同所必需的设备和专业技术能力承诺函</w:t>
      </w:r>
    </w:p>
    <w:p w14:paraId="7E518B5F">
      <w:pPr>
        <w:snapToGrid w:val="0"/>
        <w:spacing w:line="480" w:lineRule="auto"/>
        <w:ind w:firstLine="480" w:firstLineChars="200"/>
        <w:rPr>
          <w:rFonts w:ascii="宋体" w:hAnsi="宋体" w:cs="宋体"/>
          <w:color w:val="auto"/>
          <w:sz w:val="24"/>
          <w:highlight w:val="none"/>
        </w:rPr>
      </w:pPr>
    </w:p>
    <w:p w14:paraId="1A63E663">
      <w:pPr>
        <w:snapToGrid w:val="0"/>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我单位参与</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投标，本单位郑重声明，本单位具备本项目履行合同所必需的设备和专业技术能力，特此承诺。</w:t>
      </w:r>
    </w:p>
    <w:p w14:paraId="4687E7D5">
      <w:pPr>
        <w:spacing w:before="120" w:line="360" w:lineRule="auto"/>
        <w:ind w:left="420" w:leftChars="200"/>
        <w:jc w:val="center"/>
        <w:rPr>
          <w:rFonts w:ascii="宋体" w:hAnsi="宋体" w:cs="宋体"/>
          <w:b/>
          <w:bCs/>
          <w:color w:val="auto"/>
          <w:sz w:val="32"/>
          <w:szCs w:val="32"/>
          <w:highlight w:val="none"/>
        </w:rPr>
      </w:pPr>
    </w:p>
    <w:p w14:paraId="4764AAB1">
      <w:pPr>
        <w:snapToGrid w:val="0"/>
        <w:spacing w:line="480" w:lineRule="auto"/>
        <w:rPr>
          <w:rFonts w:ascii="仿宋_GB2312" w:hAnsi="仿宋_GB2312" w:eastAsia="仿宋_GB2312" w:cs="仿宋_GB2312"/>
          <w:color w:val="auto"/>
          <w:highlight w:val="none"/>
        </w:rPr>
      </w:pPr>
    </w:p>
    <w:p w14:paraId="379793A1">
      <w:pPr>
        <w:snapToGrid w:val="0"/>
        <w:spacing w:line="480" w:lineRule="auto"/>
        <w:rPr>
          <w:rFonts w:ascii="仿宋_GB2312" w:hAnsi="仿宋_GB2312" w:eastAsia="仿宋_GB2312" w:cs="仿宋_GB2312"/>
          <w:color w:val="auto"/>
          <w:highlight w:val="none"/>
        </w:rPr>
      </w:pPr>
    </w:p>
    <w:p w14:paraId="4BB3419D">
      <w:pPr>
        <w:snapToGrid w:val="0"/>
        <w:spacing w:line="480" w:lineRule="auto"/>
        <w:rPr>
          <w:rFonts w:ascii="仿宋_GB2312" w:hAnsi="仿宋_GB2312" w:eastAsia="仿宋_GB2312" w:cs="仿宋_GB2312"/>
          <w:color w:val="auto"/>
          <w:highlight w:val="none"/>
        </w:rPr>
      </w:pPr>
    </w:p>
    <w:p w14:paraId="524A22B0">
      <w:pPr>
        <w:snapToGrid w:val="0"/>
        <w:spacing w:line="480" w:lineRule="auto"/>
        <w:rPr>
          <w:rFonts w:ascii="仿宋_GB2312" w:hAnsi="仿宋_GB2312" w:eastAsia="仿宋_GB2312" w:cs="仿宋_GB2312"/>
          <w:color w:val="auto"/>
          <w:highlight w:val="none"/>
        </w:rPr>
      </w:pPr>
    </w:p>
    <w:p w14:paraId="72894139">
      <w:pPr>
        <w:snapToGrid w:val="0"/>
        <w:spacing w:line="480" w:lineRule="auto"/>
        <w:rPr>
          <w:rFonts w:ascii="仿宋_GB2312" w:hAnsi="仿宋_GB2312" w:eastAsia="仿宋_GB2312" w:cs="仿宋_GB2312"/>
          <w:color w:val="auto"/>
          <w:highlight w:val="none"/>
        </w:rPr>
      </w:pPr>
    </w:p>
    <w:p w14:paraId="683EF7D7">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0AA76A7D">
      <w:pPr>
        <w:pStyle w:val="58"/>
        <w:tabs>
          <w:tab w:val="left" w:pos="750"/>
        </w:tabs>
        <w:adjustRightInd w:val="0"/>
        <w:snapToGrid w:val="0"/>
        <w:spacing w:line="500" w:lineRule="exact"/>
        <w:rPr>
          <w:rFonts w:ascii="宋体" w:hAnsi="宋体"/>
          <w:color w:val="auto"/>
          <w:sz w:val="24"/>
          <w:szCs w:val="24"/>
          <w:highlight w:val="none"/>
        </w:rPr>
      </w:pPr>
    </w:p>
    <w:p w14:paraId="5B161131">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法定代表人（单位负责人）或其委托代理人（签字或电子签章）：</w:t>
      </w:r>
    </w:p>
    <w:p w14:paraId="396F6204">
      <w:pPr>
        <w:pStyle w:val="58"/>
        <w:tabs>
          <w:tab w:val="left" w:pos="750"/>
        </w:tabs>
        <w:adjustRightInd w:val="0"/>
        <w:snapToGrid w:val="0"/>
        <w:spacing w:line="500" w:lineRule="exact"/>
        <w:rPr>
          <w:rFonts w:ascii="宋体" w:hAnsi="宋体"/>
          <w:color w:val="auto"/>
          <w:sz w:val="24"/>
          <w:szCs w:val="24"/>
          <w:highlight w:val="none"/>
        </w:rPr>
      </w:pPr>
    </w:p>
    <w:p w14:paraId="39B24244">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  年  月  日</w:t>
      </w:r>
    </w:p>
    <w:p w14:paraId="7B218925">
      <w:pPr>
        <w:spacing w:before="12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5、参加政府采购活动前3年内，在经营活动中没有重大违法记录的书面声明函</w:t>
      </w:r>
    </w:p>
    <w:p w14:paraId="39A74B42">
      <w:pPr>
        <w:spacing w:line="520" w:lineRule="exact"/>
        <w:rPr>
          <w:rFonts w:ascii="宋体" w:hAnsi="宋体" w:cs="宋体"/>
          <w:bCs/>
          <w:color w:val="auto"/>
          <w:sz w:val="24"/>
          <w:highlight w:val="none"/>
        </w:rPr>
      </w:pPr>
      <w:r>
        <w:rPr>
          <w:rFonts w:hint="eastAsia" w:ascii="宋体" w:hAnsi="宋体" w:cs="宋体"/>
          <w:color w:val="auto"/>
          <w:sz w:val="24"/>
          <w:highlight w:val="none"/>
        </w:rPr>
        <w:t>致：</w:t>
      </w:r>
    </w:p>
    <w:p w14:paraId="1BD9BB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本公司参加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w:t>
      </w:r>
      <w:r>
        <w:rPr>
          <w:rFonts w:hint="eastAsia" w:ascii="宋体" w:hAnsi="宋体" w:cs="宋体"/>
          <w:color w:val="auto"/>
          <w:sz w:val="24"/>
          <w:highlight w:val="none"/>
        </w:rPr>
        <w:t>）的采购活动，并声明：</w:t>
      </w:r>
    </w:p>
    <w:p w14:paraId="392E0D4C">
      <w:pPr>
        <w:spacing w:line="520" w:lineRule="exact"/>
        <w:rPr>
          <w:rFonts w:ascii="宋体" w:hAnsi="宋体" w:cs="宋体"/>
          <w:color w:val="auto"/>
          <w:sz w:val="24"/>
          <w:highlight w:val="none"/>
        </w:rPr>
      </w:pPr>
      <w:r>
        <w:rPr>
          <w:rFonts w:hint="eastAsia" w:ascii="宋体" w:hAnsi="宋体" w:cs="宋体"/>
          <w:color w:val="auto"/>
          <w:sz w:val="24"/>
          <w:highlight w:val="none"/>
        </w:rPr>
        <w:t>郑重声明，我方参加本项目政府采购活动前三年内无重大违法记录，在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40C7F0B2">
      <w:pPr>
        <w:snapToGrid w:val="0"/>
        <w:spacing w:line="480" w:lineRule="auto"/>
        <w:rPr>
          <w:rFonts w:ascii="宋体" w:hAnsi="宋体" w:cs="宋体"/>
          <w:color w:val="auto"/>
          <w:sz w:val="24"/>
          <w:highlight w:val="none"/>
        </w:rPr>
      </w:pPr>
    </w:p>
    <w:p w14:paraId="71084669">
      <w:pPr>
        <w:snapToGrid w:val="0"/>
        <w:spacing w:line="480" w:lineRule="auto"/>
        <w:ind w:firstLine="480" w:firstLineChars="200"/>
        <w:rPr>
          <w:rFonts w:ascii="宋体" w:hAnsi="宋体" w:cs="宋体"/>
          <w:color w:val="auto"/>
          <w:sz w:val="24"/>
          <w:highlight w:val="none"/>
        </w:rPr>
      </w:pPr>
    </w:p>
    <w:p w14:paraId="5716DC08">
      <w:pPr>
        <w:snapToGrid w:val="0"/>
        <w:spacing w:line="480" w:lineRule="auto"/>
        <w:rPr>
          <w:rFonts w:ascii="仿宋_GB2312" w:hAnsi="仿宋_GB2312" w:eastAsia="仿宋_GB2312" w:cs="仿宋_GB2312"/>
          <w:color w:val="auto"/>
          <w:highlight w:val="none"/>
        </w:rPr>
      </w:pPr>
    </w:p>
    <w:p w14:paraId="753DD6CB">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5963F305">
      <w:pPr>
        <w:pStyle w:val="58"/>
        <w:tabs>
          <w:tab w:val="left" w:pos="750"/>
        </w:tabs>
        <w:adjustRightInd w:val="0"/>
        <w:snapToGrid w:val="0"/>
        <w:spacing w:line="500" w:lineRule="exact"/>
        <w:rPr>
          <w:rFonts w:ascii="宋体" w:hAnsi="宋体"/>
          <w:color w:val="auto"/>
          <w:sz w:val="24"/>
          <w:szCs w:val="24"/>
          <w:highlight w:val="none"/>
        </w:rPr>
      </w:pPr>
    </w:p>
    <w:p w14:paraId="5D91496F">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法定代表人（单位负责人）或其委托代理人（签字或电子签章）：</w:t>
      </w:r>
    </w:p>
    <w:p w14:paraId="3AED6C8C">
      <w:pPr>
        <w:pStyle w:val="58"/>
        <w:tabs>
          <w:tab w:val="left" w:pos="750"/>
        </w:tabs>
        <w:adjustRightInd w:val="0"/>
        <w:snapToGrid w:val="0"/>
        <w:spacing w:line="500" w:lineRule="exact"/>
        <w:rPr>
          <w:rFonts w:ascii="宋体" w:hAnsi="宋体"/>
          <w:color w:val="auto"/>
          <w:sz w:val="24"/>
          <w:szCs w:val="24"/>
          <w:highlight w:val="none"/>
        </w:rPr>
      </w:pPr>
    </w:p>
    <w:p w14:paraId="50F0D57B">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日期：  年  月  日</w:t>
      </w:r>
    </w:p>
    <w:p w14:paraId="09EAD0DB">
      <w:pPr>
        <w:pStyle w:val="58"/>
        <w:tabs>
          <w:tab w:val="left" w:pos="750"/>
        </w:tabs>
        <w:adjustRightInd w:val="0"/>
        <w:snapToGrid w:val="0"/>
        <w:spacing w:line="500" w:lineRule="exact"/>
        <w:ind w:firstLine="840" w:firstLineChars="300"/>
        <w:rPr>
          <w:color w:val="auto"/>
          <w:highlight w:val="none"/>
        </w:rPr>
      </w:pPr>
    </w:p>
    <w:p w14:paraId="6F28A206">
      <w:pPr>
        <w:pStyle w:val="60"/>
        <w:spacing w:line="640" w:lineRule="exact"/>
        <w:jc w:val="center"/>
        <w:rPr>
          <w:rFonts w:ascii="宋体" w:hAnsi="宋体" w:eastAsia="宋体" w:cs="宋体"/>
          <w:color w:val="auto"/>
          <w:highlight w:val="none"/>
        </w:rPr>
      </w:pPr>
      <w:r>
        <w:rPr>
          <w:rFonts w:hint="eastAsia" w:ascii="宋体" w:hAnsi="宋体" w:cs="宋体"/>
          <w:bCs/>
          <w:color w:val="auto"/>
          <w:szCs w:val="32"/>
          <w:highlight w:val="none"/>
        </w:rPr>
        <w:br w:type="page"/>
      </w:r>
      <w:r>
        <w:rPr>
          <w:rFonts w:hint="eastAsia" w:ascii="宋体" w:hAnsi="宋体" w:eastAsia="宋体" w:cs="宋体"/>
          <w:bCs/>
          <w:color w:val="auto"/>
          <w:szCs w:val="32"/>
          <w:highlight w:val="none"/>
        </w:rPr>
        <w:t>6、</w:t>
      </w:r>
      <w:r>
        <w:rPr>
          <w:rFonts w:hint="eastAsia" w:ascii="宋体" w:hAnsi="宋体" w:eastAsia="宋体" w:cs="宋体"/>
          <w:color w:val="auto"/>
          <w:highlight w:val="none"/>
        </w:rPr>
        <w:t>限制行为</w:t>
      </w:r>
    </w:p>
    <w:p w14:paraId="2958BD1A">
      <w:pPr>
        <w:pStyle w:val="60"/>
        <w:spacing w:line="640" w:lineRule="exact"/>
        <w:jc w:val="center"/>
        <w:rPr>
          <w:rFonts w:ascii="宋体" w:hAnsi="宋体" w:eastAsia="宋体" w:cs="宋体"/>
          <w:bCs/>
          <w:color w:val="auto"/>
          <w:sz w:val="24"/>
          <w:highlight w:val="none"/>
        </w:rPr>
      </w:pPr>
      <w:bookmarkStart w:id="69" w:name="_Toc4715_WPSOffice_Level1"/>
      <w:bookmarkStart w:id="70" w:name="_Toc30256_WPSOffice_Level1"/>
      <w:bookmarkStart w:id="71" w:name="_Toc5107_WPSOffice_Level1"/>
      <w:bookmarkStart w:id="72" w:name="_Toc6244_WPSOffice_Level1"/>
      <w:r>
        <w:rPr>
          <w:rFonts w:hint="eastAsia" w:ascii="宋体" w:hAnsi="宋体" w:eastAsia="宋体" w:cs="宋体"/>
          <w:bCs/>
          <w:color w:val="auto"/>
          <w:sz w:val="24"/>
          <w:highlight w:val="none"/>
        </w:rPr>
        <w:t>承诺书</w:t>
      </w:r>
      <w:bookmarkEnd w:id="69"/>
      <w:bookmarkEnd w:id="70"/>
      <w:bookmarkEnd w:id="71"/>
      <w:bookmarkEnd w:id="72"/>
      <w:r>
        <w:rPr>
          <w:rFonts w:hint="eastAsia" w:ascii="宋体" w:hAnsi="宋体" w:eastAsia="宋体" w:cs="宋体"/>
          <w:bCs/>
          <w:color w:val="auto"/>
          <w:sz w:val="24"/>
          <w:highlight w:val="none"/>
        </w:rPr>
        <w:br w:type="textWrapping"/>
      </w:r>
    </w:p>
    <w:p w14:paraId="17879BAA">
      <w:pPr>
        <w:pStyle w:val="60"/>
        <w:spacing w:line="64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的法人，清楚知晓我公司本项目投标活动，对以下事项作出承诺：</w:t>
      </w:r>
    </w:p>
    <w:p w14:paraId="14821028">
      <w:pPr>
        <w:pStyle w:val="60"/>
        <w:spacing w:line="64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一、我单位遵循公开、公平、公正、诚实守信的原则，依法依规参与本项目竞标。</w:t>
      </w:r>
    </w:p>
    <w:p w14:paraId="51D3D0D1">
      <w:pPr>
        <w:pStyle w:val="60"/>
        <w:spacing w:line="64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二、我单位在本项目招标投标活动中，未参与围标串标。</w:t>
      </w:r>
    </w:p>
    <w:p w14:paraId="0D7411FC">
      <w:pPr>
        <w:pStyle w:val="60"/>
        <w:spacing w:line="64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三、我单位未为采购项目提供整体设计、规范编制或者项目管理、监理、检测等服务。</w:t>
      </w:r>
    </w:p>
    <w:p w14:paraId="11C006C8">
      <w:pPr>
        <w:pStyle w:val="60"/>
        <w:spacing w:line="640" w:lineRule="exact"/>
        <w:ind w:firstLine="480" w:firstLineChars="200"/>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四、我单位如被查实在本项目招标投标活动中存在围标串标的，递交响应文件行为作为实施串通投标违法行为的关键环节，本人承担直接责任人员法律责任，接受相应行政处罚和失信惩戒。</w:t>
      </w:r>
    </w:p>
    <w:p w14:paraId="5F979A84">
      <w:pPr>
        <w:snapToGrid w:val="0"/>
        <w:rPr>
          <w:rFonts w:ascii="宋体" w:hAnsi="宋体" w:cs="宋体"/>
          <w:color w:val="auto"/>
          <w:sz w:val="24"/>
          <w:highlight w:val="none"/>
        </w:rPr>
      </w:pPr>
    </w:p>
    <w:p w14:paraId="747576AA">
      <w:pPr>
        <w:snapToGrid w:val="0"/>
        <w:rPr>
          <w:rFonts w:ascii="宋体" w:hAnsi="宋体" w:cs="宋体"/>
          <w:color w:val="auto"/>
          <w:sz w:val="24"/>
          <w:highlight w:val="none"/>
        </w:rPr>
      </w:pPr>
    </w:p>
    <w:p w14:paraId="387C8D4D">
      <w:pPr>
        <w:snapToGrid w:val="0"/>
        <w:spacing w:line="480" w:lineRule="auto"/>
        <w:rPr>
          <w:rFonts w:ascii="仿宋_GB2312" w:hAnsi="仿宋_GB2312" w:eastAsia="仿宋_GB2312" w:cs="仿宋_GB2312"/>
          <w:color w:val="auto"/>
          <w:highlight w:val="none"/>
        </w:rPr>
      </w:pPr>
    </w:p>
    <w:p w14:paraId="320F2A69">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3932B3E9">
      <w:pPr>
        <w:pStyle w:val="58"/>
        <w:tabs>
          <w:tab w:val="left" w:pos="750"/>
        </w:tabs>
        <w:adjustRightInd w:val="0"/>
        <w:snapToGrid w:val="0"/>
        <w:spacing w:line="500" w:lineRule="exact"/>
        <w:rPr>
          <w:rFonts w:ascii="宋体" w:hAnsi="宋体"/>
          <w:color w:val="auto"/>
          <w:sz w:val="24"/>
          <w:szCs w:val="24"/>
          <w:highlight w:val="none"/>
        </w:rPr>
      </w:pPr>
    </w:p>
    <w:p w14:paraId="3BC212E1">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法定代表人（单位负责人）或其委托代理人（签字或电子签章）：</w:t>
      </w:r>
    </w:p>
    <w:p w14:paraId="748C3E9C">
      <w:pPr>
        <w:pStyle w:val="58"/>
        <w:tabs>
          <w:tab w:val="left" w:pos="750"/>
        </w:tabs>
        <w:adjustRightInd w:val="0"/>
        <w:snapToGrid w:val="0"/>
        <w:spacing w:line="500" w:lineRule="exact"/>
        <w:rPr>
          <w:rFonts w:ascii="宋体" w:hAnsi="宋体"/>
          <w:color w:val="auto"/>
          <w:sz w:val="24"/>
          <w:szCs w:val="24"/>
          <w:highlight w:val="none"/>
        </w:rPr>
      </w:pPr>
    </w:p>
    <w:p w14:paraId="72C590B1">
      <w:pPr>
        <w:pStyle w:val="58"/>
        <w:tabs>
          <w:tab w:val="left" w:pos="750"/>
        </w:tabs>
        <w:adjustRightInd w:val="0"/>
        <w:snapToGrid w:val="0"/>
        <w:spacing w:line="500" w:lineRule="exact"/>
        <w:ind w:firstLine="720" w:firstLineChars="300"/>
        <w:rPr>
          <w:rFonts w:hint="eastAsia" w:ascii="宋体" w:hAnsi="宋体"/>
          <w:color w:val="auto"/>
          <w:sz w:val="24"/>
          <w:szCs w:val="24"/>
          <w:highlight w:val="none"/>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ascii="宋体" w:hAnsi="宋体"/>
          <w:color w:val="auto"/>
          <w:sz w:val="24"/>
          <w:szCs w:val="24"/>
          <w:highlight w:val="none"/>
        </w:rPr>
        <w:t>日期：年月日</w:t>
      </w:r>
    </w:p>
    <w:p w14:paraId="643C8D9F">
      <w:pPr>
        <w:pStyle w:val="60"/>
        <w:spacing w:line="64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中小企业声明函</w:t>
      </w:r>
    </w:p>
    <w:p w14:paraId="50DB5EC0">
      <w:pPr>
        <w:pStyle w:val="25"/>
        <w:widowControl/>
        <w:numPr>
          <w:ilvl w:val="0"/>
          <w:numId w:val="0"/>
        </w:numPr>
        <w:spacing w:line="520" w:lineRule="exact"/>
        <w:jc w:val="center"/>
        <w:rPr>
          <w:rFonts w:ascii="宋体" w:hAnsi="宋体" w:cs="宋体"/>
          <w:color w:val="auto"/>
          <w:sz w:val="24"/>
          <w:highlight w:val="none"/>
        </w:rPr>
      </w:pPr>
      <w:r>
        <w:rPr>
          <w:rStyle w:val="32"/>
          <w:rFonts w:hint="eastAsia" w:ascii="宋体" w:hAnsi="宋体" w:cs="宋体"/>
          <w:color w:val="auto"/>
          <w:sz w:val="24"/>
          <w:highlight w:val="none"/>
        </w:rPr>
        <w:t>中小企业声明函(（货物)）</w:t>
      </w:r>
    </w:p>
    <w:p w14:paraId="5C6ECA70">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本公司（联合体）郑重声明，根据《政府采购促进中小企业发展管理办法》（财库〔2020〕[2020]46号）的规定，本公司（联合体）参加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（单位名称）的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（项目名称）采购活动，提供的货物全部由符合政策要求的中小企业制造。相关企业（含联合体中的中小企业、签订分包意向协议的中小企业）的具体情况如下：</w:t>
      </w:r>
    </w:p>
    <w:p w14:paraId="5438D3A0">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（标的名称），属于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（采购文件中明确的所属行业）；制造商为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（企业名称），从业人员</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（中型企业、小型企业、微型企业）；</w:t>
      </w:r>
    </w:p>
    <w:p w14:paraId="0ABA455C">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（标的名称），属于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（采购文件中明确的所属行业）；制造商为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（企业名称），从业人员</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（中型企业、小型企业、微型企业）；</w:t>
      </w:r>
    </w:p>
    <w:p w14:paraId="6739E6FE">
      <w:pPr>
        <w:pStyle w:val="2"/>
        <w:ind w:firstLine="48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14:paraId="4C6A3136">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14:paraId="13C3FD1D">
      <w:pPr>
        <w:widowControl/>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14:paraId="5310704E">
      <w:pPr>
        <w:widowControl/>
        <w:spacing w:line="360" w:lineRule="auto"/>
        <w:rPr>
          <w:rFonts w:asciiTheme="minorEastAsia" w:hAnsiTheme="minorEastAsia" w:eastAsiaTheme="minorEastAsia" w:cstheme="minorEastAsia"/>
          <w:color w:val="auto"/>
          <w:sz w:val="24"/>
          <w:highlight w:val="none"/>
        </w:rPr>
      </w:pPr>
    </w:p>
    <w:p w14:paraId="07049FBC">
      <w:pPr>
        <w:widowControl/>
        <w:spacing w:line="360" w:lineRule="auto"/>
        <w:rPr>
          <w:rFonts w:asciiTheme="minorEastAsia" w:hAnsiTheme="minorEastAsia" w:eastAsiaTheme="minorEastAsia" w:cstheme="minorEastAsia"/>
          <w:color w:val="auto"/>
          <w:sz w:val="24"/>
          <w:highlight w:val="none"/>
        </w:rPr>
      </w:pPr>
    </w:p>
    <w:p w14:paraId="033AE637">
      <w:pPr>
        <w:widowControl/>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w:t>
      </w:r>
    </w:p>
    <w:p w14:paraId="5D6BC5A9">
      <w:pP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日期：</w:t>
      </w:r>
    </w:p>
    <w:p w14:paraId="0885663C">
      <w:pPr>
        <w:rPr>
          <w:rFonts w:ascii="宋体" w:hAnsi="宋体" w:cs="宋体"/>
          <w:color w:val="auto"/>
          <w:spacing w:val="7"/>
          <w:sz w:val="28"/>
          <w:szCs w:val="28"/>
          <w:highlight w:val="none"/>
          <w14:textOutline w14:w="6540" w14:cap="sq" w14:cmpd="sng" w14:algn="ctr">
            <w14:solidFill>
              <w14:srgbClr w14:val="000000"/>
            </w14:solidFill>
            <w14:prstDash w14:val="solid"/>
            <w14:bevel/>
          </w14:textOutline>
        </w:rPr>
      </w:pPr>
    </w:p>
    <w:p w14:paraId="001901F6">
      <w:pPr>
        <w:pStyle w:val="12"/>
        <w:spacing w:after="0" w:line="360" w:lineRule="auto"/>
        <w:ind w:firstLine="480" w:firstLineChars="200"/>
        <w:rPr>
          <w:rFonts w:ascii="宋体" w:hAnsi="宋体" w:cs="宋体"/>
          <w:color w:val="auto"/>
          <w:sz w:val="24"/>
          <w:highlight w:val="none"/>
        </w:rPr>
      </w:pPr>
    </w:p>
    <w:p w14:paraId="564F4F42">
      <w:pPr>
        <w:pStyle w:val="12"/>
        <w:spacing w:after="0" w:line="360" w:lineRule="auto"/>
        <w:ind w:firstLine="480" w:firstLineChars="200"/>
        <w:rPr>
          <w:rFonts w:ascii="宋体" w:hAnsi="宋体" w:cs="宋体"/>
          <w:color w:val="auto"/>
          <w:sz w:val="24"/>
          <w:highlight w:val="none"/>
        </w:rPr>
      </w:pPr>
    </w:p>
    <w:p w14:paraId="0721F88B">
      <w:pPr>
        <w:pStyle w:val="12"/>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从业人员、营业收入、资产总额填报上一年度数据，无上一年度数据的新成立</w:t>
      </w:r>
      <w:bookmarkStart w:id="73" w:name="_Toc12566"/>
      <w:bookmarkStart w:id="74" w:name="_Toc17009"/>
      <w:bookmarkStart w:id="75" w:name="_Toc6760"/>
      <w:bookmarkStart w:id="76" w:name="_Toc5249"/>
      <w:bookmarkStart w:id="77" w:name="_Toc32110"/>
      <w:bookmarkStart w:id="78" w:name="_Toc31268"/>
      <w:bookmarkStart w:id="79" w:name="_Toc1088"/>
      <w:bookmarkStart w:id="80" w:name="_Toc8531"/>
      <w:r>
        <w:rPr>
          <w:rFonts w:hint="eastAsia" w:ascii="宋体" w:hAnsi="宋体" w:cs="宋体"/>
          <w:color w:val="auto"/>
          <w:sz w:val="24"/>
          <w:highlight w:val="none"/>
        </w:rPr>
        <w:t>企业可不填报。</w:t>
      </w:r>
      <w:bookmarkEnd w:id="73"/>
      <w:bookmarkEnd w:id="74"/>
      <w:bookmarkEnd w:id="75"/>
      <w:bookmarkEnd w:id="76"/>
      <w:bookmarkEnd w:id="77"/>
      <w:bookmarkEnd w:id="78"/>
      <w:bookmarkEnd w:id="79"/>
      <w:bookmarkEnd w:id="80"/>
    </w:p>
    <w:p w14:paraId="553F1246">
      <w:pPr>
        <w:pStyle w:val="12"/>
        <w:spacing w:after="0" w:line="360" w:lineRule="auto"/>
        <w:ind w:firstLine="480" w:firstLineChars="200"/>
        <w:rPr>
          <w:rFonts w:ascii="宋体" w:hAnsi="宋体" w:cs="宋体"/>
          <w:color w:val="auto"/>
          <w:sz w:val="24"/>
          <w:highlight w:val="none"/>
        </w:rPr>
      </w:pPr>
    </w:p>
    <w:p w14:paraId="419040E8">
      <w:pPr>
        <w:rPr>
          <w:rFonts w:ascii="宋体" w:hAnsi="宋体" w:cs="宋体"/>
          <w:color w:val="auto"/>
          <w:spacing w:val="7"/>
          <w:sz w:val="28"/>
          <w:szCs w:val="28"/>
          <w:highlight w:val="none"/>
          <w14:textOutline w14:w="6540" w14:cap="sq" w14:cmpd="sng" w14:algn="ctr">
            <w14:solidFill>
              <w14:srgbClr w14:val="000000"/>
            </w14:solidFill>
            <w14:prstDash w14:val="solid"/>
            <w14:bevel/>
          </w14:textOutline>
        </w:rPr>
      </w:pPr>
      <w:r>
        <w:rPr>
          <w:rFonts w:hint="eastAsia" w:ascii="宋体" w:hAnsi="宋体" w:cs="宋体"/>
          <w:color w:val="auto"/>
          <w:spacing w:val="7"/>
          <w:sz w:val="28"/>
          <w:szCs w:val="28"/>
          <w:highlight w:val="none"/>
          <w14:textOutline w14:w="6540" w14:cap="sq" w14:cmpd="sng" w14:algn="ctr">
            <w14:solidFill>
              <w14:srgbClr w14:val="000000"/>
            </w14:solidFill>
            <w14:prstDash w14:val="solid"/>
            <w14:bevel/>
          </w14:textOutline>
        </w:rPr>
        <w:br w:type="page"/>
      </w:r>
    </w:p>
    <w:p w14:paraId="40156E34">
      <w:pPr>
        <w:pStyle w:val="25"/>
        <w:widowControl/>
        <w:spacing w:line="520" w:lineRule="exact"/>
        <w:ind w:firstLine="420"/>
        <w:jc w:val="center"/>
        <w:rPr>
          <w:rStyle w:val="32"/>
          <w:rFonts w:ascii="宋体" w:hAnsi="宋体" w:cs="宋体"/>
          <w:color w:val="auto"/>
          <w:sz w:val="24"/>
          <w:highlight w:val="none"/>
        </w:rPr>
      </w:pPr>
      <w:r>
        <w:rPr>
          <w:rStyle w:val="32"/>
          <w:rFonts w:hint="eastAsia" w:ascii="宋体" w:hAnsi="宋体" w:cs="宋体"/>
          <w:color w:val="auto"/>
          <w:sz w:val="24"/>
          <w:highlight w:val="none"/>
        </w:rPr>
        <w:t>监狱企业的证明文件（如有）</w:t>
      </w:r>
    </w:p>
    <w:p w14:paraId="54AA6B87">
      <w:pPr>
        <w:pStyle w:val="76"/>
        <w:spacing w:line="480" w:lineRule="auto"/>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（监狱企业适用）</w:t>
      </w:r>
    </w:p>
    <w:p w14:paraId="7177ED8F">
      <w:pPr>
        <w:pStyle w:val="76"/>
        <w:spacing w:line="480" w:lineRule="auto"/>
        <w:ind w:firstLine="480" w:firstLineChars="200"/>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本公司郑重声明，根据《关于政府采购支持监狱企业发展有关问题的通知》（财库[2014]68号）的规定，本公司为监狱企业。</w:t>
      </w:r>
    </w:p>
    <w:p w14:paraId="69F051B9">
      <w:pPr>
        <w:pStyle w:val="76"/>
        <w:spacing w:line="480" w:lineRule="auto"/>
        <w:ind w:firstLine="480" w:firstLineChars="200"/>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本公司参加______单位的______项目竞标活动，竞标活动提供本企业（填写制造的货物，由本企业承担工程、提供服务）。</w:t>
      </w:r>
    </w:p>
    <w:p w14:paraId="4303FE77">
      <w:pPr>
        <w:pStyle w:val="76"/>
        <w:spacing w:line="480" w:lineRule="auto"/>
        <w:ind w:firstLine="480" w:firstLineChars="200"/>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本条所称货物不包括使用大型企业注册商标的货物和服务。</w:t>
      </w:r>
    </w:p>
    <w:p w14:paraId="45A41791">
      <w:pPr>
        <w:pStyle w:val="76"/>
        <w:spacing w:line="480" w:lineRule="auto"/>
        <w:ind w:firstLine="480" w:firstLineChars="200"/>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本公司对上述声明的真实性负责。如有虚假，将依法承担相应责任。</w:t>
      </w:r>
    </w:p>
    <w:p w14:paraId="4F937FC0">
      <w:pPr>
        <w:pStyle w:val="76"/>
        <w:spacing w:line="480" w:lineRule="auto"/>
        <w:jc w:val="both"/>
        <w:rPr>
          <w:rFonts w:ascii="宋体" w:hAnsi="宋体" w:eastAsia="宋体" w:cs="宋体"/>
          <w:b w:val="0"/>
          <w:color w:val="auto"/>
          <w:kern w:val="2"/>
          <w:sz w:val="24"/>
          <w:szCs w:val="22"/>
          <w:highlight w:val="none"/>
        </w:rPr>
      </w:pPr>
    </w:p>
    <w:p w14:paraId="678B03BF">
      <w:pPr>
        <w:pStyle w:val="76"/>
        <w:spacing w:line="480" w:lineRule="auto"/>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企业名称（盖公章）：</w:t>
      </w:r>
    </w:p>
    <w:p w14:paraId="1705FC75">
      <w:pPr>
        <w:pStyle w:val="76"/>
        <w:spacing w:line="480" w:lineRule="auto"/>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法定代表人或其授权代表(签字或盖章)：____________</w:t>
      </w:r>
    </w:p>
    <w:p w14:paraId="239DFD13">
      <w:pPr>
        <w:pStyle w:val="76"/>
        <w:spacing w:line="480" w:lineRule="auto"/>
        <w:jc w:val="both"/>
        <w:rPr>
          <w:rFonts w:ascii="宋体" w:hAnsi="宋体" w:eastAsia="宋体" w:cs="宋体"/>
          <w:b w:val="0"/>
          <w:color w:val="auto"/>
          <w:kern w:val="2"/>
          <w:sz w:val="24"/>
          <w:szCs w:val="22"/>
          <w:highlight w:val="none"/>
        </w:rPr>
      </w:pPr>
    </w:p>
    <w:p w14:paraId="023ED4CF">
      <w:pPr>
        <w:pStyle w:val="76"/>
        <w:spacing w:line="480" w:lineRule="auto"/>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日期：</w:t>
      </w:r>
    </w:p>
    <w:p w14:paraId="72E1E959">
      <w:pPr>
        <w:pStyle w:val="76"/>
        <w:jc w:val="both"/>
        <w:rPr>
          <w:rFonts w:ascii="宋体" w:hAnsi="宋体" w:eastAsia="宋体" w:cs="宋体"/>
          <w:b w:val="0"/>
          <w:color w:val="auto"/>
          <w:kern w:val="2"/>
          <w:sz w:val="24"/>
          <w:szCs w:val="22"/>
          <w:highlight w:val="none"/>
        </w:rPr>
      </w:pPr>
    </w:p>
    <w:p w14:paraId="0001454D">
      <w:pPr>
        <w:spacing w:line="600" w:lineRule="auto"/>
        <w:ind w:firstLine="435"/>
        <w:rPr>
          <w:color w:val="auto"/>
          <w:sz w:val="24"/>
          <w:szCs w:val="20"/>
          <w:highlight w:val="none"/>
        </w:rPr>
      </w:pPr>
      <w:r>
        <w:rPr>
          <w:rFonts w:hint="eastAsia"/>
          <w:color w:val="auto"/>
          <w:sz w:val="24"/>
          <w:szCs w:val="20"/>
          <w:highlight w:val="none"/>
        </w:rPr>
        <w:t>说明：</w:t>
      </w:r>
    </w:p>
    <w:p w14:paraId="3E433510">
      <w:pPr>
        <w:pStyle w:val="76"/>
        <w:spacing w:line="480" w:lineRule="auto"/>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1.监狱企业参加政府采购活动时，应当提供由省级以上监狱管理局、戒毒管理局（含新疆生产建设兵团）出具的属于监狱企业的证明文件；</w:t>
      </w:r>
    </w:p>
    <w:p w14:paraId="1C40E663">
      <w:pPr>
        <w:pStyle w:val="76"/>
        <w:spacing w:line="480" w:lineRule="auto"/>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2.如供应商不属于监狱企业，则无须提供。</w:t>
      </w:r>
    </w:p>
    <w:p w14:paraId="3C0CB94F">
      <w:pPr>
        <w:pStyle w:val="6"/>
        <w:spacing w:before="0" w:after="0" w:line="360" w:lineRule="auto"/>
        <w:rPr>
          <w:color w:val="auto"/>
          <w:spacing w:val="4"/>
          <w:highlight w:val="none"/>
        </w:rPr>
      </w:pPr>
      <w:r>
        <w:rPr>
          <w:rFonts w:hint="eastAsia"/>
          <w:color w:val="auto"/>
          <w:spacing w:val="4"/>
          <w:highlight w:val="none"/>
        </w:rPr>
        <w:br w:type="page"/>
      </w:r>
      <w:bookmarkStart w:id="81" w:name="_Toc67046901"/>
    </w:p>
    <w:p w14:paraId="6CF573F6">
      <w:pPr>
        <w:pStyle w:val="25"/>
        <w:widowControl/>
        <w:spacing w:line="520" w:lineRule="exact"/>
        <w:ind w:firstLine="420"/>
        <w:jc w:val="center"/>
        <w:rPr>
          <w:rStyle w:val="32"/>
          <w:rFonts w:ascii="宋体" w:hAnsi="宋体" w:cs="宋体"/>
          <w:color w:val="auto"/>
          <w:sz w:val="24"/>
          <w:highlight w:val="none"/>
        </w:rPr>
      </w:pPr>
      <w:bookmarkStart w:id="82" w:name="_Toc17121_WPSOffice_Level1"/>
      <w:bookmarkStart w:id="83" w:name="_Toc22706_WPSOffice_Level1"/>
      <w:r>
        <w:rPr>
          <w:rStyle w:val="32"/>
          <w:rFonts w:hint="eastAsia" w:ascii="宋体" w:hAnsi="宋体" w:cs="宋体"/>
          <w:color w:val="auto"/>
          <w:sz w:val="24"/>
          <w:highlight w:val="none"/>
        </w:rPr>
        <w:t>残疾人福利性单位声明函（如有）</w:t>
      </w:r>
      <w:bookmarkEnd w:id="81"/>
      <w:bookmarkEnd w:id="82"/>
      <w:bookmarkEnd w:id="83"/>
    </w:p>
    <w:p w14:paraId="4686CC62">
      <w:pPr>
        <w:pStyle w:val="76"/>
        <w:spacing w:line="480" w:lineRule="auto"/>
        <w:ind w:firstLine="480" w:firstLineChars="200"/>
        <w:jc w:val="both"/>
        <w:rPr>
          <w:rFonts w:ascii="宋体" w:hAnsi="宋体" w:eastAsia="宋体" w:cs="宋体"/>
          <w:b w:val="0"/>
          <w:color w:val="auto"/>
          <w:kern w:val="2"/>
          <w:sz w:val="24"/>
          <w:szCs w:val="22"/>
          <w:highlight w:val="none"/>
        </w:rPr>
      </w:pPr>
    </w:p>
    <w:p w14:paraId="6AE09A84">
      <w:pPr>
        <w:pStyle w:val="76"/>
        <w:spacing w:line="480" w:lineRule="auto"/>
        <w:ind w:firstLine="480" w:firstLineChars="200"/>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5C6EE736">
      <w:pPr>
        <w:pStyle w:val="76"/>
        <w:spacing w:line="480" w:lineRule="auto"/>
        <w:ind w:firstLine="480" w:firstLineChars="200"/>
        <w:jc w:val="both"/>
        <w:outlineLvl w:val="2"/>
        <w:rPr>
          <w:rFonts w:ascii="宋体" w:hAnsi="宋体" w:eastAsia="宋体" w:cs="宋体"/>
          <w:b w:val="0"/>
          <w:color w:val="auto"/>
          <w:kern w:val="2"/>
          <w:sz w:val="24"/>
          <w:szCs w:val="22"/>
          <w:highlight w:val="none"/>
        </w:rPr>
      </w:pPr>
      <w:r>
        <w:rPr>
          <w:rFonts w:hint="eastAsia" w:ascii="宋体" w:hAnsi="宋体" w:eastAsia="宋体" w:cs="宋体"/>
          <w:b w:val="0"/>
          <w:color w:val="auto"/>
          <w:kern w:val="2"/>
          <w:sz w:val="24"/>
          <w:szCs w:val="22"/>
          <w:highlight w:val="none"/>
        </w:rPr>
        <w:t>本单位对上述声明的真实性负责。如有虚假，将依法承担相应责任。</w:t>
      </w:r>
    </w:p>
    <w:p w14:paraId="5CCB99CF">
      <w:pPr>
        <w:spacing w:line="360" w:lineRule="auto"/>
        <w:ind w:firstLine="435"/>
        <w:rPr>
          <w:color w:val="auto"/>
          <w:szCs w:val="16"/>
          <w:highlight w:val="none"/>
        </w:rPr>
      </w:pPr>
    </w:p>
    <w:p w14:paraId="5AA9E2DC">
      <w:pPr>
        <w:spacing w:line="720" w:lineRule="auto"/>
        <w:ind w:firstLine="435"/>
        <w:rPr>
          <w:color w:val="auto"/>
          <w:szCs w:val="16"/>
          <w:highlight w:val="none"/>
        </w:rPr>
      </w:pPr>
      <w:r>
        <w:rPr>
          <w:rFonts w:hint="eastAsia"/>
          <w:color w:val="auto"/>
          <w:szCs w:val="16"/>
          <w:highlight w:val="none"/>
        </w:rPr>
        <w:t>供应商法定代表人/授权代表（签字或盖私章）：</w:t>
      </w:r>
    </w:p>
    <w:p w14:paraId="3EE1196D">
      <w:pPr>
        <w:spacing w:line="720" w:lineRule="auto"/>
        <w:ind w:firstLine="435"/>
        <w:rPr>
          <w:color w:val="auto"/>
          <w:szCs w:val="16"/>
          <w:highlight w:val="none"/>
        </w:rPr>
      </w:pPr>
      <w:r>
        <w:rPr>
          <w:rFonts w:hint="eastAsia"/>
          <w:color w:val="auto"/>
          <w:szCs w:val="16"/>
          <w:highlight w:val="none"/>
        </w:rPr>
        <w:t>供应商名称（加盖公章）：</w:t>
      </w:r>
    </w:p>
    <w:p w14:paraId="3ACB211E">
      <w:pPr>
        <w:spacing w:line="720" w:lineRule="auto"/>
        <w:ind w:firstLine="435"/>
        <w:rPr>
          <w:color w:val="auto"/>
          <w:szCs w:val="16"/>
          <w:highlight w:val="none"/>
        </w:rPr>
      </w:pPr>
      <w:r>
        <w:rPr>
          <w:rFonts w:hint="eastAsia"/>
          <w:color w:val="auto"/>
          <w:szCs w:val="16"/>
          <w:highlight w:val="none"/>
        </w:rPr>
        <w:t>日期：</w:t>
      </w:r>
    </w:p>
    <w:p w14:paraId="72083E3C">
      <w:pPr>
        <w:spacing w:line="360" w:lineRule="auto"/>
        <w:ind w:firstLine="435"/>
        <w:rPr>
          <w:color w:val="auto"/>
          <w:szCs w:val="16"/>
          <w:highlight w:val="none"/>
        </w:rPr>
      </w:pPr>
    </w:p>
    <w:p w14:paraId="6ED56B5B">
      <w:pPr>
        <w:pStyle w:val="58"/>
        <w:tabs>
          <w:tab w:val="left" w:pos="750"/>
        </w:tabs>
        <w:adjustRightInd w:val="0"/>
        <w:snapToGrid w:val="0"/>
        <w:spacing w:line="500" w:lineRule="exact"/>
        <w:ind w:firstLine="840" w:firstLineChars="300"/>
        <w:rPr>
          <w:rFonts w:hint="eastAsia" w:ascii="宋体" w:hAnsi="宋体"/>
          <w:color w:val="auto"/>
          <w:sz w:val="24"/>
          <w:szCs w:val="24"/>
          <w:highlight w:val="none"/>
        </w:rPr>
      </w:pPr>
      <w:r>
        <w:rPr>
          <w:rFonts w:hint="eastAsia"/>
          <w:color w:val="auto"/>
          <w:szCs w:val="16"/>
          <w:highlight w:val="none"/>
        </w:rPr>
        <w:t>注：如供应商不属于残疾人福利单位，则无须提供。</w:t>
      </w:r>
    </w:p>
    <w:p w14:paraId="7B2B615E">
      <w:pPr>
        <w:spacing w:before="120" w:line="360" w:lineRule="auto"/>
        <w:rPr>
          <w:rFonts w:ascii="宋体" w:hAnsi="宋体" w:cs="宋体"/>
          <w:b/>
          <w:bCs/>
          <w:color w:val="auto"/>
          <w:sz w:val="32"/>
          <w:szCs w:val="32"/>
          <w:highlight w:val="none"/>
        </w:rPr>
      </w:pPr>
    </w:p>
    <w:p w14:paraId="67A17B73">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13D7FFDF">
      <w:pPr>
        <w:pStyle w:val="6"/>
        <w:spacing w:before="0" w:after="0" w:line="360" w:lineRule="auto"/>
        <w:ind w:left="420" w:leftChars="200"/>
        <w:rPr>
          <w:rFonts w:ascii="宋体" w:hAnsi="宋体" w:cs="宋体"/>
          <w:color w:val="auto"/>
          <w:sz w:val="32"/>
          <w:szCs w:val="32"/>
          <w:highlight w:val="none"/>
        </w:rPr>
      </w:pPr>
      <w:bookmarkStart w:id="84" w:name="_Toc25525_WPSOffice_Level1"/>
      <w:bookmarkStart w:id="85" w:name="_Toc3991_WPSOffice_Level1"/>
      <w:bookmarkStart w:id="86" w:name="_Toc17028_WPSOffice_Level1"/>
      <w:bookmarkStart w:id="87" w:name="_Toc27018_WPSOffice_Level1"/>
      <w:r>
        <w:rPr>
          <w:rFonts w:hint="eastAsia" w:ascii="宋体" w:hAnsi="宋体" w:cs="宋体"/>
          <w:color w:val="auto"/>
          <w:sz w:val="32"/>
          <w:szCs w:val="32"/>
          <w:highlight w:val="none"/>
        </w:rPr>
        <w:t>二、报价文件</w:t>
      </w:r>
      <w:bookmarkEnd w:id="84"/>
      <w:bookmarkEnd w:id="85"/>
    </w:p>
    <w:p w14:paraId="29DBF614">
      <w:pPr>
        <w:pStyle w:val="6"/>
        <w:spacing w:before="0" w:after="0" w:line="360" w:lineRule="auto"/>
        <w:rPr>
          <w:color w:val="auto"/>
          <w:highlight w:val="none"/>
        </w:rPr>
      </w:pPr>
      <w:r>
        <w:rPr>
          <w:rFonts w:hint="eastAsia"/>
          <w:color w:val="auto"/>
          <w:highlight w:val="none"/>
        </w:rPr>
        <w:t>1.1报价一览表</w:t>
      </w:r>
    </w:p>
    <w:p w14:paraId="72B6677A">
      <w:pPr>
        <w:pStyle w:val="6"/>
        <w:spacing w:before="0" w:after="0" w:line="360" w:lineRule="auto"/>
        <w:rPr>
          <w:b w:val="0"/>
          <w:bCs w:val="0"/>
          <w:color w:val="auto"/>
          <w:szCs w:val="16"/>
          <w:highlight w:val="none"/>
          <w:u w:val="single"/>
        </w:rPr>
      </w:pPr>
      <w:r>
        <w:rPr>
          <w:rFonts w:hint="eastAsia"/>
          <w:b w:val="0"/>
          <w:bCs w:val="0"/>
          <w:color w:val="auto"/>
          <w:sz w:val="24"/>
          <w:szCs w:val="24"/>
          <w:highlight w:val="none"/>
        </w:rPr>
        <w:t>项目名称：                                项目编号：</w:t>
      </w:r>
    </w:p>
    <w:tbl>
      <w:tblPr>
        <w:tblStyle w:val="29"/>
        <w:tblpPr w:leftFromText="180" w:rightFromText="180" w:vertAnchor="text" w:horzAnchor="page" w:tblpXSpec="center" w:tblpY="164"/>
        <w:tblOverlap w:val="never"/>
        <w:tblW w:w="8359" w:type="dxa"/>
        <w:jc w:val="center"/>
        <w:tblLayout w:type="fixed"/>
        <w:tblCellMar>
          <w:top w:w="0" w:type="dxa"/>
          <w:left w:w="0" w:type="dxa"/>
          <w:bottom w:w="0" w:type="dxa"/>
          <w:right w:w="0" w:type="dxa"/>
        </w:tblCellMar>
      </w:tblPr>
      <w:tblGrid>
        <w:gridCol w:w="2164"/>
        <w:gridCol w:w="6195"/>
      </w:tblGrid>
      <w:tr w14:paraId="572153E5">
        <w:tblPrEx>
          <w:tblCellMar>
            <w:top w:w="0" w:type="dxa"/>
            <w:left w:w="0" w:type="dxa"/>
            <w:bottom w:w="0" w:type="dxa"/>
            <w:right w:w="0" w:type="dxa"/>
          </w:tblCellMar>
        </w:tblPrEx>
        <w:trPr>
          <w:trHeight w:val="821" w:hRule="exact"/>
          <w:jc w:val="center"/>
        </w:trPr>
        <w:tc>
          <w:tcPr>
            <w:tcW w:w="2164" w:type="dxa"/>
            <w:tcBorders>
              <w:top w:val="single" w:color="auto" w:sz="8" w:space="0"/>
              <w:left w:val="single" w:color="auto" w:sz="8" w:space="0"/>
              <w:bottom w:val="single" w:color="auto" w:sz="8" w:space="0"/>
              <w:right w:val="single" w:color="auto" w:sz="8" w:space="0"/>
            </w:tcBorders>
            <w:vAlign w:val="center"/>
          </w:tcPr>
          <w:p w14:paraId="5D5D034B">
            <w:pPr>
              <w:keepNext w:val="0"/>
              <w:keepLines w:val="0"/>
              <w:suppressLineNumbers w:val="0"/>
              <w:spacing w:before="0" w:beforeAutospacing="0" w:after="0" w:afterAutospacing="0"/>
              <w:ind w:left="0" w:right="-63" w:rightChars="-30"/>
              <w:jc w:val="center"/>
              <w:rPr>
                <w:rFonts w:hint="default"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供应商名称</w:t>
            </w:r>
          </w:p>
        </w:tc>
        <w:tc>
          <w:tcPr>
            <w:tcW w:w="6195" w:type="dxa"/>
            <w:tcBorders>
              <w:top w:val="single" w:color="auto" w:sz="8" w:space="0"/>
              <w:left w:val="single" w:color="auto" w:sz="8" w:space="0"/>
              <w:bottom w:val="single" w:color="auto" w:sz="8" w:space="0"/>
              <w:right w:val="single" w:color="auto" w:sz="8" w:space="0"/>
            </w:tcBorders>
            <w:vAlign w:val="center"/>
          </w:tcPr>
          <w:p w14:paraId="33B74A9F">
            <w:pPr>
              <w:keepNext w:val="0"/>
              <w:keepLines w:val="0"/>
              <w:suppressLineNumbers w:val="0"/>
              <w:spacing w:before="0" w:beforeAutospacing="0" w:after="0" w:afterAutospacing="0"/>
              <w:ind w:left="0" w:right="-63" w:rightChars="-30"/>
              <w:jc w:val="center"/>
              <w:rPr>
                <w:rFonts w:hint="default" w:asciiTheme="minorEastAsia" w:hAnsiTheme="minorEastAsia" w:eastAsiaTheme="minorEastAsia" w:cstheme="minorEastAsia"/>
                <w:bCs/>
                <w:color w:val="auto"/>
                <w:sz w:val="24"/>
                <w:highlight w:val="none"/>
              </w:rPr>
            </w:pPr>
          </w:p>
        </w:tc>
      </w:tr>
      <w:tr w14:paraId="47CD3911">
        <w:tblPrEx>
          <w:tblCellMar>
            <w:top w:w="0" w:type="dxa"/>
            <w:left w:w="0" w:type="dxa"/>
            <w:bottom w:w="0" w:type="dxa"/>
            <w:right w:w="0" w:type="dxa"/>
          </w:tblCellMar>
        </w:tblPrEx>
        <w:trPr>
          <w:trHeight w:val="1613" w:hRule="atLeast"/>
          <w:jc w:val="center"/>
        </w:trPr>
        <w:tc>
          <w:tcPr>
            <w:tcW w:w="2164" w:type="dxa"/>
            <w:tcBorders>
              <w:top w:val="single" w:color="auto" w:sz="8" w:space="0"/>
              <w:left w:val="single" w:color="auto" w:sz="8" w:space="0"/>
              <w:right w:val="single" w:color="auto" w:sz="8" w:space="0"/>
            </w:tcBorders>
            <w:vAlign w:val="center"/>
          </w:tcPr>
          <w:p w14:paraId="26D08A56">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rPr>
              <w:t>投标总报价（%）</w:t>
            </w:r>
          </w:p>
        </w:tc>
        <w:tc>
          <w:tcPr>
            <w:tcW w:w="6195" w:type="dxa"/>
            <w:tcBorders>
              <w:top w:val="single" w:color="auto" w:sz="8" w:space="0"/>
              <w:left w:val="single" w:color="auto" w:sz="8" w:space="0"/>
              <w:bottom w:val="single" w:color="auto" w:sz="8" w:space="0"/>
              <w:right w:val="single" w:color="auto" w:sz="8" w:space="0"/>
            </w:tcBorders>
            <w:vAlign w:val="center"/>
          </w:tcPr>
          <w:p w14:paraId="29175533">
            <w:pPr>
              <w:pStyle w:val="2"/>
              <w:spacing w:line="480" w:lineRule="auto"/>
              <w:ind w:firstLine="0" w:firstLineChars="0"/>
              <w:jc w:val="center"/>
              <w:rPr>
                <w:color w:val="auto"/>
                <w:highlight w:val="none"/>
              </w:rPr>
            </w:pPr>
            <w:r>
              <w:rPr>
                <w:rFonts w:hint="eastAsia" w:asciiTheme="minorEastAsia" w:hAnsiTheme="minorEastAsia" w:eastAsiaTheme="minorEastAsia" w:cstheme="minorEastAsia"/>
                <w:bCs/>
                <w:color w:val="auto"/>
                <w:sz w:val="24"/>
                <w:highlight w:val="none"/>
              </w:rPr>
              <w:t>折扣率为：</w:t>
            </w:r>
          </w:p>
          <w:p w14:paraId="0E14C0C1">
            <w:pPr>
              <w:pStyle w:val="2"/>
              <w:spacing w:line="480" w:lineRule="auto"/>
              <w:ind w:firstLine="0" w:firstLineChars="0"/>
              <w:jc w:val="center"/>
              <w:rPr>
                <w:color w:val="auto"/>
                <w:highlight w:val="none"/>
              </w:rPr>
            </w:pPr>
            <w:r>
              <w:rPr>
                <w:rFonts w:hint="eastAsia" w:asciiTheme="minorEastAsia" w:hAnsiTheme="minorEastAsia" w:eastAsiaTheme="minorEastAsia" w:cstheme="minorEastAsia"/>
                <w:bCs/>
                <w:color w:val="auto"/>
                <w:sz w:val="24"/>
                <w:highlight w:val="none"/>
              </w:rPr>
              <w:t>小写：           大写</w:t>
            </w:r>
          </w:p>
        </w:tc>
      </w:tr>
      <w:tr w14:paraId="2B8DC86C">
        <w:tblPrEx>
          <w:tblCellMar>
            <w:top w:w="0" w:type="dxa"/>
            <w:left w:w="0" w:type="dxa"/>
            <w:bottom w:w="0" w:type="dxa"/>
            <w:right w:w="0" w:type="dxa"/>
          </w:tblCellMar>
        </w:tblPrEx>
        <w:trPr>
          <w:trHeight w:val="546" w:hRule="atLeast"/>
          <w:jc w:val="center"/>
        </w:trPr>
        <w:tc>
          <w:tcPr>
            <w:tcW w:w="2164" w:type="dxa"/>
            <w:tcBorders>
              <w:top w:val="single" w:color="auto" w:sz="8" w:space="0"/>
              <w:left w:val="single" w:color="auto" w:sz="8" w:space="0"/>
              <w:right w:val="single" w:color="auto" w:sz="8" w:space="0"/>
            </w:tcBorders>
            <w:vAlign w:val="center"/>
          </w:tcPr>
          <w:p w14:paraId="5DFEB77F">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供货期</w:t>
            </w:r>
          </w:p>
        </w:tc>
        <w:tc>
          <w:tcPr>
            <w:tcW w:w="6195" w:type="dxa"/>
            <w:tcBorders>
              <w:top w:val="single" w:color="auto" w:sz="8" w:space="0"/>
              <w:left w:val="single" w:color="auto" w:sz="8" w:space="0"/>
              <w:bottom w:val="single" w:color="auto" w:sz="8" w:space="0"/>
              <w:right w:val="single" w:color="auto" w:sz="8" w:space="0"/>
            </w:tcBorders>
            <w:vAlign w:val="center"/>
          </w:tcPr>
          <w:p w14:paraId="3CC56CF9">
            <w:pPr>
              <w:pStyle w:val="2"/>
              <w:ind w:firstLine="0" w:firstLineChars="0"/>
              <w:jc w:val="center"/>
              <w:rPr>
                <w:rFonts w:asciiTheme="minorEastAsia" w:hAnsiTheme="minorEastAsia" w:eastAsiaTheme="minorEastAsia" w:cstheme="minorEastAsia"/>
                <w:bCs/>
                <w:color w:val="auto"/>
                <w:sz w:val="24"/>
                <w:highlight w:val="none"/>
              </w:rPr>
            </w:pPr>
          </w:p>
        </w:tc>
      </w:tr>
      <w:tr w14:paraId="40C9ABEA">
        <w:tblPrEx>
          <w:tblCellMar>
            <w:top w:w="0" w:type="dxa"/>
            <w:left w:w="0" w:type="dxa"/>
            <w:bottom w:w="0" w:type="dxa"/>
            <w:right w:w="0" w:type="dxa"/>
          </w:tblCellMar>
        </w:tblPrEx>
        <w:trPr>
          <w:trHeight w:val="476" w:hRule="atLeast"/>
          <w:jc w:val="center"/>
        </w:trPr>
        <w:tc>
          <w:tcPr>
            <w:tcW w:w="2164" w:type="dxa"/>
            <w:tcBorders>
              <w:top w:val="single" w:color="auto" w:sz="8" w:space="0"/>
              <w:left w:val="single" w:color="auto" w:sz="8" w:space="0"/>
              <w:right w:val="single" w:color="auto" w:sz="8" w:space="0"/>
            </w:tcBorders>
            <w:vAlign w:val="center"/>
          </w:tcPr>
          <w:p w14:paraId="00A0C08B">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6195" w:type="dxa"/>
            <w:tcBorders>
              <w:top w:val="single" w:color="auto" w:sz="8" w:space="0"/>
              <w:left w:val="single" w:color="auto" w:sz="8" w:space="0"/>
              <w:bottom w:val="single" w:color="auto" w:sz="8" w:space="0"/>
              <w:right w:val="single" w:color="auto" w:sz="8" w:space="0"/>
            </w:tcBorders>
            <w:vAlign w:val="center"/>
          </w:tcPr>
          <w:p w14:paraId="35CE9C38">
            <w:pPr>
              <w:pStyle w:val="2"/>
              <w:ind w:firstLine="0" w:firstLineChars="0"/>
              <w:jc w:val="center"/>
              <w:rPr>
                <w:rFonts w:asciiTheme="minorEastAsia" w:hAnsiTheme="minorEastAsia" w:eastAsiaTheme="minorEastAsia" w:cstheme="minorEastAsia"/>
                <w:bCs/>
                <w:color w:val="auto"/>
                <w:sz w:val="24"/>
                <w:highlight w:val="none"/>
              </w:rPr>
            </w:pPr>
          </w:p>
        </w:tc>
      </w:tr>
      <w:tr w14:paraId="26EDE4F2">
        <w:tblPrEx>
          <w:tblCellMar>
            <w:top w:w="0" w:type="dxa"/>
            <w:left w:w="0" w:type="dxa"/>
            <w:bottom w:w="0" w:type="dxa"/>
            <w:right w:w="0" w:type="dxa"/>
          </w:tblCellMar>
        </w:tblPrEx>
        <w:trPr>
          <w:trHeight w:val="599" w:hRule="atLeast"/>
          <w:jc w:val="center"/>
        </w:trPr>
        <w:tc>
          <w:tcPr>
            <w:tcW w:w="2164" w:type="dxa"/>
            <w:tcBorders>
              <w:top w:val="single" w:color="auto" w:sz="8" w:space="0"/>
              <w:left w:val="single" w:color="auto" w:sz="8" w:space="0"/>
              <w:right w:val="single" w:color="auto" w:sz="8" w:space="0"/>
            </w:tcBorders>
            <w:vAlign w:val="center"/>
          </w:tcPr>
          <w:p w14:paraId="6BF26B24">
            <w:pPr>
              <w:pStyle w:val="39"/>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备注</w:t>
            </w:r>
          </w:p>
        </w:tc>
        <w:tc>
          <w:tcPr>
            <w:tcW w:w="6195" w:type="dxa"/>
            <w:tcBorders>
              <w:top w:val="single" w:color="auto" w:sz="8" w:space="0"/>
              <w:left w:val="single" w:color="auto" w:sz="8" w:space="0"/>
              <w:bottom w:val="single" w:color="auto" w:sz="8" w:space="0"/>
              <w:right w:val="single" w:color="auto" w:sz="8" w:space="0"/>
            </w:tcBorders>
            <w:vAlign w:val="center"/>
          </w:tcPr>
          <w:p w14:paraId="04BFA505">
            <w:pPr>
              <w:pStyle w:val="2"/>
              <w:ind w:firstLine="0" w:firstLineChars="0"/>
              <w:jc w:val="center"/>
              <w:rPr>
                <w:rFonts w:asciiTheme="minorEastAsia" w:hAnsiTheme="minorEastAsia" w:eastAsiaTheme="minorEastAsia" w:cstheme="minorEastAsia"/>
                <w:bCs/>
                <w:color w:val="auto"/>
                <w:sz w:val="24"/>
                <w:highlight w:val="none"/>
              </w:rPr>
            </w:pPr>
          </w:p>
        </w:tc>
      </w:tr>
      <w:tr w14:paraId="0B022DEB">
        <w:tblPrEx>
          <w:tblCellMar>
            <w:top w:w="0" w:type="dxa"/>
            <w:left w:w="0" w:type="dxa"/>
            <w:bottom w:w="0" w:type="dxa"/>
            <w:right w:w="0" w:type="dxa"/>
          </w:tblCellMar>
        </w:tblPrEx>
        <w:trPr>
          <w:trHeight w:val="1963" w:hRule="exact"/>
          <w:jc w:val="center"/>
        </w:trPr>
        <w:tc>
          <w:tcPr>
            <w:tcW w:w="8359" w:type="dxa"/>
            <w:gridSpan w:val="2"/>
            <w:tcBorders>
              <w:top w:val="single" w:color="auto" w:sz="8" w:space="0"/>
              <w:left w:val="single" w:color="auto" w:sz="8" w:space="0"/>
              <w:bottom w:val="single" w:color="auto" w:sz="8" w:space="0"/>
              <w:right w:val="single" w:color="auto" w:sz="8" w:space="0"/>
            </w:tcBorders>
            <w:vAlign w:val="center"/>
          </w:tcPr>
          <w:p w14:paraId="6134332E">
            <w:pPr>
              <w:keepNext w:val="0"/>
              <w:keepLines w:val="0"/>
              <w:suppressLineNumbers w:val="0"/>
              <w:spacing w:before="0" w:beforeAutospacing="0" w:after="0" w:afterAutospacing="0"/>
              <w:ind w:left="0" w:right="0"/>
              <w:rPr>
                <w:rFonts w:hint="default"/>
                <w:color w:val="auto"/>
                <w:sz w:val="24"/>
                <w:highlight w:val="none"/>
              </w:rPr>
            </w:pPr>
            <w:r>
              <w:rPr>
                <w:rFonts w:hint="eastAsia"/>
                <w:color w:val="auto"/>
                <w:sz w:val="24"/>
                <w:highlight w:val="none"/>
              </w:rPr>
              <w:t>说明：</w:t>
            </w:r>
          </w:p>
          <w:p w14:paraId="3FB36D4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t>1</w:t>
            </w:r>
            <w:r>
              <w:rPr>
                <w:rFonts w:hint="default"/>
                <w:color w:val="auto"/>
                <w:sz w:val="22"/>
                <w:szCs w:val="22"/>
                <w:highlight w:val="none"/>
              </w:rPr>
              <w:t>.</w:t>
            </w:r>
            <w:r>
              <w:rPr>
                <w:rFonts w:hint="eastAsia"/>
                <w:color w:val="auto"/>
                <w:sz w:val="22"/>
                <w:szCs w:val="22"/>
                <w:highlight w:val="none"/>
              </w:rPr>
              <w:t>报价</w:t>
            </w:r>
            <w:r>
              <w:rPr>
                <w:rFonts w:hint="default"/>
                <w:color w:val="auto"/>
                <w:sz w:val="22"/>
                <w:szCs w:val="22"/>
                <w:highlight w:val="none"/>
              </w:rPr>
              <w:t>包括全部货品、税费、包装费、运输、装卸等费用，以及己支付或将支付的营业税和其它税费等所有费用</w:t>
            </w:r>
            <w:r>
              <w:rPr>
                <w:rFonts w:hint="eastAsia"/>
                <w:color w:val="auto"/>
                <w:sz w:val="22"/>
                <w:szCs w:val="22"/>
                <w:highlight w:val="none"/>
              </w:rPr>
              <w:t>。</w:t>
            </w:r>
          </w:p>
          <w:p w14:paraId="55677ED2">
            <w:pPr>
              <w:keepNext w:val="0"/>
              <w:keepLines w:val="0"/>
              <w:suppressLineNumbers w:val="0"/>
              <w:spacing w:before="0" w:beforeAutospacing="0" w:after="0" w:afterAutospacing="0" w:line="360" w:lineRule="auto"/>
              <w:ind w:left="0" w:right="0"/>
              <w:rPr>
                <w:rFonts w:hint="default"/>
                <w:color w:val="auto"/>
                <w:highlight w:val="none"/>
              </w:rPr>
            </w:pPr>
            <w:r>
              <w:rPr>
                <w:rFonts w:hint="default"/>
                <w:color w:val="auto"/>
                <w:sz w:val="22"/>
                <w:szCs w:val="22"/>
                <w:highlight w:val="none"/>
              </w:rPr>
              <w:t>2.报价最多保留两位小数，对于小数点后第三位数字，无论大小，一律按舍去处理。</w:t>
            </w:r>
          </w:p>
        </w:tc>
      </w:tr>
    </w:tbl>
    <w:p w14:paraId="0067C1AB">
      <w:pPr>
        <w:pStyle w:val="58"/>
        <w:tabs>
          <w:tab w:val="left" w:pos="750"/>
        </w:tabs>
        <w:adjustRightInd w:val="0"/>
        <w:snapToGrid w:val="0"/>
        <w:spacing w:line="500" w:lineRule="exact"/>
        <w:ind w:firstLine="720" w:firstLineChars="300"/>
        <w:rPr>
          <w:rFonts w:ascii="宋体" w:hAnsi="宋体"/>
          <w:color w:val="auto"/>
          <w:sz w:val="24"/>
          <w:szCs w:val="24"/>
          <w:highlight w:val="none"/>
        </w:rPr>
      </w:pPr>
    </w:p>
    <w:p w14:paraId="295BC58C">
      <w:pPr>
        <w:pStyle w:val="58"/>
        <w:tabs>
          <w:tab w:val="left" w:pos="750"/>
        </w:tabs>
        <w:adjustRightInd w:val="0"/>
        <w:snapToGrid w:val="0"/>
        <w:spacing w:line="500" w:lineRule="exact"/>
        <w:ind w:firstLine="720" w:firstLineChars="300"/>
        <w:rPr>
          <w:rFonts w:ascii="宋体" w:hAnsi="宋体"/>
          <w:color w:val="auto"/>
          <w:sz w:val="24"/>
          <w:szCs w:val="24"/>
          <w:highlight w:val="none"/>
        </w:rPr>
      </w:pPr>
    </w:p>
    <w:p w14:paraId="586B02F1">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25F16C9B">
      <w:pPr>
        <w:pStyle w:val="58"/>
        <w:tabs>
          <w:tab w:val="left" w:pos="750"/>
        </w:tabs>
        <w:adjustRightInd w:val="0"/>
        <w:snapToGrid w:val="0"/>
        <w:spacing w:line="500" w:lineRule="exact"/>
        <w:rPr>
          <w:rFonts w:ascii="宋体" w:hAnsi="宋体"/>
          <w:color w:val="auto"/>
          <w:sz w:val="24"/>
          <w:szCs w:val="24"/>
          <w:highlight w:val="none"/>
        </w:rPr>
      </w:pPr>
    </w:p>
    <w:p w14:paraId="6EBD22E1">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法定代表人（单位负责人）或其委托代理人（签字或电子签章）：</w:t>
      </w:r>
    </w:p>
    <w:p w14:paraId="355A869C">
      <w:pPr>
        <w:pStyle w:val="58"/>
        <w:tabs>
          <w:tab w:val="left" w:pos="750"/>
        </w:tabs>
        <w:adjustRightInd w:val="0"/>
        <w:snapToGrid w:val="0"/>
        <w:spacing w:line="500" w:lineRule="exact"/>
        <w:rPr>
          <w:rFonts w:ascii="宋体" w:hAnsi="宋体"/>
          <w:color w:val="auto"/>
          <w:sz w:val="24"/>
          <w:szCs w:val="24"/>
          <w:highlight w:val="none"/>
        </w:rPr>
      </w:pPr>
    </w:p>
    <w:p w14:paraId="2120D1F4">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622E71E9">
      <w:pPr>
        <w:rPr>
          <w:color w:val="auto"/>
          <w:szCs w:val="16"/>
          <w:highlight w:val="none"/>
          <w:u w:val="single"/>
        </w:rPr>
        <w:sectPr>
          <w:pgSz w:w="11906" w:h="16838"/>
          <w:pgMar w:top="1440" w:right="1800" w:bottom="1440" w:left="1800" w:header="851" w:footer="992" w:gutter="0"/>
          <w:cols w:space="425" w:num="1"/>
          <w:docGrid w:type="lines" w:linePitch="312" w:charSpace="0"/>
        </w:sectPr>
      </w:pPr>
      <w:r>
        <w:rPr>
          <w:rFonts w:hint="eastAsia"/>
          <w:color w:val="auto"/>
          <w:szCs w:val="16"/>
          <w:highlight w:val="none"/>
          <w:u w:val="single"/>
        </w:rPr>
        <w:br w:type="page"/>
      </w:r>
    </w:p>
    <w:p w14:paraId="0E32051A">
      <w:pPr>
        <w:spacing w:line="460" w:lineRule="exact"/>
        <w:rPr>
          <w:rFonts w:ascii="宋体" w:hAnsi="宋体" w:cs="宋体"/>
          <w:b/>
          <w:bCs/>
          <w:color w:val="auto"/>
          <w:sz w:val="24"/>
          <w:highlight w:val="none"/>
        </w:rPr>
      </w:pPr>
      <w:bookmarkStart w:id="88" w:name="_Toc2413_WPSOffice_Level1"/>
      <w:bookmarkStart w:id="89" w:name="_Toc17410_WPSOffice_Level1"/>
      <w:r>
        <w:rPr>
          <w:rFonts w:hint="eastAsia" w:ascii="宋体" w:hAnsi="宋体" w:cs="宋体"/>
          <w:b/>
          <w:bCs/>
          <w:color w:val="auto"/>
          <w:sz w:val="32"/>
          <w:szCs w:val="32"/>
          <w:highlight w:val="none"/>
        </w:rPr>
        <w:t>三、商务、技术文件</w:t>
      </w:r>
      <w:bookmarkEnd w:id="86"/>
      <w:bookmarkEnd w:id="87"/>
      <w:bookmarkEnd w:id="88"/>
      <w:bookmarkEnd w:id="89"/>
    </w:p>
    <w:p w14:paraId="05F1D9C8">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1、投标函</w:t>
      </w:r>
      <w:bookmarkEnd w:id="66"/>
    </w:p>
    <w:p w14:paraId="35D63DF3">
      <w:pPr>
        <w:adjustRightInd w:val="0"/>
        <w:snapToGrid w:val="0"/>
        <w:spacing w:line="360" w:lineRule="auto"/>
        <w:ind w:right="630" w:rightChars="300"/>
        <w:rPr>
          <w:rFonts w:ascii="宋体" w:hAnsi="宋体" w:cs="宋体"/>
          <w:color w:val="auto"/>
          <w:szCs w:val="21"/>
          <w:highlight w:val="none"/>
        </w:rPr>
      </w:pPr>
    </w:p>
    <w:p w14:paraId="1A2F534A">
      <w:pPr>
        <w:adjustRightInd w:val="0"/>
        <w:snapToGrid w:val="0"/>
        <w:spacing w:line="360" w:lineRule="auto"/>
        <w:ind w:right="630" w:rightChars="300"/>
        <w:rPr>
          <w:rFonts w:ascii="宋体" w:hAnsi="宋体" w:cs="宋体"/>
          <w:color w:val="auto"/>
          <w:sz w:val="28"/>
          <w:szCs w:val="28"/>
          <w:highlight w:val="none"/>
          <w:u w:val="single"/>
        </w:rPr>
      </w:pPr>
      <w:r>
        <w:rPr>
          <w:rFonts w:hint="eastAsia" w:ascii="宋体" w:hAnsi="宋体" w:cs="宋体"/>
          <w:color w:val="auto"/>
          <w:sz w:val="28"/>
          <w:szCs w:val="28"/>
          <w:highlight w:val="none"/>
          <w:u w:val="single"/>
        </w:rPr>
        <w:t>（采购人或采购代理机构）：</w:t>
      </w:r>
    </w:p>
    <w:p w14:paraId="249D2B58">
      <w:pPr>
        <w:pStyle w:val="62"/>
        <w:widowControl/>
        <w:spacing w:line="360" w:lineRule="auto"/>
        <w:ind w:left="0" w:leftChars="0"/>
        <w:rPr>
          <w:rFonts w:ascii="宋体" w:hAnsi="宋体" w:cs="宋体"/>
          <w:color w:val="auto"/>
          <w:sz w:val="28"/>
          <w:szCs w:val="28"/>
          <w:highlight w:val="none"/>
        </w:rPr>
      </w:pPr>
      <w:r>
        <w:rPr>
          <w:rFonts w:hint="eastAsia" w:ascii="宋体" w:hAnsi="宋体" w:cs="宋体"/>
          <w:color w:val="auto"/>
          <w:sz w:val="28"/>
          <w:szCs w:val="28"/>
          <w:highlight w:val="none"/>
          <w:u w:val="single"/>
        </w:rPr>
        <w:t>（采购人名称）</w:t>
      </w:r>
      <w:r>
        <w:rPr>
          <w:rFonts w:hint="eastAsia" w:ascii="宋体" w:hAnsi="宋体" w:cs="宋体"/>
          <w:color w:val="auto"/>
          <w:sz w:val="28"/>
          <w:szCs w:val="28"/>
          <w:highlight w:val="none"/>
        </w:rPr>
        <w:t>：</w:t>
      </w:r>
    </w:p>
    <w:p w14:paraId="6E091EDB">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我方收到并研究了贵方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（项目名称、项目编号）的招标文件，愿意按照招标文件规定的内容承担该项目的投标任务，严格执行我方所承诺的责任和义务。为此，我方郑重声明以下诸点，并承担法律责任。</w:t>
      </w:r>
    </w:p>
    <w:p w14:paraId="32B3161C">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我方提交投标文件:加密的电子投标文件1份，并在投标截止时间前上传至招标文件规定的指定地点。如我方中标，在领取中标通知书时向招标代理机构提供纸质版投标文件正本1份、副本1份;我方愿按《中华人民共和国政府采购法》及其他有关法律、法规的规定及招标文件的规定，自觉履行自己的全部责任。</w:t>
      </w:r>
    </w:p>
    <w:p w14:paraId="146E4148">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2、我方同意在投标有效期内遵守本投标文件，在此期限期满前的任何时间，本投标文件一直对我方具有约束力。</w:t>
      </w:r>
    </w:p>
    <w:p w14:paraId="70DA93EE">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3、如果我方投标文件被接受，我方将按照招标文件的规定，保证按招标要求和投标文件中的承诺按期、按质、按量交付使用方</w:t>
      </w:r>
    </w:p>
    <w:p w14:paraId="792C46CE">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4、如果我方中标，我方将在招标文件规定的时间内签订委托合同并按招标要求提供履约担保。如果我方违约，除投标保证金不予退还外，贵方有权终止我方中标并选择其它中标人。</w:t>
      </w:r>
    </w:p>
    <w:p w14:paraId="2A8329A6">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如果我方中标，我方将在招标文件规定的时间内签订政府采购合同。如果我方违约，借故拒签合同或拖延签订的，则采购人有权废除授标没收投标保证金，给采购人造成的损失超过投保证金数额的，我方对超过部分予以赔偿，同时依法承担相应法律责任，采购人可另行选择中标单位。</w:t>
      </w:r>
    </w:p>
    <w:p w14:paraId="3F278345">
      <w:pPr>
        <w:pStyle w:val="62"/>
        <w:widowControl/>
        <w:spacing w:line="360" w:lineRule="auto"/>
        <w:ind w:left="0" w:leftChars="0" w:firstLine="560" w:firstLineChars="200"/>
        <w:rPr>
          <w:rFonts w:ascii="宋体" w:hAnsi="宋体" w:cs="宋体"/>
          <w:color w:val="auto"/>
          <w:sz w:val="28"/>
          <w:szCs w:val="28"/>
          <w:highlight w:val="none"/>
        </w:rPr>
      </w:pPr>
      <w:bookmarkStart w:id="90" w:name="_Toc32380_WPSOffice_Level1"/>
      <w:bookmarkStart w:id="91" w:name="_Toc14185_WPSOffice_Level1"/>
      <w:bookmarkStart w:id="92" w:name="_Toc32535_WPSOffice_Level1"/>
      <w:r>
        <w:rPr>
          <w:rFonts w:hint="eastAsia" w:ascii="宋体" w:hAnsi="宋体" w:cs="宋体"/>
          <w:color w:val="auto"/>
          <w:sz w:val="28"/>
          <w:szCs w:val="28"/>
          <w:highlight w:val="none"/>
        </w:rPr>
        <w:t>6、一旦我方中标，我方愿意按招标文件要求承担招标代理服务费。</w:t>
      </w:r>
    </w:p>
    <w:p w14:paraId="5051E2AC">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7、贵方的中标通知书和本投标文件将成为构成约束双方合同的组成小单位部分。</w:t>
      </w:r>
    </w:p>
    <w:p w14:paraId="3D1DD852">
      <w:pPr>
        <w:pStyle w:val="62"/>
        <w:widowControl/>
        <w:spacing w:line="360" w:lineRule="auto"/>
        <w:ind w:left="0" w:leftChars="0"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8、如果我方未中标，贵方没有义务对我方做出任何解释和说明，我方将充分尊重和理解贵方的选择。</w:t>
      </w:r>
    </w:p>
    <w:p w14:paraId="59449862">
      <w:pPr>
        <w:pStyle w:val="62"/>
        <w:widowControl/>
        <w:spacing w:line="360" w:lineRule="auto"/>
        <w:ind w:left="0" w:leftChars="0" w:firstLine="560" w:firstLineChars="200"/>
        <w:rPr>
          <w:rFonts w:ascii="宋体" w:hAnsi="宋体" w:cs="宋体"/>
          <w:color w:val="auto"/>
          <w:sz w:val="24"/>
          <w:highlight w:val="none"/>
        </w:rPr>
      </w:pPr>
      <w:r>
        <w:rPr>
          <w:rFonts w:hint="eastAsia" w:ascii="宋体" w:hAnsi="宋体" w:cs="宋体"/>
          <w:color w:val="auto"/>
          <w:sz w:val="28"/>
          <w:szCs w:val="28"/>
          <w:highlight w:val="none"/>
        </w:rPr>
        <w:t>9、我方的投标文件自提交投标文件截止之日起有效期为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天。</w:t>
      </w:r>
    </w:p>
    <w:p w14:paraId="7FE29C15">
      <w:pPr>
        <w:pStyle w:val="62"/>
        <w:widowControl/>
        <w:spacing w:line="360" w:lineRule="auto"/>
        <w:ind w:left="0" w:leftChars="0"/>
        <w:rPr>
          <w:rFonts w:ascii="宋体" w:hAnsi="宋体" w:cs="宋体"/>
          <w:color w:val="auto"/>
          <w:sz w:val="24"/>
          <w:highlight w:val="none"/>
        </w:rPr>
      </w:pPr>
    </w:p>
    <w:p w14:paraId="2342D87A">
      <w:pPr>
        <w:pStyle w:val="58"/>
        <w:tabs>
          <w:tab w:val="left" w:pos="750"/>
        </w:tabs>
        <w:adjustRightInd w:val="0"/>
        <w:snapToGrid w:val="0"/>
        <w:spacing w:line="500" w:lineRule="exact"/>
        <w:ind w:firstLine="840" w:firstLineChars="300"/>
        <w:rPr>
          <w:rFonts w:ascii="宋体" w:hAnsi="宋体"/>
          <w:color w:val="auto"/>
          <w:szCs w:val="28"/>
          <w:highlight w:val="none"/>
        </w:rPr>
      </w:pPr>
      <w:r>
        <w:rPr>
          <w:rFonts w:hint="eastAsia" w:ascii="宋体" w:hAnsi="宋体"/>
          <w:color w:val="auto"/>
          <w:szCs w:val="28"/>
          <w:highlight w:val="none"/>
        </w:rPr>
        <w:t>供应商名称（电子签章）：</w:t>
      </w:r>
    </w:p>
    <w:p w14:paraId="251BBE0F">
      <w:pPr>
        <w:pStyle w:val="58"/>
        <w:tabs>
          <w:tab w:val="left" w:pos="750"/>
        </w:tabs>
        <w:adjustRightInd w:val="0"/>
        <w:snapToGrid w:val="0"/>
        <w:spacing w:line="500" w:lineRule="exact"/>
        <w:rPr>
          <w:rFonts w:ascii="宋体" w:hAnsi="宋体"/>
          <w:color w:val="auto"/>
          <w:szCs w:val="28"/>
          <w:highlight w:val="none"/>
        </w:rPr>
      </w:pPr>
    </w:p>
    <w:p w14:paraId="22474C12">
      <w:pPr>
        <w:pStyle w:val="58"/>
        <w:tabs>
          <w:tab w:val="left" w:pos="750"/>
        </w:tabs>
        <w:adjustRightInd w:val="0"/>
        <w:snapToGrid w:val="0"/>
        <w:spacing w:line="500" w:lineRule="exact"/>
        <w:ind w:firstLine="840" w:firstLineChars="300"/>
        <w:rPr>
          <w:rFonts w:ascii="宋体" w:hAnsi="宋体"/>
          <w:color w:val="auto"/>
          <w:szCs w:val="28"/>
          <w:highlight w:val="none"/>
        </w:rPr>
      </w:pPr>
      <w:r>
        <w:rPr>
          <w:rFonts w:hint="eastAsia" w:ascii="宋体" w:hAnsi="宋体"/>
          <w:color w:val="auto"/>
          <w:szCs w:val="28"/>
          <w:highlight w:val="none"/>
        </w:rPr>
        <w:t>法定代表人（单位负责人）（签字或电子签章）：</w:t>
      </w:r>
    </w:p>
    <w:p w14:paraId="674FCCDB">
      <w:pPr>
        <w:pStyle w:val="58"/>
        <w:tabs>
          <w:tab w:val="left" w:pos="750"/>
        </w:tabs>
        <w:adjustRightInd w:val="0"/>
        <w:snapToGrid w:val="0"/>
        <w:spacing w:line="500" w:lineRule="exact"/>
        <w:rPr>
          <w:rFonts w:ascii="宋体" w:hAnsi="宋体"/>
          <w:color w:val="auto"/>
          <w:szCs w:val="28"/>
          <w:highlight w:val="none"/>
        </w:rPr>
      </w:pPr>
    </w:p>
    <w:p w14:paraId="6A9C023A">
      <w:pPr>
        <w:pStyle w:val="58"/>
        <w:tabs>
          <w:tab w:val="left" w:pos="750"/>
        </w:tabs>
        <w:adjustRightInd w:val="0"/>
        <w:snapToGrid w:val="0"/>
        <w:spacing w:line="500" w:lineRule="exact"/>
        <w:ind w:firstLine="840" w:firstLineChars="300"/>
        <w:rPr>
          <w:color w:val="auto"/>
          <w:szCs w:val="28"/>
          <w:highlight w:val="none"/>
        </w:rPr>
      </w:pPr>
      <w:r>
        <w:rPr>
          <w:rFonts w:hint="eastAsia" w:ascii="宋体" w:hAnsi="宋体"/>
          <w:color w:val="auto"/>
          <w:szCs w:val="28"/>
          <w:highlight w:val="none"/>
        </w:rPr>
        <w:t>日期：年月日</w:t>
      </w:r>
    </w:p>
    <w:p w14:paraId="33F6F384">
      <w:pPr>
        <w:pStyle w:val="62"/>
        <w:widowControl/>
        <w:spacing w:line="360" w:lineRule="auto"/>
        <w:ind w:left="0" w:leftChars="0"/>
        <w:rPr>
          <w:rFonts w:ascii="宋体" w:hAnsi="宋体" w:cs="宋体"/>
          <w:bCs/>
          <w:color w:val="auto"/>
          <w:sz w:val="24"/>
          <w:highlight w:val="none"/>
        </w:rPr>
      </w:pPr>
      <w:r>
        <w:rPr>
          <w:rFonts w:hint="eastAsia" w:ascii="宋体" w:hAnsi="宋体" w:cs="宋体"/>
          <w:b/>
          <w:color w:val="auto"/>
          <w:sz w:val="30"/>
          <w:szCs w:val="30"/>
          <w:highlight w:val="none"/>
        </w:rPr>
        <w:br w:type="page"/>
      </w:r>
      <w:bookmarkEnd w:id="90"/>
      <w:bookmarkEnd w:id="91"/>
    </w:p>
    <w:p w14:paraId="32FAF4EB">
      <w:pPr>
        <w:spacing w:before="120" w:line="360" w:lineRule="auto"/>
        <w:jc w:val="center"/>
        <w:rPr>
          <w:rFonts w:ascii="宋体" w:hAnsi="宋体" w:cs="宋体"/>
          <w:b/>
          <w:bCs/>
          <w:color w:val="auto"/>
          <w:sz w:val="32"/>
          <w:szCs w:val="32"/>
          <w:highlight w:val="none"/>
        </w:rPr>
      </w:pPr>
      <w:bookmarkStart w:id="93" w:name="_Toc24778_WPSOffice_Level1"/>
      <w:bookmarkStart w:id="94" w:name="_Toc30957_WPSOffice_Level1"/>
      <w:bookmarkStart w:id="95" w:name="_Toc13892_WPSOffice_Level1"/>
      <w:r>
        <w:rPr>
          <w:rFonts w:hint="eastAsia" w:ascii="宋体" w:hAnsi="宋体" w:cs="宋体"/>
          <w:b/>
          <w:color w:val="auto"/>
          <w:sz w:val="30"/>
          <w:szCs w:val="30"/>
          <w:highlight w:val="none"/>
        </w:rPr>
        <w:t>2、</w:t>
      </w:r>
      <w:r>
        <w:rPr>
          <w:rFonts w:hint="eastAsia" w:ascii="宋体" w:hAnsi="宋体" w:cs="宋体"/>
          <w:b/>
          <w:bCs/>
          <w:color w:val="auto"/>
          <w:sz w:val="32"/>
          <w:szCs w:val="32"/>
          <w:highlight w:val="none"/>
        </w:rPr>
        <w:t>法定代表人（或非法人组织负责人）身份证明书</w:t>
      </w:r>
      <w:bookmarkEnd w:id="93"/>
      <w:bookmarkEnd w:id="94"/>
    </w:p>
    <w:p w14:paraId="7EE9FF61">
      <w:pPr>
        <w:spacing w:line="360" w:lineRule="auto"/>
        <w:rPr>
          <w:rFonts w:ascii="宋体" w:hAnsi="宋体" w:cs="宋体"/>
          <w:color w:val="auto"/>
          <w:sz w:val="24"/>
          <w:highlight w:val="none"/>
        </w:rPr>
      </w:pPr>
    </w:p>
    <w:p w14:paraId="34200B3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单位名称：</w:t>
      </w:r>
    </w:p>
    <w:p w14:paraId="268FEE4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企业类型：</w:t>
      </w:r>
    </w:p>
    <w:p w14:paraId="3078C57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p>
    <w:p w14:paraId="51286ADA">
      <w:pPr>
        <w:spacing w:line="360" w:lineRule="auto"/>
        <w:rPr>
          <w:rFonts w:ascii="宋体" w:hAnsi="宋体" w:cs="宋体"/>
          <w:color w:val="auto"/>
          <w:sz w:val="24"/>
          <w:highlight w:val="none"/>
          <w:u w:val="single"/>
        </w:rPr>
      </w:pPr>
      <w:r>
        <w:rPr>
          <w:rFonts w:hint="eastAsia" w:ascii="宋体" w:hAnsi="宋体" w:cs="宋体"/>
          <w:color w:val="auto"/>
          <w:sz w:val="24"/>
          <w:highlight w:val="none"/>
        </w:rPr>
        <w:t>营业期限：</w:t>
      </w:r>
    </w:p>
    <w:p w14:paraId="179B75C9">
      <w:pPr>
        <w:spacing w:line="360" w:lineRule="auto"/>
        <w:rPr>
          <w:rFonts w:ascii="宋体" w:hAnsi="宋体" w:cs="宋体"/>
          <w:color w:val="auto"/>
          <w:sz w:val="24"/>
          <w:highlight w:val="none"/>
          <w:u w:val="single"/>
        </w:rPr>
      </w:pPr>
      <w:r>
        <w:rPr>
          <w:rFonts w:hint="eastAsia" w:ascii="宋体" w:hAnsi="宋体" w:cs="宋体"/>
          <w:color w:val="auto"/>
          <w:sz w:val="24"/>
          <w:highlight w:val="none"/>
        </w:rPr>
        <w:t>成立时间：</w:t>
      </w:r>
    </w:p>
    <w:p w14:paraId="442A5B2B">
      <w:pPr>
        <w:spacing w:line="360" w:lineRule="auto"/>
        <w:ind w:firstLine="840" w:firstLineChars="400"/>
        <w:rPr>
          <w:rFonts w:ascii="仿宋_GB2312" w:hAnsi="仿宋_GB2312" w:eastAsia="仿宋_GB2312" w:cs="仿宋_GB2312"/>
          <w:color w:val="auto"/>
          <w:szCs w:val="21"/>
          <w:highlight w:val="none"/>
        </w:rPr>
      </w:pPr>
    </w:p>
    <w:p w14:paraId="39F5679D">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，出生日期：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，现任职务：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，系（供应商名称）的法定代表人（或非法人组织负责人）。</w:t>
      </w:r>
    </w:p>
    <w:p w14:paraId="43E97732">
      <w:pPr>
        <w:rPr>
          <w:rFonts w:ascii="宋体" w:hAnsi="宋体" w:cs="宋体"/>
          <w:color w:val="auto"/>
          <w:sz w:val="24"/>
          <w:highlight w:val="none"/>
        </w:rPr>
      </w:pPr>
    </w:p>
    <w:p w14:paraId="331C3473">
      <w:pPr>
        <w:rPr>
          <w:rFonts w:ascii="宋体" w:hAnsi="宋体" w:cs="宋体"/>
          <w:color w:val="auto"/>
          <w:sz w:val="24"/>
          <w:highlight w:val="none"/>
        </w:rPr>
      </w:pPr>
      <w:r>
        <w:rPr>
          <w:rFonts w:hint="eastAsia" w:ascii="宋体" w:hAnsi="宋体" w:cs="宋体"/>
          <w:color w:val="auto"/>
          <w:sz w:val="24"/>
          <w:highlight w:val="none"/>
        </w:rPr>
        <w:t>特此证明。</w:t>
      </w:r>
    </w:p>
    <w:p w14:paraId="6094AB8B">
      <w:pPr>
        <w:rPr>
          <w:rFonts w:ascii="仿宋_GB2312" w:hAnsi="仿宋_GB2312" w:eastAsia="仿宋_GB2312" w:cs="仿宋_GB2312"/>
          <w:color w:val="auto"/>
          <w:szCs w:val="21"/>
          <w:highlight w:val="none"/>
        </w:rPr>
      </w:pPr>
    </w:p>
    <w:p w14:paraId="2B6262CC">
      <w:pPr>
        <w:rPr>
          <w:rFonts w:ascii="仿宋_GB2312" w:hAnsi="仿宋_GB2312" w:eastAsia="仿宋_GB2312" w:cs="仿宋_GB2312"/>
          <w:color w:val="auto"/>
          <w:szCs w:val="21"/>
          <w:highlight w:val="none"/>
        </w:rPr>
      </w:pPr>
    </w:p>
    <w:p w14:paraId="11765151">
      <w:pPr>
        <w:rPr>
          <w:rFonts w:ascii="仿宋_GB2312" w:hAnsi="仿宋_GB2312" w:eastAsia="仿宋_GB2312" w:cs="仿宋_GB2312"/>
          <w:color w:val="auto"/>
          <w:szCs w:val="21"/>
          <w:highlight w:val="none"/>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DB82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29A1F552">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p w14:paraId="57C5D0A9">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p w14:paraId="6CFF215A">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p w14:paraId="2CA7BDD2">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p w14:paraId="10BDCBD5">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Cs w:val="21"/>
                <w:highlight w:val="none"/>
              </w:rPr>
            </w:pPr>
            <w:r>
              <w:rPr>
                <w:rFonts w:hint="eastAsia" w:ascii="宋体" w:hAnsi="宋体" w:cs="宋体"/>
                <w:color w:val="auto"/>
                <w:sz w:val="24"/>
                <w:highlight w:val="none"/>
              </w:rPr>
              <w:t>（法定代表人（或非法人组织负责人）身份证正、反面复印件）</w:t>
            </w:r>
          </w:p>
        </w:tc>
      </w:tr>
    </w:tbl>
    <w:p w14:paraId="11B0BD7F">
      <w:pPr>
        <w:rPr>
          <w:rFonts w:ascii="仿宋_GB2312" w:hAnsi="仿宋_GB2312" w:eastAsia="仿宋_GB2312" w:cs="仿宋_GB2312"/>
          <w:color w:val="auto"/>
          <w:szCs w:val="21"/>
          <w:highlight w:val="none"/>
        </w:rPr>
      </w:pPr>
    </w:p>
    <w:p w14:paraId="51B26B2A">
      <w:pPr>
        <w:rPr>
          <w:rFonts w:ascii="仿宋_GB2312" w:hAnsi="仿宋_GB2312" w:eastAsia="仿宋_GB2312" w:cs="仿宋_GB2312"/>
          <w:color w:val="auto"/>
          <w:szCs w:val="21"/>
          <w:highlight w:val="none"/>
        </w:rPr>
      </w:pPr>
    </w:p>
    <w:p w14:paraId="7F1BABF5">
      <w:pPr>
        <w:pStyle w:val="58"/>
        <w:tabs>
          <w:tab w:val="left" w:pos="750"/>
        </w:tabs>
        <w:adjustRightInd w:val="0"/>
        <w:snapToGrid w:val="0"/>
        <w:spacing w:line="500" w:lineRule="exact"/>
        <w:ind w:firstLine="720" w:firstLineChars="300"/>
        <w:rPr>
          <w:rFonts w:ascii="宋体" w:hAnsi="宋体"/>
          <w:color w:val="auto"/>
          <w:sz w:val="24"/>
          <w:szCs w:val="24"/>
          <w:highlight w:val="none"/>
        </w:rPr>
      </w:pPr>
      <w:bookmarkStart w:id="96" w:name="_Toc17821_WPSOffice_Level1"/>
      <w:bookmarkStart w:id="97" w:name="_Toc2816_WPSOffice_Level1"/>
      <w:r>
        <w:rPr>
          <w:rFonts w:hint="eastAsia" w:ascii="宋体" w:hAnsi="宋体"/>
          <w:color w:val="auto"/>
          <w:sz w:val="24"/>
          <w:szCs w:val="24"/>
          <w:highlight w:val="none"/>
        </w:rPr>
        <w:t>供应商名称（电子签章）：</w:t>
      </w:r>
    </w:p>
    <w:p w14:paraId="3257C850">
      <w:pPr>
        <w:pStyle w:val="58"/>
        <w:tabs>
          <w:tab w:val="left" w:pos="750"/>
        </w:tabs>
        <w:adjustRightInd w:val="0"/>
        <w:snapToGrid w:val="0"/>
        <w:spacing w:line="500" w:lineRule="exact"/>
        <w:rPr>
          <w:rFonts w:ascii="宋体" w:hAnsi="宋体"/>
          <w:color w:val="auto"/>
          <w:sz w:val="24"/>
          <w:szCs w:val="24"/>
          <w:highlight w:val="none"/>
        </w:rPr>
      </w:pPr>
    </w:p>
    <w:p w14:paraId="05DB7336">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129A23FB">
      <w:pPr>
        <w:pStyle w:val="58"/>
        <w:tabs>
          <w:tab w:val="left" w:pos="750"/>
        </w:tabs>
        <w:adjustRightInd w:val="0"/>
        <w:snapToGrid w:val="0"/>
        <w:spacing w:line="500" w:lineRule="exact"/>
        <w:rPr>
          <w:rFonts w:ascii="宋体" w:hAnsi="宋体"/>
          <w:color w:val="auto"/>
          <w:sz w:val="24"/>
          <w:szCs w:val="24"/>
          <w:highlight w:val="none"/>
        </w:rPr>
      </w:pPr>
    </w:p>
    <w:p w14:paraId="48EC238F">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2A8448CC">
      <w:pPr>
        <w:rPr>
          <w:rFonts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D349842">
      <w:pPr>
        <w:spacing w:before="120" w:line="360" w:lineRule="auto"/>
        <w:ind w:left="420" w:leftChars="200"/>
        <w:rPr>
          <w:rFonts w:ascii="宋体" w:hAnsi="宋体" w:cs="宋体"/>
          <w:b/>
          <w:bCs/>
          <w:color w:val="auto"/>
          <w:sz w:val="32"/>
          <w:szCs w:val="32"/>
          <w:highlight w:val="none"/>
        </w:rPr>
      </w:pPr>
      <w:r>
        <w:rPr>
          <w:rFonts w:hint="eastAsia" w:ascii="宋体" w:hAnsi="宋体" w:cs="宋体"/>
          <w:b/>
          <w:bCs/>
          <w:color w:val="auto"/>
          <w:sz w:val="32"/>
          <w:szCs w:val="32"/>
          <w:highlight w:val="none"/>
        </w:rPr>
        <w:t>3、法定代表人（或非法人组织负责人）授权委托书</w:t>
      </w:r>
      <w:bookmarkEnd w:id="96"/>
      <w:bookmarkEnd w:id="97"/>
    </w:p>
    <w:p w14:paraId="15EF2909">
      <w:pPr>
        <w:spacing w:line="360" w:lineRule="auto"/>
        <w:ind w:firstLine="420" w:firstLineChars="200"/>
        <w:rPr>
          <w:rFonts w:ascii="仿宋_GB2312" w:hAnsi="仿宋_GB2312" w:eastAsia="仿宋_GB2312" w:cs="仿宋_GB2312"/>
          <w:color w:val="auto"/>
          <w:szCs w:val="21"/>
          <w:highlight w:val="none"/>
        </w:rPr>
      </w:pPr>
    </w:p>
    <w:p w14:paraId="4B4A88A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本授权书声明：注册于</w:t>
      </w:r>
      <w:r>
        <w:rPr>
          <w:rFonts w:hint="eastAsia" w:ascii="宋体" w:hAnsi="宋体" w:cs="宋体"/>
          <w:color w:val="auto"/>
          <w:sz w:val="24"/>
          <w:highlight w:val="none"/>
          <w:u w:val="single"/>
        </w:rPr>
        <w:t>（地区的名称）</w:t>
      </w:r>
      <w:r>
        <w:rPr>
          <w:rFonts w:hint="eastAsia" w:ascii="宋体" w:hAnsi="宋体" w:cs="宋体"/>
          <w:color w:val="auto"/>
          <w:sz w:val="24"/>
          <w:highlight w:val="none"/>
        </w:rPr>
        <w:t>的</w:t>
      </w:r>
      <w:r>
        <w:rPr>
          <w:rFonts w:hint="eastAsia" w:ascii="宋体" w:hAnsi="宋体" w:cs="宋体"/>
          <w:color w:val="auto"/>
          <w:sz w:val="24"/>
          <w:highlight w:val="none"/>
          <w:u w:val="single"/>
        </w:rPr>
        <w:t>（公司名称）</w:t>
      </w:r>
      <w:r>
        <w:rPr>
          <w:rFonts w:hint="eastAsia" w:ascii="宋体" w:hAnsi="宋体" w:cs="宋体"/>
          <w:color w:val="auto"/>
          <w:sz w:val="24"/>
          <w:highlight w:val="none"/>
        </w:rPr>
        <w:t>，在下面签字的法定代表人</w:t>
      </w:r>
      <w:r>
        <w:rPr>
          <w:rFonts w:hint="eastAsia" w:ascii="宋体" w:hAnsi="宋体" w:cs="宋体"/>
          <w:color w:val="auto"/>
          <w:sz w:val="24"/>
          <w:highlight w:val="none"/>
          <w:u w:val="single"/>
        </w:rPr>
        <w:t>（姓名、职务）</w:t>
      </w:r>
      <w:r>
        <w:rPr>
          <w:rFonts w:hint="eastAsia" w:ascii="宋体" w:hAnsi="宋体" w:cs="宋体"/>
          <w:color w:val="auto"/>
          <w:sz w:val="24"/>
          <w:highlight w:val="none"/>
        </w:rPr>
        <w:t>，代表本公司授权在下面签字的</w:t>
      </w:r>
      <w:r>
        <w:rPr>
          <w:rFonts w:hint="eastAsia" w:ascii="宋体" w:hAnsi="宋体" w:cs="宋体"/>
          <w:color w:val="auto"/>
          <w:sz w:val="24"/>
          <w:highlight w:val="none"/>
          <w:u w:val="single"/>
        </w:rPr>
        <w:t>（委托代理人的姓名、职务）</w:t>
      </w:r>
      <w:r>
        <w:rPr>
          <w:rFonts w:hint="eastAsia" w:ascii="宋体" w:hAnsi="宋体" w:cs="宋体"/>
          <w:color w:val="auto"/>
          <w:sz w:val="24"/>
          <w:highlight w:val="none"/>
        </w:rPr>
        <w:t>为本公司的合法代理人，就</w:t>
      </w:r>
      <w:r>
        <w:rPr>
          <w:rFonts w:hint="eastAsia" w:ascii="宋体" w:hAnsi="宋体" w:cs="宋体"/>
          <w:color w:val="auto"/>
          <w:sz w:val="24"/>
          <w:highlight w:val="none"/>
          <w:u w:val="single"/>
        </w:rPr>
        <w:t>（项目名称/编号）</w:t>
      </w:r>
      <w:r>
        <w:rPr>
          <w:rFonts w:hint="eastAsia" w:ascii="宋体" w:hAnsi="宋体" w:cs="宋体"/>
          <w:color w:val="auto"/>
          <w:sz w:val="24"/>
          <w:highlight w:val="none"/>
        </w:rPr>
        <w:t>的投标，以本公司的名义处理一切与之有关的事务。</w:t>
      </w:r>
    </w:p>
    <w:p w14:paraId="3E272474">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本授权书于年月日签字生效，特此声明。</w:t>
      </w:r>
    </w:p>
    <w:p w14:paraId="6CC740A0">
      <w:pPr>
        <w:adjustRightInd w:val="0"/>
        <w:snapToGrid w:val="0"/>
        <w:spacing w:line="360" w:lineRule="auto"/>
        <w:ind w:right="-21" w:rightChars="-10" w:firstLine="480" w:firstLineChars="200"/>
        <w:rPr>
          <w:rFonts w:ascii="宋体" w:hAnsi="宋体" w:cs="宋体"/>
          <w:color w:val="auto"/>
          <w:sz w:val="24"/>
          <w:highlight w:val="none"/>
        </w:rPr>
      </w:pPr>
    </w:p>
    <w:tbl>
      <w:tblPr>
        <w:tblStyle w:val="29"/>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1BAB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tcPr>
          <w:p w14:paraId="738D2AF2">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default" w:ascii="宋体" w:hAnsi="宋体" w:cs="宋体"/>
                <w:color w:val="auto"/>
                <w:sz w:val="24"/>
                <w:highlight w:val="none"/>
              </w:rPr>
            </w:pPr>
          </w:p>
          <w:p w14:paraId="444AEE17">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default" w:ascii="宋体" w:hAnsi="宋体" w:cs="宋体"/>
                <w:color w:val="auto"/>
                <w:sz w:val="24"/>
                <w:highlight w:val="none"/>
              </w:rPr>
            </w:pPr>
          </w:p>
          <w:p w14:paraId="71CFB4DC">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default" w:ascii="宋体" w:hAnsi="宋体" w:cs="宋体"/>
                <w:color w:val="auto"/>
                <w:sz w:val="24"/>
                <w:highlight w:val="none"/>
              </w:rPr>
            </w:pPr>
            <w:r>
              <w:rPr>
                <w:rFonts w:hint="eastAsia" w:ascii="宋体" w:hAnsi="宋体" w:cs="宋体"/>
                <w:color w:val="auto"/>
                <w:sz w:val="24"/>
                <w:highlight w:val="none"/>
              </w:rPr>
              <w:t>法定代表人身份证正、反面复印件</w:t>
            </w:r>
          </w:p>
        </w:tc>
        <w:tc>
          <w:tcPr>
            <w:tcW w:w="4429" w:type="dxa"/>
          </w:tcPr>
          <w:p w14:paraId="40543B07">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default" w:ascii="宋体" w:hAnsi="宋体" w:cs="宋体"/>
                <w:color w:val="auto"/>
                <w:sz w:val="24"/>
                <w:highlight w:val="none"/>
              </w:rPr>
            </w:pPr>
          </w:p>
          <w:p w14:paraId="491B23A7">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default" w:ascii="宋体" w:hAnsi="宋体" w:cs="宋体"/>
                <w:color w:val="auto"/>
                <w:sz w:val="24"/>
                <w:highlight w:val="none"/>
              </w:rPr>
            </w:pPr>
          </w:p>
          <w:p w14:paraId="1BD418D0">
            <w:pPr>
              <w:keepNext w:val="0"/>
              <w:keepLines w:val="0"/>
              <w:suppressLineNumbers w:val="0"/>
              <w:adjustRightInd w:val="0"/>
              <w:snapToGrid w:val="0"/>
              <w:spacing w:before="0" w:beforeAutospacing="0" w:after="0" w:afterAutospacing="0" w:line="360" w:lineRule="auto"/>
              <w:ind w:left="0" w:right="-21" w:rightChars="-10" w:firstLine="480" w:firstLineChars="200"/>
              <w:rPr>
                <w:rFonts w:hint="default" w:ascii="宋体" w:hAnsi="宋体" w:cs="宋体"/>
                <w:color w:val="auto"/>
                <w:sz w:val="24"/>
                <w:highlight w:val="none"/>
              </w:rPr>
            </w:pPr>
            <w:r>
              <w:rPr>
                <w:rFonts w:hint="eastAsia" w:ascii="宋体" w:hAnsi="宋体" w:cs="宋体"/>
                <w:color w:val="auto"/>
                <w:sz w:val="24"/>
                <w:highlight w:val="none"/>
              </w:rPr>
              <w:t>委托代理人身份证正、反面复印件</w:t>
            </w:r>
          </w:p>
        </w:tc>
      </w:tr>
    </w:tbl>
    <w:p w14:paraId="04AF87D5">
      <w:pPr>
        <w:adjustRightInd w:val="0"/>
        <w:snapToGrid w:val="0"/>
        <w:spacing w:line="360" w:lineRule="auto"/>
        <w:ind w:right="-21" w:rightChars="-10" w:firstLine="480" w:firstLineChars="200"/>
        <w:rPr>
          <w:rFonts w:ascii="宋体" w:hAnsi="宋体" w:cs="宋体"/>
          <w:color w:val="auto"/>
          <w:sz w:val="24"/>
          <w:highlight w:val="none"/>
        </w:rPr>
      </w:pPr>
    </w:p>
    <w:p w14:paraId="5E5DB107">
      <w:pPr>
        <w:pStyle w:val="58"/>
        <w:tabs>
          <w:tab w:val="left" w:pos="750"/>
        </w:tabs>
        <w:adjustRightInd w:val="0"/>
        <w:snapToGrid w:val="0"/>
        <w:spacing w:line="500" w:lineRule="exact"/>
        <w:rPr>
          <w:rFonts w:ascii="宋体" w:hAnsi="宋体"/>
          <w:color w:val="auto"/>
          <w:sz w:val="24"/>
          <w:szCs w:val="24"/>
          <w:highlight w:val="none"/>
        </w:rPr>
      </w:pPr>
    </w:p>
    <w:p w14:paraId="1362A247">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17EA51F6">
      <w:pPr>
        <w:pStyle w:val="58"/>
        <w:tabs>
          <w:tab w:val="left" w:pos="750"/>
        </w:tabs>
        <w:adjustRightInd w:val="0"/>
        <w:snapToGrid w:val="0"/>
        <w:spacing w:line="500" w:lineRule="exact"/>
        <w:rPr>
          <w:rFonts w:ascii="宋体" w:hAnsi="宋体"/>
          <w:color w:val="auto"/>
          <w:sz w:val="24"/>
          <w:szCs w:val="24"/>
          <w:highlight w:val="none"/>
        </w:rPr>
      </w:pPr>
    </w:p>
    <w:p w14:paraId="644F40ED">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法定代表人（单位负责人）或其委托代理人（签字或电子签章）：</w:t>
      </w:r>
    </w:p>
    <w:p w14:paraId="310A68CF">
      <w:pPr>
        <w:pStyle w:val="58"/>
        <w:tabs>
          <w:tab w:val="left" w:pos="750"/>
        </w:tabs>
        <w:adjustRightInd w:val="0"/>
        <w:snapToGrid w:val="0"/>
        <w:spacing w:line="500" w:lineRule="exact"/>
        <w:rPr>
          <w:rFonts w:ascii="宋体" w:hAnsi="宋体"/>
          <w:color w:val="auto"/>
          <w:sz w:val="24"/>
          <w:szCs w:val="24"/>
          <w:highlight w:val="none"/>
        </w:rPr>
      </w:pPr>
    </w:p>
    <w:p w14:paraId="434A8253">
      <w:pPr>
        <w:adjustRightInd w:val="0"/>
        <w:snapToGrid w:val="0"/>
        <w:spacing w:line="480" w:lineRule="auto"/>
        <w:ind w:right="-21" w:rightChars="-10" w:firstLine="720" w:firstLineChars="300"/>
        <w:rPr>
          <w:rFonts w:ascii="宋体" w:hAnsi="宋体"/>
          <w:color w:val="auto"/>
          <w:sz w:val="24"/>
          <w:highlight w:val="none"/>
        </w:rPr>
      </w:pPr>
      <w:r>
        <w:rPr>
          <w:rFonts w:hint="eastAsia" w:ascii="宋体" w:hAnsi="宋体"/>
          <w:color w:val="auto"/>
          <w:sz w:val="24"/>
          <w:highlight w:val="none"/>
        </w:rPr>
        <w:t>电话：</w:t>
      </w:r>
    </w:p>
    <w:p w14:paraId="739581E2">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12D5F4D6">
      <w:pPr>
        <w:spacing w:line="360" w:lineRule="auto"/>
        <w:ind w:firstLine="482"/>
        <w:rPr>
          <w:rFonts w:ascii="宋体" w:hAnsi="宋体" w:cs="宋体"/>
          <w:b/>
          <w:color w:val="auto"/>
          <w:sz w:val="24"/>
          <w:highlight w:val="none"/>
        </w:rPr>
      </w:pPr>
    </w:p>
    <w:p w14:paraId="0778416E">
      <w:pPr>
        <w:spacing w:line="360" w:lineRule="auto"/>
        <w:ind w:firstLine="482"/>
        <w:rPr>
          <w:rFonts w:ascii="宋体" w:hAnsi="宋体" w:cs="宋体"/>
          <w:b/>
          <w:color w:val="auto"/>
          <w:sz w:val="24"/>
          <w:highlight w:val="none"/>
        </w:rPr>
      </w:pPr>
      <w:r>
        <w:rPr>
          <w:rFonts w:hint="eastAsia" w:ascii="宋体" w:hAnsi="宋体" w:cs="宋体"/>
          <w:b/>
          <w:color w:val="auto"/>
          <w:sz w:val="24"/>
          <w:highlight w:val="none"/>
        </w:rPr>
        <w:t>注：1、法定代表人本人作为公司/（单位）代理人前来参加本项目的供应商，可不提供此项证明文件。</w:t>
      </w:r>
    </w:p>
    <w:p w14:paraId="3ABB06E5">
      <w:pPr>
        <w:spacing w:line="360" w:lineRule="auto"/>
        <w:jc w:val="center"/>
        <w:rPr>
          <w:rFonts w:ascii="宋体" w:hAnsi="宋体" w:cs="宋体"/>
          <w:b/>
          <w:color w:val="auto"/>
          <w:sz w:val="30"/>
          <w:szCs w:val="30"/>
          <w:highlight w:val="none"/>
        </w:rPr>
      </w:pPr>
      <w:r>
        <w:rPr>
          <w:rFonts w:hint="eastAsia" w:ascii="宋体" w:hAnsi="宋体" w:cs="宋体"/>
          <w:b/>
          <w:color w:val="auto"/>
          <w:sz w:val="24"/>
          <w:highlight w:val="none"/>
        </w:rPr>
        <w:t>2、授权书上应当附有法定代表人和委托代理人的居民身份证复印件。</w:t>
      </w:r>
      <w:r>
        <w:rPr>
          <w:rFonts w:hint="eastAsia" w:ascii="宋体" w:hAnsi="宋体" w:cs="宋体"/>
          <w:color w:val="auto"/>
          <w:highlight w:val="none"/>
        </w:rPr>
        <w:br w:type="page"/>
      </w:r>
    </w:p>
    <w:p w14:paraId="107126BA">
      <w:pPr>
        <w:spacing w:before="120" w:line="360" w:lineRule="auto"/>
        <w:ind w:left="420" w:leftChars="200"/>
        <w:jc w:val="center"/>
        <w:rPr>
          <w:rFonts w:ascii="宋体" w:hAnsi="宋体" w:cs="宋体"/>
          <w:b/>
          <w:bCs/>
          <w:color w:val="auto"/>
          <w:sz w:val="32"/>
          <w:szCs w:val="32"/>
          <w:highlight w:val="none"/>
        </w:rPr>
      </w:pPr>
      <w:bookmarkStart w:id="98" w:name="_Toc26224_WPSOffice_Level1"/>
      <w:bookmarkStart w:id="99" w:name="_Toc27459_WPSOffice_Level1"/>
      <w:r>
        <w:rPr>
          <w:rFonts w:hint="eastAsia" w:ascii="宋体" w:hAnsi="宋体" w:cs="宋体"/>
          <w:b/>
          <w:bCs/>
          <w:color w:val="auto"/>
          <w:sz w:val="32"/>
          <w:szCs w:val="32"/>
          <w:highlight w:val="none"/>
        </w:rPr>
        <w:t>4、反商业贿赂承诺书</w:t>
      </w:r>
      <w:bookmarkEnd w:id="95"/>
      <w:bookmarkEnd w:id="98"/>
      <w:bookmarkEnd w:id="99"/>
    </w:p>
    <w:p w14:paraId="4A90C38C">
      <w:pPr>
        <w:pStyle w:val="13"/>
        <w:rPr>
          <w:rFonts w:ascii="宋体" w:hAnsi="宋体" w:cs="宋体"/>
          <w:color w:val="auto"/>
          <w:highlight w:val="none"/>
        </w:rPr>
      </w:pPr>
    </w:p>
    <w:p w14:paraId="63B5D01C">
      <w:pPr>
        <w:pStyle w:val="13"/>
        <w:ind w:firstLine="480"/>
        <w:rPr>
          <w:rFonts w:ascii="宋体" w:hAnsi="宋体" w:cs="宋体"/>
          <w:color w:val="auto"/>
          <w:sz w:val="24"/>
          <w:highlight w:val="none"/>
        </w:rPr>
      </w:pPr>
      <w:r>
        <w:rPr>
          <w:rFonts w:hint="eastAsia" w:ascii="宋体" w:hAnsi="宋体" w:cs="宋体"/>
          <w:color w:val="auto"/>
          <w:sz w:val="24"/>
          <w:highlight w:val="none"/>
        </w:rPr>
        <w:t>我公司承诺在</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投标过程中，不给予国家工作人员以及采购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0FA255B5">
      <w:pPr>
        <w:pStyle w:val="13"/>
        <w:ind w:firstLine="480"/>
        <w:rPr>
          <w:rFonts w:ascii="宋体" w:hAnsi="宋体" w:cs="宋体"/>
          <w:color w:val="auto"/>
          <w:sz w:val="24"/>
          <w:highlight w:val="none"/>
        </w:rPr>
      </w:pPr>
    </w:p>
    <w:p w14:paraId="7921BB51">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3C54391F">
      <w:pPr>
        <w:pStyle w:val="58"/>
        <w:tabs>
          <w:tab w:val="left" w:pos="750"/>
        </w:tabs>
        <w:adjustRightInd w:val="0"/>
        <w:snapToGrid w:val="0"/>
        <w:spacing w:line="500" w:lineRule="exact"/>
        <w:rPr>
          <w:rFonts w:ascii="宋体" w:hAnsi="宋体"/>
          <w:color w:val="auto"/>
          <w:sz w:val="24"/>
          <w:szCs w:val="24"/>
          <w:highlight w:val="none"/>
        </w:rPr>
      </w:pPr>
    </w:p>
    <w:p w14:paraId="6814E99A">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68FC3780">
      <w:pPr>
        <w:pStyle w:val="58"/>
        <w:tabs>
          <w:tab w:val="left" w:pos="750"/>
        </w:tabs>
        <w:adjustRightInd w:val="0"/>
        <w:snapToGrid w:val="0"/>
        <w:spacing w:line="500" w:lineRule="exact"/>
        <w:rPr>
          <w:rFonts w:ascii="宋体" w:hAnsi="宋体"/>
          <w:color w:val="auto"/>
          <w:sz w:val="24"/>
          <w:szCs w:val="24"/>
          <w:highlight w:val="none"/>
        </w:rPr>
      </w:pPr>
    </w:p>
    <w:p w14:paraId="483BCC6D">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2115F3D4">
      <w:pPr>
        <w:spacing w:line="440" w:lineRule="exact"/>
        <w:rPr>
          <w:rFonts w:ascii="宋体" w:hAnsi="宋体" w:cs="宋体"/>
          <w:b/>
          <w:bCs/>
          <w:color w:val="auto"/>
          <w:sz w:val="24"/>
          <w:highlight w:val="none"/>
        </w:rPr>
      </w:pPr>
    </w:p>
    <w:p w14:paraId="27BDB8BC">
      <w:pPr>
        <w:spacing w:line="360" w:lineRule="auto"/>
        <w:jc w:val="left"/>
        <w:rPr>
          <w:rFonts w:ascii="宋体" w:hAnsi="宋体" w:cs="宋体"/>
          <w:b/>
          <w:color w:val="auto"/>
          <w:sz w:val="30"/>
          <w:szCs w:val="30"/>
          <w:highlight w:val="none"/>
        </w:rPr>
      </w:pPr>
    </w:p>
    <w:p w14:paraId="6EBCC72C">
      <w:pPr>
        <w:pStyle w:val="9"/>
        <w:rPr>
          <w:rFonts w:ascii="宋体" w:hAnsi="宋体" w:eastAsia="宋体" w:cs="宋体"/>
          <w:color w:val="auto"/>
          <w:highlight w:val="none"/>
        </w:rPr>
      </w:pPr>
    </w:p>
    <w:p w14:paraId="5C08FF98">
      <w:pPr>
        <w:rPr>
          <w:rFonts w:ascii="宋体" w:hAnsi="宋体" w:cs="宋体"/>
          <w:color w:val="auto"/>
          <w:highlight w:val="none"/>
        </w:rPr>
      </w:pPr>
    </w:p>
    <w:p w14:paraId="0DABEC74">
      <w:pPr>
        <w:pStyle w:val="27"/>
        <w:ind w:firstLine="0" w:firstLineChars="0"/>
        <w:jc w:val="center"/>
        <w:rPr>
          <w:rFonts w:ascii="宋体" w:hAnsi="宋体" w:cs="宋体"/>
          <w:color w:val="auto"/>
          <w:highlight w:val="none"/>
        </w:rPr>
      </w:pPr>
      <w:bookmarkStart w:id="100" w:name="_Toc30455_WPSOffice_Level1"/>
      <w:bookmarkStart w:id="101" w:name="_Toc32643_WPSOffice_Level1"/>
      <w:r>
        <w:rPr>
          <w:rFonts w:hint="eastAsia" w:ascii="宋体" w:hAnsi="宋体" w:cs="宋体"/>
          <w:b/>
          <w:color w:val="auto"/>
          <w:sz w:val="30"/>
          <w:szCs w:val="30"/>
          <w:highlight w:val="none"/>
        </w:rPr>
        <w:br w:type="page"/>
      </w:r>
      <w:r>
        <w:rPr>
          <w:rFonts w:hint="eastAsia" w:ascii="宋体" w:hAnsi="宋体" w:cs="宋体"/>
          <w:b/>
          <w:color w:val="auto"/>
          <w:sz w:val="32"/>
          <w:szCs w:val="32"/>
          <w:highlight w:val="none"/>
        </w:rPr>
        <w:t>5、供应商参与政府采购活动（招投标活动）无异议承诺书</w:t>
      </w:r>
    </w:p>
    <w:p w14:paraId="430E6326">
      <w:pPr>
        <w:pStyle w:val="27"/>
        <w:ind w:firstLine="240"/>
        <w:rPr>
          <w:rFonts w:ascii="宋体" w:hAnsi="宋体" w:cs="宋体"/>
          <w:color w:val="auto"/>
          <w:sz w:val="24"/>
          <w:highlight w:val="none"/>
        </w:rPr>
      </w:pPr>
    </w:p>
    <w:p w14:paraId="1DFF8D6B">
      <w:pPr>
        <w:widowControl/>
        <w:autoSpaceDE w:val="0"/>
        <w:autoSpaceDN w:val="0"/>
        <w:spacing w:line="360" w:lineRule="auto"/>
        <w:rPr>
          <w:rFonts w:ascii="宋体" w:hAnsi="宋体" w:cs="宋体"/>
          <w:color w:val="auto"/>
          <w:kern w:val="0"/>
          <w:sz w:val="24"/>
          <w:szCs w:val="32"/>
          <w:highlight w:val="none"/>
          <w:u w:val="single"/>
        </w:rPr>
      </w:pPr>
      <w:r>
        <w:rPr>
          <w:rFonts w:hint="eastAsia" w:ascii="宋体" w:hAnsi="宋体" w:cs="宋体"/>
          <w:color w:val="auto"/>
          <w:kern w:val="0"/>
          <w:sz w:val="24"/>
          <w:szCs w:val="32"/>
          <w:highlight w:val="none"/>
        </w:rPr>
        <w:t>致：</w:t>
      </w:r>
      <w:r>
        <w:rPr>
          <w:rFonts w:hint="eastAsia" w:ascii="宋体" w:hAnsi="宋体" w:cs="宋体"/>
          <w:color w:val="auto"/>
          <w:kern w:val="0"/>
          <w:sz w:val="24"/>
          <w:szCs w:val="32"/>
          <w:highlight w:val="none"/>
          <w:u w:val="single"/>
        </w:rPr>
        <w:t>（采购人）</w:t>
      </w:r>
    </w:p>
    <w:p w14:paraId="561800EE">
      <w:pPr>
        <w:widowControl/>
        <w:autoSpaceDE w:val="0"/>
        <w:autoSpaceDN w:val="0"/>
        <w:spacing w:line="360" w:lineRule="auto"/>
        <w:ind w:firstLine="480" w:firstLineChars="200"/>
        <w:rPr>
          <w:rFonts w:ascii="宋体" w:hAnsi="宋体" w:cs="宋体"/>
          <w:color w:val="auto"/>
          <w:kern w:val="0"/>
          <w:sz w:val="24"/>
          <w:szCs w:val="32"/>
          <w:highlight w:val="none"/>
          <w:u w:val="single"/>
        </w:rPr>
      </w:pPr>
      <w:r>
        <w:rPr>
          <w:rFonts w:hint="eastAsia" w:ascii="宋体" w:hAnsi="宋体" w:cs="宋体"/>
          <w:color w:val="auto"/>
          <w:kern w:val="0"/>
          <w:sz w:val="24"/>
          <w:szCs w:val="32"/>
          <w:highlight w:val="none"/>
          <w:u w:val="single"/>
        </w:rPr>
        <w:t>（采购代理机构）</w:t>
      </w:r>
    </w:p>
    <w:p w14:paraId="5186E6B5">
      <w:pPr>
        <w:widowControl/>
        <w:autoSpaceDE w:val="0"/>
        <w:autoSpaceDN w:val="0"/>
        <w:spacing w:line="360" w:lineRule="auto"/>
        <w:ind w:firstLine="480" w:firstLineChars="200"/>
        <w:rPr>
          <w:rFonts w:ascii="宋体" w:hAnsi="宋体" w:cs="宋体"/>
          <w:color w:val="auto"/>
          <w:kern w:val="0"/>
          <w:sz w:val="24"/>
          <w:szCs w:val="32"/>
          <w:highlight w:val="none"/>
        </w:rPr>
      </w:pPr>
    </w:p>
    <w:p w14:paraId="50E61E47">
      <w:pPr>
        <w:widowControl/>
        <w:autoSpaceDE w:val="0"/>
        <w:autoSpaceDN w:val="0"/>
        <w:spacing w:line="360" w:lineRule="auto"/>
        <w:ind w:firstLine="480" w:firstLineChars="200"/>
        <w:jc w:val="left"/>
        <w:rPr>
          <w:rFonts w:ascii="宋体" w:hAnsi="宋体" w:cs="宋体"/>
          <w:color w:val="auto"/>
          <w:kern w:val="0"/>
          <w:sz w:val="24"/>
          <w:szCs w:val="32"/>
          <w:highlight w:val="none"/>
        </w:rPr>
      </w:pPr>
      <w:r>
        <w:rPr>
          <w:rFonts w:hint="eastAsia" w:ascii="宋体" w:hAnsi="宋体" w:cs="宋体"/>
          <w:color w:val="auto"/>
          <w:kern w:val="0"/>
          <w:sz w:val="24"/>
          <w:szCs w:val="32"/>
          <w:highlight w:val="none"/>
        </w:rPr>
        <w:t>本人作为法定代表人或经授权供应商代表，清楚知晓我单位本项目投标活动，对以下事项作出承诺:</w:t>
      </w:r>
    </w:p>
    <w:p w14:paraId="58D5C680">
      <w:pPr>
        <w:widowControl/>
        <w:autoSpaceDE w:val="0"/>
        <w:autoSpaceDN w:val="0"/>
        <w:spacing w:line="360" w:lineRule="auto"/>
        <w:ind w:firstLine="480" w:firstLineChars="200"/>
        <w:jc w:val="left"/>
        <w:rPr>
          <w:rFonts w:ascii="宋体" w:hAnsi="宋体" w:cs="宋体"/>
          <w:color w:val="auto"/>
          <w:kern w:val="0"/>
          <w:sz w:val="24"/>
          <w:szCs w:val="32"/>
          <w:highlight w:val="none"/>
        </w:rPr>
      </w:pPr>
      <w:r>
        <w:rPr>
          <w:rFonts w:hint="eastAsia" w:ascii="宋体" w:hAnsi="宋体" w:cs="宋体"/>
          <w:color w:val="auto"/>
          <w:kern w:val="0"/>
          <w:sz w:val="24"/>
          <w:szCs w:val="32"/>
          <w:highlight w:val="none"/>
        </w:rPr>
        <w:t>一、我单位和我本人遵循公开、公平、公正、诚实守信的原则，依法依规参与本项目采购。</w:t>
      </w:r>
    </w:p>
    <w:p w14:paraId="09CEE3A3">
      <w:pPr>
        <w:widowControl/>
        <w:autoSpaceDE w:val="0"/>
        <w:autoSpaceDN w:val="0"/>
        <w:spacing w:line="360" w:lineRule="auto"/>
        <w:ind w:firstLine="480" w:firstLineChars="200"/>
        <w:jc w:val="left"/>
        <w:rPr>
          <w:rFonts w:ascii="宋体" w:hAnsi="宋体" w:cs="宋体"/>
          <w:color w:val="auto"/>
          <w:kern w:val="0"/>
          <w:sz w:val="24"/>
          <w:szCs w:val="32"/>
          <w:highlight w:val="none"/>
        </w:rPr>
      </w:pPr>
      <w:r>
        <w:rPr>
          <w:rFonts w:hint="eastAsia" w:ascii="宋体" w:hAnsi="宋体" w:cs="宋体"/>
          <w:color w:val="auto"/>
          <w:kern w:val="0"/>
          <w:sz w:val="24"/>
          <w:szCs w:val="32"/>
          <w:highlight w:val="none"/>
        </w:rPr>
        <w:t>二、我单位和我本人在本项目采购活动过程中，一旦参与了开标活动，视为供应商默认对采购文件中的所有内容均无异议，予以认可，后期不再对采购文件提出质疑或投诉。</w:t>
      </w:r>
    </w:p>
    <w:p w14:paraId="14A35CF5">
      <w:pPr>
        <w:widowControl/>
        <w:autoSpaceDE w:val="0"/>
        <w:autoSpaceDN w:val="0"/>
        <w:spacing w:line="360" w:lineRule="auto"/>
        <w:ind w:firstLine="480" w:firstLineChars="200"/>
        <w:jc w:val="left"/>
        <w:rPr>
          <w:rFonts w:ascii="宋体" w:hAnsi="宋体" w:cs="宋体"/>
          <w:color w:val="auto"/>
          <w:kern w:val="0"/>
          <w:sz w:val="24"/>
          <w:szCs w:val="32"/>
          <w:highlight w:val="none"/>
        </w:rPr>
      </w:pPr>
      <w:r>
        <w:rPr>
          <w:rFonts w:hint="eastAsia" w:ascii="宋体" w:hAnsi="宋体" w:cs="宋体"/>
          <w:color w:val="auto"/>
          <w:kern w:val="0"/>
          <w:sz w:val="24"/>
          <w:szCs w:val="32"/>
          <w:highlight w:val="none"/>
        </w:rPr>
        <w:t>三、我单位再次承诺：我单位所提供的所有资料均真实有效，无弄虚作假情况。如采购人发现我公司响应文件中提供虚假材料，我公司将承担所有法律后果。</w:t>
      </w:r>
    </w:p>
    <w:p w14:paraId="7F479DAF">
      <w:pPr>
        <w:widowControl/>
        <w:ind w:firstLine="360"/>
        <w:jc w:val="left"/>
        <w:rPr>
          <w:rFonts w:ascii="宋体" w:hAnsi="宋体" w:cs="宋体"/>
          <w:color w:val="auto"/>
          <w:kern w:val="0"/>
          <w:sz w:val="24"/>
          <w:szCs w:val="32"/>
          <w:highlight w:val="none"/>
        </w:rPr>
      </w:pPr>
    </w:p>
    <w:p w14:paraId="29B686C0">
      <w:pPr>
        <w:widowControl/>
        <w:ind w:firstLine="360"/>
        <w:jc w:val="left"/>
        <w:rPr>
          <w:rFonts w:ascii="宋体" w:hAnsi="宋体" w:cs="宋体"/>
          <w:color w:val="auto"/>
          <w:kern w:val="0"/>
          <w:sz w:val="24"/>
          <w:szCs w:val="32"/>
          <w:highlight w:val="none"/>
        </w:rPr>
      </w:pPr>
    </w:p>
    <w:p w14:paraId="4FB89743">
      <w:pPr>
        <w:widowControl/>
        <w:ind w:firstLine="360"/>
        <w:jc w:val="left"/>
        <w:rPr>
          <w:rFonts w:ascii="宋体" w:hAnsi="宋体" w:cs="宋体"/>
          <w:color w:val="auto"/>
          <w:kern w:val="0"/>
          <w:sz w:val="24"/>
          <w:szCs w:val="32"/>
          <w:highlight w:val="none"/>
        </w:rPr>
      </w:pPr>
    </w:p>
    <w:p w14:paraId="6CFAB319">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1D8391B0">
      <w:pPr>
        <w:pStyle w:val="58"/>
        <w:tabs>
          <w:tab w:val="left" w:pos="750"/>
        </w:tabs>
        <w:adjustRightInd w:val="0"/>
        <w:snapToGrid w:val="0"/>
        <w:spacing w:line="500" w:lineRule="exact"/>
        <w:rPr>
          <w:rFonts w:ascii="宋体" w:hAnsi="宋体"/>
          <w:color w:val="auto"/>
          <w:sz w:val="24"/>
          <w:szCs w:val="24"/>
          <w:highlight w:val="none"/>
        </w:rPr>
      </w:pPr>
    </w:p>
    <w:p w14:paraId="3D001B79">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73096432">
      <w:pPr>
        <w:pStyle w:val="58"/>
        <w:tabs>
          <w:tab w:val="left" w:pos="750"/>
        </w:tabs>
        <w:adjustRightInd w:val="0"/>
        <w:snapToGrid w:val="0"/>
        <w:spacing w:line="500" w:lineRule="exact"/>
        <w:rPr>
          <w:rFonts w:ascii="宋体" w:hAnsi="宋体"/>
          <w:color w:val="auto"/>
          <w:sz w:val="24"/>
          <w:szCs w:val="24"/>
          <w:highlight w:val="none"/>
        </w:rPr>
      </w:pPr>
    </w:p>
    <w:p w14:paraId="58D6A9D8">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28FC12F6">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474F267F">
      <w:pPr>
        <w:pStyle w:val="27"/>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6、</w:t>
      </w:r>
      <w:bookmarkStart w:id="102" w:name="_Toc17901_WPSOffice_Level1"/>
      <w:bookmarkStart w:id="103" w:name="_Toc20884"/>
      <w:bookmarkStart w:id="104" w:name="_Toc3579"/>
      <w:r>
        <w:rPr>
          <w:rFonts w:hint="eastAsia" w:ascii="宋体" w:hAnsi="宋体" w:cs="宋体"/>
          <w:b/>
          <w:color w:val="auto"/>
          <w:sz w:val="32"/>
          <w:szCs w:val="32"/>
          <w:highlight w:val="none"/>
        </w:rPr>
        <w:t>不参与围标串标承诺书</w:t>
      </w:r>
    </w:p>
    <w:p w14:paraId="0A7C765F">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bCs/>
          <w:color w:val="auto"/>
          <w:sz w:val="24"/>
          <w:highlight w:val="none"/>
        </w:rPr>
        <w:t>本人作为</w:t>
      </w:r>
      <w:r>
        <w:rPr>
          <w:rFonts w:hint="eastAsia" w:ascii="宋体" w:hAnsi="宋体" w:eastAsia="宋体" w:cs="宋体"/>
          <w:b w:val="0"/>
          <w:bCs/>
          <w:color w:val="auto"/>
          <w:sz w:val="24"/>
          <w:highlight w:val="none"/>
          <w:u w:val="single"/>
        </w:rPr>
        <w:t>（单位名称）</w:t>
      </w:r>
      <w:r>
        <w:rPr>
          <w:rFonts w:hint="eastAsia" w:ascii="宋体" w:hAnsi="宋体" w:eastAsia="宋体" w:cs="宋体"/>
          <w:b w:val="0"/>
          <w:bCs/>
          <w:color w:val="auto"/>
          <w:sz w:val="24"/>
          <w:highlight w:val="none"/>
        </w:rPr>
        <w:t>的法人，清楚知晓我公司本项目投标</w:t>
      </w:r>
      <w:r>
        <w:rPr>
          <w:rFonts w:hint="eastAsia" w:ascii="宋体" w:hAnsi="宋体" w:eastAsia="宋体" w:cs="宋体"/>
          <w:b w:val="0"/>
          <w:color w:val="auto"/>
          <w:sz w:val="24"/>
          <w:szCs w:val="32"/>
          <w:highlight w:val="none"/>
        </w:rPr>
        <w:t>活动，对以下事项作出承诺：</w:t>
      </w:r>
    </w:p>
    <w:p w14:paraId="169EE8F8">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一、我单位遵循公开、公平、公正、诚实守信的原则，依法依规参与本项目竞标。</w:t>
      </w:r>
    </w:p>
    <w:p w14:paraId="11557B04">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二、我单位在本项目招标投标活动中，未参与围标串标。</w:t>
      </w:r>
    </w:p>
    <w:p w14:paraId="5602063C">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三、我单位如被查实在本项目招标投标活动中存在围标串标的，递交响应文件行为作为实施串通投标违法行为的关键环节，本人承担直接责任人员法律责任，接受相应行政处罚和失信惩戒。</w:t>
      </w:r>
    </w:p>
    <w:p w14:paraId="6206E762">
      <w:pPr>
        <w:pStyle w:val="60"/>
        <w:spacing w:line="640" w:lineRule="exact"/>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项目编号：</w:t>
      </w:r>
    </w:p>
    <w:p w14:paraId="51FE07FB">
      <w:pPr>
        <w:pStyle w:val="60"/>
        <w:spacing w:line="640" w:lineRule="exact"/>
        <w:rPr>
          <w:rFonts w:ascii="宋体" w:hAnsi="宋体" w:eastAsia="宋体" w:cs="宋体"/>
          <w:b w:val="0"/>
          <w:bCs/>
          <w:color w:val="auto"/>
          <w:sz w:val="24"/>
          <w:highlight w:val="none"/>
        </w:rPr>
      </w:pPr>
    </w:p>
    <w:p w14:paraId="0CDAC923">
      <w:pPr>
        <w:pStyle w:val="60"/>
        <w:spacing w:line="640" w:lineRule="exact"/>
        <w:rPr>
          <w:rFonts w:ascii="宋体" w:hAnsi="宋体" w:eastAsia="宋体" w:cs="宋体"/>
          <w:b w:val="0"/>
          <w:bCs/>
          <w:color w:val="auto"/>
          <w:sz w:val="24"/>
          <w:highlight w:val="none"/>
        </w:rPr>
      </w:pPr>
    </w:p>
    <w:p w14:paraId="1C9046B4">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2E5E6EFE">
      <w:pPr>
        <w:pStyle w:val="58"/>
        <w:tabs>
          <w:tab w:val="left" w:pos="750"/>
        </w:tabs>
        <w:adjustRightInd w:val="0"/>
        <w:snapToGrid w:val="0"/>
        <w:spacing w:line="500" w:lineRule="exact"/>
        <w:rPr>
          <w:rFonts w:ascii="宋体" w:hAnsi="宋体"/>
          <w:color w:val="auto"/>
          <w:sz w:val="24"/>
          <w:szCs w:val="24"/>
          <w:highlight w:val="none"/>
        </w:rPr>
      </w:pPr>
    </w:p>
    <w:p w14:paraId="29D45DE3">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794088A2">
      <w:pPr>
        <w:pStyle w:val="58"/>
        <w:tabs>
          <w:tab w:val="left" w:pos="750"/>
        </w:tabs>
        <w:adjustRightInd w:val="0"/>
        <w:snapToGrid w:val="0"/>
        <w:spacing w:line="500" w:lineRule="exact"/>
        <w:rPr>
          <w:rFonts w:ascii="宋体" w:hAnsi="宋体"/>
          <w:color w:val="auto"/>
          <w:sz w:val="24"/>
          <w:szCs w:val="24"/>
          <w:highlight w:val="none"/>
        </w:rPr>
      </w:pPr>
    </w:p>
    <w:p w14:paraId="2440B1F5">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604CA091">
      <w:pPr>
        <w:pStyle w:val="27"/>
        <w:ind w:firstLine="0" w:firstLineChars="0"/>
        <w:jc w:val="center"/>
        <w:rPr>
          <w:rFonts w:ascii="宋体" w:hAnsi="宋体" w:cs="宋体"/>
          <w:color w:val="auto"/>
          <w:highlight w:val="none"/>
        </w:rPr>
      </w:pPr>
      <w:r>
        <w:rPr>
          <w:rFonts w:hint="eastAsia" w:ascii="宋体" w:hAnsi="宋体" w:cs="宋体"/>
          <w:b/>
          <w:color w:val="auto"/>
          <w:sz w:val="30"/>
          <w:szCs w:val="30"/>
          <w:highlight w:val="none"/>
        </w:rPr>
        <w:br w:type="page"/>
      </w:r>
      <w:r>
        <w:rPr>
          <w:rFonts w:hint="eastAsia" w:ascii="宋体" w:hAnsi="宋体" w:cs="宋体"/>
          <w:b/>
          <w:color w:val="auto"/>
          <w:sz w:val="32"/>
          <w:szCs w:val="32"/>
          <w:highlight w:val="none"/>
        </w:rPr>
        <w:t>7、保密承诺书</w:t>
      </w:r>
    </w:p>
    <w:p w14:paraId="6C09B398">
      <w:pPr>
        <w:pStyle w:val="77"/>
        <w:spacing w:line="360" w:lineRule="auto"/>
        <w:rPr>
          <w:rFonts w:hint="default"/>
          <w:color w:val="auto"/>
          <w:highlight w:val="none"/>
        </w:rPr>
      </w:pPr>
    </w:p>
    <w:p w14:paraId="114137D1">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（采购代理机构名称）：</w:t>
      </w:r>
    </w:p>
    <w:p w14:paraId="04F4581E">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我方参加贵组织的编号为项目采购活动，根据有关保密法规制度，知悉应当承担的保密义务和法律责任，承诺如下：</w:t>
      </w:r>
    </w:p>
    <w:p w14:paraId="0CD1807F">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一、严格遵守相关的保密法律法规和规章制度，履行保密义务。</w:t>
      </w:r>
    </w:p>
    <w:p w14:paraId="08B858C7">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二、不以任何方式泄露或传播本次采购项目相关信息。</w:t>
      </w:r>
    </w:p>
    <w:p w14:paraId="02C48A02">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三、不违规记录、存储、复制本次采购项目相关信息。</w:t>
      </w:r>
    </w:p>
    <w:p w14:paraId="13CB45BA">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四、采购文件以及相关技术文件专室放置、专盘存储、专人管理。</w:t>
      </w:r>
    </w:p>
    <w:p w14:paraId="5B00FF0A">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五、未经采购机构审查批准，不得擅自在互联网、通讯媒体等发表涉及此次采购项目相关内容或资讯。</w:t>
      </w:r>
    </w:p>
    <w:p w14:paraId="76A98856">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违反上述承诺，愿承担一切法律责任，接受采购单位管理部门和采购机构按相关规定作出的相关处罚。</w:t>
      </w:r>
    </w:p>
    <w:p w14:paraId="5AE726B4">
      <w:pPr>
        <w:pStyle w:val="60"/>
        <w:spacing w:line="640" w:lineRule="exact"/>
        <w:rPr>
          <w:rFonts w:ascii="宋体" w:hAnsi="宋体" w:eastAsia="宋体" w:cs="宋体"/>
          <w:b w:val="0"/>
          <w:bCs/>
          <w:color w:val="auto"/>
          <w:sz w:val="24"/>
          <w:highlight w:val="none"/>
        </w:rPr>
      </w:pPr>
    </w:p>
    <w:p w14:paraId="3E28DC1B">
      <w:pPr>
        <w:pStyle w:val="60"/>
        <w:spacing w:line="640" w:lineRule="exact"/>
        <w:rPr>
          <w:rFonts w:ascii="宋体" w:hAnsi="宋体" w:eastAsia="宋体" w:cs="宋体"/>
          <w:b w:val="0"/>
          <w:bCs/>
          <w:color w:val="auto"/>
          <w:sz w:val="24"/>
          <w:highlight w:val="none"/>
        </w:rPr>
      </w:pPr>
    </w:p>
    <w:p w14:paraId="371D55FA">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74941BB1">
      <w:pPr>
        <w:pStyle w:val="58"/>
        <w:tabs>
          <w:tab w:val="left" w:pos="750"/>
        </w:tabs>
        <w:adjustRightInd w:val="0"/>
        <w:snapToGrid w:val="0"/>
        <w:spacing w:line="500" w:lineRule="exact"/>
        <w:rPr>
          <w:rFonts w:ascii="宋体" w:hAnsi="宋体"/>
          <w:color w:val="auto"/>
          <w:sz w:val="24"/>
          <w:szCs w:val="24"/>
          <w:highlight w:val="none"/>
        </w:rPr>
      </w:pPr>
    </w:p>
    <w:p w14:paraId="0DF5641A">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06985E5E">
      <w:pPr>
        <w:pStyle w:val="58"/>
        <w:tabs>
          <w:tab w:val="left" w:pos="750"/>
        </w:tabs>
        <w:adjustRightInd w:val="0"/>
        <w:snapToGrid w:val="0"/>
        <w:spacing w:line="500" w:lineRule="exact"/>
        <w:rPr>
          <w:rFonts w:ascii="宋体" w:hAnsi="宋体"/>
          <w:color w:val="auto"/>
          <w:sz w:val="24"/>
          <w:szCs w:val="24"/>
          <w:highlight w:val="none"/>
        </w:rPr>
      </w:pPr>
    </w:p>
    <w:p w14:paraId="29C2DEBE">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3E2FA4D8">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5A68AB3F">
      <w:pPr>
        <w:pStyle w:val="27"/>
        <w:ind w:firstLine="0" w:firstLineChars="0"/>
        <w:jc w:val="center"/>
        <w:rPr>
          <w:rFonts w:ascii="宋体" w:hAnsi="宋体" w:cs="宋体"/>
          <w:b/>
          <w:color w:val="auto"/>
          <w:sz w:val="32"/>
          <w:szCs w:val="32"/>
          <w:highlight w:val="none"/>
        </w:rPr>
      </w:pPr>
      <w:r>
        <w:rPr>
          <w:rFonts w:hint="eastAsia" w:ascii="宋体" w:hAnsi="宋体" w:cs="宋体"/>
          <w:b/>
          <w:color w:val="auto"/>
          <w:sz w:val="32"/>
          <w:szCs w:val="32"/>
          <w:highlight w:val="none"/>
        </w:rPr>
        <w:t>8、投标保证金</w:t>
      </w:r>
      <w:bookmarkEnd w:id="100"/>
      <w:bookmarkEnd w:id="101"/>
    </w:p>
    <w:p w14:paraId="50B67043">
      <w:pPr>
        <w:pStyle w:val="6"/>
        <w:spacing w:before="0" w:after="0" w:line="360" w:lineRule="auto"/>
        <w:jc w:val="center"/>
        <w:rPr>
          <w:rFonts w:ascii="宋体" w:hAnsi="宋体" w:cs="宋体"/>
          <w:color w:val="auto"/>
          <w:sz w:val="30"/>
          <w:szCs w:val="30"/>
          <w:highlight w:val="none"/>
        </w:rPr>
      </w:pPr>
    </w:p>
    <w:p w14:paraId="7A801741">
      <w:pPr>
        <w:pStyle w:val="60"/>
        <w:spacing w:line="640" w:lineRule="exact"/>
        <w:ind w:firstLine="480" w:firstLineChars="200"/>
        <w:rPr>
          <w:rFonts w:ascii="宋体" w:hAnsi="宋体" w:eastAsia="宋体" w:cs="宋体"/>
          <w:b w:val="0"/>
          <w:color w:val="auto"/>
          <w:sz w:val="24"/>
          <w:szCs w:val="32"/>
          <w:highlight w:val="none"/>
        </w:rPr>
      </w:pPr>
      <w:r>
        <w:rPr>
          <w:rFonts w:hint="eastAsia" w:ascii="宋体" w:hAnsi="宋体" w:eastAsia="宋体" w:cs="宋体"/>
          <w:b w:val="0"/>
          <w:color w:val="auto"/>
          <w:sz w:val="24"/>
          <w:szCs w:val="32"/>
          <w:highlight w:val="none"/>
        </w:rPr>
        <w:t>以支票、汇票、本票、转账、电汇或者金融机构、担保机构出具的保函等非现金形式提交；（提供相关证明材料）</w:t>
      </w:r>
    </w:p>
    <w:p w14:paraId="0EE33D6E">
      <w:pPr>
        <w:pStyle w:val="60"/>
        <w:spacing w:line="640" w:lineRule="exact"/>
        <w:rPr>
          <w:rFonts w:ascii="宋体" w:hAnsi="宋体" w:eastAsia="宋体" w:cs="宋体"/>
          <w:b w:val="0"/>
          <w:color w:val="auto"/>
          <w:kern w:val="2"/>
          <w:sz w:val="30"/>
          <w:szCs w:val="30"/>
          <w:highlight w:val="none"/>
        </w:rPr>
      </w:pPr>
    </w:p>
    <w:p w14:paraId="76B64811">
      <w:pPr>
        <w:pStyle w:val="60"/>
        <w:spacing w:line="640" w:lineRule="exact"/>
        <w:rPr>
          <w:rFonts w:ascii="宋体" w:hAnsi="宋体" w:eastAsia="宋体" w:cs="宋体"/>
          <w:b w:val="0"/>
          <w:color w:val="auto"/>
          <w:kern w:val="2"/>
          <w:sz w:val="30"/>
          <w:szCs w:val="30"/>
          <w:highlight w:val="none"/>
        </w:rPr>
      </w:pPr>
    </w:p>
    <w:p w14:paraId="4CC00CDA">
      <w:pPr>
        <w:pStyle w:val="60"/>
        <w:spacing w:line="640" w:lineRule="exact"/>
        <w:rPr>
          <w:rFonts w:ascii="宋体" w:hAnsi="宋体" w:eastAsia="宋体" w:cs="宋体"/>
          <w:b w:val="0"/>
          <w:color w:val="auto"/>
          <w:kern w:val="2"/>
          <w:sz w:val="30"/>
          <w:szCs w:val="30"/>
          <w:highlight w:val="none"/>
        </w:rPr>
      </w:pPr>
    </w:p>
    <w:p w14:paraId="11861651">
      <w:pPr>
        <w:pStyle w:val="60"/>
        <w:spacing w:line="640" w:lineRule="exact"/>
        <w:rPr>
          <w:rFonts w:ascii="宋体" w:hAnsi="宋体" w:eastAsia="宋体" w:cs="宋体"/>
          <w:b w:val="0"/>
          <w:color w:val="auto"/>
          <w:kern w:val="2"/>
          <w:sz w:val="30"/>
          <w:szCs w:val="30"/>
          <w:highlight w:val="none"/>
        </w:rPr>
      </w:pPr>
    </w:p>
    <w:p w14:paraId="29D6EA74">
      <w:pPr>
        <w:pStyle w:val="60"/>
        <w:spacing w:line="640" w:lineRule="exact"/>
        <w:rPr>
          <w:rFonts w:ascii="宋体" w:hAnsi="宋体" w:eastAsia="宋体" w:cs="宋体"/>
          <w:b w:val="0"/>
          <w:color w:val="auto"/>
          <w:kern w:val="2"/>
          <w:sz w:val="30"/>
          <w:szCs w:val="30"/>
          <w:highlight w:val="none"/>
        </w:rPr>
      </w:pPr>
    </w:p>
    <w:p w14:paraId="38D0CF6D">
      <w:pPr>
        <w:pStyle w:val="60"/>
        <w:spacing w:line="640" w:lineRule="exact"/>
        <w:rPr>
          <w:rFonts w:ascii="宋体" w:hAnsi="宋体" w:eastAsia="宋体" w:cs="宋体"/>
          <w:b w:val="0"/>
          <w:color w:val="auto"/>
          <w:kern w:val="2"/>
          <w:sz w:val="30"/>
          <w:szCs w:val="30"/>
          <w:highlight w:val="none"/>
        </w:rPr>
      </w:pPr>
    </w:p>
    <w:p w14:paraId="0C4A17B6">
      <w:pPr>
        <w:pStyle w:val="6"/>
        <w:spacing w:before="0" w:after="0" w:line="360" w:lineRule="auto"/>
        <w:jc w:val="center"/>
        <w:rPr>
          <w:rFonts w:ascii="宋体" w:hAnsi="宋体"/>
          <w:color w:val="auto"/>
          <w:highlight w:val="none"/>
          <w:u w:val="single"/>
        </w:rPr>
      </w:pPr>
      <w:r>
        <w:rPr>
          <w:rFonts w:hint="eastAsia" w:ascii="宋体" w:hAnsi="宋体" w:cs="宋体"/>
          <w:color w:val="auto"/>
          <w:sz w:val="30"/>
          <w:szCs w:val="30"/>
          <w:highlight w:val="none"/>
        </w:rPr>
        <w:br w:type="page"/>
      </w:r>
      <w:bookmarkStart w:id="105" w:name="_Toc16017_WPSOffice_Level1"/>
      <w:bookmarkStart w:id="106" w:name="_Toc17746_WPSOffice_Level1"/>
      <w:r>
        <w:rPr>
          <w:rFonts w:hint="eastAsia" w:ascii="宋体" w:hAnsi="宋体" w:cs="宋体"/>
          <w:color w:val="auto"/>
          <w:sz w:val="32"/>
          <w:szCs w:val="32"/>
          <w:highlight w:val="none"/>
        </w:rPr>
        <w:t>9、</w:t>
      </w:r>
      <w:bookmarkEnd w:id="105"/>
      <w:bookmarkEnd w:id="106"/>
      <w:r>
        <w:rPr>
          <w:rFonts w:hint="eastAsia" w:ascii="宋体" w:hAnsi="宋体" w:cs="宋体"/>
          <w:bCs w:val="0"/>
          <w:color w:val="auto"/>
          <w:sz w:val="32"/>
          <w:szCs w:val="32"/>
          <w:highlight w:val="none"/>
        </w:rPr>
        <w:t>商务/技术条款偏离表</w:t>
      </w:r>
      <w:r>
        <w:rPr>
          <w:rFonts w:hint="eastAsia" w:ascii="宋体" w:hAnsi="宋体"/>
          <w:color w:val="auto"/>
          <w:highlight w:val="none"/>
        </w:rPr>
        <w:t xml:space="preserve">   </w:t>
      </w:r>
    </w:p>
    <w:tbl>
      <w:tblPr>
        <w:tblStyle w:val="29"/>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786E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vAlign w:val="center"/>
          </w:tcPr>
          <w:p w14:paraId="615BE5F8">
            <w:pPr>
              <w:pStyle w:val="46"/>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序号</w:t>
            </w:r>
          </w:p>
        </w:tc>
        <w:tc>
          <w:tcPr>
            <w:tcW w:w="2552" w:type="dxa"/>
            <w:vAlign w:val="center"/>
          </w:tcPr>
          <w:p w14:paraId="6F573446">
            <w:pPr>
              <w:pStyle w:val="46"/>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采购文件的商务/技术条款</w:t>
            </w:r>
          </w:p>
        </w:tc>
        <w:tc>
          <w:tcPr>
            <w:tcW w:w="2409" w:type="dxa"/>
            <w:vAlign w:val="center"/>
          </w:tcPr>
          <w:p w14:paraId="2B1057D7">
            <w:pPr>
              <w:pStyle w:val="46"/>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响应文件的商务/技术条款</w:t>
            </w:r>
          </w:p>
        </w:tc>
        <w:tc>
          <w:tcPr>
            <w:tcW w:w="1588" w:type="dxa"/>
            <w:vAlign w:val="center"/>
          </w:tcPr>
          <w:p w14:paraId="35C68BE0">
            <w:pPr>
              <w:pStyle w:val="46"/>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偏离</w:t>
            </w:r>
          </w:p>
        </w:tc>
        <w:tc>
          <w:tcPr>
            <w:tcW w:w="1815" w:type="dxa"/>
            <w:vAlign w:val="center"/>
          </w:tcPr>
          <w:p w14:paraId="4662DAF7">
            <w:pPr>
              <w:pStyle w:val="46"/>
              <w:keepNext w:val="0"/>
              <w:keepLines w:val="0"/>
              <w:suppressLineNumbers w:val="0"/>
              <w:spacing w:before="0" w:beforeAutospacing="0" w:after="0" w:afterAutospacing="0" w:line="500" w:lineRule="exact"/>
              <w:ind w:left="0" w:right="0"/>
              <w:jc w:val="center"/>
              <w:rPr>
                <w:rFonts w:hint="default" w:ascii="宋体" w:hAnsi="宋体"/>
                <w:color w:val="auto"/>
                <w:highlight w:val="none"/>
              </w:rPr>
            </w:pPr>
            <w:r>
              <w:rPr>
                <w:rFonts w:hint="eastAsia" w:ascii="宋体" w:hAnsi="宋体"/>
                <w:color w:val="auto"/>
                <w:highlight w:val="none"/>
              </w:rPr>
              <w:t>备注</w:t>
            </w:r>
          </w:p>
        </w:tc>
      </w:tr>
      <w:tr w14:paraId="15F4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73C37988">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5B9502A5">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宋体" w:hAnsi="宋体"/>
                <w:color w:val="auto"/>
                <w:highlight w:val="none"/>
              </w:rPr>
              <w:t>服务期限</w:t>
            </w:r>
          </w:p>
        </w:tc>
        <w:tc>
          <w:tcPr>
            <w:tcW w:w="2409" w:type="dxa"/>
          </w:tcPr>
          <w:p w14:paraId="0B97F2C0">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12486578">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69E7C8C0">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738E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A7C0233">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56D12C80">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宋体" w:hAnsi="宋体" w:cs="宋体"/>
                <w:color w:val="auto"/>
                <w:szCs w:val="24"/>
                <w:highlight w:val="none"/>
              </w:rPr>
              <w:t>供货期</w:t>
            </w:r>
          </w:p>
        </w:tc>
        <w:tc>
          <w:tcPr>
            <w:tcW w:w="2409" w:type="dxa"/>
          </w:tcPr>
          <w:p w14:paraId="4E06A5E9">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53168601">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76640F21">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3ED9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065A44C">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5F616C73">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宋体" w:hAnsi="宋体"/>
                <w:color w:val="auto"/>
                <w:highlight w:val="none"/>
              </w:rPr>
              <w:t>交货地点</w:t>
            </w:r>
          </w:p>
        </w:tc>
        <w:tc>
          <w:tcPr>
            <w:tcW w:w="2409" w:type="dxa"/>
          </w:tcPr>
          <w:p w14:paraId="463D0813">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75284063">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4E85ADD3">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087E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D1B26FA">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04EB3E54">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宋体" w:hAnsi="宋体"/>
                <w:color w:val="auto"/>
                <w:highlight w:val="none"/>
              </w:rPr>
              <w:t>付款方式</w:t>
            </w:r>
          </w:p>
        </w:tc>
        <w:tc>
          <w:tcPr>
            <w:tcW w:w="2409" w:type="dxa"/>
          </w:tcPr>
          <w:p w14:paraId="5A5872FA">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644EAB5C">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7060B1D5">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1BAD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D6478B5">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087A4E52">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p>
        </w:tc>
        <w:tc>
          <w:tcPr>
            <w:tcW w:w="2409" w:type="dxa"/>
          </w:tcPr>
          <w:p w14:paraId="77014955">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075F6AAB">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2C848625">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3A79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375174E9">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701C2C4B">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p>
        </w:tc>
        <w:tc>
          <w:tcPr>
            <w:tcW w:w="2409" w:type="dxa"/>
          </w:tcPr>
          <w:p w14:paraId="0FEA4741">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299732E4">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3FB9149E">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121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41E2B6E1">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5BB060D3">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409" w:type="dxa"/>
          </w:tcPr>
          <w:p w14:paraId="0AF97374">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74332B2B">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73154716">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62BFC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87F13D4">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3ADAB083">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409" w:type="dxa"/>
          </w:tcPr>
          <w:p w14:paraId="614FE868">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25D379F2">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23D0230E">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6825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773638CE">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40CA56E7">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409" w:type="dxa"/>
          </w:tcPr>
          <w:p w14:paraId="19E0BC36">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3F8FE302">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42C9231F">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58C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1D260934">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1D73F58A">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409" w:type="dxa"/>
          </w:tcPr>
          <w:p w14:paraId="231636A8">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588" w:type="dxa"/>
          </w:tcPr>
          <w:p w14:paraId="22A18294">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1815" w:type="dxa"/>
          </w:tcPr>
          <w:p w14:paraId="5D242090">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r>
      <w:tr w14:paraId="2C99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tcPr>
          <w:p w14:paraId="03418037">
            <w:pPr>
              <w:pStyle w:val="46"/>
              <w:keepNext w:val="0"/>
              <w:keepLines w:val="0"/>
              <w:suppressLineNumbers w:val="0"/>
              <w:spacing w:before="0" w:beforeAutospacing="0" w:after="0" w:afterAutospacing="0" w:line="500" w:lineRule="exact"/>
              <w:ind w:left="480" w:right="0" w:firstLine="480"/>
              <w:jc w:val="center"/>
              <w:rPr>
                <w:rFonts w:hint="default" w:ascii="宋体" w:hAnsi="宋体"/>
                <w:color w:val="auto"/>
                <w:highlight w:val="none"/>
              </w:rPr>
            </w:pPr>
          </w:p>
        </w:tc>
        <w:tc>
          <w:tcPr>
            <w:tcW w:w="2552" w:type="dxa"/>
          </w:tcPr>
          <w:p w14:paraId="313E1928">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Theme="minorEastAsia" w:hAnsiTheme="minorEastAsia" w:eastAsiaTheme="minorEastAsia" w:cstheme="minorEastAsia"/>
                <w:color w:val="auto"/>
                <w:sz w:val="21"/>
                <w:szCs w:val="21"/>
                <w:highlight w:val="none"/>
              </w:rPr>
              <w:t>……</w:t>
            </w:r>
          </w:p>
        </w:tc>
        <w:tc>
          <w:tcPr>
            <w:tcW w:w="2409" w:type="dxa"/>
          </w:tcPr>
          <w:p w14:paraId="7CF48649">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Theme="minorEastAsia" w:hAnsiTheme="minorEastAsia" w:eastAsiaTheme="minorEastAsia" w:cstheme="minorEastAsia"/>
                <w:color w:val="auto"/>
                <w:sz w:val="21"/>
                <w:szCs w:val="21"/>
                <w:highlight w:val="none"/>
              </w:rPr>
              <w:t>……</w:t>
            </w:r>
          </w:p>
        </w:tc>
        <w:tc>
          <w:tcPr>
            <w:tcW w:w="1588" w:type="dxa"/>
          </w:tcPr>
          <w:p w14:paraId="7832A8A1">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Theme="minorEastAsia" w:hAnsiTheme="minorEastAsia" w:eastAsiaTheme="minorEastAsia" w:cstheme="minorEastAsia"/>
                <w:color w:val="auto"/>
                <w:sz w:val="21"/>
                <w:szCs w:val="21"/>
                <w:highlight w:val="none"/>
              </w:rPr>
              <w:t>……</w:t>
            </w:r>
          </w:p>
        </w:tc>
        <w:tc>
          <w:tcPr>
            <w:tcW w:w="1815" w:type="dxa"/>
          </w:tcPr>
          <w:p w14:paraId="56C7FACE">
            <w:pPr>
              <w:pStyle w:val="46"/>
              <w:keepNext w:val="0"/>
              <w:keepLines w:val="0"/>
              <w:suppressLineNumbers w:val="0"/>
              <w:spacing w:before="0" w:beforeAutospacing="0" w:after="0" w:afterAutospacing="0" w:line="500" w:lineRule="exact"/>
              <w:ind w:left="0" w:right="0"/>
              <w:jc w:val="both"/>
              <w:rPr>
                <w:rFonts w:hint="default" w:ascii="宋体" w:hAnsi="宋体"/>
                <w:color w:val="auto"/>
                <w:highlight w:val="none"/>
              </w:rPr>
            </w:pPr>
            <w:r>
              <w:rPr>
                <w:rFonts w:hint="eastAsia" w:asciiTheme="minorEastAsia" w:hAnsiTheme="minorEastAsia" w:eastAsiaTheme="minorEastAsia" w:cstheme="minorEastAsia"/>
                <w:color w:val="auto"/>
                <w:sz w:val="21"/>
                <w:szCs w:val="21"/>
                <w:highlight w:val="none"/>
              </w:rPr>
              <w:t>……</w:t>
            </w:r>
          </w:p>
        </w:tc>
      </w:tr>
    </w:tbl>
    <w:p w14:paraId="54F94CA7">
      <w:pPr>
        <w:pStyle w:val="46"/>
        <w:spacing w:line="500" w:lineRule="exact"/>
        <w:ind w:left="480" w:firstLine="480"/>
        <w:rPr>
          <w:rFonts w:ascii="宋体" w:hAnsi="宋体"/>
          <w:color w:val="auto"/>
          <w:highlight w:val="none"/>
        </w:rPr>
      </w:pPr>
      <w:r>
        <w:rPr>
          <w:rFonts w:hint="eastAsia" w:ascii="宋体" w:hAnsi="宋体"/>
          <w:color w:val="auto"/>
          <w:highlight w:val="none"/>
        </w:rPr>
        <w:t>注:如供应商提交的商务/技术条款与采购文件的要求存在偏离，需逐项在偏离一栏中详细说明。若无偏离，请在上述表内注明“无偏离”或“/”，不填写视为不响应。</w:t>
      </w:r>
    </w:p>
    <w:p w14:paraId="3F2AE222">
      <w:pPr>
        <w:pStyle w:val="46"/>
        <w:spacing w:line="500" w:lineRule="exact"/>
        <w:ind w:left="480" w:firstLine="480"/>
        <w:rPr>
          <w:rFonts w:ascii="宋体" w:hAnsi="宋体"/>
          <w:color w:val="auto"/>
          <w:highlight w:val="none"/>
        </w:rPr>
      </w:pPr>
    </w:p>
    <w:p w14:paraId="0F407CAF">
      <w:pPr>
        <w:spacing w:line="440" w:lineRule="exact"/>
        <w:rPr>
          <w:rFonts w:ascii="宋体" w:hAnsi="宋体" w:cs="宋体"/>
          <w:bCs/>
          <w:color w:val="auto"/>
          <w:sz w:val="24"/>
          <w:highlight w:val="none"/>
        </w:rPr>
      </w:pPr>
    </w:p>
    <w:p w14:paraId="6896F276">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31EE9220">
      <w:pPr>
        <w:pStyle w:val="58"/>
        <w:tabs>
          <w:tab w:val="left" w:pos="750"/>
        </w:tabs>
        <w:adjustRightInd w:val="0"/>
        <w:snapToGrid w:val="0"/>
        <w:spacing w:line="500" w:lineRule="exact"/>
        <w:rPr>
          <w:rFonts w:ascii="宋体" w:hAnsi="宋体"/>
          <w:color w:val="auto"/>
          <w:sz w:val="24"/>
          <w:szCs w:val="24"/>
          <w:highlight w:val="none"/>
        </w:rPr>
      </w:pPr>
    </w:p>
    <w:p w14:paraId="5E5BBE04">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03421FC0">
      <w:pPr>
        <w:pStyle w:val="58"/>
        <w:tabs>
          <w:tab w:val="left" w:pos="750"/>
        </w:tabs>
        <w:adjustRightInd w:val="0"/>
        <w:snapToGrid w:val="0"/>
        <w:spacing w:line="500" w:lineRule="exact"/>
        <w:rPr>
          <w:rFonts w:ascii="宋体" w:hAnsi="宋体"/>
          <w:color w:val="auto"/>
          <w:sz w:val="24"/>
          <w:szCs w:val="24"/>
          <w:highlight w:val="none"/>
        </w:rPr>
      </w:pPr>
    </w:p>
    <w:p w14:paraId="5DD8925A">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12EA5B6F">
      <w:pPr>
        <w:spacing w:line="440" w:lineRule="exact"/>
        <w:rPr>
          <w:rFonts w:ascii="宋体" w:hAnsi="宋体" w:cs="宋体"/>
          <w:b/>
          <w:bCs/>
          <w:color w:val="auto"/>
          <w:sz w:val="24"/>
          <w:highlight w:val="none"/>
        </w:rPr>
      </w:pPr>
    </w:p>
    <w:p w14:paraId="0EC94686">
      <w:pPr>
        <w:pStyle w:val="6"/>
        <w:spacing w:before="0" w:after="0" w:line="360" w:lineRule="auto"/>
        <w:jc w:val="center"/>
        <w:rPr>
          <w:color w:val="auto"/>
          <w:highlight w:val="none"/>
        </w:rPr>
      </w:pPr>
      <w:r>
        <w:rPr>
          <w:rFonts w:hint="eastAsia" w:ascii="宋体" w:hAnsi="宋体" w:cs="宋体"/>
          <w:color w:val="auto"/>
          <w:sz w:val="30"/>
          <w:szCs w:val="30"/>
          <w:highlight w:val="none"/>
        </w:rPr>
        <w:br w:type="page"/>
      </w:r>
      <w:bookmarkStart w:id="107" w:name="_Toc16320"/>
      <w:bookmarkStart w:id="108" w:name="_Toc30141_WPSOffice_Level1"/>
      <w:bookmarkStart w:id="109" w:name="_Toc5907_WPSOffice_Level1"/>
      <w:r>
        <w:rPr>
          <w:rFonts w:hint="eastAsia" w:ascii="宋体" w:hAnsi="宋体" w:cs="宋体"/>
          <w:color w:val="auto"/>
          <w:sz w:val="32"/>
          <w:szCs w:val="32"/>
          <w:highlight w:val="none"/>
        </w:rPr>
        <w:t>10、供应商近三年（2023年1月至今）类似项目业绩表</w:t>
      </w:r>
      <w:bookmarkEnd w:id="102"/>
      <w:bookmarkEnd w:id="103"/>
      <w:bookmarkEnd w:id="104"/>
      <w:bookmarkEnd w:id="107"/>
      <w:bookmarkEnd w:id="108"/>
      <w:bookmarkEnd w:id="109"/>
    </w:p>
    <w:tbl>
      <w:tblPr>
        <w:tblStyle w:val="3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25"/>
        <w:gridCol w:w="1692"/>
        <w:gridCol w:w="1658"/>
        <w:gridCol w:w="1273"/>
        <w:gridCol w:w="1596"/>
        <w:gridCol w:w="1070"/>
      </w:tblGrid>
      <w:tr w14:paraId="0F55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0" w:type="dxa"/>
            <w:vAlign w:val="center"/>
          </w:tcPr>
          <w:p w14:paraId="392DC684">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序号</w:t>
            </w:r>
          </w:p>
        </w:tc>
        <w:tc>
          <w:tcPr>
            <w:tcW w:w="1425" w:type="dxa"/>
            <w:vAlign w:val="center"/>
          </w:tcPr>
          <w:p w14:paraId="34BF4A4F">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合同名称</w:t>
            </w:r>
          </w:p>
        </w:tc>
        <w:tc>
          <w:tcPr>
            <w:tcW w:w="1692" w:type="dxa"/>
            <w:vAlign w:val="center"/>
          </w:tcPr>
          <w:p w14:paraId="40F90CE5">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合同金额（元）</w:t>
            </w:r>
          </w:p>
        </w:tc>
        <w:tc>
          <w:tcPr>
            <w:tcW w:w="1658" w:type="dxa"/>
            <w:vAlign w:val="center"/>
          </w:tcPr>
          <w:p w14:paraId="5F3D1E20">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合同签订时间</w:t>
            </w:r>
          </w:p>
        </w:tc>
        <w:tc>
          <w:tcPr>
            <w:tcW w:w="1273" w:type="dxa"/>
            <w:vAlign w:val="center"/>
          </w:tcPr>
          <w:p w14:paraId="619675EC">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甲方名称</w:t>
            </w:r>
          </w:p>
        </w:tc>
        <w:tc>
          <w:tcPr>
            <w:tcW w:w="1596" w:type="dxa"/>
            <w:vAlign w:val="center"/>
          </w:tcPr>
          <w:p w14:paraId="2F8D0C17">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甲方负责人</w:t>
            </w:r>
          </w:p>
        </w:tc>
        <w:tc>
          <w:tcPr>
            <w:tcW w:w="1070" w:type="dxa"/>
            <w:vAlign w:val="center"/>
          </w:tcPr>
          <w:p w14:paraId="72325554">
            <w:pPr>
              <w:pStyle w:val="28"/>
              <w:keepNext w:val="0"/>
              <w:keepLines w:val="0"/>
              <w:suppressLineNumbers w:val="0"/>
              <w:spacing w:before="0" w:beforeAutospacing="0" w:afterAutospacing="0"/>
              <w:ind w:left="0" w:leftChars="0" w:right="0" w:firstLine="0" w:firstLineChars="0"/>
              <w:jc w:val="center"/>
              <w:rPr>
                <w:rFonts w:hint="default"/>
                <w:color w:val="auto"/>
                <w:szCs w:val="16"/>
                <w:highlight w:val="none"/>
              </w:rPr>
            </w:pPr>
            <w:r>
              <w:rPr>
                <w:rFonts w:hint="eastAsia"/>
                <w:color w:val="auto"/>
                <w:szCs w:val="16"/>
                <w:highlight w:val="none"/>
              </w:rPr>
              <w:t>证明材料页码</w:t>
            </w:r>
          </w:p>
        </w:tc>
      </w:tr>
      <w:tr w14:paraId="7853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48141DFD">
            <w:pPr>
              <w:pStyle w:val="28"/>
              <w:keepNext w:val="0"/>
              <w:keepLines w:val="0"/>
              <w:suppressLineNumbers w:val="0"/>
              <w:spacing w:before="0" w:beforeAutospacing="0" w:afterAutospacing="0"/>
              <w:ind w:left="0" w:leftChars="0" w:right="0" w:firstLine="0" w:firstLineChars="0"/>
              <w:rPr>
                <w:rFonts w:hint="default"/>
                <w:color w:val="auto"/>
                <w:highlight w:val="none"/>
              </w:rPr>
            </w:pPr>
          </w:p>
        </w:tc>
        <w:tc>
          <w:tcPr>
            <w:tcW w:w="1425" w:type="dxa"/>
            <w:vAlign w:val="center"/>
          </w:tcPr>
          <w:p w14:paraId="54A79C80">
            <w:pPr>
              <w:pStyle w:val="28"/>
              <w:keepNext w:val="0"/>
              <w:keepLines w:val="0"/>
              <w:suppressLineNumbers w:val="0"/>
              <w:spacing w:before="0" w:beforeAutospacing="0" w:afterAutospacing="0"/>
              <w:ind w:right="0"/>
              <w:jc w:val="center"/>
              <w:rPr>
                <w:rFonts w:hint="default"/>
                <w:color w:val="auto"/>
                <w:highlight w:val="none"/>
              </w:rPr>
            </w:pPr>
          </w:p>
        </w:tc>
        <w:tc>
          <w:tcPr>
            <w:tcW w:w="1692" w:type="dxa"/>
            <w:vAlign w:val="center"/>
          </w:tcPr>
          <w:p w14:paraId="40477204">
            <w:pPr>
              <w:pStyle w:val="28"/>
              <w:keepNext w:val="0"/>
              <w:keepLines w:val="0"/>
              <w:suppressLineNumbers w:val="0"/>
              <w:spacing w:before="0" w:beforeAutospacing="0" w:afterAutospacing="0"/>
              <w:ind w:right="0"/>
              <w:jc w:val="center"/>
              <w:rPr>
                <w:rFonts w:hint="default"/>
                <w:color w:val="auto"/>
                <w:highlight w:val="none"/>
              </w:rPr>
            </w:pPr>
          </w:p>
        </w:tc>
        <w:tc>
          <w:tcPr>
            <w:tcW w:w="1658" w:type="dxa"/>
            <w:vAlign w:val="center"/>
          </w:tcPr>
          <w:p w14:paraId="7093E547">
            <w:pPr>
              <w:pStyle w:val="28"/>
              <w:keepNext w:val="0"/>
              <w:keepLines w:val="0"/>
              <w:suppressLineNumbers w:val="0"/>
              <w:spacing w:before="0" w:beforeAutospacing="0" w:afterAutospacing="0"/>
              <w:ind w:right="0"/>
              <w:jc w:val="center"/>
              <w:rPr>
                <w:rFonts w:hint="default"/>
                <w:color w:val="auto"/>
                <w:highlight w:val="none"/>
              </w:rPr>
            </w:pPr>
          </w:p>
        </w:tc>
        <w:tc>
          <w:tcPr>
            <w:tcW w:w="1273" w:type="dxa"/>
            <w:vAlign w:val="center"/>
          </w:tcPr>
          <w:p w14:paraId="2097EC93">
            <w:pPr>
              <w:pStyle w:val="28"/>
              <w:keepNext w:val="0"/>
              <w:keepLines w:val="0"/>
              <w:suppressLineNumbers w:val="0"/>
              <w:spacing w:before="0" w:beforeAutospacing="0" w:afterAutospacing="0"/>
              <w:ind w:right="0"/>
              <w:jc w:val="center"/>
              <w:rPr>
                <w:rFonts w:hint="default"/>
                <w:color w:val="auto"/>
                <w:highlight w:val="none"/>
              </w:rPr>
            </w:pPr>
          </w:p>
        </w:tc>
        <w:tc>
          <w:tcPr>
            <w:tcW w:w="1596" w:type="dxa"/>
            <w:vAlign w:val="center"/>
          </w:tcPr>
          <w:p w14:paraId="5614A02A">
            <w:pPr>
              <w:pStyle w:val="28"/>
              <w:keepNext w:val="0"/>
              <w:keepLines w:val="0"/>
              <w:suppressLineNumbers w:val="0"/>
              <w:spacing w:before="0" w:beforeAutospacing="0" w:afterAutospacing="0"/>
              <w:ind w:right="0"/>
              <w:jc w:val="center"/>
              <w:rPr>
                <w:rFonts w:hint="default"/>
                <w:color w:val="auto"/>
                <w:highlight w:val="none"/>
              </w:rPr>
            </w:pPr>
          </w:p>
        </w:tc>
        <w:tc>
          <w:tcPr>
            <w:tcW w:w="1070" w:type="dxa"/>
            <w:vAlign w:val="center"/>
          </w:tcPr>
          <w:p w14:paraId="47A6D977">
            <w:pPr>
              <w:pStyle w:val="28"/>
              <w:keepNext w:val="0"/>
              <w:keepLines w:val="0"/>
              <w:suppressLineNumbers w:val="0"/>
              <w:spacing w:before="0" w:beforeAutospacing="0" w:afterAutospacing="0"/>
              <w:ind w:right="0"/>
              <w:jc w:val="center"/>
              <w:rPr>
                <w:rFonts w:hint="default"/>
                <w:color w:val="auto"/>
                <w:highlight w:val="none"/>
              </w:rPr>
            </w:pPr>
          </w:p>
        </w:tc>
      </w:tr>
      <w:tr w14:paraId="231E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4BCE7905">
            <w:pPr>
              <w:pStyle w:val="28"/>
              <w:keepNext w:val="0"/>
              <w:keepLines w:val="0"/>
              <w:suppressLineNumbers w:val="0"/>
              <w:spacing w:before="0" w:beforeAutospacing="0" w:afterAutospacing="0"/>
              <w:ind w:left="0" w:leftChars="0" w:right="0" w:firstLine="0" w:firstLineChars="0"/>
              <w:rPr>
                <w:rFonts w:hint="default"/>
                <w:color w:val="auto"/>
                <w:highlight w:val="none"/>
              </w:rPr>
            </w:pPr>
          </w:p>
        </w:tc>
        <w:tc>
          <w:tcPr>
            <w:tcW w:w="1425" w:type="dxa"/>
            <w:vAlign w:val="center"/>
          </w:tcPr>
          <w:p w14:paraId="4B2239DF">
            <w:pPr>
              <w:pStyle w:val="28"/>
              <w:keepNext w:val="0"/>
              <w:keepLines w:val="0"/>
              <w:suppressLineNumbers w:val="0"/>
              <w:spacing w:before="0" w:beforeAutospacing="0" w:afterAutospacing="0"/>
              <w:ind w:right="0"/>
              <w:jc w:val="center"/>
              <w:rPr>
                <w:rFonts w:hint="default"/>
                <w:color w:val="auto"/>
                <w:highlight w:val="none"/>
              </w:rPr>
            </w:pPr>
          </w:p>
        </w:tc>
        <w:tc>
          <w:tcPr>
            <w:tcW w:w="1692" w:type="dxa"/>
            <w:vAlign w:val="center"/>
          </w:tcPr>
          <w:p w14:paraId="6C876768">
            <w:pPr>
              <w:pStyle w:val="28"/>
              <w:keepNext w:val="0"/>
              <w:keepLines w:val="0"/>
              <w:suppressLineNumbers w:val="0"/>
              <w:spacing w:before="0" w:beforeAutospacing="0" w:afterAutospacing="0"/>
              <w:ind w:right="0"/>
              <w:jc w:val="center"/>
              <w:rPr>
                <w:rFonts w:hint="default"/>
                <w:color w:val="auto"/>
                <w:highlight w:val="none"/>
              </w:rPr>
            </w:pPr>
          </w:p>
        </w:tc>
        <w:tc>
          <w:tcPr>
            <w:tcW w:w="1658" w:type="dxa"/>
            <w:vAlign w:val="center"/>
          </w:tcPr>
          <w:p w14:paraId="097B23C4">
            <w:pPr>
              <w:pStyle w:val="28"/>
              <w:keepNext w:val="0"/>
              <w:keepLines w:val="0"/>
              <w:suppressLineNumbers w:val="0"/>
              <w:spacing w:before="0" w:beforeAutospacing="0" w:afterAutospacing="0"/>
              <w:ind w:right="0"/>
              <w:jc w:val="center"/>
              <w:rPr>
                <w:rFonts w:hint="default"/>
                <w:color w:val="auto"/>
                <w:highlight w:val="none"/>
              </w:rPr>
            </w:pPr>
          </w:p>
        </w:tc>
        <w:tc>
          <w:tcPr>
            <w:tcW w:w="1273" w:type="dxa"/>
            <w:vAlign w:val="center"/>
          </w:tcPr>
          <w:p w14:paraId="3EC9301B">
            <w:pPr>
              <w:pStyle w:val="28"/>
              <w:keepNext w:val="0"/>
              <w:keepLines w:val="0"/>
              <w:suppressLineNumbers w:val="0"/>
              <w:spacing w:before="0" w:beforeAutospacing="0" w:afterAutospacing="0"/>
              <w:ind w:right="0"/>
              <w:jc w:val="center"/>
              <w:rPr>
                <w:rFonts w:hint="default"/>
                <w:color w:val="auto"/>
                <w:highlight w:val="none"/>
              </w:rPr>
            </w:pPr>
          </w:p>
        </w:tc>
        <w:tc>
          <w:tcPr>
            <w:tcW w:w="1596" w:type="dxa"/>
            <w:vAlign w:val="center"/>
          </w:tcPr>
          <w:p w14:paraId="7CB469D8">
            <w:pPr>
              <w:pStyle w:val="28"/>
              <w:keepNext w:val="0"/>
              <w:keepLines w:val="0"/>
              <w:suppressLineNumbers w:val="0"/>
              <w:spacing w:before="0" w:beforeAutospacing="0" w:afterAutospacing="0"/>
              <w:ind w:right="0"/>
              <w:jc w:val="center"/>
              <w:rPr>
                <w:rFonts w:hint="default"/>
                <w:color w:val="auto"/>
                <w:highlight w:val="none"/>
              </w:rPr>
            </w:pPr>
          </w:p>
        </w:tc>
        <w:tc>
          <w:tcPr>
            <w:tcW w:w="1070" w:type="dxa"/>
            <w:vAlign w:val="center"/>
          </w:tcPr>
          <w:p w14:paraId="0E930555">
            <w:pPr>
              <w:pStyle w:val="28"/>
              <w:keepNext w:val="0"/>
              <w:keepLines w:val="0"/>
              <w:suppressLineNumbers w:val="0"/>
              <w:spacing w:before="0" w:beforeAutospacing="0" w:afterAutospacing="0"/>
              <w:ind w:right="0"/>
              <w:jc w:val="center"/>
              <w:rPr>
                <w:rFonts w:hint="default"/>
                <w:color w:val="auto"/>
                <w:highlight w:val="none"/>
              </w:rPr>
            </w:pPr>
          </w:p>
        </w:tc>
      </w:tr>
      <w:tr w14:paraId="6C1D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4874D0C4">
            <w:pPr>
              <w:pStyle w:val="28"/>
              <w:keepNext w:val="0"/>
              <w:keepLines w:val="0"/>
              <w:suppressLineNumbers w:val="0"/>
              <w:spacing w:before="0" w:beforeAutospacing="0" w:afterAutospacing="0"/>
              <w:ind w:right="0"/>
              <w:jc w:val="center"/>
              <w:rPr>
                <w:rFonts w:hint="default"/>
                <w:color w:val="auto"/>
                <w:highlight w:val="none"/>
              </w:rPr>
            </w:pPr>
          </w:p>
        </w:tc>
        <w:tc>
          <w:tcPr>
            <w:tcW w:w="1425" w:type="dxa"/>
            <w:vAlign w:val="center"/>
          </w:tcPr>
          <w:p w14:paraId="17D3E19F">
            <w:pPr>
              <w:pStyle w:val="28"/>
              <w:keepNext w:val="0"/>
              <w:keepLines w:val="0"/>
              <w:suppressLineNumbers w:val="0"/>
              <w:spacing w:before="0" w:beforeAutospacing="0" w:afterAutospacing="0"/>
              <w:ind w:right="0"/>
              <w:jc w:val="center"/>
              <w:rPr>
                <w:rFonts w:hint="default"/>
                <w:color w:val="auto"/>
                <w:highlight w:val="none"/>
              </w:rPr>
            </w:pPr>
          </w:p>
        </w:tc>
        <w:tc>
          <w:tcPr>
            <w:tcW w:w="1692" w:type="dxa"/>
            <w:vAlign w:val="center"/>
          </w:tcPr>
          <w:p w14:paraId="66C9AFD7">
            <w:pPr>
              <w:pStyle w:val="28"/>
              <w:keepNext w:val="0"/>
              <w:keepLines w:val="0"/>
              <w:suppressLineNumbers w:val="0"/>
              <w:spacing w:before="0" w:beforeAutospacing="0" w:afterAutospacing="0"/>
              <w:ind w:right="0"/>
              <w:jc w:val="center"/>
              <w:rPr>
                <w:rFonts w:hint="default"/>
                <w:color w:val="auto"/>
                <w:highlight w:val="none"/>
              </w:rPr>
            </w:pPr>
          </w:p>
        </w:tc>
        <w:tc>
          <w:tcPr>
            <w:tcW w:w="1658" w:type="dxa"/>
            <w:vAlign w:val="center"/>
          </w:tcPr>
          <w:p w14:paraId="76D8EFA0">
            <w:pPr>
              <w:pStyle w:val="28"/>
              <w:keepNext w:val="0"/>
              <w:keepLines w:val="0"/>
              <w:suppressLineNumbers w:val="0"/>
              <w:spacing w:before="0" w:beforeAutospacing="0" w:afterAutospacing="0"/>
              <w:ind w:right="0"/>
              <w:jc w:val="center"/>
              <w:rPr>
                <w:rFonts w:hint="default"/>
                <w:color w:val="auto"/>
                <w:highlight w:val="none"/>
              </w:rPr>
            </w:pPr>
          </w:p>
        </w:tc>
        <w:tc>
          <w:tcPr>
            <w:tcW w:w="1273" w:type="dxa"/>
            <w:vAlign w:val="center"/>
          </w:tcPr>
          <w:p w14:paraId="18653883">
            <w:pPr>
              <w:pStyle w:val="28"/>
              <w:keepNext w:val="0"/>
              <w:keepLines w:val="0"/>
              <w:suppressLineNumbers w:val="0"/>
              <w:spacing w:before="0" w:beforeAutospacing="0" w:afterAutospacing="0"/>
              <w:ind w:right="0"/>
              <w:jc w:val="center"/>
              <w:rPr>
                <w:rFonts w:hint="default"/>
                <w:color w:val="auto"/>
                <w:highlight w:val="none"/>
              </w:rPr>
            </w:pPr>
          </w:p>
        </w:tc>
        <w:tc>
          <w:tcPr>
            <w:tcW w:w="1596" w:type="dxa"/>
            <w:vAlign w:val="center"/>
          </w:tcPr>
          <w:p w14:paraId="00422BA9">
            <w:pPr>
              <w:pStyle w:val="28"/>
              <w:keepNext w:val="0"/>
              <w:keepLines w:val="0"/>
              <w:suppressLineNumbers w:val="0"/>
              <w:spacing w:before="0" w:beforeAutospacing="0" w:afterAutospacing="0"/>
              <w:ind w:right="0"/>
              <w:jc w:val="center"/>
              <w:rPr>
                <w:rFonts w:hint="default"/>
                <w:color w:val="auto"/>
                <w:highlight w:val="none"/>
              </w:rPr>
            </w:pPr>
          </w:p>
        </w:tc>
        <w:tc>
          <w:tcPr>
            <w:tcW w:w="1070" w:type="dxa"/>
            <w:vAlign w:val="center"/>
          </w:tcPr>
          <w:p w14:paraId="09310389">
            <w:pPr>
              <w:pStyle w:val="28"/>
              <w:keepNext w:val="0"/>
              <w:keepLines w:val="0"/>
              <w:suppressLineNumbers w:val="0"/>
              <w:spacing w:before="0" w:beforeAutospacing="0" w:afterAutospacing="0"/>
              <w:ind w:right="0"/>
              <w:rPr>
                <w:rFonts w:hint="default"/>
                <w:color w:val="auto"/>
                <w:highlight w:val="none"/>
              </w:rPr>
            </w:pPr>
          </w:p>
        </w:tc>
      </w:tr>
      <w:tr w14:paraId="47FF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69F0932A">
            <w:pPr>
              <w:pStyle w:val="28"/>
              <w:keepNext w:val="0"/>
              <w:keepLines w:val="0"/>
              <w:suppressLineNumbers w:val="0"/>
              <w:spacing w:before="0" w:beforeAutospacing="0" w:afterAutospacing="0"/>
              <w:ind w:right="0"/>
              <w:jc w:val="center"/>
              <w:rPr>
                <w:rFonts w:hint="default"/>
                <w:color w:val="auto"/>
                <w:highlight w:val="none"/>
              </w:rPr>
            </w:pPr>
          </w:p>
        </w:tc>
        <w:tc>
          <w:tcPr>
            <w:tcW w:w="1425" w:type="dxa"/>
            <w:vAlign w:val="center"/>
          </w:tcPr>
          <w:p w14:paraId="27396853">
            <w:pPr>
              <w:pStyle w:val="28"/>
              <w:keepNext w:val="0"/>
              <w:keepLines w:val="0"/>
              <w:suppressLineNumbers w:val="0"/>
              <w:spacing w:before="0" w:beforeAutospacing="0" w:afterAutospacing="0"/>
              <w:ind w:right="0"/>
              <w:jc w:val="center"/>
              <w:rPr>
                <w:rFonts w:hint="default"/>
                <w:color w:val="auto"/>
                <w:highlight w:val="none"/>
              </w:rPr>
            </w:pPr>
          </w:p>
        </w:tc>
        <w:tc>
          <w:tcPr>
            <w:tcW w:w="1692" w:type="dxa"/>
            <w:vAlign w:val="center"/>
          </w:tcPr>
          <w:p w14:paraId="456C5785">
            <w:pPr>
              <w:pStyle w:val="28"/>
              <w:keepNext w:val="0"/>
              <w:keepLines w:val="0"/>
              <w:suppressLineNumbers w:val="0"/>
              <w:spacing w:before="0" w:beforeAutospacing="0" w:afterAutospacing="0"/>
              <w:ind w:right="0"/>
              <w:jc w:val="center"/>
              <w:rPr>
                <w:rFonts w:hint="default"/>
                <w:color w:val="auto"/>
                <w:highlight w:val="none"/>
              </w:rPr>
            </w:pPr>
          </w:p>
        </w:tc>
        <w:tc>
          <w:tcPr>
            <w:tcW w:w="1658" w:type="dxa"/>
            <w:vAlign w:val="center"/>
          </w:tcPr>
          <w:p w14:paraId="5D0DAD6D">
            <w:pPr>
              <w:pStyle w:val="28"/>
              <w:keepNext w:val="0"/>
              <w:keepLines w:val="0"/>
              <w:suppressLineNumbers w:val="0"/>
              <w:spacing w:before="0" w:beforeAutospacing="0" w:afterAutospacing="0"/>
              <w:ind w:right="0"/>
              <w:jc w:val="center"/>
              <w:rPr>
                <w:rFonts w:hint="default"/>
                <w:color w:val="auto"/>
                <w:highlight w:val="none"/>
              </w:rPr>
            </w:pPr>
          </w:p>
        </w:tc>
        <w:tc>
          <w:tcPr>
            <w:tcW w:w="1273" w:type="dxa"/>
            <w:vAlign w:val="center"/>
          </w:tcPr>
          <w:p w14:paraId="1F5BBCD8">
            <w:pPr>
              <w:pStyle w:val="28"/>
              <w:keepNext w:val="0"/>
              <w:keepLines w:val="0"/>
              <w:suppressLineNumbers w:val="0"/>
              <w:spacing w:before="0" w:beforeAutospacing="0" w:afterAutospacing="0"/>
              <w:ind w:right="0"/>
              <w:jc w:val="center"/>
              <w:rPr>
                <w:rFonts w:hint="default"/>
                <w:color w:val="auto"/>
                <w:highlight w:val="none"/>
              </w:rPr>
            </w:pPr>
          </w:p>
        </w:tc>
        <w:tc>
          <w:tcPr>
            <w:tcW w:w="1596" w:type="dxa"/>
            <w:vAlign w:val="center"/>
          </w:tcPr>
          <w:p w14:paraId="77E085EC">
            <w:pPr>
              <w:pStyle w:val="28"/>
              <w:keepNext w:val="0"/>
              <w:keepLines w:val="0"/>
              <w:suppressLineNumbers w:val="0"/>
              <w:spacing w:before="0" w:beforeAutospacing="0" w:afterAutospacing="0"/>
              <w:ind w:right="0"/>
              <w:jc w:val="center"/>
              <w:rPr>
                <w:rFonts w:hint="default"/>
                <w:color w:val="auto"/>
                <w:highlight w:val="none"/>
              </w:rPr>
            </w:pPr>
          </w:p>
        </w:tc>
        <w:tc>
          <w:tcPr>
            <w:tcW w:w="1070" w:type="dxa"/>
            <w:vAlign w:val="center"/>
          </w:tcPr>
          <w:p w14:paraId="37B6A73A">
            <w:pPr>
              <w:pStyle w:val="28"/>
              <w:keepNext w:val="0"/>
              <w:keepLines w:val="0"/>
              <w:suppressLineNumbers w:val="0"/>
              <w:spacing w:before="0" w:beforeAutospacing="0" w:afterAutospacing="0"/>
              <w:ind w:right="0"/>
              <w:rPr>
                <w:rFonts w:hint="default"/>
                <w:color w:val="auto"/>
                <w:highlight w:val="none"/>
              </w:rPr>
            </w:pPr>
          </w:p>
        </w:tc>
      </w:tr>
      <w:tr w14:paraId="584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6B0AD7F7">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c>
          <w:tcPr>
            <w:tcW w:w="1425" w:type="dxa"/>
            <w:vAlign w:val="center"/>
          </w:tcPr>
          <w:p w14:paraId="15E12110">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c>
          <w:tcPr>
            <w:tcW w:w="1692" w:type="dxa"/>
            <w:vAlign w:val="center"/>
          </w:tcPr>
          <w:p w14:paraId="7FE53C79">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c>
          <w:tcPr>
            <w:tcW w:w="1658" w:type="dxa"/>
            <w:vAlign w:val="center"/>
          </w:tcPr>
          <w:p w14:paraId="240EE6C2">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c>
          <w:tcPr>
            <w:tcW w:w="1273" w:type="dxa"/>
            <w:vAlign w:val="center"/>
          </w:tcPr>
          <w:p w14:paraId="2A1E4E39">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c>
          <w:tcPr>
            <w:tcW w:w="1596" w:type="dxa"/>
            <w:vAlign w:val="center"/>
          </w:tcPr>
          <w:p w14:paraId="54A234B0">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c>
          <w:tcPr>
            <w:tcW w:w="1070" w:type="dxa"/>
            <w:vAlign w:val="center"/>
          </w:tcPr>
          <w:p w14:paraId="24581DEA">
            <w:pPr>
              <w:pStyle w:val="28"/>
              <w:keepNext w:val="0"/>
              <w:keepLines w:val="0"/>
              <w:suppressLineNumbers w:val="0"/>
              <w:spacing w:before="0" w:beforeAutospacing="0" w:afterAutospacing="0"/>
              <w:ind w:right="0" w:firstLine="0" w:firstLineChars="0"/>
              <w:rPr>
                <w:rFonts w:hint="default"/>
                <w:color w:val="auto"/>
                <w:highlight w:val="none"/>
              </w:rPr>
            </w:pPr>
            <w:r>
              <w:rPr>
                <w:rFonts w:hint="eastAsia"/>
                <w:color w:val="auto"/>
                <w:highlight w:val="none"/>
              </w:rPr>
              <w:t>……</w:t>
            </w:r>
          </w:p>
        </w:tc>
      </w:tr>
    </w:tbl>
    <w:p w14:paraId="4CD734E5">
      <w:pPr>
        <w:spacing w:line="360" w:lineRule="auto"/>
        <w:ind w:firstLine="480"/>
        <w:rPr>
          <w:rFonts w:ascii="宋体" w:hAnsi="宋体" w:cs="宋体"/>
          <w:color w:val="auto"/>
          <w:sz w:val="24"/>
          <w:highlight w:val="none"/>
        </w:rPr>
      </w:pPr>
    </w:p>
    <w:p w14:paraId="0CC3E06A">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注：供应商近3年（2023年1月1日至今）的业绩情况</w:t>
      </w:r>
    </w:p>
    <w:p w14:paraId="031423C2">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须提供合同及发票复印件（合同内容必须体现：金额页、内容页、盖章页、日期页等；每个合同提供2张发票即可，每张发票扫描件须完整清晰且具有电子二维码，发票应体现具体内容，如发票未体现具体内容，必须附服务清单），任意一项合同及发票内容提供不全或上述材料不清晰不完整无法辨识的本项不得分。</w:t>
      </w:r>
    </w:p>
    <w:p w14:paraId="1DD1E4E8">
      <w:pPr>
        <w:spacing w:line="48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（2）日期以合同签订日期为准，提供业绩证明材料为已完成或者合同正在履约中均可。</w:t>
      </w:r>
    </w:p>
    <w:p w14:paraId="232542C5">
      <w:pPr>
        <w:spacing w:line="480" w:lineRule="auto"/>
        <w:ind w:firstLine="480" w:firstLineChars="200"/>
        <w:rPr>
          <w:rFonts w:ascii="宋体" w:hAnsi="宋体" w:cs="宋体"/>
          <w:color w:val="auto"/>
          <w:sz w:val="24"/>
          <w:highlight w:val="none"/>
        </w:rPr>
      </w:pPr>
    </w:p>
    <w:p w14:paraId="6238EABE">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供应商名称（电子签章）：</w:t>
      </w:r>
    </w:p>
    <w:p w14:paraId="0FDBFB31">
      <w:pPr>
        <w:pStyle w:val="58"/>
        <w:tabs>
          <w:tab w:val="left" w:pos="750"/>
        </w:tabs>
        <w:adjustRightInd w:val="0"/>
        <w:snapToGrid w:val="0"/>
        <w:spacing w:line="500" w:lineRule="exact"/>
        <w:rPr>
          <w:rFonts w:ascii="宋体" w:hAnsi="宋体"/>
          <w:color w:val="auto"/>
          <w:sz w:val="24"/>
          <w:szCs w:val="24"/>
          <w:highlight w:val="none"/>
        </w:rPr>
      </w:pPr>
    </w:p>
    <w:p w14:paraId="6B2624FC">
      <w:pPr>
        <w:pStyle w:val="58"/>
        <w:tabs>
          <w:tab w:val="left" w:pos="750"/>
        </w:tabs>
        <w:adjustRightInd w:val="0"/>
        <w:snapToGrid w:val="0"/>
        <w:spacing w:line="500" w:lineRule="exact"/>
        <w:ind w:firstLine="720" w:firstLineChars="300"/>
        <w:rPr>
          <w:rFonts w:ascii="宋体" w:hAnsi="宋体"/>
          <w:color w:val="auto"/>
          <w:sz w:val="24"/>
          <w:szCs w:val="24"/>
          <w:highlight w:val="none"/>
        </w:rPr>
      </w:pPr>
      <w:r>
        <w:rPr>
          <w:rFonts w:hint="eastAsia" w:ascii="宋体" w:hAnsi="宋体"/>
          <w:color w:val="auto"/>
          <w:sz w:val="24"/>
          <w:szCs w:val="24"/>
          <w:highlight w:val="none"/>
        </w:rPr>
        <w:t>法定代表人（单位负责人）（签字或电子签章）：</w:t>
      </w:r>
    </w:p>
    <w:p w14:paraId="6F2C5780">
      <w:pPr>
        <w:pStyle w:val="58"/>
        <w:tabs>
          <w:tab w:val="left" w:pos="750"/>
        </w:tabs>
        <w:adjustRightInd w:val="0"/>
        <w:snapToGrid w:val="0"/>
        <w:spacing w:line="500" w:lineRule="exact"/>
        <w:rPr>
          <w:rFonts w:ascii="宋体" w:hAnsi="宋体"/>
          <w:color w:val="auto"/>
          <w:sz w:val="24"/>
          <w:szCs w:val="24"/>
          <w:highlight w:val="none"/>
        </w:rPr>
      </w:pPr>
    </w:p>
    <w:p w14:paraId="18CD5196">
      <w:pPr>
        <w:pStyle w:val="58"/>
        <w:tabs>
          <w:tab w:val="left" w:pos="750"/>
        </w:tabs>
        <w:adjustRightInd w:val="0"/>
        <w:snapToGrid w:val="0"/>
        <w:spacing w:line="500" w:lineRule="exact"/>
        <w:ind w:firstLine="720" w:firstLineChars="300"/>
        <w:rPr>
          <w:color w:val="auto"/>
          <w:highlight w:val="none"/>
        </w:rPr>
      </w:pPr>
      <w:r>
        <w:rPr>
          <w:rFonts w:hint="eastAsia" w:ascii="宋体" w:hAnsi="宋体"/>
          <w:color w:val="auto"/>
          <w:sz w:val="24"/>
          <w:szCs w:val="24"/>
          <w:highlight w:val="none"/>
        </w:rPr>
        <w:t>日期：年月日</w:t>
      </w:r>
    </w:p>
    <w:p w14:paraId="27EE6C06">
      <w:pPr>
        <w:spacing w:line="440" w:lineRule="exact"/>
        <w:rPr>
          <w:rFonts w:ascii="宋体" w:hAnsi="宋体" w:cs="宋体"/>
          <w:b/>
          <w:bCs/>
          <w:color w:val="auto"/>
          <w:sz w:val="24"/>
          <w:highlight w:val="none"/>
        </w:rPr>
      </w:pPr>
    </w:p>
    <w:p w14:paraId="74F8D6BE">
      <w:pPr>
        <w:pStyle w:val="6"/>
        <w:spacing w:before="0" w:after="0" w:line="360" w:lineRule="auto"/>
        <w:jc w:val="center"/>
        <w:rPr>
          <w:rFonts w:ascii="宋体" w:hAnsi="宋体" w:cs="宋体"/>
          <w:color w:val="auto"/>
          <w:sz w:val="30"/>
          <w:szCs w:val="30"/>
          <w:highlight w:val="none"/>
        </w:rPr>
      </w:pPr>
      <w:bookmarkStart w:id="110" w:name="_Toc25234"/>
      <w:bookmarkStart w:id="111" w:name="_Toc16587"/>
      <w:r>
        <w:rPr>
          <w:rFonts w:hint="eastAsia" w:ascii="宋体" w:hAnsi="宋体" w:cs="宋体"/>
          <w:color w:val="auto"/>
          <w:sz w:val="30"/>
          <w:szCs w:val="30"/>
          <w:highlight w:val="none"/>
        </w:rPr>
        <w:br w:type="page"/>
      </w:r>
      <w:bookmarkEnd w:id="110"/>
      <w:bookmarkEnd w:id="111"/>
      <w:bookmarkStart w:id="112" w:name="_Toc29004_WPSOffice_Level1"/>
      <w:bookmarkStart w:id="113" w:name="_Toc41_WPSOffice_Level1"/>
      <w:bookmarkStart w:id="114" w:name="_Toc12611_WPSOffice_Level1"/>
      <w:bookmarkStart w:id="115" w:name="_Toc29460"/>
      <w:bookmarkStart w:id="116" w:name="_Toc5541"/>
      <w:r>
        <w:rPr>
          <w:rFonts w:hint="eastAsia" w:ascii="宋体" w:hAnsi="宋体" w:cs="宋体"/>
          <w:color w:val="auto"/>
          <w:sz w:val="32"/>
          <w:szCs w:val="32"/>
          <w:highlight w:val="none"/>
        </w:rPr>
        <w:t>11、配送车辆</w:t>
      </w:r>
    </w:p>
    <w:p w14:paraId="31B57F2F">
      <w:pPr>
        <w:rPr>
          <w:color w:val="auto"/>
          <w:highlight w:val="none"/>
        </w:rPr>
      </w:pPr>
    </w:p>
    <w:tbl>
      <w:tblPr>
        <w:tblStyle w:val="29"/>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316"/>
        <w:gridCol w:w="1925"/>
        <w:gridCol w:w="1988"/>
        <w:gridCol w:w="1878"/>
      </w:tblGrid>
      <w:tr w14:paraId="0E78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13" w:type="dxa"/>
            <w:shd w:val="clear" w:color="auto" w:fill="auto"/>
            <w:vAlign w:val="center"/>
          </w:tcPr>
          <w:p w14:paraId="6D5501E7">
            <w:pPr>
              <w:keepNext w:val="0"/>
              <w:keepLines w:val="0"/>
              <w:suppressLineNumbers w:val="0"/>
              <w:spacing w:before="0" w:beforeAutospacing="0" w:after="0" w:afterAutospacing="0"/>
              <w:ind w:left="0" w:right="0"/>
              <w:jc w:val="center"/>
              <w:rPr>
                <w:rFonts w:hint="default"/>
                <w:color w:val="auto"/>
                <w:highlight w:val="none"/>
              </w:rPr>
            </w:pPr>
            <w:r>
              <w:rPr>
                <w:rFonts w:hint="eastAsia" w:ascii="宋体" w:hAnsi="宋体" w:cs="宋体"/>
                <w:b/>
                <w:color w:val="auto"/>
                <w:sz w:val="30"/>
                <w:szCs w:val="30"/>
                <w:highlight w:val="none"/>
              </w:rPr>
              <w:br w:type="page"/>
            </w:r>
            <w:r>
              <w:rPr>
                <w:rFonts w:hint="eastAsia"/>
                <w:color w:val="auto"/>
                <w:highlight w:val="none"/>
              </w:rPr>
              <w:t>序号</w:t>
            </w:r>
          </w:p>
        </w:tc>
        <w:tc>
          <w:tcPr>
            <w:tcW w:w="2316" w:type="dxa"/>
            <w:shd w:val="clear" w:color="auto" w:fill="auto"/>
            <w:vAlign w:val="center"/>
          </w:tcPr>
          <w:p w14:paraId="40B8C37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车型</w:t>
            </w:r>
          </w:p>
        </w:tc>
        <w:tc>
          <w:tcPr>
            <w:tcW w:w="1925" w:type="dxa"/>
            <w:shd w:val="clear" w:color="auto" w:fill="auto"/>
            <w:vAlign w:val="center"/>
          </w:tcPr>
          <w:p w14:paraId="680A8CF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车牌号</w:t>
            </w:r>
          </w:p>
        </w:tc>
        <w:tc>
          <w:tcPr>
            <w:tcW w:w="1988" w:type="dxa"/>
            <w:shd w:val="clear" w:color="auto" w:fill="auto"/>
            <w:vAlign w:val="center"/>
          </w:tcPr>
          <w:p w14:paraId="393C1EFD">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型号</w:t>
            </w:r>
          </w:p>
        </w:tc>
        <w:tc>
          <w:tcPr>
            <w:tcW w:w="1878" w:type="dxa"/>
            <w:shd w:val="clear" w:color="auto" w:fill="auto"/>
            <w:vAlign w:val="center"/>
          </w:tcPr>
          <w:p w14:paraId="5E55DED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备注</w:t>
            </w:r>
          </w:p>
        </w:tc>
      </w:tr>
      <w:tr w14:paraId="498A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13" w:type="dxa"/>
            <w:shd w:val="clear" w:color="auto" w:fill="auto"/>
            <w:vAlign w:val="center"/>
          </w:tcPr>
          <w:p w14:paraId="625ACB3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1</w:t>
            </w:r>
          </w:p>
        </w:tc>
        <w:tc>
          <w:tcPr>
            <w:tcW w:w="2316" w:type="dxa"/>
            <w:shd w:val="clear" w:color="auto" w:fill="auto"/>
            <w:vAlign w:val="center"/>
          </w:tcPr>
          <w:p w14:paraId="509F56D2">
            <w:pPr>
              <w:keepNext w:val="0"/>
              <w:keepLines w:val="0"/>
              <w:suppressLineNumbers w:val="0"/>
              <w:spacing w:before="0" w:beforeAutospacing="0" w:after="0" w:afterAutospacing="0"/>
              <w:ind w:left="0" w:right="0"/>
              <w:jc w:val="center"/>
              <w:rPr>
                <w:rFonts w:hint="default"/>
                <w:color w:val="auto"/>
                <w:highlight w:val="none"/>
              </w:rPr>
            </w:pPr>
          </w:p>
        </w:tc>
        <w:tc>
          <w:tcPr>
            <w:tcW w:w="1925" w:type="dxa"/>
            <w:shd w:val="clear" w:color="auto" w:fill="auto"/>
            <w:vAlign w:val="center"/>
          </w:tcPr>
          <w:p w14:paraId="155AA152">
            <w:pPr>
              <w:keepNext w:val="0"/>
              <w:keepLines w:val="0"/>
              <w:suppressLineNumbers w:val="0"/>
              <w:spacing w:before="0" w:beforeAutospacing="0" w:after="0" w:afterAutospacing="0"/>
              <w:ind w:left="0" w:right="0"/>
              <w:jc w:val="center"/>
              <w:rPr>
                <w:rFonts w:hint="default"/>
                <w:color w:val="auto"/>
                <w:highlight w:val="none"/>
              </w:rPr>
            </w:pPr>
          </w:p>
        </w:tc>
        <w:tc>
          <w:tcPr>
            <w:tcW w:w="1988" w:type="dxa"/>
            <w:shd w:val="clear" w:color="auto" w:fill="auto"/>
            <w:vAlign w:val="center"/>
          </w:tcPr>
          <w:p w14:paraId="6AEB1351">
            <w:pPr>
              <w:keepNext w:val="0"/>
              <w:keepLines w:val="0"/>
              <w:suppressLineNumbers w:val="0"/>
              <w:spacing w:before="0" w:beforeAutospacing="0" w:after="0" w:afterAutospacing="0"/>
              <w:ind w:left="0" w:right="0"/>
              <w:jc w:val="center"/>
              <w:rPr>
                <w:rFonts w:hint="default"/>
                <w:color w:val="auto"/>
                <w:highlight w:val="none"/>
              </w:rPr>
            </w:pPr>
          </w:p>
        </w:tc>
        <w:tc>
          <w:tcPr>
            <w:tcW w:w="1878" w:type="dxa"/>
            <w:shd w:val="clear" w:color="auto" w:fill="auto"/>
            <w:vAlign w:val="center"/>
          </w:tcPr>
          <w:p w14:paraId="6D39A98D">
            <w:pPr>
              <w:keepNext w:val="0"/>
              <w:keepLines w:val="0"/>
              <w:suppressLineNumbers w:val="0"/>
              <w:spacing w:before="0" w:beforeAutospacing="0" w:after="0" w:afterAutospacing="0"/>
              <w:ind w:left="0" w:right="0"/>
              <w:jc w:val="center"/>
              <w:rPr>
                <w:rFonts w:hint="default"/>
                <w:color w:val="auto"/>
                <w:highlight w:val="none"/>
              </w:rPr>
            </w:pPr>
          </w:p>
        </w:tc>
      </w:tr>
      <w:tr w14:paraId="1FE3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3" w:type="dxa"/>
            <w:shd w:val="clear" w:color="auto" w:fill="auto"/>
            <w:vAlign w:val="center"/>
          </w:tcPr>
          <w:p w14:paraId="4EECEEC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2</w:t>
            </w:r>
          </w:p>
        </w:tc>
        <w:tc>
          <w:tcPr>
            <w:tcW w:w="2316" w:type="dxa"/>
            <w:shd w:val="clear" w:color="auto" w:fill="auto"/>
            <w:vAlign w:val="center"/>
          </w:tcPr>
          <w:p w14:paraId="2FFB2757">
            <w:pPr>
              <w:keepNext w:val="0"/>
              <w:keepLines w:val="0"/>
              <w:suppressLineNumbers w:val="0"/>
              <w:spacing w:before="0" w:beforeAutospacing="0" w:after="0" w:afterAutospacing="0"/>
              <w:ind w:left="0" w:right="0"/>
              <w:jc w:val="center"/>
              <w:rPr>
                <w:rFonts w:hint="default"/>
                <w:color w:val="auto"/>
                <w:highlight w:val="none"/>
              </w:rPr>
            </w:pPr>
          </w:p>
        </w:tc>
        <w:tc>
          <w:tcPr>
            <w:tcW w:w="1925" w:type="dxa"/>
            <w:shd w:val="clear" w:color="auto" w:fill="auto"/>
            <w:vAlign w:val="center"/>
          </w:tcPr>
          <w:p w14:paraId="65D0DD5A">
            <w:pPr>
              <w:keepNext w:val="0"/>
              <w:keepLines w:val="0"/>
              <w:suppressLineNumbers w:val="0"/>
              <w:spacing w:before="0" w:beforeAutospacing="0" w:after="0" w:afterAutospacing="0"/>
              <w:ind w:left="0" w:right="0"/>
              <w:jc w:val="center"/>
              <w:rPr>
                <w:rFonts w:hint="default"/>
                <w:color w:val="auto"/>
                <w:highlight w:val="none"/>
              </w:rPr>
            </w:pPr>
          </w:p>
        </w:tc>
        <w:tc>
          <w:tcPr>
            <w:tcW w:w="1988" w:type="dxa"/>
            <w:shd w:val="clear" w:color="auto" w:fill="auto"/>
            <w:vAlign w:val="center"/>
          </w:tcPr>
          <w:p w14:paraId="1ED621F7">
            <w:pPr>
              <w:keepNext w:val="0"/>
              <w:keepLines w:val="0"/>
              <w:suppressLineNumbers w:val="0"/>
              <w:spacing w:before="0" w:beforeAutospacing="0" w:after="0" w:afterAutospacing="0"/>
              <w:ind w:left="0" w:right="0"/>
              <w:jc w:val="center"/>
              <w:rPr>
                <w:rFonts w:hint="default"/>
                <w:color w:val="auto"/>
                <w:highlight w:val="none"/>
              </w:rPr>
            </w:pPr>
          </w:p>
        </w:tc>
        <w:tc>
          <w:tcPr>
            <w:tcW w:w="1878" w:type="dxa"/>
            <w:shd w:val="clear" w:color="auto" w:fill="auto"/>
            <w:vAlign w:val="center"/>
          </w:tcPr>
          <w:p w14:paraId="69157EC0">
            <w:pPr>
              <w:keepNext w:val="0"/>
              <w:keepLines w:val="0"/>
              <w:suppressLineNumbers w:val="0"/>
              <w:spacing w:before="0" w:beforeAutospacing="0" w:after="0" w:afterAutospacing="0"/>
              <w:ind w:left="0" w:right="0"/>
              <w:jc w:val="center"/>
              <w:rPr>
                <w:rFonts w:hint="default"/>
                <w:color w:val="auto"/>
                <w:highlight w:val="none"/>
              </w:rPr>
            </w:pPr>
          </w:p>
        </w:tc>
      </w:tr>
      <w:tr w14:paraId="5F66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13" w:type="dxa"/>
            <w:shd w:val="clear" w:color="auto" w:fill="auto"/>
            <w:vAlign w:val="center"/>
          </w:tcPr>
          <w:p w14:paraId="11079F6A">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3</w:t>
            </w:r>
          </w:p>
        </w:tc>
        <w:tc>
          <w:tcPr>
            <w:tcW w:w="2316" w:type="dxa"/>
            <w:shd w:val="clear" w:color="auto" w:fill="auto"/>
            <w:vAlign w:val="center"/>
          </w:tcPr>
          <w:p w14:paraId="2BB9061B">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1925" w:type="dxa"/>
            <w:shd w:val="clear" w:color="auto" w:fill="auto"/>
            <w:vAlign w:val="center"/>
          </w:tcPr>
          <w:p w14:paraId="0841F537">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1988" w:type="dxa"/>
            <w:shd w:val="clear" w:color="auto" w:fill="auto"/>
            <w:vAlign w:val="center"/>
          </w:tcPr>
          <w:p w14:paraId="06B4FC8C">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1878" w:type="dxa"/>
            <w:shd w:val="clear" w:color="auto" w:fill="auto"/>
            <w:vAlign w:val="center"/>
          </w:tcPr>
          <w:p w14:paraId="3C601699">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r>
      <w:tr w14:paraId="5530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13" w:type="dxa"/>
            <w:shd w:val="clear" w:color="auto" w:fill="auto"/>
            <w:vAlign w:val="center"/>
          </w:tcPr>
          <w:p w14:paraId="4FA9D706">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4</w:t>
            </w:r>
          </w:p>
        </w:tc>
        <w:tc>
          <w:tcPr>
            <w:tcW w:w="2316" w:type="dxa"/>
            <w:shd w:val="clear" w:color="auto" w:fill="auto"/>
            <w:vAlign w:val="center"/>
          </w:tcPr>
          <w:p w14:paraId="5A104650">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1925" w:type="dxa"/>
            <w:shd w:val="clear" w:color="auto" w:fill="auto"/>
            <w:vAlign w:val="center"/>
          </w:tcPr>
          <w:p w14:paraId="2DDB3B6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1988" w:type="dxa"/>
            <w:shd w:val="clear" w:color="auto" w:fill="auto"/>
            <w:vAlign w:val="center"/>
          </w:tcPr>
          <w:p w14:paraId="23B52584">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c>
          <w:tcPr>
            <w:tcW w:w="1878" w:type="dxa"/>
            <w:shd w:val="clear" w:color="auto" w:fill="auto"/>
            <w:vAlign w:val="center"/>
          </w:tcPr>
          <w:p w14:paraId="627D8D22">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w:t>
            </w:r>
          </w:p>
        </w:tc>
      </w:tr>
    </w:tbl>
    <w:p w14:paraId="1676495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注：（1）自有车辆（或法人所有）提供机动车行驶证及车辆登记证（配送车辆如为租赁的，须提供机动车行驶证及租赁合同）</w:t>
      </w:r>
    </w:p>
    <w:p w14:paraId="6A564B3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（2）提供车辆照片且与行驶证一致</w:t>
      </w:r>
    </w:p>
    <w:p w14:paraId="6AC766F0">
      <w:pPr>
        <w:spacing w:line="360" w:lineRule="auto"/>
        <w:ind w:firstLine="480"/>
        <w:rPr>
          <w:rFonts w:ascii="宋体" w:hAnsi="宋体" w:cs="宋体"/>
          <w:b/>
          <w:color w:val="auto"/>
          <w:sz w:val="30"/>
          <w:szCs w:val="30"/>
          <w:highlight w:val="none"/>
        </w:rPr>
      </w:pPr>
      <w:r>
        <w:rPr>
          <w:rFonts w:hint="eastAsia" w:ascii="宋体" w:hAnsi="宋体" w:cs="宋体"/>
          <w:color w:val="auto"/>
          <w:sz w:val="24"/>
          <w:highlight w:val="none"/>
        </w:rPr>
        <w:t>注：以上两项任意一项未提供、提供不全或上述材料不清晰不完整无法辨识的本项不得分。（所有车辆必须符合国家标准货运车辆且在交管部门备案、各类手续齐全）</w:t>
      </w:r>
      <w:r>
        <w:rPr>
          <w:rFonts w:hint="eastAsia" w:ascii="宋体" w:hAnsi="宋体" w:cs="宋体"/>
          <w:b/>
          <w:color w:val="auto"/>
          <w:sz w:val="30"/>
          <w:szCs w:val="30"/>
          <w:highlight w:val="none"/>
        </w:rPr>
        <w:br w:type="page"/>
      </w:r>
    </w:p>
    <w:bookmarkEnd w:id="112"/>
    <w:bookmarkEnd w:id="113"/>
    <w:p w14:paraId="0E37A220">
      <w:pPr>
        <w:pStyle w:val="6"/>
        <w:spacing w:before="0" w:after="0"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12、人员配备</w:t>
      </w:r>
    </w:p>
    <w:p w14:paraId="3CACCAB8">
      <w:pPr>
        <w:rPr>
          <w:color w:val="auto"/>
          <w:highlight w:val="none"/>
        </w:rPr>
      </w:pPr>
    </w:p>
    <w:tbl>
      <w:tblPr>
        <w:tblStyle w:val="29"/>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307"/>
        <w:gridCol w:w="1879"/>
        <w:gridCol w:w="1520"/>
      </w:tblGrid>
      <w:tr w14:paraId="4A5C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vAlign w:val="center"/>
          </w:tcPr>
          <w:p w14:paraId="62D7FC7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1344" w:type="dxa"/>
            <w:vAlign w:val="center"/>
          </w:tcPr>
          <w:p w14:paraId="25C614B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940" w:type="dxa"/>
            <w:vAlign w:val="center"/>
          </w:tcPr>
          <w:p w14:paraId="222966E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性别</w:t>
            </w:r>
          </w:p>
        </w:tc>
        <w:tc>
          <w:tcPr>
            <w:tcW w:w="1207" w:type="dxa"/>
            <w:vAlign w:val="center"/>
          </w:tcPr>
          <w:p w14:paraId="75AB594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p>
        </w:tc>
        <w:tc>
          <w:tcPr>
            <w:tcW w:w="1307" w:type="dxa"/>
            <w:vAlign w:val="center"/>
          </w:tcPr>
          <w:p w14:paraId="158BB72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工作年限</w:t>
            </w:r>
          </w:p>
        </w:tc>
        <w:tc>
          <w:tcPr>
            <w:tcW w:w="1879" w:type="dxa"/>
            <w:vAlign w:val="center"/>
          </w:tcPr>
          <w:p w14:paraId="2F23DF4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拟承担工作内容</w:t>
            </w:r>
          </w:p>
        </w:tc>
        <w:tc>
          <w:tcPr>
            <w:tcW w:w="1520" w:type="dxa"/>
            <w:vAlign w:val="center"/>
          </w:tcPr>
          <w:p w14:paraId="5FD7147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14:paraId="6B1D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3F95355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4BCBEB61">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5D71C89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0F1D62C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69AA886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37155CA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019DE40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4681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0982496A">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0EE8CDE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10B646B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0AE001C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42A3672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3CCA8A1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4E8C8E0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5209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2CFB62F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6768AA8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7E828B7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3C2F26B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063E53F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0CE868D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5CA22D9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184B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4733D8C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6933CEC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32E139CE">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6327F5B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33AF3AC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6B4F0DB6">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7E88063B">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28E7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77F7708F">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09B011E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7A1C3B8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7D94755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31A24E5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084EC50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44632668">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0D74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359C5C4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256F5DB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2AEE7AC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17101A9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50414E1D">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2161079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1DD7F502">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1A5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tcPr>
          <w:p w14:paraId="4E08ED47">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44" w:type="dxa"/>
          </w:tcPr>
          <w:p w14:paraId="02FA1189">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940" w:type="dxa"/>
          </w:tcPr>
          <w:p w14:paraId="31B4CE6C">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207" w:type="dxa"/>
          </w:tcPr>
          <w:p w14:paraId="04B968C3">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307" w:type="dxa"/>
          </w:tcPr>
          <w:p w14:paraId="569FECB5">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879" w:type="dxa"/>
          </w:tcPr>
          <w:p w14:paraId="38AE1AC4">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c>
          <w:tcPr>
            <w:tcW w:w="1520" w:type="dxa"/>
          </w:tcPr>
          <w:p w14:paraId="22DECF10">
            <w:pPr>
              <w:keepNext w:val="0"/>
              <w:keepLines w:val="0"/>
              <w:suppressLineNumbers w:val="0"/>
              <w:spacing w:before="0" w:beforeAutospacing="0" w:after="0" w:afterAutospacing="0"/>
              <w:ind w:left="0" w:right="0"/>
              <w:rPr>
                <w:rFonts w:hint="default" w:asciiTheme="minorEastAsia" w:hAnsiTheme="minorEastAsia" w:eastAsiaTheme="minorEastAsia" w:cstheme="minorEastAsia"/>
                <w:color w:val="auto"/>
                <w:szCs w:val="21"/>
                <w:highlight w:val="none"/>
              </w:rPr>
            </w:pPr>
          </w:p>
        </w:tc>
      </w:tr>
      <w:tr w14:paraId="5EA9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vAlign w:val="center"/>
          </w:tcPr>
          <w:p w14:paraId="108C4F4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44" w:type="dxa"/>
            <w:vAlign w:val="center"/>
          </w:tcPr>
          <w:p w14:paraId="186AF93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940" w:type="dxa"/>
            <w:vAlign w:val="center"/>
          </w:tcPr>
          <w:p w14:paraId="103C8BD8">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07" w:type="dxa"/>
            <w:vAlign w:val="center"/>
          </w:tcPr>
          <w:p w14:paraId="520384DC">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7" w:type="dxa"/>
            <w:vAlign w:val="center"/>
          </w:tcPr>
          <w:p w14:paraId="005AF92B">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879" w:type="dxa"/>
            <w:vAlign w:val="center"/>
          </w:tcPr>
          <w:p w14:paraId="206433A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20" w:type="dxa"/>
            <w:vAlign w:val="center"/>
          </w:tcPr>
          <w:p w14:paraId="694FF23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r w14:paraId="6DFD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vAlign w:val="center"/>
          </w:tcPr>
          <w:p w14:paraId="32C8E31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44" w:type="dxa"/>
            <w:vAlign w:val="center"/>
          </w:tcPr>
          <w:p w14:paraId="2D98DB7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940" w:type="dxa"/>
            <w:vAlign w:val="center"/>
          </w:tcPr>
          <w:p w14:paraId="6A906CCE">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07" w:type="dxa"/>
            <w:vAlign w:val="center"/>
          </w:tcPr>
          <w:p w14:paraId="3A23E19F">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307" w:type="dxa"/>
            <w:vAlign w:val="center"/>
          </w:tcPr>
          <w:p w14:paraId="47891BC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879" w:type="dxa"/>
            <w:vAlign w:val="center"/>
          </w:tcPr>
          <w:p w14:paraId="2AA1AD42">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20" w:type="dxa"/>
            <w:vAlign w:val="center"/>
          </w:tcPr>
          <w:p w14:paraId="5D59FFCA">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r>
    </w:tbl>
    <w:p w14:paraId="4C9E2D54">
      <w:pPr>
        <w:spacing w:line="360" w:lineRule="auto"/>
        <w:ind w:firstLine="480"/>
        <w:rPr>
          <w:rFonts w:ascii="宋体" w:hAnsi="宋体" w:cs="宋体"/>
          <w:color w:val="auto"/>
          <w:sz w:val="24"/>
          <w:highlight w:val="none"/>
        </w:rPr>
      </w:pPr>
    </w:p>
    <w:p w14:paraId="53A43513">
      <w:pPr>
        <w:spacing w:line="360" w:lineRule="auto"/>
        <w:ind w:firstLine="480"/>
        <w:rPr>
          <w:rFonts w:ascii="宋体" w:hAnsi="宋体" w:cs="宋体"/>
          <w:b/>
          <w:color w:val="auto"/>
          <w:sz w:val="30"/>
          <w:szCs w:val="30"/>
          <w:highlight w:val="none"/>
        </w:rPr>
      </w:pPr>
      <w:r>
        <w:rPr>
          <w:rFonts w:hint="eastAsia" w:ascii="宋体" w:hAnsi="宋体" w:cs="宋体"/>
          <w:color w:val="auto"/>
          <w:sz w:val="24"/>
          <w:highlight w:val="none"/>
        </w:rPr>
        <w:t>注：须提供以上人员的身份证、劳动合同。</w:t>
      </w:r>
      <w:r>
        <w:rPr>
          <w:rFonts w:hint="eastAsia" w:ascii="宋体" w:hAnsi="宋体" w:cs="宋体"/>
          <w:b/>
          <w:color w:val="auto"/>
          <w:sz w:val="30"/>
          <w:szCs w:val="30"/>
          <w:highlight w:val="none"/>
        </w:rPr>
        <w:br w:type="page"/>
      </w:r>
    </w:p>
    <w:bookmarkEnd w:id="114"/>
    <w:bookmarkEnd w:id="115"/>
    <w:bookmarkEnd w:id="116"/>
    <w:p w14:paraId="0702AF11">
      <w:pPr>
        <w:pStyle w:val="6"/>
        <w:spacing w:before="0" w:after="0" w:line="360" w:lineRule="auto"/>
        <w:jc w:val="left"/>
        <w:rPr>
          <w:rFonts w:ascii="宋体" w:hAnsi="宋体" w:cs="宋体"/>
          <w:color w:val="auto"/>
          <w:sz w:val="32"/>
          <w:szCs w:val="32"/>
          <w:highlight w:val="none"/>
        </w:rPr>
      </w:pPr>
      <w:bookmarkStart w:id="117" w:name="_Toc27216_WPSOffice_Level1"/>
      <w:bookmarkStart w:id="118" w:name="_Toc8790_WPSOffice_Level1"/>
      <w:r>
        <w:rPr>
          <w:rFonts w:hint="eastAsia" w:ascii="宋体" w:hAnsi="宋体" w:cs="宋体"/>
          <w:color w:val="auto"/>
          <w:sz w:val="32"/>
          <w:szCs w:val="32"/>
          <w:highlight w:val="none"/>
        </w:rPr>
        <w:t>13、仓储能力</w:t>
      </w:r>
    </w:p>
    <w:p w14:paraId="57DA1984">
      <w:pPr>
        <w:rPr>
          <w:rFonts w:ascii="宋体" w:hAnsi="宋体" w:cs="宋体"/>
          <w:bCs/>
          <w:color w:val="auto"/>
          <w:sz w:val="24"/>
          <w:highlight w:val="none"/>
        </w:rPr>
      </w:pPr>
      <w:r>
        <w:rPr>
          <w:rFonts w:hint="eastAsia" w:ascii="宋体" w:hAnsi="宋体" w:cs="宋体"/>
          <w:bCs/>
          <w:color w:val="auto"/>
          <w:sz w:val="24"/>
          <w:highlight w:val="none"/>
        </w:rPr>
        <w:t>应答：</w:t>
      </w:r>
      <w:bookmarkEnd w:id="117"/>
      <w:bookmarkEnd w:id="118"/>
      <w:r>
        <w:rPr>
          <w:rFonts w:hint="eastAsia" w:ascii="宋体" w:hAnsi="宋体" w:cs="宋体"/>
          <w:bCs/>
          <w:color w:val="auto"/>
          <w:sz w:val="24"/>
          <w:highlight w:val="none"/>
        </w:rPr>
        <w:t>如为自有提供房屋产权证明，租赁则需提供有效的租赁合同，未提供或提供不全不得分。</w:t>
      </w:r>
    </w:p>
    <w:p w14:paraId="2391BED6">
      <w:pPr>
        <w:pStyle w:val="39"/>
        <w:rPr>
          <w:color w:val="auto"/>
          <w:highlight w:val="none"/>
        </w:rPr>
      </w:pPr>
    </w:p>
    <w:p w14:paraId="10B6845C">
      <w:pPr>
        <w:rPr>
          <w:rFonts w:ascii="宋体" w:hAnsi="宋体" w:cs="宋体"/>
          <w:color w:val="auto"/>
          <w:highlight w:val="none"/>
        </w:rPr>
      </w:pPr>
    </w:p>
    <w:p w14:paraId="63254AB8">
      <w:pPr>
        <w:pStyle w:val="9"/>
        <w:rPr>
          <w:rFonts w:ascii="宋体" w:hAnsi="宋体" w:eastAsia="宋体" w:cs="宋体"/>
          <w:b/>
          <w:color w:val="auto"/>
          <w:sz w:val="32"/>
          <w:szCs w:val="32"/>
          <w:highlight w:val="none"/>
        </w:rPr>
      </w:pPr>
      <w:bookmarkStart w:id="119" w:name="_Toc14920_WPSOffice_Level1"/>
      <w:bookmarkStart w:id="120" w:name="_Toc20295_WPSOffice_Level1"/>
      <w:r>
        <w:rPr>
          <w:rFonts w:hint="eastAsia" w:ascii="宋体" w:hAnsi="宋体" w:eastAsia="宋体" w:cs="宋体"/>
          <w:b/>
          <w:color w:val="auto"/>
          <w:sz w:val="32"/>
          <w:szCs w:val="32"/>
          <w:highlight w:val="none"/>
        </w:rPr>
        <w:t>14、供应产品的来源</w:t>
      </w:r>
    </w:p>
    <w:bookmarkEnd w:id="119"/>
    <w:bookmarkEnd w:id="120"/>
    <w:p w14:paraId="0B74FD2D">
      <w:pPr>
        <w:rPr>
          <w:rFonts w:ascii="宋体" w:hAnsi="宋体" w:cs="宋体"/>
          <w:bCs/>
          <w:color w:val="auto"/>
          <w:sz w:val="24"/>
          <w:highlight w:val="none"/>
        </w:rPr>
      </w:pPr>
      <w:r>
        <w:rPr>
          <w:rFonts w:hint="eastAsia" w:ascii="宋体" w:hAnsi="宋体" w:cs="宋体"/>
          <w:bCs/>
          <w:color w:val="auto"/>
          <w:sz w:val="24"/>
          <w:highlight w:val="none"/>
        </w:rPr>
        <w:t>应答：（格式内容自拟，建议参照评审标准及办法编写）</w:t>
      </w:r>
    </w:p>
    <w:p w14:paraId="406CE396">
      <w:pPr>
        <w:jc w:val="center"/>
        <w:rPr>
          <w:color w:val="auto"/>
          <w:highlight w:val="none"/>
        </w:rPr>
      </w:pPr>
    </w:p>
    <w:p w14:paraId="4A92F68B">
      <w:pPr>
        <w:pStyle w:val="12"/>
        <w:jc w:val="center"/>
        <w:rPr>
          <w:color w:val="auto"/>
          <w:sz w:val="32"/>
          <w:szCs w:val="32"/>
          <w:highlight w:val="none"/>
        </w:rPr>
      </w:pPr>
    </w:p>
    <w:p w14:paraId="49497144">
      <w:pPr>
        <w:pStyle w:val="9"/>
        <w:rPr>
          <w:rFonts w:ascii="宋体" w:hAnsi="宋体" w:eastAsia="宋体" w:cs="宋体"/>
          <w:b/>
          <w:color w:val="auto"/>
          <w:sz w:val="32"/>
          <w:szCs w:val="32"/>
          <w:highlight w:val="none"/>
        </w:rPr>
      </w:pPr>
      <w:bookmarkStart w:id="121" w:name="_Toc19130_WPSOffice_Level1"/>
      <w:bookmarkStart w:id="122" w:name="_Toc24324_WPSOffice_Level1"/>
      <w:r>
        <w:rPr>
          <w:rFonts w:hint="eastAsia" w:ascii="宋体" w:hAnsi="宋体" w:eastAsia="宋体" w:cs="宋体"/>
          <w:b/>
          <w:color w:val="auto"/>
          <w:sz w:val="32"/>
          <w:szCs w:val="32"/>
          <w:highlight w:val="none"/>
        </w:rPr>
        <w:t>15、</w:t>
      </w:r>
      <w:bookmarkEnd w:id="121"/>
      <w:bookmarkEnd w:id="122"/>
      <w:r>
        <w:rPr>
          <w:rFonts w:hint="eastAsia" w:ascii="宋体" w:hAnsi="宋体" w:eastAsia="宋体" w:cs="宋体"/>
          <w:b/>
          <w:color w:val="auto"/>
          <w:sz w:val="32"/>
          <w:szCs w:val="32"/>
          <w:highlight w:val="none"/>
        </w:rPr>
        <w:t>食品安全检测能力</w:t>
      </w:r>
    </w:p>
    <w:p w14:paraId="7F9EB884">
      <w:pPr>
        <w:rPr>
          <w:rFonts w:ascii="宋体" w:hAnsi="宋体" w:cs="宋体"/>
          <w:bCs/>
          <w:color w:val="auto"/>
          <w:sz w:val="24"/>
          <w:highlight w:val="none"/>
        </w:rPr>
      </w:pPr>
      <w:r>
        <w:rPr>
          <w:rFonts w:hint="eastAsia" w:ascii="宋体" w:hAnsi="宋体" w:cs="宋体"/>
          <w:bCs/>
          <w:color w:val="auto"/>
          <w:sz w:val="24"/>
          <w:highlight w:val="none"/>
        </w:rPr>
        <w:t>应答：（格式内容自拟，建议参照评审标准及办法编写）</w:t>
      </w:r>
    </w:p>
    <w:p w14:paraId="07700DA6">
      <w:pPr>
        <w:jc w:val="center"/>
        <w:rPr>
          <w:color w:val="auto"/>
          <w:highlight w:val="none"/>
        </w:rPr>
      </w:pPr>
    </w:p>
    <w:p w14:paraId="0C66B353">
      <w:pPr>
        <w:pStyle w:val="12"/>
        <w:jc w:val="center"/>
        <w:rPr>
          <w:color w:val="auto"/>
          <w:highlight w:val="none"/>
        </w:rPr>
      </w:pPr>
    </w:p>
    <w:p w14:paraId="63E4B68F">
      <w:pPr>
        <w:rPr>
          <w:rFonts w:ascii="宋体" w:hAnsi="宋体" w:cs="宋体"/>
          <w:b/>
          <w:color w:val="auto"/>
          <w:sz w:val="32"/>
          <w:szCs w:val="32"/>
          <w:highlight w:val="none"/>
        </w:rPr>
      </w:pPr>
      <w:bookmarkStart w:id="123" w:name="_Toc13080_WPSOffice_Level1"/>
      <w:bookmarkStart w:id="124" w:name="_Toc19006_WPSOffice_Level1"/>
      <w:r>
        <w:rPr>
          <w:rFonts w:hint="eastAsia" w:ascii="宋体" w:hAnsi="宋体" w:cs="宋体"/>
          <w:b/>
          <w:color w:val="auto"/>
          <w:sz w:val="32"/>
          <w:szCs w:val="32"/>
          <w:highlight w:val="none"/>
        </w:rPr>
        <w:t>16、</w:t>
      </w:r>
      <w:bookmarkEnd w:id="123"/>
      <w:bookmarkEnd w:id="124"/>
      <w:r>
        <w:rPr>
          <w:rFonts w:hint="eastAsia" w:ascii="宋体" w:hAnsi="宋体" w:cs="宋体"/>
          <w:b/>
          <w:color w:val="auto"/>
          <w:sz w:val="32"/>
          <w:szCs w:val="32"/>
          <w:highlight w:val="none"/>
        </w:rPr>
        <w:t>实施方案</w:t>
      </w:r>
    </w:p>
    <w:p w14:paraId="44EDB019">
      <w:pPr>
        <w:rPr>
          <w:rFonts w:ascii="宋体" w:hAnsi="宋体" w:cs="宋体"/>
          <w:bCs/>
          <w:color w:val="auto"/>
          <w:sz w:val="24"/>
          <w:highlight w:val="none"/>
        </w:rPr>
      </w:pPr>
      <w:r>
        <w:rPr>
          <w:rFonts w:hint="eastAsia" w:ascii="宋体" w:hAnsi="宋体" w:cs="宋体"/>
          <w:bCs/>
          <w:color w:val="auto"/>
          <w:sz w:val="24"/>
          <w:highlight w:val="none"/>
        </w:rPr>
        <w:t>应答：（格式内容自拟，建议参照评审标准及办法编写）</w:t>
      </w:r>
    </w:p>
    <w:p w14:paraId="54E6EBED">
      <w:pPr>
        <w:jc w:val="center"/>
        <w:rPr>
          <w:rFonts w:ascii="宋体" w:hAnsi="宋体" w:cs="宋体"/>
          <w:b/>
          <w:color w:val="auto"/>
          <w:sz w:val="30"/>
          <w:szCs w:val="30"/>
          <w:highlight w:val="none"/>
        </w:rPr>
      </w:pPr>
    </w:p>
    <w:p w14:paraId="352F6705">
      <w:pPr>
        <w:rPr>
          <w:rFonts w:ascii="宋体" w:hAnsi="宋体" w:cs="宋体"/>
          <w:b/>
          <w:color w:val="auto"/>
          <w:sz w:val="32"/>
          <w:szCs w:val="32"/>
          <w:highlight w:val="none"/>
        </w:rPr>
      </w:pPr>
      <w:bookmarkStart w:id="125" w:name="_Toc19468_WPSOffice_Level1"/>
      <w:bookmarkStart w:id="126" w:name="_Toc12145_WPSOffice_Level1"/>
      <w:r>
        <w:rPr>
          <w:rFonts w:hint="eastAsia" w:ascii="宋体" w:hAnsi="宋体" w:cs="宋体"/>
          <w:b/>
          <w:color w:val="auto"/>
          <w:sz w:val="32"/>
          <w:szCs w:val="32"/>
          <w:highlight w:val="none"/>
        </w:rPr>
        <w:t>17、</w:t>
      </w:r>
      <w:bookmarkEnd w:id="125"/>
      <w:bookmarkEnd w:id="126"/>
      <w:r>
        <w:rPr>
          <w:rFonts w:hint="eastAsia" w:ascii="宋体" w:hAnsi="宋体" w:cs="宋体"/>
          <w:b/>
          <w:color w:val="auto"/>
          <w:sz w:val="32"/>
          <w:szCs w:val="32"/>
          <w:highlight w:val="none"/>
        </w:rPr>
        <w:t>产品质量保障</w:t>
      </w:r>
    </w:p>
    <w:p w14:paraId="34128427">
      <w:pPr>
        <w:rPr>
          <w:rFonts w:ascii="宋体" w:hAnsi="宋体" w:cs="宋体"/>
          <w:bCs/>
          <w:color w:val="auto"/>
          <w:sz w:val="24"/>
          <w:highlight w:val="none"/>
        </w:rPr>
      </w:pPr>
      <w:r>
        <w:rPr>
          <w:rFonts w:hint="eastAsia" w:ascii="宋体" w:hAnsi="宋体" w:cs="宋体"/>
          <w:bCs/>
          <w:color w:val="auto"/>
          <w:sz w:val="24"/>
          <w:highlight w:val="none"/>
        </w:rPr>
        <w:t>应答：（格式内容自拟，建议参照评审标准及办法编写）</w:t>
      </w:r>
    </w:p>
    <w:p w14:paraId="55DE17F5">
      <w:pPr>
        <w:rPr>
          <w:rFonts w:ascii="宋体" w:hAnsi="宋体" w:cs="宋体"/>
          <w:b/>
          <w:color w:val="auto"/>
          <w:sz w:val="30"/>
          <w:szCs w:val="30"/>
          <w:highlight w:val="none"/>
        </w:rPr>
      </w:pPr>
    </w:p>
    <w:p w14:paraId="4E132A68">
      <w:pPr>
        <w:rPr>
          <w:rFonts w:ascii="宋体" w:hAnsi="宋体" w:cs="宋体"/>
          <w:b/>
          <w:color w:val="auto"/>
          <w:sz w:val="32"/>
          <w:szCs w:val="32"/>
          <w:highlight w:val="none"/>
        </w:rPr>
      </w:pPr>
      <w:bookmarkStart w:id="127" w:name="_Toc21080_WPSOffice_Level1"/>
      <w:bookmarkStart w:id="128" w:name="_Toc964_WPSOffice_Level1"/>
      <w:r>
        <w:rPr>
          <w:rFonts w:hint="eastAsia" w:ascii="宋体" w:hAnsi="宋体" w:cs="宋体"/>
          <w:b/>
          <w:color w:val="auto"/>
          <w:sz w:val="32"/>
          <w:szCs w:val="32"/>
          <w:highlight w:val="none"/>
        </w:rPr>
        <w:t>18、</w:t>
      </w:r>
      <w:bookmarkEnd w:id="127"/>
      <w:bookmarkEnd w:id="128"/>
      <w:r>
        <w:rPr>
          <w:rFonts w:hint="eastAsia" w:ascii="宋体" w:hAnsi="宋体" w:cs="宋体"/>
          <w:b/>
          <w:color w:val="auto"/>
          <w:sz w:val="32"/>
          <w:szCs w:val="32"/>
          <w:highlight w:val="none"/>
        </w:rPr>
        <w:t>特殊情况应急保障方案</w:t>
      </w:r>
    </w:p>
    <w:p w14:paraId="422AD89B">
      <w:pPr>
        <w:rPr>
          <w:rFonts w:ascii="宋体" w:hAnsi="宋体" w:cs="宋体"/>
          <w:bCs/>
          <w:color w:val="auto"/>
          <w:sz w:val="24"/>
          <w:highlight w:val="none"/>
        </w:rPr>
      </w:pPr>
      <w:r>
        <w:rPr>
          <w:rFonts w:hint="eastAsia" w:ascii="宋体" w:hAnsi="宋体" w:cs="宋体"/>
          <w:bCs/>
          <w:color w:val="auto"/>
          <w:sz w:val="24"/>
          <w:highlight w:val="none"/>
        </w:rPr>
        <w:t>应答：（格式内容自拟，建议参照评审标准及办法编写）</w:t>
      </w:r>
    </w:p>
    <w:p w14:paraId="5C46F6B5">
      <w:pPr>
        <w:rPr>
          <w:rFonts w:ascii="宋体" w:hAnsi="宋体" w:cs="宋体"/>
          <w:bCs/>
          <w:color w:val="auto"/>
          <w:sz w:val="24"/>
          <w:highlight w:val="none"/>
        </w:rPr>
      </w:pPr>
    </w:p>
    <w:p w14:paraId="7A9D2DC3">
      <w:pPr>
        <w:rPr>
          <w:rFonts w:ascii="宋体" w:hAnsi="宋体" w:cs="宋体"/>
          <w:b/>
          <w:color w:val="auto"/>
          <w:sz w:val="32"/>
          <w:szCs w:val="32"/>
          <w:highlight w:val="none"/>
        </w:rPr>
      </w:pPr>
      <w:r>
        <w:rPr>
          <w:rFonts w:hint="eastAsia" w:ascii="宋体" w:hAnsi="宋体" w:cs="宋体"/>
          <w:b/>
          <w:color w:val="auto"/>
          <w:sz w:val="32"/>
          <w:szCs w:val="32"/>
          <w:highlight w:val="none"/>
        </w:rPr>
        <w:t>19、产品质量保障</w:t>
      </w:r>
    </w:p>
    <w:p w14:paraId="1CDCD496">
      <w:pPr>
        <w:rPr>
          <w:rFonts w:ascii="宋体" w:hAnsi="宋体" w:cs="宋体"/>
          <w:bCs/>
          <w:color w:val="auto"/>
          <w:sz w:val="24"/>
          <w:highlight w:val="none"/>
        </w:rPr>
      </w:pPr>
      <w:r>
        <w:rPr>
          <w:rFonts w:ascii="宋体" w:hAnsi="宋体" w:cs="宋体"/>
          <w:bCs/>
          <w:color w:val="auto"/>
          <w:sz w:val="24"/>
          <w:highlight w:val="none"/>
        </w:rPr>
        <w:t>应答：（格式内容自拟，建议参照评审标准及办法编写）</w:t>
      </w:r>
    </w:p>
    <w:p w14:paraId="1A987E9F">
      <w:pPr>
        <w:pStyle w:val="2"/>
        <w:ind w:firstLine="0" w:firstLineChars="0"/>
        <w:rPr>
          <w:color w:val="auto"/>
          <w:highlight w:val="none"/>
        </w:rPr>
      </w:pPr>
    </w:p>
    <w:p w14:paraId="41FDEBCC">
      <w:pPr>
        <w:rPr>
          <w:rFonts w:ascii="宋体" w:hAnsi="宋体" w:cs="宋体"/>
          <w:b/>
          <w:color w:val="auto"/>
          <w:sz w:val="32"/>
          <w:szCs w:val="32"/>
          <w:highlight w:val="none"/>
        </w:rPr>
      </w:pPr>
      <w:bookmarkStart w:id="129" w:name="_Toc26854_WPSOffice_Level1"/>
      <w:bookmarkStart w:id="130" w:name="_Toc8226_WPSOffice_Level1"/>
      <w:bookmarkStart w:id="131" w:name="_Toc24204"/>
      <w:bookmarkStart w:id="132" w:name="_Toc15962"/>
      <w:r>
        <w:rPr>
          <w:rFonts w:hint="eastAsia" w:ascii="宋体" w:hAnsi="宋体" w:cs="宋体"/>
          <w:b/>
          <w:color w:val="auto"/>
          <w:sz w:val="32"/>
          <w:szCs w:val="32"/>
          <w:highlight w:val="none"/>
        </w:rPr>
        <w:t>四、其他文件</w:t>
      </w:r>
      <w:bookmarkEnd w:id="129"/>
      <w:bookmarkEnd w:id="130"/>
    </w:p>
    <w:p w14:paraId="63DE555D">
      <w:pPr>
        <w:snapToGrid w:val="0"/>
        <w:spacing w:line="500" w:lineRule="exact"/>
        <w:ind w:firstLine="480" w:firstLineChars="200"/>
        <w:rPr>
          <w:rFonts w:ascii="宋体" w:hAnsi="宋体" w:cs="宋体"/>
          <w:color w:val="auto"/>
          <w:spacing w:val="-6"/>
          <w:sz w:val="24"/>
          <w:highlight w:val="none"/>
        </w:rPr>
      </w:pPr>
      <w:bookmarkStart w:id="133" w:name="_Toc2401_WPSOffice_Level1"/>
      <w:bookmarkStart w:id="134" w:name="_Toc28943_WPSOffice_Level1"/>
      <w:r>
        <w:rPr>
          <w:rFonts w:hint="eastAsia" w:ascii="宋体" w:hAnsi="宋体" w:cs="宋体"/>
          <w:bCs/>
          <w:color w:val="auto"/>
          <w:sz w:val="24"/>
          <w:highlight w:val="none"/>
        </w:rPr>
        <w:t>（注：响应文件的内容包括但不仅限于上述内容，如有不足请自行补充，建议参照评审标准及办法编写）</w:t>
      </w:r>
      <w:bookmarkEnd w:id="92"/>
      <w:bookmarkEnd w:id="131"/>
      <w:bookmarkEnd w:id="132"/>
      <w:bookmarkEnd w:id="133"/>
      <w:bookmarkEnd w:id="134"/>
    </w:p>
    <w:p w14:paraId="7073656A">
      <w:pPr>
        <w:pStyle w:val="39"/>
        <w:rPr>
          <w:color w:val="auto"/>
          <w:highlight w:val="none"/>
        </w:rPr>
      </w:pPr>
    </w:p>
    <w:p w14:paraId="608AD27C">
      <w:pPr>
        <w:pStyle w:val="25"/>
        <w:shd w:val="clear" w:color="auto" w:fill="FFFFFF"/>
        <w:spacing w:before="0" w:beforeAutospacing="0" w:after="0" w:afterAutospacing="0" w:line="500" w:lineRule="exact"/>
        <w:jc w:val="center"/>
        <w:rPr>
          <w:rStyle w:val="32"/>
          <w:rFonts w:ascii="宋体" w:hAnsi="宋体" w:cs="宋体"/>
          <w:color w:val="auto"/>
          <w:sz w:val="36"/>
          <w:szCs w:val="36"/>
          <w:highlight w:val="none"/>
        </w:rPr>
        <w:sectPr>
          <w:pgSz w:w="11906" w:h="16838"/>
          <w:pgMar w:top="1440" w:right="1800" w:bottom="1440" w:left="1800" w:header="851" w:footer="992" w:gutter="0"/>
          <w:cols w:space="425" w:num="1"/>
          <w:docGrid w:type="lines" w:linePitch="312" w:charSpace="0"/>
        </w:sectPr>
      </w:pPr>
      <w:bookmarkStart w:id="135" w:name="_Toc27606_WPSOffice_Level1"/>
      <w:bookmarkStart w:id="136" w:name="_Toc9451_WPSOffice_Level1"/>
    </w:p>
    <w:p w14:paraId="156F5285">
      <w:pPr>
        <w:pStyle w:val="25"/>
        <w:shd w:val="clear" w:color="auto" w:fill="FFFFFF"/>
        <w:spacing w:before="0" w:beforeAutospacing="0" w:after="0" w:afterAutospacing="0" w:line="500" w:lineRule="exact"/>
        <w:jc w:val="center"/>
        <w:rPr>
          <w:rFonts w:ascii="宋体" w:hAnsi="宋体" w:cs="宋体"/>
          <w:color w:val="auto"/>
          <w:sz w:val="32"/>
          <w:szCs w:val="32"/>
          <w:highlight w:val="none"/>
        </w:rPr>
      </w:pPr>
      <w:r>
        <w:rPr>
          <w:rStyle w:val="32"/>
          <w:rFonts w:hint="eastAsia" w:ascii="宋体" w:hAnsi="宋体" w:cs="宋体"/>
          <w:color w:val="auto"/>
          <w:sz w:val="36"/>
          <w:szCs w:val="36"/>
          <w:highlight w:val="none"/>
        </w:rPr>
        <w:t>附件1中小企业划型标准规定</w:t>
      </w:r>
      <w:bookmarkEnd w:id="135"/>
      <w:bookmarkEnd w:id="136"/>
    </w:p>
    <w:p w14:paraId="02CD6053">
      <w:pPr>
        <w:pStyle w:val="25"/>
        <w:shd w:val="clear" w:color="auto" w:fill="FFFFFF"/>
        <w:spacing w:before="0" w:beforeAutospacing="0" w:after="0" w:afterAutospacing="0" w:line="500" w:lineRule="exact"/>
        <w:rPr>
          <w:rFonts w:ascii="宋体" w:hAnsi="宋体" w:cs="宋体"/>
          <w:color w:val="auto"/>
          <w:sz w:val="32"/>
          <w:szCs w:val="32"/>
          <w:highlight w:val="none"/>
        </w:rPr>
      </w:pPr>
      <w:r>
        <w:rPr>
          <w:rFonts w:hint="eastAsia" w:ascii="宋体" w:hAnsi="宋体" w:cs="宋体"/>
          <w:color w:val="auto"/>
          <w:sz w:val="32"/>
          <w:szCs w:val="32"/>
          <w:highlight w:val="none"/>
        </w:rPr>
        <w:t>　</w:t>
      </w:r>
    </w:p>
    <w:p w14:paraId="5EF8116B">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一、根据《</w:t>
      </w:r>
      <w:r>
        <w:rPr>
          <w:color w:val="auto"/>
          <w:highlight w:val="none"/>
        </w:rPr>
        <w:fldChar w:fldCharType="begin"/>
      </w:r>
      <w:r>
        <w:rPr>
          <w:color w:val="auto"/>
          <w:highlight w:val="none"/>
        </w:rPr>
        <w:instrText xml:space="preserve"> HYPERLINK "https://baike.so.com/doc/6614161-6827954.html" \t "https://baike.so.com/doc/_blank" </w:instrText>
      </w:r>
      <w:r>
        <w:rPr>
          <w:color w:val="auto"/>
          <w:highlight w:val="none"/>
        </w:rPr>
        <w:fldChar w:fldCharType="separate"/>
      </w:r>
      <w:r>
        <w:rPr>
          <w:rFonts w:hint="eastAsia" w:ascii="宋体" w:hAnsi="宋体" w:cs="宋体"/>
          <w:bCs/>
          <w:color w:val="auto"/>
          <w:sz w:val="24"/>
          <w:highlight w:val="none"/>
        </w:rPr>
        <w:t>中华人民共和国中小企业促进法</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》和《国务院关于进一步促进中小企业发展的若干意见》(国发〔2009〕36号)，制定本规定。</w:t>
      </w:r>
    </w:p>
    <w:p w14:paraId="6398EC39">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二、中小企业划分为中型、小型、微型三种类型，具体标准根据企业从业人员、营业收入、资产总额等指标，结合行业特点制定。</w:t>
      </w:r>
    </w:p>
    <w:p w14:paraId="4A8EE59F">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DA2962A">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四、各行业划型标准为:</w:t>
      </w:r>
    </w:p>
    <w:p w14:paraId="7A0BD800">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38318985">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92E9EF4">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3D6DCE">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A93B89">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4CA0BE0">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2CC0">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A744CB">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6A86CC6">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F4BF7BE">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8325A8">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FD9A7">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722E20">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D49DD8B">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EB607B">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8A169A">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4B2E13C2">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五、企业类型的划分以统计部门的统计数据为依据。</w:t>
      </w:r>
    </w:p>
    <w:p w14:paraId="5AFAEDDA">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六、本规定适用于在中华人民共和国境内依法设立的各类所有制和各种组织形式的企业。个体工商户和本规定以外的行业，参照本规定进行划型。</w:t>
      </w:r>
    </w:p>
    <w:p w14:paraId="293014D1">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105B4BF1">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八、本规定由工业和信息化部、国家统计局会同有关部门根据《</w:t>
      </w:r>
      <w:r>
        <w:rPr>
          <w:color w:val="auto"/>
          <w:highlight w:val="none"/>
        </w:rPr>
        <w:fldChar w:fldCharType="begin"/>
      </w:r>
      <w:r>
        <w:rPr>
          <w:color w:val="auto"/>
          <w:highlight w:val="none"/>
        </w:rPr>
        <w:instrText xml:space="preserve"> HYPERLINK "https://baike.so.com/doc/5401471-5639092.html" \t "https://baike.so.com/doc/_blank" </w:instrText>
      </w:r>
      <w:r>
        <w:rPr>
          <w:color w:val="auto"/>
          <w:highlight w:val="none"/>
        </w:rPr>
        <w:fldChar w:fldCharType="separate"/>
      </w:r>
      <w:r>
        <w:rPr>
          <w:rFonts w:hint="eastAsia" w:ascii="宋体" w:hAnsi="宋体" w:cs="宋体"/>
          <w:bCs/>
          <w:color w:val="auto"/>
          <w:sz w:val="24"/>
          <w:highlight w:val="none"/>
        </w:rPr>
        <w:t>国民经济行业分类</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t>》修订情况和企业发展变化情况适时修订。</w:t>
      </w:r>
    </w:p>
    <w:p w14:paraId="63659B5F">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九、本规定由工业和信息化部、国家统计局会同有关部门负责解释。</w:t>
      </w:r>
    </w:p>
    <w:p w14:paraId="131BCB90">
      <w:pPr>
        <w:pStyle w:val="25"/>
        <w:widowControl/>
        <w:spacing w:before="0" w:beforeAutospacing="0" w:after="0" w:afterAutospacing="0" w:line="500" w:lineRule="atLeast"/>
        <w:ind w:firstLine="480" w:firstLineChars="200"/>
        <w:rPr>
          <w:rFonts w:ascii="宋体" w:hAnsi="宋体" w:cs="宋体"/>
          <w:bCs/>
          <w:color w:val="auto"/>
          <w:sz w:val="24"/>
          <w:highlight w:val="none"/>
        </w:rPr>
      </w:pPr>
      <w:r>
        <w:rPr>
          <w:rFonts w:hint="eastAsia" w:ascii="宋体" w:hAnsi="宋体" w:cs="宋体"/>
          <w:bCs/>
          <w:color w:val="auto"/>
          <w:sz w:val="24"/>
          <w:highlight w:val="none"/>
        </w:rPr>
        <w:t>十、本规定自发布之日起执行，原国家经贸委、原国家计委、财政部和国家统计局2003年颁布的《中小企业标准暂行规定》同时废止。</w:t>
      </w:r>
      <w:bookmarkStart w:id="137" w:name="1120129-1185072-3"/>
      <w:bookmarkEnd w:id="137"/>
    </w:p>
    <w:p w14:paraId="673E763F">
      <w:pPr>
        <w:rPr>
          <w:rFonts w:ascii="宋体" w:hAnsi="宋体" w:cs="宋体"/>
          <w:b/>
          <w:color w:val="auto"/>
          <w:sz w:val="30"/>
          <w:szCs w:val="30"/>
          <w:highlight w:val="none"/>
        </w:rPr>
      </w:pPr>
      <w:bookmarkStart w:id="138" w:name="1120129-1185072-3_1"/>
      <w:bookmarkEnd w:id="13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0FD98B-76BA-4E82-BD47-5307475A89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EA45CF-5C13-4460-8E14-9E2EC3ED00FD}"/>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1C59D916-9DEF-485F-9048-7027D0AB5006}"/>
  </w:font>
  <w:font w:name="方正小标宋简体">
    <w:panose1 w:val="03000509000000000000"/>
    <w:charset w:val="86"/>
    <w:family w:val="auto"/>
    <w:pitch w:val="default"/>
    <w:sig w:usb0="00000001" w:usb1="080E0000" w:usb2="00000000" w:usb3="00000000" w:csb0="00040000" w:csb1="00000000"/>
    <w:embedRegular r:id="rId4" w:fontKey="{99DFF001-F3CA-43F6-B8A4-A193AACA2EB7}"/>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1CBDD9F7-1489-44BF-9B09-4F084BE4433E}"/>
  </w:font>
  <w:font w:name="TimesNewRomanPSMT">
    <w:altName w:val="Times New Roman"/>
    <w:panose1 w:val="00000000000000000000"/>
    <w:charset w:val="00"/>
    <w:family w:val="roman"/>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华文楷体">
    <w:altName w:val="楷体_GB2312"/>
    <w:panose1 w:val="00000000000000000000"/>
    <w:charset w:val="00"/>
    <w:family w:val="auto"/>
    <w:pitch w:val="default"/>
    <w:sig w:usb0="00000000" w:usb1="00000000" w:usb2="00000000" w:usb3="00000000" w:csb0="00000000" w:csb1="00000000"/>
    <w:embedRegular r:id="rId6" w:fontKey="{12AED0E8-12CF-4B0F-803B-721306E11B66}"/>
  </w:font>
  <w:font w:name="Courier New">
    <w:panose1 w:val="02070309020205020404"/>
    <w:charset w:val="00"/>
    <w:family w:val="auto"/>
    <w:pitch w:val="default"/>
    <w:sig w:usb0="E0002EFF" w:usb1="C0007843" w:usb2="00000009" w:usb3="00000000" w:csb0="400001FF" w:csb1="FFFF0000"/>
    <w:embedRegular r:id="rId7" w:fontKey="{129F0810-D88D-4089-A871-749A01178E5E}"/>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4923">
    <w:pPr>
      <w:spacing w:line="196" w:lineRule="auto"/>
      <w:ind w:left="4779"/>
      <w:rPr>
        <w:rFonts w:eastAsia="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F2069">
    <w:pPr>
      <w:spacing w:line="196" w:lineRule="auto"/>
      <w:ind w:left="4779"/>
      <w:rPr>
        <w:rFonts w:eastAsia="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29A0C">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929A0C">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BB531">
    <w:pPr>
      <w:spacing w:line="196" w:lineRule="auto"/>
      <w:ind w:left="4779"/>
      <w:rPr>
        <w:rFonts w:eastAsia="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A3340">
                          <w:pPr>
                            <w:pStyle w:val="1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97A3340">
                    <w:pPr>
                      <w:pStyle w:val="1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801D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E2FA9B">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BE2FA9B">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4AF0">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80706">
                          <w:pPr>
                            <w:pStyle w:val="1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AE80706">
                    <w:pPr>
                      <w:pStyle w:val="1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06CF2">
    <w:pPr>
      <w:spacing w:line="4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12DD7">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25A96"/>
    <w:multiLevelType w:val="singleLevel"/>
    <w:tmpl w:val="E8A25A96"/>
    <w:lvl w:ilvl="0" w:tentative="0">
      <w:start w:val="1"/>
      <w:numFmt w:val="chineseCounting"/>
      <w:suff w:val="nothing"/>
      <w:lvlText w:val="%1、"/>
      <w:lvlJc w:val="left"/>
      <w:rPr>
        <w:rFonts w:hint="eastAsia"/>
      </w:rPr>
    </w:lvl>
  </w:abstractNum>
  <w:abstractNum w:abstractNumId="1">
    <w:nsid w:val="34FE949C"/>
    <w:multiLevelType w:val="singleLevel"/>
    <w:tmpl w:val="34FE949C"/>
    <w:lvl w:ilvl="0" w:tentative="0">
      <w:start w:val="1"/>
      <w:numFmt w:val="decimal"/>
      <w:pStyle w:val="15"/>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wOGI4NGI4OWZmZTk1ODQ5MWE1OGYwNzgzNzU4MWIifQ=="/>
  </w:docVars>
  <w:rsids>
    <w:rsidRoot w:val="000271E2"/>
    <w:rsid w:val="000271E2"/>
    <w:rsid w:val="00070629"/>
    <w:rsid w:val="0008172E"/>
    <w:rsid w:val="000A6C91"/>
    <w:rsid w:val="00146BEF"/>
    <w:rsid w:val="00161899"/>
    <w:rsid w:val="001D4206"/>
    <w:rsid w:val="00204F1A"/>
    <w:rsid w:val="00281337"/>
    <w:rsid w:val="00294185"/>
    <w:rsid w:val="002D4797"/>
    <w:rsid w:val="0043332A"/>
    <w:rsid w:val="00514B03"/>
    <w:rsid w:val="005D7737"/>
    <w:rsid w:val="00721B7D"/>
    <w:rsid w:val="007721FD"/>
    <w:rsid w:val="007A145F"/>
    <w:rsid w:val="008D1FFC"/>
    <w:rsid w:val="008E4165"/>
    <w:rsid w:val="008F0A37"/>
    <w:rsid w:val="009A59D3"/>
    <w:rsid w:val="009C3FB7"/>
    <w:rsid w:val="009F7DF7"/>
    <w:rsid w:val="00A26E7A"/>
    <w:rsid w:val="00A73409"/>
    <w:rsid w:val="00B62E97"/>
    <w:rsid w:val="00B7652F"/>
    <w:rsid w:val="00B81948"/>
    <w:rsid w:val="00C30539"/>
    <w:rsid w:val="00C31AAB"/>
    <w:rsid w:val="00C649A6"/>
    <w:rsid w:val="00C93CF3"/>
    <w:rsid w:val="00CF16B2"/>
    <w:rsid w:val="00D7056D"/>
    <w:rsid w:val="00E01B26"/>
    <w:rsid w:val="00E1055C"/>
    <w:rsid w:val="00E83F87"/>
    <w:rsid w:val="00F05596"/>
    <w:rsid w:val="00F83BBB"/>
    <w:rsid w:val="00FA4984"/>
    <w:rsid w:val="00FE6558"/>
    <w:rsid w:val="010D5EC5"/>
    <w:rsid w:val="011E7FE5"/>
    <w:rsid w:val="011F532B"/>
    <w:rsid w:val="01431C28"/>
    <w:rsid w:val="01454888"/>
    <w:rsid w:val="01455F17"/>
    <w:rsid w:val="014A0195"/>
    <w:rsid w:val="01557D86"/>
    <w:rsid w:val="0161161E"/>
    <w:rsid w:val="01625A52"/>
    <w:rsid w:val="01883D54"/>
    <w:rsid w:val="018F1F55"/>
    <w:rsid w:val="01937797"/>
    <w:rsid w:val="01A15361"/>
    <w:rsid w:val="01BF4FD4"/>
    <w:rsid w:val="01C016C0"/>
    <w:rsid w:val="01C417A4"/>
    <w:rsid w:val="01C82F20"/>
    <w:rsid w:val="01CB3DD3"/>
    <w:rsid w:val="01D41E6A"/>
    <w:rsid w:val="01E128F1"/>
    <w:rsid w:val="01EC66B2"/>
    <w:rsid w:val="01EE2348"/>
    <w:rsid w:val="01EF29DF"/>
    <w:rsid w:val="02015A4B"/>
    <w:rsid w:val="02056CE6"/>
    <w:rsid w:val="02075520"/>
    <w:rsid w:val="020B009E"/>
    <w:rsid w:val="020C3669"/>
    <w:rsid w:val="020E7526"/>
    <w:rsid w:val="020F534C"/>
    <w:rsid w:val="021B59A9"/>
    <w:rsid w:val="02292ACE"/>
    <w:rsid w:val="022A7090"/>
    <w:rsid w:val="022E333E"/>
    <w:rsid w:val="023C343E"/>
    <w:rsid w:val="023C7916"/>
    <w:rsid w:val="024149ED"/>
    <w:rsid w:val="02427EC8"/>
    <w:rsid w:val="02476B75"/>
    <w:rsid w:val="024A6C99"/>
    <w:rsid w:val="025071C8"/>
    <w:rsid w:val="0252360F"/>
    <w:rsid w:val="025A16AE"/>
    <w:rsid w:val="027327D0"/>
    <w:rsid w:val="02740BB8"/>
    <w:rsid w:val="02766330"/>
    <w:rsid w:val="02881AC5"/>
    <w:rsid w:val="028963E4"/>
    <w:rsid w:val="028A6F7C"/>
    <w:rsid w:val="02C14803"/>
    <w:rsid w:val="02C313AB"/>
    <w:rsid w:val="02C820BA"/>
    <w:rsid w:val="02D92D78"/>
    <w:rsid w:val="02EB2C68"/>
    <w:rsid w:val="02ED5985"/>
    <w:rsid w:val="02EE1C6F"/>
    <w:rsid w:val="02F17034"/>
    <w:rsid w:val="02F261EA"/>
    <w:rsid w:val="02F3345B"/>
    <w:rsid w:val="02F40DB3"/>
    <w:rsid w:val="03175930"/>
    <w:rsid w:val="03446CAE"/>
    <w:rsid w:val="034B44A3"/>
    <w:rsid w:val="036B4029"/>
    <w:rsid w:val="036D5093"/>
    <w:rsid w:val="037E4DB0"/>
    <w:rsid w:val="038124E3"/>
    <w:rsid w:val="0397077B"/>
    <w:rsid w:val="03A369B9"/>
    <w:rsid w:val="03AF6C6B"/>
    <w:rsid w:val="03BF71B5"/>
    <w:rsid w:val="03BF7E06"/>
    <w:rsid w:val="03C15826"/>
    <w:rsid w:val="03D81831"/>
    <w:rsid w:val="03DE41AE"/>
    <w:rsid w:val="03E106F7"/>
    <w:rsid w:val="03E37A51"/>
    <w:rsid w:val="04093C03"/>
    <w:rsid w:val="04156F31"/>
    <w:rsid w:val="0423616E"/>
    <w:rsid w:val="042D60CF"/>
    <w:rsid w:val="043B6D06"/>
    <w:rsid w:val="043D3A66"/>
    <w:rsid w:val="043F474B"/>
    <w:rsid w:val="04474DDE"/>
    <w:rsid w:val="04524B2D"/>
    <w:rsid w:val="04594EBE"/>
    <w:rsid w:val="0468091F"/>
    <w:rsid w:val="04695CFB"/>
    <w:rsid w:val="047B22C9"/>
    <w:rsid w:val="047E3544"/>
    <w:rsid w:val="047F0945"/>
    <w:rsid w:val="04844779"/>
    <w:rsid w:val="04854128"/>
    <w:rsid w:val="04854E8F"/>
    <w:rsid w:val="048F701F"/>
    <w:rsid w:val="04A90DB9"/>
    <w:rsid w:val="04AD7B1C"/>
    <w:rsid w:val="04B50C03"/>
    <w:rsid w:val="04BD0C79"/>
    <w:rsid w:val="04C454DC"/>
    <w:rsid w:val="04C80EB0"/>
    <w:rsid w:val="04D80AE9"/>
    <w:rsid w:val="04E12020"/>
    <w:rsid w:val="04E417BF"/>
    <w:rsid w:val="04E72105"/>
    <w:rsid w:val="04FC391F"/>
    <w:rsid w:val="05050840"/>
    <w:rsid w:val="05135387"/>
    <w:rsid w:val="05174EC2"/>
    <w:rsid w:val="0538530C"/>
    <w:rsid w:val="05393DE8"/>
    <w:rsid w:val="05427102"/>
    <w:rsid w:val="054536D0"/>
    <w:rsid w:val="05483AD3"/>
    <w:rsid w:val="054E3E49"/>
    <w:rsid w:val="05502949"/>
    <w:rsid w:val="0557755C"/>
    <w:rsid w:val="0569410E"/>
    <w:rsid w:val="056D374B"/>
    <w:rsid w:val="05710EC2"/>
    <w:rsid w:val="05732B11"/>
    <w:rsid w:val="05744F19"/>
    <w:rsid w:val="057929FC"/>
    <w:rsid w:val="057D1E6A"/>
    <w:rsid w:val="0587053A"/>
    <w:rsid w:val="05881032"/>
    <w:rsid w:val="05946D18"/>
    <w:rsid w:val="05B418E6"/>
    <w:rsid w:val="05B91364"/>
    <w:rsid w:val="05C174EC"/>
    <w:rsid w:val="05C2341A"/>
    <w:rsid w:val="05CC2B24"/>
    <w:rsid w:val="05CC7357"/>
    <w:rsid w:val="05D15877"/>
    <w:rsid w:val="05DE6362"/>
    <w:rsid w:val="05E37A63"/>
    <w:rsid w:val="06002114"/>
    <w:rsid w:val="06035901"/>
    <w:rsid w:val="060E438E"/>
    <w:rsid w:val="061424E5"/>
    <w:rsid w:val="061D443E"/>
    <w:rsid w:val="061D713D"/>
    <w:rsid w:val="061F025B"/>
    <w:rsid w:val="06273EBA"/>
    <w:rsid w:val="06344D1B"/>
    <w:rsid w:val="0639341C"/>
    <w:rsid w:val="063C481E"/>
    <w:rsid w:val="06471FDD"/>
    <w:rsid w:val="0648551F"/>
    <w:rsid w:val="065021C5"/>
    <w:rsid w:val="06571AEC"/>
    <w:rsid w:val="065D2DEC"/>
    <w:rsid w:val="065E07BC"/>
    <w:rsid w:val="066174AF"/>
    <w:rsid w:val="066462EE"/>
    <w:rsid w:val="066F5D15"/>
    <w:rsid w:val="06932236"/>
    <w:rsid w:val="06942B4F"/>
    <w:rsid w:val="069B14FB"/>
    <w:rsid w:val="069D1CFC"/>
    <w:rsid w:val="06A42F8B"/>
    <w:rsid w:val="06A66D03"/>
    <w:rsid w:val="06B025BD"/>
    <w:rsid w:val="06BB0B67"/>
    <w:rsid w:val="06BD5E7A"/>
    <w:rsid w:val="06BF0909"/>
    <w:rsid w:val="06BF7DC5"/>
    <w:rsid w:val="06C574A8"/>
    <w:rsid w:val="06DB2C97"/>
    <w:rsid w:val="06E07C48"/>
    <w:rsid w:val="06E12B83"/>
    <w:rsid w:val="06E14136"/>
    <w:rsid w:val="06E75F94"/>
    <w:rsid w:val="06E95BBD"/>
    <w:rsid w:val="06EC076D"/>
    <w:rsid w:val="06F85085"/>
    <w:rsid w:val="06FB7F21"/>
    <w:rsid w:val="06FF0635"/>
    <w:rsid w:val="0710782F"/>
    <w:rsid w:val="071A5701"/>
    <w:rsid w:val="075637AE"/>
    <w:rsid w:val="075744B7"/>
    <w:rsid w:val="076F1BDB"/>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1F50C3"/>
    <w:rsid w:val="08202360"/>
    <w:rsid w:val="08242955"/>
    <w:rsid w:val="08316AA1"/>
    <w:rsid w:val="083737F4"/>
    <w:rsid w:val="083B58EC"/>
    <w:rsid w:val="085302CF"/>
    <w:rsid w:val="08755BCF"/>
    <w:rsid w:val="08816C5F"/>
    <w:rsid w:val="0889068B"/>
    <w:rsid w:val="088C7A37"/>
    <w:rsid w:val="08987A61"/>
    <w:rsid w:val="08AC29EE"/>
    <w:rsid w:val="08B25CD3"/>
    <w:rsid w:val="08B37162"/>
    <w:rsid w:val="08B7612A"/>
    <w:rsid w:val="08C138B7"/>
    <w:rsid w:val="08C16CD1"/>
    <w:rsid w:val="08CC2E0B"/>
    <w:rsid w:val="08D36D1C"/>
    <w:rsid w:val="08D824EB"/>
    <w:rsid w:val="08E2228D"/>
    <w:rsid w:val="08E81855"/>
    <w:rsid w:val="08F070B8"/>
    <w:rsid w:val="09024EEC"/>
    <w:rsid w:val="0906101C"/>
    <w:rsid w:val="094445DB"/>
    <w:rsid w:val="09495FEF"/>
    <w:rsid w:val="094979E6"/>
    <w:rsid w:val="0953146E"/>
    <w:rsid w:val="09553615"/>
    <w:rsid w:val="097337E4"/>
    <w:rsid w:val="097D1531"/>
    <w:rsid w:val="09815806"/>
    <w:rsid w:val="098211BD"/>
    <w:rsid w:val="09867A33"/>
    <w:rsid w:val="0994772E"/>
    <w:rsid w:val="099757B6"/>
    <w:rsid w:val="09A90F57"/>
    <w:rsid w:val="09AF41F6"/>
    <w:rsid w:val="09BA1A5E"/>
    <w:rsid w:val="09BB47C3"/>
    <w:rsid w:val="09E81DBB"/>
    <w:rsid w:val="09EA5ED1"/>
    <w:rsid w:val="09F84D5E"/>
    <w:rsid w:val="09FA43AB"/>
    <w:rsid w:val="09FF768D"/>
    <w:rsid w:val="0A1B5E17"/>
    <w:rsid w:val="0A356F59"/>
    <w:rsid w:val="0A402359"/>
    <w:rsid w:val="0A477B17"/>
    <w:rsid w:val="0A5251A1"/>
    <w:rsid w:val="0A564CAA"/>
    <w:rsid w:val="0A574C4E"/>
    <w:rsid w:val="0A5E59F2"/>
    <w:rsid w:val="0A6842D0"/>
    <w:rsid w:val="0A6C237D"/>
    <w:rsid w:val="0A7A73A4"/>
    <w:rsid w:val="0A7C5D9A"/>
    <w:rsid w:val="0A912F60"/>
    <w:rsid w:val="0AA25A34"/>
    <w:rsid w:val="0AA70FFE"/>
    <w:rsid w:val="0AAC240E"/>
    <w:rsid w:val="0AC57D42"/>
    <w:rsid w:val="0AC820C6"/>
    <w:rsid w:val="0AC90CD4"/>
    <w:rsid w:val="0ACB60AD"/>
    <w:rsid w:val="0ADD6518"/>
    <w:rsid w:val="0AE75D97"/>
    <w:rsid w:val="0B001CF2"/>
    <w:rsid w:val="0B2E5770"/>
    <w:rsid w:val="0B397DBB"/>
    <w:rsid w:val="0B4478EC"/>
    <w:rsid w:val="0B475FFE"/>
    <w:rsid w:val="0B565F3A"/>
    <w:rsid w:val="0B5B7D7E"/>
    <w:rsid w:val="0B670C20"/>
    <w:rsid w:val="0B6711E6"/>
    <w:rsid w:val="0B733F83"/>
    <w:rsid w:val="0B7363F2"/>
    <w:rsid w:val="0B737FDB"/>
    <w:rsid w:val="0B7C48A4"/>
    <w:rsid w:val="0B8515DB"/>
    <w:rsid w:val="0B8B1944"/>
    <w:rsid w:val="0B922411"/>
    <w:rsid w:val="0B9907D1"/>
    <w:rsid w:val="0BAA26B3"/>
    <w:rsid w:val="0BB9603D"/>
    <w:rsid w:val="0BBE46B5"/>
    <w:rsid w:val="0BCD51EC"/>
    <w:rsid w:val="0BD94F85"/>
    <w:rsid w:val="0BE63281"/>
    <w:rsid w:val="0BE97E68"/>
    <w:rsid w:val="0BF01215"/>
    <w:rsid w:val="0C015BDB"/>
    <w:rsid w:val="0C116A61"/>
    <w:rsid w:val="0C1328F8"/>
    <w:rsid w:val="0C285E4F"/>
    <w:rsid w:val="0C2E162E"/>
    <w:rsid w:val="0C321A7D"/>
    <w:rsid w:val="0C3A5F38"/>
    <w:rsid w:val="0C421C91"/>
    <w:rsid w:val="0C48055B"/>
    <w:rsid w:val="0C57284E"/>
    <w:rsid w:val="0C5C3822"/>
    <w:rsid w:val="0C623D5B"/>
    <w:rsid w:val="0C6336EF"/>
    <w:rsid w:val="0C6C5FB4"/>
    <w:rsid w:val="0C724D77"/>
    <w:rsid w:val="0C743FF7"/>
    <w:rsid w:val="0C744623"/>
    <w:rsid w:val="0C7F2FF0"/>
    <w:rsid w:val="0C837BF8"/>
    <w:rsid w:val="0C857F4D"/>
    <w:rsid w:val="0C913FB2"/>
    <w:rsid w:val="0C945EE3"/>
    <w:rsid w:val="0C98256C"/>
    <w:rsid w:val="0CA51C8C"/>
    <w:rsid w:val="0CAB08F7"/>
    <w:rsid w:val="0CB36A34"/>
    <w:rsid w:val="0CB56ED8"/>
    <w:rsid w:val="0CD24FC6"/>
    <w:rsid w:val="0CDB026F"/>
    <w:rsid w:val="0CE12D07"/>
    <w:rsid w:val="0CE23502"/>
    <w:rsid w:val="0CE4308B"/>
    <w:rsid w:val="0CEE1716"/>
    <w:rsid w:val="0D245D59"/>
    <w:rsid w:val="0D26492B"/>
    <w:rsid w:val="0D2A0944"/>
    <w:rsid w:val="0D3F0A7C"/>
    <w:rsid w:val="0D3F7C13"/>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DD0B79"/>
    <w:rsid w:val="0DE75C7B"/>
    <w:rsid w:val="0E0B10A1"/>
    <w:rsid w:val="0E0C7BC1"/>
    <w:rsid w:val="0E17155D"/>
    <w:rsid w:val="0E39220B"/>
    <w:rsid w:val="0E4229F8"/>
    <w:rsid w:val="0E4A5DCF"/>
    <w:rsid w:val="0E4C1905"/>
    <w:rsid w:val="0E595FA4"/>
    <w:rsid w:val="0E636DB5"/>
    <w:rsid w:val="0E654101"/>
    <w:rsid w:val="0E95406C"/>
    <w:rsid w:val="0EAC0C2F"/>
    <w:rsid w:val="0EAF3B53"/>
    <w:rsid w:val="0EB222ED"/>
    <w:rsid w:val="0EC57F43"/>
    <w:rsid w:val="0EC920D0"/>
    <w:rsid w:val="0ECB7A7E"/>
    <w:rsid w:val="0ED2734F"/>
    <w:rsid w:val="0ED3639B"/>
    <w:rsid w:val="0ED62152"/>
    <w:rsid w:val="0EE67DBF"/>
    <w:rsid w:val="0EEF0B20"/>
    <w:rsid w:val="0F16276E"/>
    <w:rsid w:val="0F17365F"/>
    <w:rsid w:val="0F1D0A4F"/>
    <w:rsid w:val="0F1F677D"/>
    <w:rsid w:val="0F252A53"/>
    <w:rsid w:val="0F466BF1"/>
    <w:rsid w:val="0F4B56D3"/>
    <w:rsid w:val="0F4C2387"/>
    <w:rsid w:val="0F4C602A"/>
    <w:rsid w:val="0F4E0EC5"/>
    <w:rsid w:val="0F535D74"/>
    <w:rsid w:val="0F59068B"/>
    <w:rsid w:val="0F86011A"/>
    <w:rsid w:val="0F8676D2"/>
    <w:rsid w:val="0F981AEB"/>
    <w:rsid w:val="0FB10583"/>
    <w:rsid w:val="0FB610D3"/>
    <w:rsid w:val="0FB9307D"/>
    <w:rsid w:val="0FC74656"/>
    <w:rsid w:val="0FC87A76"/>
    <w:rsid w:val="0FD02640"/>
    <w:rsid w:val="0FD760AA"/>
    <w:rsid w:val="0FEA5FC2"/>
    <w:rsid w:val="101908EE"/>
    <w:rsid w:val="101E5995"/>
    <w:rsid w:val="101E758E"/>
    <w:rsid w:val="10382707"/>
    <w:rsid w:val="10412694"/>
    <w:rsid w:val="104B2267"/>
    <w:rsid w:val="104B5041"/>
    <w:rsid w:val="104C1526"/>
    <w:rsid w:val="10550BEA"/>
    <w:rsid w:val="105C2FD7"/>
    <w:rsid w:val="106043C7"/>
    <w:rsid w:val="10737E12"/>
    <w:rsid w:val="107433A5"/>
    <w:rsid w:val="10944581"/>
    <w:rsid w:val="10950E21"/>
    <w:rsid w:val="10A8024D"/>
    <w:rsid w:val="10AD59D5"/>
    <w:rsid w:val="10B17711"/>
    <w:rsid w:val="10C77FA2"/>
    <w:rsid w:val="10CD557B"/>
    <w:rsid w:val="10EB179B"/>
    <w:rsid w:val="10EF4B23"/>
    <w:rsid w:val="10F92A97"/>
    <w:rsid w:val="110B2052"/>
    <w:rsid w:val="110D797F"/>
    <w:rsid w:val="1112279C"/>
    <w:rsid w:val="11190CA6"/>
    <w:rsid w:val="113949BB"/>
    <w:rsid w:val="114B2A0F"/>
    <w:rsid w:val="11515ABE"/>
    <w:rsid w:val="11584447"/>
    <w:rsid w:val="11593A1D"/>
    <w:rsid w:val="115D398D"/>
    <w:rsid w:val="11610D9E"/>
    <w:rsid w:val="11734DC4"/>
    <w:rsid w:val="117D32AF"/>
    <w:rsid w:val="118678B4"/>
    <w:rsid w:val="118B7221"/>
    <w:rsid w:val="118D1B4D"/>
    <w:rsid w:val="11A87DF1"/>
    <w:rsid w:val="11B524F0"/>
    <w:rsid w:val="11CB05E5"/>
    <w:rsid w:val="11CD0A14"/>
    <w:rsid w:val="11D16C2B"/>
    <w:rsid w:val="11D5346E"/>
    <w:rsid w:val="11D81C09"/>
    <w:rsid w:val="11DC3FBE"/>
    <w:rsid w:val="11DF0347"/>
    <w:rsid w:val="11E058AB"/>
    <w:rsid w:val="11E626AA"/>
    <w:rsid w:val="11E701D0"/>
    <w:rsid w:val="11EB0A6E"/>
    <w:rsid w:val="11F333CF"/>
    <w:rsid w:val="11F3549A"/>
    <w:rsid w:val="11F53B87"/>
    <w:rsid w:val="121337FD"/>
    <w:rsid w:val="12165887"/>
    <w:rsid w:val="121A609A"/>
    <w:rsid w:val="121F5BBC"/>
    <w:rsid w:val="12221650"/>
    <w:rsid w:val="12241840"/>
    <w:rsid w:val="122B7211"/>
    <w:rsid w:val="12311EE9"/>
    <w:rsid w:val="12312740"/>
    <w:rsid w:val="12337CD3"/>
    <w:rsid w:val="1241406C"/>
    <w:rsid w:val="12473E5E"/>
    <w:rsid w:val="124904BB"/>
    <w:rsid w:val="124F4532"/>
    <w:rsid w:val="12595AE4"/>
    <w:rsid w:val="125B3ADD"/>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2679B"/>
    <w:rsid w:val="13036596"/>
    <w:rsid w:val="13040806"/>
    <w:rsid w:val="130D0DF8"/>
    <w:rsid w:val="13253D9A"/>
    <w:rsid w:val="133311E8"/>
    <w:rsid w:val="133D3589"/>
    <w:rsid w:val="133E4E53"/>
    <w:rsid w:val="13461BDB"/>
    <w:rsid w:val="13693677"/>
    <w:rsid w:val="13790895"/>
    <w:rsid w:val="1384535D"/>
    <w:rsid w:val="138C61F8"/>
    <w:rsid w:val="13945A6A"/>
    <w:rsid w:val="139E3520"/>
    <w:rsid w:val="139F106B"/>
    <w:rsid w:val="13A46AF3"/>
    <w:rsid w:val="13AB7498"/>
    <w:rsid w:val="13AC02D6"/>
    <w:rsid w:val="13AC331F"/>
    <w:rsid w:val="13AC7ACF"/>
    <w:rsid w:val="13B42377"/>
    <w:rsid w:val="13BA4012"/>
    <w:rsid w:val="13CB66E1"/>
    <w:rsid w:val="13CF6848"/>
    <w:rsid w:val="13D11138"/>
    <w:rsid w:val="13D347C6"/>
    <w:rsid w:val="13D549B5"/>
    <w:rsid w:val="13D83EFE"/>
    <w:rsid w:val="13D958DB"/>
    <w:rsid w:val="14060050"/>
    <w:rsid w:val="140E7C96"/>
    <w:rsid w:val="141023CE"/>
    <w:rsid w:val="1412533E"/>
    <w:rsid w:val="14160299"/>
    <w:rsid w:val="141A221F"/>
    <w:rsid w:val="141B163F"/>
    <w:rsid w:val="142E20E6"/>
    <w:rsid w:val="144109FD"/>
    <w:rsid w:val="14447B5C"/>
    <w:rsid w:val="144F18F5"/>
    <w:rsid w:val="1453086B"/>
    <w:rsid w:val="14537014"/>
    <w:rsid w:val="145862E8"/>
    <w:rsid w:val="145D1D0F"/>
    <w:rsid w:val="146077B6"/>
    <w:rsid w:val="14656D97"/>
    <w:rsid w:val="146A6309"/>
    <w:rsid w:val="146F72F4"/>
    <w:rsid w:val="1470123B"/>
    <w:rsid w:val="14787805"/>
    <w:rsid w:val="148150FF"/>
    <w:rsid w:val="148A7C64"/>
    <w:rsid w:val="148C0304"/>
    <w:rsid w:val="14927F29"/>
    <w:rsid w:val="14B800A6"/>
    <w:rsid w:val="14B91EAB"/>
    <w:rsid w:val="14BD71B5"/>
    <w:rsid w:val="14C85DBE"/>
    <w:rsid w:val="14CC0610"/>
    <w:rsid w:val="14EB1588"/>
    <w:rsid w:val="14EF5D5B"/>
    <w:rsid w:val="14F02D82"/>
    <w:rsid w:val="14F07B4B"/>
    <w:rsid w:val="14F96B98"/>
    <w:rsid w:val="14FA53FE"/>
    <w:rsid w:val="151B1A81"/>
    <w:rsid w:val="153342E1"/>
    <w:rsid w:val="153835C5"/>
    <w:rsid w:val="15466D1F"/>
    <w:rsid w:val="156E201F"/>
    <w:rsid w:val="15794030"/>
    <w:rsid w:val="157C1BB0"/>
    <w:rsid w:val="157F73F1"/>
    <w:rsid w:val="15882AAF"/>
    <w:rsid w:val="158D422E"/>
    <w:rsid w:val="158E5E52"/>
    <w:rsid w:val="15903BF7"/>
    <w:rsid w:val="15903F61"/>
    <w:rsid w:val="15966791"/>
    <w:rsid w:val="15AF07CC"/>
    <w:rsid w:val="15B10E05"/>
    <w:rsid w:val="15B44636"/>
    <w:rsid w:val="15C04DA1"/>
    <w:rsid w:val="15CD7FE6"/>
    <w:rsid w:val="15CF541B"/>
    <w:rsid w:val="15D67D69"/>
    <w:rsid w:val="15D93539"/>
    <w:rsid w:val="15E3769B"/>
    <w:rsid w:val="15E44A47"/>
    <w:rsid w:val="15FF5FF0"/>
    <w:rsid w:val="16037432"/>
    <w:rsid w:val="160E7A0D"/>
    <w:rsid w:val="16133FB5"/>
    <w:rsid w:val="16140ACE"/>
    <w:rsid w:val="161645B2"/>
    <w:rsid w:val="16172CD0"/>
    <w:rsid w:val="1618494F"/>
    <w:rsid w:val="161A7216"/>
    <w:rsid w:val="16336886"/>
    <w:rsid w:val="163B65F5"/>
    <w:rsid w:val="16430322"/>
    <w:rsid w:val="164A07A8"/>
    <w:rsid w:val="164C0E1F"/>
    <w:rsid w:val="16520BA9"/>
    <w:rsid w:val="16550A4B"/>
    <w:rsid w:val="16581073"/>
    <w:rsid w:val="166354BF"/>
    <w:rsid w:val="167859EC"/>
    <w:rsid w:val="169135ED"/>
    <w:rsid w:val="16934F52"/>
    <w:rsid w:val="169B5B99"/>
    <w:rsid w:val="169D39F1"/>
    <w:rsid w:val="16A20335"/>
    <w:rsid w:val="16A232B5"/>
    <w:rsid w:val="16B234A2"/>
    <w:rsid w:val="16C7558D"/>
    <w:rsid w:val="16D922FE"/>
    <w:rsid w:val="16DC1398"/>
    <w:rsid w:val="16E42F30"/>
    <w:rsid w:val="16EE4379"/>
    <w:rsid w:val="16F87717"/>
    <w:rsid w:val="171123C9"/>
    <w:rsid w:val="171673CC"/>
    <w:rsid w:val="17195FD9"/>
    <w:rsid w:val="17215F32"/>
    <w:rsid w:val="1739389B"/>
    <w:rsid w:val="17426B41"/>
    <w:rsid w:val="17442EB6"/>
    <w:rsid w:val="1744341B"/>
    <w:rsid w:val="174E7E6A"/>
    <w:rsid w:val="1752072D"/>
    <w:rsid w:val="175569EB"/>
    <w:rsid w:val="176766C9"/>
    <w:rsid w:val="17706AD1"/>
    <w:rsid w:val="17760A21"/>
    <w:rsid w:val="177F38A8"/>
    <w:rsid w:val="17A45CF3"/>
    <w:rsid w:val="17AB0F43"/>
    <w:rsid w:val="17AC7EF2"/>
    <w:rsid w:val="17B460A0"/>
    <w:rsid w:val="17BD58C0"/>
    <w:rsid w:val="17C80986"/>
    <w:rsid w:val="17C83968"/>
    <w:rsid w:val="17CD2363"/>
    <w:rsid w:val="17E64CBC"/>
    <w:rsid w:val="17EA25AE"/>
    <w:rsid w:val="17EB0715"/>
    <w:rsid w:val="17EF6733"/>
    <w:rsid w:val="17F20534"/>
    <w:rsid w:val="17FD24FB"/>
    <w:rsid w:val="18000DA2"/>
    <w:rsid w:val="18221B76"/>
    <w:rsid w:val="18264E11"/>
    <w:rsid w:val="182800CE"/>
    <w:rsid w:val="182A1654"/>
    <w:rsid w:val="182F5D74"/>
    <w:rsid w:val="18335339"/>
    <w:rsid w:val="183775BA"/>
    <w:rsid w:val="184C0485"/>
    <w:rsid w:val="184F14A2"/>
    <w:rsid w:val="185354FE"/>
    <w:rsid w:val="185724EA"/>
    <w:rsid w:val="186E3872"/>
    <w:rsid w:val="187D159A"/>
    <w:rsid w:val="18876EF7"/>
    <w:rsid w:val="188C1B1D"/>
    <w:rsid w:val="188F21DB"/>
    <w:rsid w:val="18A34E47"/>
    <w:rsid w:val="18B550F2"/>
    <w:rsid w:val="18BA2656"/>
    <w:rsid w:val="18D23D64"/>
    <w:rsid w:val="18D75E45"/>
    <w:rsid w:val="18DA05D5"/>
    <w:rsid w:val="18DA12F8"/>
    <w:rsid w:val="18DF42F7"/>
    <w:rsid w:val="18E72936"/>
    <w:rsid w:val="19083AE7"/>
    <w:rsid w:val="190B5B85"/>
    <w:rsid w:val="19122426"/>
    <w:rsid w:val="19157D20"/>
    <w:rsid w:val="191E0E00"/>
    <w:rsid w:val="19341F4D"/>
    <w:rsid w:val="19362169"/>
    <w:rsid w:val="19397763"/>
    <w:rsid w:val="193D01D8"/>
    <w:rsid w:val="194115A9"/>
    <w:rsid w:val="19475905"/>
    <w:rsid w:val="194C143C"/>
    <w:rsid w:val="19544D3A"/>
    <w:rsid w:val="195C3AA7"/>
    <w:rsid w:val="1966511E"/>
    <w:rsid w:val="197B110A"/>
    <w:rsid w:val="197E7326"/>
    <w:rsid w:val="19813634"/>
    <w:rsid w:val="19842D82"/>
    <w:rsid w:val="198712C9"/>
    <w:rsid w:val="199E351A"/>
    <w:rsid w:val="19A366B4"/>
    <w:rsid w:val="19A52E4A"/>
    <w:rsid w:val="19B23773"/>
    <w:rsid w:val="19BD3438"/>
    <w:rsid w:val="19BF7CA0"/>
    <w:rsid w:val="19CA0299"/>
    <w:rsid w:val="19D776CE"/>
    <w:rsid w:val="19D96C75"/>
    <w:rsid w:val="19E5653F"/>
    <w:rsid w:val="19F075FF"/>
    <w:rsid w:val="19F31E08"/>
    <w:rsid w:val="19F81560"/>
    <w:rsid w:val="19FE7890"/>
    <w:rsid w:val="1A155EFE"/>
    <w:rsid w:val="1A191401"/>
    <w:rsid w:val="1A19693D"/>
    <w:rsid w:val="1A275376"/>
    <w:rsid w:val="1A3A76B3"/>
    <w:rsid w:val="1A4053DA"/>
    <w:rsid w:val="1A4817D2"/>
    <w:rsid w:val="1A5A51FF"/>
    <w:rsid w:val="1A767127"/>
    <w:rsid w:val="1A767A16"/>
    <w:rsid w:val="1A775BA1"/>
    <w:rsid w:val="1A792B42"/>
    <w:rsid w:val="1A7E5B1F"/>
    <w:rsid w:val="1A820AB7"/>
    <w:rsid w:val="1A8D5210"/>
    <w:rsid w:val="1A974755"/>
    <w:rsid w:val="1AA61C46"/>
    <w:rsid w:val="1ABB6D7C"/>
    <w:rsid w:val="1ABF08C1"/>
    <w:rsid w:val="1AC0262D"/>
    <w:rsid w:val="1ACC1BF6"/>
    <w:rsid w:val="1ADD372D"/>
    <w:rsid w:val="1AE34D03"/>
    <w:rsid w:val="1AEB08AE"/>
    <w:rsid w:val="1AF44089"/>
    <w:rsid w:val="1AF70129"/>
    <w:rsid w:val="1B084CBE"/>
    <w:rsid w:val="1B13686F"/>
    <w:rsid w:val="1B257F7D"/>
    <w:rsid w:val="1B2B4328"/>
    <w:rsid w:val="1B2C1E5D"/>
    <w:rsid w:val="1B304996"/>
    <w:rsid w:val="1B4B15E7"/>
    <w:rsid w:val="1B5D45F6"/>
    <w:rsid w:val="1B5F444E"/>
    <w:rsid w:val="1B6036C8"/>
    <w:rsid w:val="1B666609"/>
    <w:rsid w:val="1B70239F"/>
    <w:rsid w:val="1BAE3275"/>
    <w:rsid w:val="1BB41072"/>
    <w:rsid w:val="1BBD320E"/>
    <w:rsid w:val="1BBD7B09"/>
    <w:rsid w:val="1BC12731"/>
    <w:rsid w:val="1BCC5083"/>
    <w:rsid w:val="1BD7261C"/>
    <w:rsid w:val="1BE45682"/>
    <w:rsid w:val="1BEA4FEC"/>
    <w:rsid w:val="1BEE7A4F"/>
    <w:rsid w:val="1BFB15ED"/>
    <w:rsid w:val="1C052FB3"/>
    <w:rsid w:val="1C0B2F31"/>
    <w:rsid w:val="1C0D5877"/>
    <w:rsid w:val="1C1036BB"/>
    <w:rsid w:val="1C164D29"/>
    <w:rsid w:val="1C320C8A"/>
    <w:rsid w:val="1C4073D3"/>
    <w:rsid w:val="1C43031D"/>
    <w:rsid w:val="1C463D7C"/>
    <w:rsid w:val="1C4F0E07"/>
    <w:rsid w:val="1C6315F6"/>
    <w:rsid w:val="1C785875"/>
    <w:rsid w:val="1C812F25"/>
    <w:rsid w:val="1C844E32"/>
    <w:rsid w:val="1C917921"/>
    <w:rsid w:val="1C9300A3"/>
    <w:rsid w:val="1C982A38"/>
    <w:rsid w:val="1C9B2541"/>
    <w:rsid w:val="1CA01F2E"/>
    <w:rsid w:val="1CA349A7"/>
    <w:rsid w:val="1CCA4013"/>
    <w:rsid w:val="1CD52FEA"/>
    <w:rsid w:val="1CD922F5"/>
    <w:rsid w:val="1CE562B9"/>
    <w:rsid w:val="1CEC44F0"/>
    <w:rsid w:val="1CED4BD6"/>
    <w:rsid w:val="1CF314D4"/>
    <w:rsid w:val="1CF50629"/>
    <w:rsid w:val="1D097D79"/>
    <w:rsid w:val="1D0B3946"/>
    <w:rsid w:val="1D1B63EF"/>
    <w:rsid w:val="1D1C5E58"/>
    <w:rsid w:val="1D2109B3"/>
    <w:rsid w:val="1D330F1C"/>
    <w:rsid w:val="1D3946F2"/>
    <w:rsid w:val="1D452B63"/>
    <w:rsid w:val="1D4E4A14"/>
    <w:rsid w:val="1D521F1C"/>
    <w:rsid w:val="1D64050B"/>
    <w:rsid w:val="1D6478AF"/>
    <w:rsid w:val="1D662C9C"/>
    <w:rsid w:val="1D6A0633"/>
    <w:rsid w:val="1D7501A1"/>
    <w:rsid w:val="1D776D95"/>
    <w:rsid w:val="1D790FCC"/>
    <w:rsid w:val="1D7E436A"/>
    <w:rsid w:val="1D7F1DD1"/>
    <w:rsid w:val="1D8611E5"/>
    <w:rsid w:val="1D887FDD"/>
    <w:rsid w:val="1D891FC7"/>
    <w:rsid w:val="1D8D4321"/>
    <w:rsid w:val="1D903E12"/>
    <w:rsid w:val="1D906B60"/>
    <w:rsid w:val="1DA57AAD"/>
    <w:rsid w:val="1DB2580B"/>
    <w:rsid w:val="1DB32351"/>
    <w:rsid w:val="1DB722E0"/>
    <w:rsid w:val="1DCA2E80"/>
    <w:rsid w:val="1DCC309C"/>
    <w:rsid w:val="1DD468BA"/>
    <w:rsid w:val="1DE974EE"/>
    <w:rsid w:val="1DEF3669"/>
    <w:rsid w:val="1DF33DB2"/>
    <w:rsid w:val="1E05531A"/>
    <w:rsid w:val="1E0A7420"/>
    <w:rsid w:val="1E15334A"/>
    <w:rsid w:val="1E1A5215"/>
    <w:rsid w:val="1E210712"/>
    <w:rsid w:val="1E2527AC"/>
    <w:rsid w:val="1E2752F7"/>
    <w:rsid w:val="1E317BBC"/>
    <w:rsid w:val="1E36795E"/>
    <w:rsid w:val="1E475F88"/>
    <w:rsid w:val="1E482465"/>
    <w:rsid w:val="1E483B20"/>
    <w:rsid w:val="1E4B1048"/>
    <w:rsid w:val="1E5170FD"/>
    <w:rsid w:val="1E676EDF"/>
    <w:rsid w:val="1E6B45E5"/>
    <w:rsid w:val="1E724DE3"/>
    <w:rsid w:val="1E7361AA"/>
    <w:rsid w:val="1EBC7DE0"/>
    <w:rsid w:val="1EBD29E4"/>
    <w:rsid w:val="1EC2015F"/>
    <w:rsid w:val="1ECA7131"/>
    <w:rsid w:val="1ECE699F"/>
    <w:rsid w:val="1ECF0F2F"/>
    <w:rsid w:val="1ED03DE9"/>
    <w:rsid w:val="1ED27C99"/>
    <w:rsid w:val="1EDA4C19"/>
    <w:rsid w:val="1EE21E4B"/>
    <w:rsid w:val="1F007BC5"/>
    <w:rsid w:val="1F051E2B"/>
    <w:rsid w:val="1F083A58"/>
    <w:rsid w:val="1F112270"/>
    <w:rsid w:val="1F2234BC"/>
    <w:rsid w:val="1F2D0557"/>
    <w:rsid w:val="1F397700"/>
    <w:rsid w:val="1F3E3D05"/>
    <w:rsid w:val="1F536D3F"/>
    <w:rsid w:val="1F5A0A27"/>
    <w:rsid w:val="1F6477E0"/>
    <w:rsid w:val="1F784C48"/>
    <w:rsid w:val="1F860486"/>
    <w:rsid w:val="1F896F37"/>
    <w:rsid w:val="1F9454A9"/>
    <w:rsid w:val="1FA176DF"/>
    <w:rsid w:val="1FA60DAF"/>
    <w:rsid w:val="1FB43DE7"/>
    <w:rsid w:val="1FC61ED5"/>
    <w:rsid w:val="1FC92A24"/>
    <w:rsid w:val="1FD73527"/>
    <w:rsid w:val="1FDC5B1C"/>
    <w:rsid w:val="1FE04BDC"/>
    <w:rsid w:val="1FE11A78"/>
    <w:rsid w:val="1FE521F3"/>
    <w:rsid w:val="20084133"/>
    <w:rsid w:val="20127B0E"/>
    <w:rsid w:val="201B6695"/>
    <w:rsid w:val="201D462F"/>
    <w:rsid w:val="202507BB"/>
    <w:rsid w:val="20255FD9"/>
    <w:rsid w:val="202B5901"/>
    <w:rsid w:val="20390BAA"/>
    <w:rsid w:val="203F45A7"/>
    <w:rsid w:val="2042312F"/>
    <w:rsid w:val="204C004D"/>
    <w:rsid w:val="204E3240"/>
    <w:rsid w:val="20544DFE"/>
    <w:rsid w:val="20765AE9"/>
    <w:rsid w:val="20800C04"/>
    <w:rsid w:val="2090032A"/>
    <w:rsid w:val="20992FDD"/>
    <w:rsid w:val="209D4B49"/>
    <w:rsid w:val="20A60A09"/>
    <w:rsid w:val="20B17816"/>
    <w:rsid w:val="20BB4CAB"/>
    <w:rsid w:val="20BF55AB"/>
    <w:rsid w:val="20C150A1"/>
    <w:rsid w:val="20C40B24"/>
    <w:rsid w:val="20C5226D"/>
    <w:rsid w:val="20DD55C0"/>
    <w:rsid w:val="20E13C43"/>
    <w:rsid w:val="20E75F11"/>
    <w:rsid w:val="211E2230"/>
    <w:rsid w:val="213372B5"/>
    <w:rsid w:val="213C0BDF"/>
    <w:rsid w:val="21486BA6"/>
    <w:rsid w:val="21494AB6"/>
    <w:rsid w:val="214C62A1"/>
    <w:rsid w:val="215749BA"/>
    <w:rsid w:val="216A793E"/>
    <w:rsid w:val="217D1658"/>
    <w:rsid w:val="21876357"/>
    <w:rsid w:val="21973A69"/>
    <w:rsid w:val="21986894"/>
    <w:rsid w:val="219954B9"/>
    <w:rsid w:val="219D5C62"/>
    <w:rsid w:val="219E0893"/>
    <w:rsid w:val="21A84A35"/>
    <w:rsid w:val="21AC60B7"/>
    <w:rsid w:val="21AD6E52"/>
    <w:rsid w:val="21BF7D7F"/>
    <w:rsid w:val="21C22705"/>
    <w:rsid w:val="21C347B6"/>
    <w:rsid w:val="21C43B80"/>
    <w:rsid w:val="21E64A84"/>
    <w:rsid w:val="22052DC8"/>
    <w:rsid w:val="220B0879"/>
    <w:rsid w:val="220F3DD9"/>
    <w:rsid w:val="222D13B2"/>
    <w:rsid w:val="22412AA4"/>
    <w:rsid w:val="22484D4A"/>
    <w:rsid w:val="225C6F01"/>
    <w:rsid w:val="22664AEB"/>
    <w:rsid w:val="226748AD"/>
    <w:rsid w:val="2274375B"/>
    <w:rsid w:val="227616B0"/>
    <w:rsid w:val="229828DE"/>
    <w:rsid w:val="22AB192E"/>
    <w:rsid w:val="22AD011B"/>
    <w:rsid w:val="22AD51B0"/>
    <w:rsid w:val="22AF6FB4"/>
    <w:rsid w:val="22B57C5B"/>
    <w:rsid w:val="22B819A2"/>
    <w:rsid w:val="22D14A7D"/>
    <w:rsid w:val="22DA55A5"/>
    <w:rsid w:val="22E83154"/>
    <w:rsid w:val="22FE0F77"/>
    <w:rsid w:val="23024E6A"/>
    <w:rsid w:val="230620AA"/>
    <w:rsid w:val="23275032"/>
    <w:rsid w:val="233E581D"/>
    <w:rsid w:val="23475340"/>
    <w:rsid w:val="236153B7"/>
    <w:rsid w:val="236173E4"/>
    <w:rsid w:val="237607F8"/>
    <w:rsid w:val="237C79BA"/>
    <w:rsid w:val="23840747"/>
    <w:rsid w:val="238D484F"/>
    <w:rsid w:val="23A349DF"/>
    <w:rsid w:val="23A73B8E"/>
    <w:rsid w:val="23AC2440"/>
    <w:rsid w:val="23C23745"/>
    <w:rsid w:val="23CB75DA"/>
    <w:rsid w:val="23CC2836"/>
    <w:rsid w:val="23E075A7"/>
    <w:rsid w:val="23E629DD"/>
    <w:rsid w:val="23F46333"/>
    <w:rsid w:val="24023F65"/>
    <w:rsid w:val="240E2B19"/>
    <w:rsid w:val="2413504A"/>
    <w:rsid w:val="24243C4E"/>
    <w:rsid w:val="24296F7F"/>
    <w:rsid w:val="242B4415"/>
    <w:rsid w:val="24362A37"/>
    <w:rsid w:val="24387D06"/>
    <w:rsid w:val="244B6ED4"/>
    <w:rsid w:val="24640FE3"/>
    <w:rsid w:val="246E40F1"/>
    <w:rsid w:val="247566A7"/>
    <w:rsid w:val="24762AA5"/>
    <w:rsid w:val="247B1FE7"/>
    <w:rsid w:val="24A222AD"/>
    <w:rsid w:val="24A432D9"/>
    <w:rsid w:val="24AD11BA"/>
    <w:rsid w:val="24AD3E08"/>
    <w:rsid w:val="24B271F1"/>
    <w:rsid w:val="24CD1E83"/>
    <w:rsid w:val="24EC61D3"/>
    <w:rsid w:val="24F149FA"/>
    <w:rsid w:val="251D242F"/>
    <w:rsid w:val="252866F3"/>
    <w:rsid w:val="252E065E"/>
    <w:rsid w:val="254A5846"/>
    <w:rsid w:val="25561369"/>
    <w:rsid w:val="25610EE2"/>
    <w:rsid w:val="256237B8"/>
    <w:rsid w:val="256B397C"/>
    <w:rsid w:val="25791BC4"/>
    <w:rsid w:val="257B2490"/>
    <w:rsid w:val="25822E10"/>
    <w:rsid w:val="25A42AF3"/>
    <w:rsid w:val="25AC4FBE"/>
    <w:rsid w:val="25AD2008"/>
    <w:rsid w:val="25BA05FA"/>
    <w:rsid w:val="25CF6CDD"/>
    <w:rsid w:val="25D26BF1"/>
    <w:rsid w:val="25DC32E7"/>
    <w:rsid w:val="25E27E8F"/>
    <w:rsid w:val="26066C92"/>
    <w:rsid w:val="260757FB"/>
    <w:rsid w:val="261455E0"/>
    <w:rsid w:val="26230C1A"/>
    <w:rsid w:val="262B5006"/>
    <w:rsid w:val="263F18CA"/>
    <w:rsid w:val="26403AF5"/>
    <w:rsid w:val="265A6A68"/>
    <w:rsid w:val="26722306"/>
    <w:rsid w:val="267F78C7"/>
    <w:rsid w:val="268D2189"/>
    <w:rsid w:val="26A65F2E"/>
    <w:rsid w:val="26AA7B90"/>
    <w:rsid w:val="26AE2A83"/>
    <w:rsid w:val="26B17617"/>
    <w:rsid w:val="26B402C7"/>
    <w:rsid w:val="26BE52D9"/>
    <w:rsid w:val="26C718EF"/>
    <w:rsid w:val="26CA63EC"/>
    <w:rsid w:val="26D7660D"/>
    <w:rsid w:val="26E02BF7"/>
    <w:rsid w:val="26F31699"/>
    <w:rsid w:val="26FC74E3"/>
    <w:rsid w:val="26FD4EF1"/>
    <w:rsid w:val="2708121B"/>
    <w:rsid w:val="270A79AF"/>
    <w:rsid w:val="27216B9E"/>
    <w:rsid w:val="27277595"/>
    <w:rsid w:val="2728510E"/>
    <w:rsid w:val="272B7B38"/>
    <w:rsid w:val="272F13E2"/>
    <w:rsid w:val="2738729D"/>
    <w:rsid w:val="274D73A3"/>
    <w:rsid w:val="2751456D"/>
    <w:rsid w:val="27653C1A"/>
    <w:rsid w:val="276E1EDD"/>
    <w:rsid w:val="277841EE"/>
    <w:rsid w:val="277F3615"/>
    <w:rsid w:val="27832D0B"/>
    <w:rsid w:val="278334E1"/>
    <w:rsid w:val="278C6770"/>
    <w:rsid w:val="278D30D3"/>
    <w:rsid w:val="279F1686"/>
    <w:rsid w:val="27AC219C"/>
    <w:rsid w:val="27BA1C0D"/>
    <w:rsid w:val="27C2539A"/>
    <w:rsid w:val="27CD3795"/>
    <w:rsid w:val="27CD66E6"/>
    <w:rsid w:val="27D11AB5"/>
    <w:rsid w:val="27DA17F9"/>
    <w:rsid w:val="27E506DE"/>
    <w:rsid w:val="27E72880"/>
    <w:rsid w:val="28080567"/>
    <w:rsid w:val="281404E4"/>
    <w:rsid w:val="281A5F65"/>
    <w:rsid w:val="282D3B7A"/>
    <w:rsid w:val="28320BEF"/>
    <w:rsid w:val="2835183D"/>
    <w:rsid w:val="285579A3"/>
    <w:rsid w:val="286136B2"/>
    <w:rsid w:val="286835D0"/>
    <w:rsid w:val="286C3EFE"/>
    <w:rsid w:val="28764D45"/>
    <w:rsid w:val="28815308"/>
    <w:rsid w:val="288D4D90"/>
    <w:rsid w:val="288F53F1"/>
    <w:rsid w:val="289363ED"/>
    <w:rsid w:val="28A44971"/>
    <w:rsid w:val="28A7566A"/>
    <w:rsid w:val="28AB365F"/>
    <w:rsid w:val="28BB5C8C"/>
    <w:rsid w:val="28C820DE"/>
    <w:rsid w:val="28CB31AE"/>
    <w:rsid w:val="28CB4F9F"/>
    <w:rsid w:val="28D64F00"/>
    <w:rsid w:val="28D84929"/>
    <w:rsid w:val="28E27260"/>
    <w:rsid w:val="28EB63A0"/>
    <w:rsid w:val="28F83DF8"/>
    <w:rsid w:val="28FD6BEC"/>
    <w:rsid w:val="29312557"/>
    <w:rsid w:val="293255C4"/>
    <w:rsid w:val="29373017"/>
    <w:rsid w:val="29447C90"/>
    <w:rsid w:val="29513F9E"/>
    <w:rsid w:val="29523185"/>
    <w:rsid w:val="29531179"/>
    <w:rsid w:val="295E40CB"/>
    <w:rsid w:val="296248B4"/>
    <w:rsid w:val="296C76B4"/>
    <w:rsid w:val="29772B08"/>
    <w:rsid w:val="297B57EB"/>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1D4BAB"/>
    <w:rsid w:val="2A213B26"/>
    <w:rsid w:val="2A481CFC"/>
    <w:rsid w:val="2A496A6A"/>
    <w:rsid w:val="2A5C0AED"/>
    <w:rsid w:val="2A6E2985"/>
    <w:rsid w:val="2A6F5F9E"/>
    <w:rsid w:val="2A7722C8"/>
    <w:rsid w:val="2A7C06B4"/>
    <w:rsid w:val="2A8D5961"/>
    <w:rsid w:val="2AAC2374"/>
    <w:rsid w:val="2AAD4509"/>
    <w:rsid w:val="2AB87F34"/>
    <w:rsid w:val="2ABA315A"/>
    <w:rsid w:val="2ABC010F"/>
    <w:rsid w:val="2AC824BE"/>
    <w:rsid w:val="2ADE00FE"/>
    <w:rsid w:val="2AF40B26"/>
    <w:rsid w:val="2AF815A9"/>
    <w:rsid w:val="2B05199B"/>
    <w:rsid w:val="2B1B2D6A"/>
    <w:rsid w:val="2B215656"/>
    <w:rsid w:val="2B271173"/>
    <w:rsid w:val="2B2B370F"/>
    <w:rsid w:val="2B4B7D6A"/>
    <w:rsid w:val="2B4D7E1F"/>
    <w:rsid w:val="2B53763F"/>
    <w:rsid w:val="2B5446D0"/>
    <w:rsid w:val="2B6E6791"/>
    <w:rsid w:val="2B7F02AD"/>
    <w:rsid w:val="2B8B413B"/>
    <w:rsid w:val="2B9B5E5B"/>
    <w:rsid w:val="2BBB5724"/>
    <w:rsid w:val="2BD372F7"/>
    <w:rsid w:val="2BD441CC"/>
    <w:rsid w:val="2BD51896"/>
    <w:rsid w:val="2BE42958"/>
    <w:rsid w:val="2BEE2055"/>
    <w:rsid w:val="2C0B4624"/>
    <w:rsid w:val="2C0F7289"/>
    <w:rsid w:val="2C115363"/>
    <w:rsid w:val="2C243785"/>
    <w:rsid w:val="2C2C5D08"/>
    <w:rsid w:val="2C3312C1"/>
    <w:rsid w:val="2C513745"/>
    <w:rsid w:val="2C647115"/>
    <w:rsid w:val="2C6818B4"/>
    <w:rsid w:val="2C7C30FA"/>
    <w:rsid w:val="2C830635"/>
    <w:rsid w:val="2C885AA5"/>
    <w:rsid w:val="2C8D1C48"/>
    <w:rsid w:val="2C9D6E3E"/>
    <w:rsid w:val="2CAA4E81"/>
    <w:rsid w:val="2CAD4098"/>
    <w:rsid w:val="2CBC1D1B"/>
    <w:rsid w:val="2CCF4551"/>
    <w:rsid w:val="2CE23732"/>
    <w:rsid w:val="2CE37D43"/>
    <w:rsid w:val="2CE7380B"/>
    <w:rsid w:val="2CE952A3"/>
    <w:rsid w:val="2D0514FD"/>
    <w:rsid w:val="2D0E7B4A"/>
    <w:rsid w:val="2D2156A2"/>
    <w:rsid w:val="2D3673F2"/>
    <w:rsid w:val="2D371BB4"/>
    <w:rsid w:val="2D381FF5"/>
    <w:rsid w:val="2D3845E6"/>
    <w:rsid w:val="2D38772A"/>
    <w:rsid w:val="2D3A16A4"/>
    <w:rsid w:val="2D3E3463"/>
    <w:rsid w:val="2D3F04E7"/>
    <w:rsid w:val="2D406F06"/>
    <w:rsid w:val="2D445D96"/>
    <w:rsid w:val="2D46629B"/>
    <w:rsid w:val="2D53008F"/>
    <w:rsid w:val="2D6931B5"/>
    <w:rsid w:val="2D6A7FB8"/>
    <w:rsid w:val="2D6B462B"/>
    <w:rsid w:val="2D6E26B8"/>
    <w:rsid w:val="2D7005F4"/>
    <w:rsid w:val="2D751490"/>
    <w:rsid w:val="2D76006E"/>
    <w:rsid w:val="2D7E7BD3"/>
    <w:rsid w:val="2D92277A"/>
    <w:rsid w:val="2D956C21"/>
    <w:rsid w:val="2DB33DE8"/>
    <w:rsid w:val="2DB604B0"/>
    <w:rsid w:val="2DBA384D"/>
    <w:rsid w:val="2DC67A03"/>
    <w:rsid w:val="2DDB6288"/>
    <w:rsid w:val="2DDC6497"/>
    <w:rsid w:val="2DE04046"/>
    <w:rsid w:val="2DEA11CB"/>
    <w:rsid w:val="2DEB7215"/>
    <w:rsid w:val="2DFA5A75"/>
    <w:rsid w:val="2DFB204D"/>
    <w:rsid w:val="2E0732D5"/>
    <w:rsid w:val="2E103B52"/>
    <w:rsid w:val="2E1B5AC0"/>
    <w:rsid w:val="2E216777"/>
    <w:rsid w:val="2E310269"/>
    <w:rsid w:val="2E322D3A"/>
    <w:rsid w:val="2E710D80"/>
    <w:rsid w:val="2E730F8A"/>
    <w:rsid w:val="2E7749D4"/>
    <w:rsid w:val="2E7F2D87"/>
    <w:rsid w:val="2E886779"/>
    <w:rsid w:val="2E8D3377"/>
    <w:rsid w:val="2E8D73C3"/>
    <w:rsid w:val="2E8E6D20"/>
    <w:rsid w:val="2E937607"/>
    <w:rsid w:val="2EA56A2B"/>
    <w:rsid w:val="2EA746CD"/>
    <w:rsid w:val="2EB4686A"/>
    <w:rsid w:val="2EB66590"/>
    <w:rsid w:val="2EB7060A"/>
    <w:rsid w:val="2EC65056"/>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5B427F"/>
    <w:rsid w:val="2F6A544C"/>
    <w:rsid w:val="2F6B4248"/>
    <w:rsid w:val="2F7366CB"/>
    <w:rsid w:val="2F7576E6"/>
    <w:rsid w:val="2F7650AD"/>
    <w:rsid w:val="2F83315F"/>
    <w:rsid w:val="2F9D27C7"/>
    <w:rsid w:val="2FAC68B5"/>
    <w:rsid w:val="2FB71D1A"/>
    <w:rsid w:val="2FBA5300"/>
    <w:rsid w:val="2FBC4CD9"/>
    <w:rsid w:val="2FE27FC9"/>
    <w:rsid w:val="2FE71BC4"/>
    <w:rsid w:val="2FE8319B"/>
    <w:rsid w:val="2FF40DE3"/>
    <w:rsid w:val="2FF50078"/>
    <w:rsid w:val="30017543"/>
    <w:rsid w:val="30082943"/>
    <w:rsid w:val="300A0D8F"/>
    <w:rsid w:val="300D123A"/>
    <w:rsid w:val="30121E1C"/>
    <w:rsid w:val="3015744F"/>
    <w:rsid w:val="302C0757"/>
    <w:rsid w:val="30326D59"/>
    <w:rsid w:val="30364B8B"/>
    <w:rsid w:val="303F3FE9"/>
    <w:rsid w:val="304A65CF"/>
    <w:rsid w:val="305014D9"/>
    <w:rsid w:val="305A2656"/>
    <w:rsid w:val="30603E4D"/>
    <w:rsid w:val="307433AA"/>
    <w:rsid w:val="307D7E96"/>
    <w:rsid w:val="30952A87"/>
    <w:rsid w:val="30A60134"/>
    <w:rsid w:val="30A92DC8"/>
    <w:rsid w:val="30B03E85"/>
    <w:rsid w:val="30B05E95"/>
    <w:rsid w:val="30B84A87"/>
    <w:rsid w:val="30C1776C"/>
    <w:rsid w:val="30D2634C"/>
    <w:rsid w:val="30E0568A"/>
    <w:rsid w:val="30F14CD5"/>
    <w:rsid w:val="30F9053F"/>
    <w:rsid w:val="30FB05EC"/>
    <w:rsid w:val="30FE7F03"/>
    <w:rsid w:val="31084B91"/>
    <w:rsid w:val="310F7E8C"/>
    <w:rsid w:val="31110BCE"/>
    <w:rsid w:val="311510C2"/>
    <w:rsid w:val="311A35B4"/>
    <w:rsid w:val="311C52FC"/>
    <w:rsid w:val="312A7702"/>
    <w:rsid w:val="3132038F"/>
    <w:rsid w:val="313C778B"/>
    <w:rsid w:val="314A0D46"/>
    <w:rsid w:val="314E5E3F"/>
    <w:rsid w:val="315136FC"/>
    <w:rsid w:val="315A25ED"/>
    <w:rsid w:val="315D6678"/>
    <w:rsid w:val="31662B54"/>
    <w:rsid w:val="316722D2"/>
    <w:rsid w:val="31900765"/>
    <w:rsid w:val="31912424"/>
    <w:rsid w:val="31957115"/>
    <w:rsid w:val="31A17989"/>
    <w:rsid w:val="31AF6900"/>
    <w:rsid w:val="31CC3470"/>
    <w:rsid w:val="31DD3FBE"/>
    <w:rsid w:val="31EC5663"/>
    <w:rsid w:val="31F7367C"/>
    <w:rsid w:val="32047EB3"/>
    <w:rsid w:val="320C27F5"/>
    <w:rsid w:val="320D241D"/>
    <w:rsid w:val="321405BB"/>
    <w:rsid w:val="321E3ECC"/>
    <w:rsid w:val="32203688"/>
    <w:rsid w:val="323B2E07"/>
    <w:rsid w:val="327706BE"/>
    <w:rsid w:val="328E04C8"/>
    <w:rsid w:val="32915A23"/>
    <w:rsid w:val="32A11EA0"/>
    <w:rsid w:val="32A9114A"/>
    <w:rsid w:val="32D656FE"/>
    <w:rsid w:val="32DB1CEF"/>
    <w:rsid w:val="32F368A2"/>
    <w:rsid w:val="32FC7B27"/>
    <w:rsid w:val="330905CD"/>
    <w:rsid w:val="331B6025"/>
    <w:rsid w:val="331F355D"/>
    <w:rsid w:val="332F39E9"/>
    <w:rsid w:val="333251E6"/>
    <w:rsid w:val="33347BCB"/>
    <w:rsid w:val="3339430A"/>
    <w:rsid w:val="3355340B"/>
    <w:rsid w:val="335F213E"/>
    <w:rsid w:val="33690F4F"/>
    <w:rsid w:val="336B7D69"/>
    <w:rsid w:val="33756644"/>
    <w:rsid w:val="337566C2"/>
    <w:rsid w:val="337A048F"/>
    <w:rsid w:val="3386214C"/>
    <w:rsid w:val="338B299E"/>
    <w:rsid w:val="338F0A74"/>
    <w:rsid w:val="33917D65"/>
    <w:rsid w:val="33A3020C"/>
    <w:rsid w:val="33A43F7B"/>
    <w:rsid w:val="33AF4DD2"/>
    <w:rsid w:val="33B37AE8"/>
    <w:rsid w:val="33BB46BC"/>
    <w:rsid w:val="33C10FED"/>
    <w:rsid w:val="33D51916"/>
    <w:rsid w:val="33E10ACB"/>
    <w:rsid w:val="33E62675"/>
    <w:rsid w:val="33E972AB"/>
    <w:rsid w:val="33EB136B"/>
    <w:rsid w:val="33EC5E56"/>
    <w:rsid w:val="33ED3D45"/>
    <w:rsid w:val="33F31EFB"/>
    <w:rsid w:val="33F56F37"/>
    <w:rsid w:val="33F93374"/>
    <w:rsid w:val="340A6274"/>
    <w:rsid w:val="34167076"/>
    <w:rsid w:val="34192A85"/>
    <w:rsid w:val="342C0CBF"/>
    <w:rsid w:val="34371FDB"/>
    <w:rsid w:val="34397FF5"/>
    <w:rsid w:val="34484903"/>
    <w:rsid w:val="34485595"/>
    <w:rsid w:val="344B2A41"/>
    <w:rsid w:val="34553478"/>
    <w:rsid w:val="3466422C"/>
    <w:rsid w:val="346E38DD"/>
    <w:rsid w:val="34721080"/>
    <w:rsid w:val="347D600F"/>
    <w:rsid w:val="348E2E5C"/>
    <w:rsid w:val="349A3324"/>
    <w:rsid w:val="349B3405"/>
    <w:rsid w:val="34AA07B0"/>
    <w:rsid w:val="34AD579D"/>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42F4C"/>
    <w:rsid w:val="356559A9"/>
    <w:rsid w:val="356D3A55"/>
    <w:rsid w:val="35701B86"/>
    <w:rsid w:val="35732362"/>
    <w:rsid w:val="3573293B"/>
    <w:rsid w:val="35735344"/>
    <w:rsid w:val="357540AF"/>
    <w:rsid w:val="357868EB"/>
    <w:rsid w:val="358523D0"/>
    <w:rsid w:val="358B4A9D"/>
    <w:rsid w:val="35922636"/>
    <w:rsid w:val="35BD778E"/>
    <w:rsid w:val="35BD7A13"/>
    <w:rsid w:val="35C96397"/>
    <w:rsid w:val="35CA68AB"/>
    <w:rsid w:val="35D47B2B"/>
    <w:rsid w:val="35E410ED"/>
    <w:rsid w:val="35EB2FD4"/>
    <w:rsid w:val="35EF20C9"/>
    <w:rsid w:val="35F332E8"/>
    <w:rsid w:val="36044441"/>
    <w:rsid w:val="3604696C"/>
    <w:rsid w:val="360C625B"/>
    <w:rsid w:val="36106BA5"/>
    <w:rsid w:val="36123620"/>
    <w:rsid w:val="361B3581"/>
    <w:rsid w:val="3633415F"/>
    <w:rsid w:val="363D0C4C"/>
    <w:rsid w:val="366A17AB"/>
    <w:rsid w:val="367364E1"/>
    <w:rsid w:val="3673672C"/>
    <w:rsid w:val="369763B5"/>
    <w:rsid w:val="369E142E"/>
    <w:rsid w:val="36A0221E"/>
    <w:rsid w:val="36A11284"/>
    <w:rsid w:val="36A84D62"/>
    <w:rsid w:val="36A971CE"/>
    <w:rsid w:val="36B4678E"/>
    <w:rsid w:val="36B84626"/>
    <w:rsid w:val="36B90B11"/>
    <w:rsid w:val="36C7366A"/>
    <w:rsid w:val="36D00958"/>
    <w:rsid w:val="36D30CA0"/>
    <w:rsid w:val="36D81EED"/>
    <w:rsid w:val="36D83D40"/>
    <w:rsid w:val="37144F35"/>
    <w:rsid w:val="371464A7"/>
    <w:rsid w:val="3717340B"/>
    <w:rsid w:val="37254CF6"/>
    <w:rsid w:val="3737345F"/>
    <w:rsid w:val="373A6E70"/>
    <w:rsid w:val="374110E2"/>
    <w:rsid w:val="37544118"/>
    <w:rsid w:val="375B2B26"/>
    <w:rsid w:val="375B3801"/>
    <w:rsid w:val="375F18C4"/>
    <w:rsid w:val="3763753D"/>
    <w:rsid w:val="37654388"/>
    <w:rsid w:val="37683D1E"/>
    <w:rsid w:val="37763AB9"/>
    <w:rsid w:val="37835258"/>
    <w:rsid w:val="379744F3"/>
    <w:rsid w:val="379B06AC"/>
    <w:rsid w:val="37B40B90"/>
    <w:rsid w:val="37C61F92"/>
    <w:rsid w:val="37C97BEC"/>
    <w:rsid w:val="37E57428"/>
    <w:rsid w:val="37F768B1"/>
    <w:rsid w:val="3802504D"/>
    <w:rsid w:val="380A1A96"/>
    <w:rsid w:val="38132AC7"/>
    <w:rsid w:val="383244EC"/>
    <w:rsid w:val="38401AD7"/>
    <w:rsid w:val="385174B2"/>
    <w:rsid w:val="38731012"/>
    <w:rsid w:val="387A423D"/>
    <w:rsid w:val="38857685"/>
    <w:rsid w:val="38883F94"/>
    <w:rsid w:val="388C0EEA"/>
    <w:rsid w:val="389E09CC"/>
    <w:rsid w:val="38A87E0A"/>
    <w:rsid w:val="38AC2BB7"/>
    <w:rsid w:val="38BC42B5"/>
    <w:rsid w:val="38C87FF3"/>
    <w:rsid w:val="38CA5555"/>
    <w:rsid w:val="38D4366C"/>
    <w:rsid w:val="38D82A07"/>
    <w:rsid w:val="38DC6A7D"/>
    <w:rsid w:val="38E64A91"/>
    <w:rsid w:val="38F77C64"/>
    <w:rsid w:val="39003FBD"/>
    <w:rsid w:val="390546DB"/>
    <w:rsid w:val="39166552"/>
    <w:rsid w:val="391813F5"/>
    <w:rsid w:val="39296717"/>
    <w:rsid w:val="392B5F09"/>
    <w:rsid w:val="392F75E2"/>
    <w:rsid w:val="39411DB4"/>
    <w:rsid w:val="39496EDF"/>
    <w:rsid w:val="394A08C1"/>
    <w:rsid w:val="396124D1"/>
    <w:rsid w:val="397C09D4"/>
    <w:rsid w:val="397F44ED"/>
    <w:rsid w:val="398B089B"/>
    <w:rsid w:val="39B06716"/>
    <w:rsid w:val="39B1469C"/>
    <w:rsid w:val="39B30EA9"/>
    <w:rsid w:val="39C57AE5"/>
    <w:rsid w:val="39C80CDA"/>
    <w:rsid w:val="39D27B89"/>
    <w:rsid w:val="39DF3228"/>
    <w:rsid w:val="39E72100"/>
    <w:rsid w:val="39EE332A"/>
    <w:rsid w:val="39F24C64"/>
    <w:rsid w:val="39F417E4"/>
    <w:rsid w:val="39F50A1C"/>
    <w:rsid w:val="3A046706"/>
    <w:rsid w:val="3A0D71BE"/>
    <w:rsid w:val="3A1B14E1"/>
    <w:rsid w:val="3A236CA2"/>
    <w:rsid w:val="3A2715D6"/>
    <w:rsid w:val="3A2736BF"/>
    <w:rsid w:val="3A312FB7"/>
    <w:rsid w:val="3A4B3142"/>
    <w:rsid w:val="3A4E3B48"/>
    <w:rsid w:val="3A5C1DF9"/>
    <w:rsid w:val="3A652D65"/>
    <w:rsid w:val="3A680F85"/>
    <w:rsid w:val="3A695377"/>
    <w:rsid w:val="3A6A4AC3"/>
    <w:rsid w:val="3A6D0814"/>
    <w:rsid w:val="3A6D0882"/>
    <w:rsid w:val="3A76269A"/>
    <w:rsid w:val="3A7D5F3A"/>
    <w:rsid w:val="3A8B3054"/>
    <w:rsid w:val="3A9940F0"/>
    <w:rsid w:val="3ABB43FF"/>
    <w:rsid w:val="3ABD0BEB"/>
    <w:rsid w:val="3AC578B2"/>
    <w:rsid w:val="3ADD7705"/>
    <w:rsid w:val="3AE20D32"/>
    <w:rsid w:val="3AEB2D9D"/>
    <w:rsid w:val="3AF479B5"/>
    <w:rsid w:val="3AF51BE4"/>
    <w:rsid w:val="3AFC0880"/>
    <w:rsid w:val="3B092937"/>
    <w:rsid w:val="3B14504C"/>
    <w:rsid w:val="3B16080F"/>
    <w:rsid w:val="3B186CDD"/>
    <w:rsid w:val="3B4F2158"/>
    <w:rsid w:val="3B5205A1"/>
    <w:rsid w:val="3B5737B6"/>
    <w:rsid w:val="3B6B6574"/>
    <w:rsid w:val="3B6C4D3D"/>
    <w:rsid w:val="3B7B77B8"/>
    <w:rsid w:val="3B8350CC"/>
    <w:rsid w:val="3B8367ED"/>
    <w:rsid w:val="3B86205D"/>
    <w:rsid w:val="3B8B65D4"/>
    <w:rsid w:val="3B92781F"/>
    <w:rsid w:val="3B9A599F"/>
    <w:rsid w:val="3BA0139B"/>
    <w:rsid w:val="3BA22581"/>
    <w:rsid w:val="3BA735B9"/>
    <w:rsid w:val="3BB0325D"/>
    <w:rsid w:val="3BB66353"/>
    <w:rsid w:val="3BC52883"/>
    <w:rsid w:val="3BD17677"/>
    <w:rsid w:val="3BD41145"/>
    <w:rsid w:val="3BE272D1"/>
    <w:rsid w:val="3BED2EA4"/>
    <w:rsid w:val="3BF14B73"/>
    <w:rsid w:val="3C0021D6"/>
    <w:rsid w:val="3C050F37"/>
    <w:rsid w:val="3C0C2346"/>
    <w:rsid w:val="3C1A1D46"/>
    <w:rsid w:val="3C1D35EE"/>
    <w:rsid w:val="3C2A7809"/>
    <w:rsid w:val="3C3C71E7"/>
    <w:rsid w:val="3C3D1C69"/>
    <w:rsid w:val="3C3D30A0"/>
    <w:rsid w:val="3C414037"/>
    <w:rsid w:val="3C46704F"/>
    <w:rsid w:val="3C511526"/>
    <w:rsid w:val="3C571283"/>
    <w:rsid w:val="3C61432F"/>
    <w:rsid w:val="3C770104"/>
    <w:rsid w:val="3C781317"/>
    <w:rsid w:val="3C7A0774"/>
    <w:rsid w:val="3C7D2F65"/>
    <w:rsid w:val="3C803E26"/>
    <w:rsid w:val="3C8505CD"/>
    <w:rsid w:val="3C86152F"/>
    <w:rsid w:val="3C8A317C"/>
    <w:rsid w:val="3C8D1558"/>
    <w:rsid w:val="3C9E1A99"/>
    <w:rsid w:val="3CA55AE0"/>
    <w:rsid w:val="3CA56B3A"/>
    <w:rsid w:val="3CAA6701"/>
    <w:rsid w:val="3CB01844"/>
    <w:rsid w:val="3CBA314E"/>
    <w:rsid w:val="3D10624F"/>
    <w:rsid w:val="3D135F4D"/>
    <w:rsid w:val="3D204391"/>
    <w:rsid w:val="3D25510D"/>
    <w:rsid w:val="3D2E72E7"/>
    <w:rsid w:val="3D2F1217"/>
    <w:rsid w:val="3D351DF4"/>
    <w:rsid w:val="3D41628E"/>
    <w:rsid w:val="3D424490"/>
    <w:rsid w:val="3D466827"/>
    <w:rsid w:val="3D5045AA"/>
    <w:rsid w:val="3D5708C1"/>
    <w:rsid w:val="3D6024FB"/>
    <w:rsid w:val="3D637792"/>
    <w:rsid w:val="3D692E2E"/>
    <w:rsid w:val="3D6C643F"/>
    <w:rsid w:val="3D706A98"/>
    <w:rsid w:val="3D72521A"/>
    <w:rsid w:val="3D8B366C"/>
    <w:rsid w:val="3D946B14"/>
    <w:rsid w:val="3DA22F5E"/>
    <w:rsid w:val="3DAC5A65"/>
    <w:rsid w:val="3DBD7407"/>
    <w:rsid w:val="3DC95986"/>
    <w:rsid w:val="3DCA2C9E"/>
    <w:rsid w:val="3DE06189"/>
    <w:rsid w:val="3DEA3293"/>
    <w:rsid w:val="3DF90189"/>
    <w:rsid w:val="3E042635"/>
    <w:rsid w:val="3E0A2C48"/>
    <w:rsid w:val="3E0D3030"/>
    <w:rsid w:val="3E0E6D7D"/>
    <w:rsid w:val="3E126451"/>
    <w:rsid w:val="3E1F364B"/>
    <w:rsid w:val="3E274166"/>
    <w:rsid w:val="3E647654"/>
    <w:rsid w:val="3E744690"/>
    <w:rsid w:val="3EA20FA0"/>
    <w:rsid w:val="3EC701A5"/>
    <w:rsid w:val="3ECA3044"/>
    <w:rsid w:val="3ED43706"/>
    <w:rsid w:val="3EE0687D"/>
    <w:rsid w:val="3EE60FF4"/>
    <w:rsid w:val="3EEB59B0"/>
    <w:rsid w:val="3EF71AB3"/>
    <w:rsid w:val="3F0C3C07"/>
    <w:rsid w:val="3F333DE0"/>
    <w:rsid w:val="3F355C78"/>
    <w:rsid w:val="3F4409A2"/>
    <w:rsid w:val="3F6253B0"/>
    <w:rsid w:val="3F647E7F"/>
    <w:rsid w:val="3F6A4E56"/>
    <w:rsid w:val="3F6A64F7"/>
    <w:rsid w:val="3F8A4240"/>
    <w:rsid w:val="3F8B304C"/>
    <w:rsid w:val="3F981511"/>
    <w:rsid w:val="3F9C5862"/>
    <w:rsid w:val="3F9D38CE"/>
    <w:rsid w:val="3FBA0827"/>
    <w:rsid w:val="3FBA6B59"/>
    <w:rsid w:val="3FC6058A"/>
    <w:rsid w:val="3FCD31D2"/>
    <w:rsid w:val="3FE714A3"/>
    <w:rsid w:val="3FE84B22"/>
    <w:rsid w:val="3FED5117"/>
    <w:rsid w:val="3FF04220"/>
    <w:rsid w:val="3FFB3AB0"/>
    <w:rsid w:val="3FFB455C"/>
    <w:rsid w:val="400044FA"/>
    <w:rsid w:val="40100C28"/>
    <w:rsid w:val="402538AF"/>
    <w:rsid w:val="402803C2"/>
    <w:rsid w:val="403141A3"/>
    <w:rsid w:val="403F534F"/>
    <w:rsid w:val="40486B6D"/>
    <w:rsid w:val="40492F59"/>
    <w:rsid w:val="40500C5D"/>
    <w:rsid w:val="40671B36"/>
    <w:rsid w:val="40691F2D"/>
    <w:rsid w:val="406E5359"/>
    <w:rsid w:val="40723D14"/>
    <w:rsid w:val="407A6A5F"/>
    <w:rsid w:val="407C28A3"/>
    <w:rsid w:val="408556D9"/>
    <w:rsid w:val="408702C9"/>
    <w:rsid w:val="408829E4"/>
    <w:rsid w:val="4090365D"/>
    <w:rsid w:val="409C4797"/>
    <w:rsid w:val="409D778E"/>
    <w:rsid w:val="409F587D"/>
    <w:rsid w:val="40AD7E31"/>
    <w:rsid w:val="40B622E0"/>
    <w:rsid w:val="40B856B5"/>
    <w:rsid w:val="40C02C90"/>
    <w:rsid w:val="40C32938"/>
    <w:rsid w:val="40C54587"/>
    <w:rsid w:val="40C600AE"/>
    <w:rsid w:val="40D474E0"/>
    <w:rsid w:val="40E604BB"/>
    <w:rsid w:val="40ED383F"/>
    <w:rsid w:val="40F241E8"/>
    <w:rsid w:val="40FD00C1"/>
    <w:rsid w:val="410535DA"/>
    <w:rsid w:val="41083028"/>
    <w:rsid w:val="41120516"/>
    <w:rsid w:val="41195558"/>
    <w:rsid w:val="411A02EA"/>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07E72"/>
    <w:rsid w:val="421F302E"/>
    <w:rsid w:val="422E218C"/>
    <w:rsid w:val="4237043D"/>
    <w:rsid w:val="423D72E4"/>
    <w:rsid w:val="423F6BAA"/>
    <w:rsid w:val="42437340"/>
    <w:rsid w:val="426C096B"/>
    <w:rsid w:val="42812B20"/>
    <w:rsid w:val="42967175"/>
    <w:rsid w:val="42A23EAE"/>
    <w:rsid w:val="42AA2C24"/>
    <w:rsid w:val="42B57906"/>
    <w:rsid w:val="42CC27A0"/>
    <w:rsid w:val="42D310A0"/>
    <w:rsid w:val="42DC0D8F"/>
    <w:rsid w:val="42E07B44"/>
    <w:rsid w:val="42E14644"/>
    <w:rsid w:val="42F02C29"/>
    <w:rsid w:val="42F72C47"/>
    <w:rsid w:val="43065A98"/>
    <w:rsid w:val="43085D36"/>
    <w:rsid w:val="43117473"/>
    <w:rsid w:val="431760D2"/>
    <w:rsid w:val="432E7F09"/>
    <w:rsid w:val="43691DD2"/>
    <w:rsid w:val="436B04CF"/>
    <w:rsid w:val="43701F86"/>
    <w:rsid w:val="43783740"/>
    <w:rsid w:val="437E66CF"/>
    <w:rsid w:val="438410CD"/>
    <w:rsid w:val="438A0837"/>
    <w:rsid w:val="438E2903"/>
    <w:rsid w:val="43900D1B"/>
    <w:rsid w:val="43941EF9"/>
    <w:rsid w:val="43A55759"/>
    <w:rsid w:val="43AE57C9"/>
    <w:rsid w:val="43AE7C4C"/>
    <w:rsid w:val="43BE570B"/>
    <w:rsid w:val="43C053BE"/>
    <w:rsid w:val="43C2326D"/>
    <w:rsid w:val="43DC74C2"/>
    <w:rsid w:val="43DF5F41"/>
    <w:rsid w:val="43E02D35"/>
    <w:rsid w:val="43E15C5E"/>
    <w:rsid w:val="43E5384B"/>
    <w:rsid w:val="43F23F61"/>
    <w:rsid w:val="440A03A4"/>
    <w:rsid w:val="441A6704"/>
    <w:rsid w:val="442A60BB"/>
    <w:rsid w:val="445033E8"/>
    <w:rsid w:val="4459240E"/>
    <w:rsid w:val="445E09D5"/>
    <w:rsid w:val="446D660C"/>
    <w:rsid w:val="44A8678C"/>
    <w:rsid w:val="44C9538F"/>
    <w:rsid w:val="44D21BE9"/>
    <w:rsid w:val="44D82781"/>
    <w:rsid w:val="44DB3AAF"/>
    <w:rsid w:val="44EC3348"/>
    <w:rsid w:val="44F8664A"/>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8F0387"/>
    <w:rsid w:val="459578E9"/>
    <w:rsid w:val="45A04BAE"/>
    <w:rsid w:val="45AC5423"/>
    <w:rsid w:val="45BB73CE"/>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D2D29"/>
    <w:rsid w:val="46535CF2"/>
    <w:rsid w:val="46735148"/>
    <w:rsid w:val="46860F13"/>
    <w:rsid w:val="468913B5"/>
    <w:rsid w:val="469A3FCF"/>
    <w:rsid w:val="46C2653A"/>
    <w:rsid w:val="46C9271D"/>
    <w:rsid w:val="46D0797E"/>
    <w:rsid w:val="46DB78A8"/>
    <w:rsid w:val="46E51F43"/>
    <w:rsid w:val="47081865"/>
    <w:rsid w:val="470C0B02"/>
    <w:rsid w:val="470D6A52"/>
    <w:rsid w:val="471450DC"/>
    <w:rsid w:val="472479E2"/>
    <w:rsid w:val="473F4843"/>
    <w:rsid w:val="47466C18"/>
    <w:rsid w:val="47490958"/>
    <w:rsid w:val="474C1B90"/>
    <w:rsid w:val="475E4D8C"/>
    <w:rsid w:val="475F6FFB"/>
    <w:rsid w:val="47613706"/>
    <w:rsid w:val="47680E90"/>
    <w:rsid w:val="476D294A"/>
    <w:rsid w:val="47744A88"/>
    <w:rsid w:val="47761971"/>
    <w:rsid w:val="47890476"/>
    <w:rsid w:val="4797006A"/>
    <w:rsid w:val="47A01A89"/>
    <w:rsid w:val="47A950EA"/>
    <w:rsid w:val="47BC062E"/>
    <w:rsid w:val="47BE18CE"/>
    <w:rsid w:val="47C22283"/>
    <w:rsid w:val="47C64BB4"/>
    <w:rsid w:val="47CB32E2"/>
    <w:rsid w:val="47D227AD"/>
    <w:rsid w:val="47D71873"/>
    <w:rsid w:val="47D93349"/>
    <w:rsid w:val="47E47BD6"/>
    <w:rsid w:val="47FB3EBA"/>
    <w:rsid w:val="47FD5AEF"/>
    <w:rsid w:val="480B2333"/>
    <w:rsid w:val="48167AAA"/>
    <w:rsid w:val="48373870"/>
    <w:rsid w:val="48413862"/>
    <w:rsid w:val="48486D82"/>
    <w:rsid w:val="487A031B"/>
    <w:rsid w:val="4895190E"/>
    <w:rsid w:val="48981E2D"/>
    <w:rsid w:val="48A117EC"/>
    <w:rsid w:val="48AE4C4E"/>
    <w:rsid w:val="48BC5A6C"/>
    <w:rsid w:val="48BE01AF"/>
    <w:rsid w:val="48BE4616"/>
    <w:rsid w:val="48C27E3A"/>
    <w:rsid w:val="48C65766"/>
    <w:rsid w:val="48DE608B"/>
    <w:rsid w:val="48FC2EB6"/>
    <w:rsid w:val="49011B36"/>
    <w:rsid w:val="490536CC"/>
    <w:rsid w:val="490A7305"/>
    <w:rsid w:val="4915438D"/>
    <w:rsid w:val="49274AC8"/>
    <w:rsid w:val="492A36A1"/>
    <w:rsid w:val="4938244D"/>
    <w:rsid w:val="493A564A"/>
    <w:rsid w:val="493C55DD"/>
    <w:rsid w:val="4948541D"/>
    <w:rsid w:val="49497FEC"/>
    <w:rsid w:val="494B402A"/>
    <w:rsid w:val="49556D02"/>
    <w:rsid w:val="49560219"/>
    <w:rsid w:val="495E542A"/>
    <w:rsid w:val="49631C5C"/>
    <w:rsid w:val="49794060"/>
    <w:rsid w:val="497E2BEC"/>
    <w:rsid w:val="49815194"/>
    <w:rsid w:val="4987471C"/>
    <w:rsid w:val="49911FF8"/>
    <w:rsid w:val="49986490"/>
    <w:rsid w:val="49AB669F"/>
    <w:rsid w:val="49B2454B"/>
    <w:rsid w:val="49B303F3"/>
    <w:rsid w:val="49E65A94"/>
    <w:rsid w:val="49F679EF"/>
    <w:rsid w:val="4A06561F"/>
    <w:rsid w:val="4A0668DF"/>
    <w:rsid w:val="4A167EEC"/>
    <w:rsid w:val="4A174386"/>
    <w:rsid w:val="4A1B239F"/>
    <w:rsid w:val="4A250AF5"/>
    <w:rsid w:val="4A25406F"/>
    <w:rsid w:val="4A290D7C"/>
    <w:rsid w:val="4A2E6757"/>
    <w:rsid w:val="4A40609E"/>
    <w:rsid w:val="4A41428F"/>
    <w:rsid w:val="4A4E51BA"/>
    <w:rsid w:val="4A4E64B2"/>
    <w:rsid w:val="4A536B62"/>
    <w:rsid w:val="4A5A0E17"/>
    <w:rsid w:val="4A5A16B1"/>
    <w:rsid w:val="4A627556"/>
    <w:rsid w:val="4A6536BD"/>
    <w:rsid w:val="4A69564B"/>
    <w:rsid w:val="4A7033D7"/>
    <w:rsid w:val="4A7757D2"/>
    <w:rsid w:val="4A934DFD"/>
    <w:rsid w:val="4A987CDE"/>
    <w:rsid w:val="4A9B4822"/>
    <w:rsid w:val="4ABF1A80"/>
    <w:rsid w:val="4AC15225"/>
    <w:rsid w:val="4ACD263C"/>
    <w:rsid w:val="4AF05152"/>
    <w:rsid w:val="4AF46A18"/>
    <w:rsid w:val="4B041530"/>
    <w:rsid w:val="4B094DA8"/>
    <w:rsid w:val="4B123B29"/>
    <w:rsid w:val="4B2C16F1"/>
    <w:rsid w:val="4B2E419E"/>
    <w:rsid w:val="4B341992"/>
    <w:rsid w:val="4B342A49"/>
    <w:rsid w:val="4B382EC2"/>
    <w:rsid w:val="4B4E00F3"/>
    <w:rsid w:val="4B5C75C6"/>
    <w:rsid w:val="4B5D316A"/>
    <w:rsid w:val="4B6717E4"/>
    <w:rsid w:val="4B67770C"/>
    <w:rsid w:val="4B705824"/>
    <w:rsid w:val="4B766CA0"/>
    <w:rsid w:val="4B7C5A8E"/>
    <w:rsid w:val="4B84465D"/>
    <w:rsid w:val="4B8B0E4A"/>
    <w:rsid w:val="4B8D7117"/>
    <w:rsid w:val="4BA1286E"/>
    <w:rsid w:val="4BA729F0"/>
    <w:rsid w:val="4BAE7484"/>
    <w:rsid w:val="4BB01E2B"/>
    <w:rsid w:val="4BB35325"/>
    <w:rsid w:val="4BB51437"/>
    <w:rsid w:val="4BC50363"/>
    <w:rsid w:val="4BCD0B56"/>
    <w:rsid w:val="4BD220D9"/>
    <w:rsid w:val="4BE17E7B"/>
    <w:rsid w:val="4BF244BC"/>
    <w:rsid w:val="4BF742E4"/>
    <w:rsid w:val="4BFB49C8"/>
    <w:rsid w:val="4BFF78E1"/>
    <w:rsid w:val="4C00529C"/>
    <w:rsid w:val="4C160AFB"/>
    <w:rsid w:val="4C177A54"/>
    <w:rsid w:val="4C18316B"/>
    <w:rsid w:val="4C2552F8"/>
    <w:rsid w:val="4C2C3E0B"/>
    <w:rsid w:val="4C37556E"/>
    <w:rsid w:val="4C501B69"/>
    <w:rsid w:val="4C52540B"/>
    <w:rsid w:val="4C5825DD"/>
    <w:rsid w:val="4C59514C"/>
    <w:rsid w:val="4C5A3761"/>
    <w:rsid w:val="4C690850"/>
    <w:rsid w:val="4C6958C8"/>
    <w:rsid w:val="4C7C718B"/>
    <w:rsid w:val="4C8214A7"/>
    <w:rsid w:val="4C8776D7"/>
    <w:rsid w:val="4C90243C"/>
    <w:rsid w:val="4C905EA7"/>
    <w:rsid w:val="4C984E71"/>
    <w:rsid w:val="4CA304F0"/>
    <w:rsid w:val="4CAD26EA"/>
    <w:rsid w:val="4CAE37A3"/>
    <w:rsid w:val="4CAF45F6"/>
    <w:rsid w:val="4CB46925"/>
    <w:rsid w:val="4CB47E59"/>
    <w:rsid w:val="4CB84CD1"/>
    <w:rsid w:val="4CC6471F"/>
    <w:rsid w:val="4CC823D1"/>
    <w:rsid w:val="4CC8569B"/>
    <w:rsid w:val="4CDB5C21"/>
    <w:rsid w:val="4CE4545C"/>
    <w:rsid w:val="4CEF22C2"/>
    <w:rsid w:val="4CF85267"/>
    <w:rsid w:val="4D026998"/>
    <w:rsid w:val="4D081739"/>
    <w:rsid w:val="4D157F4F"/>
    <w:rsid w:val="4D1C5D83"/>
    <w:rsid w:val="4D213BF7"/>
    <w:rsid w:val="4D363FB7"/>
    <w:rsid w:val="4D402AFA"/>
    <w:rsid w:val="4D40746B"/>
    <w:rsid w:val="4D436429"/>
    <w:rsid w:val="4D5109CA"/>
    <w:rsid w:val="4D552358"/>
    <w:rsid w:val="4D563BBD"/>
    <w:rsid w:val="4D761E2D"/>
    <w:rsid w:val="4D761F2F"/>
    <w:rsid w:val="4D793DD7"/>
    <w:rsid w:val="4D8A6E74"/>
    <w:rsid w:val="4D8B2729"/>
    <w:rsid w:val="4DAE35B1"/>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57ADB"/>
    <w:rsid w:val="4E2C707E"/>
    <w:rsid w:val="4E316BCD"/>
    <w:rsid w:val="4E3826D6"/>
    <w:rsid w:val="4E3F1C16"/>
    <w:rsid w:val="4E3F57BC"/>
    <w:rsid w:val="4E465CA3"/>
    <w:rsid w:val="4E493DC4"/>
    <w:rsid w:val="4E4C44CD"/>
    <w:rsid w:val="4E50386D"/>
    <w:rsid w:val="4E55309F"/>
    <w:rsid w:val="4E646C1C"/>
    <w:rsid w:val="4E7474E8"/>
    <w:rsid w:val="4E796078"/>
    <w:rsid w:val="4E7B73B3"/>
    <w:rsid w:val="4E7C4BA1"/>
    <w:rsid w:val="4E973A50"/>
    <w:rsid w:val="4E9F4105"/>
    <w:rsid w:val="4EA720E5"/>
    <w:rsid w:val="4EB02476"/>
    <w:rsid w:val="4EE05CAA"/>
    <w:rsid w:val="4EE12346"/>
    <w:rsid w:val="4EE17CA8"/>
    <w:rsid w:val="4EE773E2"/>
    <w:rsid w:val="4EEA78E8"/>
    <w:rsid w:val="4EEC30DE"/>
    <w:rsid w:val="4EF76CAE"/>
    <w:rsid w:val="4F114828"/>
    <w:rsid w:val="4F366BC7"/>
    <w:rsid w:val="4F3F7826"/>
    <w:rsid w:val="4F4641AC"/>
    <w:rsid w:val="4F6B689F"/>
    <w:rsid w:val="4F731591"/>
    <w:rsid w:val="4F8E010D"/>
    <w:rsid w:val="4F8F7D82"/>
    <w:rsid w:val="4F9A0837"/>
    <w:rsid w:val="4FAC1042"/>
    <w:rsid w:val="4FB60D92"/>
    <w:rsid w:val="4FB94E52"/>
    <w:rsid w:val="4FBE3AFD"/>
    <w:rsid w:val="4FDB3720"/>
    <w:rsid w:val="4FDF5967"/>
    <w:rsid w:val="4FEB69B0"/>
    <w:rsid w:val="4FFC4363"/>
    <w:rsid w:val="4FFD5A12"/>
    <w:rsid w:val="4FFF6489"/>
    <w:rsid w:val="500B0ED4"/>
    <w:rsid w:val="500F51F2"/>
    <w:rsid w:val="50102D4A"/>
    <w:rsid w:val="502A5588"/>
    <w:rsid w:val="502D6447"/>
    <w:rsid w:val="50360C21"/>
    <w:rsid w:val="503D6F10"/>
    <w:rsid w:val="50401737"/>
    <w:rsid w:val="504946BC"/>
    <w:rsid w:val="50526BF2"/>
    <w:rsid w:val="5064689E"/>
    <w:rsid w:val="50696AB5"/>
    <w:rsid w:val="506E556F"/>
    <w:rsid w:val="50747150"/>
    <w:rsid w:val="507703C6"/>
    <w:rsid w:val="50804F6F"/>
    <w:rsid w:val="50812FC2"/>
    <w:rsid w:val="50922234"/>
    <w:rsid w:val="50A0169A"/>
    <w:rsid w:val="50A548F7"/>
    <w:rsid w:val="50A95358"/>
    <w:rsid w:val="50D01829"/>
    <w:rsid w:val="50D240A9"/>
    <w:rsid w:val="50E74E4F"/>
    <w:rsid w:val="50F32C05"/>
    <w:rsid w:val="51014856"/>
    <w:rsid w:val="510A7849"/>
    <w:rsid w:val="51100044"/>
    <w:rsid w:val="5147293F"/>
    <w:rsid w:val="515570E4"/>
    <w:rsid w:val="51575EB9"/>
    <w:rsid w:val="515F6445"/>
    <w:rsid w:val="516113B8"/>
    <w:rsid w:val="51744CB0"/>
    <w:rsid w:val="518178BC"/>
    <w:rsid w:val="51846C5D"/>
    <w:rsid w:val="518E4D56"/>
    <w:rsid w:val="51930C54"/>
    <w:rsid w:val="51932D58"/>
    <w:rsid w:val="5198443A"/>
    <w:rsid w:val="519F23F2"/>
    <w:rsid w:val="51B21398"/>
    <w:rsid w:val="51B65C8D"/>
    <w:rsid w:val="51B9350B"/>
    <w:rsid w:val="51C82E54"/>
    <w:rsid w:val="51E26886"/>
    <w:rsid w:val="51F37EF0"/>
    <w:rsid w:val="52065E75"/>
    <w:rsid w:val="52066D18"/>
    <w:rsid w:val="520F3871"/>
    <w:rsid w:val="521117D6"/>
    <w:rsid w:val="5227352B"/>
    <w:rsid w:val="522B0B10"/>
    <w:rsid w:val="52386C48"/>
    <w:rsid w:val="523C6D60"/>
    <w:rsid w:val="524F1CF2"/>
    <w:rsid w:val="525B4D0A"/>
    <w:rsid w:val="525D0DDD"/>
    <w:rsid w:val="525E7D94"/>
    <w:rsid w:val="526A557B"/>
    <w:rsid w:val="527234DF"/>
    <w:rsid w:val="52866E27"/>
    <w:rsid w:val="52933667"/>
    <w:rsid w:val="52937784"/>
    <w:rsid w:val="52A422AF"/>
    <w:rsid w:val="52B40CD1"/>
    <w:rsid w:val="52C73780"/>
    <w:rsid w:val="52D30187"/>
    <w:rsid w:val="52DE294E"/>
    <w:rsid w:val="52E80C5A"/>
    <w:rsid w:val="52EB39D6"/>
    <w:rsid w:val="52F45CCD"/>
    <w:rsid w:val="52F61A46"/>
    <w:rsid w:val="530D11E7"/>
    <w:rsid w:val="53194497"/>
    <w:rsid w:val="531B5950"/>
    <w:rsid w:val="532B274E"/>
    <w:rsid w:val="532B79AE"/>
    <w:rsid w:val="53301642"/>
    <w:rsid w:val="53383909"/>
    <w:rsid w:val="533A55FD"/>
    <w:rsid w:val="533E1C9D"/>
    <w:rsid w:val="535911AD"/>
    <w:rsid w:val="536034E5"/>
    <w:rsid w:val="53717427"/>
    <w:rsid w:val="53756F3F"/>
    <w:rsid w:val="538237C6"/>
    <w:rsid w:val="53B0409F"/>
    <w:rsid w:val="53DF24DA"/>
    <w:rsid w:val="53E00D9A"/>
    <w:rsid w:val="53E05B8F"/>
    <w:rsid w:val="53E8049B"/>
    <w:rsid w:val="53E82405"/>
    <w:rsid w:val="54157FC5"/>
    <w:rsid w:val="541A2918"/>
    <w:rsid w:val="54204C9F"/>
    <w:rsid w:val="5426167E"/>
    <w:rsid w:val="54280325"/>
    <w:rsid w:val="54385FD8"/>
    <w:rsid w:val="543D19F2"/>
    <w:rsid w:val="543F078D"/>
    <w:rsid w:val="54624A1A"/>
    <w:rsid w:val="5467079A"/>
    <w:rsid w:val="546A2608"/>
    <w:rsid w:val="546F53E5"/>
    <w:rsid w:val="547C4670"/>
    <w:rsid w:val="5482785F"/>
    <w:rsid w:val="54834761"/>
    <w:rsid w:val="54842B46"/>
    <w:rsid w:val="54981906"/>
    <w:rsid w:val="54992160"/>
    <w:rsid w:val="54B13FCD"/>
    <w:rsid w:val="54C07BCA"/>
    <w:rsid w:val="54F07210"/>
    <w:rsid w:val="550D21E2"/>
    <w:rsid w:val="55106B9E"/>
    <w:rsid w:val="55293CD7"/>
    <w:rsid w:val="55397F95"/>
    <w:rsid w:val="553B72BC"/>
    <w:rsid w:val="55402FD8"/>
    <w:rsid w:val="5562356C"/>
    <w:rsid w:val="557612C1"/>
    <w:rsid w:val="55794AFE"/>
    <w:rsid w:val="557A22BF"/>
    <w:rsid w:val="558D63DE"/>
    <w:rsid w:val="55A91797"/>
    <w:rsid w:val="55A955BC"/>
    <w:rsid w:val="55AC042B"/>
    <w:rsid w:val="55CD6CE1"/>
    <w:rsid w:val="55D128B6"/>
    <w:rsid w:val="55D3548E"/>
    <w:rsid w:val="55E820F0"/>
    <w:rsid w:val="55ED3A66"/>
    <w:rsid w:val="55FC5BB6"/>
    <w:rsid w:val="56032E96"/>
    <w:rsid w:val="561F3061"/>
    <w:rsid w:val="562F7218"/>
    <w:rsid w:val="563811F3"/>
    <w:rsid w:val="563B47EF"/>
    <w:rsid w:val="563D2F23"/>
    <w:rsid w:val="56442AC9"/>
    <w:rsid w:val="565A1A66"/>
    <w:rsid w:val="565C303E"/>
    <w:rsid w:val="56696A15"/>
    <w:rsid w:val="566E6F0C"/>
    <w:rsid w:val="568147E6"/>
    <w:rsid w:val="56905AE9"/>
    <w:rsid w:val="56AD7F56"/>
    <w:rsid w:val="56B0015D"/>
    <w:rsid w:val="56B14A4E"/>
    <w:rsid w:val="56BC2FA6"/>
    <w:rsid w:val="56DB6B9E"/>
    <w:rsid w:val="56E47121"/>
    <w:rsid w:val="56E93EB2"/>
    <w:rsid w:val="56EA6B57"/>
    <w:rsid w:val="56F332BC"/>
    <w:rsid w:val="56F72AE0"/>
    <w:rsid w:val="56FC0A62"/>
    <w:rsid w:val="57121C92"/>
    <w:rsid w:val="57285CD2"/>
    <w:rsid w:val="5729650D"/>
    <w:rsid w:val="57302BC2"/>
    <w:rsid w:val="573202DA"/>
    <w:rsid w:val="5734273B"/>
    <w:rsid w:val="57512180"/>
    <w:rsid w:val="5763554D"/>
    <w:rsid w:val="57644F14"/>
    <w:rsid w:val="57730938"/>
    <w:rsid w:val="577E549B"/>
    <w:rsid w:val="578904F9"/>
    <w:rsid w:val="57C344BA"/>
    <w:rsid w:val="57CE0C4E"/>
    <w:rsid w:val="57D727B4"/>
    <w:rsid w:val="57E11A79"/>
    <w:rsid w:val="57F6321B"/>
    <w:rsid w:val="58025991"/>
    <w:rsid w:val="58026C75"/>
    <w:rsid w:val="580B590A"/>
    <w:rsid w:val="58123DE6"/>
    <w:rsid w:val="581667FF"/>
    <w:rsid w:val="581F1405"/>
    <w:rsid w:val="582901C7"/>
    <w:rsid w:val="582B4A6E"/>
    <w:rsid w:val="583A7F2A"/>
    <w:rsid w:val="584863F5"/>
    <w:rsid w:val="58543C7C"/>
    <w:rsid w:val="5858263B"/>
    <w:rsid w:val="585869BD"/>
    <w:rsid w:val="586517A3"/>
    <w:rsid w:val="58923CB1"/>
    <w:rsid w:val="58927B2F"/>
    <w:rsid w:val="589C6BEB"/>
    <w:rsid w:val="589D3BF4"/>
    <w:rsid w:val="58A2699C"/>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90B80"/>
    <w:rsid w:val="594C24B0"/>
    <w:rsid w:val="59822B75"/>
    <w:rsid w:val="598850C0"/>
    <w:rsid w:val="59B459DE"/>
    <w:rsid w:val="59B52CD9"/>
    <w:rsid w:val="59BE124D"/>
    <w:rsid w:val="59C84CDF"/>
    <w:rsid w:val="59CA4C89"/>
    <w:rsid w:val="59DC20FA"/>
    <w:rsid w:val="59E309B6"/>
    <w:rsid w:val="59E37ED8"/>
    <w:rsid w:val="59E44CEE"/>
    <w:rsid w:val="59E63DC8"/>
    <w:rsid w:val="59EF48C8"/>
    <w:rsid w:val="5A166E71"/>
    <w:rsid w:val="5A247CDB"/>
    <w:rsid w:val="5A290E19"/>
    <w:rsid w:val="5A335194"/>
    <w:rsid w:val="5A356DDA"/>
    <w:rsid w:val="5A371A5D"/>
    <w:rsid w:val="5A575D91"/>
    <w:rsid w:val="5A581480"/>
    <w:rsid w:val="5A596039"/>
    <w:rsid w:val="5A6A2BD2"/>
    <w:rsid w:val="5A6E7822"/>
    <w:rsid w:val="5A7236C9"/>
    <w:rsid w:val="5A894444"/>
    <w:rsid w:val="5A8F7875"/>
    <w:rsid w:val="5A9579D4"/>
    <w:rsid w:val="5A994586"/>
    <w:rsid w:val="5AA248EB"/>
    <w:rsid w:val="5ABF3065"/>
    <w:rsid w:val="5AC053E4"/>
    <w:rsid w:val="5ACE09A3"/>
    <w:rsid w:val="5ADE17FA"/>
    <w:rsid w:val="5AF91A16"/>
    <w:rsid w:val="5AFF7905"/>
    <w:rsid w:val="5B006CAA"/>
    <w:rsid w:val="5B0C5194"/>
    <w:rsid w:val="5B152458"/>
    <w:rsid w:val="5B264A86"/>
    <w:rsid w:val="5B396F85"/>
    <w:rsid w:val="5B3C37FD"/>
    <w:rsid w:val="5B475858"/>
    <w:rsid w:val="5B491849"/>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25620A"/>
    <w:rsid w:val="5C355397"/>
    <w:rsid w:val="5C3A0AA8"/>
    <w:rsid w:val="5C3F2070"/>
    <w:rsid w:val="5C435E0B"/>
    <w:rsid w:val="5C4444BD"/>
    <w:rsid w:val="5C5123E2"/>
    <w:rsid w:val="5C6F0385"/>
    <w:rsid w:val="5C770320"/>
    <w:rsid w:val="5C8017A6"/>
    <w:rsid w:val="5C864881"/>
    <w:rsid w:val="5C924B81"/>
    <w:rsid w:val="5C9E09E2"/>
    <w:rsid w:val="5CA363E0"/>
    <w:rsid w:val="5CA70719"/>
    <w:rsid w:val="5CB82EBF"/>
    <w:rsid w:val="5CBE05E3"/>
    <w:rsid w:val="5CC05D9E"/>
    <w:rsid w:val="5CC708B0"/>
    <w:rsid w:val="5CDA71D3"/>
    <w:rsid w:val="5CE54876"/>
    <w:rsid w:val="5CEF5874"/>
    <w:rsid w:val="5CFB2FDE"/>
    <w:rsid w:val="5D186A5C"/>
    <w:rsid w:val="5D1A6F31"/>
    <w:rsid w:val="5D1E5536"/>
    <w:rsid w:val="5D1F5A7E"/>
    <w:rsid w:val="5D236ED9"/>
    <w:rsid w:val="5D2A1B13"/>
    <w:rsid w:val="5D2C20B7"/>
    <w:rsid w:val="5D393E6A"/>
    <w:rsid w:val="5D476082"/>
    <w:rsid w:val="5D4A0A98"/>
    <w:rsid w:val="5D4B4145"/>
    <w:rsid w:val="5D4C6C2E"/>
    <w:rsid w:val="5D5059DF"/>
    <w:rsid w:val="5D5A52FA"/>
    <w:rsid w:val="5D755474"/>
    <w:rsid w:val="5D766193"/>
    <w:rsid w:val="5D966AF6"/>
    <w:rsid w:val="5D98478A"/>
    <w:rsid w:val="5D9E18CE"/>
    <w:rsid w:val="5DAC6B99"/>
    <w:rsid w:val="5DBF4C78"/>
    <w:rsid w:val="5DC0691D"/>
    <w:rsid w:val="5DD26EE0"/>
    <w:rsid w:val="5DE514EE"/>
    <w:rsid w:val="5DE53F7C"/>
    <w:rsid w:val="5E013701"/>
    <w:rsid w:val="5E0513FB"/>
    <w:rsid w:val="5E1570CE"/>
    <w:rsid w:val="5E171C43"/>
    <w:rsid w:val="5E1C6562"/>
    <w:rsid w:val="5E2800BA"/>
    <w:rsid w:val="5E2C09B6"/>
    <w:rsid w:val="5E2D14BF"/>
    <w:rsid w:val="5E3C0189"/>
    <w:rsid w:val="5E404FB0"/>
    <w:rsid w:val="5E42301F"/>
    <w:rsid w:val="5E467B9F"/>
    <w:rsid w:val="5E51227F"/>
    <w:rsid w:val="5E514CD5"/>
    <w:rsid w:val="5E52263A"/>
    <w:rsid w:val="5E5A59C7"/>
    <w:rsid w:val="5E6E104D"/>
    <w:rsid w:val="5E731849"/>
    <w:rsid w:val="5E7C1280"/>
    <w:rsid w:val="5EAB53C3"/>
    <w:rsid w:val="5EAF39DF"/>
    <w:rsid w:val="5EB874C0"/>
    <w:rsid w:val="5EC31AC3"/>
    <w:rsid w:val="5EC91D37"/>
    <w:rsid w:val="5EE27322"/>
    <w:rsid w:val="5EE564C9"/>
    <w:rsid w:val="5EE65064"/>
    <w:rsid w:val="5EEE7B08"/>
    <w:rsid w:val="5EF55234"/>
    <w:rsid w:val="5F0E3CF1"/>
    <w:rsid w:val="5F1624F5"/>
    <w:rsid w:val="5F193A26"/>
    <w:rsid w:val="5F1C125D"/>
    <w:rsid w:val="5F2522A0"/>
    <w:rsid w:val="5F2B4794"/>
    <w:rsid w:val="5F2D1625"/>
    <w:rsid w:val="5F357A2D"/>
    <w:rsid w:val="5F3758C0"/>
    <w:rsid w:val="5F441D8B"/>
    <w:rsid w:val="5F4B2EB5"/>
    <w:rsid w:val="5F4C3A88"/>
    <w:rsid w:val="5F4D7AE0"/>
    <w:rsid w:val="5F5A15AE"/>
    <w:rsid w:val="5F5A4C82"/>
    <w:rsid w:val="5F870365"/>
    <w:rsid w:val="5F886238"/>
    <w:rsid w:val="5F981562"/>
    <w:rsid w:val="5FA161BA"/>
    <w:rsid w:val="5FAB1E0A"/>
    <w:rsid w:val="5FC001D5"/>
    <w:rsid w:val="5FC240D0"/>
    <w:rsid w:val="5FCA38F9"/>
    <w:rsid w:val="5FCD7FD2"/>
    <w:rsid w:val="5FD84A30"/>
    <w:rsid w:val="5FE170F8"/>
    <w:rsid w:val="5FE86F17"/>
    <w:rsid w:val="5FED41D0"/>
    <w:rsid w:val="5FF200BA"/>
    <w:rsid w:val="5FF20A16"/>
    <w:rsid w:val="5FF6085F"/>
    <w:rsid w:val="5FF8256B"/>
    <w:rsid w:val="5FFC1120"/>
    <w:rsid w:val="5FFD12A5"/>
    <w:rsid w:val="60064D2A"/>
    <w:rsid w:val="60082B45"/>
    <w:rsid w:val="601158D1"/>
    <w:rsid w:val="6017480A"/>
    <w:rsid w:val="601D045C"/>
    <w:rsid w:val="602653D2"/>
    <w:rsid w:val="60270FD4"/>
    <w:rsid w:val="60303AFA"/>
    <w:rsid w:val="604324D0"/>
    <w:rsid w:val="60445AFC"/>
    <w:rsid w:val="604B60D3"/>
    <w:rsid w:val="60646268"/>
    <w:rsid w:val="606D7CFC"/>
    <w:rsid w:val="606F505F"/>
    <w:rsid w:val="607D7FE8"/>
    <w:rsid w:val="60884998"/>
    <w:rsid w:val="608942B2"/>
    <w:rsid w:val="60A15641"/>
    <w:rsid w:val="60B27E50"/>
    <w:rsid w:val="60B44302"/>
    <w:rsid w:val="60B658E9"/>
    <w:rsid w:val="60B928B7"/>
    <w:rsid w:val="60C66B21"/>
    <w:rsid w:val="60C80EC0"/>
    <w:rsid w:val="60CD2CF0"/>
    <w:rsid w:val="60D2369F"/>
    <w:rsid w:val="60DF67A6"/>
    <w:rsid w:val="60E41416"/>
    <w:rsid w:val="60E52C42"/>
    <w:rsid w:val="60E6759D"/>
    <w:rsid w:val="60E855DE"/>
    <w:rsid w:val="60E96F99"/>
    <w:rsid w:val="60EF662F"/>
    <w:rsid w:val="60F71F45"/>
    <w:rsid w:val="60F80C24"/>
    <w:rsid w:val="610231C1"/>
    <w:rsid w:val="610278FD"/>
    <w:rsid w:val="611C05A5"/>
    <w:rsid w:val="611C39DE"/>
    <w:rsid w:val="611E5474"/>
    <w:rsid w:val="61376941"/>
    <w:rsid w:val="613F7A7D"/>
    <w:rsid w:val="61592BF5"/>
    <w:rsid w:val="615C5FB8"/>
    <w:rsid w:val="61634209"/>
    <w:rsid w:val="61693B6C"/>
    <w:rsid w:val="61AE7948"/>
    <w:rsid w:val="61B87464"/>
    <w:rsid w:val="61D25A07"/>
    <w:rsid w:val="61DE2022"/>
    <w:rsid w:val="61E6608D"/>
    <w:rsid w:val="61ED7533"/>
    <w:rsid w:val="61FC0F2C"/>
    <w:rsid w:val="61FD7DB0"/>
    <w:rsid w:val="62114372"/>
    <w:rsid w:val="62161890"/>
    <w:rsid w:val="621A5025"/>
    <w:rsid w:val="62202443"/>
    <w:rsid w:val="62275A5B"/>
    <w:rsid w:val="622C3001"/>
    <w:rsid w:val="623561A0"/>
    <w:rsid w:val="624314DE"/>
    <w:rsid w:val="62483FD7"/>
    <w:rsid w:val="62500F5E"/>
    <w:rsid w:val="626204F3"/>
    <w:rsid w:val="62731C1A"/>
    <w:rsid w:val="62867571"/>
    <w:rsid w:val="629F5531"/>
    <w:rsid w:val="62AB40A1"/>
    <w:rsid w:val="62AF7586"/>
    <w:rsid w:val="62B560E9"/>
    <w:rsid w:val="62BE3E96"/>
    <w:rsid w:val="62D338B4"/>
    <w:rsid w:val="62D5294D"/>
    <w:rsid w:val="62EC385F"/>
    <w:rsid w:val="62FB4E56"/>
    <w:rsid w:val="62FB5BA7"/>
    <w:rsid w:val="6301326C"/>
    <w:rsid w:val="63050A1F"/>
    <w:rsid w:val="63080E5B"/>
    <w:rsid w:val="6309206C"/>
    <w:rsid w:val="630E5098"/>
    <w:rsid w:val="631F224A"/>
    <w:rsid w:val="632035A5"/>
    <w:rsid w:val="63294E5F"/>
    <w:rsid w:val="633C082B"/>
    <w:rsid w:val="633C2410"/>
    <w:rsid w:val="633F63DA"/>
    <w:rsid w:val="63545C98"/>
    <w:rsid w:val="635F65AF"/>
    <w:rsid w:val="63620628"/>
    <w:rsid w:val="63651461"/>
    <w:rsid w:val="63732C3E"/>
    <w:rsid w:val="63870CB8"/>
    <w:rsid w:val="638B7A69"/>
    <w:rsid w:val="63903BC1"/>
    <w:rsid w:val="639248EB"/>
    <w:rsid w:val="63967850"/>
    <w:rsid w:val="639C3EF7"/>
    <w:rsid w:val="63A31776"/>
    <w:rsid w:val="63BD3EBA"/>
    <w:rsid w:val="63BE19B4"/>
    <w:rsid w:val="63F00578"/>
    <w:rsid w:val="640333E3"/>
    <w:rsid w:val="640B6395"/>
    <w:rsid w:val="640C2139"/>
    <w:rsid w:val="641522A9"/>
    <w:rsid w:val="641C35B1"/>
    <w:rsid w:val="641F101E"/>
    <w:rsid w:val="64237E60"/>
    <w:rsid w:val="642E543B"/>
    <w:rsid w:val="64316853"/>
    <w:rsid w:val="643353CD"/>
    <w:rsid w:val="64442D14"/>
    <w:rsid w:val="644665A5"/>
    <w:rsid w:val="64533B61"/>
    <w:rsid w:val="64537D8A"/>
    <w:rsid w:val="645529CF"/>
    <w:rsid w:val="64582752"/>
    <w:rsid w:val="645B42E9"/>
    <w:rsid w:val="64632D49"/>
    <w:rsid w:val="646F6A4F"/>
    <w:rsid w:val="64734452"/>
    <w:rsid w:val="64741109"/>
    <w:rsid w:val="6474752A"/>
    <w:rsid w:val="647868BD"/>
    <w:rsid w:val="64831720"/>
    <w:rsid w:val="648F71C6"/>
    <w:rsid w:val="64A82A8C"/>
    <w:rsid w:val="64AA707D"/>
    <w:rsid w:val="64B5748D"/>
    <w:rsid w:val="64BD683C"/>
    <w:rsid w:val="64C55F55"/>
    <w:rsid w:val="64C834FC"/>
    <w:rsid w:val="64CD637E"/>
    <w:rsid w:val="64E119E4"/>
    <w:rsid w:val="64EB7DFD"/>
    <w:rsid w:val="65003032"/>
    <w:rsid w:val="65050F4E"/>
    <w:rsid w:val="650C334E"/>
    <w:rsid w:val="650D3E92"/>
    <w:rsid w:val="65146C68"/>
    <w:rsid w:val="65190895"/>
    <w:rsid w:val="653D616B"/>
    <w:rsid w:val="65482211"/>
    <w:rsid w:val="654A3764"/>
    <w:rsid w:val="65653B74"/>
    <w:rsid w:val="6569417B"/>
    <w:rsid w:val="656D4997"/>
    <w:rsid w:val="657F5034"/>
    <w:rsid w:val="657F5A99"/>
    <w:rsid w:val="658C6239"/>
    <w:rsid w:val="65923A57"/>
    <w:rsid w:val="65971A81"/>
    <w:rsid w:val="65980F79"/>
    <w:rsid w:val="65984BDE"/>
    <w:rsid w:val="659E7533"/>
    <w:rsid w:val="65A97453"/>
    <w:rsid w:val="65AE4402"/>
    <w:rsid w:val="65AF3B9A"/>
    <w:rsid w:val="65C1644B"/>
    <w:rsid w:val="65E75F6F"/>
    <w:rsid w:val="65EF01E5"/>
    <w:rsid w:val="65FC33BF"/>
    <w:rsid w:val="65FC5496"/>
    <w:rsid w:val="65FC6E6D"/>
    <w:rsid w:val="660039F4"/>
    <w:rsid w:val="6605765F"/>
    <w:rsid w:val="660F2AC1"/>
    <w:rsid w:val="662304CB"/>
    <w:rsid w:val="663C1A0D"/>
    <w:rsid w:val="66464E42"/>
    <w:rsid w:val="66551F6F"/>
    <w:rsid w:val="665C3A62"/>
    <w:rsid w:val="66644E66"/>
    <w:rsid w:val="66770B4B"/>
    <w:rsid w:val="667D07B1"/>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458DD"/>
    <w:rsid w:val="671B3B7A"/>
    <w:rsid w:val="67266141"/>
    <w:rsid w:val="673C081D"/>
    <w:rsid w:val="67475179"/>
    <w:rsid w:val="674F0550"/>
    <w:rsid w:val="67565996"/>
    <w:rsid w:val="676E3F41"/>
    <w:rsid w:val="67713305"/>
    <w:rsid w:val="677752E1"/>
    <w:rsid w:val="67AB0BF9"/>
    <w:rsid w:val="67B04EEE"/>
    <w:rsid w:val="67B970C3"/>
    <w:rsid w:val="67CB7146"/>
    <w:rsid w:val="67D33980"/>
    <w:rsid w:val="67DE5264"/>
    <w:rsid w:val="67F35DF1"/>
    <w:rsid w:val="68092B5E"/>
    <w:rsid w:val="680D364D"/>
    <w:rsid w:val="680F5AE3"/>
    <w:rsid w:val="68117613"/>
    <w:rsid w:val="6820477D"/>
    <w:rsid w:val="682C160E"/>
    <w:rsid w:val="68427665"/>
    <w:rsid w:val="684775C0"/>
    <w:rsid w:val="684B1376"/>
    <w:rsid w:val="684D136C"/>
    <w:rsid w:val="684F0E2C"/>
    <w:rsid w:val="68570D81"/>
    <w:rsid w:val="6865733B"/>
    <w:rsid w:val="68684609"/>
    <w:rsid w:val="686B477F"/>
    <w:rsid w:val="687141FF"/>
    <w:rsid w:val="6877412F"/>
    <w:rsid w:val="6880201F"/>
    <w:rsid w:val="68835AA2"/>
    <w:rsid w:val="68844ECD"/>
    <w:rsid w:val="688A2354"/>
    <w:rsid w:val="688C1BB2"/>
    <w:rsid w:val="688F4E56"/>
    <w:rsid w:val="6894390C"/>
    <w:rsid w:val="6895754F"/>
    <w:rsid w:val="689A781C"/>
    <w:rsid w:val="68A0780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4D2D55"/>
    <w:rsid w:val="695E7C59"/>
    <w:rsid w:val="69617970"/>
    <w:rsid w:val="697D3DF1"/>
    <w:rsid w:val="69817A0A"/>
    <w:rsid w:val="69877BD5"/>
    <w:rsid w:val="69883909"/>
    <w:rsid w:val="698C7784"/>
    <w:rsid w:val="69931944"/>
    <w:rsid w:val="6996284D"/>
    <w:rsid w:val="699833FF"/>
    <w:rsid w:val="6999757A"/>
    <w:rsid w:val="69A27DC6"/>
    <w:rsid w:val="69A67461"/>
    <w:rsid w:val="69AA3132"/>
    <w:rsid w:val="69B361C6"/>
    <w:rsid w:val="69BB76DC"/>
    <w:rsid w:val="69C34C7C"/>
    <w:rsid w:val="69CD7A7A"/>
    <w:rsid w:val="69E3443A"/>
    <w:rsid w:val="69E65023"/>
    <w:rsid w:val="69EE1BDC"/>
    <w:rsid w:val="69F81080"/>
    <w:rsid w:val="69FF787E"/>
    <w:rsid w:val="6A007DE8"/>
    <w:rsid w:val="6A11613C"/>
    <w:rsid w:val="6A256586"/>
    <w:rsid w:val="6A302DD5"/>
    <w:rsid w:val="6A396A80"/>
    <w:rsid w:val="6A461F5E"/>
    <w:rsid w:val="6A5A0FF9"/>
    <w:rsid w:val="6A5A4DFC"/>
    <w:rsid w:val="6A654291"/>
    <w:rsid w:val="6A680E8F"/>
    <w:rsid w:val="6A703E49"/>
    <w:rsid w:val="6A730966"/>
    <w:rsid w:val="6A797550"/>
    <w:rsid w:val="6A7E689E"/>
    <w:rsid w:val="6A8355EC"/>
    <w:rsid w:val="6A891457"/>
    <w:rsid w:val="6AA652D2"/>
    <w:rsid w:val="6AA72340"/>
    <w:rsid w:val="6AA933EA"/>
    <w:rsid w:val="6AB04219"/>
    <w:rsid w:val="6ACE2B18"/>
    <w:rsid w:val="6ACF25A6"/>
    <w:rsid w:val="6AD60DC8"/>
    <w:rsid w:val="6ADC0399"/>
    <w:rsid w:val="6ADF0BB9"/>
    <w:rsid w:val="6AEB0476"/>
    <w:rsid w:val="6B0743D3"/>
    <w:rsid w:val="6B077010"/>
    <w:rsid w:val="6B204E64"/>
    <w:rsid w:val="6B33492D"/>
    <w:rsid w:val="6B3F0486"/>
    <w:rsid w:val="6B4B4F61"/>
    <w:rsid w:val="6B570869"/>
    <w:rsid w:val="6B5D3298"/>
    <w:rsid w:val="6B6946AD"/>
    <w:rsid w:val="6B7436DD"/>
    <w:rsid w:val="6B846633"/>
    <w:rsid w:val="6B861AFC"/>
    <w:rsid w:val="6BAD411E"/>
    <w:rsid w:val="6BB07A53"/>
    <w:rsid w:val="6BB72063"/>
    <w:rsid w:val="6BBD7915"/>
    <w:rsid w:val="6BBE0A12"/>
    <w:rsid w:val="6BC11AEE"/>
    <w:rsid w:val="6BD15E73"/>
    <w:rsid w:val="6BE916E2"/>
    <w:rsid w:val="6BF250F0"/>
    <w:rsid w:val="6BFD5174"/>
    <w:rsid w:val="6C032272"/>
    <w:rsid w:val="6C090CE8"/>
    <w:rsid w:val="6C0B7728"/>
    <w:rsid w:val="6C0D1647"/>
    <w:rsid w:val="6C0E71A4"/>
    <w:rsid w:val="6C180D76"/>
    <w:rsid w:val="6C1C6176"/>
    <w:rsid w:val="6C326AF7"/>
    <w:rsid w:val="6C3B3B64"/>
    <w:rsid w:val="6C4C0148"/>
    <w:rsid w:val="6C5B440E"/>
    <w:rsid w:val="6C5F40C9"/>
    <w:rsid w:val="6C653C4C"/>
    <w:rsid w:val="6C6B7426"/>
    <w:rsid w:val="6C6C6DC9"/>
    <w:rsid w:val="6C6D234E"/>
    <w:rsid w:val="6C724308"/>
    <w:rsid w:val="6C8B1137"/>
    <w:rsid w:val="6C9047E9"/>
    <w:rsid w:val="6CA420BB"/>
    <w:rsid w:val="6CAC4790"/>
    <w:rsid w:val="6CC44182"/>
    <w:rsid w:val="6CD44D00"/>
    <w:rsid w:val="6CDF505E"/>
    <w:rsid w:val="6CE229EC"/>
    <w:rsid w:val="6CE32E09"/>
    <w:rsid w:val="6CEC6037"/>
    <w:rsid w:val="6D0501AC"/>
    <w:rsid w:val="6D0E6B36"/>
    <w:rsid w:val="6D2324B0"/>
    <w:rsid w:val="6D2867C4"/>
    <w:rsid w:val="6D2D081F"/>
    <w:rsid w:val="6D2E5003"/>
    <w:rsid w:val="6D2F25FE"/>
    <w:rsid w:val="6D38139C"/>
    <w:rsid w:val="6D421CE6"/>
    <w:rsid w:val="6D554C2B"/>
    <w:rsid w:val="6D614390"/>
    <w:rsid w:val="6D675032"/>
    <w:rsid w:val="6D680AD9"/>
    <w:rsid w:val="6D7320FC"/>
    <w:rsid w:val="6D7F7C0A"/>
    <w:rsid w:val="6D891878"/>
    <w:rsid w:val="6DAC6531"/>
    <w:rsid w:val="6DC53456"/>
    <w:rsid w:val="6DC91E26"/>
    <w:rsid w:val="6DCC36C7"/>
    <w:rsid w:val="6DCE16F6"/>
    <w:rsid w:val="6DD47B0C"/>
    <w:rsid w:val="6DD90D09"/>
    <w:rsid w:val="6DE361D8"/>
    <w:rsid w:val="6DE615F1"/>
    <w:rsid w:val="6DFC60DE"/>
    <w:rsid w:val="6E0820D7"/>
    <w:rsid w:val="6E0B777B"/>
    <w:rsid w:val="6E197336"/>
    <w:rsid w:val="6E1E5789"/>
    <w:rsid w:val="6E252535"/>
    <w:rsid w:val="6E256CE8"/>
    <w:rsid w:val="6E280525"/>
    <w:rsid w:val="6E285844"/>
    <w:rsid w:val="6E3102B9"/>
    <w:rsid w:val="6E3E3FF3"/>
    <w:rsid w:val="6E4603B2"/>
    <w:rsid w:val="6E483075"/>
    <w:rsid w:val="6E4E0DED"/>
    <w:rsid w:val="6E4F4250"/>
    <w:rsid w:val="6E540DBD"/>
    <w:rsid w:val="6E55134A"/>
    <w:rsid w:val="6E5B3D71"/>
    <w:rsid w:val="6E6146D4"/>
    <w:rsid w:val="6E626043"/>
    <w:rsid w:val="6E697118"/>
    <w:rsid w:val="6E6D6DFA"/>
    <w:rsid w:val="6E7454FB"/>
    <w:rsid w:val="6E9A108B"/>
    <w:rsid w:val="6E9E2DA7"/>
    <w:rsid w:val="6EA22C41"/>
    <w:rsid w:val="6EA9209B"/>
    <w:rsid w:val="6EB12C72"/>
    <w:rsid w:val="6EC65D5F"/>
    <w:rsid w:val="6EC66750"/>
    <w:rsid w:val="6EC75EF8"/>
    <w:rsid w:val="6ED0100B"/>
    <w:rsid w:val="6ED578AE"/>
    <w:rsid w:val="6EE163A3"/>
    <w:rsid w:val="6EEE791B"/>
    <w:rsid w:val="6F1C418A"/>
    <w:rsid w:val="6F1D0497"/>
    <w:rsid w:val="6F1E4E6F"/>
    <w:rsid w:val="6F26325B"/>
    <w:rsid w:val="6F332D93"/>
    <w:rsid w:val="6F3573A8"/>
    <w:rsid w:val="6F3D4088"/>
    <w:rsid w:val="6F4F25A6"/>
    <w:rsid w:val="6F655B31"/>
    <w:rsid w:val="6F6F11E3"/>
    <w:rsid w:val="6F8136B2"/>
    <w:rsid w:val="6F8A5CED"/>
    <w:rsid w:val="6F8C1474"/>
    <w:rsid w:val="6F965EAE"/>
    <w:rsid w:val="6F967250"/>
    <w:rsid w:val="6F991B91"/>
    <w:rsid w:val="6F9D0044"/>
    <w:rsid w:val="6FB13CF0"/>
    <w:rsid w:val="6FB4208D"/>
    <w:rsid w:val="6FB77CB5"/>
    <w:rsid w:val="6FDB7183"/>
    <w:rsid w:val="6FDD487B"/>
    <w:rsid w:val="6FE14FB9"/>
    <w:rsid w:val="6FE16CDF"/>
    <w:rsid w:val="6FE17B80"/>
    <w:rsid w:val="6FE3114C"/>
    <w:rsid w:val="6FE8152F"/>
    <w:rsid w:val="6FFE4939"/>
    <w:rsid w:val="701142D5"/>
    <w:rsid w:val="702039C6"/>
    <w:rsid w:val="70220651"/>
    <w:rsid w:val="702432DB"/>
    <w:rsid w:val="70247FB9"/>
    <w:rsid w:val="702F7C58"/>
    <w:rsid w:val="70366918"/>
    <w:rsid w:val="703D24BF"/>
    <w:rsid w:val="70410704"/>
    <w:rsid w:val="704C3957"/>
    <w:rsid w:val="70505DA3"/>
    <w:rsid w:val="705523CF"/>
    <w:rsid w:val="70587444"/>
    <w:rsid w:val="706008FD"/>
    <w:rsid w:val="706143B5"/>
    <w:rsid w:val="706416A4"/>
    <w:rsid w:val="706A6530"/>
    <w:rsid w:val="706E286A"/>
    <w:rsid w:val="70705898"/>
    <w:rsid w:val="70715E81"/>
    <w:rsid w:val="708006AE"/>
    <w:rsid w:val="70855FE8"/>
    <w:rsid w:val="70984617"/>
    <w:rsid w:val="70992996"/>
    <w:rsid w:val="70A62950"/>
    <w:rsid w:val="70C47C11"/>
    <w:rsid w:val="70C52F14"/>
    <w:rsid w:val="70C91C07"/>
    <w:rsid w:val="70DC3F2A"/>
    <w:rsid w:val="70DF53F6"/>
    <w:rsid w:val="70E520FB"/>
    <w:rsid w:val="70E73597"/>
    <w:rsid w:val="70E77ABF"/>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B40FF2"/>
    <w:rsid w:val="71C30BF1"/>
    <w:rsid w:val="71E015FD"/>
    <w:rsid w:val="71E72EEB"/>
    <w:rsid w:val="71F05038"/>
    <w:rsid w:val="71F10FFC"/>
    <w:rsid w:val="71F6413C"/>
    <w:rsid w:val="720F7144"/>
    <w:rsid w:val="72134629"/>
    <w:rsid w:val="72215C67"/>
    <w:rsid w:val="723F1032"/>
    <w:rsid w:val="72407DBB"/>
    <w:rsid w:val="72415169"/>
    <w:rsid w:val="724167EC"/>
    <w:rsid w:val="72425EC5"/>
    <w:rsid w:val="72657315"/>
    <w:rsid w:val="726F35E9"/>
    <w:rsid w:val="72715A32"/>
    <w:rsid w:val="727C1377"/>
    <w:rsid w:val="727C75F4"/>
    <w:rsid w:val="72870D7F"/>
    <w:rsid w:val="72B92789"/>
    <w:rsid w:val="72BE70BB"/>
    <w:rsid w:val="72C43BB5"/>
    <w:rsid w:val="72D26D9D"/>
    <w:rsid w:val="72DC71C3"/>
    <w:rsid w:val="72DD00D4"/>
    <w:rsid w:val="72FD1063"/>
    <w:rsid w:val="730205E8"/>
    <w:rsid w:val="732263F9"/>
    <w:rsid w:val="732A215B"/>
    <w:rsid w:val="73310666"/>
    <w:rsid w:val="73321BC9"/>
    <w:rsid w:val="733533A4"/>
    <w:rsid w:val="734325B6"/>
    <w:rsid w:val="73504EC4"/>
    <w:rsid w:val="73636AF7"/>
    <w:rsid w:val="737A7A8E"/>
    <w:rsid w:val="73894681"/>
    <w:rsid w:val="73956FD0"/>
    <w:rsid w:val="739F538A"/>
    <w:rsid w:val="73A043E4"/>
    <w:rsid w:val="73B77990"/>
    <w:rsid w:val="73B8252E"/>
    <w:rsid w:val="73DC7BC2"/>
    <w:rsid w:val="73E01BEC"/>
    <w:rsid w:val="73E65B0F"/>
    <w:rsid w:val="73FC3876"/>
    <w:rsid w:val="74012C08"/>
    <w:rsid w:val="74122000"/>
    <w:rsid w:val="741D733B"/>
    <w:rsid w:val="742167A4"/>
    <w:rsid w:val="74390B33"/>
    <w:rsid w:val="743F1E08"/>
    <w:rsid w:val="74414A70"/>
    <w:rsid w:val="74535E78"/>
    <w:rsid w:val="745862A9"/>
    <w:rsid w:val="74634609"/>
    <w:rsid w:val="7482388F"/>
    <w:rsid w:val="749709B4"/>
    <w:rsid w:val="74A83EB4"/>
    <w:rsid w:val="74B2594D"/>
    <w:rsid w:val="74BB16A3"/>
    <w:rsid w:val="74C176BB"/>
    <w:rsid w:val="74DB02F4"/>
    <w:rsid w:val="74E7523A"/>
    <w:rsid w:val="74ED3428"/>
    <w:rsid w:val="74F64F37"/>
    <w:rsid w:val="74FB7801"/>
    <w:rsid w:val="74FC79C6"/>
    <w:rsid w:val="75022074"/>
    <w:rsid w:val="75074E9E"/>
    <w:rsid w:val="751D6E79"/>
    <w:rsid w:val="751E3BF2"/>
    <w:rsid w:val="75201781"/>
    <w:rsid w:val="752765A4"/>
    <w:rsid w:val="754054B6"/>
    <w:rsid w:val="7555679F"/>
    <w:rsid w:val="755A5C07"/>
    <w:rsid w:val="756468FA"/>
    <w:rsid w:val="757C0A36"/>
    <w:rsid w:val="75851FA9"/>
    <w:rsid w:val="75B1424A"/>
    <w:rsid w:val="75B15533"/>
    <w:rsid w:val="75C55E4B"/>
    <w:rsid w:val="75D04609"/>
    <w:rsid w:val="75D5182E"/>
    <w:rsid w:val="75DC2EE9"/>
    <w:rsid w:val="75DF0362"/>
    <w:rsid w:val="75E06DDA"/>
    <w:rsid w:val="75F05F7D"/>
    <w:rsid w:val="75F90750"/>
    <w:rsid w:val="75FB217F"/>
    <w:rsid w:val="76063755"/>
    <w:rsid w:val="760910BC"/>
    <w:rsid w:val="760D0C61"/>
    <w:rsid w:val="76236746"/>
    <w:rsid w:val="763444AF"/>
    <w:rsid w:val="763923C6"/>
    <w:rsid w:val="763E532E"/>
    <w:rsid w:val="764122A7"/>
    <w:rsid w:val="76524935"/>
    <w:rsid w:val="76553823"/>
    <w:rsid w:val="765608FC"/>
    <w:rsid w:val="767545EC"/>
    <w:rsid w:val="76777861"/>
    <w:rsid w:val="768E1277"/>
    <w:rsid w:val="7694298E"/>
    <w:rsid w:val="769F6A79"/>
    <w:rsid w:val="76A95B6E"/>
    <w:rsid w:val="76AE63BC"/>
    <w:rsid w:val="76B332B4"/>
    <w:rsid w:val="76BB0769"/>
    <w:rsid w:val="76BC3C22"/>
    <w:rsid w:val="76D5748A"/>
    <w:rsid w:val="76D70321"/>
    <w:rsid w:val="77041AF3"/>
    <w:rsid w:val="7707189B"/>
    <w:rsid w:val="77251168"/>
    <w:rsid w:val="772807E2"/>
    <w:rsid w:val="7729440A"/>
    <w:rsid w:val="77320F1E"/>
    <w:rsid w:val="774C609C"/>
    <w:rsid w:val="77541D32"/>
    <w:rsid w:val="7764047F"/>
    <w:rsid w:val="776547BE"/>
    <w:rsid w:val="777419A5"/>
    <w:rsid w:val="778B7CBA"/>
    <w:rsid w:val="77A75D03"/>
    <w:rsid w:val="77AB1518"/>
    <w:rsid w:val="77B207C5"/>
    <w:rsid w:val="77C17FC5"/>
    <w:rsid w:val="77CB0E43"/>
    <w:rsid w:val="77D37B47"/>
    <w:rsid w:val="77D93177"/>
    <w:rsid w:val="77D97A23"/>
    <w:rsid w:val="77E43CB3"/>
    <w:rsid w:val="77F443D5"/>
    <w:rsid w:val="780D7714"/>
    <w:rsid w:val="781142A0"/>
    <w:rsid w:val="78150AED"/>
    <w:rsid w:val="78240373"/>
    <w:rsid w:val="78307284"/>
    <w:rsid w:val="783109E9"/>
    <w:rsid w:val="783562BD"/>
    <w:rsid w:val="783B10C2"/>
    <w:rsid w:val="78483EA9"/>
    <w:rsid w:val="785A1E30"/>
    <w:rsid w:val="785D284E"/>
    <w:rsid w:val="78687BA7"/>
    <w:rsid w:val="78690B16"/>
    <w:rsid w:val="786D623F"/>
    <w:rsid w:val="78702BD9"/>
    <w:rsid w:val="787170CD"/>
    <w:rsid w:val="787E0C0C"/>
    <w:rsid w:val="78811BBF"/>
    <w:rsid w:val="78904AF8"/>
    <w:rsid w:val="789A1E33"/>
    <w:rsid w:val="78A204E1"/>
    <w:rsid w:val="78A33548"/>
    <w:rsid w:val="78A97962"/>
    <w:rsid w:val="78AA5A39"/>
    <w:rsid w:val="78AD7EF2"/>
    <w:rsid w:val="78B2607D"/>
    <w:rsid w:val="78C94DED"/>
    <w:rsid w:val="78D30F09"/>
    <w:rsid w:val="78D87374"/>
    <w:rsid w:val="78DB6E64"/>
    <w:rsid w:val="78DE6224"/>
    <w:rsid w:val="79165D39"/>
    <w:rsid w:val="791D0E14"/>
    <w:rsid w:val="792A002F"/>
    <w:rsid w:val="792C14EF"/>
    <w:rsid w:val="792D08F7"/>
    <w:rsid w:val="793C3FB6"/>
    <w:rsid w:val="79421BC3"/>
    <w:rsid w:val="79450345"/>
    <w:rsid w:val="794569F7"/>
    <w:rsid w:val="79456DEF"/>
    <w:rsid w:val="794613B8"/>
    <w:rsid w:val="79494AD9"/>
    <w:rsid w:val="794E23D8"/>
    <w:rsid w:val="79534C4C"/>
    <w:rsid w:val="79571A0F"/>
    <w:rsid w:val="796444AC"/>
    <w:rsid w:val="7967694A"/>
    <w:rsid w:val="79685409"/>
    <w:rsid w:val="796F1BB2"/>
    <w:rsid w:val="79703A50"/>
    <w:rsid w:val="797177C8"/>
    <w:rsid w:val="797343FB"/>
    <w:rsid w:val="797A3DC2"/>
    <w:rsid w:val="797A52C9"/>
    <w:rsid w:val="797C66E4"/>
    <w:rsid w:val="798535C5"/>
    <w:rsid w:val="799A18DA"/>
    <w:rsid w:val="799A54B2"/>
    <w:rsid w:val="799F1D8D"/>
    <w:rsid w:val="79AF5B7C"/>
    <w:rsid w:val="79B402AC"/>
    <w:rsid w:val="79B46429"/>
    <w:rsid w:val="79B71626"/>
    <w:rsid w:val="79C30125"/>
    <w:rsid w:val="79C478F8"/>
    <w:rsid w:val="79CA4571"/>
    <w:rsid w:val="79DD73AB"/>
    <w:rsid w:val="79DE3F03"/>
    <w:rsid w:val="79E35935"/>
    <w:rsid w:val="79E43C88"/>
    <w:rsid w:val="79E519B9"/>
    <w:rsid w:val="79E9159A"/>
    <w:rsid w:val="79F357E3"/>
    <w:rsid w:val="79FD15C9"/>
    <w:rsid w:val="79FD3D06"/>
    <w:rsid w:val="79FD4190"/>
    <w:rsid w:val="7A1545F8"/>
    <w:rsid w:val="7A1D7EB6"/>
    <w:rsid w:val="7A202D75"/>
    <w:rsid w:val="7A226176"/>
    <w:rsid w:val="7A2E402A"/>
    <w:rsid w:val="7A320D06"/>
    <w:rsid w:val="7A350D55"/>
    <w:rsid w:val="7A3C333A"/>
    <w:rsid w:val="7A4F3740"/>
    <w:rsid w:val="7A5D1673"/>
    <w:rsid w:val="7A62556E"/>
    <w:rsid w:val="7A682979"/>
    <w:rsid w:val="7A7A10A3"/>
    <w:rsid w:val="7A7D167B"/>
    <w:rsid w:val="7A7D2E5E"/>
    <w:rsid w:val="7A82615B"/>
    <w:rsid w:val="7A8607CB"/>
    <w:rsid w:val="7A881869"/>
    <w:rsid w:val="7A943E55"/>
    <w:rsid w:val="7A9762A8"/>
    <w:rsid w:val="7A996A33"/>
    <w:rsid w:val="7AAB24DC"/>
    <w:rsid w:val="7AAC0D7F"/>
    <w:rsid w:val="7AC1208A"/>
    <w:rsid w:val="7ACD0A2E"/>
    <w:rsid w:val="7ACD17E9"/>
    <w:rsid w:val="7AD409A4"/>
    <w:rsid w:val="7ADA7D8C"/>
    <w:rsid w:val="7AE36C78"/>
    <w:rsid w:val="7AE73FDE"/>
    <w:rsid w:val="7AFD3CA9"/>
    <w:rsid w:val="7B0B0D89"/>
    <w:rsid w:val="7B13204F"/>
    <w:rsid w:val="7B1B1275"/>
    <w:rsid w:val="7B1F3EF6"/>
    <w:rsid w:val="7B260239"/>
    <w:rsid w:val="7B40606A"/>
    <w:rsid w:val="7B4B6302"/>
    <w:rsid w:val="7B7376E0"/>
    <w:rsid w:val="7B7B2C26"/>
    <w:rsid w:val="7B7C6C8D"/>
    <w:rsid w:val="7B83642F"/>
    <w:rsid w:val="7B8D1365"/>
    <w:rsid w:val="7B920DF9"/>
    <w:rsid w:val="7BBB0378"/>
    <w:rsid w:val="7BBB1184"/>
    <w:rsid w:val="7BBC2061"/>
    <w:rsid w:val="7BE00D04"/>
    <w:rsid w:val="7BE4480F"/>
    <w:rsid w:val="7BE74D9F"/>
    <w:rsid w:val="7BF53138"/>
    <w:rsid w:val="7C077D96"/>
    <w:rsid w:val="7C0C3423"/>
    <w:rsid w:val="7C0F1373"/>
    <w:rsid w:val="7C104214"/>
    <w:rsid w:val="7C123AA9"/>
    <w:rsid w:val="7C3F157D"/>
    <w:rsid w:val="7C403511"/>
    <w:rsid w:val="7C4930AC"/>
    <w:rsid w:val="7C641B7B"/>
    <w:rsid w:val="7C653452"/>
    <w:rsid w:val="7C6B656D"/>
    <w:rsid w:val="7C7C362A"/>
    <w:rsid w:val="7C8567F9"/>
    <w:rsid w:val="7C860AE5"/>
    <w:rsid w:val="7C8666A5"/>
    <w:rsid w:val="7C924BF9"/>
    <w:rsid w:val="7C941047"/>
    <w:rsid w:val="7CC11A55"/>
    <w:rsid w:val="7CCE2EB1"/>
    <w:rsid w:val="7CD41C08"/>
    <w:rsid w:val="7CD568DC"/>
    <w:rsid w:val="7CE46A05"/>
    <w:rsid w:val="7CE6661E"/>
    <w:rsid w:val="7CED7166"/>
    <w:rsid w:val="7CFE15DE"/>
    <w:rsid w:val="7D02203A"/>
    <w:rsid w:val="7D036563"/>
    <w:rsid w:val="7D0D2B40"/>
    <w:rsid w:val="7D2535FF"/>
    <w:rsid w:val="7D2605B6"/>
    <w:rsid w:val="7D2C5EE0"/>
    <w:rsid w:val="7D324510"/>
    <w:rsid w:val="7D3C17C7"/>
    <w:rsid w:val="7D3E0998"/>
    <w:rsid w:val="7D421BBC"/>
    <w:rsid w:val="7D594363"/>
    <w:rsid w:val="7D5F438F"/>
    <w:rsid w:val="7D7F6AD2"/>
    <w:rsid w:val="7D9817C8"/>
    <w:rsid w:val="7D986822"/>
    <w:rsid w:val="7D9B3C00"/>
    <w:rsid w:val="7DD80DB5"/>
    <w:rsid w:val="7DDE7A42"/>
    <w:rsid w:val="7DE402A9"/>
    <w:rsid w:val="7E003DF6"/>
    <w:rsid w:val="7E24400D"/>
    <w:rsid w:val="7E271DD0"/>
    <w:rsid w:val="7E2F3A3B"/>
    <w:rsid w:val="7E320D54"/>
    <w:rsid w:val="7E344CCE"/>
    <w:rsid w:val="7E471977"/>
    <w:rsid w:val="7E627264"/>
    <w:rsid w:val="7E6504D7"/>
    <w:rsid w:val="7E6B4E98"/>
    <w:rsid w:val="7E6F5E8D"/>
    <w:rsid w:val="7E756B34"/>
    <w:rsid w:val="7E9C180F"/>
    <w:rsid w:val="7EA85760"/>
    <w:rsid w:val="7EBA06EE"/>
    <w:rsid w:val="7EBD69B4"/>
    <w:rsid w:val="7EC127D4"/>
    <w:rsid w:val="7EC43B98"/>
    <w:rsid w:val="7ECA5D39"/>
    <w:rsid w:val="7ECA7590"/>
    <w:rsid w:val="7ED5251E"/>
    <w:rsid w:val="7EED5678"/>
    <w:rsid w:val="7EFE285D"/>
    <w:rsid w:val="7F174816"/>
    <w:rsid w:val="7F2A4A83"/>
    <w:rsid w:val="7F3C4409"/>
    <w:rsid w:val="7F433469"/>
    <w:rsid w:val="7F516910"/>
    <w:rsid w:val="7F5725D5"/>
    <w:rsid w:val="7F5E1A9C"/>
    <w:rsid w:val="7F686092"/>
    <w:rsid w:val="7F6C1BC1"/>
    <w:rsid w:val="7F714013"/>
    <w:rsid w:val="7F7E03BE"/>
    <w:rsid w:val="7F843808"/>
    <w:rsid w:val="7F936A03"/>
    <w:rsid w:val="7F945543"/>
    <w:rsid w:val="7FAA57E2"/>
    <w:rsid w:val="7FAE6886"/>
    <w:rsid w:val="7FCA64E6"/>
    <w:rsid w:val="7FD17419"/>
    <w:rsid w:val="7FD60D09"/>
    <w:rsid w:val="7FE474D2"/>
    <w:rsid w:val="7FEE1326"/>
    <w:rsid w:val="7FF156C4"/>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0"/>
    <w:pPr>
      <w:keepNext/>
      <w:tabs>
        <w:tab w:val="left" w:pos="980"/>
      </w:tabs>
      <w:ind w:left="980" w:hanging="420"/>
      <w:outlineLvl w:val="1"/>
    </w:pPr>
    <w:rPr>
      <w:rFonts w:ascii="幼圆" w:eastAsia="幼圆"/>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b/>
      <w:bCs/>
      <w:sz w:val="28"/>
      <w:szCs w:val="28"/>
    </w:rPr>
  </w:style>
  <w:style w:type="paragraph" w:styleId="7">
    <w:name w:val="heading 5"/>
    <w:basedOn w:val="1"/>
    <w:next w:val="1"/>
    <w:link w:val="83"/>
    <w:semiHidden/>
    <w:unhideWhenUsed/>
    <w:qFormat/>
    <w:uiPriority w:val="0"/>
    <w:pPr>
      <w:keepNext/>
      <w:keepLines/>
      <w:spacing w:before="280" w:after="290" w:line="372" w:lineRule="auto"/>
      <w:outlineLvl w:val="4"/>
    </w:pPr>
    <w:rPr>
      <w:b/>
      <w:sz w:val="28"/>
    </w:rPr>
  </w:style>
  <w:style w:type="character" w:default="1" w:styleId="31">
    <w:name w:val="Default Paragraph Font"/>
    <w:semiHidden/>
    <w:unhideWhenUsed/>
    <w:uiPriority w:val="1"/>
  </w:style>
  <w:style w:type="table" w:default="1" w:styleId="2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autoRedefine/>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8">
    <w:name w:val="List 3"/>
    <w:basedOn w:val="1"/>
    <w:autoRedefine/>
    <w:qFormat/>
    <w:uiPriority w:val="0"/>
    <w:pPr>
      <w:ind w:left="100" w:leftChars="400" w:hanging="200" w:hangingChars="200"/>
    </w:pPr>
  </w:style>
  <w:style w:type="paragraph" w:styleId="9">
    <w:name w:val="toa heading"/>
    <w:basedOn w:val="1"/>
    <w:next w:val="1"/>
    <w:autoRedefine/>
    <w:qFormat/>
    <w:uiPriority w:val="0"/>
    <w:pPr>
      <w:spacing w:before="120"/>
    </w:pPr>
    <w:rPr>
      <w:rFonts w:ascii="Arial" w:hAnsi="Arial" w:eastAsia="仿宋"/>
      <w:sz w:val="24"/>
      <w:szCs w:val="20"/>
    </w:rPr>
  </w:style>
  <w:style w:type="paragraph" w:styleId="10">
    <w:name w:val="annotation text"/>
    <w:basedOn w:val="1"/>
    <w:autoRedefine/>
    <w:qFormat/>
    <w:uiPriority w:val="0"/>
    <w:pPr>
      <w:jc w:val="left"/>
    </w:pPr>
  </w:style>
  <w:style w:type="paragraph" w:styleId="11">
    <w:name w:val="Salutation"/>
    <w:basedOn w:val="1"/>
    <w:next w:val="1"/>
    <w:autoRedefine/>
    <w:qFormat/>
    <w:uiPriority w:val="0"/>
  </w:style>
  <w:style w:type="paragraph" w:styleId="12">
    <w:name w:val="Body Text"/>
    <w:basedOn w:val="1"/>
    <w:next w:val="1"/>
    <w:autoRedefine/>
    <w:qFormat/>
    <w:uiPriority w:val="0"/>
    <w:pPr>
      <w:spacing w:after="120"/>
    </w:pPr>
  </w:style>
  <w:style w:type="paragraph" w:styleId="13">
    <w:name w:val="Body Text Indent"/>
    <w:basedOn w:val="1"/>
    <w:next w:val="6"/>
    <w:autoRedefine/>
    <w:qFormat/>
    <w:uiPriority w:val="0"/>
    <w:pPr>
      <w:adjustRightInd w:val="0"/>
      <w:snapToGrid w:val="0"/>
      <w:spacing w:line="360" w:lineRule="auto"/>
      <w:ind w:firstLine="420" w:firstLineChars="200"/>
    </w:pPr>
  </w:style>
  <w:style w:type="paragraph" w:styleId="14">
    <w:name w:val="Plain Text"/>
    <w:basedOn w:val="1"/>
    <w:next w:val="15"/>
    <w:autoRedefine/>
    <w:qFormat/>
    <w:uiPriority w:val="99"/>
    <w:pPr>
      <w:keepNext w:val="0"/>
      <w:keepLines w:val="0"/>
      <w:widowControl w:val="0"/>
      <w:suppressLineNumbers w:val="0"/>
      <w:adjustRightInd w:val="0"/>
      <w:snapToGrid w:val="0"/>
      <w:spacing w:before="0" w:beforeAutospacing="0" w:after="0" w:afterAutospacing="0" w:line="682" w:lineRule="exact"/>
      <w:ind w:left="0" w:right="0"/>
      <w:jc w:val="center"/>
    </w:pPr>
    <w:rPr>
      <w:rFonts w:hint="eastAsia" w:ascii="宋体" w:hAnsi="Courier New" w:eastAsia="宋体" w:cs="Times New Roman"/>
      <w:kern w:val="2"/>
      <w:sz w:val="21"/>
      <w:szCs w:val="21"/>
      <w:lang w:val="en-US" w:eastAsia="zh-CN" w:bidi="ar"/>
    </w:rPr>
  </w:style>
  <w:style w:type="paragraph" w:styleId="15">
    <w:name w:val="List Number 5"/>
    <w:basedOn w:val="1"/>
    <w:qFormat/>
    <w:uiPriority w:val="0"/>
    <w:pPr>
      <w:numPr>
        <w:ilvl w:val="0"/>
        <w:numId w:val="1"/>
      </w:numPr>
    </w:pPr>
  </w:style>
  <w:style w:type="paragraph" w:styleId="16">
    <w:name w:val="Date"/>
    <w:basedOn w:val="1"/>
    <w:next w:val="1"/>
    <w:autoRedefine/>
    <w:qFormat/>
    <w:uiPriority w:val="0"/>
    <w:rPr>
      <w:rFonts w:ascii="Arial" w:hAnsi="Arial" w:cs="Arial"/>
      <w:b/>
      <w:sz w:val="28"/>
    </w:rPr>
  </w:style>
  <w:style w:type="paragraph" w:styleId="17">
    <w:name w:val="Body Text Indent 2"/>
    <w:basedOn w:val="1"/>
    <w:autoRedefine/>
    <w:unhideWhenUsed/>
    <w:qFormat/>
    <w:uiPriority w:val="99"/>
    <w:pPr>
      <w:spacing w:after="120" w:line="480" w:lineRule="auto"/>
      <w:ind w:left="420" w:leftChars="200"/>
    </w:pPr>
    <w:rPr>
      <w:rFonts w:eastAsia="仿宋"/>
    </w:rPr>
  </w:style>
  <w:style w:type="paragraph" w:styleId="18">
    <w:name w:val="Balloon Text"/>
    <w:basedOn w:val="1"/>
    <w:link w:val="86"/>
    <w:qFormat/>
    <w:uiPriority w:val="0"/>
    <w:rPr>
      <w:sz w:val="18"/>
      <w:szCs w:val="18"/>
    </w:rPr>
  </w:style>
  <w:style w:type="paragraph" w:styleId="19">
    <w:name w:val="footer"/>
    <w:basedOn w:val="1"/>
    <w:next w:val="1"/>
    <w:autoRedefine/>
    <w:qFormat/>
    <w:uiPriority w:val="0"/>
    <w:pPr>
      <w:tabs>
        <w:tab w:val="center" w:pos="4153"/>
        <w:tab w:val="right" w:pos="8306"/>
      </w:tabs>
      <w:snapToGrid w:val="0"/>
      <w:jc w:val="left"/>
    </w:pPr>
    <w:rPr>
      <w:sz w:val="18"/>
    </w:rPr>
  </w:style>
  <w:style w:type="paragraph" w:styleId="20">
    <w:name w:val="envelope return"/>
    <w:basedOn w:val="1"/>
    <w:autoRedefine/>
    <w:qFormat/>
    <w:uiPriority w:val="99"/>
    <w:pPr>
      <w:snapToGrid w:val="0"/>
    </w:pPr>
    <w:rPr>
      <w:rFonts w:ascii="Arial" w:hAnsi="Arial" w:cs="Arial"/>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0"/>
  </w:style>
  <w:style w:type="paragraph" w:styleId="23">
    <w:name w:val="footnote text"/>
    <w:basedOn w:val="1"/>
    <w:autoRedefine/>
    <w:qFormat/>
    <w:uiPriority w:val="0"/>
    <w:pPr>
      <w:snapToGrid w:val="0"/>
      <w:jc w:val="left"/>
    </w:pPr>
    <w:rPr>
      <w:sz w:val="18"/>
    </w:rPr>
  </w:style>
  <w:style w:type="paragraph" w:styleId="24">
    <w:name w:val="Body Text Indent 3"/>
    <w:basedOn w:val="1"/>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5">
    <w:name w:val="Normal (Web)"/>
    <w:basedOn w:val="1"/>
    <w:autoRedefine/>
    <w:qFormat/>
    <w:uiPriority w:val="99"/>
    <w:pPr>
      <w:spacing w:before="100" w:beforeAutospacing="1" w:after="100" w:afterAutospacing="1"/>
    </w:pPr>
    <w:rPr>
      <w:rFonts w:ascii="Courier New" w:hAnsi="Courier New"/>
      <w:color w:val="000000"/>
    </w:rPr>
  </w:style>
  <w:style w:type="paragraph" w:styleId="26">
    <w:name w:val="Title"/>
    <w:basedOn w:val="1"/>
    <w:next w:val="1"/>
    <w:autoRedefine/>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7">
    <w:name w:val="Body Text First Indent"/>
    <w:basedOn w:val="12"/>
    <w:next w:val="1"/>
    <w:autoRedefine/>
    <w:qFormat/>
    <w:uiPriority w:val="0"/>
    <w:pPr>
      <w:ind w:firstLine="420" w:firstLineChars="100"/>
    </w:pPr>
    <w:rPr>
      <w:rFonts w:hAnsi="Calibri"/>
    </w:rPr>
  </w:style>
  <w:style w:type="paragraph" w:styleId="28">
    <w:name w:val="Body Text First Indent 2"/>
    <w:basedOn w:val="13"/>
    <w:next w:val="1"/>
    <w:autoRedefine/>
    <w:qFormat/>
    <w:uiPriority w:val="0"/>
    <w:pPr>
      <w:adjustRightInd/>
      <w:snapToGrid/>
      <w:spacing w:after="120" w:line="240" w:lineRule="auto"/>
      <w:ind w:left="420" w:leftChars="200"/>
    </w:pPr>
  </w:style>
  <w:style w:type="table" w:styleId="30">
    <w:name w:val="Table Grid"/>
    <w:basedOn w:val="29"/>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bCs/>
    </w:rPr>
  </w:style>
  <w:style w:type="character" w:styleId="33">
    <w:name w:val="Hyperlink"/>
    <w:basedOn w:val="31"/>
    <w:autoRedefine/>
    <w:qFormat/>
    <w:uiPriority w:val="0"/>
    <w:rPr>
      <w:color w:val="0000FF"/>
      <w:u w:val="single"/>
    </w:rPr>
  </w:style>
  <w:style w:type="character" w:styleId="34">
    <w:name w:val="annotation reference"/>
    <w:basedOn w:val="31"/>
    <w:autoRedefine/>
    <w:semiHidden/>
    <w:unhideWhenUsed/>
    <w:qFormat/>
    <w:uiPriority w:val="99"/>
    <w:rPr>
      <w:sz w:val="21"/>
      <w:szCs w:val="21"/>
    </w:rPr>
  </w:style>
  <w:style w:type="character" w:styleId="35">
    <w:name w:val="HTML Sample"/>
    <w:basedOn w:val="31"/>
    <w:autoRedefine/>
    <w:qFormat/>
    <w:uiPriority w:val="0"/>
    <w:rPr>
      <w:rFonts w:ascii="Courier New" w:hAnsi="Courier New"/>
    </w:rPr>
  </w:style>
  <w:style w:type="paragraph" w:customStyle="1" w:styleId="36">
    <w:name w:val="BodyText1I2"/>
    <w:basedOn w:val="37"/>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7">
    <w:name w:val="BodyTextIndent"/>
    <w:basedOn w:val="1"/>
    <w:next w:val="38"/>
    <w:autoRedefine/>
    <w:qFormat/>
    <w:uiPriority w:val="0"/>
    <w:pPr>
      <w:spacing w:line="360" w:lineRule="auto"/>
      <w:ind w:firstLine="480"/>
      <w:jc w:val="left"/>
      <w:textAlignment w:val="baseline"/>
    </w:pPr>
    <w:rPr>
      <w:rFonts w:ascii="宋体" w:hAnsi="宋体"/>
      <w:kern w:val="0"/>
      <w:sz w:val="24"/>
    </w:rPr>
  </w:style>
  <w:style w:type="paragraph" w:customStyle="1" w:styleId="38">
    <w:name w:val="EnvelopeReturn"/>
    <w:basedOn w:val="1"/>
    <w:autoRedefine/>
    <w:qFormat/>
    <w:uiPriority w:val="0"/>
    <w:pPr>
      <w:snapToGrid w:val="0"/>
      <w:textAlignment w:val="baseline"/>
    </w:pPr>
    <w:rPr>
      <w:rFonts w:ascii="Arial" w:hAnsi="Arial"/>
    </w:rPr>
  </w:style>
  <w:style w:type="paragraph" w:customStyle="1" w:styleId="39">
    <w:name w:val="Default"/>
    <w:next w:val="40"/>
    <w:autoRedefine/>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40">
    <w:name w:val="Char Char10 Char Char Char Char"/>
    <w:basedOn w:val="1"/>
    <w:next w:val="1"/>
    <w:autoRedefine/>
    <w:qFormat/>
    <w:uiPriority w:val="0"/>
    <w:rPr>
      <w:rFonts w:ascii="Calibri" w:hAnsi="Calibri"/>
      <w:kern w:val="0"/>
    </w:rPr>
  </w:style>
  <w:style w:type="paragraph" w:customStyle="1" w:styleId="41">
    <w:name w:val="样式 首行缩进:  2 字符"/>
    <w:basedOn w:val="1"/>
    <w:autoRedefine/>
    <w:qFormat/>
    <w:uiPriority w:val="99"/>
    <w:pPr>
      <w:spacing w:beforeLines="50" w:afterLines="50"/>
      <w:ind w:firstLine="200" w:firstLineChars="200"/>
    </w:pPr>
    <w:rPr>
      <w:rFonts w:eastAsia="仿宋" w:cs="宋体"/>
      <w:sz w:val="24"/>
      <w:szCs w:val="20"/>
    </w:rPr>
  </w:style>
  <w:style w:type="character" w:customStyle="1" w:styleId="42">
    <w:name w:val="case31"/>
    <w:autoRedefine/>
    <w:qFormat/>
    <w:uiPriority w:val="0"/>
    <w:rPr>
      <w:rFonts w:hint="default" w:ascii="ˎ̥" w:hAnsi="ˎ̥"/>
      <w:sz w:val="21"/>
      <w:szCs w:val="21"/>
    </w:rPr>
  </w:style>
  <w:style w:type="paragraph" w:customStyle="1" w:styleId="4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44">
    <w:name w:val="列表段落1"/>
    <w:basedOn w:val="1"/>
    <w:autoRedefine/>
    <w:qFormat/>
    <w:uiPriority w:val="0"/>
    <w:pPr>
      <w:ind w:firstLine="420" w:firstLineChars="200"/>
    </w:pPr>
    <w:rPr>
      <w:rFonts w:ascii="Calibri" w:hAnsi="Calibri"/>
      <w:szCs w:val="22"/>
    </w:rPr>
  </w:style>
  <w:style w:type="paragraph" w:customStyle="1" w:styleId="45">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46">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character" w:customStyle="1" w:styleId="48">
    <w:name w:val="font31"/>
    <w:basedOn w:val="31"/>
    <w:autoRedefine/>
    <w:qFormat/>
    <w:uiPriority w:val="0"/>
    <w:rPr>
      <w:rFonts w:hint="eastAsia" w:ascii="宋体" w:hAnsi="宋体" w:eastAsia="宋体" w:cs="宋体"/>
      <w:color w:val="000000"/>
      <w:sz w:val="18"/>
      <w:szCs w:val="18"/>
      <w:u w:val="none"/>
    </w:rPr>
  </w:style>
  <w:style w:type="character" w:customStyle="1" w:styleId="49">
    <w:name w:val="font01"/>
    <w:basedOn w:val="31"/>
    <w:autoRedefine/>
    <w:qFormat/>
    <w:uiPriority w:val="0"/>
    <w:rPr>
      <w:rFonts w:hint="default" w:ascii="Times New Roman" w:hAnsi="Times New Roman" w:cs="Times New Roman"/>
      <w:color w:val="000000"/>
      <w:sz w:val="18"/>
      <w:szCs w:val="18"/>
      <w:u w:val="none"/>
    </w:rPr>
  </w:style>
  <w:style w:type="character" w:customStyle="1" w:styleId="50">
    <w:name w:val="font21"/>
    <w:basedOn w:val="31"/>
    <w:autoRedefine/>
    <w:qFormat/>
    <w:uiPriority w:val="0"/>
    <w:rPr>
      <w:rFonts w:hint="eastAsia" w:ascii="宋体" w:hAnsi="宋体" w:eastAsia="宋体" w:cs="宋体"/>
      <w:color w:val="000000"/>
      <w:sz w:val="21"/>
      <w:szCs w:val="21"/>
      <w:u w:val="none"/>
    </w:rPr>
  </w:style>
  <w:style w:type="character" w:customStyle="1" w:styleId="51">
    <w:name w:val="font11"/>
    <w:basedOn w:val="31"/>
    <w:autoRedefine/>
    <w:qFormat/>
    <w:uiPriority w:val="0"/>
    <w:rPr>
      <w:rFonts w:ascii="Calibri" w:hAnsi="Calibri" w:cs="Calibri"/>
      <w:color w:val="000000"/>
      <w:sz w:val="21"/>
      <w:szCs w:val="21"/>
      <w:u w:val="none"/>
    </w:rPr>
  </w:style>
  <w:style w:type="paragraph" w:customStyle="1" w:styleId="52">
    <w:name w:val="Table Paragraph"/>
    <w:basedOn w:val="53"/>
    <w:autoRedefine/>
    <w:qFormat/>
    <w:uiPriority w:val="1"/>
    <w:rPr>
      <w:rFonts w:ascii="宋体" w:hAnsi="宋体" w:cs="宋体"/>
      <w:lang w:val="zh-CN" w:bidi="zh-CN"/>
    </w:rPr>
  </w:style>
  <w:style w:type="paragraph" w:customStyle="1" w:styleId="53">
    <w:name w:val="正文_0_2_0"/>
    <w:autoRedefine/>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章节内容"/>
    <w:basedOn w:val="1"/>
    <w:autoRedefine/>
    <w:qFormat/>
    <w:uiPriority w:val="0"/>
    <w:pPr>
      <w:shd w:val="clear" w:color="auto" w:fill="FFFFFF"/>
    </w:pPr>
  </w:style>
  <w:style w:type="character" w:customStyle="1" w:styleId="55">
    <w:name w:val="fontstyle01"/>
    <w:basedOn w:val="31"/>
    <w:autoRedefine/>
    <w:qFormat/>
    <w:uiPriority w:val="0"/>
    <w:rPr>
      <w:rFonts w:hint="eastAsia" w:ascii="宋体" w:hAnsi="宋体" w:eastAsia="宋体"/>
      <w:color w:val="000000"/>
      <w:sz w:val="22"/>
      <w:szCs w:val="22"/>
    </w:rPr>
  </w:style>
  <w:style w:type="character" w:customStyle="1" w:styleId="56">
    <w:name w:val="fontstyle21"/>
    <w:basedOn w:val="31"/>
    <w:autoRedefine/>
    <w:qFormat/>
    <w:uiPriority w:val="0"/>
    <w:rPr>
      <w:rFonts w:hint="default" w:ascii="TimesNewRomanPSMT" w:hAnsi="TimesNewRomanPSMT"/>
      <w:color w:val="000000"/>
      <w:sz w:val="22"/>
      <w:szCs w:val="22"/>
    </w:rPr>
  </w:style>
  <w:style w:type="paragraph" w:customStyle="1" w:styleId="57">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8">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59">
    <w:name w:val="Normal_6"/>
    <w:autoRedefine/>
    <w:qFormat/>
    <w:uiPriority w:val="0"/>
    <w:rPr>
      <w:rFonts w:ascii="黑体" w:hAnsi="黑体" w:eastAsia="黑体" w:cs="Times New Roman"/>
      <w:b/>
      <w:sz w:val="32"/>
      <w:szCs w:val="24"/>
      <w:lang w:val="en-US" w:eastAsia="zh-CN" w:bidi="ar-SA"/>
    </w:rPr>
  </w:style>
  <w:style w:type="paragraph" w:customStyle="1" w:styleId="60">
    <w:name w:val="Normal_7"/>
    <w:autoRedefine/>
    <w:qFormat/>
    <w:uiPriority w:val="0"/>
    <w:rPr>
      <w:rFonts w:ascii="黑体" w:hAnsi="黑体" w:eastAsia="黑体" w:cs="Times New Roman"/>
      <w:b/>
      <w:sz w:val="32"/>
      <w:szCs w:val="24"/>
      <w:lang w:val="en-US" w:eastAsia="zh-CN" w:bidi="ar-SA"/>
    </w:rPr>
  </w:style>
  <w:style w:type="character" w:customStyle="1" w:styleId="61">
    <w:name w:val="NormalCharacter"/>
    <w:autoRedefine/>
    <w:qFormat/>
    <w:uiPriority w:val="0"/>
  </w:style>
  <w:style w:type="paragraph" w:customStyle="1" w:styleId="62">
    <w:name w:val="日期_0"/>
    <w:basedOn w:val="63"/>
    <w:next w:val="64"/>
    <w:autoRedefine/>
    <w:qFormat/>
    <w:uiPriority w:val="0"/>
    <w:pPr>
      <w:ind w:left="100" w:leftChars="2500"/>
    </w:pPr>
    <w:rPr>
      <w:rFonts w:ascii="Times New Roman" w:hAnsi="Times New Roman"/>
      <w:szCs w:val="24"/>
    </w:rPr>
  </w:style>
  <w:style w:type="paragraph" w:customStyle="1" w:styleId="63">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12"/>
    <w:autoRedefine/>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67">
    <w:name w:val="Normal_1"/>
    <w:autoRedefine/>
    <w:qFormat/>
    <w:uiPriority w:val="0"/>
    <w:rPr>
      <w:rFonts w:ascii="黑体" w:hAnsi="黑体" w:eastAsia="黑体" w:cs="Times New Roman"/>
      <w:b/>
      <w:sz w:val="32"/>
      <w:szCs w:val="24"/>
      <w:lang w:val="en-US" w:eastAsia="zh-CN" w:bidi="ar-SA"/>
    </w:rPr>
  </w:style>
  <w:style w:type="paragraph" w:customStyle="1" w:styleId="68">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3"/>
    <w:autoRedefine/>
    <w:qFormat/>
    <w:uiPriority w:val="0"/>
    <w:rPr>
      <w:rFonts w:ascii="黑体" w:hAnsi="黑体" w:eastAsia="黑体" w:cs="Times New Roman"/>
      <w:b/>
      <w:sz w:val="32"/>
      <w:szCs w:val="24"/>
      <w:lang w:val="en-US" w:eastAsia="zh-CN" w:bidi="ar-SA"/>
    </w:rPr>
  </w:style>
  <w:style w:type="paragraph" w:customStyle="1" w:styleId="70">
    <w:name w:val="正文1"/>
    <w:next w:val="71"/>
    <w:autoRedefine/>
    <w:qFormat/>
    <w:uiPriority w:val="0"/>
    <w:rPr>
      <w:rFonts w:ascii="Times New Roman" w:hAnsi="Times New Roman" w:eastAsia="Times New Roman" w:cs="Times New Roman"/>
      <w:sz w:val="24"/>
      <w:szCs w:val="24"/>
      <w:lang w:val="en-US" w:eastAsia="zh-CN" w:bidi="ar-SA"/>
    </w:rPr>
  </w:style>
  <w:style w:type="paragraph" w:customStyle="1" w:styleId="71">
    <w:name w:val="引文目录标题1"/>
    <w:basedOn w:val="70"/>
    <w:next w:val="70"/>
    <w:autoRedefine/>
    <w:qFormat/>
    <w:uiPriority w:val="0"/>
    <w:pPr>
      <w:spacing w:before="120"/>
    </w:pPr>
    <w:rPr>
      <w:rFonts w:ascii="Arial" w:hAnsi="Arial"/>
      <w:szCs w:val="21"/>
    </w:rPr>
  </w:style>
  <w:style w:type="table" w:customStyle="1" w:styleId="72">
    <w:name w:val="TableGrid"/>
    <w:autoRedefine/>
    <w:qFormat/>
    <w:uiPriority w:val="0"/>
    <w:rPr>
      <w:rFonts w:ascii="Calibri" w:hAnsi="Calibri"/>
      <w:kern w:val="2"/>
      <w:sz w:val="21"/>
      <w:szCs w:val="24"/>
    </w:rPr>
    <w:tblPr>
      <w:tblCellMar>
        <w:top w:w="0" w:type="dxa"/>
        <w:left w:w="0" w:type="dxa"/>
        <w:bottom w:w="0" w:type="dxa"/>
        <w:right w:w="0" w:type="dxa"/>
      </w:tblCellMar>
    </w:tblPr>
  </w:style>
  <w:style w:type="paragraph" w:customStyle="1" w:styleId="73">
    <w:name w:val="纯文本_1"/>
    <w:basedOn w:val="74"/>
    <w:autoRedefine/>
    <w:unhideWhenUsed/>
    <w:qFormat/>
    <w:uiPriority w:val="0"/>
    <w:rPr>
      <w:rFonts w:ascii="宋体" w:hAnsi="Courier New" w:cs="Courier New"/>
      <w:szCs w:val="21"/>
    </w:rPr>
  </w:style>
  <w:style w:type="paragraph" w:customStyle="1" w:styleId="74">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Normal_11"/>
    <w:autoRedefine/>
    <w:qFormat/>
    <w:uiPriority w:val="0"/>
    <w:rPr>
      <w:rFonts w:ascii="黑体" w:hAnsi="黑体" w:eastAsia="黑体" w:cs="Times New Roman"/>
      <w:b/>
      <w:sz w:val="32"/>
      <w:szCs w:val="24"/>
      <w:lang w:val="en-US" w:eastAsia="zh-CN" w:bidi="ar-SA"/>
    </w:rPr>
  </w:style>
  <w:style w:type="paragraph" w:customStyle="1" w:styleId="77">
    <w:name w:val="正文内容"/>
    <w:basedOn w:val="1"/>
    <w:autoRedefine/>
    <w:qFormat/>
    <w:uiPriority w:val="0"/>
    <w:rPr>
      <w:rFonts w:hint="eastAsia" w:ascii="宋体" w:hAnsi="宋体" w:cs="宋体"/>
      <w:sz w:val="28"/>
    </w:rPr>
  </w:style>
  <w:style w:type="paragraph" w:customStyle="1" w:styleId="78">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文本_0"/>
    <w:basedOn w:val="78"/>
    <w:autoRedefine/>
    <w:unhideWhenUsed/>
    <w:qFormat/>
    <w:uiPriority w:val="0"/>
    <w:pPr>
      <w:spacing w:after="120"/>
    </w:pPr>
    <w:rPr>
      <w:rFonts w:ascii="Times New Roman" w:hAnsi="Times New Roman" w:eastAsia="仿宋_GB2312"/>
      <w:sz w:val="28"/>
      <w:szCs w:val="24"/>
    </w:rPr>
  </w:style>
  <w:style w:type="character" w:customStyle="1" w:styleId="80">
    <w:name w:val="font61"/>
    <w:basedOn w:val="31"/>
    <w:autoRedefine/>
    <w:qFormat/>
    <w:uiPriority w:val="0"/>
    <w:rPr>
      <w:rFonts w:hint="eastAsia" w:ascii="宋体" w:hAnsi="宋体" w:eastAsia="宋体" w:cs="宋体"/>
      <w:color w:val="000000"/>
      <w:sz w:val="21"/>
      <w:szCs w:val="21"/>
      <w:u w:val="none"/>
    </w:rPr>
  </w:style>
  <w:style w:type="paragraph" w:customStyle="1" w:styleId="81">
    <w:name w:val="p"/>
    <w:basedOn w:val="1"/>
    <w:autoRedefine/>
    <w:qFormat/>
    <w:uiPriority w:val="0"/>
    <w:pPr>
      <w:widowControl/>
      <w:spacing w:line="525" w:lineRule="atLeast"/>
      <w:ind w:firstLine="375"/>
      <w:jc w:val="left"/>
    </w:pPr>
    <w:rPr>
      <w:kern w:val="0"/>
      <w:sz w:val="24"/>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标题 5 字符"/>
    <w:link w:val="7"/>
    <w:qFormat/>
    <w:uiPriority w:val="0"/>
    <w:rPr>
      <w:b/>
      <w:sz w:val="28"/>
    </w:rPr>
  </w:style>
  <w:style w:type="paragraph" w:customStyle="1" w:styleId="84">
    <w:name w:val="列出段落1"/>
    <w:basedOn w:val="1"/>
    <w:qFormat/>
    <w:uiPriority w:val="1"/>
    <w:pPr>
      <w:ind w:left="111" w:firstLine="640"/>
    </w:pPr>
  </w:style>
  <w:style w:type="paragraph" w:styleId="85">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86">
    <w:name w:val="批注框文本 字符"/>
    <w:basedOn w:val="31"/>
    <w:link w:val="1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15854</Words>
  <Characters>17232</Characters>
  <Lines>1</Lines>
  <Paragraphs>1</Paragraphs>
  <TotalTime>2</TotalTime>
  <ScaleCrop>false</ScaleCrop>
  <LinksUpToDate>false</LinksUpToDate>
  <CharactersWithSpaces>17335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2026-05-21T09:24:00Z</dcterms:created>
  <dc:creator>Administrator</dc:creator>
  <cp:lastModifiedBy> Miss Dong</cp:lastModifiedBy>
  <cp:lastPrinted>2026-05-22T03:36:00Z</cp:lastPrinted>
  <dcterms:modified xsi:type="dcterms:W3CDTF">2026-05-25T07:59:09Z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1BC02E664A7D4A43B19DB57BCBFE3F10_13</vt:lpwstr>
  </property>
  <property fmtid="{D5CDD505-2E9C-101B-9397-08002B2CF9AE}" pid="4" name="KSOTemplateDocerSaveRecord">
    <vt:lpwstr>eyJoZGlkIjoiOGYzMmNhMzgxZDhkYWRmYTJiMDZiOTdiMWQzN2IyYmIiLCJ1c2VySWQiOiIzMzI1NDg5NDQifQ==</vt:lpwstr>
  </property>
</Properties>
</file>