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版本号：N510781202600007020260515001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遗体火化用油采购项目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N5107812026000070</w:t>
      </w:r>
    </w:p>
    <w:p>
      <w:pPr>
        <w:pStyle w:val="null3"/>
        <w:jc w:val="left"/>
        <w:outlineLvl w:val="2"/>
      </w:pPr>
      <w:r>
        <w:rPr>
          <w:rFonts w:ascii="仿宋_GB2312" w:hAnsi="仿宋_GB2312" w:cs="仿宋_GB2312" w:eastAsia="仿宋_GB2312"/>
          <w:sz w:val="28"/>
          <w:b/>
        </w:rPr>
        <w:t>江油市殡仪馆</w:t>
      </w:r>
    </w:p>
    <w:p>
      <w:pPr>
        <w:pStyle w:val="null3"/>
        <w:jc w:val="center"/>
        <w:outlineLvl w:val="2"/>
      </w:pPr>
      <w:r>
        <w:rPr>
          <w:rFonts w:ascii="仿宋_GB2312" w:hAnsi="仿宋_GB2312" w:cs="仿宋_GB2312" w:eastAsia="仿宋_GB2312"/>
          <w:sz w:val="28"/>
          <w:b/>
        </w:rPr>
        <w:t>四川聚丰达工程管理服务有限公司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四川聚丰达工程管理服务有限公司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江油市殡仪馆</w:t>
      </w:r>
      <w:r>
        <w:rPr>
          <w:rFonts w:ascii="仿宋_GB2312" w:hAnsi="仿宋_GB2312" w:cs="仿宋_GB2312" w:eastAsia="仿宋_GB2312"/>
        </w:rPr>
        <w:t xml:space="preserve"> 委托，拟对 </w:t>
      </w:r>
      <w:r>
        <w:rPr>
          <w:rFonts w:ascii="仿宋_GB2312" w:hAnsi="仿宋_GB2312" w:cs="仿宋_GB2312" w:eastAsia="仿宋_GB2312"/>
        </w:rPr>
        <w:t>遗体火化用油采购项目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N5107812026000070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遗体火化用油采购项目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本项目拟采购遗体火化用油配送服务。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提供国家行政主管部门颁发的有效的《危险化学品经营许可证》（许可范围须包含柴油）（描述：供应商须提供国家行政主管部门颁发的有效的《危险化学品经营许可证》（许可范围须包含柴油）（提供相关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江油市殡仪馆</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江油市太平镇龙茶村8组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陈俞岐</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0816-3312346</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四川聚丰达工程管理服务有限公司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绵阳市高新区石桥铺东路中国科技城跨境电子商务产业园6栋502室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胥越妍</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0816-2178328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据《国家发展改革委关于进一步放开建设项目专业服务价格的通知{发改价格【2015】299号}》第三条之规定的要求，招标代理服务费实行市场调节价。本项目招标代理服务费按采购预算金额的1.5%收取；招标代理服务费不足5000元的按5000元计取，由中标（成交）供应商承担。 收款单位：四川聚丰达工程管理服务有限公司 开户银行：中国工商银行股份有限公司绵阳新华支行 银行账号：2308 4171 0910 0134 755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江油市殡仪馆</w:t>
      </w:r>
      <w:r>
        <w:rPr>
          <w:rFonts w:ascii="仿宋_GB2312" w:hAnsi="仿宋_GB2312" w:cs="仿宋_GB2312" w:eastAsia="仿宋_GB2312"/>
        </w:rPr>
        <w:t xml:space="preserve"> 和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江油市殡仪馆</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四川聚丰达工程管理服务有限公司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按照采购文件中“技术要求”“服务要求”及成交供应商响应文件进行验收。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依据采购文件、成交供应商响应文件和国家、行业相关标准、政府采购相关法律法规以及《财政部关于进一步加强政府采购需求和履约验收管理的指导意见》（国家－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江油市殡仪馆</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四川聚丰达工程管理服务有限公司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陈俞岐</w:t>
      </w:r>
    </w:p>
    <w:p>
      <w:pPr>
        <w:pStyle w:val="null3"/>
        <w:jc w:val="left"/>
      </w:pPr>
      <w:r>
        <w:rPr>
          <w:rFonts w:ascii="仿宋_GB2312" w:hAnsi="仿宋_GB2312" w:cs="仿宋_GB2312" w:eastAsia="仿宋_GB2312"/>
        </w:rPr>
        <w:t>联系电话：0816-3312346</w:t>
      </w:r>
    </w:p>
    <w:p>
      <w:pPr>
        <w:pStyle w:val="null3"/>
        <w:jc w:val="left"/>
      </w:pPr>
      <w:r>
        <w:rPr>
          <w:rFonts w:ascii="仿宋_GB2312" w:hAnsi="仿宋_GB2312" w:cs="仿宋_GB2312" w:eastAsia="仿宋_GB2312"/>
        </w:rPr>
        <w:t>地址：江油市太平镇龙茶村8组</w:t>
      </w:r>
    </w:p>
    <w:p>
      <w:pPr>
        <w:pStyle w:val="null3"/>
        <w:jc w:val="left"/>
      </w:pPr>
      <w:r>
        <w:rPr>
          <w:rFonts w:ascii="仿宋_GB2312" w:hAnsi="仿宋_GB2312" w:cs="仿宋_GB2312" w:eastAsia="仿宋_GB2312"/>
        </w:rPr>
        <w:t>邮编：621700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联系人：胥越妍</w:t>
      </w:r>
    </w:p>
    <w:p>
      <w:pPr>
        <w:pStyle w:val="null3"/>
        <w:jc w:val="left"/>
      </w:pPr>
      <w:r>
        <w:rPr>
          <w:rFonts w:ascii="仿宋_GB2312" w:hAnsi="仿宋_GB2312" w:cs="仿宋_GB2312" w:eastAsia="仿宋_GB2312"/>
        </w:rPr>
        <w:t>联系电话：0816-2178328</w:t>
      </w:r>
    </w:p>
    <w:p>
      <w:pPr>
        <w:pStyle w:val="null3"/>
        <w:jc w:val="left"/>
      </w:pPr>
      <w:r>
        <w:rPr>
          <w:rFonts w:ascii="仿宋_GB2312" w:hAnsi="仿宋_GB2312" w:cs="仿宋_GB2312" w:eastAsia="仿宋_GB2312"/>
        </w:rPr>
        <w:t>地址：绵阳市高新区石桥铺东路中国科技城跨境电子商务产业园6栋502室</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遗体火化用油配送服务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遗体火化用油配送服务</w:t>
            </w:r>
          </w:p>
        </w:tc>
        <w:tc>
          <w:tcPr>
            <w:tcW w:type="dxa" w:w="977"/>
          </w:tcPr>
          <w:p>
            <w:pPr>
              <w:pStyle w:val="null3"/>
              <w:jc w:val="center"/>
            </w:pPr>
            <w:r>
              <w:rPr>
                <w:rFonts w:ascii="仿宋_GB2312" w:hAnsi="仿宋_GB2312" w:cs="仿宋_GB2312" w:eastAsia="仿宋_GB2312"/>
              </w:rPr>
              <w:t>吨</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折扣率</w:t>
            </w:r>
          </w:p>
        </w:tc>
        <w:tc>
          <w:tcPr>
            <w:tcW w:type="dxa" w:w="1466"/>
          </w:tcPr>
          <w:p>
            <w:pPr>
              <w:pStyle w:val="null3"/>
              <w:jc w:val="left"/>
            </w:pPr>
            <w:r>
              <w:rPr>
                <w:rFonts w:ascii="仿宋_GB2312" w:hAnsi="仿宋_GB2312" w:cs="仿宋_GB2312" w:eastAsia="仿宋_GB2312"/>
              </w:rPr>
              <w:t>以最新一期四川省发展和改革委员会《关于调整成品油价格的通知》规定的一价区0﹟车用柴油（国Ⅵ）最高零售价格为基准价，供应商以此为基准，以折扣率报价（如：在此基础上打九折则报价为90%），报价不得高于100%，否则视为无效响应。</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标的名称：遗体火化用油配送服务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left"/>
            </w:pPr>
            <w:r>
              <w:rPr>
                <w:rFonts w:ascii="仿宋_GB2312" w:hAnsi="仿宋_GB2312" w:cs="仿宋_GB2312" w:eastAsia="仿宋_GB2312"/>
                <w:sz w:val="24"/>
              </w:rPr>
              <w:t>油品要求：符合《GB 19147—2016车用柴油》国家标准要求的0﹟车用柴油（国Ⅵ）。（注：油品的执行标准如有修订，则以最新版本为准）</w:t>
            </w:r>
          </w:p>
          <w:p>
            <w:pPr>
              <w:pStyle w:val="null3"/>
              <w:ind w:firstLine="480"/>
              <w:jc w:val="left"/>
            </w:pPr>
            <w:r>
              <w:rPr>
                <w:rFonts w:ascii="仿宋_GB2312" w:hAnsi="仿宋_GB2312" w:cs="仿宋_GB2312" w:eastAsia="仿宋_GB2312"/>
                <w:sz w:val="24"/>
              </w:rPr>
              <w:t>配送要求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配送质量：供应商配送的每批次油品质量应当符合采购文件油品要求，并且须提供该批次的油品检验合格证。如提供的产品与采购文件要求不一致或检测不合格的，供应商必须无条件退货、换货并承担由此造成的损失及违约责任。采购人有权对已交货产品进行抽样检测，如发现有与采购文件要求不符或其他违背法律、法规情形的，将按照相关规定追究供应商责任。由于货物不合格或延迟交货或其他因供应商原因引起的（至少包括：给采购人造成的生产经营损失、设备损失、未及时交货给采购人造成的损失、导致采购人自行紧急采购柴油的损失）一切责任和不良后果，均由供应商自行承担。</w:t>
            </w:r>
            <w:r>
              <w:rPr>
                <w:rFonts w:ascii="仿宋_GB2312" w:hAnsi="仿宋_GB2312" w:cs="仿宋_GB2312" w:eastAsia="仿宋_GB2312"/>
                <w:sz w:val="24"/>
                <w:b/>
              </w:rPr>
              <w:t>（</w:t>
            </w:r>
            <w:r>
              <w:rPr>
                <w:rFonts w:ascii="仿宋_GB2312" w:hAnsi="仿宋_GB2312" w:cs="仿宋_GB2312" w:eastAsia="仿宋_GB2312"/>
                <w:sz w:val="24"/>
                <w:b/>
              </w:rPr>
              <w:t>供应商须在响应文件中单独提供承诺函，并加盖电子印章，格式自拟</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配送能力：供应商须具有足够的供货能力，并保证在任何情况下（比如国内市场季节性油荒，柴油短缺等情况）都能按时、按质、按量供货。供应商须承担对采购人带来的所有损失责任。</w:t>
            </w:r>
            <w:r>
              <w:rPr>
                <w:rFonts w:ascii="仿宋_GB2312" w:hAnsi="仿宋_GB2312" w:cs="仿宋_GB2312" w:eastAsia="仿宋_GB2312"/>
                <w:sz w:val="24"/>
                <w:b/>
              </w:rPr>
              <w:t>（供应商须在响应文件中单独提供承诺函，并加盖电子印章，格式自拟）</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配送时效：供应商在接到采购人日常配送通知后，须在24小时内完成配送服务，并确保油品安全送达指定储油罐，如遇特殊情况（如恶劣天气、交通管制等）无法按时送达，应提前与采购人沟通并说明预计送达时间；供应商在接到采购人紧急配送通知后，须在2小时内完成配送服务，并确保油品安全送达指定储油罐。</w:t>
            </w:r>
            <w:r>
              <w:rPr>
                <w:rFonts w:ascii="仿宋_GB2312" w:hAnsi="仿宋_GB2312" w:cs="仿宋_GB2312" w:eastAsia="仿宋_GB2312"/>
                <w:sz w:val="24"/>
                <w:b/>
              </w:rPr>
              <w:t>（供应商须在响应文件中单独提供承诺函，并加盖电子印章，格式自拟）</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配送方式:供应商配送油品时，须采用专业的油罐车运输，运输过程中须采取必要的防泄漏、防静电、防火等措施，确保运输安全。承担油品运输工作的承运主体（成交供应商或成交供应商协议的油品运输企业）须具备国家关于危险化学品道路运输规定的相关资质，并配备符合相关资质的驾驶人员、押运人员。在服务期限内除特殊情况外成交供应商不得变更驾驶人员、押运人员，如需变更必须取得采购人同意。</w:t>
            </w:r>
            <w:r>
              <w:rPr>
                <w:rFonts w:ascii="仿宋_GB2312" w:hAnsi="仿宋_GB2312" w:cs="仿宋_GB2312" w:eastAsia="仿宋_GB2312"/>
                <w:sz w:val="24"/>
                <w:b/>
              </w:rPr>
              <w:t>（供应商须在响应文件中单独提供承诺函，并加盖电子印章，格式自拟）</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安全责任：在服务期限内，成交供应商须对整个配送过程（运输、装卸、储存）中的安全负责并承担配送前及配送期间的一切风险，因成交供应商原因造成安全事故的，或因油品质量问题引起安全事故的，一切后果及法律责任（包括但不限于民事责任、刑事责任、行政责任等）均由成交供应商自行承担。</w:t>
            </w:r>
            <w:r>
              <w:rPr>
                <w:rFonts w:ascii="仿宋_GB2312" w:hAnsi="仿宋_GB2312" w:cs="仿宋_GB2312" w:eastAsia="仿宋_GB2312"/>
                <w:sz w:val="24"/>
                <w:b/>
              </w:rPr>
              <w:t>（供应商须在响应文件中单独提供承诺函，并加盖电子印章，格式自拟）</w:t>
            </w:r>
          </w:p>
          <w:p>
            <w:pPr>
              <w:pStyle w:val="null3"/>
              <w:ind w:firstLine="480"/>
              <w:jc w:val="both"/>
            </w:pPr>
            <w:r>
              <w:rPr>
                <w:rFonts w:ascii="仿宋_GB2312" w:hAnsi="仿宋_GB2312" w:cs="仿宋_GB2312" w:eastAsia="仿宋_GB2312"/>
                <w:sz w:val="24"/>
                <w:color w:val="000000"/>
                <w:shd w:fill="FFFFFF" w:val="clear"/>
              </w:rPr>
              <w:t>6</w:t>
            </w:r>
            <w:r>
              <w:rPr>
                <w:rFonts w:ascii="仿宋_GB2312" w:hAnsi="仿宋_GB2312" w:cs="仿宋_GB2312" w:eastAsia="仿宋_GB2312"/>
                <w:sz w:val="24"/>
                <w:color w:val="000000"/>
                <w:shd w:fill="FFFFFF" w:val="clear"/>
              </w:rPr>
              <w:t>.其他要求：供应商在响应时应当明确遗体火化用油配送服务供应品牌并指向唯一产品，成交后未经采购人书面正式审批同意，严禁私自擅自更换、调换供应品牌。若私自擅自更换、调换供应品牌，采购人有权拒付相关费用，已经支付了相关费用的，采购人有权追回。</w:t>
            </w:r>
            <w:r>
              <w:rPr>
                <w:rFonts w:ascii="仿宋_GB2312" w:hAnsi="仿宋_GB2312" w:cs="仿宋_GB2312" w:eastAsia="仿宋_GB2312"/>
                <w:sz w:val="24"/>
                <w:color w:val="000000"/>
                <w:shd w:fill="FFFFFF" w:val="clear"/>
              </w:rPr>
              <w:t>由此产生的不利后果，由供应商自行承担。</w:t>
            </w:r>
          </w:p>
          <w:p>
            <w:pPr>
              <w:pStyle w:val="null3"/>
              <w:ind w:firstLine="480"/>
              <w:jc w:val="left"/>
            </w:pP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供应商报价：供应商的报价是响应采购内容的全部价格体现，包括油品采购、存储、运输(运输至采购人指定地点交货)、装卸、检测、过磅、保险、税金、招标代理服务费、合理利润等完成本项目所需的所有费用。</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结算要求</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结算基准价：最新一期四川省发展和改革委员会《关于调整成品油价格的通知》规定的一价区0﹟车用柴油（国Ⅵ）最高零售价格。成交供应商在每次结算前须向采购人提供最新一期四川省发展和改革委员会《关于调整成品油价格的通知》。</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结算单价=结算基准价</w:t>
            </w:r>
            <w:r>
              <w:rPr>
                <w:rFonts w:ascii="仿宋_GB2312" w:hAnsi="仿宋_GB2312" w:cs="仿宋_GB2312" w:eastAsia="仿宋_GB2312"/>
                <w:sz w:val="24"/>
              </w:rPr>
              <w:t>×</w:t>
            </w:r>
            <w:r>
              <w:rPr>
                <w:rFonts w:ascii="仿宋_GB2312" w:hAnsi="仿宋_GB2312" w:cs="仿宋_GB2312" w:eastAsia="仿宋_GB2312"/>
                <w:sz w:val="24"/>
              </w:rPr>
              <w:t>成交供应商报价（折扣率）</w:t>
            </w:r>
          </w:p>
          <w:p>
            <w:pPr>
              <w:pStyle w:val="null3"/>
              <w:ind w:firstLine="480"/>
              <w:jc w:val="left"/>
            </w:pPr>
            <w:r>
              <w:rPr>
                <w:rFonts w:ascii="仿宋_GB2312" w:hAnsi="仿宋_GB2312" w:cs="仿宋_GB2312" w:eastAsia="仿宋_GB2312"/>
                <w:sz w:val="24"/>
              </w:rPr>
              <w:t>2.3</w:t>
            </w:r>
            <w:r>
              <w:rPr>
                <w:rFonts w:ascii="仿宋_GB2312" w:hAnsi="仿宋_GB2312" w:cs="仿宋_GB2312" w:eastAsia="仿宋_GB2312"/>
                <w:sz w:val="24"/>
              </w:rPr>
              <w:t>结算金额=</w:t>
            </w:r>
            <w:r>
              <w:rPr>
                <w:rFonts w:ascii="仿宋_GB2312" w:hAnsi="仿宋_GB2312" w:cs="仿宋_GB2312" w:eastAsia="仿宋_GB2312"/>
                <w:sz w:val="24"/>
              </w:rPr>
              <w:t>结算基准价</w:t>
            </w:r>
            <w:r>
              <w:rPr>
                <w:rFonts w:ascii="仿宋_GB2312" w:hAnsi="仿宋_GB2312" w:cs="仿宋_GB2312" w:eastAsia="仿宋_GB2312"/>
                <w:sz w:val="24"/>
              </w:rPr>
              <w:t>×</w:t>
            </w:r>
            <w:r>
              <w:rPr>
                <w:rFonts w:ascii="仿宋_GB2312" w:hAnsi="仿宋_GB2312" w:cs="仿宋_GB2312" w:eastAsia="仿宋_GB2312"/>
                <w:sz w:val="24"/>
              </w:rPr>
              <w:t>成交供应商报价（折扣率）×实际配送数量</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自合同签订之日起365日或完成项目采购预算总金额（因本次采购项目的特殊性，无法预估具体的数量，故满足服务期限中的任一条件即完成本次采购）</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江油市殡仪馆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采购人将依据采购文件、成交供应商响应文件和国家、行业相关标准、政府采购相关法律法规以及《财政部关于进一步加强政府采购需求和履约验收管理的指导意见》（国家－财库〔2016〕205号）的要求进行验收。 2、验收方法：成交供应商提出验收申请之日起10日内组织验收。履约验收工作由采购人负责，成交供应商必须在现场。验收合格，双方签署验收报告，验收结果不符合合同约定的，应当通知成交供应商限期达到合同约定的要求。给采购人造成损失的，成交供应商当承担赔偿责任。</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2、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3、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4、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5、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6、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7、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8、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9、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10、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11、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p>
            <w:pPr>
              <w:pStyle w:val="null3"/>
              <w:jc w:val="left"/>
            </w:pPr>
            <w:r>
              <w:rPr>
                <w:rFonts w:ascii="仿宋_GB2312" w:hAnsi="仿宋_GB2312" w:cs="仿宋_GB2312" w:eastAsia="仿宋_GB2312"/>
              </w:rPr>
              <w:t>12、根据实际配送数量每1个月结算一次，达到付款条件起10日内，据实结算说明为次月的前五个工作日内成交供应商须向采购人出具付款申请、发票、成品油提油单或出库单、过磅单、配送时四川省发展和改革委员会《关于调整成品油价格的通知》，采购人收到前述资料的五个工作日内向成交供应商支付上一月的款项</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1、违约责任与解决争议的方法 （1）采购人、成交供应商双方必须遵守本合同并执行合同中的各项规定，保证本合同的正常履行。 （2）如因成交供应商工作人员在履行职务过程中的疏忽、失职、过错等故意或者过失原因给甲方造成损失或侵害，包括但不限于采购人本身的财产损失、由此而导致的采购人对任何第三方的法律责任等，成交供应商对此均应承担全部的赔偿责任。 2、解决争议的办法 （1）合同履行期间,若双方发生争议，可协商或由有关部门调解解决，协商或调解不成的，由一方当事人向采购人项目所在地人民法院提起诉讼。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21"/>
        </w:rPr>
        <w:t>谈判小组可以根据谈判文件和谈判情况实质性变动以下内容，第三章“技术、服务及其他要求”中“</w:t>
      </w:r>
      <w:r>
        <w:rPr>
          <w:rFonts w:ascii="仿宋_GB2312" w:hAnsi="仿宋_GB2312" w:cs="仿宋_GB2312" w:eastAsia="仿宋_GB2312"/>
          <w:sz w:val="21"/>
        </w:rPr>
        <w:t>3.2.</w:t>
      </w:r>
      <w:r>
        <w:rPr>
          <w:rFonts w:ascii="仿宋_GB2312" w:hAnsi="仿宋_GB2312" w:cs="仿宋_GB2312" w:eastAsia="仿宋_GB2312"/>
          <w:sz w:val="21"/>
        </w:rPr>
        <w:t>技术要求”，“</w:t>
      </w:r>
      <w:r>
        <w:rPr>
          <w:rFonts w:ascii="仿宋_GB2312" w:hAnsi="仿宋_GB2312" w:cs="仿宋_GB2312" w:eastAsia="仿宋_GB2312"/>
          <w:sz w:val="21"/>
        </w:rPr>
        <w:t>3.3.</w:t>
      </w:r>
      <w:r>
        <w:rPr>
          <w:rFonts w:ascii="仿宋_GB2312" w:hAnsi="仿宋_GB2312" w:cs="仿宋_GB2312" w:eastAsia="仿宋_GB2312"/>
          <w:sz w:val="21"/>
        </w:rPr>
        <w:t>服务要求”，但不得变动谈判文件中的其他内容。</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20"/>
        </w:rPr>
        <w:t>谈判小组可以根据谈判文件和谈判情况实质性变动以下内容，第七章“拟签订采购合同文本”，但不得变动谈判文件中的其他内容。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同时需要提供具有独立承担民事责任能力的证明材料：供应商若为企业法人的，提供具有统一社会信用代码的营业执照；供应商若为事业法人的，提供具有统一社会信用代码的法人登记证书；供应商若为其他组织的，提供对应主管部门颁发的准许执业证明文件或营业执照；供应商若为自然人的，提供身份证明材料；供应商若为银行、保险、石油石化、电力、电信等有行业特殊情况的企业，提供分支机构具有统一社会信用代码的营业执照。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响应文件封面,法定代表人身份证明、法定代表人授权委托书.docx,供应商基本情况表.docx,投标（响应）函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供应商须提供国家行政主管部门颁发的有效的《危险化学品经营许可证》（许可范围须包含柴油）</w:t>
            </w:r>
          </w:p>
        </w:tc>
        <w:tc>
          <w:tcPr>
            <w:tcW w:type="dxa" w:w="3322"/>
          </w:tcPr>
          <w:p>
            <w:pPr>
              <w:pStyle w:val="null3"/>
              <w:jc w:val="left"/>
            </w:pPr>
            <w:r>
              <w:rPr>
                <w:rFonts w:ascii="仿宋_GB2312" w:hAnsi="仿宋_GB2312" w:cs="仿宋_GB2312" w:eastAsia="仿宋_GB2312"/>
              </w:rPr>
              <w:t>供应商须提供国家行政主管部门颁发的有效的《危险化学品经营许可证》（许可范围须包含柴油）（提供相关证明材料并进行电子签章）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最高限价（实质性要求）</w:t>
            </w:r>
          </w:p>
        </w:tc>
        <w:tc>
          <w:tcPr>
            <w:tcW w:type="dxa" w:w="3322"/>
          </w:tcPr>
          <w:p>
            <w:pPr>
              <w:pStyle w:val="null3"/>
              <w:jc w:val="left"/>
            </w:pPr>
            <w:r>
              <w:rPr>
                <w:rFonts w:ascii="仿宋_GB2312" w:hAnsi="仿宋_GB2312" w:cs="仿宋_GB2312" w:eastAsia="仿宋_GB2312"/>
              </w:rPr>
              <w:t>供应商的采购包响应报价高于采购包最高限价的，其响应文件将按无效处理。</w:t>
            </w:r>
          </w:p>
        </w:tc>
        <w:tc>
          <w:tcPr>
            <w:tcW w:type="dxa" w:w="1661"/>
          </w:tcPr>
          <w:p>
            <w:pPr>
              <w:pStyle w:val="null3"/>
              <w:jc w:val="left"/>
            </w:pPr>
            <w:r>
              <w:rPr>
                <w:rFonts w:ascii="仿宋_GB2312" w:hAnsi="仿宋_GB2312" w:cs="仿宋_GB2312" w:eastAsia="仿宋_GB2312"/>
              </w:rPr>
              <w:t>报价表,报价明细表.docx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响应有效期（实质性要求）</w:t>
            </w:r>
          </w:p>
        </w:tc>
        <w:tc>
          <w:tcPr>
            <w:tcW w:type="dxa" w:w="3322"/>
          </w:tcPr>
          <w:p>
            <w:pPr>
              <w:pStyle w:val="null3"/>
              <w:jc w:val="left"/>
            </w:pPr>
            <w:r>
              <w:rPr>
                <w:rFonts w:ascii="仿宋_GB2312" w:hAnsi="仿宋_GB2312" w:cs="仿宋_GB2312" w:eastAsia="仿宋_GB2312"/>
              </w:rPr>
              <w:t>响应文件未明确响应有效期或者响应有效期小于“供应商须知附表”中响应有效期要求的，其响应文件按无效处理。</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第三章 技术、服务及其他要求中的带“★”的要求（实质性要求）</w:t>
            </w:r>
          </w:p>
        </w:tc>
        <w:tc>
          <w:tcPr>
            <w:tcW w:type="dxa" w:w="3322"/>
          </w:tcPr>
          <w:p>
            <w:pPr>
              <w:pStyle w:val="null3"/>
              <w:jc w:val="left"/>
            </w:pPr>
            <w:r>
              <w:rPr>
                <w:rFonts w:ascii="仿宋_GB2312" w:hAnsi="仿宋_GB2312" w:cs="仿宋_GB2312" w:eastAsia="仿宋_GB2312"/>
              </w:rPr>
              <w:t>1、第三章 技术、服务及其他要求中的带“★”的要求为实质性要求，供应商应当在响应文件中作出响应；带“★”的技术、服务及其他要求要求提供证明材料的，供应商还应当提供相应的证明材料。 2、供应商未在响应文件中对带“★”的技术、服务及其他要求作出响应，或虽作出响应但未按照采购文件的要求提供相应证明材料的或响应情况存在负偏离的，响应文件按无效处理。</w:t>
            </w:r>
          </w:p>
        </w:tc>
        <w:tc>
          <w:tcPr>
            <w:tcW w:type="dxa" w:w="1661"/>
          </w:tcPr>
          <w:p>
            <w:pPr>
              <w:pStyle w:val="null3"/>
              <w:jc w:val="left"/>
            </w:pPr>
            <w:r>
              <w:rPr>
                <w:rFonts w:ascii="仿宋_GB2312" w:hAnsi="仿宋_GB2312" w:cs="仿宋_GB2312" w:eastAsia="仿宋_GB2312"/>
              </w:rPr>
              <w:t>供应商认为需要提供的其他证明材料.docx,服务应答表,技术应答表.docx,商务应答表.docx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报价</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报价表,报价明细表.docx</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详见附件：报价明细表.docx</w:t>
      </w:r>
    </w:p>
    <w:p>
      <w:pPr>
        <w:pStyle w:val="null3"/>
        <w:ind w:firstLine="960"/>
        <w:jc w:val="left"/>
      </w:pPr>
      <w:r>
        <w:rPr>
          <w:rFonts w:ascii="仿宋_GB2312" w:hAnsi="仿宋_GB2312" w:cs="仿宋_GB2312" w:eastAsia="仿宋_GB2312"/>
        </w:rPr>
        <w:t>详见附件：法定代表人身份证明、法定代表人授权委托书.docx</w:t>
      </w:r>
    </w:p>
    <w:p>
      <w:pPr>
        <w:pStyle w:val="null3"/>
        <w:ind w:firstLine="960"/>
        <w:jc w:val="left"/>
      </w:pPr>
      <w:r>
        <w:rPr>
          <w:rFonts w:ascii="仿宋_GB2312" w:hAnsi="仿宋_GB2312" w:cs="仿宋_GB2312" w:eastAsia="仿宋_GB2312"/>
        </w:rPr>
        <w:t>详见附件：供应商基本情况表.docx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