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版本号：N510101202600042920260522001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蓉品出川市场拓展系列活动项目(二次)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N5101012026000429</w:t>
      </w:r>
    </w:p>
    <w:p>
      <w:pPr>
        <w:pStyle w:val="null3"/>
        <w:jc w:val="center"/>
        <w:outlineLvl w:val="2"/>
      </w:pPr>
      <w:r>
        <w:rPr>
          <w:rFonts w:ascii="仿宋_GB2312" w:hAnsi="仿宋_GB2312" w:cs="仿宋_GB2312" w:eastAsia="仿宋_GB2312"/>
          <w:sz w:val="28"/>
          <w:b/>
        </w:rPr>
        <w:t>成都市商务局</w:t>
      </w:r>
    </w:p>
    <w:p>
      <w:pPr>
        <w:pStyle w:val="null3"/>
        <w:jc w:val="center"/>
        <w:outlineLvl w:val="2"/>
      </w:pPr>
      <w:r>
        <w:rPr>
          <w:rFonts w:ascii="仿宋_GB2312" w:hAnsi="仿宋_GB2312" w:cs="仿宋_GB2312" w:eastAsia="仿宋_GB2312"/>
          <w:sz w:val="28"/>
          <w:b/>
        </w:rPr>
        <w:t>联投项目管理（集团）有限公司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联投项目管理（集团）有限公司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成都市商务局</w:t>
      </w:r>
      <w:r>
        <w:rPr>
          <w:rFonts w:ascii="仿宋_GB2312" w:hAnsi="仿宋_GB2312" w:cs="仿宋_GB2312" w:eastAsia="仿宋_GB2312"/>
        </w:rPr>
        <w:t xml:space="preserve"> 委托，拟对 </w:t>
      </w:r>
      <w:r>
        <w:rPr>
          <w:rFonts w:ascii="仿宋_GB2312" w:hAnsi="仿宋_GB2312" w:cs="仿宋_GB2312" w:eastAsia="仿宋_GB2312"/>
        </w:rPr>
        <w:t>蓉品出川市场拓展系列活动项目(二次)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N5101012026000429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蓉品出川市场拓展系列活动项目(二次)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为深入贯彻落实市委市委市政府关于“蓉品出川出海”战略，紧抓成德眉资同城化发展重大机遇，本方案旨在凝聚都市圈合力，系统性、创新性推进2026年度“蓉品出川出海”工作。本年度核心策略在于坚持 “品牌价值引领”与“市场渠道深耕”深度融合、相互赋能。一方面，将“新品牌”塑造确立为全局性、先导性的核心任务与战略支点，以打造一个富有文化内涵与商业感召力的特色IP为目标，通过系统化的品牌推广策略，实现“蓉品”从地方名品到国内外知名的价值升华。另一方面，务实推进“新品牌塑造”“新区域深耕”“新零售融合”“新电商赋能”四大行动，在助力企业在关键区域与渠道实现精准突破与布局。</w:t>
      </w:r>
    </w:p>
    <w:p>
      <w:pPr>
        <w:pStyle w:val="null3"/>
        <w:jc w:val="left"/>
      </w:pPr>
      <w:r>
        <w:rPr>
          <w:rFonts w:ascii="仿宋_GB2312" w:hAnsi="仿宋_GB2312" w:cs="仿宋_GB2312" w:eastAsia="仿宋_GB2312"/>
        </w:rPr>
        <w:t>本项目共计1个采购包，拟确定成交人1名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供应商信用融资（蓉采贷）: 参加本次采购活动成交的中小企业无需提供财产抵押或第三方担保，凭借政府采购合同可向融资机构申请融资。具体内容详见《成都市财政局中国人民银行成都分行营 业管理部关于印发〈成都市中小企业政府采购信用融资暂行办法〉和〈成都市级支持中小企业政府采购信用融资实施方案〉的 通知》（成财采〔2019〕17号）和《成都市财政局关于增补“蓉采贷”政策合作银行及做好相关工作的通知》（成财采发 〔2020〕20号）文件。</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成都市商务局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成都市高新区天府大道北段蜀锦路68号C栋8楼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028-61883749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联投项目管理（集团）有限公司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成都市高新区天府大道北段1700号环球中心N5区20楼2015号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028-67873777转1，17761049664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采购包1：2,000,000.00元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本项目按照“成本+合理利润”原则，以成交金额作为计算基数，按差额定率累进法进行计算，费率标准为(服务采购项目)下浮20%收取；成交金额，100万元以下：1.5%；100-500（万元）：0.8%；（2）由成交供应商在领取成交通知书前向采购代理机构一次性缴纳采购代理服务费；（3） 收款单位：联投项目管理（集团）有限公司； 开 户 行：中国建设银行股份有限公司成都益州支行； 银行账号：51050141618500000138；（4）发票开具：代理服务费交纳后，请填写《中标（成交）通知书及发票信息单》（下载地址： https://jy.scltzb.com/html/eltzb/banshizhinan/1580019365598851074.html ），并按PDF及WORD格式各一份发送至邮箱qa@scltzb.com，PDF需要加盖公司公章。在收到您的邮件及代理服务费后，我公司将在1—3个工作日内向您的邮箱发送电子发票。</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成都市商务局</w:t>
      </w:r>
      <w:r>
        <w:rPr>
          <w:rFonts w:ascii="仿宋_GB2312" w:hAnsi="仿宋_GB2312" w:cs="仿宋_GB2312" w:eastAsia="仿宋_GB2312"/>
        </w:rPr>
        <w:t xml:space="preserve"> 和 </w:t>
      </w:r>
      <w:r>
        <w:rPr>
          <w:rFonts w:ascii="仿宋_GB2312" w:hAnsi="仿宋_GB2312" w:cs="仿宋_GB2312" w:eastAsia="仿宋_GB2312"/>
        </w:rPr>
        <w:t>联投项目管理（集团）有限公司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成都市商务局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联投项目管理（集团）有限公司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项目全部执行完毕，成交供应商提出验收申请之日起 </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未尽事宜按《财政部关于进一步加强政府采购需求和履约验收管理的指导意见》（财库〔2016〕205号）、《政府采购需求管理办法》（财库〔2021〕22号</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按照本项目磋商文件中“技术、服务要求”及成交供应商响应文件及承诺、采购合同约定进行验收；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按照本项目磋商文件中“商务要求”及成交供应商响应文件及承诺、采购合同约定进行验收；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严格按照《财政部关于进一步加强政府采购需求和履约验收管理的指导意见》（财库〔2016〕205号）等政府采购相关法律法规的要求进行验收；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成都市商务局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联投项目管理（集团）有限公司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联投项目管理（集团）有限公司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联系电话：028-61883749</w:t>
      </w:r>
    </w:p>
    <w:p>
      <w:pPr>
        <w:pStyle w:val="null3"/>
        <w:jc w:val="left"/>
      </w:pPr>
      <w:r>
        <w:rPr>
          <w:rFonts w:ascii="仿宋_GB2312" w:hAnsi="仿宋_GB2312" w:cs="仿宋_GB2312" w:eastAsia="仿宋_GB2312"/>
        </w:rPr>
        <w:t>地址：成都市高新区天府大道北段蜀锦路68号C栋8楼</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联系人：陈女士</w:t>
      </w:r>
    </w:p>
    <w:p>
      <w:pPr>
        <w:pStyle w:val="null3"/>
        <w:jc w:val="left"/>
      </w:pPr>
      <w:r>
        <w:rPr>
          <w:rFonts w:ascii="仿宋_GB2312" w:hAnsi="仿宋_GB2312" w:cs="仿宋_GB2312" w:eastAsia="仿宋_GB2312"/>
        </w:rPr>
        <w:t>联系电话：028-67873777转1</w:t>
      </w:r>
    </w:p>
    <w:p>
      <w:pPr>
        <w:pStyle w:val="null3"/>
        <w:jc w:val="left"/>
      </w:pPr>
      <w:r>
        <w:rPr>
          <w:rFonts w:ascii="仿宋_GB2312" w:hAnsi="仿宋_GB2312" w:cs="仿宋_GB2312" w:eastAsia="仿宋_GB2312"/>
        </w:rPr>
        <w:t>地址：成都市高新区天府大道北段1700号环球中心N5区20楼2015号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2,000,000.00</w:t>
      </w:r>
    </w:p>
    <w:p>
      <w:pPr>
        <w:pStyle w:val="null3"/>
        <w:jc w:val="left"/>
      </w:pPr>
      <w:r>
        <w:rPr>
          <w:rFonts w:ascii="仿宋_GB2312" w:hAnsi="仿宋_GB2312" w:cs="仿宋_GB2312" w:eastAsia="仿宋_GB2312"/>
        </w:rPr>
        <w:t>采购包最高限价（元）: 2,000,000.00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C23990000 其他商务服务</w:t>
            </w:r>
          </w:p>
        </w:tc>
        <w:tc>
          <w:tcPr>
            <w:tcW w:type="dxa" w:w="821"/>
          </w:tcPr>
          <w:p>
            <w:pPr>
              <w:pStyle w:val="null3"/>
              <w:jc w:val="left"/>
            </w:pPr>
            <w:r>
              <w:rPr>
                <w:rFonts w:ascii="仿宋_GB2312" w:hAnsi="仿宋_GB2312" w:cs="仿宋_GB2312" w:eastAsia="仿宋_GB2312"/>
              </w:rPr>
              <w:t>蓉品出川市场拓展系列活动</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2,000,000.00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蓉品出川市场拓展系列活动</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2,000,000.00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标的名称：蓉品出川市场拓展系列活动</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活动整体要求</w:t>
            </w:r>
          </w:p>
        </w:tc>
        <w:tc>
          <w:tcPr>
            <w:tcW w:type="dxa" w:w="5814"/>
          </w:tcPr>
          <w:p>
            <w:pPr>
              <w:pStyle w:val="null3"/>
              <w:ind w:firstLine="696"/>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策划“蓉品出川”</w:t>
            </w:r>
            <w:r>
              <w:rPr>
                <w:rFonts w:ascii="仿宋_GB2312" w:hAnsi="仿宋_GB2312" w:cs="仿宋_GB2312" w:eastAsia="仿宋_GB2312"/>
                <w:sz w:val="21"/>
                <w:color w:val="000000"/>
              </w:rPr>
              <w:t>市场拓展系列活动7场次</w:t>
            </w:r>
            <w:r>
              <w:rPr>
                <w:rFonts w:ascii="仿宋_GB2312" w:hAnsi="仿宋_GB2312" w:cs="仿宋_GB2312" w:eastAsia="仿宋_GB2312"/>
                <w:sz w:val="21"/>
                <w:color w:val="000000"/>
              </w:rPr>
              <w:t>，</w:t>
            </w:r>
            <w:r>
              <w:rPr>
                <w:rFonts w:ascii="仿宋_GB2312" w:hAnsi="仿宋_GB2312" w:cs="仿宋_GB2312" w:eastAsia="仿宋_GB2312"/>
                <w:sz w:val="21"/>
                <w:color w:val="000000"/>
              </w:rPr>
              <w:t>负责活动内容策划落地、</w:t>
            </w:r>
            <w:r>
              <w:rPr>
                <w:rFonts w:ascii="仿宋_GB2312" w:hAnsi="仿宋_GB2312" w:cs="仿宋_GB2312" w:eastAsia="仿宋_GB2312"/>
                <w:sz w:val="21"/>
                <w:color w:val="000000"/>
              </w:rPr>
              <w:t>商家</w:t>
            </w:r>
            <w:r>
              <w:rPr>
                <w:rFonts w:ascii="仿宋_GB2312" w:hAnsi="仿宋_GB2312" w:cs="仿宋_GB2312" w:eastAsia="仿宋_GB2312"/>
                <w:sz w:val="21"/>
                <w:color w:val="000000"/>
              </w:rPr>
              <w:t>组织、</w:t>
            </w:r>
            <w:r>
              <w:rPr>
                <w:rFonts w:ascii="仿宋_GB2312" w:hAnsi="仿宋_GB2312" w:cs="仿宋_GB2312" w:eastAsia="仿宋_GB2312"/>
                <w:sz w:val="21"/>
                <w:color w:val="000000"/>
              </w:rPr>
              <w:t>氛围营造</w:t>
            </w:r>
            <w:r>
              <w:rPr>
                <w:rFonts w:ascii="仿宋_GB2312" w:hAnsi="仿宋_GB2312" w:cs="仿宋_GB2312" w:eastAsia="仿宋_GB2312"/>
                <w:sz w:val="21"/>
                <w:color w:val="000000"/>
              </w:rPr>
              <w:t>及后勤保障服务。其中执行策划落地包括：编制活动整体策划内容、具体执行工作、应急执行工作；商家组织包括：参展企业联系对接、参展企业活动地市内出行保障、接待服务工作；氛围营造包括：活动主视觉及延展设计、展位展陈设计、活动现场搭建及活动所需物料设计及制作；后勤保障包括：活动所需物资物料保障、后勤支持（含住宿和餐食安排）、人员保障。</w:t>
            </w:r>
          </w:p>
          <w:p>
            <w:pPr>
              <w:pStyle w:val="null3"/>
              <w:ind w:firstLine="696"/>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活动主题为：2026</w:t>
            </w:r>
            <w:r>
              <w:rPr>
                <w:rFonts w:ascii="仿宋_GB2312" w:hAnsi="仿宋_GB2312" w:cs="仿宋_GB2312" w:eastAsia="仿宋_GB2312"/>
                <w:sz w:val="21"/>
                <w:color w:val="000000"/>
              </w:rPr>
              <w:t>“</w:t>
            </w:r>
            <w:r>
              <w:rPr>
                <w:rFonts w:ascii="仿宋_GB2312" w:hAnsi="仿宋_GB2312" w:cs="仿宋_GB2312" w:eastAsia="仿宋_GB2312"/>
                <w:sz w:val="21"/>
                <w:color w:val="000000"/>
              </w:rPr>
              <w:t>蓉品出川</w:t>
            </w:r>
            <w:r>
              <w:rPr>
                <w:rFonts w:ascii="仿宋_GB2312" w:hAnsi="仿宋_GB2312" w:cs="仿宋_GB2312" w:eastAsia="仿宋_GB2312"/>
                <w:sz w:val="21"/>
                <w:color w:val="000000"/>
              </w:rPr>
              <w:t>”</w:t>
            </w:r>
            <w:r>
              <w:rPr>
                <w:rFonts w:ascii="仿宋_GB2312" w:hAnsi="仿宋_GB2312" w:cs="仿宋_GB2312" w:eastAsia="仿宋_GB2312"/>
                <w:sz w:val="21"/>
                <w:color w:val="000000"/>
              </w:rPr>
              <w:t>市场拓展活动（华东上海站、联名产品专场、华中长沙站、华南广州站、华东杭州站、东北沈阳站）、2026“天府好物”展示展销活动。</w:t>
            </w:r>
          </w:p>
          <w:p>
            <w:pPr>
              <w:pStyle w:val="null3"/>
              <w:ind w:firstLine="696"/>
              <w:jc w:val="left"/>
            </w:pPr>
            <w:r>
              <w:rPr>
                <w:rFonts w:ascii="仿宋_GB2312" w:hAnsi="仿宋_GB2312" w:cs="仿宋_GB2312" w:eastAsia="仿宋_GB2312"/>
                <w:sz w:val="21"/>
                <w:color w:val="000000"/>
              </w:rPr>
              <w:t>3、活动规模：供应商负责</w:t>
            </w:r>
            <w:r>
              <w:rPr>
                <w:rFonts w:ascii="仿宋_GB2312" w:hAnsi="仿宋_GB2312" w:cs="仿宋_GB2312" w:eastAsia="仿宋_GB2312"/>
                <w:sz w:val="21"/>
                <w:color w:val="000000"/>
              </w:rPr>
              <w:t>总共组织</w:t>
            </w:r>
            <w:r>
              <w:rPr>
                <w:rFonts w:ascii="仿宋_GB2312" w:hAnsi="仿宋_GB2312" w:cs="仿宋_GB2312" w:eastAsia="仿宋_GB2312"/>
                <w:sz w:val="21"/>
                <w:color w:val="000000"/>
              </w:rPr>
              <w:t>100</w:t>
            </w:r>
            <w:r>
              <w:rPr>
                <w:rFonts w:ascii="仿宋_GB2312" w:hAnsi="仿宋_GB2312" w:cs="仿宋_GB2312" w:eastAsia="仿宋_GB2312"/>
                <w:sz w:val="21"/>
                <w:color w:val="000000"/>
              </w:rPr>
              <w:t>家以上企业参加活动</w:t>
            </w:r>
            <w:r>
              <w:rPr>
                <w:rFonts w:ascii="仿宋_GB2312" w:hAnsi="仿宋_GB2312" w:cs="仿宋_GB2312" w:eastAsia="仿宋_GB2312"/>
                <w:sz w:val="21"/>
                <w:color w:val="000000"/>
              </w:rPr>
              <w:t>（</w:t>
            </w:r>
            <w:r>
              <w:rPr>
                <w:rFonts w:ascii="仿宋_GB2312" w:hAnsi="仿宋_GB2312" w:cs="仿宋_GB2312" w:eastAsia="仿宋_GB2312"/>
                <w:sz w:val="21"/>
                <w:color w:val="000000"/>
              </w:rPr>
              <w:t>包括7场活动线上线下参与</w:t>
            </w:r>
            <w:r>
              <w:rPr>
                <w:rFonts w:ascii="仿宋_GB2312" w:hAnsi="仿宋_GB2312" w:cs="仿宋_GB2312" w:eastAsia="仿宋_GB2312"/>
                <w:sz w:val="21"/>
                <w:color w:val="000000"/>
              </w:rPr>
              <w:t>）。</w:t>
            </w:r>
          </w:p>
          <w:p>
            <w:pPr>
              <w:pStyle w:val="null3"/>
              <w:ind w:firstLine="696"/>
              <w:jc w:val="left"/>
            </w:pPr>
            <w:r>
              <w:rPr>
                <w:rFonts w:ascii="仿宋_GB2312" w:hAnsi="仿宋_GB2312" w:cs="仿宋_GB2312" w:eastAsia="仿宋_GB2312"/>
                <w:sz w:val="21"/>
                <w:color w:val="000000"/>
              </w:rPr>
              <w:t>4、供应商</w:t>
            </w:r>
            <w:r>
              <w:rPr>
                <w:rFonts w:ascii="仿宋_GB2312" w:hAnsi="仿宋_GB2312" w:cs="仿宋_GB2312" w:eastAsia="仿宋_GB2312"/>
                <w:sz w:val="21"/>
                <w:color w:val="000000"/>
              </w:rPr>
              <w:t>应按照</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对本项目的要求</w:t>
            </w:r>
            <w:r>
              <w:rPr>
                <w:rFonts w:ascii="仿宋_GB2312" w:hAnsi="仿宋_GB2312" w:cs="仿宋_GB2312" w:eastAsia="仿宋_GB2312"/>
                <w:sz w:val="21"/>
                <w:color w:val="000000"/>
              </w:rPr>
              <w:t>提供最终</w:t>
            </w:r>
            <w:r>
              <w:rPr>
                <w:rFonts w:ascii="仿宋_GB2312" w:hAnsi="仿宋_GB2312" w:cs="仿宋_GB2312" w:eastAsia="仿宋_GB2312"/>
                <w:sz w:val="21"/>
                <w:color w:val="000000"/>
              </w:rPr>
              <w:t>活动</w:t>
            </w:r>
            <w:r>
              <w:rPr>
                <w:rFonts w:ascii="仿宋_GB2312" w:hAnsi="仿宋_GB2312" w:cs="仿宋_GB2312" w:eastAsia="仿宋_GB2312"/>
                <w:sz w:val="21"/>
                <w:color w:val="000000"/>
              </w:rPr>
              <w:t>执行内容</w:t>
            </w:r>
            <w:r>
              <w:rPr>
                <w:rFonts w:ascii="仿宋_GB2312" w:hAnsi="仿宋_GB2312" w:cs="仿宋_GB2312" w:eastAsia="仿宋_GB2312"/>
                <w:sz w:val="21"/>
                <w:color w:val="000000"/>
              </w:rPr>
              <w:t>（</w:t>
            </w:r>
            <w:r>
              <w:rPr>
                <w:rFonts w:ascii="仿宋_GB2312" w:hAnsi="仿宋_GB2312" w:cs="仿宋_GB2312" w:eastAsia="仿宋_GB2312"/>
                <w:sz w:val="21"/>
                <w:color w:val="000000"/>
              </w:rPr>
              <w:t>至少包含</w:t>
            </w:r>
            <w:r>
              <w:rPr>
                <w:rFonts w:ascii="仿宋_GB2312" w:hAnsi="仿宋_GB2312" w:cs="仿宋_GB2312" w:eastAsia="仿宋_GB2312"/>
                <w:sz w:val="21"/>
                <w:color w:val="000000"/>
              </w:rPr>
              <w:t>服务</w:t>
            </w:r>
            <w:r>
              <w:rPr>
                <w:rFonts w:ascii="仿宋_GB2312" w:hAnsi="仿宋_GB2312" w:cs="仿宋_GB2312" w:eastAsia="仿宋_GB2312"/>
                <w:sz w:val="21"/>
                <w:color w:val="000000"/>
              </w:rPr>
              <w:t>工作</w:t>
            </w:r>
            <w:r>
              <w:rPr>
                <w:rFonts w:ascii="仿宋_GB2312" w:hAnsi="仿宋_GB2312" w:cs="仿宋_GB2312" w:eastAsia="仿宋_GB2312"/>
                <w:sz w:val="21"/>
                <w:color w:val="000000"/>
              </w:rPr>
              <w:t>、设计</w:t>
            </w:r>
            <w:r>
              <w:rPr>
                <w:rFonts w:ascii="仿宋_GB2312" w:hAnsi="仿宋_GB2312" w:cs="仿宋_GB2312" w:eastAsia="仿宋_GB2312"/>
                <w:sz w:val="21"/>
                <w:color w:val="000000"/>
              </w:rPr>
              <w:t>工作</w:t>
            </w:r>
            <w:r>
              <w:rPr>
                <w:rFonts w:ascii="仿宋_GB2312" w:hAnsi="仿宋_GB2312" w:cs="仿宋_GB2312" w:eastAsia="仿宋_GB2312"/>
                <w:sz w:val="21"/>
                <w:color w:val="000000"/>
              </w:rPr>
              <w:t>、应急</w:t>
            </w:r>
            <w:r>
              <w:rPr>
                <w:rFonts w:ascii="仿宋_GB2312" w:hAnsi="仿宋_GB2312" w:cs="仿宋_GB2312" w:eastAsia="仿宋_GB2312"/>
                <w:sz w:val="21"/>
                <w:color w:val="000000"/>
              </w:rPr>
              <w:t>工作</w:t>
            </w:r>
            <w:r>
              <w:rPr>
                <w:rFonts w:ascii="仿宋_GB2312" w:hAnsi="仿宋_GB2312" w:cs="仿宋_GB2312" w:eastAsia="仿宋_GB2312"/>
                <w:sz w:val="21"/>
                <w:color w:val="000000"/>
              </w:rPr>
              <w:t>、宣传</w:t>
            </w:r>
            <w:r>
              <w:rPr>
                <w:rFonts w:ascii="仿宋_GB2312" w:hAnsi="仿宋_GB2312" w:cs="仿宋_GB2312" w:eastAsia="仿宋_GB2312"/>
                <w:sz w:val="21"/>
                <w:color w:val="000000"/>
              </w:rPr>
              <w:t>工作</w:t>
            </w:r>
            <w:r>
              <w:rPr>
                <w:rFonts w:ascii="仿宋_GB2312" w:hAnsi="仿宋_GB2312" w:cs="仿宋_GB2312" w:eastAsia="仿宋_GB2312"/>
                <w:sz w:val="21"/>
                <w:color w:val="000000"/>
              </w:rPr>
              <w:t>）并于每场活动正式开始前</w:t>
            </w:r>
            <w:r>
              <w:rPr>
                <w:rFonts w:ascii="仿宋_GB2312" w:hAnsi="仿宋_GB2312" w:cs="仿宋_GB2312" w:eastAsia="仿宋_GB2312"/>
                <w:sz w:val="21"/>
                <w:color w:val="000000"/>
              </w:rPr>
              <w:t>5</w:t>
            </w:r>
            <w:r>
              <w:rPr>
                <w:rFonts w:ascii="仿宋_GB2312" w:hAnsi="仿宋_GB2312" w:cs="仿宋_GB2312" w:eastAsia="仿宋_GB2312"/>
                <w:sz w:val="21"/>
                <w:color w:val="000000"/>
              </w:rPr>
              <w:t>个工作日提交</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，经</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审核确认后负责具体执行。</w:t>
            </w:r>
          </w:p>
          <w:p>
            <w:pPr>
              <w:pStyle w:val="null3"/>
              <w:ind w:firstLine="696"/>
              <w:jc w:val="left"/>
            </w:pPr>
            <w:r>
              <w:rPr>
                <w:rFonts w:ascii="仿宋_GB2312" w:hAnsi="仿宋_GB2312" w:cs="仿宋_GB2312" w:eastAsia="仿宋_GB2312"/>
                <w:sz w:val="21"/>
                <w:color w:val="000000"/>
              </w:rPr>
              <w:t>5、供应商</w:t>
            </w:r>
            <w:r>
              <w:rPr>
                <w:rFonts w:ascii="仿宋_GB2312" w:hAnsi="仿宋_GB2312" w:cs="仿宋_GB2312" w:eastAsia="仿宋_GB2312"/>
                <w:sz w:val="21"/>
                <w:color w:val="000000"/>
              </w:rPr>
              <w:t>负责收集</w:t>
            </w:r>
            <w:r>
              <w:rPr>
                <w:rFonts w:ascii="仿宋_GB2312" w:hAnsi="仿宋_GB2312" w:cs="仿宋_GB2312" w:eastAsia="仿宋_GB2312"/>
                <w:sz w:val="21"/>
                <w:color w:val="000000"/>
              </w:rPr>
              <w:t>每场次</w:t>
            </w:r>
            <w:r>
              <w:rPr>
                <w:rFonts w:ascii="仿宋_GB2312" w:hAnsi="仿宋_GB2312" w:cs="仿宋_GB2312" w:eastAsia="仿宋_GB2312"/>
                <w:sz w:val="21"/>
                <w:color w:val="000000"/>
              </w:rPr>
              <w:t>活动相关资料（</w:t>
            </w:r>
            <w:r>
              <w:rPr>
                <w:rFonts w:ascii="仿宋_GB2312" w:hAnsi="仿宋_GB2312" w:cs="仿宋_GB2312" w:eastAsia="仿宋_GB2312"/>
                <w:sz w:val="21"/>
                <w:color w:val="000000"/>
              </w:rPr>
              <w:t>至少</w:t>
            </w:r>
            <w:r>
              <w:rPr>
                <w:rFonts w:ascii="仿宋_GB2312" w:hAnsi="仿宋_GB2312" w:cs="仿宋_GB2312" w:eastAsia="仿宋_GB2312"/>
                <w:sz w:val="21"/>
                <w:color w:val="000000"/>
              </w:rPr>
              <w:t>包括：图片、成果和活动会议数据资料）并撰写活动总结，在</w:t>
            </w:r>
            <w:r>
              <w:rPr>
                <w:rFonts w:ascii="仿宋_GB2312" w:hAnsi="仿宋_GB2312" w:cs="仿宋_GB2312" w:eastAsia="仿宋_GB2312"/>
                <w:sz w:val="21"/>
                <w:color w:val="000000"/>
              </w:rPr>
              <w:t>全部</w:t>
            </w:r>
            <w:r>
              <w:rPr>
                <w:rFonts w:ascii="仿宋_GB2312" w:hAnsi="仿宋_GB2312" w:cs="仿宋_GB2312" w:eastAsia="仿宋_GB2312"/>
                <w:sz w:val="21"/>
                <w:color w:val="000000"/>
              </w:rPr>
              <w:t>活动结束后</w:t>
            </w:r>
            <w:r>
              <w:rPr>
                <w:rFonts w:ascii="仿宋_GB2312" w:hAnsi="仿宋_GB2312" w:cs="仿宋_GB2312" w:eastAsia="仿宋_GB2312"/>
                <w:sz w:val="21"/>
                <w:color w:val="000000"/>
              </w:rPr>
              <w:t>10个工作日内</w:t>
            </w:r>
            <w:r>
              <w:rPr>
                <w:rFonts w:ascii="仿宋_GB2312" w:hAnsi="仿宋_GB2312" w:cs="仿宋_GB2312" w:eastAsia="仿宋_GB2312"/>
                <w:sz w:val="21"/>
                <w:color w:val="000000"/>
              </w:rPr>
              <w:t>将总结报告提交采购人</w:t>
            </w:r>
            <w:r>
              <w:rPr>
                <w:rFonts w:ascii="仿宋_GB2312" w:hAnsi="仿宋_GB2312" w:cs="仿宋_GB2312" w:eastAsia="仿宋_GB2312"/>
                <w:sz w:val="21"/>
                <w:color w:val="000000"/>
              </w:rPr>
              <w:t>；</w:t>
            </w:r>
          </w:p>
          <w:p>
            <w:pPr>
              <w:pStyle w:val="null3"/>
              <w:ind w:firstLine="696"/>
              <w:jc w:val="left"/>
            </w:pPr>
            <w:r>
              <w:rPr>
                <w:rFonts w:ascii="仿宋_GB2312" w:hAnsi="仿宋_GB2312" w:cs="仿宋_GB2312" w:eastAsia="仿宋_GB2312"/>
                <w:sz w:val="21"/>
                <w:color w:val="000000"/>
              </w:rPr>
              <w:t>6、供应商负责每场活动宣传稿件、宣发图片及影像</w:t>
            </w:r>
            <w:r>
              <w:rPr>
                <w:rFonts w:ascii="仿宋_GB2312" w:hAnsi="仿宋_GB2312" w:cs="仿宋_GB2312" w:eastAsia="仿宋_GB2312"/>
                <w:sz w:val="21"/>
                <w:color w:val="000000"/>
              </w:rPr>
              <w:t>采集</w:t>
            </w:r>
            <w:r>
              <w:rPr>
                <w:rFonts w:ascii="仿宋_GB2312" w:hAnsi="仿宋_GB2312" w:cs="仿宋_GB2312" w:eastAsia="仿宋_GB2312"/>
                <w:sz w:val="21"/>
                <w:color w:val="000000"/>
              </w:rPr>
              <w:t>输出。整合传统媒体与新媒体资源，围绕“蓉品出川”关键词，注重活动宣发、蓉品蓉企推广，策划热点话题和场景化打造，每场活动制作不少于1个快剪短视频（每个视频不少于30秒），构建“预热种草—执行引爆—沉淀转化”的全周期传播，推动“天府好物”IP深入人心；</w:t>
            </w:r>
          </w:p>
          <w:p>
            <w:pPr>
              <w:pStyle w:val="null3"/>
              <w:ind w:firstLine="696"/>
              <w:jc w:val="left"/>
            </w:pPr>
            <w:r>
              <w:rPr>
                <w:rFonts w:ascii="仿宋_GB2312" w:hAnsi="仿宋_GB2312" w:cs="仿宋_GB2312" w:eastAsia="仿宋_GB2312"/>
                <w:sz w:val="21"/>
                <w:color w:val="000000"/>
              </w:rPr>
              <w:t>7、供应商</w:t>
            </w:r>
            <w:r>
              <w:rPr>
                <w:rFonts w:ascii="仿宋_GB2312" w:hAnsi="仿宋_GB2312" w:cs="仿宋_GB2312" w:eastAsia="仿宋_GB2312"/>
                <w:sz w:val="21"/>
                <w:color w:val="000000"/>
              </w:rPr>
              <w:t>负责采购人</w:t>
            </w:r>
            <w:r>
              <w:rPr>
                <w:rFonts w:ascii="仿宋_GB2312" w:hAnsi="仿宋_GB2312" w:cs="仿宋_GB2312" w:eastAsia="仿宋_GB2312"/>
                <w:sz w:val="21"/>
                <w:color w:val="000000"/>
              </w:rPr>
              <w:t>活动相关需求落实及采购人临时交办的其他工作</w:t>
            </w:r>
            <w:r>
              <w:rPr>
                <w:rFonts w:ascii="仿宋_GB2312" w:hAnsi="仿宋_GB2312" w:cs="仿宋_GB2312" w:eastAsia="仿宋_GB2312"/>
                <w:sz w:val="21"/>
                <w:color w:val="000000"/>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人员要求</w:t>
            </w:r>
          </w:p>
        </w:tc>
        <w:tc>
          <w:tcPr>
            <w:tcW w:type="dxa" w:w="5814"/>
          </w:tcPr>
          <w:p>
            <w:pPr>
              <w:pStyle w:val="null3"/>
              <w:ind w:firstLine="696"/>
              <w:jc w:val="left"/>
            </w:pP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成交</w:t>
            </w:r>
            <w:r>
              <w:rPr>
                <w:rFonts w:ascii="仿宋_GB2312" w:hAnsi="仿宋_GB2312" w:cs="仿宋_GB2312" w:eastAsia="仿宋_GB2312"/>
                <w:sz w:val="21"/>
                <w:color w:val="000000"/>
              </w:rPr>
              <w:t>后</w:t>
            </w:r>
            <w:r>
              <w:rPr>
                <w:rFonts w:ascii="仿宋_GB2312" w:hAnsi="仿宋_GB2312" w:cs="仿宋_GB2312" w:eastAsia="仿宋_GB2312"/>
                <w:sz w:val="21"/>
                <w:color w:val="000000"/>
              </w:rPr>
              <w:t>应</w:t>
            </w:r>
            <w:r>
              <w:rPr>
                <w:rFonts w:ascii="仿宋_GB2312" w:hAnsi="仿宋_GB2312" w:cs="仿宋_GB2312" w:eastAsia="仿宋_GB2312"/>
                <w:sz w:val="21"/>
                <w:color w:val="000000"/>
              </w:rPr>
              <w:t>为本项目提供不少于5人的</w:t>
            </w:r>
            <w:r>
              <w:rPr>
                <w:rFonts w:ascii="仿宋_GB2312" w:hAnsi="仿宋_GB2312" w:cs="仿宋_GB2312" w:eastAsia="仿宋_GB2312"/>
                <w:sz w:val="21"/>
                <w:color w:val="000000"/>
              </w:rPr>
              <w:t>专业</w:t>
            </w:r>
            <w:r>
              <w:rPr>
                <w:rFonts w:ascii="仿宋_GB2312" w:hAnsi="仿宋_GB2312" w:cs="仿宋_GB2312" w:eastAsia="仿宋_GB2312"/>
                <w:sz w:val="21"/>
                <w:color w:val="000000"/>
              </w:rPr>
              <w:t>服务团队</w:t>
            </w:r>
            <w:r>
              <w:rPr>
                <w:rFonts w:ascii="仿宋_GB2312" w:hAnsi="仿宋_GB2312" w:cs="仿宋_GB2312" w:eastAsia="仿宋_GB2312"/>
                <w:sz w:val="21"/>
                <w:color w:val="000000"/>
              </w:rPr>
              <w:t>并</w:t>
            </w:r>
            <w:r>
              <w:rPr>
                <w:rFonts w:ascii="仿宋_GB2312" w:hAnsi="仿宋_GB2312" w:cs="仿宋_GB2312" w:eastAsia="仿宋_GB2312"/>
                <w:sz w:val="21"/>
                <w:color w:val="000000"/>
              </w:rPr>
              <w:t>设置1名主要负责人负责项目对接</w:t>
            </w:r>
            <w:r>
              <w:rPr>
                <w:rFonts w:ascii="仿宋_GB2312" w:hAnsi="仿宋_GB2312" w:cs="仿宋_GB2312" w:eastAsia="仿宋_GB2312"/>
                <w:sz w:val="21"/>
                <w:color w:val="000000"/>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sz w:val="21"/>
              </w:rPr>
              <w:t>1、供应商及其工作人员应对采购人提供及因履行合同知悉的任何与采购项目及采购人有关的非公开材料、信息进行保密，除用于本合同约定目的外，不得用于任何其他目的，也不得以任何形式向第三方披露、泄露或公开采购人提供的非公开信息。否则，供应商应承担全部法律责任，包括但不限于对因此给采购人造成的损失予以赔偿。本款约定在采购合同终止后依然有效。</w:t>
            </w:r>
          </w:p>
          <w:p>
            <w:pPr>
              <w:pStyle w:val="null3"/>
              <w:jc w:val="left"/>
            </w:pPr>
            <w:r>
              <w:rPr>
                <w:rFonts w:ascii="仿宋_GB2312" w:hAnsi="仿宋_GB2312" w:cs="仿宋_GB2312" w:eastAsia="仿宋_GB2312"/>
                <w:sz w:val="21"/>
              </w:rPr>
              <w:t>2、供应商提供的所有服务工作和内容需符合国家强制标准和要求；供应商应当遵守当地有关消防和生产操作和劳动保护等方面的规定。在履行本合同过程中，供应商工作人员发生人身财产损害事故，由供应商自行负责，与采购人无关，供应商应妥善处理、解决。</w:t>
            </w:r>
          </w:p>
          <w:p>
            <w:pPr>
              <w:pStyle w:val="null3"/>
              <w:jc w:val="left"/>
            </w:pPr>
            <w:r>
              <w:rPr>
                <w:rFonts w:ascii="仿宋_GB2312" w:hAnsi="仿宋_GB2312" w:cs="仿宋_GB2312" w:eastAsia="仿宋_GB2312"/>
                <w:sz w:val="21"/>
              </w:rPr>
              <w:t>3、供应商负责采购合同项下活动范围内的安全措施，充分预警并解决各项安全隐患，确保本项目活动安全，并在规范的程序中合理使用活动物料。如因安全措施不到位或未合理使用活动物料或未能有效识别处理风险等导致发生安全事故的，供应商应承担全部责任。对供应商及任何第三人造成人身、财产等损失的，由供应商独自承担全部法律责任。由此给采购人造成损失的，应当承担赔偿责任。</w:t>
            </w:r>
          </w:p>
          <w:p>
            <w:pPr>
              <w:pStyle w:val="null3"/>
              <w:jc w:val="left"/>
            </w:pPr>
            <w:r>
              <w:rPr>
                <w:rFonts w:ascii="仿宋_GB2312" w:hAnsi="仿宋_GB2312" w:cs="仿宋_GB2312" w:eastAsia="仿宋_GB2312"/>
                <w:sz w:val="21"/>
              </w:rPr>
              <w:t>4、供应商应保证依法合规开展活动宣传工作。采购人有权根据相关规定严格审核供应商所提供的宣传方案、影像采集、宣传稿件等材料的合法合规性。若供应商所提供活动宣传内容涉及违法违规的，由此引发的一切责任及后果由供应商自行承担，采购人有权要求供应商承担由此给采购人造成的损失。</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评审要求</w:t>
            </w:r>
          </w:p>
        </w:tc>
        <w:tc>
          <w:tcPr>
            <w:tcW w:type="dxa" w:w="5814"/>
          </w:tcPr>
          <w:p>
            <w:pPr>
              <w:pStyle w:val="null3"/>
              <w:ind w:firstLine="612"/>
              <w:jc w:val="both"/>
            </w:pPr>
            <w:r>
              <w:rPr>
                <w:rFonts w:ascii="仿宋_GB2312" w:hAnsi="仿宋_GB2312" w:cs="仿宋_GB2312" w:eastAsia="仿宋_GB2312"/>
                <w:sz w:val="21"/>
              </w:rPr>
              <w:t>（1）供应商根据本项目的采购需求制定项目服务方案；</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2）供应商提供2022年1月1日（含1日）至提交首次响应文件截止日的类似项目业绩；</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合同签订生效之日起预计至2026年12月底，执行至所有服务内容完成并通过采购人验收合格，具体完成时间以采购人确定为准。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上海、长沙、杭州、沈阳、广州等地（暂定，实际以采购人要求为准）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（1）主体：采购人； （2）时间：项目全部执行完毕，成交供应商提出验收申请之日起 ，达到验收条件起 15 日内，验收合同总金额的 100%； （3）方式：自行验收； （4）程序：一次性验收； （5）技术履约验收内容：按照本项目磋商文件中“技术、服务要求”及成交供应商响应文件及承诺、采购合同约定进行验收； （6）商务履约验收内容：按照本项目磋商文件中“商务要求”及成交供应商响应文件及承诺、采购合同约定进行验收； （7）履约验收标准：严格按照《财政部关于进一步加强政府采购需求和履约验收管理的指导意见》（财库〔2016〕205号）等政府采购相关法律法规的要求进行验收； （8）履约验收其他事项：未尽事宜按《财政部关于进一步加强政府采购需求和履约验收管理的指导意见》（财库〔2016〕205号）、《政府采购需求管理办法》（财库〔2021〕22号）的要求及国家行业主管部门规定的标准、方法和内容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1、预付款，合同生效且采购人收到成交人出具的合法有效等额的增值税发票后，达到付款条件起10日内，支付合同总金额的70.00%</w:t>
            </w:r>
          </w:p>
          <w:p>
            <w:pPr>
              <w:pStyle w:val="null3"/>
              <w:jc w:val="left"/>
            </w:pPr>
            <w:r>
              <w:rPr>
                <w:rFonts w:ascii="仿宋_GB2312" w:hAnsi="仿宋_GB2312" w:cs="仿宋_GB2312" w:eastAsia="仿宋_GB2312"/>
              </w:rPr>
              <w:t>2、尾款，所有履约内容完成并经采购人履约验收合格，且收到成交人出具的合法有效等额的增值税发票后，达到付款条件起10日内，支付合同总金额的30.00%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1、双方必须遵守采购合同并执行合同中的各项规定，保证采购合同的正常履行。 2、如因供应商工作人员在履行合同过程中的疏忽、失职、过错等故意或者过失原因给采购人造成损失或侵害，包括但不限于采购人本身的财产损失、由此而导致的采购人对任何第三方的法律责任等，供应商对此均应承担全部的赔偿责任。 3、如供应商提供服务不符合合同约定或采购人要求的，采购人有权要求供应商在合理的期限内整改。如供应商拒绝整改或经整改2次仍不符合要求的，采购人有权解除合同，并要求供应商退还已支付但尚未执行的费用、支付采购合同总金额10%的违约金，同时供应商应赔偿因此给采购人造成的损失。 4、如供应商未在采购合同约定或采购人要求的时间内完成约定服务内容，每逾期一日，供应商应向采购人支付合同总金额1‰的违约金；累计逾期达30日以上或者采购人认为再履行已不必要的，采购人有权单方解除采购合同，有权要求供应商退还已收取的费用并向采购人支付采购合同总金额10%的违约金，同时供应商应赔偿因此给采购人造成的损失。 5、采购合同所称采购人损失包括直接损失、预期利益损失以及采购人为主张权利支出的律师费、保全费、公证费、保险费、案件受理费等全部费用。 （二）争议解决 1、在执行采购合同中发生的或与采购合同有关的争端，双方应通过友好协商解决，经协商不能达成协议时，双方均有权向采购人所在地有管辖权的人民法院提起诉讼。 2、在诉讼期间，除正在进行诉讼部分外，合同其他部分继续执行。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采购文件的说明：【说明1：因系统固化原因，供应商在填写《中小企业声明函》时，“标的名称”及“所属行业”以3.1采购内容为准。】【说明2：因系统固化原因，磋商文件第二章2.4.6中第一项不适用于本项目，不作为评审依据】 【说明3：因系统固化原因，采购文件第二章“提交响应文件的截止之日起不少于 90 天。响应文件未明确响应有效期或者少于前述规定天数的，其响应文件按无效处理。”不适用于本项目，不作为评审依据。评审依据以此为准：“提交响应文件的截止之日起不少于 90 天。”】 【说明4：评分标准中所涉及的响应内容，供应商编制于对应的“关联格式”中。若编制响应文件过程中，涉及提供证明材料或单独提供承诺函等，供应商将前述材料编制于第六章响应文件格式-《其他资料》中】。【说明5：报价要求中“注：本采购包涉及采购货物的，供应商响应产品应当明确品牌和规格型号并指向唯一产品，不能指向唯一产品的，应通过报价表唯一产品说明栏补充说明。”不适用于本项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 xml:space="preserve"> 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 xml:space="preserve"> 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投标（响应）函.docx</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本项目为专门面向中小企业采购项目，服务全部由符合政策要求的中小企业承接（注：监狱企业、残疾人福利性单位均视同小微企业，符合中小企业划分标准的个体工商户视同小微企业）。</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供应商满足本项目所有实质性要求。</w:t>
            </w:r>
          </w:p>
        </w:tc>
        <w:tc>
          <w:tcPr>
            <w:tcW w:type="dxa" w:w="3322"/>
          </w:tcPr>
          <w:p>
            <w:pPr>
              <w:pStyle w:val="null3"/>
              <w:jc w:val="left"/>
            </w:pPr>
            <w:r>
              <w:rPr>
                <w:rFonts w:ascii="仿宋_GB2312" w:hAnsi="仿宋_GB2312" w:cs="仿宋_GB2312" w:eastAsia="仿宋_GB2312"/>
              </w:rPr>
              <w:t>供应商满足本项目所有实质性要求。</w:t>
            </w:r>
          </w:p>
        </w:tc>
        <w:tc>
          <w:tcPr>
            <w:tcW w:type="dxa" w:w="1661"/>
          </w:tcPr>
          <w:p>
            <w:pPr>
              <w:pStyle w:val="null3"/>
              <w:jc w:val="left"/>
            </w:pPr>
            <w:r>
              <w:rPr>
                <w:rFonts w:ascii="仿宋_GB2312" w:hAnsi="仿宋_GB2312" w:cs="仿宋_GB2312" w:eastAsia="仿宋_GB2312"/>
              </w:rPr>
              <w:t>服务内容要求、商务要求应答表.docx,其他资料.docx,报价表,投标（响应）函.docx,技术要求应答表.docx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不属于采购文件规定的无效情形。</w:t>
            </w:r>
          </w:p>
        </w:tc>
        <w:tc>
          <w:tcPr>
            <w:tcW w:type="dxa" w:w="3322"/>
          </w:tcPr>
          <w:p>
            <w:pPr>
              <w:pStyle w:val="null3"/>
              <w:jc w:val="left"/>
            </w:pPr>
            <w:r>
              <w:rPr>
                <w:rFonts w:ascii="仿宋_GB2312" w:hAnsi="仿宋_GB2312" w:cs="仿宋_GB2312" w:eastAsia="仿宋_GB2312"/>
              </w:rPr>
              <w:t>不属于采购文件规定的无效情形。</w:t>
            </w:r>
          </w:p>
        </w:tc>
        <w:tc>
          <w:tcPr>
            <w:tcW w:type="dxa" w:w="1661"/>
          </w:tcPr>
          <w:p>
            <w:pPr>
              <w:pStyle w:val="null3"/>
              <w:jc w:val="left"/>
            </w:pPr>
            <w:r>
              <w:rPr>
                <w:rFonts w:ascii="仿宋_GB2312" w:hAnsi="仿宋_GB2312" w:cs="仿宋_GB2312" w:eastAsia="仿宋_GB2312"/>
              </w:rPr>
              <w:t>服务内容要求、商务要求应答表.docx,其他资料.docx,报价表,投标（响应）函.docx,技术要求应答表.docx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服务团队能力、服务方案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详细评审88.00分</w:t>
            </w:r>
          </w:p>
          <w:p>
            <w:pPr>
              <w:pStyle w:val="null3"/>
              <w:jc w:val="left"/>
            </w:pPr>
            <w:r>
              <w:rPr>
                <w:rFonts w:ascii="仿宋_GB2312" w:hAnsi="仿宋_GB2312" w:cs="仿宋_GB2312" w:eastAsia="仿宋_GB2312"/>
              </w:rPr>
              <w:t>报价得分12.00分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根据供应商提供的服务方案进行评审，包括： (1)活动总体策划方案（至少包含总体策划思路、活动主题分析、时间安排及流程规划）； (2)总体设计方案（至少包括活动物料设计和宣传物料设计）； (3)活动宣传和人员分工方案； (4)保障服务（至少包含安全事故防范和应急处理预案）； (5)后续资料整理及活动总结方案。 上述5项内容齐全且无缺陷（缺陷是指：内容涉及的规范或标准错误、套用其他项目内容、内容与本项目无关、内容不利于项目实施的任意一种情形）得30分，每缺少一项内容扣6分，扣完为止；单项内容每存在一处缺陷扣3分，单项内容分扣完为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根据供应商2022年1月1日（含1日）至提交首次响应文件截止日的类似业绩（类似业绩是指：与本项目需求类似的会务执行或活动执行或策划设计执行等相关项目）进行评审，每提供1个业绩得5分，不提供不得分，最多得20分。 注：提供合同或中标（成交）通知书扫描件并加盖供应商电子签章。</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vMerge/>
          </w:tcPr>
          <w:p/>
        </w:tc>
        <w:tc>
          <w:tcPr>
            <w:tcW w:type="dxa" w:w="1661"/>
          </w:tcPr>
          <w:p>
            <w:pPr>
              <w:pStyle w:val="null3"/>
              <w:jc w:val="left"/>
            </w:pPr>
            <w:r>
              <w:rPr>
                <w:rFonts w:ascii="仿宋_GB2312" w:hAnsi="仿宋_GB2312" w:cs="仿宋_GB2312" w:eastAsia="仿宋_GB2312"/>
              </w:rPr>
              <w:t>服务团队能力</w:t>
            </w:r>
          </w:p>
        </w:tc>
        <w:tc>
          <w:tcPr>
            <w:tcW w:type="dxa" w:w="2575"/>
          </w:tcPr>
          <w:p>
            <w:pPr>
              <w:pStyle w:val="null3"/>
              <w:jc w:val="left"/>
            </w:pPr>
            <w:r>
              <w:rPr>
                <w:rFonts w:ascii="仿宋_GB2312" w:hAnsi="仿宋_GB2312" w:cs="仿宋_GB2312" w:eastAsia="仿宋_GB2312"/>
              </w:rPr>
              <w:t>（1）供应商拟投入本项目的团队人员：每有1人具有“本项目类似专业的本科及以上学历证书”或“本项目类似专业职称资格证书”（与本项目类似专业是指：广告创意类或新闻类或活动策划类或会议会展类或传媒类或编导类或艺术设计类专业），得5分，最多得25分。 注：提供相关学历证书或职称资格证书扫描件并加盖供应商电子签章。同一人员不重复计分。 （2）供应商拟投入本项目的团队成员中，每有1名成员具有活动策划执行经验的，得2.6分，本项最多得13分。 注：提供承诺函，格式自拟。</w:t>
            </w:r>
          </w:p>
        </w:tc>
        <w:tc>
          <w:tcPr>
            <w:tcW w:type="dxa" w:w="831"/>
          </w:tcPr>
          <w:p>
            <w:pPr>
              <w:pStyle w:val="null3"/>
              <w:jc w:val="center"/>
            </w:pPr>
            <w:r>
              <w:rPr>
                <w:rFonts w:ascii="仿宋_GB2312" w:hAnsi="仿宋_GB2312" w:cs="仿宋_GB2312" w:eastAsia="仿宋_GB2312"/>
              </w:rPr>
              <w:t>38.0000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其他资料.docx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（1）满足磋商文件要求且最后报价最低的供应商的价格为磋商基准价，其价格分为满分。其他供应商的价格分统一按照下列公式计算： （2）磋商报价得分=（磋商基准价/最后磋商报价）×12</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详见附件：投标（响应）函.docx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详见附件：服务内容要求、商务要求应答表.docx</w:t>
      </w:r>
    </w:p>
    <w:p>
      <w:pPr>
        <w:pStyle w:val="null3"/>
        <w:ind w:firstLine="960"/>
        <w:jc w:val="left"/>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