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版本号：N511501202500043420260511001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自动驾驶虚拟仿真基地建设项目(三次)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N5115012025000434</w:t>
      </w:r>
    </w:p>
    <w:p>
      <w:pPr>
        <w:pStyle w:val="null3"/>
        <w:jc w:val="left"/>
        <w:outlineLvl w:val="2"/>
      </w:pPr>
      <w:r>
        <w:rPr>
          <w:rFonts w:ascii="仿宋_GB2312" w:hAnsi="仿宋_GB2312" w:cs="仿宋_GB2312" w:eastAsia="仿宋_GB2312"/>
          <w:sz w:val="28"/>
          <w:b/>
        </w:rPr>
        <w:t>宜宾职业技术学院</w:t>
      </w:r>
    </w:p>
    <w:p>
      <w:pPr>
        <w:pStyle w:val="null3"/>
        <w:jc w:val="center"/>
        <w:outlineLvl w:val="2"/>
      </w:pPr>
      <w:r>
        <w:rPr>
          <w:rFonts w:ascii="仿宋_GB2312" w:hAnsi="仿宋_GB2312" w:cs="仿宋_GB2312" w:eastAsia="仿宋_GB2312"/>
          <w:sz w:val="28"/>
          <w:b/>
        </w:rPr>
        <w:t>宜宾市政府采购中心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宜宾市政府采购中心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宜宾职业技术学院</w:t>
      </w:r>
      <w:r>
        <w:rPr>
          <w:rFonts w:ascii="仿宋_GB2312" w:hAnsi="仿宋_GB2312" w:cs="仿宋_GB2312" w:eastAsia="仿宋_GB2312"/>
        </w:rPr>
        <w:t xml:space="preserve"> 委托，拟对 </w:t>
      </w:r>
      <w:r>
        <w:rPr>
          <w:rFonts w:ascii="仿宋_GB2312" w:hAnsi="仿宋_GB2312" w:cs="仿宋_GB2312" w:eastAsia="仿宋_GB2312"/>
        </w:rPr>
        <w:t>自动驾驶虚拟仿真基地建设项目(三次)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宜宾市市本级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N5115012025000434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自动驾驶虚拟仿真基地建设项目(三次)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深入贯彻落实《支持新能源与智能网联汽车产业高质量发展若干政策措施》、推动宜宾市“4+4+4”工业布局发展，推进学院数字校园建设，积极探索面向新能源智能网联汽车产业上、中、下游的高水平专业群，培养“虚实结合、实践导向”的复合型、创新型技术技能人才。自动驾驶虚拟仿真实训基地主要承担智能网联汽车相关实验课程教学、教师科研创新、技能竞赛培训、1+X认证、社会培训等，提高学生技术技能水平和教师科研水平。</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宜宾职业技术学院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宜宾市南溪区裕华路300号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罗恒勇</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0831-8275269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宜宾市政府采购中心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宜宾市叙州区南岸金沙江大道市民中心四楼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何源</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08318088817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采购包1：3,540,000.00元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缴纳方式：银行转账，支票/汇票/本票，保函/保险</w:t>
              <w:br/>
              <w:t>缴纳说明：</w:t>
              <w:br/>
              <w:t>交款时间：中标通知书发放后，政府采购合同签订前。供应商未按照采购文件的规定交纳履约保证金，且又无正当理由的，将视为放弃中标。</w:t>
              <w:br/>
              <w:t>收款单位：宜宾职业技术学院</w:t>
              <w:br/>
              <w:t>开户行：宜宾翠屏农村商业银行股份有限公司营业部</w:t>
              <w:br/>
              <w:t>银行账号：88150120060101614</w:t>
              <w:br/>
              <w:t>注：1.提供保函的担保机构必须是依法成立的具有相关资质和偿付能力的担保机构。</w:t>
              <w:br/>
              <w:t>2.履约保证金退还时间及方式：中标人完成合同约定的所有内容并经采购人验收合格后10日内，由采购人一次性无息退还至中标人。</w:t>
              <w:br/>
              <w:t>3.履约保证金不予退还情形：①中标人不履行与采购人订立的合同的，履约保证金不予退还，给采购人造成的损失超过履约保证金数额的，还应当对超过部分予以赔偿。②项目验收结果不合格的，履约保证金将不予退还。③其他违反国家相关法律法规的情形。</w:t>
              <w:br/>
              <w:t>4.履约保证金不予退还的，将按照有关规定上缴国库。逾期退还履约保证金的，将依法承担法律责任，并赔偿中标人损失。</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宜宾职业技术学院</w:t>
      </w:r>
      <w:r>
        <w:rPr>
          <w:rFonts w:ascii="仿宋_GB2312" w:hAnsi="仿宋_GB2312" w:cs="仿宋_GB2312" w:eastAsia="仿宋_GB2312"/>
        </w:rPr>
        <w:t xml:space="preserve"> 和 </w:t>
      </w:r>
      <w:r>
        <w:rPr>
          <w:rFonts w:ascii="仿宋_GB2312" w:hAnsi="仿宋_GB2312" w:cs="仿宋_GB2312" w:eastAsia="仿宋_GB2312"/>
        </w:rPr>
        <w:t>宜宾市政府采购中心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宜宾职业技术学院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宜宾市政府采购中心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中标人完成履约且提出验收申请后，</w:t>
      </w:r>
      <w:r>
        <w:rPr>
          <w:rFonts w:ascii="仿宋_GB2312" w:hAnsi="仿宋_GB2312" w:cs="仿宋_GB2312" w:eastAsia="仿宋_GB2312"/>
        </w:rPr>
        <w:t xml:space="preserve"> ，达到验收条件起 </w:t>
      </w:r>
      <w:r>
        <w:rPr>
          <w:rFonts w:ascii="仿宋_GB2312" w:hAnsi="仿宋_GB2312" w:cs="仿宋_GB2312" w:eastAsia="仿宋_GB2312"/>
        </w:rPr>
        <w:t>20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 号)及采购文件相关规定组织验收。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包括采购内容、具体技术参数指标(技术服务要求)、商务条件、售后服务等涉及本项目建设质量的所有内容。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时如发现所提交的产品设备不符合标准及合同规定之情形者，采购人应做出详尽的现场记录，或由采购双方签署备忘录，此现场记录或备忘录可用作补充、缺失和整改的有效证据，由此产生的时间延误与有关费用由中标人承担，验收期限相应顺延； 2.如验收合格，双方签署验收报告； 3.项目验收结果合格的，中标人凭《验收报告》办理相关手续；验收不合格且拒不整改的，将不予支付采购资金，还可能上报本项目同级财政部门按照政府采购法律法规等有关规定给予行政处罚。</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包括每一项技术和商务要求的履约情况)、中标人的投标文件及承诺与本合同约定标准进行验收；采购双方如对质量要求和技术指标的约定标准有相互抵触或异议的事项，由采购人在国家有关规定、采购文件、投标文件及承诺与采购合同约定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 号)及采购文件相关规定组织验收。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宜宾职业技术学院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宜宾市政府采购中心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宜宾市政府采购中心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联系人：罗老师</w:t>
      </w:r>
    </w:p>
    <w:p>
      <w:pPr>
        <w:pStyle w:val="null3"/>
        <w:jc w:val="left"/>
      </w:pPr>
      <w:r>
        <w:rPr>
          <w:rFonts w:ascii="仿宋_GB2312" w:hAnsi="仿宋_GB2312" w:cs="仿宋_GB2312" w:eastAsia="仿宋_GB2312"/>
        </w:rPr>
        <w:t>联系电话：08318275269</w:t>
      </w:r>
    </w:p>
    <w:p>
      <w:pPr>
        <w:pStyle w:val="null3"/>
        <w:jc w:val="left"/>
      </w:pPr>
      <w:r>
        <w:rPr>
          <w:rFonts w:ascii="仿宋_GB2312" w:hAnsi="仿宋_GB2312" w:cs="仿宋_GB2312" w:eastAsia="仿宋_GB2312"/>
        </w:rPr>
        <w:t>地址：宜宾市南溪区裕华路300号</w:t>
      </w:r>
    </w:p>
    <w:p>
      <w:pPr>
        <w:pStyle w:val="null3"/>
        <w:jc w:val="left"/>
      </w:pPr>
      <w:r>
        <w:rPr>
          <w:rFonts w:ascii="仿宋_GB2312" w:hAnsi="仿宋_GB2312" w:cs="仿宋_GB2312" w:eastAsia="仿宋_GB2312"/>
        </w:rPr>
        <w:t>邮编：644000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联系人：梁女士</w:t>
      </w:r>
    </w:p>
    <w:p>
      <w:pPr>
        <w:pStyle w:val="null3"/>
        <w:jc w:val="left"/>
      </w:pPr>
      <w:r>
        <w:rPr>
          <w:rFonts w:ascii="仿宋_GB2312" w:hAnsi="仿宋_GB2312" w:cs="仿宋_GB2312" w:eastAsia="仿宋_GB2312"/>
        </w:rPr>
        <w:t>联系电话：08308088830</w:t>
      </w:r>
    </w:p>
    <w:p>
      <w:pPr>
        <w:pStyle w:val="null3"/>
        <w:jc w:val="left"/>
      </w:pPr>
      <w:r>
        <w:rPr>
          <w:rFonts w:ascii="仿宋_GB2312" w:hAnsi="仿宋_GB2312" w:cs="仿宋_GB2312" w:eastAsia="仿宋_GB2312"/>
        </w:rPr>
        <w:t>地址：宜宾市叙州区南岸金沙江大道市民中心四楼</w:t>
      </w:r>
    </w:p>
    <w:p>
      <w:pPr>
        <w:pStyle w:val="null3"/>
        <w:jc w:val="left"/>
      </w:pPr>
      <w:r>
        <w:rPr>
          <w:rFonts w:ascii="仿宋_GB2312" w:hAnsi="仿宋_GB2312" w:cs="仿宋_GB2312" w:eastAsia="仿宋_GB2312"/>
        </w:rPr>
        <w:t>邮编：644000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3,540,000.00</w:t>
      </w:r>
    </w:p>
    <w:p>
      <w:pPr>
        <w:pStyle w:val="null3"/>
        <w:jc w:val="left"/>
      </w:pPr>
      <w:r>
        <w:rPr>
          <w:rFonts w:ascii="仿宋_GB2312" w:hAnsi="仿宋_GB2312" w:cs="仿宋_GB2312" w:eastAsia="仿宋_GB2312"/>
        </w:rPr>
        <w:t>采购包最高限价（元）: 3,540,000.00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自动驾驶虚拟仿真基地建设项目（具体标的详见附件）</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3,540,000.00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自动驾驶虚拟仿真基地建设项目</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3,540,000.00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A02102100 教学仪器</w:t>
            </w:r>
          </w:p>
        </w:tc>
        <w:tc>
          <w:tcPr>
            <w:tcW w:type="dxa" w:w="2492"/>
          </w:tcPr>
          <w:p>
            <w:pPr>
              <w:pStyle w:val="null3"/>
              <w:jc w:val="left"/>
            </w:pPr>
            <w:r>
              <w:rPr>
                <w:rFonts w:ascii="仿宋_GB2312" w:hAnsi="仿宋_GB2312" w:cs="仿宋_GB2312" w:eastAsia="仿宋_GB2312"/>
              </w:rPr>
              <w:t>自动驾驶虚拟仿真基地建设项目</w:t>
            </w:r>
          </w:p>
        </w:tc>
        <w:tc>
          <w:tcPr>
            <w:tcW w:type="dxa" w:w="2492"/>
          </w:tcPr>
          <w:p>
            <w:pPr>
              <w:pStyle w:val="null3"/>
              <w:jc w:val="left"/>
            </w:pPr>
            <w:r>
              <w:rPr>
                <w:rFonts w:ascii="仿宋_GB2312" w:hAnsi="仿宋_GB2312" w:cs="仿宋_GB2312" w:eastAsia="仿宋_GB2312"/>
              </w:rPr>
              <w:t>见附件</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A02102100 教学仪器</w:t>
            </w:r>
          </w:p>
        </w:tc>
        <w:tc>
          <w:tcPr>
            <w:tcW w:type="dxa" w:w="2492"/>
          </w:tcPr>
          <w:p>
            <w:pPr>
              <w:pStyle w:val="null3"/>
              <w:jc w:val="left"/>
            </w:pPr>
            <w:r>
              <w:rPr>
                <w:rFonts w:ascii="仿宋_GB2312" w:hAnsi="仿宋_GB2312" w:cs="仿宋_GB2312" w:eastAsia="仿宋_GB2312"/>
              </w:rPr>
              <w:t>自动驾驶虚拟仿真基地建设项目</w:t>
            </w:r>
          </w:p>
        </w:tc>
        <w:tc>
          <w:tcPr>
            <w:tcW w:type="dxa" w:w="2492"/>
          </w:tcPr>
          <w:p>
            <w:pPr>
              <w:pStyle w:val="null3"/>
              <w:jc w:val="left"/>
            </w:pPr>
            <w:r>
              <w:rPr>
                <w:rFonts w:ascii="仿宋_GB2312" w:hAnsi="仿宋_GB2312" w:cs="仿宋_GB2312" w:eastAsia="仿宋_GB2312"/>
              </w:rPr>
              <w:t>见附件</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标的名称：自动驾驶虚拟仿真基地建设项目（具体标的详见附件）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详见附件</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总体质量要求</w:t>
            </w:r>
          </w:p>
        </w:tc>
        <w:tc>
          <w:tcPr>
            <w:tcW w:type="dxa" w:w="5814"/>
          </w:tcPr>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投标人须提供全新的货物(含零部件、配件、使用说明书等)，表面无划伤、无碰撞痕迹，且权属清楚，不得侵害他人的知识产权，不得以次充好，产品来源渠道必须合法，同时应根据国家有关规定、采购人的要求做好售后服务工作。</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货物制造质量出现问题，投标人应负责三包(包修、包换、包退)，费用由投标人负担。</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货到现场交付完成后由于采购人保管不当造成的质量问题，投标人亦应负责修理，但费用由采购人负担。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项目实施安全措施</w:t>
            </w:r>
          </w:p>
        </w:tc>
        <w:tc>
          <w:tcPr>
            <w:tcW w:type="dxa" w:w="5814"/>
          </w:tcPr>
          <w:p>
            <w:pPr>
              <w:pStyle w:val="null3"/>
              <w:jc w:val="left"/>
            </w:pPr>
            <w:r>
              <w:rPr>
                <w:rFonts w:ascii="仿宋_GB2312" w:hAnsi="仿宋_GB2312" w:cs="仿宋_GB2312" w:eastAsia="仿宋_GB2312"/>
                <w:sz w:val="21"/>
              </w:rPr>
              <w:t>投标人按有关规定采取严格的项目实施安全措施，承担由于自身安全措施不力造成的事故责任和因此发生的费用及后果。投标人投入本项目工作人员的人身安全由投标人负责。投标人应为本项目工作人员购买人身意外伤害险及与项目实施有关的一切保险。凡在项目实施过程中发生安全责任事故或其他责任事故，均由投标人承担全部民事和刑事责任，采购人概不负责。如因项目质量问题及维修不及时造成的人身伤害投标人应依法承担全部责任。投标人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自合同签订之日起60个日历天内完成所有设备运输、安装、调试并交付采购人使用。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宜宾职业技术学院,具体以采购人指定地点为准。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1、采购合同签订生效后，中标人向采购人开具等额合规发票后，达到付款条件起14日内，支付合同总金额的40.00%</w:t>
            </w:r>
          </w:p>
          <w:p>
            <w:pPr>
              <w:pStyle w:val="null3"/>
              <w:jc w:val="left"/>
            </w:pPr>
            <w:r>
              <w:rPr>
                <w:rFonts w:ascii="仿宋_GB2312" w:hAnsi="仿宋_GB2312" w:cs="仿宋_GB2312" w:eastAsia="仿宋_GB2312"/>
              </w:rPr>
              <w:t>2、项目验收合格后，中标人向采购人开具等额合规发票后，达到付款条件起14日内，支付合同总金额的60.00%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(1)验收组织方式：自行验收 (2)是否邀请本项目的其他供应商：否 (3)是否邀请专家：否 (4)是否邀请服务对象：否 (5)是否邀请第三方检测机构：否 (6)履约验收程序：一次性验收 (7)履约验收时间： 中标人完成履约且提出验收申请后，达到验收条件起20日内，验收合同总金额的100.00%。 (8)验收组织的其他事项：其他未尽事宜应严格按照《财政部关于进一步加强政府采购需求和履约验收管理的指导意见》(财库〔2016〕205号)《政府采购需求管理办法》(财库〔2021〕22 号)及采购文件相关规定组织验收。 (9)技术履约验收内容：包括采购内容、具体技术参数指标(技术服务要求)、商务条件、售后服务等涉及本项目建设质量的所有内容。 (10)商务履约验收内容： 1.验收时如发现所提交的产品设备不符合标准及合同规定之情形者，采购人应做出详尽的现场记录，或由采购双方签署备忘录，此现场记录或备忘录可用作补充、缺失和整改的有效证据，由此产生的时间延误与有关费用由中标人承担，验收期限相应顺延； 2.如验收合格，双方签署验收报告； 3.项目验收结果合格的，中标人凭《验收报告》办理相关手续；验收不合格且拒不整改的，将不予支付采购资金，还可能上报本项目同级财政部门按照政府采购法律法规等有关规定给予行政处罚。 (11)履约验收标准：按国家有关规定以及采购文件的质量要求和技术指标(包括每一项技术和商务要求的履约情况)、中标人的投标文件及承诺与本合同约定标准进行验收；采购双方如对质量要求和技术指标的约定标准有相互抵触或异议的事项，由采购人在国家有关规定、采购文件、投标文件及承诺与采购合同约定中按质量要求和技术指标比较优胜的原则确定该项的约定标准进行验收。 (12)履约验收其他事项：其他未尽事宜应严格按照《财政部关于进一步加强政府采购需求和履约验收管理的指导意见》(财库〔2016〕205号)《政府采购需求管理办法》(财库〔2021〕22 号)及采购文件相关规定组织验收。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1.质保期：两年(质保期为验收合格之日起开始计算，若产品厂家质保期超过两年则按照产品厂家质保期进行质保)。 2.投标人应有完善的技术支持与服务体系，专人负责与采购人联系售后服务事宜，必要的售后机具配置、具有专门固定的售后服务电话，并能提供本地化服务。 3.质保期内质量出现问题时，投标人负责“三包”，投标人在接到通知后2小时内电话沟通解决问题。如电话沟通后无法解决的，24小时内安排专业技术人员到达维修现场进行维修，48小时内完成维修或更换，并承担修理调换的费用；维修所采用的零部件质量必须符合相关技术标准。如货物经投标人贰次维修仍不能达到本合同约定的质量标准，投标人更换同品牌、同型号新设备，并对产品实行“三包”服务，质保期从设备更换后验收合格签字之日重新计算，且采购人可视作投标人未能按时交货，采购人有权退货并追究投标人的违约责任。在质保期外，投标人提供设备更换、维修只收取成本费用，不收取人工技术和上门费用。在设备的设计使用寿命期内，投标人保证使用方便，且更换到原厂正宗的零部件，确保设备的正常使用。</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(一)采购人违约责任 1.采购人逾期支付货款的，除应及时付足货款外，应向中标人偿付欠款总额万分之五/天的违约金；逾期付款超过30天的，中标人有权终止合同； 2.采购人偿付的违约金不足以弥补中标人损失的，还应按中标人经济损失尚未弥补的部分，支付赔偿金给中标人。 (二)中标人违约责任 1.中标人必须遵守采购合同并执行合同中的各项规定，保证采购合同的正常履行。 2.如因中标人工作人员在履行职务过程中的疏忽、失职、过错等故意或者过失原因给采购人造成损失或侵害，包括但不限于采购人本身的财产损失、律师费、诉讼费、公证费、保全费、保全保险费、鉴定费等以及由此而导致的采购人对任何第三方的法律责任等，中标人对此均应承担全部的赔偿责任。 3.中标人交付的货物质量不符合合同规定的，须在合同规定的交货时间内更换合格的货物给采购人，若中标人拒绝更换或经2次更换仍不能达到本合同约定的质量标准，采购人有权解除合同并要求中标人退还已付货款。并视作中标人不能交付货物而违约，按本条款下述第“4”项规定由中标人承担违约责任。 4.中标人不能交付货物或逾期交付货物而违约的，除应及时交足货物外，应向采购人偿付逾期交货部分货款总额的万分之五/天的违约金；逾期交货超过15天，采购人有权终止合同，中标人则应按合同总价的百分之十的款额向采购人偿付违约金，并须全额退还采购人已经付给中标人的货款及支付利息。 5.中标人货物经采购人送交具有法定资格条件的质量技术监督机构检测后，如检测结果认定货物质量不符合本合同规定标准的，则视为中标人没有按时交货而违约，中标人须在15天内无条件更换合格的货物，如逾期不能更换合格的货物，采购人有权终止本合同，按本条款上述第“4”项规定由中标人承担违约责任。 6.中标人保证本合同货物的权利无瑕疵，包括货物所有权及知识产权等权利无瑕疵。如任何第三方经法院(或仲裁机构)裁决有权对上述货物主张权利或国家机关依法对货物进行没收查封的，中标人除应向采购人返还已收款项外，还应另按合同总价的百分之十向采购人支付违约金并赔偿因此给采购人造成的一切损失。 7.中标人应当遵守采购人的相关项目需求及相关技术要求及实质性条款，实施完成采购合同应当完全满足相关项目需求及相关技术要求及实质性条款，若中标人瑕疵履行采购合同，采购人有权向中标人要求赔偿合同总价款20%的违约金，若造成相关损失且违约金不足以弥补采购人损失的，采购人有权要求中标人承担所有赔偿责任。 (三)解决争议的方法 1.因货物的质量问题发生争议，由采购人所在地质量技术监督部门或其指定的质量鉴定机构进行质量鉴定。货物符合标准的，鉴定费由采购人承担；货物不符合质量标准的，鉴定费由中标人承担。 2.合同履行期间,若双方发生争议，可协商或由有关部门调解解决，协商或调解不成的，向宜宾仲裁委员会申请仲裁解决。</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一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需要投标人进行响应的实质性要求</w:t>
            </w:r>
          </w:p>
        </w:tc>
        <w:tc>
          <w:tcPr>
            <w:tcW w:type="dxa" w:w="3322"/>
          </w:tcPr>
          <w:p>
            <w:pPr>
              <w:pStyle w:val="null3"/>
              <w:jc w:val="left"/>
            </w:pPr>
            <w:r>
              <w:rPr>
                <w:rFonts w:ascii="仿宋_GB2312" w:hAnsi="仿宋_GB2312" w:cs="仿宋_GB2312" w:eastAsia="仿宋_GB2312"/>
              </w:rPr>
              <w:t>根据采购文件要求进行实质性响应</w:t>
            </w:r>
          </w:p>
        </w:tc>
        <w:tc>
          <w:tcPr>
            <w:tcW w:type="dxa" w:w="1661"/>
          </w:tcPr>
          <w:p>
            <w:pPr>
              <w:pStyle w:val="null3"/>
              <w:jc w:val="left"/>
            </w:pPr>
            <w:r>
              <w:rPr>
                <w:rFonts w:ascii="仿宋_GB2312" w:hAnsi="仿宋_GB2312" w:cs="仿宋_GB2312" w:eastAsia="仿宋_GB2312"/>
              </w:rPr>
              <w:t>投标人应提交的相关证明材料,产品技术参数响应表,报价明细表,服务应答表,报价表,投标（响应）函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技术指标及配置</w:t>
            </w:r>
          </w:p>
        </w:tc>
        <w:tc>
          <w:tcPr>
            <w:tcW w:type="dxa" w:w="2575"/>
          </w:tcPr>
          <w:p>
            <w:pPr>
              <w:pStyle w:val="null3"/>
              <w:jc w:val="left"/>
            </w:pPr>
            <w:r>
              <w:rPr>
                <w:rFonts w:ascii="仿宋_GB2312" w:hAnsi="仿宋_GB2312" w:cs="仿宋_GB2312" w:eastAsia="仿宋_GB2312"/>
              </w:rPr>
              <w:t>投标产品完全响应招标文件第三章“技术参数要求”的得59分。每有一项重要指标(带“▲”号的参数，共18项，含子项)有负偏离的，扣1.9分，最多扣34.2分；每有一项一般指标(带“●”号的参数，共124项，含子项)有负偏离的，扣0.2分，最多扣24.8分。 注：(1)投标人应按招标文件要求提供证明材料；针对所有证明材料加盖投标人公章；如果投标产品中的某条技术参数没有按照招标文件要求提供证明材料的，该条技术参数在评审中将不予认定。(2)招标文件中未明确提供证明材料的条款以《投标产品技术参数响应表》响应为准。</w:t>
            </w:r>
          </w:p>
        </w:tc>
        <w:tc>
          <w:tcPr>
            <w:tcW w:type="dxa" w:w="831"/>
          </w:tcPr>
          <w:p>
            <w:pPr>
              <w:pStyle w:val="null3"/>
              <w:jc w:val="center"/>
            </w:pPr>
            <w:r>
              <w:rPr>
                <w:rFonts w:ascii="仿宋_GB2312" w:hAnsi="仿宋_GB2312" w:cs="仿宋_GB2312" w:eastAsia="仿宋_GB2312"/>
              </w:rPr>
              <w:t>59.0000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投标人自2021年1月1日(含)以来具有类似项目履约经验，每提供1个得5分，最多得10分。 注：提供项目合同复印件；时间以合同签订时间为准。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环境标志产品</w:t>
            </w:r>
          </w:p>
        </w:tc>
        <w:tc>
          <w:tcPr>
            <w:tcW w:type="dxa" w:w="2575"/>
          </w:tcPr>
          <w:p>
            <w:pPr>
              <w:pStyle w:val="null3"/>
              <w:jc w:val="left"/>
            </w:pPr>
            <w:r>
              <w:rPr>
                <w:rFonts w:ascii="仿宋_GB2312" w:hAnsi="仿宋_GB2312" w:cs="仿宋_GB2312" w:eastAsia="仿宋_GB2312"/>
              </w:rPr>
              <w:t>投标人提供的投标产品属于《环境标志产品政府采购品目清单》中的，提供由国家确定的认证机构出具的、处于有效期之内的环境标志产品认证证书的原件扫描件，或“全国认证认可信息公共服务平台”(http：//cx.cnca.cn)的认证信息截图，属于《环境标志产品政府采购品目清单》中的，每提供1个得0.5分，最多得1分。注：对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