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36DBD">
      <w:pPr>
        <w:tabs>
          <w:tab w:val="left" w:pos="1134"/>
          <w:tab w:val="left" w:pos="5481"/>
          <w:tab w:val="left" w:pos="5859"/>
        </w:tabs>
        <w:rPr>
          <w:rFonts w:hint="eastAsia" w:ascii="黑体" w:hAnsi="黑体" w:eastAsia="黑体"/>
          <w:color w:val="auto"/>
          <w:sz w:val="10"/>
          <w:szCs w:val="10"/>
          <w:highlight w:val="none"/>
          <w:lang w:val="en-US" w:eastAsia="zh-CN"/>
        </w:rPr>
      </w:pPr>
      <w:r>
        <w:rPr>
          <w:rFonts w:hint="eastAsia" w:ascii="黑体" w:hAnsi="黑体" w:eastAsia="黑体"/>
          <w:color w:val="auto"/>
          <w:sz w:val="10"/>
          <w:szCs w:val="10"/>
          <w:highlight w:val="none"/>
          <w:lang w:val="en-US" w:eastAsia="zh-CN"/>
        </w:rPr>
        <w:t xml:space="preserve"> </w:t>
      </w:r>
    </w:p>
    <w:p w14:paraId="2788D9C8">
      <w:pPr>
        <w:widowControl/>
        <w:kinsoku w:val="0"/>
        <w:autoSpaceDE w:val="0"/>
        <w:autoSpaceDN w:val="0"/>
        <w:adjustRightInd w:val="0"/>
        <w:snapToGrid w:val="0"/>
        <w:spacing w:line="240" w:lineRule="auto"/>
        <w:ind w:left="0"/>
        <w:jc w:val="center"/>
        <w:textAlignment w:val="baseline"/>
        <w:outlineLvl w:val="0"/>
        <w:rPr>
          <w:rFonts w:hint="eastAsia" w:ascii="宋体" w:hAnsi="宋体" w:eastAsia="宋体" w:cs="宋体"/>
          <w:snapToGrid w:val="0"/>
          <w:color w:val="auto"/>
          <w:spacing w:val="7"/>
          <w:kern w:val="0"/>
          <w:sz w:val="71"/>
          <w:szCs w:val="71"/>
          <w:highlight w:val="none"/>
          <w:lang w:val="en-US" w:eastAsia="zh-CN"/>
          <w14:textOutline w14:w="13075" w14:cap="sq" w14:cmpd="sng">
            <w14:solidFill>
              <w14:srgbClr w14:val="000000"/>
            </w14:solidFill>
            <w14:prstDash w14:val="solid"/>
            <w14:bevel/>
          </w14:textOutline>
        </w:rPr>
      </w:pPr>
      <w:r>
        <w:rPr>
          <w:rFonts w:hint="eastAsia" w:ascii="宋体" w:hAnsi="宋体" w:eastAsia="宋体" w:cs="宋体"/>
          <w:snapToGrid w:val="0"/>
          <w:color w:val="auto"/>
          <w:spacing w:val="7"/>
          <w:kern w:val="0"/>
          <w:sz w:val="71"/>
          <w:szCs w:val="71"/>
          <w:highlight w:val="none"/>
          <w:lang w:val="en-US" w:eastAsia="zh-CN"/>
          <w14:textOutline w14:w="13075" w14:cap="sq" w14:cmpd="sng">
            <w14:solidFill>
              <w14:srgbClr w14:val="000000"/>
            </w14:solidFill>
            <w14:prstDash w14:val="solid"/>
            <w14:bevel/>
          </w14:textOutline>
        </w:rPr>
        <w:t>提前下达2026年自治区农业生产发展资金（自治区救灾备荒种子储备项目）</w:t>
      </w:r>
    </w:p>
    <w:p w14:paraId="67FC61FA">
      <w:pPr>
        <w:spacing w:before="120" w:beforeLines="50" w:after="240" w:afterLines="100"/>
        <w:jc w:val="center"/>
        <w:rPr>
          <w:rFonts w:hint="eastAsia" w:ascii="宋体" w:hAnsi="宋体" w:eastAsia="宋体" w:cs="宋体"/>
          <w:b/>
          <w:color w:val="auto"/>
          <w:sz w:val="40"/>
          <w:szCs w:val="32"/>
          <w:highlight w:val="none"/>
          <w:lang w:eastAsia="zh-CN"/>
        </w:rPr>
      </w:pPr>
    </w:p>
    <w:p w14:paraId="50EFDE6A">
      <w:pPr>
        <w:spacing w:before="120" w:beforeLines="50" w:after="240" w:afterLines="100"/>
        <w:jc w:val="center"/>
        <w:rPr>
          <w:rFonts w:ascii="宋体" w:hAnsi="宋体" w:cs="宋体"/>
          <w:b/>
          <w:color w:val="auto"/>
          <w:sz w:val="32"/>
          <w:szCs w:val="32"/>
          <w:highlight w:val="none"/>
        </w:rPr>
      </w:pPr>
    </w:p>
    <w:p w14:paraId="6F7667F7">
      <w:pPr>
        <w:spacing w:before="120" w:beforeLines="50" w:after="240" w:afterLines="100"/>
        <w:jc w:val="center"/>
        <w:rPr>
          <w:rFonts w:hint="default"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项目编号：分2026-35</w:t>
      </w:r>
    </w:p>
    <w:p w14:paraId="214CCB2E">
      <w:pPr>
        <w:pStyle w:val="16"/>
        <w:rPr>
          <w:rFonts w:hint="default"/>
          <w:color w:val="auto"/>
          <w:highlight w:val="none"/>
          <w:lang w:val="en-US" w:eastAsia="zh-CN"/>
        </w:rPr>
      </w:pPr>
    </w:p>
    <w:p w14:paraId="0A78C517">
      <w:pPr>
        <w:adjustRightInd w:val="0"/>
        <w:snapToGrid w:val="0"/>
        <w:spacing w:line="400" w:lineRule="exact"/>
        <w:jc w:val="center"/>
        <w:rPr>
          <w:rFonts w:ascii="宋体" w:hAnsi="宋体" w:cs="宋体"/>
          <w:color w:val="auto"/>
          <w:highlight w:val="none"/>
        </w:rPr>
      </w:pPr>
    </w:p>
    <w:p w14:paraId="7D8AB79F">
      <w:pPr>
        <w:pStyle w:val="33"/>
        <w:ind w:firstLine="1126"/>
        <w:rPr>
          <w:rFonts w:ascii="宋体" w:hAnsi="宋体" w:eastAsia="宋体" w:cs="宋体"/>
          <w:color w:val="auto"/>
          <w:highlight w:val="none"/>
        </w:rPr>
      </w:pPr>
    </w:p>
    <w:p w14:paraId="1854EBBB">
      <w:pPr>
        <w:pStyle w:val="33"/>
        <w:ind w:firstLine="1126"/>
        <w:rPr>
          <w:rFonts w:ascii="宋体" w:hAnsi="宋体" w:eastAsia="宋体" w:cs="宋体"/>
          <w:color w:val="auto"/>
          <w:highlight w:val="none"/>
        </w:rPr>
      </w:pPr>
    </w:p>
    <w:p w14:paraId="64AF7838">
      <w:pPr>
        <w:pStyle w:val="33"/>
        <w:ind w:firstLine="1126"/>
        <w:rPr>
          <w:rFonts w:ascii="宋体" w:hAnsi="宋体" w:eastAsia="宋体" w:cs="宋体"/>
          <w:color w:val="auto"/>
          <w:highlight w:val="none"/>
        </w:rPr>
      </w:pPr>
    </w:p>
    <w:p w14:paraId="603F43DC">
      <w:pPr>
        <w:adjustRightInd w:val="0"/>
        <w:snapToGrid w:val="0"/>
        <w:jc w:val="center"/>
        <w:rPr>
          <w:rFonts w:ascii="宋体" w:hAnsi="宋体" w:cs="宋体"/>
          <w:b/>
          <w:bCs/>
          <w:color w:val="auto"/>
          <w:sz w:val="96"/>
          <w:szCs w:val="36"/>
          <w:highlight w:val="none"/>
        </w:rPr>
      </w:pPr>
      <w:r>
        <w:rPr>
          <w:rFonts w:hint="eastAsia" w:ascii="宋体" w:hAnsi="宋体" w:cs="宋体"/>
          <w:b/>
          <w:bCs/>
          <w:color w:val="auto"/>
          <w:sz w:val="72"/>
          <w:szCs w:val="32"/>
          <w:highlight w:val="none"/>
        </w:rPr>
        <w:t>竞争性磋商文件</w:t>
      </w:r>
    </w:p>
    <w:p w14:paraId="292B8400">
      <w:pPr>
        <w:adjustRightInd w:val="0"/>
        <w:snapToGrid w:val="0"/>
        <w:spacing w:line="400" w:lineRule="exact"/>
        <w:jc w:val="center"/>
        <w:rPr>
          <w:rFonts w:ascii="宋体" w:hAnsi="宋体" w:cs="宋体"/>
          <w:b/>
          <w:bCs/>
          <w:color w:val="auto"/>
          <w:kern w:val="0"/>
          <w:sz w:val="28"/>
          <w:szCs w:val="28"/>
          <w:highlight w:val="none"/>
        </w:rPr>
      </w:pPr>
    </w:p>
    <w:p w14:paraId="29CB13D2">
      <w:pPr>
        <w:adjustRightInd w:val="0"/>
        <w:snapToGrid w:val="0"/>
        <w:spacing w:line="400" w:lineRule="exact"/>
        <w:jc w:val="center"/>
        <w:rPr>
          <w:rFonts w:ascii="宋体" w:hAnsi="宋体" w:cs="宋体"/>
          <w:color w:val="auto"/>
          <w:highlight w:val="none"/>
        </w:rPr>
      </w:pPr>
    </w:p>
    <w:p w14:paraId="67831695">
      <w:pPr>
        <w:adjustRightInd w:val="0"/>
        <w:snapToGrid w:val="0"/>
        <w:spacing w:line="400" w:lineRule="exact"/>
        <w:jc w:val="center"/>
        <w:rPr>
          <w:rFonts w:ascii="宋体" w:hAnsi="宋体" w:cs="宋体"/>
          <w:color w:val="auto"/>
          <w:highlight w:val="none"/>
        </w:rPr>
      </w:pPr>
    </w:p>
    <w:p w14:paraId="0DBD6DA2">
      <w:pPr>
        <w:adjustRightInd w:val="0"/>
        <w:snapToGrid w:val="0"/>
        <w:spacing w:line="400" w:lineRule="exact"/>
        <w:jc w:val="center"/>
        <w:rPr>
          <w:rFonts w:ascii="宋体" w:hAnsi="宋体" w:cs="宋体"/>
          <w:color w:val="auto"/>
          <w:highlight w:val="none"/>
        </w:rPr>
      </w:pPr>
    </w:p>
    <w:p w14:paraId="32CE9660">
      <w:pPr>
        <w:adjustRightInd w:val="0"/>
        <w:snapToGrid w:val="0"/>
        <w:spacing w:line="400" w:lineRule="exact"/>
        <w:rPr>
          <w:rFonts w:ascii="宋体" w:hAnsi="宋体" w:cs="宋体"/>
          <w:color w:val="auto"/>
          <w:highlight w:val="none"/>
        </w:rPr>
      </w:pPr>
    </w:p>
    <w:p w14:paraId="79982570">
      <w:pPr>
        <w:spacing w:line="360" w:lineRule="auto"/>
        <w:jc w:val="center"/>
        <w:rPr>
          <w:rFonts w:hint="eastAsia" w:ascii="宋体" w:hAnsi="宋体" w:eastAsia="宋体" w:cs="宋体"/>
          <w:b/>
          <w:color w:val="auto"/>
          <w:sz w:val="32"/>
          <w:szCs w:val="24"/>
          <w:highlight w:val="none"/>
          <w:lang w:val="en-US" w:eastAsia="zh-CN"/>
        </w:rPr>
      </w:pPr>
      <w:r>
        <w:rPr>
          <w:rFonts w:hint="eastAsia" w:ascii="宋体" w:hAnsi="宋体" w:cs="宋体"/>
          <w:b/>
          <w:color w:val="auto"/>
          <w:sz w:val="32"/>
          <w:szCs w:val="24"/>
          <w:highlight w:val="none"/>
        </w:rPr>
        <w:t>采购人：</w:t>
      </w:r>
      <w:r>
        <w:rPr>
          <w:rFonts w:hint="eastAsia" w:ascii="宋体" w:hAnsi="宋体" w:cs="宋体"/>
          <w:b/>
          <w:color w:val="auto"/>
          <w:sz w:val="32"/>
          <w:szCs w:val="24"/>
          <w:highlight w:val="none"/>
          <w:lang w:val="en-US" w:eastAsia="zh-CN"/>
        </w:rPr>
        <w:t>阿克苏地区种业发展中心</w:t>
      </w:r>
    </w:p>
    <w:p w14:paraId="0A60196D">
      <w:pPr>
        <w:spacing w:line="360" w:lineRule="auto"/>
        <w:jc w:val="center"/>
        <w:rPr>
          <w:rFonts w:hint="eastAsia" w:ascii="宋体" w:hAnsi="宋体" w:cs="宋体"/>
          <w:b/>
          <w:color w:val="auto"/>
          <w:sz w:val="32"/>
          <w:szCs w:val="24"/>
          <w:highlight w:val="none"/>
        </w:rPr>
      </w:pPr>
    </w:p>
    <w:p w14:paraId="04A58428">
      <w:pPr>
        <w:spacing w:line="360" w:lineRule="auto"/>
        <w:jc w:val="center"/>
        <w:rPr>
          <w:rFonts w:hint="eastAsia" w:ascii="宋体" w:hAnsi="宋体" w:cs="宋体"/>
          <w:b/>
          <w:color w:val="auto"/>
          <w:sz w:val="32"/>
          <w:szCs w:val="24"/>
          <w:highlight w:val="none"/>
          <w:lang w:val="en-US" w:eastAsia="zh-CN"/>
        </w:rPr>
      </w:pPr>
      <w:r>
        <w:rPr>
          <w:rFonts w:hint="eastAsia" w:ascii="宋体" w:hAnsi="宋体" w:cs="宋体"/>
          <w:b/>
          <w:color w:val="auto"/>
          <w:sz w:val="32"/>
          <w:szCs w:val="24"/>
          <w:highlight w:val="none"/>
        </w:rPr>
        <w:t>采购代理机构：</w:t>
      </w:r>
      <w:r>
        <w:rPr>
          <w:rFonts w:hint="eastAsia" w:ascii="宋体" w:hAnsi="宋体" w:cs="宋体"/>
          <w:b/>
          <w:color w:val="auto"/>
          <w:sz w:val="32"/>
          <w:szCs w:val="24"/>
          <w:highlight w:val="none"/>
          <w:lang w:val="en-US" w:eastAsia="zh-CN"/>
        </w:rPr>
        <w:t>新疆乾泽辰项目管理有限公司</w:t>
      </w:r>
    </w:p>
    <w:p w14:paraId="703996DD">
      <w:pPr>
        <w:pStyle w:val="19"/>
        <w:jc w:val="center"/>
        <w:rPr>
          <w:rFonts w:hint="eastAsia" w:ascii="宋体" w:hAnsi="宋体" w:cs="宋体"/>
          <w:b/>
          <w:color w:val="auto"/>
          <w:sz w:val="32"/>
          <w:szCs w:val="24"/>
          <w:highlight w:val="none"/>
          <w:lang w:val="en-US" w:eastAsia="zh-CN"/>
        </w:rPr>
      </w:pPr>
    </w:p>
    <w:p w14:paraId="27EB04DB">
      <w:pPr>
        <w:jc w:val="center"/>
        <w:rPr>
          <w:rFonts w:hint="eastAsia"/>
          <w:color w:val="auto"/>
          <w:highlight w:val="none"/>
          <w:lang w:val="en-US" w:eastAsia="zh-CN"/>
        </w:rPr>
      </w:pPr>
    </w:p>
    <w:p w14:paraId="5631F9D3">
      <w:pPr>
        <w:spacing w:line="360" w:lineRule="auto"/>
        <w:jc w:val="center"/>
        <w:rPr>
          <w:rFonts w:hint="default" w:hAnsi="宋体"/>
          <w:b/>
          <w:color w:val="auto"/>
          <w:sz w:val="48"/>
          <w:szCs w:val="48"/>
          <w:highlight w:val="none"/>
          <w:lang w:val="en-US"/>
        </w:rPr>
      </w:pPr>
      <w:r>
        <w:rPr>
          <w:rFonts w:hint="eastAsia" w:ascii="宋体" w:hAnsi="宋体" w:cs="宋体"/>
          <w:b/>
          <w:color w:val="auto"/>
          <w:sz w:val="32"/>
          <w:szCs w:val="24"/>
          <w:highlight w:val="none"/>
          <w:lang w:eastAsia="zh-CN"/>
        </w:rPr>
        <w:t>二〇二</w:t>
      </w:r>
      <w:r>
        <w:rPr>
          <w:rFonts w:hint="eastAsia" w:ascii="宋体" w:hAnsi="宋体" w:cs="宋体"/>
          <w:b/>
          <w:color w:val="auto"/>
          <w:sz w:val="32"/>
          <w:szCs w:val="24"/>
          <w:highlight w:val="none"/>
          <w:lang w:val="en-US" w:eastAsia="zh-CN"/>
        </w:rPr>
        <w:t>六</w:t>
      </w:r>
      <w:r>
        <w:rPr>
          <w:rFonts w:hint="eastAsia" w:ascii="宋体" w:hAnsi="宋体" w:cs="宋体"/>
          <w:b/>
          <w:color w:val="auto"/>
          <w:sz w:val="32"/>
          <w:szCs w:val="24"/>
          <w:highlight w:val="none"/>
          <w:lang w:eastAsia="zh-CN"/>
        </w:rPr>
        <w:t>年</w:t>
      </w:r>
      <w:r>
        <w:rPr>
          <w:rFonts w:hint="eastAsia" w:ascii="宋体" w:hAnsi="宋体" w:cs="宋体"/>
          <w:b/>
          <w:color w:val="auto"/>
          <w:sz w:val="32"/>
          <w:szCs w:val="24"/>
          <w:highlight w:val="none"/>
          <w:lang w:val="en-US" w:eastAsia="zh-CN"/>
        </w:rPr>
        <w:t>五月</w:t>
      </w:r>
    </w:p>
    <w:p w14:paraId="082DEC5A">
      <w:pPr>
        <w:pStyle w:val="20"/>
        <w:adjustRightInd w:val="0"/>
        <w:snapToGrid w:val="0"/>
        <w:spacing w:line="360" w:lineRule="auto"/>
        <w:jc w:val="center"/>
        <w:rPr>
          <w:rFonts w:hint="eastAsia" w:hAnsi="宋体" w:cs="宋体"/>
          <w:b/>
          <w:color w:val="auto"/>
          <w:spacing w:val="160"/>
          <w:sz w:val="32"/>
          <w:szCs w:val="32"/>
          <w:highlight w:val="none"/>
        </w:rPr>
      </w:pPr>
    </w:p>
    <w:p w14:paraId="5AD0C40B">
      <w:pPr>
        <w:rPr>
          <w:rFonts w:hint="eastAsia" w:hAnsi="宋体" w:cs="宋体"/>
          <w:b/>
          <w:color w:val="auto"/>
          <w:spacing w:val="160"/>
          <w:sz w:val="32"/>
          <w:szCs w:val="32"/>
          <w:highlight w:val="none"/>
        </w:rPr>
      </w:pPr>
      <w:r>
        <w:rPr>
          <w:rFonts w:hint="eastAsia" w:hAnsi="宋体" w:cs="宋体"/>
          <w:b/>
          <w:color w:val="auto"/>
          <w:spacing w:val="160"/>
          <w:sz w:val="32"/>
          <w:szCs w:val="32"/>
          <w:highlight w:val="none"/>
        </w:rPr>
        <w:br w:type="page"/>
      </w:r>
    </w:p>
    <w:p w14:paraId="0E372DAA">
      <w:pPr>
        <w:pStyle w:val="16"/>
        <w:spacing w:line="317" w:lineRule="auto"/>
        <w:rPr>
          <w:rFonts w:hint="eastAsia" w:ascii="仿宋" w:hAnsi="仿宋" w:eastAsia="仿宋" w:cs="仿宋"/>
          <w:color w:val="auto"/>
          <w:highlight w:val="none"/>
        </w:rPr>
      </w:pPr>
    </w:p>
    <w:sdt>
      <w:sdtPr>
        <w:rPr>
          <w:rFonts w:ascii="宋体" w:hAnsi="宋体" w:eastAsia="宋体" w:cs="Times New Roman"/>
          <w:color w:val="auto"/>
          <w:kern w:val="2"/>
          <w:sz w:val="21"/>
          <w:szCs w:val="22"/>
          <w:highlight w:val="none"/>
          <w:lang w:val="en-US" w:eastAsia="zh-CN" w:bidi="ar-SA"/>
        </w:rPr>
        <w:id w:val="147480834"/>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p w14:paraId="39789698">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7B5994BE">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_Toc16990 </w:instrText>
          </w:r>
          <w:r>
            <w:rPr>
              <w:color w:val="auto"/>
              <w:highlight w:val="none"/>
            </w:rPr>
            <w:fldChar w:fldCharType="separate"/>
          </w:r>
          <w:r>
            <w:rPr>
              <w:rFonts w:hint="eastAsia" w:ascii="仿宋" w:hAnsi="仿宋" w:eastAsia="仿宋" w:cs="仿宋"/>
              <w:bCs/>
              <w:color w:val="auto"/>
              <w:szCs w:val="36"/>
              <w:highlight w:val="none"/>
              <w:lang w:val="en-US" w:eastAsia="zh-CN"/>
            </w:rPr>
            <w:t xml:space="preserve">第一章  </w:t>
          </w:r>
          <w:r>
            <w:rPr>
              <w:rFonts w:hint="eastAsia" w:ascii="仿宋" w:hAnsi="仿宋" w:eastAsia="仿宋" w:cs="仿宋"/>
              <w:bCs/>
              <w:color w:val="auto"/>
              <w:szCs w:val="36"/>
              <w:highlight w:val="none"/>
            </w:rPr>
            <w:t>竞争性</w:t>
          </w:r>
          <w:r>
            <w:rPr>
              <w:rFonts w:hint="eastAsia" w:ascii="仿宋" w:hAnsi="仿宋" w:eastAsia="仿宋" w:cs="仿宋"/>
              <w:bCs/>
              <w:color w:val="auto"/>
              <w:szCs w:val="36"/>
              <w:highlight w:val="none"/>
              <w:lang w:val="en-US" w:eastAsia="zh-CN"/>
            </w:rPr>
            <w:t>磋商</w:t>
          </w:r>
          <w:r>
            <w:rPr>
              <w:rFonts w:hint="eastAsia" w:ascii="仿宋" w:hAnsi="仿宋" w:eastAsia="仿宋" w:cs="仿宋"/>
              <w:bCs/>
              <w:color w:val="auto"/>
              <w:szCs w:val="36"/>
              <w:highlight w:val="none"/>
            </w:rPr>
            <w:t>公告</w:t>
          </w:r>
          <w:r>
            <w:rPr>
              <w:color w:val="auto"/>
              <w:highlight w:val="none"/>
            </w:rPr>
            <w:tab/>
          </w:r>
          <w:r>
            <w:rPr>
              <w:color w:val="auto"/>
              <w:highlight w:val="none"/>
            </w:rPr>
            <w:fldChar w:fldCharType="begin"/>
          </w:r>
          <w:r>
            <w:rPr>
              <w:color w:val="auto"/>
              <w:highlight w:val="none"/>
            </w:rPr>
            <w:instrText xml:space="preserve"> PAGEREF _Toc16990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52211EB">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 HYPERLINK \l _Toc20470 </w:instrText>
          </w:r>
          <w:r>
            <w:rPr>
              <w:color w:val="auto"/>
              <w:highlight w:val="none"/>
            </w:rPr>
            <w:fldChar w:fldCharType="separate"/>
          </w:r>
          <w:r>
            <w:rPr>
              <w:rFonts w:hint="eastAsia" w:ascii="仿宋" w:hAnsi="仿宋" w:eastAsia="仿宋" w:cs="仿宋"/>
              <w:bCs w:val="0"/>
              <w:color w:val="auto"/>
              <w:kern w:val="44"/>
              <w:szCs w:val="44"/>
              <w:highlight w:val="none"/>
              <w:lang w:val="en-US" w:eastAsia="zh-CN" w:bidi="ar-SA"/>
            </w:rPr>
            <w:t xml:space="preserve">第二章  </w:t>
          </w:r>
          <w:r>
            <w:rPr>
              <w:rFonts w:hint="eastAsia" w:ascii="仿宋" w:hAnsi="仿宋" w:eastAsia="仿宋" w:cs="仿宋"/>
              <w:bCs w:val="0"/>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_Toc20470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DEC0D90">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 HYPERLINK \l _Toc32698 </w:instrText>
          </w:r>
          <w:r>
            <w:rPr>
              <w:color w:val="auto"/>
              <w:highlight w:val="none"/>
            </w:rPr>
            <w:fldChar w:fldCharType="separate"/>
          </w:r>
          <w:r>
            <w:rPr>
              <w:rFonts w:hint="eastAsia" w:ascii="仿宋" w:hAnsi="仿宋" w:eastAsia="仿宋" w:cs="仿宋"/>
              <w:bCs w:val="0"/>
              <w:color w:val="auto"/>
              <w:kern w:val="44"/>
              <w:szCs w:val="44"/>
              <w:highlight w:val="none"/>
              <w:lang w:val="en-US" w:eastAsia="zh-CN" w:bidi="ar-SA"/>
            </w:rPr>
            <w:t>第三章 服务需求</w:t>
          </w:r>
          <w:r>
            <w:rPr>
              <w:color w:val="auto"/>
              <w:highlight w:val="none"/>
            </w:rPr>
            <w:tab/>
          </w:r>
          <w:r>
            <w:rPr>
              <w:color w:val="auto"/>
              <w:highlight w:val="none"/>
            </w:rPr>
            <w:fldChar w:fldCharType="begin"/>
          </w:r>
          <w:r>
            <w:rPr>
              <w:color w:val="auto"/>
              <w:highlight w:val="none"/>
            </w:rPr>
            <w:instrText xml:space="preserve"> PAGEREF _Toc32698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3C2E639A">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 HYPERLINK \l _Toc31228 </w:instrText>
          </w:r>
          <w:r>
            <w:rPr>
              <w:color w:val="auto"/>
              <w:highlight w:val="none"/>
            </w:rPr>
            <w:fldChar w:fldCharType="separate"/>
          </w:r>
          <w:r>
            <w:rPr>
              <w:rFonts w:hint="eastAsia" w:ascii="仿宋" w:hAnsi="仿宋" w:eastAsia="仿宋" w:cs="仿宋"/>
              <w:bCs/>
              <w:color w:val="auto"/>
              <w:kern w:val="44"/>
              <w:szCs w:val="44"/>
              <w:highlight w:val="none"/>
              <w:lang w:val="en-US" w:eastAsia="zh-CN" w:bidi="ar-SA"/>
            </w:rPr>
            <w:t xml:space="preserve">第四章 </w:t>
          </w:r>
          <w:r>
            <w:rPr>
              <w:rFonts w:hint="eastAsia" w:ascii="仿宋" w:hAnsi="仿宋" w:eastAsia="仿宋" w:cs="仿宋"/>
              <w:bCs/>
              <w:color w:val="auto"/>
              <w:szCs w:val="44"/>
              <w:highlight w:val="none"/>
            </w:rPr>
            <w:t xml:space="preserve"> 评审方法</w:t>
          </w:r>
          <w:r>
            <w:rPr>
              <w:color w:val="auto"/>
              <w:highlight w:val="none"/>
            </w:rPr>
            <w:tab/>
          </w:r>
          <w:r>
            <w:rPr>
              <w:color w:val="auto"/>
              <w:highlight w:val="none"/>
            </w:rPr>
            <w:fldChar w:fldCharType="begin"/>
          </w:r>
          <w:r>
            <w:rPr>
              <w:color w:val="auto"/>
              <w:highlight w:val="none"/>
            </w:rPr>
            <w:instrText xml:space="preserve"> PAGEREF _Toc31228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67CEF71">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 HYPERLINK \l _Toc29943 </w:instrText>
          </w:r>
          <w:r>
            <w:rPr>
              <w:color w:val="auto"/>
              <w:highlight w:val="none"/>
            </w:rPr>
            <w:fldChar w:fldCharType="separate"/>
          </w:r>
          <w:r>
            <w:rPr>
              <w:rFonts w:hint="eastAsia" w:ascii="仿宋" w:hAnsi="仿宋" w:eastAsia="仿宋" w:cs="仿宋"/>
              <w:bCs w:val="0"/>
              <w:color w:val="auto"/>
              <w:kern w:val="44"/>
              <w:szCs w:val="44"/>
              <w:highlight w:val="none"/>
              <w:lang w:val="en-US" w:eastAsia="zh-CN" w:bidi="ar-SA"/>
            </w:rPr>
            <w:t>第五章</w:t>
          </w:r>
          <w:r>
            <w:rPr>
              <w:rFonts w:hint="eastAsia" w:ascii="仿宋" w:hAnsi="仿宋" w:eastAsia="仿宋" w:cs="仿宋"/>
              <w:bCs w:val="0"/>
              <w:color w:val="auto"/>
              <w:highlight w:val="none"/>
            </w:rPr>
            <w:t xml:space="preserve"> </w:t>
          </w:r>
          <w:r>
            <w:rPr>
              <w:rFonts w:hint="eastAsia" w:ascii="仿宋" w:hAnsi="仿宋" w:eastAsia="仿宋" w:cs="仿宋"/>
              <w:bCs w:val="0"/>
              <w:color w:val="auto"/>
              <w:highlight w:val="none"/>
              <w:lang w:val="en-US" w:eastAsia="zh-CN"/>
            </w:rPr>
            <w:t xml:space="preserve"> </w:t>
          </w:r>
          <w:r>
            <w:rPr>
              <w:rFonts w:hint="eastAsia" w:ascii="仿宋" w:hAnsi="仿宋" w:eastAsia="仿宋" w:cs="仿宋"/>
              <w:bCs w:val="0"/>
              <w:color w:val="auto"/>
              <w:highlight w:val="none"/>
            </w:rPr>
            <w:t>合同格式及合同条款</w:t>
          </w:r>
          <w:r>
            <w:rPr>
              <w:color w:val="auto"/>
              <w:highlight w:val="none"/>
            </w:rPr>
            <w:tab/>
          </w:r>
          <w:r>
            <w:rPr>
              <w:color w:val="auto"/>
              <w:highlight w:val="none"/>
            </w:rPr>
            <w:fldChar w:fldCharType="begin"/>
          </w:r>
          <w:r>
            <w:rPr>
              <w:color w:val="auto"/>
              <w:highlight w:val="none"/>
            </w:rPr>
            <w:instrText xml:space="preserve"> PAGEREF _Toc29943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534A82A">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 HYPERLINK \l _Toc29549 </w:instrText>
          </w:r>
          <w:r>
            <w:rPr>
              <w:color w:val="auto"/>
              <w:highlight w:val="none"/>
            </w:rPr>
            <w:fldChar w:fldCharType="separate"/>
          </w:r>
          <w:r>
            <w:rPr>
              <w:rFonts w:hint="eastAsia" w:ascii="仿宋" w:hAnsi="仿宋" w:eastAsia="仿宋" w:cs="仿宋"/>
              <w:bCs w:val="0"/>
              <w:color w:val="auto"/>
              <w:kern w:val="44"/>
              <w:szCs w:val="44"/>
              <w:highlight w:val="none"/>
              <w:lang w:val="en-US" w:eastAsia="zh-CN" w:bidi="ar-SA"/>
            </w:rPr>
            <w:t xml:space="preserve">第六章  </w:t>
          </w:r>
          <w:r>
            <w:rPr>
              <w:rFonts w:hint="eastAsia" w:ascii="仿宋" w:hAnsi="仿宋" w:eastAsia="仿宋" w:cs="仿宋"/>
              <w:bCs w:val="0"/>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_Toc29549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3A20866">
          <w:pPr>
            <w:pStyle w:val="26"/>
            <w:tabs>
              <w:tab w:val="right" w:leader="dot" w:pos="9746"/>
              <w:tab w:val="clear" w:pos="8222"/>
            </w:tabs>
            <w:rPr>
              <w:color w:val="auto"/>
              <w:highlight w:val="none"/>
            </w:rPr>
          </w:pPr>
          <w:r>
            <w:rPr>
              <w:color w:val="auto"/>
              <w:highlight w:val="none"/>
            </w:rPr>
            <w:fldChar w:fldCharType="begin"/>
          </w:r>
          <w:r>
            <w:rPr>
              <w:color w:val="auto"/>
              <w:highlight w:val="none"/>
            </w:rPr>
            <w:instrText xml:space="preserve"> HYPERLINK \l _Toc25547 </w:instrText>
          </w:r>
          <w:r>
            <w:rPr>
              <w:color w:val="auto"/>
              <w:highlight w:val="none"/>
            </w:rPr>
            <w:fldChar w:fldCharType="separate"/>
          </w:r>
          <w:r>
            <w:rPr>
              <w:rFonts w:hint="eastAsia" w:ascii="仿宋" w:hAnsi="仿宋" w:eastAsia="仿宋" w:cs="仿宋"/>
              <w:color w:val="auto"/>
              <w:szCs w:val="72"/>
              <w:highlight w:val="none"/>
            </w:rPr>
            <w:t>响应文件</w:t>
          </w:r>
          <w:r>
            <w:rPr>
              <w:color w:val="auto"/>
              <w:highlight w:val="none"/>
            </w:rPr>
            <w:tab/>
          </w:r>
          <w:r>
            <w:rPr>
              <w:color w:val="auto"/>
              <w:highlight w:val="none"/>
            </w:rPr>
            <w:fldChar w:fldCharType="begin"/>
          </w:r>
          <w:r>
            <w:rPr>
              <w:color w:val="auto"/>
              <w:highlight w:val="none"/>
            </w:rPr>
            <w:instrText xml:space="preserve"> PAGEREF _Toc25547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2FD98BC">
          <w:pPr>
            <w:pStyle w:val="26"/>
            <w:tabs>
              <w:tab w:val="right" w:leader="dot" w:pos="9746"/>
              <w:tab w:val="clear" w:pos="8222"/>
            </w:tabs>
            <w:rPr>
              <w:rFonts w:hint="eastAsia" w:eastAsia="宋体"/>
              <w:color w:val="auto"/>
              <w:highlight w:val="none"/>
              <w:lang w:val="en-US" w:eastAsia="zh-CN"/>
            </w:rPr>
          </w:pPr>
        </w:p>
        <w:p w14:paraId="0D668FB3">
          <w:pPr>
            <w:rPr>
              <w:color w:val="auto"/>
              <w:highlight w:val="none"/>
            </w:rPr>
          </w:pPr>
          <w:r>
            <w:rPr>
              <w:color w:val="auto"/>
              <w:highlight w:val="none"/>
            </w:rPr>
            <w:fldChar w:fldCharType="end"/>
          </w:r>
        </w:p>
      </w:sdtContent>
    </w:sdt>
    <w:p w14:paraId="51DA5126">
      <w:pPr>
        <w:rPr>
          <w:color w:val="auto"/>
          <w:highlight w:val="none"/>
        </w:rPr>
      </w:pPr>
    </w:p>
    <w:sdt>
      <w:sdtPr>
        <w:rPr>
          <w:rFonts w:ascii="宋体" w:hAnsi="宋体" w:eastAsia="仿宋_GB2312"/>
          <w:color w:val="auto"/>
          <w:sz w:val="32"/>
          <w:szCs w:val="20"/>
          <w:highlight w:val="none"/>
        </w:rPr>
        <w:id w:val="147460987"/>
        <w:showingPlcHdr/>
        <w15:color w:val="DBDBDB"/>
        <w:docPartObj>
          <w:docPartGallery w:val="Table of Contents"/>
          <w:docPartUnique/>
        </w:docPartObj>
      </w:sdtPr>
      <w:sdtEndPr>
        <w:rPr>
          <w:rFonts w:hint="eastAsia" w:ascii="宋体" w:hAnsi="宋体" w:eastAsia="仿宋_GB2312" w:cs="宋体"/>
          <w:color w:val="auto"/>
          <w:spacing w:val="160"/>
          <w:sz w:val="32"/>
          <w:szCs w:val="24"/>
          <w:highlight w:val="none"/>
        </w:rPr>
      </w:sdtEndPr>
      <w:sdtContent>
        <w:p w14:paraId="5CF3AF72">
          <w:pPr>
            <w:pStyle w:val="33"/>
            <w:spacing w:line="600" w:lineRule="exact"/>
            <w:ind w:firstLine="0" w:firstLineChars="0"/>
            <w:rPr>
              <w:rFonts w:ascii="宋体" w:hAnsi="宋体" w:cs="宋体"/>
              <w:color w:val="auto"/>
              <w:spacing w:val="160"/>
              <w:szCs w:val="24"/>
              <w:highlight w:val="none"/>
            </w:rPr>
          </w:pPr>
          <w:r>
            <w:rPr>
              <w:rFonts w:hint="eastAsia" w:ascii="宋体" w:hAnsi="宋体"/>
              <w:color w:val="auto"/>
              <w:sz w:val="32"/>
              <w:szCs w:val="20"/>
              <w:highlight w:val="none"/>
              <w:lang w:eastAsia="zh-CN"/>
            </w:rPr>
            <w:t xml:space="preserve">     </w:t>
          </w:r>
        </w:p>
      </w:sdtContent>
    </w:sdt>
    <w:p w14:paraId="665EC930">
      <w:pPr>
        <w:pStyle w:val="33"/>
        <w:ind w:firstLine="0" w:firstLineChars="0"/>
        <w:rPr>
          <w:rFonts w:ascii="宋体" w:hAnsi="宋体" w:cs="宋体"/>
          <w:color w:val="auto"/>
          <w:spacing w:val="160"/>
          <w:szCs w:val="24"/>
          <w:highlight w:val="none"/>
        </w:rPr>
      </w:pPr>
    </w:p>
    <w:p w14:paraId="4839F9C3">
      <w:pPr>
        <w:pStyle w:val="33"/>
        <w:ind w:firstLine="0" w:firstLineChars="0"/>
        <w:rPr>
          <w:rFonts w:ascii="宋体" w:hAnsi="宋体" w:cs="宋体"/>
          <w:color w:val="auto"/>
          <w:spacing w:val="160"/>
          <w:szCs w:val="24"/>
          <w:highlight w:val="none"/>
        </w:rPr>
      </w:pPr>
    </w:p>
    <w:p w14:paraId="3D35E69D">
      <w:pPr>
        <w:pStyle w:val="33"/>
        <w:ind w:firstLine="0" w:firstLineChars="0"/>
        <w:rPr>
          <w:rFonts w:ascii="宋体" w:hAnsi="宋体" w:cs="宋体"/>
          <w:color w:val="auto"/>
          <w:spacing w:val="160"/>
          <w:szCs w:val="24"/>
          <w:highlight w:val="none"/>
        </w:rPr>
      </w:pPr>
    </w:p>
    <w:p w14:paraId="0DB8EE1B">
      <w:pPr>
        <w:pStyle w:val="33"/>
        <w:ind w:firstLine="0" w:firstLineChars="0"/>
        <w:rPr>
          <w:rFonts w:ascii="宋体" w:hAnsi="宋体" w:cs="宋体"/>
          <w:color w:val="auto"/>
          <w:spacing w:val="160"/>
          <w:szCs w:val="24"/>
          <w:highlight w:val="none"/>
        </w:rPr>
      </w:pPr>
    </w:p>
    <w:p w14:paraId="0FE6CB28">
      <w:pPr>
        <w:pStyle w:val="33"/>
        <w:ind w:firstLine="0" w:firstLineChars="0"/>
        <w:rPr>
          <w:rFonts w:ascii="宋体" w:hAnsi="宋体" w:cs="宋体"/>
          <w:color w:val="auto"/>
          <w:spacing w:val="160"/>
          <w:szCs w:val="24"/>
          <w:highlight w:val="none"/>
        </w:rPr>
      </w:pPr>
    </w:p>
    <w:p w14:paraId="2D073C13">
      <w:pPr>
        <w:pStyle w:val="33"/>
        <w:ind w:firstLine="0" w:firstLineChars="0"/>
        <w:rPr>
          <w:rFonts w:ascii="宋体" w:hAnsi="宋体" w:cs="宋体"/>
          <w:color w:val="auto"/>
          <w:spacing w:val="160"/>
          <w:szCs w:val="24"/>
          <w:highlight w:val="none"/>
        </w:rPr>
      </w:pPr>
    </w:p>
    <w:p w14:paraId="2C75A676">
      <w:pPr>
        <w:pStyle w:val="33"/>
        <w:ind w:firstLine="0" w:firstLineChars="0"/>
        <w:rPr>
          <w:rFonts w:ascii="宋体" w:hAnsi="宋体" w:cs="宋体"/>
          <w:color w:val="auto"/>
          <w:spacing w:val="160"/>
          <w:szCs w:val="24"/>
          <w:highlight w:val="none"/>
        </w:rPr>
      </w:pPr>
    </w:p>
    <w:p w14:paraId="53BD7D0C">
      <w:pPr>
        <w:pStyle w:val="33"/>
        <w:ind w:firstLine="0" w:firstLineChars="0"/>
        <w:rPr>
          <w:rFonts w:ascii="宋体" w:hAnsi="宋体" w:cs="宋体"/>
          <w:color w:val="auto"/>
          <w:spacing w:val="160"/>
          <w:szCs w:val="24"/>
          <w:highlight w:val="none"/>
        </w:rPr>
      </w:pPr>
    </w:p>
    <w:p w14:paraId="0D06FB1F">
      <w:pPr>
        <w:pStyle w:val="33"/>
        <w:ind w:firstLine="0" w:firstLineChars="0"/>
        <w:rPr>
          <w:rFonts w:ascii="宋体" w:hAnsi="宋体" w:cs="宋体"/>
          <w:color w:val="auto"/>
          <w:spacing w:val="160"/>
          <w:szCs w:val="24"/>
          <w:highlight w:val="none"/>
        </w:rPr>
      </w:pPr>
    </w:p>
    <w:p w14:paraId="4E38B77A">
      <w:pPr>
        <w:pStyle w:val="33"/>
        <w:ind w:firstLine="0" w:firstLineChars="0"/>
        <w:rPr>
          <w:rFonts w:ascii="宋体" w:hAnsi="宋体" w:cs="宋体"/>
          <w:color w:val="auto"/>
          <w:spacing w:val="160"/>
          <w:szCs w:val="24"/>
          <w:highlight w:val="none"/>
        </w:rPr>
      </w:pPr>
    </w:p>
    <w:p w14:paraId="6108F74A">
      <w:pPr>
        <w:pStyle w:val="33"/>
        <w:ind w:firstLine="0" w:firstLineChars="0"/>
        <w:rPr>
          <w:rFonts w:ascii="宋体" w:hAnsi="宋体" w:cs="宋体"/>
          <w:color w:val="auto"/>
          <w:spacing w:val="160"/>
          <w:szCs w:val="24"/>
          <w:highlight w:val="none"/>
        </w:rPr>
      </w:pPr>
    </w:p>
    <w:p w14:paraId="31C34A3C">
      <w:pPr>
        <w:pStyle w:val="33"/>
        <w:ind w:firstLine="0" w:firstLineChars="0"/>
        <w:rPr>
          <w:rFonts w:ascii="宋体" w:hAnsi="宋体" w:cs="宋体"/>
          <w:color w:val="auto"/>
          <w:spacing w:val="160"/>
          <w:szCs w:val="24"/>
          <w:highlight w:val="none"/>
        </w:rPr>
      </w:pPr>
    </w:p>
    <w:p w14:paraId="72F1C776">
      <w:pPr>
        <w:pStyle w:val="33"/>
        <w:ind w:firstLine="0" w:firstLineChars="0"/>
        <w:rPr>
          <w:rFonts w:ascii="宋体" w:hAnsi="宋体" w:cs="宋体"/>
          <w:color w:val="auto"/>
          <w:spacing w:val="160"/>
          <w:szCs w:val="24"/>
          <w:highlight w:val="none"/>
        </w:rPr>
      </w:pPr>
    </w:p>
    <w:p w14:paraId="2B840BC9">
      <w:pPr>
        <w:pStyle w:val="33"/>
        <w:ind w:firstLine="0" w:firstLineChars="0"/>
        <w:rPr>
          <w:rFonts w:ascii="宋体" w:hAnsi="宋体" w:cs="宋体"/>
          <w:color w:val="auto"/>
          <w:spacing w:val="160"/>
          <w:szCs w:val="24"/>
          <w:highlight w:val="none"/>
        </w:rPr>
      </w:pPr>
    </w:p>
    <w:p w14:paraId="0CA88B75">
      <w:pPr>
        <w:pStyle w:val="33"/>
        <w:ind w:firstLine="0" w:firstLineChars="0"/>
        <w:rPr>
          <w:rFonts w:ascii="宋体" w:hAnsi="宋体" w:cs="宋体"/>
          <w:color w:val="auto"/>
          <w:spacing w:val="160"/>
          <w:szCs w:val="24"/>
          <w:highlight w:val="none"/>
        </w:rPr>
      </w:pPr>
    </w:p>
    <w:p w14:paraId="6C2E370E">
      <w:pPr>
        <w:pStyle w:val="2"/>
        <w:numPr>
          <w:ilvl w:val="0"/>
          <w:numId w:val="2"/>
        </w:numPr>
        <w:spacing w:before="0" w:after="0" w:line="240" w:lineRule="auto"/>
        <w:rPr>
          <w:color w:val="auto"/>
          <w:highlight w:val="none"/>
        </w:rPr>
        <w:sectPr>
          <w:pgSz w:w="11906" w:h="16838"/>
          <w:pgMar w:top="1440" w:right="1080" w:bottom="1440" w:left="1080" w:header="851" w:footer="992" w:gutter="0"/>
          <w:pgNumType w:start="1"/>
          <w:cols w:space="425" w:num="1"/>
          <w:docGrid w:linePitch="312" w:charSpace="0"/>
        </w:sectPr>
      </w:pPr>
      <w:bookmarkStart w:id="0" w:name="_Toc21151"/>
      <w:bookmarkStart w:id="1" w:name="_Toc456718476"/>
    </w:p>
    <w:bookmarkEnd w:id="0"/>
    <w:p w14:paraId="28F2F6CE">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sz w:val="28"/>
          <w:szCs w:val="28"/>
          <w:highlight w:val="none"/>
        </w:rPr>
      </w:pPr>
      <w:bookmarkStart w:id="2" w:name="_Toc16990"/>
      <w:bookmarkStart w:id="3" w:name="_Toc18235"/>
      <w:bookmarkStart w:id="4" w:name="_Toc1347"/>
      <w:bookmarkStart w:id="5" w:name="_Toc10571"/>
      <w:r>
        <w:rPr>
          <w:rFonts w:hint="eastAsia" w:ascii="仿宋" w:hAnsi="仿宋" w:eastAsia="仿宋" w:cs="仿宋"/>
          <w:b/>
          <w:bCs/>
          <w:color w:val="auto"/>
          <w:sz w:val="40"/>
          <w:szCs w:val="36"/>
          <w:highlight w:val="none"/>
          <w:lang w:val="en-US" w:eastAsia="zh-CN"/>
        </w:rPr>
        <w:t xml:space="preserve">第一章  </w:t>
      </w:r>
      <w:r>
        <w:rPr>
          <w:rFonts w:hint="eastAsia" w:ascii="仿宋" w:hAnsi="仿宋" w:eastAsia="仿宋" w:cs="仿宋"/>
          <w:b/>
          <w:bCs/>
          <w:color w:val="auto"/>
          <w:sz w:val="40"/>
          <w:szCs w:val="36"/>
          <w:highlight w:val="none"/>
        </w:rPr>
        <w:t>竞争性</w:t>
      </w:r>
      <w:r>
        <w:rPr>
          <w:rFonts w:hint="eastAsia" w:ascii="仿宋" w:hAnsi="仿宋" w:eastAsia="仿宋" w:cs="仿宋"/>
          <w:b/>
          <w:bCs/>
          <w:color w:val="auto"/>
          <w:sz w:val="40"/>
          <w:szCs w:val="36"/>
          <w:highlight w:val="none"/>
          <w:lang w:val="en-US" w:eastAsia="zh-CN"/>
        </w:rPr>
        <w:t>磋商</w:t>
      </w:r>
      <w:r>
        <w:rPr>
          <w:rFonts w:hint="eastAsia" w:ascii="仿宋" w:hAnsi="仿宋" w:eastAsia="仿宋" w:cs="仿宋"/>
          <w:b/>
          <w:bCs/>
          <w:color w:val="auto"/>
          <w:sz w:val="40"/>
          <w:szCs w:val="36"/>
          <w:highlight w:val="none"/>
        </w:rPr>
        <w:t>公告</w:t>
      </w:r>
      <w:bookmarkEnd w:id="2"/>
      <w:bookmarkEnd w:id="3"/>
    </w:p>
    <w:tbl>
      <w:tblPr>
        <w:tblStyle w:val="35"/>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0"/>
      </w:tblGrid>
      <w:tr w14:paraId="0A18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760" w:type="dxa"/>
            <w:noWrap w:val="0"/>
            <w:vAlign w:val="top"/>
          </w:tcPr>
          <w:p w14:paraId="28133C60">
            <w:pPr>
              <w:pStyle w:val="16"/>
              <w:spacing w:before="272" w:line="220" w:lineRule="auto"/>
              <w:ind w:left="4"/>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项目概况</w:t>
            </w:r>
          </w:p>
          <w:p w14:paraId="2917F272">
            <w:pPr>
              <w:pStyle w:val="16"/>
              <w:spacing w:before="251" w:line="360" w:lineRule="auto"/>
              <w:ind w:left="8" w:firstLine="601"/>
              <w:jc w:val="both"/>
              <w:rPr>
                <w:rFonts w:hint="eastAsia" w:ascii="宋体" w:hAnsi="宋体" w:eastAsia="宋体" w:cs="宋体"/>
                <w:b w:val="0"/>
                <w:bCs w:val="0"/>
                <w:i w:val="0"/>
                <w:iCs w:val="0"/>
                <w:caps w:val="0"/>
                <w:color w:val="auto"/>
                <w:spacing w:val="0"/>
                <w:kern w:val="0"/>
                <w:sz w:val="28"/>
                <w:szCs w:val="28"/>
                <w:highlight w:val="none"/>
                <w:lang w:val="en-US" w:eastAsia="zh-CN" w:bidi="ar"/>
              </w:rPr>
            </w:pPr>
            <w:r>
              <w:rPr>
                <w:rFonts w:hint="eastAsia" w:ascii="仿宋" w:hAnsi="仿宋" w:eastAsia="仿宋" w:cs="仿宋"/>
                <w:color w:val="auto"/>
                <w:spacing w:val="-5"/>
                <w:sz w:val="28"/>
                <w:szCs w:val="28"/>
                <w:highlight w:val="none"/>
                <w:u w:val="single"/>
                <w:lang w:eastAsia="zh-CN"/>
              </w:rPr>
              <w:t>提前下达2026年自治区农业生产发展资金</w:t>
            </w:r>
            <w:r>
              <w:rPr>
                <w:rFonts w:hint="eastAsia" w:ascii="仿宋" w:hAnsi="仿宋" w:eastAsia="仿宋" w:cs="仿宋"/>
                <w:color w:val="auto"/>
                <w:spacing w:val="-5"/>
                <w:sz w:val="28"/>
                <w:szCs w:val="28"/>
                <w:highlight w:val="none"/>
              </w:rPr>
              <w:t>的潜在供应商</w:t>
            </w:r>
            <w:r>
              <w:rPr>
                <w:rFonts w:hint="eastAsia" w:ascii="仿宋" w:hAnsi="仿宋" w:eastAsia="仿宋" w:cs="仿宋"/>
                <w:color w:val="auto"/>
                <w:spacing w:val="-2"/>
                <w:sz w:val="28"/>
                <w:szCs w:val="28"/>
                <w:highlight w:val="none"/>
              </w:rPr>
              <w:t>应在政采云平台线上获取采购文件，并于</w:t>
            </w:r>
            <w:r>
              <w:rPr>
                <w:rFonts w:hint="eastAsia" w:ascii="仿宋" w:hAnsi="仿宋" w:eastAsia="仿宋" w:cs="仿宋"/>
                <w:i w:val="0"/>
                <w:iCs w:val="0"/>
                <w:caps w:val="0"/>
                <w:color w:val="auto"/>
                <w:spacing w:val="0"/>
                <w:sz w:val="27"/>
                <w:szCs w:val="27"/>
                <w:highlight w:val="none"/>
              </w:rPr>
              <w:t>20</w:t>
            </w:r>
            <w:r>
              <w:rPr>
                <w:rFonts w:hint="eastAsia" w:ascii="仿宋" w:hAnsi="仿宋" w:eastAsia="仿宋" w:cs="仿宋"/>
                <w:i w:val="0"/>
                <w:iCs w:val="0"/>
                <w:caps w:val="0"/>
                <w:color w:val="auto"/>
                <w:spacing w:val="0"/>
                <w:sz w:val="27"/>
                <w:szCs w:val="27"/>
                <w:highlight w:val="none"/>
                <w:lang w:val="en-US" w:eastAsia="zh-CN"/>
              </w:rPr>
              <w:t>26</w:t>
            </w:r>
            <w:r>
              <w:rPr>
                <w:rFonts w:hint="eastAsia" w:ascii="仿宋" w:hAnsi="仿宋" w:eastAsia="仿宋" w:cs="仿宋"/>
                <w:i w:val="0"/>
                <w:iCs w:val="0"/>
                <w:caps w:val="0"/>
                <w:color w:val="auto"/>
                <w:spacing w:val="0"/>
                <w:sz w:val="27"/>
                <w:szCs w:val="27"/>
                <w:highlight w:val="none"/>
              </w:rPr>
              <w:t>年</w:t>
            </w:r>
            <w:r>
              <w:rPr>
                <w:rFonts w:hint="eastAsia" w:ascii="仿宋" w:hAnsi="仿宋" w:eastAsia="仿宋" w:cs="仿宋"/>
                <w:i w:val="0"/>
                <w:iCs w:val="0"/>
                <w:caps w:val="0"/>
                <w:color w:val="auto"/>
                <w:spacing w:val="0"/>
                <w:sz w:val="27"/>
                <w:szCs w:val="27"/>
                <w:highlight w:val="none"/>
                <w:lang w:val="en-US" w:eastAsia="zh-CN"/>
              </w:rPr>
              <w:t>06</w:t>
            </w:r>
            <w:r>
              <w:rPr>
                <w:rFonts w:hint="eastAsia" w:ascii="仿宋" w:hAnsi="仿宋" w:eastAsia="仿宋" w:cs="仿宋"/>
                <w:i w:val="0"/>
                <w:iCs w:val="0"/>
                <w:caps w:val="0"/>
                <w:color w:val="auto"/>
                <w:spacing w:val="0"/>
                <w:sz w:val="27"/>
                <w:szCs w:val="27"/>
                <w:highlight w:val="none"/>
              </w:rPr>
              <w:t>月</w:t>
            </w:r>
            <w:r>
              <w:rPr>
                <w:rFonts w:hint="eastAsia" w:ascii="仿宋" w:hAnsi="仿宋" w:eastAsia="仿宋" w:cs="仿宋"/>
                <w:i w:val="0"/>
                <w:iCs w:val="0"/>
                <w:caps w:val="0"/>
                <w:color w:val="auto"/>
                <w:spacing w:val="0"/>
                <w:sz w:val="27"/>
                <w:szCs w:val="27"/>
                <w:highlight w:val="none"/>
                <w:lang w:val="en-US" w:eastAsia="zh-CN"/>
              </w:rPr>
              <w:t>05日10:30</w:t>
            </w:r>
            <w:r>
              <w:rPr>
                <w:rFonts w:hint="eastAsia" w:ascii="仿宋" w:hAnsi="仿宋" w:eastAsia="仿宋" w:cs="仿宋"/>
                <w:color w:val="auto"/>
                <w:spacing w:val="-3"/>
                <w:sz w:val="28"/>
                <w:szCs w:val="28"/>
                <w:highlight w:val="none"/>
              </w:rPr>
              <w:t>（北京时间）前提交响应文</w:t>
            </w:r>
            <w:r>
              <w:rPr>
                <w:rFonts w:hint="eastAsia" w:ascii="仿宋" w:hAnsi="仿宋" w:eastAsia="仿宋" w:cs="仿宋"/>
                <w:color w:val="auto"/>
                <w:spacing w:val="-5"/>
                <w:sz w:val="28"/>
                <w:szCs w:val="28"/>
                <w:highlight w:val="none"/>
              </w:rPr>
              <w:t>件。</w:t>
            </w:r>
          </w:p>
        </w:tc>
      </w:tr>
    </w:tbl>
    <w:p w14:paraId="06D392E1">
      <w:pPr>
        <w:pStyle w:val="53"/>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i w:val="0"/>
          <w:iCs w:val="0"/>
          <w:caps w:val="0"/>
          <w:color w:val="auto"/>
          <w:spacing w:val="0"/>
          <w:kern w:val="0"/>
          <w:sz w:val="28"/>
          <w:szCs w:val="28"/>
          <w:highlight w:val="none"/>
          <w:lang w:val="en-US" w:eastAsia="zh-CN" w:bidi="ar"/>
        </w:rPr>
      </w:pPr>
    </w:p>
    <w:p w14:paraId="4F4F534A">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一、项目基本情况</w:t>
      </w:r>
    </w:p>
    <w:p w14:paraId="11FDC4CD">
      <w:pPr>
        <w:pStyle w:val="16"/>
        <w:spacing w:line="360" w:lineRule="auto"/>
        <w:ind w:left="0"/>
        <w:rPr>
          <w:rFonts w:hint="default" w:ascii="仿宋" w:hAnsi="仿宋" w:eastAsia="仿宋" w:cs="仿宋"/>
          <w:color w:val="auto"/>
          <w:sz w:val="28"/>
          <w:szCs w:val="28"/>
          <w:highlight w:val="none"/>
          <w:lang w:val="en-US"/>
        </w:rPr>
      </w:pPr>
      <w:r>
        <w:rPr>
          <w:rFonts w:hint="eastAsia" w:ascii="仿宋" w:hAnsi="仿宋" w:eastAsia="仿宋" w:cs="仿宋"/>
          <w:color w:val="auto"/>
          <w:spacing w:val="-18"/>
          <w:sz w:val="28"/>
          <w:szCs w:val="28"/>
          <w:highlight w:val="none"/>
        </w:rPr>
        <w:t>项目编号：</w:t>
      </w:r>
      <w:r>
        <w:rPr>
          <w:rFonts w:hint="eastAsia" w:ascii="仿宋" w:hAnsi="仿宋" w:eastAsia="仿宋" w:cs="仿宋"/>
          <w:color w:val="auto"/>
          <w:spacing w:val="-18"/>
          <w:sz w:val="28"/>
          <w:szCs w:val="28"/>
          <w:highlight w:val="none"/>
          <w:lang w:val="en-US" w:eastAsia="zh-CN"/>
        </w:rPr>
        <w:t>分2026-35</w:t>
      </w:r>
    </w:p>
    <w:p w14:paraId="3D4F92B6">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rPr>
        <w:t>项目名称：</w:t>
      </w:r>
      <w:r>
        <w:rPr>
          <w:rFonts w:hint="eastAsia" w:ascii="仿宋" w:hAnsi="仿宋" w:eastAsia="仿宋" w:cs="仿宋"/>
          <w:color w:val="auto"/>
          <w:spacing w:val="-1"/>
          <w:sz w:val="28"/>
          <w:szCs w:val="28"/>
          <w:highlight w:val="none"/>
          <w:lang w:eastAsia="zh-CN"/>
        </w:rPr>
        <w:t>提前下达2026年自治区农业生产发展资金（</w:t>
      </w:r>
      <w:r>
        <w:rPr>
          <w:rFonts w:hint="eastAsia" w:ascii="仿宋" w:hAnsi="仿宋" w:eastAsia="仿宋" w:cs="仿宋"/>
          <w:color w:val="auto"/>
          <w:spacing w:val="-1"/>
          <w:sz w:val="28"/>
          <w:szCs w:val="28"/>
          <w:highlight w:val="none"/>
          <w:lang w:val="en-US" w:eastAsia="zh-CN"/>
        </w:rPr>
        <w:t>自治区</w:t>
      </w:r>
      <w:r>
        <w:rPr>
          <w:rFonts w:hint="eastAsia" w:ascii="仿宋" w:hAnsi="仿宋" w:eastAsia="仿宋" w:cs="仿宋"/>
          <w:color w:val="auto"/>
          <w:spacing w:val="-1"/>
          <w:sz w:val="28"/>
          <w:szCs w:val="28"/>
          <w:highlight w:val="none"/>
          <w:lang w:eastAsia="zh-CN"/>
        </w:rPr>
        <w:t>救灾备荒</w:t>
      </w:r>
      <w:r>
        <w:rPr>
          <w:rFonts w:hint="eastAsia" w:ascii="仿宋" w:hAnsi="仿宋" w:eastAsia="仿宋" w:cs="仿宋"/>
          <w:color w:val="auto"/>
          <w:spacing w:val="-1"/>
          <w:sz w:val="28"/>
          <w:szCs w:val="28"/>
          <w:highlight w:val="none"/>
          <w:lang w:val="en-US" w:eastAsia="zh-CN"/>
        </w:rPr>
        <w:t>种子</w:t>
      </w:r>
      <w:r>
        <w:rPr>
          <w:rFonts w:hint="eastAsia" w:ascii="仿宋" w:hAnsi="仿宋" w:eastAsia="仿宋" w:cs="仿宋"/>
          <w:color w:val="auto"/>
          <w:spacing w:val="-1"/>
          <w:sz w:val="28"/>
          <w:szCs w:val="28"/>
          <w:highlight w:val="none"/>
          <w:lang w:eastAsia="zh-CN"/>
        </w:rPr>
        <w:t>储备项目）</w:t>
      </w:r>
    </w:p>
    <w:p w14:paraId="2B978F0B">
      <w:pPr>
        <w:pStyle w:val="16"/>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采购方式：竞争性磋商</w:t>
      </w:r>
    </w:p>
    <w:p w14:paraId="2404EF52">
      <w:pPr>
        <w:pStyle w:val="16"/>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预算金额（元</w:t>
      </w:r>
      <w:r>
        <w:rPr>
          <w:rFonts w:hint="eastAsia" w:ascii="仿宋" w:hAnsi="仿宋" w:eastAsia="仿宋" w:cs="仿宋"/>
          <w:color w:val="auto"/>
          <w:spacing w:val="-6"/>
          <w:sz w:val="28"/>
          <w:szCs w:val="28"/>
          <w:highlight w:val="none"/>
        </w:rPr>
        <w:t>）：1920000</w:t>
      </w:r>
      <w:r>
        <w:rPr>
          <w:rFonts w:hint="eastAsia" w:ascii="仿宋" w:hAnsi="仿宋" w:eastAsia="仿宋" w:cs="仿宋"/>
          <w:color w:val="auto"/>
          <w:spacing w:val="-6"/>
          <w:sz w:val="28"/>
          <w:szCs w:val="28"/>
          <w:highlight w:val="none"/>
          <w:lang w:val="en-US" w:eastAsia="zh-CN"/>
        </w:rPr>
        <w:t>.00</w:t>
      </w:r>
    </w:p>
    <w:p w14:paraId="7637CBE6">
      <w:pPr>
        <w:pStyle w:val="16"/>
        <w:spacing w:line="360" w:lineRule="auto"/>
        <w:ind w:left="0"/>
        <w:rPr>
          <w:rFonts w:hint="default" w:ascii="仿宋" w:hAnsi="仿宋" w:eastAsia="仿宋" w:cs="仿宋"/>
          <w:color w:val="auto"/>
          <w:spacing w:val="-9"/>
          <w:sz w:val="28"/>
          <w:szCs w:val="28"/>
          <w:highlight w:val="none"/>
          <w:lang w:val="en-US" w:eastAsia="zh-CN"/>
        </w:rPr>
      </w:pPr>
      <w:r>
        <w:rPr>
          <w:rFonts w:hint="eastAsia" w:ascii="仿宋" w:hAnsi="仿宋" w:eastAsia="仿宋" w:cs="仿宋"/>
          <w:color w:val="auto"/>
          <w:spacing w:val="-9"/>
          <w:sz w:val="28"/>
          <w:szCs w:val="28"/>
          <w:highlight w:val="none"/>
        </w:rPr>
        <w:t>最高限价（元）：1920000</w:t>
      </w:r>
      <w:r>
        <w:rPr>
          <w:rFonts w:hint="eastAsia" w:ascii="仿宋" w:hAnsi="仿宋" w:eastAsia="仿宋" w:cs="仿宋"/>
          <w:color w:val="auto"/>
          <w:spacing w:val="-9"/>
          <w:sz w:val="28"/>
          <w:szCs w:val="28"/>
          <w:highlight w:val="none"/>
          <w:lang w:val="en-US" w:eastAsia="zh-CN"/>
        </w:rPr>
        <w:t>.00</w:t>
      </w:r>
    </w:p>
    <w:p w14:paraId="6706ECF5">
      <w:pPr>
        <w:pStyle w:val="16"/>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采购需求：</w:t>
      </w:r>
      <w:r>
        <w:rPr>
          <w:rFonts w:hint="eastAsia" w:ascii="仿宋" w:hAnsi="仿宋" w:eastAsia="仿宋" w:cs="仿宋"/>
          <w:color w:val="auto"/>
          <w:spacing w:val="-1"/>
          <w:sz w:val="28"/>
          <w:szCs w:val="28"/>
          <w:highlight w:val="none"/>
          <w:lang w:eastAsia="zh-CN"/>
        </w:rPr>
        <w:t>棉花种子救灾备</w:t>
      </w:r>
      <w:r>
        <w:rPr>
          <w:rFonts w:hint="eastAsia" w:ascii="仿宋" w:hAnsi="仿宋" w:eastAsia="仿宋" w:cs="仿宋"/>
          <w:color w:val="auto"/>
          <w:spacing w:val="-1"/>
          <w:sz w:val="28"/>
          <w:szCs w:val="28"/>
          <w:highlight w:val="none"/>
          <w:lang w:val="en-US" w:eastAsia="zh-CN"/>
        </w:rPr>
        <w:t>荒</w:t>
      </w:r>
      <w:r>
        <w:rPr>
          <w:rFonts w:hint="eastAsia" w:ascii="仿宋" w:hAnsi="仿宋" w:eastAsia="仿宋" w:cs="仿宋"/>
          <w:color w:val="auto"/>
          <w:spacing w:val="-1"/>
          <w:sz w:val="28"/>
          <w:szCs w:val="28"/>
          <w:highlight w:val="none"/>
          <w:lang w:eastAsia="zh-CN"/>
        </w:rPr>
        <w:t>储备300吨、玉米种子救灾备</w:t>
      </w:r>
      <w:r>
        <w:rPr>
          <w:rFonts w:hint="eastAsia" w:ascii="仿宋" w:hAnsi="仿宋" w:eastAsia="仿宋" w:cs="仿宋"/>
          <w:color w:val="auto"/>
          <w:spacing w:val="-1"/>
          <w:sz w:val="28"/>
          <w:szCs w:val="28"/>
          <w:highlight w:val="none"/>
          <w:lang w:val="en-US" w:eastAsia="zh-CN"/>
        </w:rPr>
        <w:t>荒</w:t>
      </w:r>
      <w:r>
        <w:rPr>
          <w:rFonts w:hint="eastAsia" w:ascii="仿宋" w:hAnsi="仿宋" w:eastAsia="仿宋" w:cs="仿宋"/>
          <w:color w:val="auto"/>
          <w:spacing w:val="-1"/>
          <w:sz w:val="28"/>
          <w:szCs w:val="28"/>
          <w:highlight w:val="none"/>
          <w:lang w:eastAsia="zh-CN"/>
        </w:rPr>
        <w:t>储备300吨</w:t>
      </w:r>
      <w:r>
        <w:rPr>
          <w:rFonts w:hint="eastAsia" w:ascii="仿宋" w:hAnsi="仿宋" w:eastAsia="仿宋" w:cs="仿宋"/>
          <w:color w:val="auto"/>
          <w:spacing w:val="-1"/>
          <w:sz w:val="28"/>
          <w:szCs w:val="28"/>
          <w:highlight w:val="none"/>
          <w:lang w:val="en-US" w:eastAsia="zh-CN"/>
        </w:rPr>
        <w:t>（具体详见采购需求）</w:t>
      </w:r>
    </w:p>
    <w:p w14:paraId="2DA98684">
      <w:pPr>
        <w:pStyle w:val="16"/>
        <w:spacing w:line="360" w:lineRule="auto"/>
        <w:ind w:left="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标项</w:t>
      </w:r>
      <w:r>
        <w:rPr>
          <w:rFonts w:hint="eastAsia" w:ascii="仿宋" w:hAnsi="仿宋" w:eastAsia="仿宋" w:cs="仿宋"/>
          <w:color w:val="auto"/>
          <w:spacing w:val="-1"/>
          <w:sz w:val="28"/>
          <w:szCs w:val="28"/>
          <w:highlight w:val="none"/>
          <w:lang w:val="en-US" w:eastAsia="zh-CN"/>
        </w:rPr>
        <w:t>一：</w:t>
      </w:r>
    </w:p>
    <w:p w14:paraId="7018648C">
      <w:pPr>
        <w:pStyle w:val="16"/>
        <w:spacing w:line="360" w:lineRule="auto"/>
        <w:ind w:left="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标项名称</w:t>
      </w:r>
      <w:r>
        <w:rPr>
          <w:rFonts w:hint="eastAsia" w:ascii="仿宋" w:hAnsi="仿宋" w:eastAsia="仿宋" w:cs="仿宋"/>
          <w:color w:val="auto"/>
          <w:spacing w:val="-1"/>
          <w:sz w:val="28"/>
          <w:szCs w:val="28"/>
          <w:highlight w:val="none"/>
          <w:lang w:eastAsia="zh-CN"/>
        </w:rPr>
        <w:t>：提前下达2026年自治区农业生产发展资金（</w:t>
      </w:r>
      <w:r>
        <w:rPr>
          <w:rFonts w:hint="eastAsia" w:ascii="仿宋" w:hAnsi="仿宋" w:eastAsia="仿宋" w:cs="仿宋"/>
          <w:color w:val="auto"/>
          <w:spacing w:val="-1"/>
          <w:sz w:val="28"/>
          <w:szCs w:val="28"/>
          <w:highlight w:val="none"/>
          <w:lang w:val="en-US" w:eastAsia="zh-CN"/>
        </w:rPr>
        <w:t>自治区</w:t>
      </w:r>
      <w:r>
        <w:rPr>
          <w:rFonts w:hint="eastAsia" w:ascii="仿宋" w:hAnsi="仿宋" w:eastAsia="仿宋" w:cs="仿宋"/>
          <w:color w:val="auto"/>
          <w:spacing w:val="-1"/>
          <w:sz w:val="28"/>
          <w:szCs w:val="28"/>
          <w:highlight w:val="none"/>
          <w:lang w:eastAsia="zh-CN"/>
        </w:rPr>
        <w:t>救灾备荒</w:t>
      </w:r>
      <w:r>
        <w:rPr>
          <w:rFonts w:hint="eastAsia" w:ascii="仿宋" w:hAnsi="仿宋" w:eastAsia="仿宋" w:cs="仿宋"/>
          <w:color w:val="auto"/>
          <w:spacing w:val="-1"/>
          <w:sz w:val="28"/>
          <w:szCs w:val="28"/>
          <w:highlight w:val="none"/>
          <w:lang w:val="en-US" w:eastAsia="zh-CN"/>
        </w:rPr>
        <w:t>种子</w:t>
      </w:r>
      <w:r>
        <w:rPr>
          <w:rFonts w:hint="eastAsia" w:ascii="仿宋" w:hAnsi="仿宋" w:eastAsia="仿宋" w:cs="仿宋"/>
          <w:color w:val="auto"/>
          <w:spacing w:val="-1"/>
          <w:sz w:val="28"/>
          <w:szCs w:val="28"/>
          <w:highlight w:val="none"/>
          <w:lang w:eastAsia="zh-CN"/>
        </w:rPr>
        <w:t>储备项目）</w:t>
      </w:r>
      <w:r>
        <w:rPr>
          <w:rFonts w:hint="eastAsia" w:ascii="仿宋" w:hAnsi="仿宋" w:eastAsia="仿宋" w:cs="仿宋"/>
          <w:color w:val="auto"/>
          <w:spacing w:val="-1"/>
          <w:sz w:val="28"/>
          <w:szCs w:val="28"/>
          <w:highlight w:val="none"/>
          <w:lang w:val="en-US" w:eastAsia="zh-CN"/>
        </w:rPr>
        <w:t>-</w:t>
      </w:r>
      <w:r>
        <w:rPr>
          <w:rFonts w:hint="eastAsia" w:ascii="仿宋" w:hAnsi="仿宋" w:eastAsia="仿宋" w:cs="仿宋"/>
          <w:color w:val="auto"/>
          <w:spacing w:val="-1"/>
          <w:sz w:val="28"/>
          <w:szCs w:val="28"/>
          <w:highlight w:val="none"/>
          <w:lang w:eastAsia="zh-CN"/>
        </w:rPr>
        <w:t>玉米种子救灾备荒储备服务</w:t>
      </w:r>
    </w:p>
    <w:p w14:paraId="082AECE8">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数量:</w:t>
      </w:r>
      <w:r>
        <w:rPr>
          <w:rFonts w:hint="eastAsia" w:ascii="仿宋" w:hAnsi="仿宋" w:eastAsia="仿宋" w:cs="仿宋"/>
          <w:color w:val="auto"/>
          <w:spacing w:val="-1"/>
          <w:sz w:val="28"/>
          <w:szCs w:val="28"/>
          <w:highlight w:val="none"/>
          <w:lang w:val="en-US" w:eastAsia="zh-CN"/>
        </w:rPr>
        <w:t>1批；</w:t>
      </w:r>
    </w:p>
    <w:p w14:paraId="3BBC2102">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预算金额（元）:</w:t>
      </w:r>
      <w:r>
        <w:rPr>
          <w:rFonts w:hint="eastAsia" w:ascii="仿宋" w:hAnsi="仿宋" w:eastAsia="仿宋" w:cs="仿宋"/>
          <w:color w:val="auto"/>
          <w:spacing w:val="-1"/>
          <w:sz w:val="28"/>
          <w:szCs w:val="28"/>
          <w:highlight w:val="none"/>
          <w:lang w:val="en-US" w:eastAsia="zh-CN"/>
        </w:rPr>
        <w:t>960000.00</w:t>
      </w:r>
    </w:p>
    <w:p w14:paraId="291920CC">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简要规格描述或项目基本概况介绍、用途：</w:t>
      </w:r>
      <w:r>
        <w:rPr>
          <w:rFonts w:hint="eastAsia" w:ascii="仿宋" w:hAnsi="仿宋" w:eastAsia="仿宋" w:cs="仿宋"/>
          <w:color w:val="auto"/>
          <w:spacing w:val="-1"/>
          <w:sz w:val="28"/>
          <w:szCs w:val="28"/>
          <w:highlight w:val="none"/>
          <w:lang w:eastAsia="zh-CN"/>
        </w:rPr>
        <w:t>玉米种子救灾备</w:t>
      </w:r>
      <w:r>
        <w:rPr>
          <w:rFonts w:hint="eastAsia" w:ascii="仿宋" w:hAnsi="仿宋" w:eastAsia="仿宋" w:cs="仿宋"/>
          <w:color w:val="auto"/>
          <w:spacing w:val="-1"/>
          <w:sz w:val="28"/>
          <w:szCs w:val="28"/>
          <w:highlight w:val="none"/>
          <w:lang w:val="en-US" w:eastAsia="zh-CN"/>
        </w:rPr>
        <w:t>荒</w:t>
      </w:r>
      <w:r>
        <w:rPr>
          <w:rFonts w:hint="eastAsia" w:ascii="仿宋" w:hAnsi="仿宋" w:eastAsia="仿宋" w:cs="仿宋"/>
          <w:color w:val="auto"/>
          <w:spacing w:val="-1"/>
          <w:sz w:val="28"/>
          <w:szCs w:val="28"/>
          <w:highlight w:val="none"/>
          <w:lang w:eastAsia="zh-CN"/>
        </w:rPr>
        <w:t>储备300吨</w:t>
      </w:r>
      <w:r>
        <w:rPr>
          <w:rFonts w:hint="eastAsia" w:ascii="仿宋" w:hAnsi="仿宋" w:eastAsia="仿宋" w:cs="仿宋"/>
          <w:color w:val="auto"/>
          <w:spacing w:val="-1"/>
          <w:sz w:val="28"/>
          <w:szCs w:val="28"/>
          <w:highlight w:val="none"/>
          <w:lang w:val="en-US" w:eastAsia="zh-CN"/>
        </w:rPr>
        <w:t>（具体详见采购需求）</w:t>
      </w:r>
      <w:r>
        <w:rPr>
          <w:rFonts w:hint="eastAsia" w:ascii="仿宋" w:hAnsi="仿宋" w:eastAsia="仿宋" w:cs="仿宋"/>
          <w:color w:val="auto"/>
          <w:spacing w:val="-1"/>
          <w:sz w:val="28"/>
          <w:szCs w:val="28"/>
          <w:highlight w:val="none"/>
        </w:rPr>
        <w:t>。</w:t>
      </w:r>
    </w:p>
    <w:p w14:paraId="733189DF">
      <w:pPr>
        <w:pStyle w:val="16"/>
        <w:spacing w:line="360" w:lineRule="auto"/>
        <w:ind w:left="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标项</w:t>
      </w:r>
      <w:r>
        <w:rPr>
          <w:rFonts w:hint="eastAsia" w:ascii="仿宋" w:hAnsi="仿宋" w:eastAsia="仿宋" w:cs="仿宋"/>
          <w:color w:val="auto"/>
          <w:spacing w:val="-1"/>
          <w:sz w:val="28"/>
          <w:szCs w:val="28"/>
          <w:highlight w:val="none"/>
          <w:lang w:val="en-US" w:eastAsia="zh-CN"/>
        </w:rPr>
        <w:t>二：</w:t>
      </w:r>
    </w:p>
    <w:p w14:paraId="3A60B001">
      <w:pPr>
        <w:pStyle w:val="16"/>
        <w:spacing w:line="360" w:lineRule="auto"/>
        <w:ind w:left="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标项名称</w:t>
      </w:r>
      <w:r>
        <w:rPr>
          <w:rFonts w:hint="eastAsia" w:ascii="仿宋" w:hAnsi="仿宋" w:eastAsia="仿宋" w:cs="仿宋"/>
          <w:color w:val="auto"/>
          <w:spacing w:val="-1"/>
          <w:sz w:val="28"/>
          <w:szCs w:val="28"/>
          <w:highlight w:val="none"/>
          <w:lang w:eastAsia="zh-CN"/>
        </w:rPr>
        <w:t>：提前下达2026年自治区农业生产发展资金（</w:t>
      </w:r>
      <w:r>
        <w:rPr>
          <w:rFonts w:hint="eastAsia" w:ascii="仿宋" w:hAnsi="仿宋" w:eastAsia="仿宋" w:cs="仿宋"/>
          <w:color w:val="auto"/>
          <w:spacing w:val="-1"/>
          <w:sz w:val="28"/>
          <w:szCs w:val="28"/>
          <w:highlight w:val="none"/>
          <w:lang w:val="en-US" w:eastAsia="zh-CN"/>
        </w:rPr>
        <w:t>自治区</w:t>
      </w:r>
      <w:r>
        <w:rPr>
          <w:rFonts w:hint="eastAsia" w:ascii="仿宋" w:hAnsi="仿宋" w:eastAsia="仿宋" w:cs="仿宋"/>
          <w:color w:val="auto"/>
          <w:spacing w:val="-1"/>
          <w:sz w:val="28"/>
          <w:szCs w:val="28"/>
          <w:highlight w:val="none"/>
          <w:lang w:eastAsia="zh-CN"/>
        </w:rPr>
        <w:t>救灾备荒</w:t>
      </w:r>
      <w:r>
        <w:rPr>
          <w:rFonts w:hint="eastAsia" w:ascii="仿宋" w:hAnsi="仿宋" w:eastAsia="仿宋" w:cs="仿宋"/>
          <w:color w:val="auto"/>
          <w:spacing w:val="-1"/>
          <w:sz w:val="28"/>
          <w:szCs w:val="28"/>
          <w:highlight w:val="none"/>
          <w:lang w:val="en-US" w:eastAsia="zh-CN"/>
        </w:rPr>
        <w:t>种子</w:t>
      </w:r>
      <w:r>
        <w:rPr>
          <w:rFonts w:hint="eastAsia" w:ascii="仿宋" w:hAnsi="仿宋" w:eastAsia="仿宋" w:cs="仿宋"/>
          <w:color w:val="auto"/>
          <w:spacing w:val="-1"/>
          <w:sz w:val="28"/>
          <w:szCs w:val="28"/>
          <w:highlight w:val="none"/>
          <w:lang w:eastAsia="zh-CN"/>
        </w:rPr>
        <w:t>储备项目）</w:t>
      </w:r>
      <w:r>
        <w:rPr>
          <w:rFonts w:hint="eastAsia" w:ascii="仿宋" w:hAnsi="仿宋" w:eastAsia="仿宋" w:cs="仿宋"/>
          <w:color w:val="auto"/>
          <w:spacing w:val="-1"/>
          <w:sz w:val="28"/>
          <w:szCs w:val="28"/>
          <w:highlight w:val="none"/>
          <w:lang w:val="en-US" w:eastAsia="zh-CN"/>
        </w:rPr>
        <w:t>-</w:t>
      </w:r>
      <w:r>
        <w:rPr>
          <w:rFonts w:hint="eastAsia" w:ascii="仿宋" w:hAnsi="仿宋" w:eastAsia="仿宋" w:cs="仿宋"/>
          <w:color w:val="auto"/>
          <w:spacing w:val="-1"/>
          <w:sz w:val="28"/>
          <w:szCs w:val="28"/>
          <w:highlight w:val="none"/>
          <w:lang w:eastAsia="zh-CN"/>
        </w:rPr>
        <w:t>棉花种子救灾备荒储备服务</w:t>
      </w:r>
    </w:p>
    <w:p w14:paraId="37D94C6A">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数量:</w:t>
      </w:r>
      <w:r>
        <w:rPr>
          <w:rFonts w:hint="eastAsia" w:ascii="仿宋" w:hAnsi="仿宋" w:eastAsia="仿宋" w:cs="仿宋"/>
          <w:color w:val="auto"/>
          <w:spacing w:val="-1"/>
          <w:sz w:val="28"/>
          <w:szCs w:val="28"/>
          <w:highlight w:val="none"/>
          <w:lang w:val="en-US" w:eastAsia="zh-CN"/>
        </w:rPr>
        <w:t>1批；</w:t>
      </w:r>
    </w:p>
    <w:p w14:paraId="5892CDA8">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预算金额（元）:</w:t>
      </w:r>
      <w:r>
        <w:rPr>
          <w:rFonts w:hint="eastAsia" w:ascii="仿宋" w:hAnsi="仿宋" w:eastAsia="仿宋" w:cs="仿宋"/>
          <w:color w:val="auto"/>
          <w:spacing w:val="-1"/>
          <w:sz w:val="28"/>
          <w:szCs w:val="28"/>
          <w:highlight w:val="none"/>
          <w:lang w:val="en-US" w:eastAsia="zh-CN"/>
        </w:rPr>
        <w:t>960000.00</w:t>
      </w:r>
    </w:p>
    <w:p w14:paraId="6AC91BC9">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简要规格描述或项目基本概况介绍、用途：</w:t>
      </w:r>
      <w:r>
        <w:rPr>
          <w:rFonts w:hint="eastAsia" w:ascii="仿宋" w:hAnsi="仿宋" w:eastAsia="仿宋" w:cs="仿宋"/>
          <w:color w:val="auto"/>
          <w:spacing w:val="-1"/>
          <w:sz w:val="28"/>
          <w:szCs w:val="28"/>
          <w:highlight w:val="none"/>
          <w:lang w:eastAsia="zh-CN"/>
        </w:rPr>
        <w:t>棉花种子救灾备</w:t>
      </w:r>
      <w:r>
        <w:rPr>
          <w:rFonts w:hint="eastAsia" w:ascii="仿宋" w:hAnsi="仿宋" w:eastAsia="仿宋" w:cs="仿宋"/>
          <w:color w:val="auto"/>
          <w:spacing w:val="-1"/>
          <w:sz w:val="28"/>
          <w:szCs w:val="28"/>
          <w:highlight w:val="none"/>
          <w:lang w:val="en-US" w:eastAsia="zh-CN"/>
        </w:rPr>
        <w:t>荒</w:t>
      </w:r>
      <w:r>
        <w:rPr>
          <w:rFonts w:hint="eastAsia" w:ascii="仿宋" w:hAnsi="仿宋" w:eastAsia="仿宋" w:cs="仿宋"/>
          <w:color w:val="auto"/>
          <w:spacing w:val="-1"/>
          <w:sz w:val="28"/>
          <w:szCs w:val="28"/>
          <w:highlight w:val="none"/>
          <w:lang w:eastAsia="zh-CN"/>
        </w:rPr>
        <w:t>储备300吨</w:t>
      </w:r>
      <w:r>
        <w:rPr>
          <w:rFonts w:hint="eastAsia" w:ascii="仿宋" w:hAnsi="仿宋" w:eastAsia="仿宋" w:cs="仿宋"/>
          <w:color w:val="auto"/>
          <w:spacing w:val="-1"/>
          <w:sz w:val="28"/>
          <w:szCs w:val="28"/>
          <w:highlight w:val="none"/>
          <w:lang w:val="en-US" w:eastAsia="zh-CN"/>
        </w:rPr>
        <w:t>（具体详见采购需求）</w:t>
      </w:r>
      <w:r>
        <w:rPr>
          <w:rFonts w:hint="eastAsia" w:ascii="仿宋" w:hAnsi="仿宋" w:eastAsia="仿宋" w:cs="仿宋"/>
          <w:color w:val="auto"/>
          <w:spacing w:val="-1"/>
          <w:sz w:val="28"/>
          <w:szCs w:val="28"/>
          <w:highlight w:val="none"/>
        </w:rPr>
        <w:t>。</w:t>
      </w:r>
    </w:p>
    <w:p w14:paraId="6476619D">
      <w:pPr>
        <w:pStyle w:val="16"/>
        <w:spacing w:line="360" w:lineRule="auto"/>
        <w:ind w:left="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rPr>
        <w:t>合同履约期：</w:t>
      </w:r>
      <w:r>
        <w:rPr>
          <w:rFonts w:hint="eastAsia" w:ascii="仿宋" w:hAnsi="仿宋" w:eastAsia="仿宋" w:cs="仿宋"/>
          <w:color w:val="auto"/>
          <w:spacing w:val="-5"/>
          <w:sz w:val="28"/>
          <w:szCs w:val="28"/>
          <w:highlight w:val="none"/>
          <w:lang w:eastAsia="zh-CN"/>
        </w:rPr>
        <w:t>合同签订之日起至 2026 年 10 月 01 日止完成储备数量，储备时间为 2026年 10 月 01 日至 2027 年 09 月 30 日。</w:t>
      </w:r>
    </w:p>
    <w:p w14:paraId="35A9EFBD">
      <w:pPr>
        <w:pStyle w:val="16"/>
        <w:spacing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本项目（否）接受联合体投标。</w:t>
      </w:r>
    </w:p>
    <w:p w14:paraId="1FB7C5FC">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二、申请人的资格要求：</w:t>
      </w:r>
    </w:p>
    <w:p w14:paraId="75071E02">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1.满足《中华人民共和国政府采购法》第二十二条规定；</w:t>
      </w:r>
    </w:p>
    <w:p w14:paraId="4DED14C3">
      <w:pPr>
        <w:pStyle w:val="16"/>
        <w:spacing w:line="360" w:lineRule="auto"/>
        <w:ind w:left="0"/>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rPr>
        <w:t>2.落实政府采购政策需满足的资格要求：标项1</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标项2</w:t>
      </w:r>
      <w:r>
        <w:rPr>
          <w:rFonts w:hint="eastAsia" w:ascii="仿宋" w:hAnsi="仿宋" w:eastAsia="仿宋" w:cs="仿宋"/>
          <w:color w:val="auto"/>
          <w:spacing w:val="-5"/>
          <w:sz w:val="28"/>
          <w:szCs w:val="28"/>
          <w:highlight w:val="none"/>
        </w:rPr>
        <w:t>：本项目专门面向中小企业采购</w:t>
      </w:r>
      <w:r>
        <w:rPr>
          <w:rFonts w:hint="eastAsia" w:ascii="仿宋" w:hAnsi="仿宋" w:eastAsia="仿宋" w:cs="仿宋"/>
          <w:color w:val="auto"/>
          <w:spacing w:val="-5"/>
          <w:sz w:val="28"/>
          <w:szCs w:val="28"/>
          <w:highlight w:val="none"/>
          <w:lang w:eastAsia="zh-CN"/>
        </w:rPr>
        <w:t>。</w:t>
      </w:r>
    </w:p>
    <w:p w14:paraId="6D832DED">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3.本项目的特定资格要求：</w:t>
      </w:r>
    </w:p>
    <w:p w14:paraId="03C3754D">
      <w:pPr>
        <w:pStyle w:val="16"/>
        <w:spacing w:line="360" w:lineRule="auto"/>
        <w:ind w:left="0"/>
        <w:rPr>
          <w:rFonts w:hint="eastAsia" w:ascii="仿宋" w:hAnsi="仿宋" w:eastAsia="仿宋" w:cs="仿宋"/>
          <w:b/>
          <w:bCs/>
          <w:color w:val="FF0000"/>
          <w:spacing w:val="-7"/>
          <w:sz w:val="28"/>
          <w:szCs w:val="28"/>
          <w:highlight w:val="none"/>
        </w:rPr>
      </w:pPr>
      <w:r>
        <w:rPr>
          <w:rFonts w:hint="eastAsia" w:ascii="仿宋" w:hAnsi="仿宋" w:eastAsia="仿宋" w:cs="仿宋"/>
          <w:b/>
          <w:bCs/>
          <w:color w:val="FF0000"/>
          <w:spacing w:val="-7"/>
          <w:sz w:val="28"/>
          <w:szCs w:val="28"/>
          <w:highlight w:val="none"/>
        </w:rPr>
        <w:t>1、申请取得种子生产经营许可证的，应当具有与种子生产经营相适应的生产经营设施、设备及专业技术人员，以及法规和国务院农业、林业主管部门规定的其他条件。</w:t>
      </w:r>
    </w:p>
    <w:p w14:paraId="68CEC6D9">
      <w:pPr>
        <w:pStyle w:val="16"/>
        <w:spacing w:line="360" w:lineRule="auto"/>
        <w:ind w:left="0"/>
        <w:rPr>
          <w:rFonts w:hint="eastAsia" w:ascii="仿宋" w:hAnsi="仿宋" w:eastAsia="仿宋" w:cs="仿宋"/>
          <w:b/>
          <w:bCs/>
          <w:color w:val="FF0000"/>
          <w:spacing w:val="-7"/>
          <w:sz w:val="28"/>
          <w:szCs w:val="28"/>
          <w:highlight w:val="none"/>
        </w:rPr>
      </w:pPr>
      <w:r>
        <w:rPr>
          <w:rFonts w:hint="eastAsia" w:ascii="仿宋" w:hAnsi="仿宋" w:eastAsia="仿宋" w:cs="仿宋"/>
          <w:b/>
          <w:bCs/>
          <w:color w:val="FF0000"/>
          <w:spacing w:val="-7"/>
          <w:sz w:val="28"/>
          <w:szCs w:val="28"/>
          <w:highlight w:val="none"/>
          <w:lang w:val="en-US" w:eastAsia="zh-CN"/>
        </w:rPr>
        <w:t>2、</w:t>
      </w:r>
      <w:r>
        <w:rPr>
          <w:rFonts w:hint="eastAsia" w:ascii="仿宋" w:hAnsi="仿宋" w:eastAsia="仿宋" w:cs="仿宋"/>
          <w:b/>
          <w:bCs/>
          <w:color w:val="FF0000"/>
          <w:spacing w:val="-7"/>
          <w:sz w:val="28"/>
          <w:szCs w:val="28"/>
          <w:highlight w:val="none"/>
        </w:rPr>
        <w:t>从事种子生产的，还应当同时具有繁殖种子的隔离和培育条件，具有无检疫性有害生物的种子生产地点或者县级以上人民政府林业主管部门确定的采种林。</w:t>
      </w:r>
    </w:p>
    <w:p w14:paraId="5319076D">
      <w:pPr>
        <w:pStyle w:val="16"/>
        <w:spacing w:line="360" w:lineRule="auto"/>
        <w:ind w:left="0"/>
        <w:rPr>
          <w:rFonts w:hint="eastAsia" w:ascii="仿宋" w:hAnsi="仿宋" w:eastAsia="仿宋" w:cs="仿宋"/>
          <w:b/>
          <w:bCs/>
          <w:color w:val="FF0000"/>
          <w:spacing w:val="-7"/>
          <w:sz w:val="28"/>
          <w:szCs w:val="28"/>
          <w:highlight w:val="none"/>
        </w:rPr>
      </w:pPr>
      <w:r>
        <w:rPr>
          <w:rFonts w:hint="eastAsia" w:ascii="仿宋" w:hAnsi="仿宋" w:eastAsia="仿宋" w:cs="仿宋"/>
          <w:b/>
          <w:bCs/>
          <w:color w:val="FF0000"/>
          <w:spacing w:val="-7"/>
          <w:sz w:val="28"/>
          <w:szCs w:val="28"/>
          <w:highlight w:val="none"/>
          <w:lang w:val="en-US" w:eastAsia="zh-CN"/>
        </w:rPr>
        <w:t>3、</w:t>
      </w:r>
      <w:r>
        <w:rPr>
          <w:rFonts w:hint="eastAsia" w:ascii="仿宋" w:hAnsi="仿宋" w:eastAsia="仿宋" w:cs="仿宋"/>
          <w:b/>
          <w:bCs/>
          <w:color w:val="FF0000"/>
          <w:spacing w:val="-7"/>
          <w:sz w:val="28"/>
          <w:szCs w:val="28"/>
          <w:highlight w:val="none"/>
        </w:rPr>
        <w:t>申请领取具有植物新品种权的种子生产经营许可证的，应当征得植物新品种权所有人的书面同意。</w:t>
      </w:r>
    </w:p>
    <w:p w14:paraId="195C4D87">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三、获取采购文件</w:t>
      </w:r>
    </w:p>
    <w:p w14:paraId="4613446C">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时间：</w:t>
      </w:r>
      <w:r>
        <w:rPr>
          <w:rFonts w:ascii="仿宋" w:hAnsi="仿宋" w:eastAsia="仿宋" w:cs="仿宋"/>
          <w:color w:val="auto"/>
          <w:spacing w:val="-7"/>
          <w:position w:val="14"/>
          <w:sz w:val="28"/>
          <w:szCs w:val="28"/>
          <w:highlight w:val="none"/>
        </w:rPr>
        <w:t>202</w:t>
      </w:r>
      <w:r>
        <w:rPr>
          <w:rFonts w:hint="eastAsia" w:ascii="仿宋" w:hAnsi="仿宋" w:eastAsia="仿宋" w:cs="仿宋"/>
          <w:color w:val="auto"/>
          <w:spacing w:val="-7"/>
          <w:position w:val="14"/>
          <w:sz w:val="28"/>
          <w:szCs w:val="28"/>
          <w:highlight w:val="none"/>
          <w:lang w:val="en-US" w:eastAsia="zh-CN"/>
        </w:rPr>
        <w:t>6</w:t>
      </w:r>
      <w:r>
        <w:rPr>
          <w:rFonts w:ascii="仿宋" w:hAnsi="仿宋" w:eastAsia="仿宋" w:cs="仿宋"/>
          <w:color w:val="auto"/>
          <w:spacing w:val="-7"/>
          <w:position w:val="14"/>
          <w:sz w:val="28"/>
          <w:szCs w:val="28"/>
          <w:highlight w:val="none"/>
        </w:rPr>
        <w:t>年</w:t>
      </w:r>
      <w:r>
        <w:rPr>
          <w:rFonts w:hint="eastAsia" w:ascii="仿宋" w:hAnsi="仿宋" w:eastAsia="仿宋" w:cs="仿宋"/>
          <w:color w:val="auto"/>
          <w:spacing w:val="-7"/>
          <w:position w:val="14"/>
          <w:sz w:val="28"/>
          <w:szCs w:val="28"/>
          <w:highlight w:val="none"/>
          <w:lang w:val="en-US" w:eastAsia="zh-CN"/>
        </w:rPr>
        <w:t>05</w:t>
      </w:r>
      <w:r>
        <w:rPr>
          <w:rFonts w:ascii="仿宋" w:hAnsi="仿宋" w:eastAsia="仿宋" w:cs="仿宋"/>
          <w:color w:val="auto"/>
          <w:spacing w:val="-7"/>
          <w:position w:val="14"/>
          <w:sz w:val="28"/>
          <w:szCs w:val="28"/>
          <w:highlight w:val="none"/>
        </w:rPr>
        <w:t>月</w:t>
      </w:r>
      <w:r>
        <w:rPr>
          <w:rFonts w:hint="eastAsia" w:ascii="仿宋" w:hAnsi="仿宋" w:eastAsia="仿宋" w:cs="仿宋"/>
          <w:color w:val="auto"/>
          <w:spacing w:val="-7"/>
          <w:position w:val="14"/>
          <w:sz w:val="28"/>
          <w:szCs w:val="28"/>
          <w:highlight w:val="none"/>
          <w:lang w:val="en-US" w:eastAsia="zh-CN"/>
        </w:rPr>
        <w:t>25</w:t>
      </w:r>
      <w:r>
        <w:rPr>
          <w:rFonts w:ascii="仿宋" w:hAnsi="仿宋" w:eastAsia="仿宋" w:cs="仿宋"/>
          <w:color w:val="auto"/>
          <w:spacing w:val="-7"/>
          <w:position w:val="14"/>
          <w:sz w:val="28"/>
          <w:szCs w:val="28"/>
          <w:highlight w:val="none"/>
        </w:rPr>
        <w:t>日</w:t>
      </w:r>
      <w:r>
        <w:rPr>
          <w:rFonts w:hint="eastAsia" w:ascii="仿宋" w:hAnsi="仿宋" w:eastAsia="仿宋" w:cs="仿宋"/>
          <w:color w:val="auto"/>
          <w:spacing w:val="-7"/>
          <w:position w:val="14"/>
          <w:sz w:val="28"/>
          <w:szCs w:val="28"/>
          <w:highlight w:val="none"/>
          <w:lang w:val="en-US" w:eastAsia="zh-CN"/>
        </w:rPr>
        <w:t>00:00</w:t>
      </w:r>
      <w:r>
        <w:rPr>
          <w:rFonts w:ascii="仿宋" w:hAnsi="仿宋" w:eastAsia="仿宋" w:cs="仿宋"/>
          <w:color w:val="auto"/>
          <w:spacing w:val="-7"/>
          <w:position w:val="14"/>
          <w:sz w:val="28"/>
          <w:szCs w:val="28"/>
          <w:highlight w:val="none"/>
        </w:rPr>
        <w:t>至202</w:t>
      </w:r>
      <w:r>
        <w:rPr>
          <w:rFonts w:hint="eastAsia" w:ascii="仿宋" w:hAnsi="仿宋" w:eastAsia="仿宋" w:cs="仿宋"/>
          <w:color w:val="auto"/>
          <w:spacing w:val="-7"/>
          <w:position w:val="14"/>
          <w:sz w:val="28"/>
          <w:szCs w:val="28"/>
          <w:highlight w:val="none"/>
          <w:lang w:val="en-US" w:eastAsia="zh-CN"/>
        </w:rPr>
        <w:t>6</w:t>
      </w:r>
      <w:r>
        <w:rPr>
          <w:rFonts w:ascii="仿宋" w:hAnsi="仿宋" w:eastAsia="仿宋" w:cs="仿宋"/>
          <w:color w:val="auto"/>
          <w:spacing w:val="-7"/>
          <w:position w:val="14"/>
          <w:sz w:val="28"/>
          <w:szCs w:val="28"/>
          <w:highlight w:val="none"/>
        </w:rPr>
        <w:t>年</w:t>
      </w:r>
      <w:r>
        <w:rPr>
          <w:rFonts w:hint="eastAsia" w:ascii="仿宋" w:hAnsi="仿宋" w:eastAsia="仿宋" w:cs="仿宋"/>
          <w:color w:val="auto"/>
          <w:spacing w:val="-7"/>
          <w:position w:val="14"/>
          <w:sz w:val="28"/>
          <w:szCs w:val="28"/>
          <w:highlight w:val="none"/>
          <w:lang w:val="en-US" w:eastAsia="zh-CN"/>
        </w:rPr>
        <w:t>06</w:t>
      </w:r>
      <w:r>
        <w:rPr>
          <w:rFonts w:ascii="仿宋" w:hAnsi="仿宋" w:eastAsia="仿宋" w:cs="仿宋"/>
          <w:color w:val="auto"/>
          <w:spacing w:val="-7"/>
          <w:position w:val="14"/>
          <w:sz w:val="28"/>
          <w:szCs w:val="28"/>
          <w:highlight w:val="none"/>
        </w:rPr>
        <w:t>月</w:t>
      </w:r>
      <w:r>
        <w:rPr>
          <w:rFonts w:hint="eastAsia" w:ascii="仿宋" w:hAnsi="仿宋" w:eastAsia="仿宋" w:cs="仿宋"/>
          <w:color w:val="auto"/>
          <w:spacing w:val="-7"/>
          <w:position w:val="14"/>
          <w:sz w:val="28"/>
          <w:szCs w:val="28"/>
          <w:highlight w:val="none"/>
          <w:lang w:val="en-US" w:eastAsia="zh-CN"/>
        </w:rPr>
        <w:t>04</w:t>
      </w:r>
      <w:r>
        <w:rPr>
          <w:rFonts w:ascii="仿宋" w:hAnsi="仿宋" w:eastAsia="仿宋" w:cs="仿宋"/>
          <w:color w:val="auto"/>
          <w:spacing w:val="-8"/>
          <w:position w:val="14"/>
          <w:sz w:val="28"/>
          <w:szCs w:val="28"/>
          <w:highlight w:val="none"/>
        </w:rPr>
        <w:t>日</w:t>
      </w:r>
      <w:r>
        <w:rPr>
          <w:rFonts w:hint="eastAsia" w:ascii="仿宋" w:hAnsi="仿宋" w:eastAsia="仿宋" w:cs="仿宋"/>
          <w:color w:val="auto"/>
          <w:spacing w:val="-8"/>
          <w:position w:val="14"/>
          <w:sz w:val="28"/>
          <w:szCs w:val="28"/>
          <w:highlight w:val="none"/>
          <w:lang w:val="en-US" w:eastAsia="zh-CN"/>
        </w:rPr>
        <w:t>23:59</w:t>
      </w:r>
      <w:r>
        <w:rPr>
          <w:rFonts w:ascii="仿宋" w:hAnsi="仿宋" w:eastAsia="仿宋" w:cs="仿宋"/>
          <w:color w:val="auto"/>
          <w:spacing w:val="-7"/>
          <w:position w:val="14"/>
          <w:sz w:val="28"/>
          <w:szCs w:val="28"/>
          <w:highlight w:val="none"/>
        </w:rPr>
        <w:t>（北京时间，法定节假日除外）</w:t>
      </w:r>
    </w:p>
    <w:p w14:paraId="3AF9465C">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地点：政采云平台线上获取</w:t>
      </w:r>
    </w:p>
    <w:p w14:paraId="3D2639FA">
      <w:pPr>
        <w:pStyle w:val="16"/>
        <w:spacing w:line="360" w:lineRule="auto"/>
        <w:ind w:left="0"/>
        <w:rPr>
          <w:rStyle w:val="37"/>
          <w:rFonts w:hint="eastAsia" w:ascii="宋体" w:hAnsi="宋体" w:eastAsia="宋体" w:cs="宋体"/>
          <w:i w:val="0"/>
          <w:iCs w:val="0"/>
          <w:caps w:val="0"/>
          <w:color w:val="auto"/>
          <w:spacing w:val="0"/>
          <w:sz w:val="27"/>
          <w:szCs w:val="27"/>
          <w:highlight w:val="none"/>
        </w:rPr>
      </w:pPr>
      <w:r>
        <w:rPr>
          <w:rFonts w:hint="eastAsia" w:ascii="仿宋" w:hAnsi="仿宋" w:eastAsia="仿宋" w:cs="仿宋"/>
          <w:color w:val="auto"/>
          <w:spacing w:val="-1"/>
          <w:sz w:val="28"/>
          <w:szCs w:val="28"/>
          <w:highlight w:val="none"/>
        </w:rPr>
        <w:t>方式：供应商登录政采云平台</w:t>
      </w:r>
      <w:r>
        <w:rPr>
          <w:rFonts w:hint="eastAsia" w:ascii="仿宋" w:hAnsi="仿宋" w:eastAsia="仿宋" w:cs="仿宋"/>
          <w:color w:val="auto"/>
          <w:spacing w:val="-1"/>
          <w:sz w:val="28"/>
          <w:szCs w:val="28"/>
          <w:highlight w:val="none"/>
        </w:rPr>
        <w:fldChar w:fldCharType="begin"/>
      </w:r>
      <w:r>
        <w:rPr>
          <w:rFonts w:hint="eastAsia" w:ascii="仿宋" w:hAnsi="仿宋" w:eastAsia="仿宋" w:cs="仿宋"/>
          <w:color w:val="auto"/>
          <w:spacing w:val="-1"/>
          <w:sz w:val="28"/>
          <w:szCs w:val="28"/>
          <w:highlight w:val="none"/>
        </w:rPr>
        <w:instrText xml:space="preserve"> HYPERLINK "https://www.zcygov.cn/" </w:instrText>
      </w:r>
      <w:r>
        <w:rPr>
          <w:rFonts w:hint="eastAsia" w:ascii="仿宋" w:hAnsi="仿宋" w:eastAsia="仿宋" w:cs="仿宋"/>
          <w:color w:val="auto"/>
          <w:spacing w:val="-1"/>
          <w:sz w:val="28"/>
          <w:szCs w:val="28"/>
          <w:highlight w:val="none"/>
        </w:rPr>
        <w:fldChar w:fldCharType="separate"/>
      </w:r>
      <w:r>
        <w:rPr>
          <w:rFonts w:hint="eastAsia" w:ascii="仿宋" w:hAnsi="仿宋" w:eastAsia="仿宋" w:cs="仿宋"/>
          <w:color w:val="auto"/>
          <w:spacing w:val="-1"/>
          <w:sz w:val="28"/>
          <w:szCs w:val="28"/>
          <w:highlight w:val="none"/>
        </w:rPr>
        <w:t>https://www.zcygov.cn/</w:t>
      </w:r>
      <w:r>
        <w:rPr>
          <w:rFonts w:hint="eastAsia" w:ascii="仿宋" w:hAnsi="仿宋" w:eastAsia="仿宋" w:cs="仿宋"/>
          <w:color w:val="auto"/>
          <w:spacing w:val="-1"/>
          <w:sz w:val="28"/>
          <w:szCs w:val="28"/>
          <w:highlight w:val="none"/>
        </w:rPr>
        <w:fldChar w:fldCharType="end"/>
      </w:r>
      <w:r>
        <w:rPr>
          <w:rFonts w:hint="eastAsia" w:ascii="仿宋" w:hAnsi="仿宋" w:eastAsia="仿宋" w:cs="仿宋"/>
          <w:color w:val="auto"/>
          <w:spacing w:val="-1"/>
          <w:sz w:val="28"/>
          <w:szCs w:val="28"/>
          <w:highlight w:val="none"/>
        </w:rPr>
        <w:t>在线申请获取采购文件(进入“项目采购”应用，在获取采购文件菜单中选择项目，申请获取采购文件）</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售价（元）：0</w:t>
      </w:r>
    </w:p>
    <w:p w14:paraId="4B9E5B3F">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四、提交投标文件截止时间、开标时间和地点</w:t>
      </w:r>
    </w:p>
    <w:p w14:paraId="4595AA2C">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提交投标文件截止时间：202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05</w:t>
      </w:r>
      <w:r>
        <w:rPr>
          <w:rFonts w:hint="eastAsia" w:ascii="仿宋" w:hAnsi="仿宋" w:eastAsia="仿宋" w:cs="仿宋"/>
          <w:color w:val="auto"/>
          <w:spacing w:val="-1"/>
          <w:sz w:val="28"/>
          <w:szCs w:val="28"/>
          <w:highlight w:val="none"/>
          <w:lang w:eastAsia="zh-CN"/>
        </w:rPr>
        <w:t>日1</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pacing w:val="-1"/>
          <w:sz w:val="28"/>
          <w:szCs w:val="28"/>
          <w:highlight w:val="none"/>
        </w:rPr>
        <w:t>（北京时间）</w:t>
      </w:r>
    </w:p>
    <w:p w14:paraId="659DB49F">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投标地点：新疆政采云平台https://www.zcygov.cn/</w:t>
      </w:r>
      <w:r>
        <w:rPr>
          <w:rFonts w:hint="eastAsia" w:ascii="仿宋" w:hAnsi="仿宋" w:eastAsia="仿宋" w:cs="仿宋"/>
          <w:color w:val="auto"/>
          <w:spacing w:val="-1"/>
          <w:sz w:val="28"/>
          <w:szCs w:val="28"/>
          <w:highlight w:val="none"/>
          <w:lang w:eastAsia="zh-CN"/>
        </w:rPr>
        <w:t>。</w:t>
      </w:r>
    </w:p>
    <w:p w14:paraId="3ACE629B">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开标时间：202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05</w:t>
      </w:r>
      <w:r>
        <w:rPr>
          <w:rFonts w:hint="eastAsia" w:ascii="仿宋" w:hAnsi="仿宋" w:eastAsia="仿宋" w:cs="仿宋"/>
          <w:color w:val="auto"/>
          <w:spacing w:val="-1"/>
          <w:sz w:val="28"/>
          <w:szCs w:val="28"/>
          <w:highlight w:val="none"/>
          <w:lang w:eastAsia="zh-CN"/>
        </w:rPr>
        <w:t>日1</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pacing w:val="-1"/>
          <w:sz w:val="28"/>
          <w:szCs w:val="28"/>
          <w:highlight w:val="none"/>
        </w:rPr>
        <w:t>（北京时间）</w:t>
      </w:r>
    </w:p>
    <w:p w14:paraId="7263F647">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开标地点：新疆政采云平台https://www.zcygov.cn/</w:t>
      </w:r>
      <w:r>
        <w:rPr>
          <w:rFonts w:hint="eastAsia" w:ascii="仿宋" w:hAnsi="仿宋" w:eastAsia="仿宋" w:cs="仿宋"/>
          <w:color w:val="auto"/>
          <w:spacing w:val="-1"/>
          <w:sz w:val="28"/>
          <w:szCs w:val="28"/>
          <w:highlight w:val="none"/>
          <w:lang w:eastAsia="zh-CN"/>
        </w:rPr>
        <w:t>。</w:t>
      </w:r>
    </w:p>
    <w:p w14:paraId="3F96305D">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五、公告期限</w:t>
      </w:r>
    </w:p>
    <w:p w14:paraId="59D9880A">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自本公告发布之日起</w:t>
      </w:r>
      <w:r>
        <w:rPr>
          <w:rFonts w:hint="eastAsia" w:ascii="仿宋" w:hAnsi="仿宋" w:eastAsia="仿宋" w:cs="仿宋"/>
          <w:color w:val="auto"/>
          <w:spacing w:val="-5"/>
          <w:sz w:val="28"/>
          <w:szCs w:val="28"/>
          <w:highlight w:val="none"/>
          <w:lang w:val="en-US" w:eastAsia="zh-CN"/>
        </w:rPr>
        <w:t>5</w:t>
      </w:r>
      <w:r>
        <w:rPr>
          <w:rFonts w:hint="eastAsia" w:ascii="仿宋" w:hAnsi="仿宋" w:eastAsia="仿宋" w:cs="仿宋"/>
          <w:color w:val="auto"/>
          <w:spacing w:val="-5"/>
          <w:sz w:val="28"/>
          <w:szCs w:val="28"/>
          <w:highlight w:val="none"/>
        </w:rPr>
        <w:t>个工作日。</w:t>
      </w:r>
    </w:p>
    <w:p w14:paraId="6DA442A6">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六、其他补充事宜</w:t>
      </w:r>
    </w:p>
    <w:p w14:paraId="101EE40A">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1、本项目实行电子招投标，供应商须登录政采云平台申请获取采购文件，并需要使用CA锁，登录政采云电子投标客户端制作响应文件，若供应商参与投标,自行承担与投标有关的一切费用。 </w:t>
      </w:r>
    </w:p>
    <w:p w14:paraId="17B1CA72">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2、各供应商应在开标前确保是新疆维吾尔自治区政府采购网正式注册入库的供应商，并完成CA数字证书申领。因未注册入库、未办理CA数字证书等原因造成无法投标或投标失败等后果的由供应商自行承担。 </w:t>
      </w:r>
    </w:p>
    <w:p w14:paraId="2A0B40B1">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 </w:t>
      </w:r>
    </w:p>
    <w:p w14:paraId="1164BFC0">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4、供应商在开标时须携带制作加密电子响应文件所使用的CA锁，电脑须提前配置好浏览器（建议使用360浏览器或谷歌浏览器），以便开标时在线解密。 </w:t>
      </w:r>
    </w:p>
    <w:p w14:paraId="0A76E501">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5、投标供应商应当在投标截止时间前，将生成的“电子加密响应文件”上传递交至“政府采购云平台”，投标截止时间以后上传递交的响应文件将被“政府采购云平台”拒收。 </w:t>
      </w:r>
    </w:p>
    <w:p w14:paraId="5D3189FC">
      <w:pPr>
        <w:pStyle w:val="16"/>
        <w:spacing w:line="360" w:lineRule="auto"/>
        <w:ind w:left="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lang w:val="en-US" w:eastAsia="zh-CN"/>
        </w:rPr>
        <w:t>6</w:t>
      </w:r>
      <w:r>
        <w:rPr>
          <w:rFonts w:hint="eastAsia" w:ascii="仿宋" w:hAnsi="仿宋" w:eastAsia="仿宋" w:cs="仿宋"/>
          <w:color w:val="auto"/>
          <w:spacing w:val="-5"/>
          <w:sz w:val="28"/>
          <w:szCs w:val="28"/>
          <w:highlight w:val="none"/>
        </w:rPr>
        <w:t>、本公告在新疆政府采购网发布。</w:t>
      </w:r>
    </w:p>
    <w:p w14:paraId="5EDD51DD">
      <w:pPr>
        <w:pStyle w:val="16"/>
        <w:spacing w:line="360" w:lineRule="auto"/>
        <w:ind w:left="0"/>
        <w:rPr>
          <w:rFonts w:hint="eastAsia" w:ascii="仿宋" w:hAnsi="仿宋" w:eastAsia="仿宋" w:cs="仿宋"/>
          <w:b/>
          <w:bCs/>
          <w:color w:val="auto"/>
          <w:spacing w:val="-7"/>
          <w:sz w:val="28"/>
          <w:szCs w:val="28"/>
          <w:highlight w:val="none"/>
        </w:rPr>
      </w:pPr>
      <w:r>
        <w:rPr>
          <w:rFonts w:hint="eastAsia" w:ascii="仿宋" w:hAnsi="仿宋" w:eastAsia="仿宋" w:cs="仿宋"/>
          <w:b/>
          <w:bCs/>
          <w:color w:val="auto"/>
          <w:spacing w:val="-7"/>
          <w:sz w:val="28"/>
          <w:szCs w:val="28"/>
          <w:highlight w:val="none"/>
        </w:rPr>
        <w:t>七、对本次采购提出询问，请按以下方式联系</w:t>
      </w:r>
    </w:p>
    <w:p w14:paraId="0D2D44D1">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1.采购人信息</w:t>
      </w:r>
    </w:p>
    <w:p w14:paraId="4E25C704">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名 称：</w:t>
      </w:r>
      <w:r>
        <w:rPr>
          <w:rFonts w:hint="eastAsia" w:ascii="仿宋" w:hAnsi="仿宋" w:eastAsia="仿宋" w:cs="仿宋"/>
          <w:color w:val="auto"/>
          <w:spacing w:val="-1"/>
          <w:sz w:val="28"/>
          <w:szCs w:val="28"/>
          <w:highlight w:val="none"/>
          <w:lang w:val="en-US" w:eastAsia="zh-CN"/>
        </w:rPr>
        <w:t xml:space="preserve">阿克苏地区种业发展中心 </w:t>
      </w:r>
    </w:p>
    <w:p w14:paraId="1F9346AA">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地址：新疆阿克苏市柯柯牙北路 3 号</w:t>
      </w:r>
    </w:p>
    <w:p w14:paraId="0093A21E">
      <w:pPr>
        <w:pStyle w:val="16"/>
        <w:spacing w:line="360" w:lineRule="auto"/>
        <w:ind w:left="0"/>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联系方式：</w:t>
      </w:r>
      <w:r>
        <w:rPr>
          <w:rFonts w:hint="eastAsia" w:ascii="仿宋" w:hAnsi="仿宋" w:eastAsia="仿宋" w:cs="仿宋"/>
          <w:color w:val="auto"/>
          <w:spacing w:val="-1"/>
          <w:sz w:val="28"/>
          <w:szCs w:val="28"/>
          <w:highlight w:val="none"/>
          <w:lang w:val="en-US" w:eastAsia="zh-CN"/>
        </w:rPr>
        <w:t>18997663368</w:t>
      </w:r>
    </w:p>
    <w:p w14:paraId="4F8E0820">
      <w:pPr>
        <w:pStyle w:val="16"/>
        <w:spacing w:line="360" w:lineRule="auto"/>
        <w:ind w:left="0"/>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2.采购代理机构信息</w:t>
      </w:r>
    </w:p>
    <w:p w14:paraId="11D6D9CB">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名 称：</w:t>
      </w:r>
      <w:r>
        <w:rPr>
          <w:rFonts w:hint="eastAsia" w:ascii="仿宋" w:hAnsi="仿宋" w:eastAsia="仿宋" w:cs="仿宋"/>
          <w:color w:val="auto"/>
          <w:spacing w:val="-1"/>
          <w:sz w:val="28"/>
          <w:szCs w:val="28"/>
          <w:highlight w:val="none"/>
          <w:lang w:eastAsia="zh-CN"/>
        </w:rPr>
        <w:t>新疆乾泽辰项目管理有限公司</w:t>
      </w:r>
    </w:p>
    <w:p w14:paraId="60D26B69">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地  址：</w:t>
      </w:r>
      <w:r>
        <w:rPr>
          <w:rFonts w:hint="eastAsia" w:ascii="仿宋" w:hAnsi="仿宋" w:eastAsia="仿宋" w:cs="仿宋"/>
          <w:color w:val="auto"/>
          <w:spacing w:val="-1"/>
          <w:sz w:val="28"/>
          <w:szCs w:val="28"/>
          <w:highlight w:val="none"/>
          <w:lang w:eastAsia="zh-CN"/>
        </w:rPr>
        <w:t>新疆阿克苏地区阿克苏市红桥街道双拥社区锦绣路48号滨河尚景2号住宅楼2单元203室</w:t>
      </w:r>
    </w:p>
    <w:p w14:paraId="3D534CDB">
      <w:pPr>
        <w:pStyle w:val="16"/>
        <w:spacing w:line="360" w:lineRule="auto"/>
        <w:ind w:left="0"/>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rPr>
        <w:t>联系方式：18290617987</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17881671111</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17599568538</w:t>
      </w:r>
    </w:p>
    <w:p w14:paraId="50541602">
      <w:pPr>
        <w:pStyle w:val="16"/>
        <w:spacing w:line="360" w:lineRule="auto"/>
        <w:ind w:left="0"/>
        <w:rPr>
          <w:color w:val="auto"/>
          <w:highlight w:val="none"/>
        </w:rPr>
      </w:pPr>
      <w:r>
        <w:rPr>
          <w:rFonts w:hint="eastAsia" w:ascii="仿宋" w:hAnsi="仿宋" w:eastAsia="仿宋" w:cs="仿宋"/>
          <w:color w:val="auto"/>
          <w:spacing w:val="-1"/>
          <w:sz w:val="28"/>
          <w:szCs w:val="28"/>
          <w:highlight w:val="none"/>
        </w:rPr>
        <w:t>项目联系人：张昌冰 史鹂励 王超</w:t>
      </w:r>
    </w:p>
    <w:p w14:paraId="7567B497">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color w:val="auto"/>
          <w:highlight w:val="none"/>
          <w:lang w:val="en-US"/>
        </w:rPr>
        <w:sectPr>
          <w:footerReference r:id="rId3" w:type="default"/>
          <w:pgSz w:w="11906" w:h="16839"/>
          <w:pgMar w:top="1428" w:right="1046" w:bottom="1156" w:left="1089" w:header="0" w:footer="996" w:gutter="0"/>
          <w:pgNumType w:fmt="decimal" w:start="1"/>
          <w:cols w:space="720" w:num="1"/>
        </w:sectPr>
      </w:pPr>
    </w:p>
    <w:p w14:paraId="1417F6E6">
      <w:pPr>
        <w:pStyle w:val="53"/>
        <w:numPr>
          <w:ilvl w:val="0"/>
          <w:numId w:val="0"/>
        </w:numPr>
        <w:ind w:left="900" w:leftChars="0"/>
        <w:jc w:val="both"/>
        <w:rPr>
          <w:color w:val="auto"/>
          <w:highlight w:val="none"/>
        </w:rPr>
      </w:pPr>
      <w:bookmarkStart w:id="6" w:name="_Toc19733"/>
      <w:bookmarkStart w:id="7" w:name="_Toc136"/>
      <w:bookmarkStart w:id="8" w:name="_Toc21077"/>
    </w:p>
    <w:bookmarkEnd w:id="1"/>
    <w:bookmarkEnd w:id="4"/>
    <w:bookmarkEnd w:id="5"/>
    <w:bookmarkEnd w:id="6"/>
    <w:bookmarkEnd w:id="7"/>
    <w:bookmarkEnd w:id="8"/>
    <w:p w14:paraId="635FDCE9">
      <w:pPr>
        <w:pStyle w:val="2"/>
        <w:numPr>
          <w:ilvl w:val="0"/>
          <w:numId w:val="0"/>
        </w:numPr>
        <w:spacing w:before="0" w:after="0" w:line="240" w:lineRule="auto"/>
        <w:rPr>
          <w:rFonts w:hint="eastAsia" w:ascii="仿宋" w:hAnsi="仿宋" w:eastAsia="仿宋" w:cs="仿宋"/>
          <w:b/>
          <w:bCs w:val="0"/>
          <w:color w:val="auto"/>
          <w:highlight w:val="none"/>
        </w:rPr>
      </w:pPr>
      <w:bookmarkStart w:id="9" w:name="_Toc20470"/>
      <w:r>
        <w:rPr>
          <w:rFonts w:hint="eastAsia" w:ascii="仿宋" w:hAnsi="仿宋" w:eastAsia="仿宋" w:cs="仿宋"/>
          <w:b/>
          <w:bCs w:val="0"/>
          <w:color w:val="auto"/>
          <w:kern w:val="44"/>
          <w:sz w:val="44"/>
          <w:szCs w:val="44"/>
          <w:highlight w:val="none"/>
          <w:lang w:val="en-US" w:eastAsia="zh-CN" w:bidi="ar-SA"/>
        </w:rPr>
        <w:t xml:space="preserve">第二章  </w:t>
      </w:r>
      <w:r>
        <w:rPr>
          <w:rFonts w:hint="eastAsia" w:ascii="仿宋" w:hAnsi="仿宋" w:eastAsia="仿宋" w:cs="仿宋"/>
          <w:b/>
          <w:bCs w:val="0"/>
          <w:color w:val="auto"/>
          <w:highlight w:val="none"/>
        </w:rPr>
        <w:t>供应商须知</w:t>
      </w:r>
      <w:bookmarkEnd w:id="9"/>
      <w:bookmarkStart w:id="10" w:name="_Toc21720"/>
    </w:p>
    <w:bookmarkEnd w:id="10"/>
    <w:p w14:paraId="26B3E9B1">
      <w:pPr>
        <w:spacing w:before="30" w:line="212" w:lineRule="auto"/>
        <w:ind w:left="4013"/>
        <w:outlineLvl w:val="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供应商</w:t>
      </w:r>
      <w:r>
        <w:rPr>
          <w:rFonts w:hint="eastAsia" w:ascii="仿宋" w:hAnsi="仿宋" w:eastAsia="仿宋" w:cs="仿宋"/>
          <w:b/>
          <w:bCs/>
          <w:color w:val="auto"/>
          <w:spacing w:val="-4"/>
          <w:sz w:val="32"/>
          <w:szCs w:val="32"/>
          <w:highlight w:val="none"/>
        </w:rPr>
        <w:t>须知前附表</w:t>
      </w:r>
    </w:p>
    <w:tbl>
      <w:tblPr>
        <w:tblStyle w:val="34"/>
        <w:tblW w:w="9846" w:type="dxa"/>
        <w:tblInd w:w="-52" w:type="dxa"/>
        <w:tblLayout w:type="fixed"/>
        <w:tblCellMar>
          <w:top w:w="0" w:type="dxa"/>
          <w:left w:w="108" w:type="dxa"/>
          <w:bottom w:w="49" w:type="dxa"/>
          <w:right w:w="115" w:type="dxa"/>
        </w:tblCellMar>
      </w:tblPr>
      <w:tblGrid>
        <w:gridCol w:w="899"/>
        <w:gridCol w:w="2497"/>
        <w:gridCol w:w="6450"/>
      </w:tblGrid>
      <w:tr w14:paraId="1F99E7FE">
        <w:tblPrEx>
          <w:tblCellMar>
            <w:top w:w="0" w:type="dxa"/>
            <w:left w:w="108" w:type="dxa"/>
            <w:bottom w:w="49" w:type="dxa"/>
            <w:right w:w="115" w:type="dxa"/>
          </w:tblCellMar>
        </w:tblPrEx>
        <w:trPr>
          <w:trHeight w:val="42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0DB8ACE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bookmarkStart w:id="11" w:name="_Hlk503262599"/>
            <w:r>
              <w:rPr>
                <w:rFonts w:hint="eastAsia" w:ascii="仿宋" w:hAnsi="仿宋" w:eastAsia="仿宋" w:cs="仿宋"/>
                <w:b/>
                <w:color w:val="auto"/>
                <w:sz w:val="28"/>
                <w:szCs w:val="28"/>
                <w:highlight w:val="none"/>
              </w:rPr>
              <w:t>条款号</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471FDE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条款名称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59C2AB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bookmarkEnd w:id="11"/>
      <w:tr w14:paraId="6E6F0942">
        <w:tblPrEx>
          <w:tblCellMar>
            <w:top w:w="0" w:type="dxa"/>
            <w:left w:w="108" w:type="dxa"/>
            <w:bottom w:w="49" w:type="dxa"/>
            <w:right w:w="115" w:type="dxa"/>
          </w:tblCellMar>
        </w:tblPrEx>
        <w:trPr>
          <w:trHeight w:val="675"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2CC8543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2A0A50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31351DF1">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名称：阿克苏地区种业发展中心</w:t>
            </w:r>
          </w:p>
          <w:p w14:paraId="10460EE0">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联系人：万建平</w:t>
            </w:r>
          </w:p>
          <w:p w14:paraId="32979736">
            <w:pPr>
              <w:pStyle w:val="16"/>
              <w:spacing w:line="360" w:lineRule="auto"/>
              <w:ind w:left="0"/>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val="en-US" w:eastAsia="zh-CN"/>
              </w:rPr>
              <w:t>电话：18997663368</w:t>
            </w:r>
          </w:p>
        </w:tc>
      </w:tr>
      <w:tr w14:paraId="68FEA24D">
        <w:tblPrEx>
          <w:tblCellMar>
            <w:top w:w="0" w:type="dxa"/>
            <w:left w:w="108" w:type="dxa"/>
            <w:bottom w:w="49" w:type="dxa"/>
            <w:right w:w="115" w:type="dxa"/>
          </w:tblCellMar>
        </w:tblPrEx>
        <w:trPr>
          <w:trHeight w:val="69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5A7E42A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2</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5C6DA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代理机构</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1B36825C">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名称：新疆乾泽辰项目管理有限公司</w:t>
            </w:r>
          </w:p>
          <w:p w14:paraId="737F3952">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地址：新疆阿克苏地区阿克苏市红桥街道双拥社区锦绣路48号滨河尚景2号住宅楼2单元203室</w:t>
            </w:r>
          </w:p>
          <w:p w14:paraId="2EEA041D">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联系人：张昌冰 史鹂励 王超  </w:t>
            </w:r>
          </w:p>
          <w:p w14:paraId="68A4212A">
            <w:pPr>
              <w:pStyle w:val="16"/>
              <w:spacing w:line="360" w:lineRule="auto"/>
              <w:ind w:lef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电  话：18290617987、17881671111、17599568538</w:t>
            </w:r>
          </w:p>
        </w:tc>
      </w:tr>
      <w:tr w14:paraId="2CD1D589">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9F04A4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3</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0B0555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标段</w:t>
            </w:r>
            <w:r>
              <w:rPr>
                <w:rFonts w:hint="eastAsia" w:ascii="仿宋" w:hAnsi="仿宋" w:eastAsia="仿宋" w:cs="仿宋"/>
                <w:color w:val="auto"/>
                <w:sz w:val="28"/>
                <w:szCs w:val="28"/>
                <w:highlight w:val="none"/>
              </w:rPr>
              <w:t>名称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7A48DAA2">
            <w:pPr>
              <w:pStyle w:val="16"/>
              <w:spacing w:line="360" w:lineRule="auto"/>
              <w:ind w:left="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标项一：标项名称：提前下达2026年自治区农业生产发展资金（自治区救灾备荒种子储备项目）-玉米种子救灾备荒储备服务</w:t>
            </w:r>
          </w:p>
          <w:p w14:paraId="110EB953">
            <w:pPr>
              <w:pStyle w:val="16"/>
              <w:spacing w:line="360" w:lineRule="auto"/>
              <w:ind w:left="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标项二：标项名称：提前下达2026年自治区农业生产发展资金（自治区救灾备荒种子储备项目）-棉花种子救灾备荒储备服务</w:t>
            </w:r>
          </w:p>
        </w:tc>
      </w:tr>
      <w:tr w14:paraId="7E382DA2">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2D8D9A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4</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2D46796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项目地点</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B0429D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阿克苏地区各县(市)</w:t>
            </w:r>
            <w:r>
              <w:rPr>
                <w:rFonts w:hint="eastAsia" w:ascii="仿宋" w:hAnsi="仿宋" w:eastAsia="仿宋" w:cs="仿宋"/>
                <w:color w:val="auto"/>
                <w:sz w:val="28"/>
                <w:szCs w:val="28"/>
                <w:highlight w:val="none"/>
                <w:lang w:val="en-US" w:eastAsia="zh-CN"/>
              </w:rPr>
              <w:t>及一师阿拉尔市</w:t>
            </w:r>
          </w:p>
        </w:tc>
      </w:tr>
      <w:tr w14:paraId="24713A2E">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6789079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5</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6D6D64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项目规模</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380BF71A">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标项一：提前下达2026年自治区农业生产发展资金（自治区救灾备荒种子储备项目）-玉米种子救灾备荒储备300吨；</w:t>
            </w:r>
          </w:p>
          <w:p w14:paraId="761407FE">
            <w:pPr>
              <w:pStyle w:val="16"/>
              <w:spacing w:line="360" w:lineRule="auto"/>
              <w:ind w:lef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标项二：提前下达2026年自治区农业生产发展资金（自治区救灾备荒种子储备项目）-棉花种子救灾备荒储备300吨。</w:t>
            </w:r>
          </w:p>
        </w:tc>
      </w:tr>
      <w:tr w14:paraId="6A5B2F8D">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9BB89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6</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5FC917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项目投资估算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5E487C8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aps w:val="0"/>
                <w:color w:val="auto"/>
                <w:spacing w:val="0"/>
                <w:kern w:val="0"/>
                <w:sz w:val="28"/>
                <w:szCs w:val="28"/>
                <w:highlight w:val="none"/>
                <w:lang w:val="en-US" w:eastAsia="zh-CN" w:bidi="ar"/>
              </w:rPr>
              <w:t>1920000.00元</w:t>
            </w:r>
          </w:p>
        </w:tc>
      </w:tr>
      <w:tr w14:paraId="160FD942">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14E065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21267CB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资金来源</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5EF0428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自治区转移支付资金</w:t>
            </w:r>
          </w:p>
        </w:tc>
      </w:tr>
      <w:tr w14:paraId="412AAD59">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6F23F02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8F1C8E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资金落实情况</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738B9CE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已落实</w:t>
            </w:r>
          </w:p>
        </w:tc>
      </w:tr>
      <w:tr w14:paraId="35EF29EA">
        <w:tblPrEx>
          <w:tblCellMar>
            <w:top w:w="0" w:type="dxa"/>
            <w:left w:w="108" w:type="dxa"/>
            <w:bottom w:w="49" w:type="dxa"/>
            <w:right w:w="115" w:type="dxa"/>
          </w:tblCellMar>
        </w:tblPrEx>
        <w:trPr>
          <w:trHeight w:val="74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2B7C98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36F6E0B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085CD542">
            <w:pPr>
              <w:pStyle w:val="16"/>
              <w:spacing w:line="360" w:lineRule="auto"/>
              <w:ind w:left="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标项一：计划储备救灾备荒种子，玉米种子300吨，用于自然灾害等原因造成种子短缺急需恢复农业生产时的应急储备。通过实施本项目，可将自然灾害对农业生产的影响降至最小程度，有效保障生产用种安全。储备的品种应通过国家或自治区审定（未退市），适宜在新疆区域种植。（详见磋商文件以及采购需求）；</w:t>
            </w:r>
          </w:p>
          <w:p w14:paraId="4EA4FF81">
            <w:pPr>
              <w:pStyle w:val="16"/>
              <w:spacing w:line="360" w:lineRule="auto"/>
              <w:ind w:left="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val="en-US" w:eastAsia="zh-CN"/>
              </w:rPr>
              <w:t>标项二：计划储备救灾备荒种子，棉花种子300吨，用于自然灾害等原因造成种子短缺急需恢复农业生产时的应急储备。通过实施本项目，可将自然灾害对农业生产的影响降至最小程度，有效保障生产用种安全。储备的品种应通过国家或自治区审定（未退市），适宜在新疆区域种植。（详见磋商文件以及采购需求）。</w:t>
            </w:r>
          </w:p>
        </w:tc>
      </w:tr>
      <w:tr w14:paraId="6D56D27B">
        <w:tblPrEx>
          <w:tblCellMar>
            <w:top w:w="0" w:type="dxa"/>
            <w:left w:w="108" w:type="dxa"/>
            <w:bottom w:w="49" w:type="dxa"/>
            <w:right w:w="115" w:type="dxa"/>
          </w:tblCellMar>
        </w:tblPrEx>
        <w:trPr>
          <w:trHeight w:val="42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1747DE5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FE839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服务期限</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1418DB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5"/>
                <w:sz w:val="28"/>
                <w:szCs w:val="28"/>
                <w:highlight w:val="none"/>
                <w:lang w:eastAsia="zh-CN"/>
              </w:rPr>
              <w:t>合同签订之日起至 2026 年 10 月 01 日止完成储备数量，储备时间为 2026年 10 月 01 日至 2027 年 09 月 30 日。</w:t>
            </w:r>
          </w:p>
        </w:tc>
      </w:tr>
      <w:tr w14:paraId="155036F0">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736CBFA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3770A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0B265A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pacing w:val="-1"/>
                <w:sz w:val="28"/>
                <w:szCs w:val="28"/>
                <w:highlight w:val="none"/>
                <w:lang w:val="en-US" w:eastAsia="zh-CN"/>
              </w:rPr>
              <w:t>种子质量要达到国家标准，种子贮藏执行农作物种子贮藏标准（GB/T 7415-2008)。承储单位应当定期检查，并做好记录，确保储备种子质量。</w:t>
            </w:r>
          </w:p>
        </w:tc>
      </w:tr>
      <w:tr w14:paraId="301BCEC6">
        <w:tblPrEx>
          <w:tblCellMar>
            <w:top w:w="0" w:type="dxa"/>
            <w:left w:w="108" w:type="dxa"/>
            <w:bottom w:w="49" w:type="dxa"/>
            <w:right w:w="115" w:type="dxa"/>
          </w:tblCellMar>
        </w:tblPrEx>
        <w:trPr>
          <w:trHeight w:val="1557"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7CCFB7F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1.4.1</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615777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供应商资质条件、能力、信誉</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26EAE1C2">
            <w:pPr>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满足《中华人民共和国政府采购法》第二十二条规定；</w:t>
            </w:r>
          </w:p>
          <w:p w14:paraId="52A76656">
            <w:pPr>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240" w:lineRule="auto"/>
              <w:ind w:right="0" w:rightChars="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具有独立承担民事责任的能力：提供法人营业执照或事业单位法人证书或民办非企业单位登记证书或个体工商户营业执照或其他组织的执业许可证副本扫描件；投标人为自然人的提供身份证明扫描件；采购标的属于银行、保险、石油石化、电力、电信等行业的，允许该行业法人的分支机构参加投标（报价）， 提供分支机构的《营业执照》副本扫描件。（①自然人投标的，证明材料须由本人签字；②证明材料有效期应包含投标截止日。）</w:t>
            </w:r>
          </w:p>
          <w:p w14:paraId="366DABF2">
            <w:pPr>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具有良好的商业信誉和健全的财务会计制度：提供202</w:t>
            </w: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年或202</w:t>
            </w:r>
            <w:r>
              <w:rPr>
                <w:rFonts w:hint="eastAsia" w:ascii="仿宋" w:hAnsi="仿宋" w:eastAsia="仿宋" w:cs="仿宋"/>
                <w:color w:val="auto"/>
                <w:sz w:val="28"/>
                <w:szCs w:val="28"/>
                <w:highlight w:val="none"/>
                <w:lang w:val="en-US" w:eastAsia="zh-CN"/>
              </w:rPr>
              <w:t>5</w:t>
            </w:r>
            <w:r>
              <w:rPr>
                <w:rFonts w:hint="default" w:ascii="仿宋" w:hAnsi="仿宋" w:eastAsia="仿宋" w:cs="仿宋"/>
                <w:color w:val="auto"/>
                <w:sz w:val="28"/>
                <w:szCs w:val="28"/>
                <w:highlight w:val="none"/>
                <w:lang w:val="en-US" w:eastAsia="zh-CN"/>
              </w:rPr>
              <w:t>年财务财务审计报告扫描件(成立不足一年提供成立至今财务报表，至少包含资产负债表）或提供其基本开户银行在投标截止日前、六个月内出具的资信证明扫描件（银行出具的存款证明不能替代银行资信证明）。</w:t>
            </w:r>
          </w:p>
          <w:p w14:paraId="39BBF25F">
            <w:pPr>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具有履行合同所必需的设备和专业技术能力提供：《供应商具有履行合同所必需的设备和专业技术能力提供声明函》</w:t>
            </w:r>
            <w:r>
              <w:rPr>
                <w:rFonts w:hint="eastAsia" w:ascii="仿宋" w:hAnsi="仿宋" w:eastAsia="仿宋" w:cs="仿宋"/>
                <w:color w:val="auto"/>
                <w:sz w:val="28"/>
                <w:szCs w:val="28"/>
                <w:highlight w:val="none"/>
                <w:lang w:val="en-US" w:eastAsia="zh-CN"/>
              </w:rPr>
              <w:t>；</w:t>
            </w:r>
          </w:p>
          <w:p w14:paraId="20DCBC9B">
            <w:pPr>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依法缴纳税收的良好记录：提供投标截止日前近一年任意一个月完税证明；依法免税的，应提供相应文件（扫描件）证明其依法免税。</w:t>
            </w:r>
          </w:p>
          <w:p w14:paraId="1A2206C5">
            <w:pPr>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依法缴纳社会保障资金的良好记录：提供投标 截止日前近一年任意一个月盖有社保局公章的社保缴纳证明（社保缴纳证明中含法定代表人或委托代理人的社保明细）；依法不需要缴纳社会保险的，应提供相应文件（扫描件）证明其依法不需要缴纳社会保险。</w:t>
            </w:r>
          </w:p>
          <w:p w14:paraId="22D19F8E">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right="0" w:rightChars="0"/>
              <w:jc w:val="both"/>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（6）参加政府采购活动前三年内，在经营活动中没 有重大违法记录：提供《三年内在经营活动中没有重大违法记录的声明》</w:t>
            </w:r>
            <w:r>
              <w:rPr>
                <w:rFonts w:hint="eastAsia" w:ascii="仿宋" w:hAnsi="仿宋" w:eastAsia="仿宋" w:cs="仿宋"/>
                <w:color w:val="auto"/>
                <w:sz w:val="28"/>
                <w:szCs w:val="28"/>
                <w:highlight w:val="none"/>
                <w:lang w:val="en-US" w:eastAsia="zh-CN"/>
              </w:rPr>
              <w:t>。</w:t>
            </w:r>
          </w:p>
          <w:p w14:paraId="29D9C2B5">
            <w:pPr>
              <w:pStyle w:val="16"/>
              <w:numPr>
                <w:ilvl w:val="0"/>
                <w:numId w:val="5"/>
              </w:numPr>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符合法律、行政法规规定的其他条件：提供① 单位负责人为同一人或者存在直接控股、管理关系</w:t>
            </w:r>
            <w:r>
              <w:rPr>
                <w:rFonts w:hint="eastAsia" w:ascii="仿宋" w:hAnsi="仿宋" w:eastAsia="仿宋" w:cs="仿宋"/>
                <w:color w:val="auto"/>
                <w:kern w:val="2"/>
                <w:sz w:val="28"/>
                <w:szCs w:val="28"/>
                <w:highlight w:val="none"/>
                <w:lang w:val="en-US" w:eastAsia="zh-CN" w:bidi="ar-SA"/>
              </w:rPr>
              <w:t>的不同供应商不得参加同一合同项下的政府采购活动的《声明函》；提供②为采购项目提供整体设计、规范编制或者项目管理、监理、检测等服务的供应商，不得再参加该采购项目的其他采购活动的《声明函》。</w:t>
            </w:r>
          </w:p>
          <w:p w14:paraId="187AA631">
            <w:pPr>
              <w:pStyle w:val="16"/>
              <w:numPr>
                <w:ilvl w:val="0"/>
                <w:numId w:val="3"/>
              </w:numPr>
              <w:ind w:left="0" w:leftChars="0" w:firstLine="0" w:firstLineChars="0"/>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落实政府采购政策需满足的资格要求： 本项目属于专门面向中小企业采购的项目，供应商应为符合《政府采购促进中小企业发展管理办法》的中 小企业(其中，中小微企业包括视同为小型、微型企业的监狱企业、残疾人福利性单位)。</w:t>
            </w:r>
          </w:p>
          <w:p w14:paraId="1469FFBA">
            <w:pPr>
              <w:pStyle w:val="16"/>
              <w:numPr>
                <w:ilvl w:val="0"/>
                <w:numId w:val="3"/>
              </w:numPr>
              <w:ind w:left="0" w:leftChars="0" w:firstLine="0" w:firstLineChars="0"/>
              <w:rPr>
                <w:rFonts w:hint="default" w:ascii="仿宋" w:hAnsi="仿宋" w:eastAsia="仿宋" w:cs="仿宋"/>
                <w:color w:val="FF0000"/>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本项目的特定资格要求：</w:t>
            </w:r>
            <w:r>
              <w:rPr>
                <w:rFonts w:hint="default" w:ascii="仿宋" w:hAnsi="仿宋" w:eastAsia="仿宋" w:cs="仿宋"/>
                <w:color w:val="FF0000"/>
                <w:kern w:val="2"/>
                <w:sz w:val="28"/>
                <w:szCs w:val="28"/>
                <w:highlight w:val="none"/>
                <w:lang w:val="en-US" w:eastAsia="zh-CN" w:bidi="ar-SA"/>
              </w:rPr>
              <w:t>1、申请取得种子生产经营许可证的，应当具有与种子生产经营相适应的生产经营设施、设备及专业技术人员，以及法规和国务院农业、林业主管部门规定的其他条件</w:t>
            </w:r>
            <w:r>
              <w:rPr>
                <w:rFonts w:hint="eastAsia" w:ascii="仿宋" w:hAnsi="仿宋" w:eastAsia="仿宋" w:cs="仿宋"/>
                <w:color w:val="FF0000"/>
                <w:kern w:val="2"/>
                <w:sz w:val="28"/>
                <w:szCs w:val="28"/>
                <w:highlight w:val="none"/>
                <w:lang w:val="en-US" w:eastAsia="zh-CN" w:bidi="ar-SA"/>
              </w:rPr>
              <w:t>；2、</w:t>
            </w:r>
            <w:r>
              <w:rPr>
                <w:rFonts w:hint="default" w:ascii="仿宋" w:hAnsi="仿宋" w:eastAsia="仿宋" w:cs="仿宋"/>
                <w:color w:val="FF0000"/>
                <w:kern w:val="2"/>
                <w:sz w:val="28"/>
                <w:szCs w:val="28"/>
                <w:highlight w:val="none"/>
                <w:lang w:val="en-US" w:eastAsia="zh-CN" w:bidi="ar-SA"/>
              </w:rPr>
              <w:t>从事种子生产的，还应当同时具有繁殖种子的隔离和培育条件，具有无检疫性有害生物的种子生产地点或者县级以上人民政府林业主管部门确定的采种林</w:t>
            </w:r>
            <w:r>
              <w:rPr>
                <w:rFonts w:hint="eastAsia" w:ascii="仿宋" w:hAnsi="仿宋" w:eastAsia="仿宋" w:cs="仿宋"/>
                <w:color w:val="FF0000"/>
                <w:kern w:val="2"/>
                <w:sz w:val="28"/>
                <w:szCs w:val="28"/>
                <w:highlight w:val="none"/>
                <w:lang w:val="en-US" w:eastAsia="zh-CN" w:bidi="ar-SA"/>
              </w:rPr>
              <w:t>；</w:t>
            </w:r>
          </w:p>
          <w:p w14:paraId="50B866F4">
            <w:pPr>
              <w:pStyle w:val="16"/>
              <w:numPr>
                <w:ilvl w:val="0"/>
                <w:numId w:val="0"/>
              </w:numPr>
              <w:ind w:leftChars="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3、</w:t>
            </w:r>
            <w:r>
              <w:rPr>
                <w:rFonts w:hint="default" w:ascii="仿宋" w:hAnsi="仿宋" w:eastAsia="仿宋" w:cs="仿宋"/>
                <w:color w:val="FF0000"/>
                <w:kern w:val="2"/>
                <w:sz w:val="28"/>
                <w:szCs w:val="28"/>
                <w:highlight w:val="none"/>
                <w:lang w:val="en-US" w:eastAsia="zh-CN" w:bidi="ar-SA"/>
              </w:rPr>
              <w:t>申请领取具有植物新品种权的种子生产经营许可证的，应当征得植物新品种权所有人的书面同意。</w:t>
            </w:r>
            <w:r>
              <w:rPr>
                <w:rFonts w:hint="default" w:ascii="仿宋" w:hAnsi="仿宋" w:eastAsia="仿宋" w:cs="仿宋"/>
                <w:color w:val="auto"/>
                <w:kern w:val="2"/>
                <w:sz w:val="28"/>
                <w:szCs w:val="28"/>
                <w:highlight w:val="none"/>
                <w:lang w:val="en-US" w:eastAsia="zh-CN" w:bidi="ar-SA"/>
              </w:rPr>
              <w:t xml:space="preserve"> </w:t>
            </w:r>
          </w:p>
          <w:p w14:paraId="660B167B">
            <w:pPr>
              <w:pStyle w:val="16"/>
              <w:numPr>
                <w:ilvl w:val="0"/>
                <w:numId w:val="0"/>
              </w:numPr>
              <w:ind w:leftChars="0"/>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4.其他要求：供应商存在“信用中国”网站 （www.creditchina.gov.cn）、中国政府采购网 （www.ccgp.gov.cn）中被列入失信被执行人、重大税收违法案件当事人名单、政府采购严重违法失信行为记录名单的禁止参与参与本项目，响应文件无效。（由采购人或招标代理机构自行查询</w:t>
            </w:r>
            <w:r>
              <w:rPr>
                <w:rFonts w:hint="eastAsia" w:ascii="仿宋" w:hAnsi="仿宋" w:eastAsia="仿宋" w:cs="仿宋"/>
                <w:color w:val="auto"/>
                <w:kern w:val="2"/>
                <w:sz w:val="28"/>
                <w:szCs w:val="28"/>
                <w:highlight w:val="none"/>
                <w:lang w:val="en-US" w:eastAsia="zh-CN" w:bidi="ar-SA"/>
              </w:rPr>
              <w:t>）</w:t>
            </w:r>
          </w:p>
        </w:tc>
      </w:tr>
    </w:tbl>
    <w:tbl>
      <w:tblPr>
        <w:tblStyle w:val="34"/>
        <w:tblpPr w:leftFromText="180" w:rightFromText="180" w:vertAnchor="text" w:horzAnchor="margin" w:tblpX="-40" w:tblpY="14"/>
        <w:tblW w:w="9835" w:type="dxa"/>
        <w:tblInd w:w="0" w:type="dxa"/>
        <w:tblLayout w:type="fixed"/>
        <w:tblCellMar>
          <w:top w:w="0" w:type="dxa"/>
          <w:left w:w="108" w:type="dxa"/>
          <w:bottom w:w="49" w:type="dxa"/>
          <w:right w:w="115" w:type="dxa"/>
        </w:tblCellMar>
      </w:tblPr>
      <w:tblGrid>
        <w:gridCol w:w="887"/>
        <w:gridCol w:w="2515"/>
        <w:gridCol w:w="6433"/>
      </w:tblGrid>
      <w:tr w14:paraId="163CFD79">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104E4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BF15B9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是否接受联合体投标</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5A51228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不接受</w:t>
            </w:r>
          </w:p>
        </w:tc>
      </w:tr>
      <w:tr w14:paraId="337256CD">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99238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BC0131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供应商不得存在的其他情形</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68ECF7B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竞争性磋商“供应商须知总则第1.4.3条”的规定</w:t>
            </w:r>
          </w:p>
        </w:tc>
      </w:tr>
      <w:tr w14:paraId="62E753D4">
        <w:tblPrEx>
          <w:tblCellMar>
            <w:top w:w="0" w:type="dxa"/>
            <w:left w:w="108" w:type="dxa"/>
            <w:bottom w:w="49" w:type="dxa"/>
            <w:right w:w="115"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01A41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4D8223D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踏勘现场</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A67BC6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不组织</w:t>
            </w:r>
          </w:p>
        </w:tc>
      </w:tr>
      <w:tr w14:paraId="79021E8C">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DC7AA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93775C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投标预备会</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21983CE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不召开</w:t>
            </w:r>
          </w:p>
        </w:tc>
      </w:tr>
      <w:tr w14:paraId="0BA6F08C">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3100A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7179AF9">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分包</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19080EA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不允许</w:t>
            </w:r>
          </w:p>
        </w:tc>
      </w:tr>
      <w:tr w14:paraId="5553CB95">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CD755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2596D9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实质性要求和条件</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4265667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供应商不得偏差离竞争性磋商的实质性要求</w:t>
            </w:r>
          </w:p>
        </w:tc>
      </w:tr>
      <w:tr w14:paraId="6042FF87">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B359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554AD1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偏差</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B34D1F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不允许</w:t>
            </w:r>
          </w:p>
        </w:tc>
      </w:tr>
      <w:tr w14:paraId="3878FC47">
        <w:tblPrEx>
          <w:tblCellMar>
            <w:top w:w="0" w:type="dxa"/>
            <w:left w:w="108" w:type="dxa"/>
            <w:bottom w:w="49" w:type="dxa"/>
            <w:right w:w="115" w:type="dxa"/>
          </w:tblCellMar>
        </w:tblPrEx>
        <w:trPr>
          <w:trHeight w:val="529" w:hRule="atLeast"/>
        </w:trPr>
        <w:tc>
          <w:tcPr>
            <w:tcW w:w="887" w:type="dxa"/>
            <w:vMerge w:val="restart"/>
            <w:tcBorders>
              <w:top w:val="single" w:color="000000" w:sz="4" w:space="0"/>
              <w:left w:val="single" w:color="000000" w:sz="4" w:space="0"/>
              <w:right w:val="single" w:color="000000" w:sz="4" w:space="0"/>
            </w:tcBorders>
            <w:noWrap w:val="0"/>
            <w:vAlign w:val="center"/>
          </w:tcPr>
          <w:p w14:paraId="1F344CC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p>
        </w:tc>
        <w:tc>
          <w:tcPr>
            <w:tcW w:w="2515" w:type="dxa"/>
            <w:vMerge w:val="restart"/>
            <w:tcBorders>
              <w:top w:val="single" w:color="000000" w:sz="4" w:space="0"/>
              <w:left w:val="single" w:color="000000" w:sz="4" w:space="0"/>
              <w:right w:val="single" w:color="000000" w:sz="4" w:space="0"/>
            </w:tcBorders>
            <w:noWrap w:val="0"/>
            <w:vAlign w:val="center"/>
          </w:tcPr>
          <w:p w14:paraId="0351D12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要求澄清竞争性磋商</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D8A3CA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对已发出的竞争性磋商进行澄清的，应在投标截止时间的</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天前。</w:t>
            </w:r>
          </w:p>
        </w:tc>
      </w:tr>
      <w:tr w14:paraId="1269A521">
        <w:tblPrEx>
          <w:tblCellMar>
            <w:top w:w="0" w:type="dxa"/>
            <w:left w:w="108" w:type="dxa"/>
            <w:bottom w:w="49" w:type="dxa"/>
            <w:right w:w="115" w:type="dxa"/>
          </w:tblCellMar>
        </w:tblPrEx>
        <w:trPr>
          <w:trHeight w:val="570" w:hRule="atLeast"/>
        </w:trPr>
        <w:tc>
          <w:tcPr>
            <w:tcW w:w="887" w:type="dxa"/>
            <w:vMerge w:val="continue"/>
            <w:tcBorders>
              <w:left w:val="single" w:color="000000" w:sz="4" w:space="0"/>
              <w:bottom w:val="single" w:color="000000" w:sz="4" w:space="0"/>
              <w:right w:val="single" w:color="000000" w:sz="4" w:space="0"/>
            </w:tcBorders>
            <w:noWrap w:val="0"/>
            <w:vAlign w:val="center"/>
          </w:tcPr>
          <w:p w14:paraId="1EEB5AB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p>
        </w:tc>
        <w:tc>
          <w:tcPr>
            <w:tcW w:w="2515" w:type="dxa"/>
            <w:vMerge w:val="continue"/>
            <w:tcBorders>
              <w:left w:val="single" w:color="000000" w:sz="4" w:space="0"/>
              <w:bottom w:val="single" w:color="000000" w:sz="4" w:space="0"/>
              <w:right w:val="single" w:color="000000" w:sz="4" w:space="0"/>
            </w:tcBorders>
            <w:noWrap w:val="0"/>
            <w:vAlign w:val="center"/>
          </w:tcPr>
          <w:p w14:paraId="16B9C88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7316BB4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形式：</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将要求澄清的内容以书面形式送达</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（或招标代理机构）</w:t>
            </w:r>
            <w:r>
              <w:rPr>
                <w:rFonts w:hint="eastAsia" w:ascii="仿宋" w:hAnsi="仿宋" w:eastAsia="仿宋" w:cs="仿宋"/>
                <w:color w:val="auto"/>
                <w:sz w:val="28"/>
                <w:szCs w:val="28"/>
                <w:highlight w:val="none"/>
                <w:lang w:eastAsia="zh-CN"/>
              </w:rPr>
              <w:t>。</w:t>
            </w:r>
          </w:p>
        </w:tc>
      </w:tr>
      <w:tr w14:paraId="34991A48">
        <w:tblPrEx>
          <w:tblCellMar>
            <w:top w:w="0" w:type="dxa"/>
            <w:left w:w="108" w:type="dxa"/>
            <w:bottom w:w="49" w:type="dxa"/>
            <w:right w:w="115" w:type="dxa"/>
          </w:tblCellMar>
        </w:tblPrEx>
        <w:trPr>
          <w:trHeight w:val="566"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75D4EFD">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FA713F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竞争性磋商澄清发出的形式</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1B26380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以书面形式发出</w:t>
            </w:r>
          </w:p>
        </w:tc>
      </w:tr>
      <w:tr w14:paraId="0D8CE714">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94DC5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F1CFC7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确认收到竞争性磋商澄清</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7865D05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以书面形式回复确认函</w:t>
            </w:r>
          </w:p>
        </w:tc>
      </w:tr>
      <w:tr w14:paraId="0FBC8759">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82A85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78BB33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竞争性磋商修改发出的形式</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7C192F6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以书面形式发出</w:t>
            </w:r>
          </w:p>
        </w:tc>
      </w:tr>
      <w:tr w14:paraId="12C9E480">
        <w:tblPrEx>
          <w:tblCellMar>
            <w:top w:w="0" w:type="dxa"/>
            <w:left w:w="108" w:type="dxa"/>
            <w:bottom w:w="49" w:type="dxa"/>
            <w:right w:w="115" w:type="dxa"/>
          </w:tblCellMar>
        </w:tblPrEx>
        <w:trPr>
          <w:trHeight w:val="669"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7AE15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9035E9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确认收到竞争性磋商修改</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708B15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以书面形式回复确认函</w:t>
            </w:r>
          </w:p>
        </w:tc>
      </w:tr>
      <w:tr w14:paraId="48B4F1AC">
        <w:tblPrEx>
          <w:tblCellMar>
            <w:top w:w="0" w:type="dxa"/>
            <w:left w:w="108" w:type="dxa"/>
            <w:bottom w:w="49" w:type="dxa"/>
            <w:right w:w="115"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9346F8">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367B1C5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的其他资料</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27B2CEB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详见竞争性磋商中的要求。</w:t>
            </w:r>
          </w:p>
        </w:tc>
      </w:tr>
      <w:tr w14:paraId="043F7357">
        <w:tblPrEx>
          <w:tblCellMar>
            <w:top w:w="0" w:type="dxa"/>
            <w:left w:w="108" w:type="dxa"/>
            <w:bottom w:w="49" w:type="dxa"/>
            <w:right w:w="115" w:type="dxa"/>
          </w:tblCellMar>
        </w:tblPrEx>
        <w:trPr>
          <w:trHeight w:val="4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02C43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C46AF1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增值税税金的计算方法</w:t>
            </w:r>
          </w:p>
        </w:tc>
        <w:tc>
          <w:tcPr>
            <w:tcW w:w="6433" w:type="dxa"/>
            <w:tcBorders>
              <w:top w:val="single" w:color="000000" w:sz="4" w:space="0"/>
              <w:left w:val="single" w:color="000000" w:sz="4" w:space="0"/>
              <w:bottom w:val="single" w:color="000000" w:sz="4" w:space="0"/>
              <w:right w:val="single" w:color="000000" w:sz="4" w:space="0"/>
            </w:tcBorders>
            <w:noWrap w:val="0"/>
            <w:vAlign w:val="center"/>
          </w:tcPr>
          <w:p w14:paraId="0542C94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增值税税金按国家税务部门规定的一般计税方法计算。</w:t>
            </w:r>
          </w:p>
        </w:tc>
      </w:tr>
    </w:tbl>
    <w:tbl>
      <w:tblPr>
        <w:tblStyle w:val="34"/>
        <w:tblW w:w="9809" w:type="dxa"/>
        <w:tblInd w:w="-15" w:type="dxa"/>
        <w:tblLayout w:type="fixed"/>
        <w:tblCellMar>
          <w:top w:w="0" w:type="dxa"/>
          <w:left w:w="108" w:type="dxa"/>
          <w:bottom w:w="49" w:type="dxa"/>
          <w:right w:w="115" w:type="dxa"/>
        </w:tblCellMar>
      </w:tblPr>
      <w:tblGrid>
        <w:gridCol w:w="860"/>
        <w:gridCol w:w="2541"/>
        <w:gridCol w:w="6408"/>
      </w:tblGrid>
      <w:tr w14:paraId="4E96293C">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F63990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en-US" w:eastAsia="zh-CN"/>
              </w:rPr>
              <w:t>2</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1810B07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报价方式</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C838D0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响应报价实行两轮报价，原则上第二轮报价为最终报价。超过二轮报价的由磋商小组现场集体决定是否继续报价，磋商文件能够详细列明采购标的的技术、服务要求的，磋商结束后，磋商小组应当要求所有实质性响应的供应商在规定时间内提交最后报价，提交最后报价的供应商不得少于3家。 磋商文件不能详细列明采购标的的技术、服务要求，需经磋商由供应商提供最终设计方案或解决方案 的，磋商结束后，磋商小组应当按照少数服从多数的原则投票推荐3家以上供应商的设计方案或者解决方案，并要求其在规定时间内提交最后报价。 最后报价是供应商响应文件的有效组成部分。市场竞争不充分的科研项目，以及需要扶持的科技成果转化项目，提交最后报价的供应商可以为2家。</w:t>
            </w:r>
          </w:p>
        </w:tc>
      </w:tr>
      <w:tr w14:paraId="4B3B2823">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BD3A4AB">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en-US" w:eastAsia="zh-CN"/>
              </w:rPr>
              <w:t>3</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97B306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8700F2A">
            <w:pPr>
              <w:pageBreakBefore w:val="0"/>
              <w:kinsoku/>
              <w:overflowPunct/>
              <w:topLinePunct w:val="0"/>
              <w:bidi w:val="0"/>
              <w:spacing w:beforeAutospacing="0" w:after="0" w:afterAutospacing="0" w:line="240" w:lineRule="auto"/>
              <w:ind w:right="0"/>
              <w:textAlignment w:val="auto"/>
              <w:rPr>
                <w:rFonts w:hint="eastAsia" w:ascii="仿宋" w:hAnsi="仿宋" w:eastAsia="仿宋" w:cs="仿宋"/>
                <w:b w:val="0"/>
                <w:bCs w:val="0"/>
                <w:i w:val="0"/>
                <w:iCs w:val="0"/>
                <w:caps w:val="0"/>
                <w:color w:val="auto"/>
                <w:spacing w:val="0"/>
                <w:kern w:val="0"/>
                <w:sz w:val="28"/>
                <w:szCs w:val="28"/>
                <w:highlight w:val="none"/>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标项一：960000元</w:t>
            </w:r>
          </w:p>
          <w:p w14:paraId="16627C33">
            <w:pPr>
              <w:pStyle w:val="16"/>
              <w:rPr>
                <w:rFonts w:hint="eastAsia" w:ascii="仿宋" w:hAnsi="仿宋" w:eastAsia="仿宋" w:cs="仿宋"/>
                <w:b w:val="0"/>
                <w:bCs w:val="0"/>
                <w:i w:val="0"/>
                <w:iCs w:val="0"/>
                <w:caps w:val="0"/>
                <w:color w:val="auto"/>
                <w:spacing w:val="0"/>
                <w:kern w:val="0"/>
                <w:sz w:val="28"/>
                <w:szCs w:val="28"/>
                <w:highlight w:val="none"/>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标项二：960000元</w:t>
            </w:r>
          </w:p>
          <w:p w14:paraId="3EDE16DD">
            <w:pPr>
              <w:pStyle w:val="16"/>
              <w:rPr>
                <w:rFonts w:hint="eastAsia" w:ascii="仿宋" w:hAnsi="仿宋" w:eastAsia="仿宋" w:cs="仿宋"/>
                <w:b w:val="0"/>
                <w:bCs w:val="0"/>
                <w:i w:val="0"/>
                <w:iCs w:val="0"/>
                <w:caps w:val="0"/>
                <w:color w:val="auto"/>
                <w:spacing w:val="0"/>
                <w:kern w:val="0"/>
                <w:sz w:val="28"/>
                <w:szCs w:val="28"/>
                <w:highlight w:val="none"/>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 xml:space="preserve">玉米种子≥300吨 </w:t>
            </w:r>
          </w:p>
          <w:p w14:paraId="14423C67">
            <w:pPr>
              <w:pStyle w:val="16"/>
              <w:rPr>
                <w:rFonts w:hint="eastAsia" w:ascii="仿宋" w:hAnsi="仿宋" w:eastAsia="仿宋" w:cs="仿宋"/>
                <w:b w:val="0"/>
                <w:bCs w:val="0"/>
                <w:i w:val="0"/>
                <w:iCs w:val="0"/>
                <w:caps w:val="0"/>
                <w:color w:val="auto"/>
                <w:spacing w:val="0"/>
                <w:kern w:val="0"/>
                <w:sz w:val="28"/>
                <w:szCs w:val="28"/>
                <w:highlight w:val="none"/>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棉花种子≥300吨</w:t>
            </w:r>
          </w:p>
          <w:p w14:paraId="6B522F17">
            <w:pPr>
              <w:pStyle w:val="16"/>
              <w:rPr>
                <w:rFonts w:hint="default" w:ascii="仿宋" w:hAnsi="仿宋" w:eastAsia="仿宋" w:cs="仿宋"/>
                <w:b w:val="0"/>
                <w:bCs w:val="0"/>
                <w:i w:val="0"/>
                <w:iCs w:val="0"/>
                <w:caps w:val="0"/>
                <w:color w:val="auto"/>
                <w:spacing w:val="0"/>
                <w:kern w:val="0"/>
                <w:sz w:val="28"/>
                <w:szCs w:val="28"/>
                <w:highlight w:val="none"/>
                <w:lang w:val="en-US" w:eastAsia="zh-CN" w:bidi="ar"/>
              </w:rPr>
            </w:pPr>
            <w:r>
              <w:rPr>
                <w:rFonts w:hint="eastAsia" w:ascii="仿宋" w:hAnsi="仿宋" w:eastAsia="仿宋" w:cs="仿宋"/>
                <w:b w:val="0"/>
                <w:bCs w:val="0"/>
                <w:i w:val="0"/>
                <w:iCs w:val="0"/>
                <w:caps w:val="0"/>
                <w:color w:val="auto"/>
                <w:spacing w:val="0"/>
                <w:kern w:val="0"/>
                <w:sz w:val="28"/>
                <w:szCs w:val="28"/>
                <w:highlight w:val="none"/>
                <w:lang w:val="en-US" w:eastAsia="zh-CN" w:bidi="ar"/>
              </w:rPr>
              <w:t>注：1.本项目招标以数量为投标报价。招标以数量为投标报价是指在招标过程中，总金额不变，投标人根据招标人规定的数量作为标的进行投标报价。 2.由于政采云系统无法识别计量单位，因此投标计量单位以：“吨=个”表示（投标文件内仍按“吨”计取）</w:t>
            </w:r>
          </w:p>
        </w:tc>
      </w:tr>
      <w:tr w14:paraId="73AA9B42">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E2F4312">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lang w:val="en-US" w:eastAsia="zh-CN"/>
              </w:rPr>
              <w:t>4</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7B714FCD">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投标报价的其他要求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33304AC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所有投标单位报价统一。</w:t>
            </w:r>
          </w:p>
        </w:tc>
      </w:tr>
      <w:tr w14:paraId="3434EBA9">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D16C9EC">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3.2.5</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79EBA6B9">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是否允许递交备选报价 方案</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865A326">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☑不允许 □允许。要求：只有成交供应商所递交的备选报价方 案方可予以考虑。磋商小组认为成交供应商的备选 报价方案优于其按照采购文件要求的报价方案，采 购人可以接受该备选报价方案</w:t>
            </w:r>
          </w:p>
        </w:tc>
      </w:tr>
      <w:tr w14:paraId="57B22478">
        <w:tblPrEx>
          <w:tblCellMar>
            <w:top w:w="0" w:type="dxa"/>
            <w:left w:w="108" w:type="dxa"/>
            <w:bottom w:w="49" w:type="dxa"/>
            <w:right w:w="115" w:type="dxa"/>
          </w:tblCellMar>
        </w:tblPrEx>
        <w:trPr>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410DE0A">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2B2D63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CF64CF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自投标截止时间止起：</w:t>
            </w:r>
            <w:r>
              <w:rPr>
                <w:rFonts w:hint="eastAsia" w:ascii="仿宋" w:hAnsi="仿宋" w:eastAsia="仿宋" w:cs="仿宋"/>
                <w:color w:val="auto"/>
                <w:sz w:val="28"/>
                <w:szCs w:val="28"/>
                <w:highlight w:val="none"/>
                <w:u w:val="single"/>
              </w:rPr>
              <w:t xml:space="preserve"> 90 </w:t>
            </w:r>
            <w:r>
              <w:rPr>
                <w:rFonts w:hint="eastAsia" w:ascii="仿宋" w:hAnsi="仿宋" w:eastAsia="仿宋" w:cs="仿宋"/>
                <w:color w:val="auto"/>
                <w:sz w:val="28"/>
                <w:szCs w:val="28"/>
                <w:highlight w:val="none"/>
              </w:rPr>
              <w:t>日历天</w:t>
            </w:r>
          </w:p>
        </w:tc>
      </w:tr>
      <w:tr w14:paraId="48C6D5AD">
        <w:tblPrEx>
          <w:tblCellMar>
            <w:top w:w="0" w:type="dxa"/>
            <w:left w:w="108" w:type="dxa"/>
            <w:bottom w:w="49" w:type="dxa"/>
            <w:right w:w="115" w:type="dxa"/>
          </w:tblCellMar>
        </w:tblPrEx>
        <w:trPr>
          <w:trHeight w:val="78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4D858DD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459626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不予退还投标保证金的情形</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03FB56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（1）供应商在投标有效期内撤销</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p>
          <w:p w14:paraId="2807ADF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（2）中标人在收到中标通知书后，无正当理由不与采购人订立合同，在签订合同时向采购人提出附加条件，或者不按照竞争性磋商要求提交履约保证金；</w:t>
            </w:r>
          </w:p>
          <w:p w14:paraId="41BD5EC6">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在其</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中提供虚假资料。</w:t>
            </w:r>
          </w:p>
        </w:tc>
      </w:tr>
      <w:tr w14:paraId="6387C5B4">
        <w:tblPrEx>
          <w:tblCellMar>
            <w:top w:w="0" w:type="dxa"/>
            <w:left w:w="108" w:type="dxa"/>
            <w:bottom w:w="49" w:type="dxa"/>
            <w:right w:w="115" w:type="dxa"/>
          </w:tblCellMar>
        </w:tblPrEx>
        <w:trPr>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DE5A43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7D6B4CC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近年财务状况的年份要求</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3E8C6F6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近1年(指2025年度)</w:t>
            </w:r>
          </w:p>
        </w:tc>
      </w:tr>
      <w:tr w14:paraId="077C1652">
        <w:tblPrEx>
          <w:tblCellMar>
            <w:top w:w="0" w:type="dxa"/>
            <w:left w:w="108" w:type="dxa"/>
            <w:bottom w:w="49" w:type="dxa"/>
            <w:right w:w="115" w:type="dxa"/>
          </w:tblCellMar>
        </w:tblPrEx>
        <w:trPr>
          <w:trHeight w:val="432" w:hRule="atLeast"/>
        </w:trPr>
        <w:tc>
          <w:tcPr>
            <w:tcW w:w="860" w:type="dxa"/>
            <w:tcBorders>
              <w:top w:val="single" w:color="000000" w:sz="4" w:space="0"/>
              <w:left w:val="single" w:color="000000" w:sz="4" w:space="0"/>
              <w:right w:val="single" w:color="000000" w:sz="4" w:space="0"/>
            </w:tcBorders>
            <w:noWrap w:val="0"/>
            <w:vAlign w:val="center"/>
          </w:tcPr>
          <w:p w14:paraId="1E83B5F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3.5.3</w:t>
            </w:r>
          </w:p>
        </w:tc>
        <w:tc>
          <w:tcPr>
            <w:tcW w:w="2541" w:type="dxa"/>
            <w:tcBorders>
              <w:top w:val="single" w:color="000000" w:sz="4" w:space="0"/>
              <w:left w:val="single" w:color="000000" w:sz="4" w:space="0"/>
              <w:right w:val="single" w:color="000000" w:sz="4" w:space="0"/>
            </w:tcBorders>
            <w:noWrap w:val="0"/>
            <w:vAlign w:val="center"/>
          </w:tcPr>
          <w:p w14:paraId="3E85D13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近年完成的类似项目时间要求</w:t>
            </w:r>
          </w:p>
        </w:tc>
        <w:tc>
          <w:tcPr>
            <w:tcW w:w="6408" w:type="dxa"/>
            <w:tcBorders>
              <w:top w:val="single" w:color="000000" w:sz="4" w:space="0"/>
              <w:left w:val="single" w:color="000000" w:sz="4" w:space="0"/>
              <w:right w:val="single" w:color="000000" w:sz="4" w:space="0"/>
            </w:tcBorders>
            <w:noWrap w:val="0"/>
            <w:vAlign w:val="center"/>
          </w:tcPr>
          <w:p w14:paraId="751908D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近三年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2023年5月至投标截止时间，以合同签订时间为准</w:t>
            </w:r>
            <w:r>
              <w:rPr>
                <w:rFonts w:hint="eastAsia" w:ascii="仿宋" w:hAnsi="仿宋" w:eastAsia="仿宋" w:cs="仿宋"/>
                <w:color w:val="auto"/>
                <w:sz w:val="28"/>
                <w:szCs w:val="28"/>
                <w:highlight w:val="none"/>
                <w:lang w:eastAsia="zh-CN"/>
              </w:rPr>
              <w:t>）</w:t>
            </w:r>
          </w:p>
        </w:tc>
      </w:tr>
      <w:tr w14:paraId="0A6E782E">
        <w:tblPrEx>
          <w:tblCellMar>
            <w:top w:w="0" w:type="dxa"/>
            <w:left w:w="108" w:type="dxa"/>
            <w:bottom w:w="49" w:type="dxa"/>
            <w:right w:w="115" w:type="dxa"/>
          </w:tblCellMar>
        </w:tblPrEx>
        <w:trPr>
          <w:trHeight w:val="154" w:hRule="atLeast"/>
        </w:trPr>
        <w:tc>
          <w:tcPr>
            <w:tcW w:w="860" w:type="dxa"/>
            <w:tcBorders>
              <w:top w:val="single" w:color="000000" w:sz="4" w:space="0"/>
              <w:left w:val="single" w:color="000000" w:sz="4" w:space="0"/>
              <w:right w:val="single" w:color="000000" w:sz="4" w:space="0"/>
            </w:tcBorders>
            <w:noWrap w:val="0"/>
            <w:vAlign w:val="center"/>
          </w:tcPr>
          <w:p w14:paraId="533C27FE">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3.5.5</w:t>
            </w:r>
          </w:p>
        </w:tc>
        <w:tc>
          <w:tcPr>
            <w:tcW w:w="2541" w:type="dxa"/>
            <w:tcBorders>
              <w:top w:val="single" w:color="000000" w:sz="4" w:space="0"/>
              <w:left w:val="single" w:color="000000" w:sz="4" w:space="0"/>
              <w:right w:val="single" w:color="000000" w:sz="4" w:space="0"/>
            </w:tcBorders>
            <w:noWrap w:val="0"/>
            <w:vAlign w:val="center"/>
          </w:tcPr>
          <w:p w14:paraId="1F404B5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近年发生的诉讼及仲裁</w:t>
            </w:r>
          </w:p>
        </w:tc>
        <w:tc>
          <w:tcPr>
            <w:tcW w:w="6408" w:type="dxa"/>
            <w:tcBorders>
              <w:top w:val="single" w:color="000000" w:sz="4" w:space="0"/>
              <w:left w:val="single" w:color="000000" w:sz="4" w:space="0"/>
              <w:right w:val="single" w:color="000000" w:sz="4" w:space="0"/>
            </w:tcBorders>
            <w:noWrap w:val="0"/>
            <w:vAlign w:val="center"/>
          </w:tcPr>
          <w:p w14:paraId="0897831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近三年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2023年5月至投标截止时间</w:t>
            </w:r>
            <w:r>
              <w:rPr>
                <w:rFonts w:hint="eastAsia" w:ascii="仿宋" w:hAnsi="仿宋" w:eastAsia="仿宋" w:cs="仿宋"/>
                <w:color w:val="auto"/>
                <w:sz w:val="28"/>
                <w:szCs w:val="28"/>
                <w:highlight w:val="none"/>
                <w:lang w:eastAsia="zh-CN"/>
              </w:rPr>
              <w:t>）</w:t>
            </w:r>
          </w:p>
        </w:tc>
      </w:tr>
      <w:tr w14:paraId="7F8C93BB">
        <w:tblPrEx>
          <w:tblCellMar>
            <w:top w:w="0" w:type="dxa"/>
            <w:left w:w="108" w:type="dxa"/>
            <w:bottom w:w="49" w:type="dxa"/>
            <w:right w:w="115" w:type="dxa"/>
          </w:tblCellMar>
        </w:tblPrEx>
        <w:trPr>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740C31CF">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A9394C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是否允许递交备选投标方案</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061376C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14:paraId="51C56ACF">
        <w:tblPrEx>
          <w:tblCellMar>
            <w:top w:w="0" w:type="dxa"/>
            <w:left w:w="108" w:type="dxa"/>
            <w:bottom w:w="49" w:type="dxa"/>
            <w:right w:w="115" w:type="dxa"/>
          </w:tblCellMar>
        </w:tblPrEx>
        <w:trPr>
          <w:trHeight w:val="1373"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14:paraId="38832921">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3.7.</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auto" w:sz="4" w:space="0"/>
              <w:right w:val="single" w:color="000000" w:sz="4" w:space="0"/>
            </w:tcBorders>
            <w:noWrap w:val="0"/>
            <w:vAlign w:val="center"/>
          </w:tcPr>
          <w:p w14:paraId="26CFC64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副本份数及其他要求</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51FB472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本项目为电子标，电子投标文件的内容按要求进行签章。未按要求进行数字证书认证的响应文件，电子评标系统将无法接受,采购单位不予受理。</w:t>
            </w:r>
          </w:p>
          <w:p w14:paraId="2CC5F040">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纸质版投标文件</w:t>
            </w:r>
            <w:r>
              <w:rPr>
                <w:rFonts w:hint="eastAsia" w:ascii="仿宋" w:hAnsi="仿宋" w:eastAsia="仿宋" w:cs="仿宋"/>
                <w:b w:val="0"/>
                <w:bCs w:val="0"/>
                <w:color w:val="auto"/>
                <w:sz w:val="28"/>
                <w:szCs w:val="28"/>
                <w:highlight w:val="none"/>
              </w:rPr>
              <w:t>按要求装订；</w:t>
            </w:r>
            <w:r>
              <w:rPr>
                <w:rFonts w:hint="eastAsia" w:ascii="仿宋" w:hAnsi="仿宋" w:eastAsia="仿宋" w:cs="仿宋"/>
                <w:color w:val="auto"/>
                <w:sz w:val="28"/>
                <w:szCs w:val="28"/>
                <w:highlight w:val="none"/>
              </w:rPr>
              <w:t>中标单位在领取中标通知书时提供纸质版投标文件三份（一正两副）、以U盘为介质的电子版响应文件一份</w:t>
            </w:r>
            <w:r>
              <w:rPr>
                <w:rFonts w:hint="eastAsia" w:ascii="仿宋" w:hAnsi="仿宋" w:eastAsia="仿宋" w:cs="仿宋"/>
                <w:color w:val="auto"/>
                <w:sz w:val="28"/>
                <w:szCs w:val="28"/>
                <w:highlight w:val="none"/>
                <w:lang w:eastAsia="zh-CN"/>
              </w:rPr>
              <w:t>。</w:t>
            </w:r>
          </w:p>
        </w:tc>
      </w:tr>
      <w:tr w14:paraId="2C537756">
        <w:tblPrEx>
          <w:tblCellMar>
            <w:top w:w="0" w:type="dxa"/>
            <w:left w:w="108" w:type="dxa"/>
            <w:bottom w:w="49" w:type="dxa"/>
            <w:right w:w="115" w:type="dxa"/>
          </w:tblCellMar>
        </w:tblPrEx>
        <w:trPr>
          <w:trHeight w:val="1014" w:hRule="atLeast"/>
        </w:trPr>
        <w:tc>
          <w:tcPr>
            <w:tcW w:w="860" w:type="dxa"/>
            <w:tcBorders>
              <w:top w:val="single" w:color="auto" w:sz="4" w:space="0"/>
              <w:left w:val="single" w:color="000000" w:sz="4" w:space="0"/>
              <w:bottom w:val="single" w:color="auto" w:sz="4" w:space="0"/>
              <w:right w:val="single" w:color="000000" w:sz="4" w:space="0"/>
            </w:tcBorders>
            <w:noWrap w:val="0"/>
            <w:vAlign w:val="center"/>
          </w:tcPr>
          <w:p w14:paraId="4BB0B743">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3.7.2</w:t>
            </w:r>
          </w:p>
        </w:tc>
        <w:tc>
          <w:tcPr>
            <w:tcW w:w="2541" w:type="dxa"/>
            <w:tcBorders>
              <w:top w:val="single" w:color="auto" w:sz="4" w:space="0"/>
              <w:left w:val="single" w:color="000000" w:sz="4" w:space="0"/>
              <w:bottom w:val="single" w:color="auto" w:sz="4" w:space="0"/>
              <w:right w:val="single" w:color="000000" w:sz="4" w:space="0"/>
            </w:tcBorders>
            <w:noWrap w:val="0"/>
            <w:vAlign w:val="center"/>
          </w:tcPr>
          <w:p w14:paraId="5B3632D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是否需分册装订</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534D323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需要，分册装订要求：</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的正、副本应分册装订，并</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rPr>
              <w:t>别胶装成册，并按</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相应的内容编制目录，逐页按顺序标注页码，并不得采用活页装订。</w:t>
            </w:r>
          </w:p>
        </w:tc>
      </w:tr>
      <w:tr w14:paraId="1FA3F8A9">
        <w:tblPrEx>
          <w:tblCellMar>
            <w:top w:w="0" w:type="dxa"/>
            <w:left w:w="108" w:type="dxa"/>
            <w:bottom w:w="49" w:type="dxa"/>
            <w:right w:w="115" w:type="dxa"/>
          </w:tblCellMar>
        </w:tblPrEx>
        <w:trPr>
          <w:trHeight w:val="432" w:hRule="atLeast"/>
        </w:trPr>
        <w:tc>
          <w:tcPr>
            <w:tcW w:w="860" w:type="dxa"/>
            <w:tcBorders>
              <w:top w:val="single" w:color="auto" w:sz="4" w:space="0"/>
              <w:left w:val="single" w:color="000000" w:sz="4" w:space="0"/>
              <w:bottom w:val="single" w:color="000000" w:sz="4" w:space="0"/>
              <w:right w:val="single" w:color="000000" w:sz="4" w:space="0"/>
            </w:tcBorders>
            <w:noWrap w:val="0"/>
            <w:vAlign w:val="center"/>
          </w:tcPr>
          <w:p w14:paraId="6C8CE9E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3.7.3</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35C0B9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签字或盖章要求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D6F0B5D">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按竞争性磋商中的“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须知正文”的规定</w:t>
            </w:r>
          </w:p>
        </w:tc>
      </w:tr>
      <w:tr w14:paraId="18DD6647">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08F129B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26C5C0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截止时间</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848D4E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hint="eastAsia" w:ascii="仿宋" w:hAnsi="仿宋" w:eastAsia="仿宋" w:cs="仿宋"/>
                <w:color w:val="auto"/>
                <w:spacing w:val="-1"/>
                <w:sz w:val="28"/>
                <w:szCs w:val="28"/>
                <w:highlight w:val="none"/>
              </w:rPr>
              <w:t>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05</w:t>
            </w:r>
            <w:r>
              <w:rPr>
                <w:rFonts w:hint="eastAsia" w:ascii="仿宋" w:hAnsi="仿宋" w:eastAsia="仿宋" w:cs="仿宋"/>
                <w:color w:val="auto"/>
                <w:spacing w:val="-1"/>
                <w:sz w:val="28"/>
                <w:szCs w:val="28"/>
                <w:highlight w:val="none"/>
                <w:lang w:eastAsia="zh-CN"/>
              </w:rPr>
              <w:t>日1</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z w:val="28"/>
                <w:szCs w:val="28"/>
                <w:highlight w:val="none"/>
                <w:lang w:eastAsia="zh-CN"/>
              </w:rPr>
              <w:t>（北京时间）</w:t>
            </w:r>
            <w:r>
              <w:rPr>
                <w:rFonts w:hint="eastAsia" w:ascii="仿宋" w:hAnsi="仿宋" w:eastAsia="仿宋" w:cs="仿宋"/>
                <w:color w:val="auto"/>
                <w:sz w:val="28"/>
                <w:szCs w:val="28"/>
                <w:highlight w:val="none"/>
              </w:rPr>
              <w:t>时截止</w:t>
            </w:r>
          </w:p>
        </w:tc>
      </w:tr>
      <w:tr w14:paraId="4D0AD2C6">
        <w:tblPrEx>
          <w:tblCellMar>
            <w:top w:w="0" w:type="dxa"/>
            <w:left w:w="108" w:type="dxa"/>
            <w:bottom w:w="49" w:type="dxa"/>
            <w:right w:w="115" w:type="dxa"/>
          </w:tblCellMar>
        </w:tblPrEx>
        <w:trPr>
          <w:trHeight w:val="48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54E8C0CC">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CB6617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文件地点</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05F0896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政采云平台（http://www.ccgp-xinjiang.gov.cn//），供应商应于</w:t>
            </w:r>
            <w:r>
              <w:rPr>
                <w:rFonts w:hint="eastAsia" w:ascii="仿宋" w:hAnsi="仿宋" w:eastAsia="仿宋" w:cs="仿宋"/>
                <w:color w:val="auto"/>
                <w:spacing w:val="-1"/>
                <w:sz w:val="28"/>
                <w:szCs w:val="28"/>
                <w:highlight w:val="none"/>
              </w:rPr>
              <w:t>202</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年0</w:t>
            </w: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05</w:t>
            </w:r>
            <w:r>
              <w:rPr>
                <w:rFonts w:hint="eastAsia" w:ascii="仿宋" w:hAnsi="仿宋" w:eastAsia="仿宋" w:cs="仿宋"/>
                <w:color w:val="auto"/>
                <w:spacing w:val="-1"/>
                <w:sz w:val="28"/>
                <w:szCs w:val="28"/>
                <w:highlight w:val="none"/>
                <w:lang w:eastAsia="zh-CN"/>
              </w:rPr>
              <w:t>日</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val="en-US" w:eastAsia="zh-CN"/>
              </w:rPr>
              <w:t>0</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lang w:eastAsia="zh-CN"/>
              </w:rPr>
              <w:t>0</w:t>
            </w:r>
            <w:r>
              <w:rPr>
                <w:rFonts w:hint="eastAsia" w:ascii="仿宋" w:hAnsi="仿宋" w:eastAsia="仿宋" w:cs="仿宋"/>
                <w:color w:val="auto"/>
                <w:sz w:val="28"/>
                <w:szCs w:val="28"/>
                <w:highlight w:val="none"/>
                <w:lang w:val="en-US" w:eastAsia="zh-CN"/>
              </w:rPr>
              <w:t>时之前将电子响应文件上传到“政采云”平台。应按照本项目磋商文件和政采云平台的要求编制、加密传输响应文件。供应商在使用系统进行投标的过程中遇到涉及平台使用的任何问题，可致电政采云平台技术支持热线咨询，联系方式：95763。</w:t>
            </w:r>
          </w:p>
        </w:tc>
      </w:tr>
      <w:tr w14:paraId="77E2E4C4">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44F5B06">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AC76AB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文件是否退还</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3051F76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r w14:paraId="513FC378">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4F72E9E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5.1</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306A62FE">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开标时间和地点</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0B0AD9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年0</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0(北京时间) 地点：投标人登录政采云平台 https://www.zcygov.cn/，进入“项目采购-开标评标-右边选择对应项目点击“进入项目”进入开标大厅。投标人应于202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年0</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05</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0(北京时间)时之前将电子投标文件上传到“政采云”平台。应按照本项目招标文件和政采云平台的要求编制、加密传输投 标文件。供应商在使用系统进行投标的过程中遇到涉及平台使 用的任何问题，可致电政采云平台技术支持热线咨询，客服电话：95763。</w:t>
            </w:r>
          </w:p>
        </w:tc>
      </w:tr>
      <w:tr w14:paraId="7CF77654">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3D9519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5FD1A3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开标程序</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3956761C">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政府采购“全流程电子开评标”。</w:t>
            </w:r>
          </w:p>
        </w:tc>
      </w:tr>
      <w:tr w14:paraId="3AEC63E2">
        <w:tblPrEx>
          <w:tblCellMar>
            <w:top w:w="0" w:type="dxa"/>
            <w:left w:w="108" w:type="dxa"/>
            <w:bottom w:w="49" w:type="dxa"/>
            <w:right w:w="115" w:type="dxa"/>
          </w:tblCellMar>
        </w:tblPrEx>
        <w:trPr>
          <w:trHeight w:val="933"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D9212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4566AA3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评标委员会的组建</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1F785B4F">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依法组建评标委员会。评标委员会成员由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人构成，其中：</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rPr>
              <w:t>人，经济及技术方面的专家</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2 </w:t>
            </w:r>
            <w:r>
              <w:rPr>
                <w:rFonts w:hint="eastAsia" w:ascii="仿宋" w:hAnsi="仿宋" w:eastAsia="仿宋" w:cs="仿宋"/>
                <w:color w:val="auto"/>
                <w:sz w:val="28"/>
                <w:szCs w:val="28"/>
                <w:highlight w:val="none"/>
              </w:rPr>
              <w:t>人；经济及技术方面的专家由</w:t>
            </w:r>
            <w:r>
              <w:rPr>
                <w:rFonts w:hint="eastAsia" w:ascii="仿宋" w:hAnsi="仿宋" w:eastAsia="仿宋" w:cs="仿宋"/>
                <w:color w:val="auto"/>
                <w:sz w:val="28"/>
                <w:szCs w:val="28"/>
                <w:highlight w:val="none"/>
                <w:lang w:val="en-US" w:eastAsia="zh-CN"/>
              </w:rPr>
              <w:t>政府采购平台</w:t>
            </w:r>
            <w:r>
              <w:rPr>
                <w:rFonts w:hint="eastAsia" w:ascii="仿宋" w:hAnsi="仿宋" w:eastAsia="仿宋" w:cs="仿宋"/>
                <w:color w:val="auto"/>
                <w:sz w:val="28"/>
                <w:szCs w:val="28"/>
                <w:highlight w:val="none"/>
              </w:rPr>
              <w:t>专家库中随机抽取。</w:t>
            </w:r>
          </w:p>
        </w:tc>
      </w:tr>
      <w:tr w14:paraId="0615FB4D">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2A165FF5">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36AE96B">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评委会推荐中标候选人的人数</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77CEBDE2">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推荐中标候选人的数量为：</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 xml:space="preserve"> 名</w:t>
            </w:r>
          </w:p>
        </w:tc>
      </w:tr>
      <w:tr w14:paraId="5E992519">
        <w:tblPrEx>
          <w:tblCellMar>
            <w:top w:w="0" w:type="dxa"/>
            <w:left w:w="108" w:type="dxa"/>
            <w:bottom w:w="49" w:type="dxa"/>
            <w:right w:w="115" w:type="dxa"/>
          </w:tblCellMar>
        </w:tblPrEx>
        <w:trPr>
          <w:trHeight w:val="49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264C2EC9">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0F4388E4">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是否授权评委会确定中标人</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4465FBD9">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r w14:paraId="548B127F">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431A0DF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0FA8F83A">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技术成果经济补偿</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2D74F2E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不补偿</w:t>
            </w:r>
          </w:p>
        </w:tc>
      </w:tr>
      <w:tr w14:paraId="6A786086">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14:paraId="396F0527">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14:paraId="157E5D68">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是否采用电子招标投标</w:t>
            </w:r>
          </w:p>
        </w:tc>
        <w:tc>
          <w:tcPr>
            <w:tcW w:w="6408" w:type="dxa"/>
            <w:tcBorders>
              <w:top w:val="single" w:color="000000" w:sz="4" w:space="0"/>
              <w:left w:val="single" w:color="000000" w:sz="4" w:space="0"/>
              <w:bottom w:val="single" w:color="000000" w:sz="4" w:space="0"/>
              <w:right w:val="single" w:color="000000" w:sz="4" w:space="0"/>
            </w:tcBorders>
            <w:noWrap w:val="0"/>
            <w:vAlign w:val="center"/>
          </w:tcPr>
          <w:p w14:paraId="05040593">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是</w:t>
            </w:r>
          </w:p>
        </w:tc>
      </w:tr>
      <w:tr w14:paraId="2F62258D">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14:paraId="79647AB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9</w:t>
            </w:r>
          </w:p>
        </w:tc>
        <w:tc>
          <w:tcPr>
            <w:tcW w:w="2541" w:type="dxa"/>
            <w:tcBorders>
              <w:top w:val="single" w:color="000000" w:sz="4" w:space="0"/>
              <w:left w:val="single" w:color="000000" w:sz="4" w:space="0"/>
              <w:bottom w:val="single" w:color="auto" w:sz="4" w:space="0"/>
              <w:right w:val="single" w:color="000000" w:sz="4" w:space="0"/>
            </w:tcBorders>
            <w:noWrap w:val="0"/>
            <w:vAlign w:val="center"/>
          </w:tcPr>
          <w:p w14:paraId="4279D8B5">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需要补充的其他内容</w:t>
            </w:r>
          </w:p>
        </w:tc>
        <w:tc>
          <w:tcPr>
            <w:tcW w:w="6408" w:type="dxa"/>
            <w:tcBorders>
              <w:top w:val="single" w:color="000000" w:sz="4" w:space="0"/>
              <w:left w:val="single" w:color="000000" w:sz="4" w:space="0"/>
              <w:bottom w:val="single" w:color="auto" w:sz="4" w:space="0"/>
              <w:right w:val="single" w:color="000000" w:sz="4" w:space="0"/>
            </w:tcBorders>
            <w:noWrap w:val="0"/>
            <w:vAlign w:val="center"/>
          </w:tcPr>
          <w:p w14:paraId="2D6C9091">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补充的内容</w:t>
            </w:r>
          </w:p>
        </w:tc>
      </w:tr>
      <w:tr w14:paraId="3207B5DA">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59F0F14">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bookmarkStart w:id="12" w:name="_Hlk507195901"/>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6E7FBFE0">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类似项目</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5578FE9">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类似业绩指供应商近三年（202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4月</w:t>
            </w:r>
            <w:r>
              <w:rPr>
                <w:rFonts w:hint="eastAsia" w:ascii="仿宋" w:hAnsi="仿宋" w:eastAsia="仿宋" w:cs="仿宋"/>
                <w:color w:val="auto"/>
                <w:sz w:val="28"/>
                <w:szCs w:val="28"/>
                <w:highlight w:val="none"/>
                <w:lang w:eastAsia="zh-CN"/>
              </w:rPr>
              <w:t>至今）承担过的种子储备项目；以合同签订日期为准）</w:t>
            </w:r>
          </w:p>
        </w:tc>
      </w:tr>
      <w:tr w14:paraId="7CE2F241">
        <w:tblPrEx>
          <w:tblCellMar>
            <w:top w:w="0" w:type="dxa"/>
            <w:left w:w="108" w:type="dxa"/>
            <w:bottom w:w="49" w:type="dxa"/>
            <w:right w:w="115" w:type="dxa"/>
          </w:tblCellMar>
        </w:tblPrEx>
        <w:trPr>
          <w:trHeight w:val="9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B98973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40CFE8B">
            <w:pPr>
              <w:pageBreakBefore w:val="0"/>
              <w:kinsoku/>
              <w:overflowPunct/>
              <w:topLinePunct w:val="0"/>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1BC23216">
            <w:pPr>
              <w:pageBreakBefore w:val="0"/>
              <w:widowControl w:val="0"/>
              <w:numPr>
                <w:ilvl w:val="0"/>
                <w:numId w:val="0"/>
              </w:numPr>
              <w:kinsoku/>
              <w:overflowPunct/>
              <w:topLinePunct w:val="0"/>
              <w:autoSpaceDE w:val="0"/>
              <w:autoSpaceDN w:val="0"/>
              <w:bidi w:val="0"/>
              <w:adjustRightInd w:val="0"/>
              <w:spacing w:beforeAutospacing="0" w:after="0" w:afterAutospacing="0" w:line="240" w:lineRule="auto"/>
              <w:ind w:right="0" w:rightChars="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本项目不做要求</w:t>
            </w:r>
          </w:p>
        </w:tc>
      </w:tr>
      <w:tr w14:paraId="44DCDD82">
        <w:tblPrEx>
          <w:tblCellMar>
            <w:top w:w="0" w:type="dxa"/>
            <w:left w:w="108" w:type="dxa"/>
            <w:bottom w:w="49" w:type="dxa"/>
            <w:right w:w="115" w:type="dxa"/>
          </w:tblCellMar>
        </w:tblPrEx>
        <w:trPr>
          <w:trHeight w:val="918"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796C71A">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37FD69B8">
            <w:pPr>
              <w:pageBreakBefore w:val="0"/>
              <w:widowControl w:val="0"/>
              <w:kinsoku/>
              <w:overflowPunct/>
              <w:topLinePunct w:val="0"/>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标前准备</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1DE9EE0">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1、本项目实行网上投标，采用电子投标文件。若供应 商参与投标，自行承担投标一切费用。 2、各供应商应在开标前应确保成为新疆维吾尔自治区 政府采购网正式注册入库供应商，并完成CA数字证书 申领。因未注册入库、未办理CA数字证书等原因造成 无法投标或投标失败等后果由供应商自行承担。 3、供应商将政采云电子交易客户端下载、安装完成后，可通过账号密码或CA登录客户端进行投标文件制作。 在使用政采云投标客户端时，建议使用WIN7及以上操作系统。客户端请至新疆政府采购网 (http://www.ccgp-xinjiang.gov.cn/)下载专区查看，如有问题可拨打政采云客户服务热线95763进行咨询</w:t>
            </w:r>
          </w:p>
        </w:tc>
      </w:tr>
      <w:tr w14:paraId="329FAE95">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DC459B4">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6F4D857">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应承担的费用</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71F787C">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费用承担详见</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须知</w:t>
            </w:r>
            <w:r>
              <w:rPr>
                <w:rFonts w:hint="eastAsia" w:ascii="仿宋" w:hAnsi="仿宋" w:eastAsia="仿宋" w:cs="仿宋"/>
                <w:color w:val="auto"/>
                <w:sz w:val="28"/>
                <w:szCs w:val="28"/>
                <w:highlight w:val="none"/>
                <w:lang w:val="en-US" w:eastAsia="zh-CN"/>
              </w:rPr>
              <w:t>总则</w:t>
            </w:r>
            <w:r>
              <w:rPr>
                <w:rFonts w:hint="eastAsia" w:ascii="仿宋" w:hAnsi="仿宋" w:eastAsia="仿宋" w:cs="仿宋"/>
                <w:color w:val="auto"/>
                <w:sz w:val="28"/>
                <w:szCs w:val="28"/>
                <w:highlight w:val="none"/>
              </w:rPr>
              <w:t>部分“第1.5.1款”</w:t>
            </w:r>
          </w:p>
        </w:tc>
      </w:tr>
      <w:tr w14:paraId="3E182168">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CA26B69">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9.5</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1B182AA5">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评审办法</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C562FAC">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综合评分法</w:t>
            </w:r>
          </w:p>
        </w:tc>
      </w:tr>
      <w:tr w14:paraId="4BAD7182">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EF2415F">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9.6</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3B69837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中标服务费</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9BF34BC">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招标代理费参照“发改价格[2011]534号”计取，招标人约定投标人如果中标需支付招标代理费。</w:t>
            </w:r>
          </w:p>
        </w:tc>
      </w:tr>
      <w:tr w14:paraId="5EF0C1BD">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4646939">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9.7</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134A6E2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电子投标须知</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0691529">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请投标单位提前自学线上开标流程；投标截止时间当天，线上开标环节，响应文件解密时长30分钟，各投标单位务必提前调试好在线参标电脑的各项配置及CA锁网上进行签到、文件解密以及操作投标，响应文件报价确认签字时间为10分钟，超过时间视为报价无疑义。</w:t>
            </w:r>
          </w:p>
          <w:p w14:paraId="16DFA4E8">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2.招标文件中采购清单、技术需求等如有偏差，如有疑义请澄清中及时提出；否则视为充分理解招标文件各项要求。</w:t>
            </w:r>
          </w:p>
          <w:p w14:paraId="75DC6D1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响应文件，并准备相关资料，若投标单位未按招标文件规定的时间和地点递交响应文件、资格条件不符或提供资料不全等原因导致投标失败，则由投标单位自行承担由此而引起的所有不利后果。</w:t>
            </w:r>
          </w:p>
        </w:tc>
      </w:tr>
      <w:tr w14:paraId="549B4B46">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DFBB542">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9.8</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089D51F2">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所属行业类型</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420789E4">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仓储业</w:t>
            </w:r>
          </w:p>
        </w:tc>
      </w:tr>
      <w:tr w14:paraId="7B0D5D22">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68198F3">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9.9</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767E2A9">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中小微型企业</w:t>
            </w:r>
          </w:p>
          <w:p w14:paraId="0BC28661">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有关政策</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F50D51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根据财政部《政府采购促进中小企业发展管理办法》（财库[2020]46号）、《关于进一步加大政府采购支持中小企业力度的通知》(财库[2022]19号)、新财购（2022）22号文件《关于落实好政府采购支持中小企业发展的通知》，供应商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支持中小企业发展：给予小型、微型企业的价格给予10%-20%的扣除，用扣除后的价格参与评审，本项目具体扣除比例为10%。(注：未按要求提供《中小企业声明函》的，均不给予价格扣除）依据《关于印发中小企业划型标准规定的通知》（工信部联企业〔2011〕300号）。《中小企业声明函》中所列行业与采购文件所明确的行业不一致但不改变划型结果的不影响声明有效性。 </w:t>
            </w:r>
          </w:p>
          <w:p w14:paraId="5AC6663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 </w:t>
            </w:r>
          </w:p>
          <w:p w14:paraId="70D61F4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根据财政部、民政部、中国残疾人联合会《关于促进残疾人就业政府采购政策的通知》（财库[2017]141号），在政府采购活动中，残疾人福利性单位视同小型、微型企业。供应商属于残疾人福利性单位的，提供残疾人福利性单位声明函，格式自拟。</w:t>
            </w:r>
          </w:p>
        </w:tc>
      </w:tr>
      <w:tr w14:paraId="416E721C">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0477851F">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9.10</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42BB0E9F">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其他要求</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2A0B1EF3">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前下达2026年自治区农业生产发展资金（自治区救灾备荒种子储备项目）-玉米种子救灾备荒储备服务》与《提前下达2026年自治区农业生产发展资金（自治区救灾备荒种子储备项目）-棉花种子救灾备荒储备服务》兼投不兼中。</w:t>
            </w:r>
          </w:p>
        </w:tc>
      </w:tr>
      <w:tr w14:paraId="183A5E47">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51F0B49">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55CB6C55">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低价不正当竞争预防措施</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7F861D9C">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低价不正当竞争预防措施(实质性要求): 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 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委员会应当将其响应文件作为无效处理。</w:t>
            </w:r>
          </w:p>
        </w:tc>
      </w:tr>
      <w:tr w14:paraId="48554006">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226023E">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w:t>
            </w:r>
          </w:p>
        </w:tc>
        <w:tc>
          <w:tcPr>
            <w:tcW w:w="2541" w:type="dxa"/>
            <w:tcBorders>
              <w:top w:val="single" w:color="auto" w:sz="4" w:space="0"/>
              <w:left w:val="single" w:color="auto" w:sz="4" w:space="0"/>
              <w:bottom w:val="single" w:color="auto" w:sz="4" w:space="0"/>
              <w:right w:val="single" w:color="auto" w:sz="4" w:space="0"/>
            </w:tcBorders>
            <w:noWrap w:val="0"/>
            <w:vAlign w:val="center"/>
          </w:tcPr>
          <w:p w14:paraId="2FAC56A8">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防止异常低价问题</w:t>
            </w:r>
          </w:p>
        </w:tc>
        <w:tc>
          <w:tcPr>
            <w:tcW w:w="6408" w:type="dxa"/>
            <w:tcBorders>
              <w:top w:val="single" w:color="auto" w:sz="4" w:space="0"/>
              <w:left w:val="single" w:color="auto" w:sz="4" w:space="0"/>
              <w:bottom w:val="single" w:color="auto" w:sz="4" w:space="0"/>
              <w:right w:val="single" w:color="auto" w:sz="4" w:space="0"/>
            </w:tcBorders>
            <w:noWrap w:val="0"/>
            <w:vAlign w:val="center"/>
          </w:tcPr>
          <w:p w14:paraId="51330F7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关于推动解决政府采购异常低价问题的通知</w:t>
            </w:r>
          </w:p>
          <w:p w14:paraId="6F070FF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财库〔2026〕2号为整治政府采购领域“内卷式”竞争，形成优质优价、良性竞争的市场秩序，现就推动解决政府采购异常低价问题有关事项通知如下：</w:t>
            </w:r>
          </w:p>
          <w:p w14:paraId="75485527">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一、加强政府采购需求管理</w:t>
            </w:r>
          </w:p>
          <w:p w14:paraId="39542F91">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47A94BBE">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0165A2A5">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15645E0C">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二、强化政府采购异常低价审查</w:t>
            </w:r>
          </w:p>
          <w:p w14:paraId="37CD52F6">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（一）采购人应当在采购文件中明确，政府采购评审中出现下列情形之一的，评审委员会应当启动异常低价投标（响应）审查程序：</w:t>
            </w:r>
          </w:p>
          <w:p w14:paraId="5FF4254D">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58E2C154">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09496364">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3.投标（响应）报价低于采购项目最高限价45%的，即投标（响应）报价&lt;采购项目最高限价×45%；</w:t>
            </w:r>
          </w:p>
          <w:p w14:paraId="049F66CC">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4.评审委员会基于专业判断，认为供应商报价过低，有可能影响产品质量或者不能诚信履约的其他情形。</w:t>
            </w:r>
          </w:p>
          <w:p w14:paraId="1FDA881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采购人可以结合具体项目实际情况，提高上述第1项至第3项中启动异常低价投标（响应）审查的数值标准，但是最高不得超过65%。</w:t>
            </w:r>
          </w:p>
          <w:p w14:paraId="7E496CDE">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相关法律法规对供应商报价有规定的，从其规定。</w:t>
            </w:r>
          </w:p>
          <w:p w14:paraId="11910B2B">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6BCB12">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80B2505">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2B26EBF">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bookmarkEnd w:id="12"/>
    </w:tbl>
    <w:p w14:paraId="7D6FB6A8">
      <w:pPr>
        <w:spacing w:line="440" w:lineRule="exact"/>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注：</w:t>
      </w:r>
      <w:r>
        <w:rPr>
          <w:rFonts w:hint="eastAsia" w:ascii="仿宋" w:hAnsi="仿宋" w:eastAsia="仿宋" w:cs="仿宋"/>
          <w:color w:val="auto"/>
          <w:sz w:val="24"/>
          <w:highlight w:val="none"/>
        </w:rPr>
        <w:t>1、本表内容与磋商文件其它内容不一致的，应当以本表内容为准。</w:t>
      </w:r>
    </w:p>
    <w:p w14:paraId="35F6E987">
      <w:pPr>
        <w:rPr>
          <w:rFonts w:hint="eastAsia" w:ascii="仿宋" w:hAnsi="仿宋" w:eastAsia="仿宋" w:cs="仿宋"/>
          <w:color w:val="auto"/>
          <w:sz w:val="32"/>
          <w:szCs w:val="32"/>
          <w:highlight w:val="none"/>
        </w:rPr>
        <w:sectPr>
          <w:footerReference r:id="rId4" w:type="default"/>
          <w:pgSz w:w="11906" w:h="16838"/>
          <w:pgMar w:top="1440" w:right="1080" w:bottom="1440" w:left="1080" w:header="851" w:footer="992" w:gutter="0"/>
          <w:pgNumType w:start="5"/>
          <w:cols w:space="425" w:num="1"/>
          <w:docGrid w:linePitch="312" w:charSpace="0"/>
        </w:sectPr>
      </w:pPr>
      <w:r>
        <w:rPr>
          <w:rFonts w:hint="eastAsia" w:ascii="仿宋" w:hAnsi="仿宋" w:eastAsia="仿宋" w:cs="仿宋"/>
          <w:color w:val="auto"/>
          <w:kern w:val="0"/>
          <w:sz w:val="24"/>
          <w:highlight w:val="none"/>
        </w:rPr>
        <w:t>2、本表中“</w:t>
      </w:r>
      <w:r>
        <w:rPr>
          <w:rFonts w:hint="eastAsia" w:ascii="仿宋" w:hAnsi="仿宋" w:eastAsia="仿宋" w:cs="仿宋"/>
          <w:color w:val="auto"/>
          <w:kern w:val="0"/>
          <w:sz w:val="24"/>
          <w:highlight w:val="none"/>
        </w:rPr>
        <w:fldChar w:fldCharType="begin"/>
      </w:r>
      <w:r>
        <w:rPr>
          <w:rFonts w:hint="eastAsia" w:ascii="仿宋" w:hAnsi="仿宋" w:eastAsia="仿宋" w:cs="仿宋"/>
          <w:color w:val="auto"/>
          <w:kern w:val="0"/>
          <w:sz w:val="22"/>
          <w:highlight w:val="none"/>
        </w:rPr>
        <w:instrText xml:space="preserve"> eq \o\ac(</w:instrText>
      </w:r>
      <w:r>
        <w:rPr>
          <w:rFonts w:hint="eastAsia" w:ascii="仿宋" w:hAnsi="仿宋" w:eastAsia="仿宋" w:cs="仿宋"/>
          <w:color w:val="auto"/>
          <w:kern w:val="0"/>
          <w:position w:val="-4"/>
          <w:sz w:val="33"/>
          <w:highlight w:val="none"/>
        </w:rPr>
        <w:instrText xml:space="preserve">□</w:instrText>
      </w:r>
      <w:r>
        <w:rPr>
          <w:rFonts w:hint="eastAsia" w:ascii="仿宋" w:hAnsi="仿宋" w:eastAsia="仿宋" w:cs="仿宋"/>
          <w:color w:val="auto"/>
          <w:kern w:val="0"/>
          <w:sz w:val="22"/>
          <w:highlight w:val="none"/>
        </w:rPr>
        <w:instrText xml:space="preserve">,√)</w:instrTex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”标示选择使用该项。</w:t>
      </w:r>
    </w:p>
    <w:p w14:paraId="5FC957A0">
      <w:pPr>
        <w:spacing w:before="78" w:line="219" w:lineRule="auto"/>
        <w:ind w:left="4015"/>
        <w:rPr>
          <w:rFonts w:hint="eastAsia" w:ascii="仿宋" w:hAnsi="仿宋" w:eastAsia="仿宋" w:cs="仿宋"/>
          <w:color w:val="auto"/>
          <w:sz w:val="28"/>
          <w:szCs w:val="28"/>
          <w:highlight w:val="none"/>
        </w:rPr>
      </w:pPr>
      <w:bookmarkStart w:id="13" w:name="_Toc513029202"/>
      <w:bookmarkEnd w:id="13"/>
      <w:bookmarkStart w:id="14" w:name="_Toc16938518"/>
      <w:bookmarkEnd w:id="14"/>
      <w:bookmarkStart w:id="15" w:name="_Toc455227390"/>
      <w:bookmarkEnd w:id="15"/>
      <w:bookmarkStart w:id="16" w:name="_Toc120614213"/>
      <w:bookmarkEnd w:id="16"/>
      <w:bookmarkStart w:id="17" w:name="_Toc20823274"/>
      <w:bookmarkEnd w:id="17"/>
      <w:r>
        <w:rPr>
          <w:rFonts w:hint="eastAsia" w:ascii="仿宋" w:hAnsi="仿宋" w:eastAsia="仿宋" w:cs="仿宋"/>
          <w:b/>
          <w:bCs/>
          <w:color w:val="auto"/>
          <w:spacing w:val="-6"/>
          <w:sz w:val="28"/>
          <w:szCs w:val="28"/>
          <w:highlight w:val="none"/>
        </w:rPr>
        <w:t>一、说明</w:t>
      </w:r>
    </w:p>
    <w:p w14:paraId="1840703F">
      <w:pPr>
        <w:spacing w:before="180" w:line="220" w:lineRule="auto"/>
        <w:ind w:left="498"/>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1.1</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8"/>
          <w:sz w:val="28"/>
          <w:szCs w:val="28"/>
          <w:highlight w:val="none"/>
        </w:rPr>
        <w:t>适用范围</w:t>
      </w:r>
    </w:p>
    <w:p w14:paraId="26C83F48">
      <w:pPr>
        <w:spacing w:before="181" w:line="219" w:lineRule="auto"/>
        <w:ind w:left="498"/>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1.1.1</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1"/>
          <w:sz w:val="28"/>
          <w:szCs w:val="28"/>
          <w:highlight w:val="none"/>
        </w:rPr>
        <w:t>本磋商文件仅适用于本次磋商中所述项目的货物及相关服务</w:t>
      </w:r>
      <w:r>
        <w:rPr>
          <w:rFonts w:hint="eastAsia" w:ascii="仿宋" w:hAnsi="仿宋" w:eastAsia="仿宋" w:cs="仿宋"/>
          <w:color w:val="auto"/>
          <w:spacing w:val="-2"/>
          <w:sz w:val="28"/>
          <w:szCs w:val="28"/>
          <w:highlight w:val="none"/>
        </w:rPr>
        <w:t>的采购。</w:t>
      </w:r>
    </w:p>
    <w:p w14:paraId="75346A20">
      <w:pPr>
        <w:spacing w:before="181" w:line="220" w:lineRule="auto"/>
        <w:ind w:left="498"/>
        <w:rPr>
          <w:rFonts w:hint="eastAsia" w:ascii="仿宋" w:hAnsi="仿宋" w:eastAsia="仿宋" w:cs="仿宋"/>
          <w:color w:val="auto"/>
          <w:sz w:val="28"/>
          <w:szCs w:val="28"/>
          <w:highlight w:val="none"/>
        </w:rPr>
      </w:pPr>
      <w:r>
        <w:rPr>
          <w:rFonts w:hint="eastAsia" w:ascii="仿宋" w:hAnsi="仿宋" w:eastAsia="仿宋" w:cs="仿宋"/>
          <w:b/>
          <w:bCs/>
          <w:color w:val="auto"/>
          <w:spacing w:val="-11"/>
          <w:sz w:val="28"/>
          <w:szCs w:val="28"/>
          <w:highlight w:val="none"/>
        </w:rPr>
        <w:t>1.2</w:t>
      </w:r>
      <w:r>
        <w:rPr>
          <w:rFonts w:hint="eastAsia" w:ascii="仿宋" w:hAnsi="仿宋" w:eastAsia="仿宋" w:cs="仿宋"/>
          <w:color w:val="auto"/>
          <w:spacing w:val="-44"/>
          <w:sz w:val="28"/>
          <w:szCs w:val="28"/>
          <w:highlight w:val="none"/>
        </w:rPr>
        <w:t xml:space="preserve"> </w:t>
      </w:r>
      <w:r>
        <w:rPr>
          <w:rFonts w:hint="eastAsia" w:ascii="仿宋" w:hAnsi="仿宋" w:eastAsia="仿宋" w:cs="仿宋"/>
          <w:b/>
          <w:bCs/>
          <w:color w:val="auto"/>
          <w:spacing w:val="-11"/>
          <w:sz w:val="28"/>
          <w:szCs w:val="28"/>
          <w:highlight w:val="none"/>
        </w:rPr>
        <w:t>定义</w:t>
      </w:r>
    </w:p>
    <w:p w14:paraId="27570348">
      <w:pPr>
        <w:spacing w:before="181" w:line="219" w:lineRule="auto"/>
        <w:ind w:left="498"/>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1.2.1“采购人</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2"/>
          <w:sz w:val="28"/>
          <w:szCs w:val="28"/>
          <w:highlight w:val="none"/>
        </w:rPr>
        <w:t>”是指：详见供应商须知前附表.</w:t>
      </w:r>
    </w:p>
    <w:p w14:paraId="06FCADC8">
      <w:pPr>
        <w:spacing w:before="181"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1.2.2“采购代理机构</w:t>
      </w:r>
      <w:r>
        <w:rPr>
          <w:rFonts w:hint="eastAsia" w:ascii="仿宋" w:hAnsi="仿宋" w:eastAsia="仿宋" w:cs="仿宋"/>
          <w:color w:val="auto"/>
          <w:spacing w:val="-79"/>
          <w:sz w:val="28"/>
          <w:szCs w:val="28"/>
          <w:highlight w:val="none"/>
        </w:rPr>
        <w:t xml:space="preserve"> </w:t>
      </w:r>
      <w:r>
        <w:rPr>
          <w:rFonts w:hint="eastAsia" w:ascii="仿宋" w:hAnsi="仿宋" w:eastAsia="仿宋" w:cs="仿宋"/>
          <w:color w:val="auto"/>
          <w:spacing w:val="-2"/>
          <w:sz w:val="28"/>
          <w:szCs w:val="28"/>
          <w:highlight w:val="none"/>
        </w:rPr>
        <w:t>”是指：详见供应商须知前附表.</w:t>
      </w:r>
    </w:p>
    <w:p w14:paraId="1B9D1B2B">
      <w:pPr>
        <w:spacing w:before="183"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1.2.3“监管部门</w:t>
      </w:r>
      <w:r>
        <w:rPr>
          <w:rFonts w:hint="eastAsia" w:ascii="仿宋" w:hAnsi="仿宋" w:eastAsia="仿宋" w:cs="仿宋"/>
          <w:color w:val="auto"/>
          <w:spacing w:val="-83"/>
          <w:sz w:val="28"/>
          <w:szCs w:val="28"/>
          <w:highlight w:val="none"/>
        </w:rPr>
        <w:t xml:space="preserve"> </w:t>
      </w:r>
      <w:r>
        <w:rPr>
          <w:rFonts w:hint="eastAsia" w:ascii="仿宋" w:hAnsi="仿宋" w:eastAsia="仿宋" w:cs="仿宋"/>
          <w:color w:val="auto"/>
          <w:spacing w:val="-2"/>
          <w:sz w:val="28"/>
          <w:szCs w:val="28"/>
          <w:highlight w:val="none"/>
        </w:rPr>
        <w:t>”是指：详见供应商须知前附表.</w:t>
      </w:r>
    </w:p>
    <w:p w14:paraId="361C7DA8">
      <w:pPr>
        <w:spacing w:before="181" w:line="290" w:lineRule="auto"/>
        <w:ind w:left="2" w:firstLine="50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1.2.4“供应商</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”是指：响应磋商文件要求并且符合磋</w:t>
      </w:r>
      <w:r>
        <w:rPr>
          <w:rFonts w:hint="eastAsia" w:ascii="仿宋" w:hAnsi="仿宋" w:eastAsia="仿宋" w:cs="仿宋"/>
          <w:color w:val="auto"/>
          <w:spacing w:val="-3"/>
          <w:sz w:val="28"/>
          <w:szCs w:val="28"/>
          <w:highlight w:val="none"/>
        </w:rPr>
        <w:t>商文件规定资格条件和</w:t>
      </w:r>
      <w:r>
        <w:rPr>
          <w:rFonts w:hint="eastAsia" w:ascii="仿宋" w:hAnsi="仿宋" w:eastAsia="仿宋" w:cs="仿宋"/>
          <w:color w:val="auto"/>
          <w:spacing w:val="-1"/>
          <w:sz w:val="28"/>
          <w:szCs w:val="28"/>
          <w:highlight w:val="none"/>
        </w:rPr>
        <w:t>参加竞争性磋商的法人、其他组织或者自然人。</w:t>
      </w:r>
    </w:p>
    <w:p w14:paraId="366697BE">
      <w:pPr>
        <w:spacing w:before="179" w:line="290" w:lineRule="auto"/>
        <w:ind w:left="5" w:firstLine="49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1.2.5“</w:t>
      </w:r>
      <w:r>
        <w:rPr>
          <w:rFonts w:hint="eastAsia" w:ascii="仿宋" w:hAnsi="仿宋" w:eastAsia="仿宋" w:cs="仿宋"/>
          <w:color w:val="auto"/>
          <w:spacing w:val="-85"/>
          <w:sz w:val="28"/>
          <w:szCs w:val="28"/>
          <w:highlight w:val="none"/>
        </w:rPr>
        <w:t xml:space="preserve"> </w:t>
      </w:r>
      <w:r>
        <w:rPr>
          <w:rFonts w:hint="eastAsia" w:ascii="仿宋" w:hAnsi="仿宋" w:eastAsia="仿宋" w:cs="仿宋"/>
          <w:color w:val="auto"/>
          <w:spacing w:val="-3"/>
          <w:sz w:val="28"/>
          <w:szCs w:val="28"/>
          <w:highlight w:val="none"/>
        </w:rPr>
        <w:t>电子响应文件</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3"/>
          <w:sz w:val="28"/>
          <w:szCs w:val="28"/>
          <w:highlight w:val="none"/>
        </w:rPr>
        <w:t>”是指：利用新疆政府采购网提供</w:t>
      </w:r>
      <w:r>
        <w:rPr>
          <w:rFonts w:hint="eastAsia" w:ascii="仿宋" w:hAnsi="仿宋" w:eastAsia="仿宋" w:cs="仿宋"/>
          <w:color w:val="auto"/>
          <w:spacing w:val="-4"/>
          <w:sz w:val="28"/>
          <w:szCs w:val="28"/>
          <w:highlight w:val="none"/>
        </w:rPr>
        <w:t>的“响应文件制作工具</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4"/>
          <w:sz w:val="28"/>
          <w:szCs w:val="28"/>
          <w:highlight w:val="none"/>
        </w:rPr>
        <w:t>”编制加密的响应文件。</w:t>
      </w:r>
    </w:p>
    <w:p w14:paraId="6028F749">
      <w:pPr>
        <w:spacing w:before="180" w:line="219" w:lineRule="auto"/>
        <w:ind w:left="498"/>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1.2.6“成交供应商</w:t>
      </w:r>
      <w:r>
        <w:rPr>
          <w:rFonts w:hint="eastAsia" w:ascii="仿宋" w:hAnsi="仿宋" w:eastAsia="仿宋" w:cs="仿宋"/>
          <w:color w:val="auto"/>
          <w:spacing w:val="-81"/>
          <w:sz w:val="28"/>
          <w:szCs w:val="28"/>
          <w:highlight w:val="none"/>
        </w:rPr>
        <w:t xml:space="preserve"> </w:t>
      </w:r>
      <w:r>
        <w:rPr>
          <w:rFonts w:hint="eastAsia" w:ascii="仿宋" w:hAnsi="仿宋" w:eastAsia="仿宋" w:cs="仿宋"/>
          <w:color w:val="auto"/>
          <w:spacing w:val="-2"/>
          <w:sz w:val="28"/>
          <w:szCs w:val="28"/>
          <w:highlight w:val="none"/>
        </w:rPr>
        <w:t>”是指:是指经磋商小组评审，授予合同的供应商。</w:t>
      </w:r>
    </w:p>
    <w:p w14:paraId="2318CC76">
      <w:pPr>
        <w:spacing w:before="304" w:line="219" w:lineRule="auto"/>
        <w:ind w:left="498"/>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1.2.7</w:t>
      </w:r>
      <w:r>
        <w:rPr>
          <w:rFonts w:hint="eastAsia" w:ascii="仿宋" w:hAnsi="仿宋" w:eastAsia="仿宋" w:cs="仿宋"/>
          <w:color w:val="auto"/>
          <w:spacing w:val="-39"/>
          <w:sz w:val="28"/>
          <w:szCs w:val="28"/>
          <w:highlight w:val="none"/>
        </w:rPr>
        <w:t xml:space="preserve"> </w:t>
      </w:r>
      <w:r>
        <w:rPr>
          <w:rFonts w:hint="eastAsia" w:ascii="仿宋" w:hAnsi="仿宋" w:eastAsia="仿宋" w:cs="仿宋"/>
          <w:color w:val="auto"/>
          <w:spacing w:val="-2"/>
          <w:sz w:val="28"/>
          <w:szCs w:val="28"/>
          <w:highlight w:val="none"/>
        </w:rPr>
        <w:t>采购人和采购代理机构统称为招标采购单位。</w:t>
      </w:r>
    </w:p>
    <w:p w14:paraId="4255BB59">
      <w:pPr>
        <w:spacing w:before="303" w:line="219" w:lineRule="auto"/>
        <w:ind w:left="501"/>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1.3</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7"/>
          <w:sz w:val="28"/>
          <w:szCs w:val="28"/>
          <w:highlight w:val="none"/>
        </w:rPr>
        <w:t>货物和服务</w:t>
      </w:r>
    </w:p>
    <w:p w14:paraId="5EE2081C">
      <w:pPr>
        <w:spacing w:before="180" w:line="331" w:lineRule="auto"/>
        <w:ind w:firstLine="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1.3.1“货物</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”是指：供应商制造或组织符合磋商文件</w:t>
      </w:r>
      <w:r>
        <w:rPr>
          <w:rFonts w:hint="eastAsia" w:ascii="仿宋" w:hAnsi="仿宋" w:eastAsia="仿宋" w:cs="仿宋"/>
          <w:color w:val="auto"/>
          <w:spacing w:val="-3"/>
          <w:sz w:val="28"/>
          <w:szCs w:val="28"/>
          <w:highlight w:val="none"/>
        </w:rPr>
        <w:t>要求的货物，包括原材</w:t>
      </w:r>
      <w:r>
        <w:rPr>
          <w:rFonts w:hint="eastAsia" w:ascii="仿宋" w:hAnsi="仿宋" w:eastAsia="仿宋" w:cs="仿宋"/>
          <w:color w:val="auto"/>
          <w:sz w:val="28"/>
          <w:szCs w:val="28"/>
          <w:highlight w:val="none"/>
        </w:rPr>
        <w:t>料、燃料、设备、产品等。磋商文件中没有提及招标货物</w:t>
      </w:r>
      <w:r>
        <w:rPr>
          <w:rFonts w:hint="eastAsia" w:ascii="仿宋" w:hAnsi="仿宋" w:eastAsia="仿宋" w:cs="仿宋"/>
          <w:color w:val="auto"/>
          <w:spacing w:val="-1"/>
          <w:sz w:val="28"/>
          <w:szCs w:val="28"/>
          <w:highlight w:val="none"/>
        </w:rPr>
        <w:t>来源地的，根据《政府</w:t>
      </w:r>
      <w:r>
        <w:rPr>
          <w:rFonts w:hint="eastAsia" w:ascii="仿宋" w:hAnsi="仿宋" w:eastAsia="仿宋" w:cs="仿宋"/>
          <w:color w:val="auto"/>
          <w:sz w:val="28"/>
          <w:szCs w:val="28"/>
          <w:highlight w:val="none"/>
        </w:rPr>
        <w:t>采购法》的相关规定均应是本国货物，另有规定的除外。</w:t>
      </w:r>
      <w:r>
        <w:rPr>
          <w:rFonts w:hint="eastAsia" w:ascii="仿宋" w:hAnsi="仿宋" w:eastAsia="仿宋" w:cs="仿宋"/>
          <w:color w:val="auto"/>
          <w:spacing w:val="-1"/>
          <w:sz w:val="28"/>
          <w:szCs w:val="28"/>
          <w:highlight w:val="none"/>
        </w:rPr>
        <w:t>提供的货物必须是其合</w:t>
      </w:r>
      <w:r>
        <w:rPr>
          <w:rFonts w:hint="eastAsia" w:ascii="仿宋" w:hAnsi="仿宋" w:eastAsia="仿宋" w:cs="仿宋"/>
          <w:color w:val="auto"/>
          <w:sz w:val="28"/>
          <w:szCs w:val="28"/>
          <w:highlight w:val="none"/>
        </w:rPr>
        <w:t>法生产的符合国家有关标准要求的货物，并能够按照合同</w:t>
      </w:r>
      <w:r>
        <w:rPr>
          <w:rFonts w:hint="eastAsia" w:ascii="仿宋" w:hAnsi="仿宋" w:eastAsia="仿宋" w:cs="仿宋"/>
          <w:color w:val="auto"/>
          <w:spacing w:val="-1"/>
          <w:sz w:val="28"/>
          <w:szCs w:val="28"/>
          <w:highlight w:val="none"/>
        </w:rPr>
        <w:t>规定的品牌、产地、质量、价格和有效期等履约。</w:t>
      </w:r>
    </w:p>
    <w:p w14:paraId="62252FF3">
      <w:pPr>
        <w:spacing w:before="186" w:line="288" w:lineRule="auto"/>
        <w:ind w:left="7" w:firstLine="49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1.3.2“服务</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2"/>
          <w:sz w:val="28"/>
          <w:szCs w:val="28"/>
          <w:highlight w:val="none"/>
        </w:rPr>
        <w:t>”是指：除货物和工程以外的其他政府采</w:t>
      </w:r>
      <w:r>
        <w:rPr>
          <w:rFonts w:hint="eastAsia" w:ascii="仿宋" w:hAnsi="仿宋" w:eastAsia="仿宋" w:cs="仿宋"/>
          <w:color w:val="auto"/>
          <w:spacing w:val="-3"/>
          <w:sz w:val="28"/>
          <w:szCs w:val="28"/>
          <w:highlight w:val="none"/>
        </w:rPr>
        <w:t>购对象。包括：政府自</w:t>
      </w:r>
      <w:r>
        <w:rPr>
          <w:rFonts w:hint="eastAsia" w:ascii="仿宋" w:hAnsi="仿宋" w:eastAsia="仿宋" w:cs="仿宋"/>
          <w:color w:val="auto"/>
          <w:spacing w:val="-1"/>
          <w:sz w:val="28"/>
          <w:szCs w:val="28"/>
          <w:highlight w:val="none"/>
        </w:rPr>
        <w:t>身需要的服务和政府向社会公众提供的公共服务。</w:t>
      </w:r>
    </w:p>
    <w:p w14:paraId="2A81960B">
      <w:pPr>
        <w:spacing w:before="184" w:line="220" w:lineRule="auto"/>
        <w:ind w:left="501"/>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1.4</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7"/>
          <w:sz w:val="28"/>
          <w:szCs w:val="28"/>
          <w:highlight w:val="none"/>
        </w:rPr>
        <w:t>磋商费用</w:t>
      </w:r>
    </w:p>
    <w:p w14:paraId="480B7FE4">
      <w:pPr>
        <w:spacing w:before="179" w:line="360" w:lineRule="auto"/>
        <w:ind w:left="5" w:firstLine="49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1.4.1</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3"/>
          <w:sz w:val="28"/>
          <w:szCs w:val="28"/>
          <w:highlight w:val="none"/>
        </w:rPr>
        <w:t>供应商应承担所有与准备和参加竞争性磋商</w:t>
      </w:r>
      <w:r>
        <w:rPr>
          <w:rFonts w:hint="eastAsia" w:ascii="仿宋" w:hAnsi="仿宋" w:eastAsia="仿宋" w:cs="仿宋"/>
          <w:color w:val="auto"/>
          <w:spacing w:val="-4"/>
          <w:sz w:val="28"/>
          <w:szCs w:val="28"/>
          <w:highlight w:val="none"/>
        </w:rPr>
        <w:t>有关的费用。不论磋商的结</w:t>
      </w:r>
      <w:r>
        <w:rPr>
          <w:rFonts w:hint="eastAsia" w:ascii="仿宋" w:hAnsi="仿宋" w:eastAsia="仿宋" w:cs="仿宋"/>
          <w:color w:val="auto"/>
          <w:spacing w:val="-1"/>
          <w:sz w:val="28"/>
          <w:szCs w:val="28"/>
          <w:highlight w:val="none"/>
        </w:rPr>
        <w:t>果如何，采购单位均无义务和责任承担这些费用。</w:t>
      </w:r>
    </w:p>
    <w:p w14:paraId="7EF7966D">
      <w:pPr>
        <w:spacing w:before="1" w:line="219" w:lineRule="auto"/>
        <w:ind w:left="3532"/>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二、磋商文件</w:t>
      </w:r>
    </w:p>
    <w:p w14:paraId="538385E3">
      <w:pPr>
        <w:spacing w:before="181" w:line="219" w:lineRule="auto"/>
        <w:ind w:left="486"/>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2.1</w:t>
      </w:r>
      <w:r>
        <w:rPr>
          <w:rFonts w:hint="eastAsia" w:ascii="仿宋" w:hAnsi="仿宋" w:eastAsia="仿宋" w:cs="仿宋"/>
          <w:color w:val="auto"/>
          <w:spacing w:val="-54"/>
          <w:sz w:val="28"/>
          <w:szCs w:val="28"/>
          <w:highlight w:val="none"/>
        </w:rPr>
        <w:t xml:space="preserve"> </w:t>
      </w:r>
      <w:r>
        <w:rPr>
          <w:rFonts w:hint="eastAsia" w:ascii="仿宋" w:hAnsi="仿宋" w:eastAsia="仿宋" w:cs="仿宋"/>
          <w:b/>
          <w:bCs/>
          <w:color w:val="auto"/>
          <w:spacing w:val="-4"/>
          <w:sz w:val="28"/>
          <w:szCs w:val="28"/>
          <w:highlight w:val="none"/>
        </w:rPr>
        <w:t>磋商文件的构成</w:t>
      </w:r>
    </w:p>
    <w:p w14:paraId="684C4966">
      <w:pPr>
        <w:spacing w:before="180" w:line="219" w:lineRule="auto"/>
        <w:ind w:left="488"/>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2.1.1</w:t>
      </w:r>
      <w:r>
        <w:rPr>
          <w:rFonts w:hint="eastAsia" w:ascii="仿宋" w:hAnsi="仿宋" w:eastAsia="仿宋" w:cs="仿宋"/>
          <w:color w:val="auto"/>
          <w:spacing w:val="-39"/>
          <w:sz w:val="28"/>
          <w:szCs w:val="28"/>
          <w:highlight w:val="none"/>
        </w:rPr>
        <w:t xml:space="preserve"> </w:t>
      </w:r>
      <w:r>
        <w:rPr>
          <w:rFonts w:hint="eastAsia" w:ascii="仿宋" w:hAnsi="仿宋" w:eastAsia="仿宋" w:cs="仿宋"/>
          <w:color w:val="auto"/>
          <w:spacing w:val="-1"/>
          <w:sz w:val="28"/>
          <w:szCs w:val="28"/>
          <w:highlight w:val="none"/>
        </w:rPr>
        <w:t>磋商文件由下列文件以及在采购过程中发出的修正和补充文件组成</w:t>
      </w:r>
      <w:r>
        <w:rPr>
          <w:rFonts w:hint="eastAsia" w:ascii="仿宋" w:hAnsi="仿宋" w:eastAsia="仿宋" w:cs="仿宋"/>
          <w:color w:val="auto"/>
          <w:spacing w:val="-1"/>
          <w:sz w:val="28"/>
          <w:szCs w:val="28"/>
          <w:highlight w:val="none"/>
          <w:lang w:eastAsia="zh-CN"/>
        </w:rPr>
        <w:t>；</w:t>
      </w:r>
    </w:p>
    <w:p w14:paraId="282B9E6A">
      <w:pPr>
        <w:spacing w:before="183" w:line="218" w:lineRule="auto"/>
        <w:ind w:left="528"/>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(1)磋商公告；</w:t>
      </w:r>
    </w:p>
    <w:p w14:paraId="2F2183DD">
      <w:pPr>
        <w:spacing w:before="78" w:line="219" w:lineRule="auto"/>
        <w:ind w:left="528"/>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(2)供应商须知；</w:t>
      </w:r>
    </w:p>
    <w:p w14:paraId="093A58A6">
      <w:pPr>
        <w:spacing w:before="78" w:line="219" w:lineRule="auto"/>
        <w:ind w:left="528"/>
        <w:rPr>
          <w:rFonts w:hint="eastAsia" w:ascii="仿宋" w:hAnsi="仿宋" w:eastAsia="仿宋" w:cs="仿宋"/>
          <w:color w:val="auto"/>
          <w:sz w:val="28"/>
          <w:szCs w:val="28"/>
          <w:highlight w:val="none"/>
        </w:rPr>
      </w:pPr>
      <w:r>
        <w:rPr>
          <w:rFonts w:ascii="宋体" w:hAnsi="宋体" w:eastAsia="宋体" w:cs="宋体"/>
          <w:color w:val="auto"/>
          <w:spacing w:val="-3"/>
          <w:sz w:val="28"/>
          <w:szCs w:val="28"/>
          <w:highlight w:val="none"/>
        </w:rPr>
        <w:t>(3</w:t>
      </w:r>
      <w:r>
        <w:rPr>
          <w:rFonts w:hint="eastAsia" w:ascii="仿宋" w:hAnsi="仿宋" w:eastAsia="仿宋" w:cs="仿宋"/>
          <w:color w:val="auto"/>
          <w:spacing w:val="-3"/>
          <w:sz w:val="28"/>
          <w:szCs w:val="28"/>
          <w:highlight w:val="none"/>
        </w:rPr>
        <w:t>)采购项目技术规格、参数及相关服务要求；</w:t>
      </w:r>
    </w:p>
    <w:p w14:paraId="5964BD2C">
      <w:pPr>
        <w:spacing w:before="181" w:line="219" w:lineRule="auto"/>
        <w:ind w:left="528"/>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(4)评审方法、步骤、标准；</w:t>
      </w:r>
    </w:p>
    <w:p w14:paraId="40610E1C">
      <w:pPr>
        <w:spacing w:before="183" w:line="219" w:lineRule="auto"/>
        <w:ind w:left="528"/>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(5)合同格式及合同条款；</w:t>
      </w:r>
    </w:p>
    <w:p w14:paraId="62F9C148">
      <w:pPr>
        <w:spacing w:before="180" w:line="219" w:lineRule="auto"/>
        <w:ind w:left="528"/>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(6)响应文件格式；</w:t>
      </w:r>
    </w:p>
    <w:p w14:paraId="0D07ED2C">
      <w:pPr>
        <w:spacing w:before="183" w:line="219" w:lineRule="auto"/>
        <w:ind w:left="528"/>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(7)在磋商过程中由采购单位发出的澄清和补充文件等。</w:t>
      </w:r>
    </w:p>
    <w:p w14:paraId="15EE91A4">
      <w:pPr>
        <w:spacing w:before="181" w:line="359" w:lineRule="auto"/>
        <w:ind w:left="3" w:right="12" w:firstLine="485"/>
        <w:jc w:val="both"/>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2.1.2</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3"/>
          <w:sz w:val="28"/>
          <w:szCs w:val="28"/>
          <w:highlight w:val="none"/>
        </w:rPr>
        <w:t>供应商应认真阅读磋商文件中所有的事项、格式、条款和技术规范、参</w:t>
      </w:r>
      <w:r>
        <w:rPr>
          <w:rFonts w:hint="eastAsia" w:ascii="仿宋" w:hAnsi="仿宋" w:eastAsia="仿宋" w:cs="仿宋"/>
          <w:color w:val="auto"/>
          <w:sz w:val="28"/>
          <w:szCs w:val="28"/>
          <w:highlight w:val="none"/>
        </w:rPr>
        <w:t>数及相关要求等。供应商没有按照磋商文件要求提</w:t>
      </w:r>
      <w:r>
        <w:rPr>
          <w:rFonts w:hint="eastAsia" w:ascii="仿宋" w:hAnsi="仿宋" w:eastAsia="仿宋" w:cs="仿宋"/>
          <w:color w:val="auto"/>
          <w:spacing w:val="-1"/>
          <w:sz w:val="28"/>
          <w:szCs w:val="28"/>
          <w:highlight w:val="none"/>
        </w:rPr>
        <w:t>交全部资料，或者没有对磋商</w:t>
      </w:r>
      <w:r>
        <w:rPr>
          <w:rFonts w:hint="eastAsia" w:ascii="仿宋" w:hAnsi="仿宋" w:eastAsia="仿宋" w:cs="仿宋"/>
          <w:color w:val="auto"/>
          <w:sz w:val="28"/>
          <w:szCs w:val="28"/>
          <w:highlight w:val="none"/>
        </w:rPr>
        <w:t>文件在各方面都做出实质性响应是供应商的风险，</w:t>
      </w:r>
      <w:r>
        <w:rPr>
          <w:rFonts w:hint="eastAsia" w:ascii="仿宋" w:hAnsi="仿宋" w:eastAsia="仿宋" w:cs="仿宋"/>
          <w:color w:val="auto"/>
          <w:spacing w:val="-1"/>
          <w:sz w:val="28"/>
          <w:szCs w:val="28"/>
          <w:highlight w:val="none"/>
        </w:rPr>
        <w:t>有可能导致被拒绝，或被按照无效文件处理或被确定为无效文件。</w:t>
      </w:r>
    </w:p>
    <w:p w14:paraId="6ABFEFBB">
      <w:pPr>
        <w:spacing w:before="1" w:line="219" w:lineRule="auto"/>
        <w:ind w:left="487"/>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2.2.磋商文件的澄清</w:t>
      </w:r>
    </w:p>
    <w:p w14:paraId="1881E53E">
      <w:pPr>
        <w:spacing w:before="185" w:line="324" w:lineRule="auto"/>
        <w:ind w:right="12" w:firstLine="488"/>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2.2.1</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3"/>
          <w:sz w:val="28"/>
          <w:szCs w:val="28"/>
          <w:highlight w:val="none"/>
        </w:rPr>
        <w:t>供应商应仔细阅读和检查磋商文件的全部内容。供应商若对磋商文件有</w:t>
      </w:r>
      <w:r>
        <w:rPr>
          <w:rFonts w:hint="eastAsia" w:ascii="仿宋" w:hAnsi="仿宋" w:eastAsia="仿宋" w:cs="仿宋"/>
          <w:color w:val="auto"/>
          <w:spacing w:val="-2"/>
          <w:sz w:val="28"/>
          <w:szCs w:val="28"/>
          <w:highlight w:val="none"/>
        </w:rPr>
        <w:t>任何疑问，均应在响应文件递交截止时间</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2"/>
          <w:sz w:val="28"/>
          <w:szCs w:val="28"/>
          <w:highlight w:val="none"/>
        </w:rPr>
        <w:t>5 日前，按</w:t>
      </w:r>
      <w:r>
        <w:rPr>
          <w:rFonts w:hint="eastAsia" w:ascii="仿宋" w:hAnsi="仿宋" w:eastAsia="仿宋" w:cs="仿宋"/>
          <w:color w:val="auto"/>
          <w:spacing w:val="-3"/>
          <w:sz w:val="28"/>
          <w:szCs w:val="28"/>
          <w:highlight w:val="none"/>
        </w:rPr>
        <w:t>磋商公告中的联系地址以书</w:t>
      </w:r>
      <w:r>
        <w:rPr>
          <w:rFonts w:hint="eastAsia" w:ascii="仿宋" w:hAnsi="仿宋" w:eastAsia="仿宋" w:cs="仿宋"/>
          <w:color w:val="auto"/>
          <w:sz w:val="28"/>
          <w:szCs w:val="28"/>
          <w:highlight w:val="none"/>
        </w:rPr>
        <w:t>面形式送达采购代理机构，采购代理机构将以书面形式予</w:t>
      </w:r>
      <w:r>
        <w:rPr>
          <w:rFonts w:hint="eastAsia" w:ascii="仿宋" w:hAnsi="仿宋" w:eastAsia="仿宋" w:cs="仿宋"/>
          <w:color w:val="auto"/>
          <w:spacing w:val="-1"/>
          <w:sz w:val="28"/>
          <w:szCs w:val="28"/>
          <w:highlight w:val="none"/>
        </w:rPr>
        <w:t>以答复。答复中包括原提出的问题，但不包括问题的来源。</w:t>
      </w:r>
    </w:p>
    <w:p w14:paraId="0D57405A">
      <w:pPr>
        <w:spacing w:before="182" w:line="312" w:lineRule="auto"/>
        <w:ind w:right="12" w:firstLine="465"/>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2.2.2</w:t>
      </w:r>
      <w:r>
        <w:rPr>
          <w:rFonts w:hint="eastAsia" w:ascii="仿宋" w:hAnsi="仿宋" w:eastAsia="仿宋" w:cs="仿宋"/>
          <w:color w:val="auto"/>
          <w:spacing w:val="-66"/>
          <w:sz w:val="28"/>
          <w:szCs w:val="28"/>
          <w:highlight w:val="none"/>
        </w:rPr>
        <w:t xml:space="preserve"> </w:t>
      </w:r>
      <w:r>
        <w:rPr>
          <w:rFonts w:hint="eastAsia" w:ascii="仿宋" w:hAnsi="仿宋" w:eastAsia="仿宋" w:cs="仿宋"/>
          <w:color w:val="auto"/>
          <w:spacing w:val="-2"/>
          <w:sz w:val="28"/>
          <w:szCs w:val="28"/>
          <w:highlight w:val="none"/>
        </w:rPr>
        <w:t>供应商在本项目采购公告期限届满之日起</w:t>
      </w:r>
      <w:r>
        <w:rPr>
          <w:rFonts w:hint="eastAsia" w:ascii="仿宋" w:hAnsi="仿宋" w:eastAsia="仿宋" w:cs="仿宋"/>
          <w:color w:val="auto"/>
          <w:spacing w:val="-55"/>
          <w:sz w:val="28"/>
          <w:szCs w:val="28"/>
          <w:highlight w:val="none"/>
        </w:rPr>
        <w:t xml:space="preserve"> </w:t>
      </w:r>
      <w:r>
        <w:rPr>
          <w:rFonts w:hint="eastAsia" w:ascii="仿宋" w:hAnsi="仿宋" w:eastAsia="仿宋" w:cs="仿宋"/>
          <w:color w:val="auto"/>
          <w:spacing w:val="-2"/>
          <w:sz w:val="28"/>
          <w:szCs w:val="28"/>
          <w:highlight w:val="none"/>
        </w:rPr>
        <w:t>5</w:t>
      </w:r>
      <w:r>
        <w:rPr>
          <w:rFonts w:hint="eastAsia" w:ascii="仿宋" w:hAnsi="仿宋" w:eastAsia="仿宋" w:cs="仿宋"/>
          <w:color w:val="auto"/>
          <w:spacing w:val="-58"/>
          <w:sz w:val="28"/>
          <w:szCs w:val="28"/>
          <w:highlight w:val="none"/>
        </w:rPr>
        <w:t xml:space="preserve"> </w:t>
      </w:r>
      <w:r>
        <w:rPr>
          <w:rFonts w:hint="eastAsia" w:ascii="仿宋" w:hAnsi="仿宋" w:eastAsia="仿宋" w:cs="仿宋"/>
          <w:color w:val="auto"/>
          <w:spacing w:val="-2"/>
          <w:sz w:val="28"/>
          <w:szCs w:val="28"/>
          <w:highlight w:val="none"/>
        </w:rPr>
        <w:t>个工作日内未对磋商文件提</w:t>
      </w:r>
      <w:r>
        <w:rPr>
          <w:rFonts w:hint="eastAsia" w:ascii="仿宋" w:hAnsi="仿宋" w:eastAsia="仿宋" w:cs="仿宋"/>
          <w:color w:val="auto"/>
          <w:sz w:val="28"/>
          <w:szCs w:val="28"/>
          <w:highlight w:val="none"/>
        </w:rPr>
        <w:t>出异议的，采购单位将视其为同意。在规定的时间后就磋商</w:t>
      </w:r>
      <w:r>
        <w:rPr>
          <w:rFonts w:hint="eastAsia" w:ascii="仿宋" w:hAnsi="仿宋" w:eastAsia="仿宋" w:cs="仿宋"/>
          <w:color w:val="auto"/>
          <w:spacing w:val="-1"/>
          <w:sz w:val="28"/>
          <w:szCs w:val="28"/>
          <w:highlight w:val="none"/>
        </w:rPr>
        <w:t>文件内容提出的质疑</w:t>
      </w:r>
      <w:r>
        <w:rPr>
          <w:rFonts w:hint="eastAsia" w:ascii="仿宋" w:hAnsi="仿宋" w:eastAsia="仿宋" w:cs="仿宋"/>
          <w:color w:val="auto"/>
          <w:spacing w:val="-2"/>
          <w:sz w:val="28"/>
          <w:szCs w:val="28"/>
          <w:highlight w:val="none"/>
        </w:rPr>
        <w:t>将不予受理。</w:t>
      </w:r>
    </w:p>
    <w:p w14:paraId="13A5788F">
      <w:pPr>
        <w:spacing w:before="181" w:line="219" w:lineRule="auto"/>
        <w:ind w:left="487"/>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2.3.磋商文件的修改</w:t>
      </w:r>
    </w:p>
    <w:p w14:paraId="62A27E5B">
      <w:pPr>
        <w:spacing w:before="184" w:line="312" w:lineRule="auto"/>
        <w:ind w:left="3" w:right="96" w:firstLine="461"/>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2.3.1</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1"/>
          <w:sz w:val="28"/>
          <w:szCs w:val="28"/>
          <w:highlight w:val="none"/>
        </w:rPr>
        <w:t>采购代理机构可以对已发出的磋商文件进行必要的澄清或者修改。澄清或</w:t>
      </w:r>
      <w:r>
        <w:rPr>
          <w:rFonts w:hint="eastAsia" w:ascii="仿宋" w:hAnsi="仿宋" w:eastAsia="仿宋" w:cs="仿宋"/>
          <w:color w:val="auto"/>
          <w:sz w:val="28"/>
          <w:szCs w:val="28"/>
          <w:highlight w:val="none"/>
        </w:rPr>
        <w:t>者修改的内容可能影响响应文件编制的，采购单位</w:t>
      </w:r>
      <w:r>
        <w:rPr>
          <w:rFonts w:hint="eastAsia" w:ascii="仿宋" w:hAnsi="仿宋" w:eastAsia="仿宋" w:cs="仿宋"/>
          <w:color w:val="auto"/>
          <w:spacing w:val="-1"/>
          <w:sz w:val="28"/>
          <w:szCs w:val="28"/>
          <w:highlight w:val="none"/>
        </w:rPr>
        <w:t>将在响应文件递交截止时间五日前，以书面通知已领取磋商文件的潜在供应商。</w:t>
      </w:r>
    </w:p>
    <w:p w14:paraId="6FCC4BD5">
      <w:pPr>
        <w:spacing w:before="183" w:line="219" w:lineRule="auto"/>
        <w:ind w:left="465"/>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2.3.2</w:t>
      </w:r>
      <w:r>
        <w:rPr>
          <w:rFonts w:hint="eastAsia" w:ascii="仿宋" w:hAnsi="仿宋" w:eastAsia="仿宋" w:cs="仿宋"/>
          <w:color w:val="auto"/>
          <w:spacing w:val="-55"/>
          <w:sz w:val="28"/>
          <w:szCs w:val="28"/>
          <w:highlight w:val="none"/>
        </w:rPr>
        <w:t xml:space="preserve"> </w:t>
      </w:r>
      <w:r>
        <w:rPr>
          <w:rFonts w:hint="eastAsia" w:ascii="仿宋" w:hAnsi="仿宋" w:eastAsia="仿宋" w:cs="仿宋"/>
          <w:color w:val="auto"/>
          <w:spacing w:val="-8"/>
          <w:sz w:val="28"/>
          <w:szCs w:val="28"/>
          <w:highlight w:val="none"/>
        </w:rPr>
        <w:t>澄清或者修改的内容是磋商文件的组成部分，对供应商具有约束力。</w:t>
      </w:r>
    </w:p>
    <w:p w14:paraId="42B742BA">
      <w:pPr>
        <w:spacing w:before="181" w:line="313" w:lineRule="auto"/>
        <w:ind w:left="3" w:firstLine="485"/>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2.3.3</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3"/>
          <w:sz w:val="28"/>
          <w:szCs w:val="28"/>
          <w:highlight w:val="none"/>
        </w:rPr>
        <w:t>为使供应商有充足的时间对磋商文件的修改部分进行研究，采购代理机</w:t>
      </w:r>
      <w:r>
        <w:rPr>
          <w:rFonts w:hint="eastAsia" w:ascii="仿宋" w:hAnsi="仿宋" w:eastAsia="仿宋" w:cs="仿宋"/>
          <w:color w:val="auto"/>
          <w:spacing w:val="-1"/>
          <w:sz w:val="28"/>
          <w:szCs w:val="28"/>
          <w:highlight w:val="none"/>
        </w:rPr>
        <w:t>构可适当推迟响应文件递交截止时间，并以书面通知所有登记备案并领取了磋商</w:t>
      </w:r>
      <w:r>
        <w:rPr>
          <w:rFonts w:hint="eastAsia" w:ascii="仿宋" w:hAnsi="仿宋" w:eastAsia="仿宋" w:cs="仿宋"/>
          <w:color w:val="auto"/>
          <w:spacing w:val="-2"/>
          <w:sz w:val="28"/>
          <w:szCs w:val="28"/>
          <w:highlight w:val="none"/>
        </w:rPr>
        <w:t>文件的潜在供应商。</w:t>
      </w:r>
    </w:p>
    <w:p w14:paraId="7BE14BB6">
      <w:pPr>
        <w:spacing w:before="181" w:line="289" w:lineRule="auto"/>
        <w:ind w:left="6" w:firstLine="458"/>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2.3.</w:t>
      </w:r>
      <w:r>
        <w:rPr>
          <w:rFonts w:hint="eastAsia" w:ascii="仿宋" w:hAnsi="仿宋" w:eastAsia="仿宋" w:cs="仿宋"/>
          <w:color w:val="auto"/>
          <w:spacing w:val="-15"/>
          <w:sz w:val="28"/>
          <w:szCs w:val="28"/>
          <w:highlight w:val="none"/>
        </w:rPr>
        <w:t>4</w:t>
      </w:r>
      <w:r>
        <w:rPr>
          <w:rFonts w:hint="eastAsia" w:ascii="仿宋" w:hAnsi="仿宋" w:eastAsia="仿宋" w:cs="仿宋"/>
          <w:color w:val="auto"/>
          <w:spacing w:val="-29"/>
          <w:sz w:val="28"/>
          <w:szCs w:val="28"/>
          <w:highlight w:val="none"/>
        </w:rPr>
        <w:t xml:space="preserve"> </w:t>
      </w:r>
      <w:r>
        <w:rPr>
          <w:rFonts w:hint="eastAsia" w:ascii="仿宋" w:hAnsi="仿宋" w:eastAsia="仿宋" w:cs="仿宋"/>
          <w:color w:val="auto"/>
          <w:spacing w:val="-15"/>
          <w:sz w:val="28"/>
          <w:szCs w:val="28"/>
          <w:highlight w:val="none"/>
        </w:rPr>
        <w:t>因供应商原因未及时获知澄清、修改或补充内容而导致的任何后果将由供</w:t>
      </w:r>
      <w:r>
        <w:rPr>
          <w:rFonts w:hint="eastAsia" w:ascii="仿宋" w:hAnsi="仿宋" w:eastAsia="仿宋" w:cs="仿宋"/>
          <w:color w:val="auto"/>
          <w:spacing w:val="-11"/>
          <w:sz w:val="28"/>
          <w:szCs w:val="28"/>
          <w:highlight w:val="none"/>
        </w:rPr>
        <w:t>应商自行承担。</w:t>
      </w:r>
    </w:p>
    <w:p w14:paraId="6C7D6810">
      <w:pPr>
        <w:spacing w:before="183" w:line="219" w:lineRule="auto"/>
        <w:ind w:left="2807"/>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三、响应文件的编制和数量</w:t>
      </w:r>
    </w:p>
    <w:p w14:paraId="5FE71C8E">
      <w:pPr>
        <w:spacing w:before="181" w:line="219" w:lineRule="auto"/>
        <w:ind w:left="48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3.1．响应文件的语言</w:t>
      </w:r>
    </w:p>
    <w:p w14:paraId="3B19125F">
      <w:pPr>
        <w:spacing w:before="182" w:line="312" w:lineRule="auto"/>
        <w:ind w:right="12" w:firstLine="465"/>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3.1.1 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7DAF9FEF">
      <w:pPr>
        <w:spacing w:line="219" w:lineRule="auto"/>
        <w:ind w:left="488"/>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3.2</w:t>
      </w:r>
      <w:r>
        <w:rPr>
          <w:rFonts w:hint="eastAsia" w:ascii="仿宋" w:hAnsi="仿宋" w:eastAsia="仿宋" w:cs="仿宋"/>
          <w:color w:val="auto"/>
          <w:spacing w:val="-36"/>
          <w:sz w:val="28"/>
          <w:szCs w:val="28"/>
          <w:highlight w:val="none"/>
        </w:rPr>
        <w:t xml:space="preserve"> </w:t>
      </w:r>
      <w:r>
        <w:rPr>
          <w:rFonts w:hint="eastAsia" w:ascii="仿宋" w:hAnsi="仿宋" w:eastAsia="仿宋" w:cs="仿宋"/>
          <w:b/>
          <w:bCs/>
          <w:color w:val="auto"/>
          <w:spacing w:val="-6"/>
          <w:sz w:val="28"/>
          <w:szCs w:val="28"/>
          <w:highlight w:val="none"/>
        </w:rPr>
        <w:t>响应文件的构成</w:t>
      </w:r>
    </w:p>
    <w:p w14:paraId="39E92238">
      <w:pPr>
        <w:spacing w:before="179" w:line="219" w:lineRule="auto"/>
        <w:ind w:left="49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3.2.1</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1"/>
          <w:sz w:val="28"/>
          <w:szCs w:val="28"/>
          <w:highlight w:val="none"/>
        </w:rPr>
        <w:t>供应商编制的响应文件应包括但不少于下列内容：</w:t>
      </w:r>
    </w:p>
    <w:p w14:paraId="7D2A146A">
      <w:pPr>
        <w:spacing w:before="183" w:line="219" w:lineRule="auto"/>
        <w:ind w:left="497"/>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（1)商务文件内容（详见第六章商务文件组</w:t>
      </w:r>
      <w:r>
        <w:rPr>
          <w:rFonts w:hint="eastAsia" w:ascii="仿宋" w:hAnsi="仿宋" w:eastAsia="仿宋" w:cs="仿宋"/>
          <w:color w:val="auto"/>
          <w:spacing w:val="-3"/>
          <w:sz w:val="28"/>
          <w:szCs w:val="28"/>
          <w:highlight w:val="none"/>
        </w:rPr>
        <w:t>成）</w:t>
      </w:r>
    </w:p>
    <w:p w14:paraId="1F8901DE">
      <w:pPr>
        <w:spacing w:before="181" w:line="219" w:lineRule="auto"/>
        <w:ind w:left="497"/>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（2)技术文件内容（详见第六章技术文件组成）</w:t>
      </w:r>
    </w:p>
    <w:p w14:paraId="013AD1E7">
      <w:pPr>
        <w:spacing w:before="184" w:line="219" w:lineRule="auto"/>
        <w:ind w:left="488"/>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3.3</w:t>
      </w:r>
      <w:r>
        <w:rPr>
          <w:rFonts w:hint="eastAsia" w:ascii="仿宋" w:hAnsi="仿宋" w:eastAsia="仿宋" w:cs="仿宋"/>
          <w:color w:val="auto"/>
          <w:spacing w:val="-40"/>
          <w:sz w:val="28"/>
          <w:szCs w:val="28"/>
          <w:highlight w:val="none"/>
        </w:rPr>
        <w:t xml:space="preserve"> </w:t>
      </w:r>
      <w:r>
        <w:rPr>
          <w:rFonts w:hint="eastAsia" w:ascii="仿宋" w:hAnsi="仿宋" w:eastAsia="仿宋" w:cs="仿宋"/>
          <w:b/>
          <w:bCs/>
          <w:color w:val="auto"/>
          <w:spacing w:val="-6"/>
          <w:sz w:val="28"/>
          <w:szCs w:val="28"/>
          <w:highlight w:val="none"/>
        </w:rPr>
        <w:t>响应文件编制</w:t>
      </w:r>
    </w:p>
    <w:p w14:paraId="565880CC">
      <w:pPr>
        <w:spacing w:before="182" w:line="312" w:lineRule="auto"/>
        <w:ind w:left="1" w:firstLine="488"/>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3.3.1</w:t>
      </w:r>
      <w:r>
        <w:rPr>
          <w:rFonts w:hint="eastAsia" w:ascii="仿宋" w:hAnsi="仿宋" w:eastAsia="仿宋" w:cs="仿宋"/>
          <w:color w:val="auto"/>
          <w:spacing w:val="-9"/>
          <w:sz w:val="28"/>
          <w:szCs w:val="28"/>
          <w:highlight w:val="none"/>
        </w:rPr>
        <w:t xml:space="preserve"> </w:t>
      </w:r>
      <w:r>
        <w:rPr>
          <w:rFonts w:hint="eastAsia" w:ascii="仿宋" w:hAnsi="仿宋" w:eastAsia="仿宋" w:cs="仿宋"/>
          <w:color w:val="auto"/>
          <w:spacing w:val="-5"/>
          <w:sz w:val="28"/>
          <w:szCs w:val="28"/>
          <w:highlight w:val="none"/>
        </w:rPr>
        <w:t>电子响应文件制作时，应按照统一的“响应文件制作工具</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5"/>
          <w:sz w:val="28"/>
          <w:szCs w:val="28"/>
          <w:highlight w:val="none"/>
        </w:rPr>
        <w:t>”和磋商文件</w:t>
      </w:r>
      <w:r>
        <w:rPr>
          <w:rFonts w:hint="eastAsia" w:ascii="仿宋" w:hAnsi="仿宋" w:eastAsia="仿宋" w:cs="仿宋"/>
          <w:color w:val="auto"/>
          <w:sz w:val="28"/>
          <w:szCs w:val="28"/>
          <w:highlight w:val="none"/>
        </w:rPr>
        <w:t>中明确的响应文件目录和投标技术规格、参数及相关</w:t>
      </w:r>
      <w:r>
        <w:rPr>
          <w:rFonts w:hint="eastAsia" w:ascii="仿宋" w:hAnsi="仿宋" w:eastAsia="仿宋" w:cs="仿宋"/>
          <w:color w:val="auto"/>
          <w:spacing w:val="-1"/>
          <w:sz w:val="28"/>
          <w:szCs w:val="28"/>
          <w:highlight w:val="none"/>
        </w:rPr>
        <w:t>要求格式进行编制，保证目</w:t>
      </w:r>
      <w:r>
        <w:rPr>
          <w:rFonts w:hint="eastAsia" w:ascii="仿宋" w:hAnsi="仿宋" w:eastAsia="仿宋" w:cs="仿宋"/>
          <w:color w:val="auto"/>
          <w:spacing w:val="-2"/>
          <w:sz w:val="28"/>
          <w:szCs w:val="28"/>
          <w:highlight w:val="none"/>
        </w:rPr>
        <w:t>录清晰、内容完整。</w:t>
      </w:r>
    </w:p>
    <w:p w14:paraId="6B82E57B">
      <w:pPr>
        <w:spacing w:before="183" w:line="219" w:lineRule="auto"/>
        <w:ind w:left="49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3.3.2</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1"/>
          <w:sz w:val="28"/>
          <w:szCs w:val="28"/>
          <w:highlight w:val="none"/>
        </w:rPr>
        <w:t>供应商应按照供应商须知前附表要求的份数编制响应文件。</w:t>
      </w:r>
    </w:p>
    <w:p w14:paraId="0116FDFE">
      <w:pPr>
        <w:spacing w:before="181" w:line="219" w:lineRule="auto"/>
        <w:ind w:left="49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3.3.3</w:t>
      </w:r>
      <w:r>
        <w:rPr>
          <w:rFonts w:hint="eastAsia" w:ascii="仿宋" w:hAnsi="仿宋" w:eastAsia="仿宋" w:cs="仿宋"/>
          <w:color w:val="auto"/>
          <w:spacing w:val="-24"/>
          <w:sz w:val="28"/>
          <w:szCs w:val="28"/>
          <w:highlight w:val="none"/>
        </w:rPr>
        <w:t xml:space="preserve"> </w:t>
      </w:r>
      <w:r>
        <w:rPr>
          <w:rFonts w:hint="eastAsia" w:ascii="仿宋" w:hAnsi="仿宋" w:eastAsia="仿宋" w:cs="仿宋"/>
          <w:color w:val="auto"/>
          <w:spacing w:val="-2"/>
          <w:sz w:val="28"/>
          <w:szCs w:val="28"/>
          <w:highlight w:val="none"/>
        </w:rPr>
        <w:t>以网上提交的（加密）电子响应文</w:t>
      </w:r>
      <w:r>
        <w:rPr>
          <w:rFonts w:hint="eastAsia" w:ascii="仿宋" w:hAnsi="仿宋" w:eastAsia="仿宋" w:cs="仿宋"/>
          <w:color w:val="auto"/>
          <w:spacing w:val="-3"/>
          <w:sz w:val="28"/>
          <w:szCs w:val="28"/>
          <w:highlight w:val="none"/>
        </w:rPr>
        <w:t>件为准。</w:t>
      </w:r>
    </w:p>
    <w:p w14:paraId="2500629D">
      <w:pPr>
        <w:spacing w:before="182" w:line="290" w:lineRule="auto"/>
        <w:ind w:left="13" w:firstLine="47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3.3.4</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供应商因自身原因导致电子响应文件无法上传至新疆政采云系统的，该</w:t>
      </w:r>
      <w:r>
        <w:rPr>
          <w:rFonts w:hint="eastAsia" w:ascii="仿宋" w:hAnsi="仿宋" w:eastAsia="仿宋" w:cs="仿宋"/>
          <w:color w:val="auto"/>
          <w:spacing w:val="-2"/>
          <w:sz w:val="28"/>
          <w:szCs w:val="28"/>
          <w:highlight w:val="none"/>
        </w:rPr>
        <w:t>响应文件视为无效文件。</w:t>
      </w:r>
    </w:p>
    <w:p w14:paraId="1F8AD609">
      <w:pPr>
        <w:spacing w:before="183" w:line="312" w:lineRule="auto"/>
        <w:ind w:left="24" w:right="38" w:firstLine="466"/>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3.3.5</w:t>
      </w:r>
      <w:r>
        <w:rPr>
          <w:rFonts w:hint="eastAsia" w:ascii="仿宋" w:hAnsi="仿宋" w:eastAsia="仿宋" w:cs="仿宋"/>
          <w:color w:val="auto"/>
          <w:spacing w:val="-23"/>
          <w:sz w:val="28"/>
          <w:szCs w:val="28"/>
          <w:highlight w:val="none"/>
        </w:rPr>
        <w:t xml:space="preserve"> </w:t>
      </w:r>
      <w:r>
        <w:rPr>
          <w:rFonts w:hint="eastAsia" w:ascii="仿宋" w:hAnsi="仿宋" w:eastAsia="仿宋" w:cs="仿宋"/>
          <w:color w:val="auto"/>
          <w:spacing w:val="-1"/>
          <w:sz w:val="28"/>
          <w:szCs w:val="28"/>
          <w:highlight w:val="none"/>
        </w:rPr>
        <w:t>电子响应文件具有法律效力,与</w:t>
      </w:r>
      <w:r>
        <w:rPr>
          <w:rFonts w:hint="eastAsia" w:ascii="仿宋" w:hAnsi="仿宋" w:eastAsia="仿宋" w:cs="仿宋"/>
          <w:color w:val="auto"/>
          <w:spacing w:val="-2"/>
          <w:sz w:val="28"/>
          <w:szCs w:val="28"/>
          <w:highlight w:val="none"/>
        </w:rPr>
        <w:t>其他形式的响应文件在内容和格式上等</w:t>
      </w:r>
      <w:r>
        <w:rPr>
          <w:rFonts w:hint="eastAsia" w:ascii="仿宋" w:hAnsi="仿宋" w:eastAsia="仿宋" w:cs="仿宋"/>
          <w:color w:val="auto"/>
          <w:spacing w:val="-1"/>
          <w:sz w:val="28"/>
          <w:szCs w:val="28"/>
          <w:highlight w:val="none"/>
        </w:rPr>
        <w:t>同，若响应文件与磋商文件要求不一致，其内容影响成交结果时，责任由供应商</w:t>
      </w:r>
      <w:r>
        <w:rPr>
          <w:rFonts w:hint="eastAsia" w:ascii="仿宋" w:hAnsi="仿宋" w:eastAsia="仿宋" w:cs="仿宋"/>
          <w:color w:val="auto"/>
          <w:spacing w:val="-7"/>
          <w:sz w:val="28"/>
          <w:szCs w:val="28"/>
          <w:highlight w:val="none"/>
        </w:rPr>
        <w:t>自行承担。</w:t>
      </w:r>
    </w:p>
    <w:p w14:paraId="35D2C2F7">
      <w:pPr>
        <w:spacing w:before="180" w:line="313" w:lineRule="auto"/>
        <w:ind w:left="2" w:firstLine="48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3.3.6</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3"/>
          <w:sz w:val="28"/>
          <w:szCs w:val="28"/>
          <w:highlight w:val="none"/>
        </w:rPr>
        <w:t>为了保证电子标书的合法性、安全性和完整性，电子响应文件转换完成后，应在规定区域加盖单位和法定代表人</w:t>
      </w:r>
      <w:r>
        <w:rPr>
          <w:rFonts w:hint="eastAsia" w:ascii="仿宋" w:hAnsi="仿宋" w:eastAsia="仿宋" w:cs="仿宋"/>
          <w:color w:val="auto"/>
          <w:spacing w:val="-38"/>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3"/>
          <w:sz w:val="28"/>
          <w:szCs w:val="28"/>
          <w:highlight w:val="none"/>
        </w:rPr>
        <w:t>印章。电子响应文件若无</w:t>
      </w:r>
      <w:r>
        <w:rPr>
          <w:rFonts w:hint="eastAsia" w:ascii="仿宋" w:hAnsi="仿宋" w:eastAsia="仿宋" w:cs="仿宋"/>
          <w:color w:val="auto"/>
          <w:spacing w:val="-52"/>
          <w:sz w:val="28"/>
          <w:szCs w:val="28"/>
          <w:highlight w:val="none"/>
        </w:rPr>
        <w:t xml:space="preserve"> </w:t>
      </w:r>
      <w:r>
        <w:rPr>
          <w:rFonts w:hint="eastAsia" w:ascii="仿宋" w:hAnsi="仿宋" w:eastAsia="仿宋" w:cs="仿宋"/>
          <w:color w:val="auto"/>
          <w:spacing w:val="-3"/>
          <w:sz w:val="28"/>
          <w:szCs w:val="28"/>
          <w:highlight w:val="none"/>
        </w:rPr>
        <w:t>CA</w:t>
      </w:r>
      <w:r>
        <w:rPr>
          <w:rFonts w:hint="eastAsia" w:ascii="仿宋" w:hAnsi="仿宋" w:eastAsia="仿宋" w:cs="仿宋"/>
          <w:color w:val="auto"/>
          <w:spacing w:val="-23"/>
          <w:sz w:val="28"/>
          <w:szCs w:val="28"/>
          <w:highlight w:val="none"/>
        </w:rPr>
        <w:t xml:space="preserve"> </w:t>
      </w:r>
      <w:r>
        <w:rPr>
          <w:rFonts w:hint="eastAsia" w:ascii="仿宋" w:hAnsi="仿宋" w:eastAsia="仿宋" w:cs="仿宋"/>
          <w:color w:val="auto"/>
          <w:spacing w:val="-3"/>
          <w:sz w:val="28"/>
          <w:szCs w:val="28"/>
          <w:highlight w:val="none"/>
        </w:rPr>
        <w:t>电子签</w:t>
      </w:r>
      <w:r>
        <w:rPr>
          <w:rFonts w:hint="eastAsia" w:ascii="仿宋" w:hAnsi="仿宋" w:eastAsia="仿宋" w:cs="仿宋"/>
          <w:color w:val="auto"/>
          <w:spacing w:val="-2"/>
          <w:sz w:val="28"/>
          <w:szCs w:val="28"/>
          <w:highlight w:val="none"/>
        </w:rPr>
        <w:t>章，则视为无效文件。</w:t>
      </w:r>
    </w:p>
    <w:p w14:paraId="71D4E0CD">
      <w:pPr>
        <w:spacing w:before="181" w:line="289" w:lineRule="auto"/>
        <w:ind w:left="5" w:firstLine="484"/>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3.3.7</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供应商应完整地填写磋商文件中提供的《竞争性磋商函》、《竞争性磋</w:t>
      </w:r>
      <w:r>
        <w:rPr>
          <w:rFonts w:hint="eastAsia" w:ascii="仿宋" w:hAnsi="仿宋" w:eastAsia="仿宋" w:cs="仿宋"/>
          <w:color w:val="auto"/>
          <w:spacing w:val="-1"/>
          <w:sz w:val="28"/>
          <w:szCs w:val="28"/>
          <w:highlight w:val="none"/>
        </w:rPr>
        <w:t>商报价一览表》、《竞争性磋商报价明细表》等磋商文件中规定的所有内容。</w:t>
      </w:r>
    </w:p>
    <w:p w14:paraId="2494AF76">
      <w:pPr>
        <w:spacing w:before="182" w:line="290" w:lineRule="auto"/>
        <w:ind w:firstLine="488"/>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3.3.8</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3"/>
          <w:sz w:val="28"/>
          <w:szCs w:val="28"/>
          <w:highlight w:val="none"/>
        </w:rPr>
        <w:t>供应商必须保证响应文件所提供的全部资料真实可靠，并接受采购单位</w:t>
      </w:r>
      <w:r>
        <w:rPr>
          <w:rFonts w:hint="eastAsia" w:ascii="仿宋" w:hAnsi="仿宋" w:eastAsia="仿宋" w:cs="仿宋"/>
          <w:color w:val="auto"/>
          <w:spacing w:val="-1"/>
          <w:sz w:val="28"/>
          <w:szCs w:val="28"/>
          <w:highlight w:val="none"/>
        </w:rPr>
        <w:t>对其中任何资料进一步核实的要求。</w:t>
      </w:r>
    </w:p>
    <w:p w14:paraId="62669F78">
      <w:pPr>
        <w:spacing w:before="182" w:line="218" w:lineRule="auto"/>
        <w:ind w:left="488"/>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3.4.磋商报价要求</w:t>
      </w:r>
    </w:p>
    <w:p w14:paraId="5A81377C">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3.4.1 供应商所提供的货物和服务均以人民币报价。</w:t>
      </w:r>
    </w:p>
    <w:p w14:paraId="12C81A24">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3.4.2 供应商应按照“第五章 服务需求 ”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7A82E186">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3.4.3《竞争性磋商报价明细表》填写时应响应下列要求：</w:t>
      </w:r>
    </w:p>
    <w:p w14:paraId="61F7C00A">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（1）对于报价免费的项目应标明“免费 ”；</w:t>
      </w:r>
    </w:p>
    <w:p w14:paraId="34189342">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（2）所有根据合同或其它原因应由供应商支付的税款和其它应交纳的费用都要包括在供应商提交的磋商总价中；</w:t>
      </w:r>
    </w:p>
    <w:p w14:paraId="1F48F2BD">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（3）应包含货物运至最终目的地的运输、保险和伴随货物服务的有关费用。</w:t>
      </w:r>
    </w:p>
    <w:p w14:paraId="3346F198">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3.4.5 每一种规格的货物、服务只允许有一个报价，否则将被视为无效投标。</w:t>
      </w:r>
    </w:p>
    <w:p w14:paraId="1AACDF47">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3.4.6 供应商所报的总价在合同执行过程中是固定不变的，不得以任何理由予以变更。</w:t>
      </w:r>
    </w:p>
    <w:p w14:paraId="53B76BB6">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3.4.7 供应商的最后磋商报价超过项目采购预算的为无效报价。</w:t>
      </w:r>
    </w:p>
    <w:p w14:paraId="75CE9D4C">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3.5 备选方案（不允许）</w:t>
      </w:r>
    </w:p>
    <w:p w14:paraId="466719A0">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3.5.1 供应商应按照供应商须知前附表要求编制磋商备选方案，否则将被视为无效响应文件。</w:t>
      </w:r>
    </w:p>
    <w:p w14:paraId="7A34B328">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 联合体投标</w:t>
      </w:r>
    </w:p>
    <w:p w14:paraId="132067FC">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3.6.1 两个供应商可以组成一个联合体，以一个供应商的身份共同参与磋商。</w:t>
      </w:r>
    </w:p>
    <w:p w14:paraId="52830D7E">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3.6.2 采取联合体形式磋商的，联合体各方均应当符合政府采购法第二十二条规定的条件。采购人根据采购项目的特殊要求规定供应商特定条件的，联合体各方中至少有一方符合磋商文件规定的特定条件。</w:t>
      </w:r>
    </w:p>
    <w:p w14:paraId="1012F50C">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3.6.3 联合体各方之间必须签订联合磋商协议，明确约定联合体主体及各方承担的工作和相应的责任，其响应文件中必须提供联合磋商协议。</w:t>
      </w:r>
    </w:p>
    <w:p w14:paraId="17937F3C">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3.6.4 以联合体形式参加政府采购活动的，联合体各方不得再单独参加或者与其他供应商另外组成联合体参加同一合同项下的政府采购活动。</w:t>
      </w:r>
    </w:p>
    <w:p w14:paraId="33BF8813">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3.6.5 采取联合体形式投标的，其响应文件必须由联合体所有成员或其各自正式书面授权的代表签署（盖章），以便对所有成员作为整体及作为个体均具有法律约束力。</w:t>
      </w:r>
    </w:p>
    <w:p w14:paraId="47DBD970">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3.6.6 联合体成交的，联合体各方应当共同与采购人签订采购合同。</w:t>
      </w:r>
    </w:p>
    <w:p w14:paraId="094209C1">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3.6.7 联合体中有同类资质的供应商按照联合体分工承担相同工作的，应当按照资质等级较低的供应商确定资质等级。</w:t>
      </w:r>
    </w:p>
    <w:p w14:paraId="6A95A9D7">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3.7.供应商资格证明文件</w:t>
      </w:r>
    </w:p>
    <w:p w14:paraId="61B2B79F">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3.7.1 供应商应提交证明其有资格参加磋商和成交后有能力履行合同的文件，并作为其响应文件的一部分。</w:t>
      </w:r>
    </w:p>
    <w:p w14:paraId="48BB7201">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3.7.2 资格证明文件必须真实可靠、不得伪造。</w:t>
      </w:r>
    </w:p>
    <w:p w14:paraId="160A7520">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3.7.3 供应商相关资格证明文件：</w:t>
      </w:r>
    </w:p>
    <w:p w14:paraId="435676F5">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1、供应商必须符合《中华人民共和国政府采购法》第二十二条；</w:t>
      </w:r>
    </w:p>
    <w:p w14:paraId="02CE4CA9">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2.落实政府采购政策需满足的资格要求：</w:t>
      </w:r>
      <w:r>
        <w:rPr>
          <w:rFonts w:hint="eastAsia" w:ascii="仿宋" w:hAnsi="仿宋" w:eastAsia="仿宋" w:cs="仿宋"/>
          <w:color w:val="auto"/>
          <w:spacing w:val="-5"/>
          <w:sz w:val="28"/>
          <w:szCs w:val="28"/>
          <w:highlight w:val="none"/>
        </w:rPr>
        <w:t>本项目专门面向中小企业采购</w:t>
      </w:r>
      <w:r>
        <w:rPr>
          <w:rFonts w:hint="eastAsia" w:ascii="仿宋" w:hAnsi="仿宋" w:eastAsia="仿宋" w:cs="仿宋"/>
          <w:color w:val="auto"/>
          <w:spacing w:val="-5"/>
          <w:sz w:val="28"/>
          <w:szCs w:val="28"/>
          <w:highlight w:val="none"/>
          <w:lang w:eastAsia="zh-CN"/>
        </w:rPr>
        <w:t>。</w:t>
      </w:r>
    </w:p>
    <w:p w14:paraId="57F06525">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3.本项目的特定资格要求：</w:t>
      </w:r>
    </w:p>
    <w:p w14:paraId="16EDB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jc w:val="left"/>
        <w:rPr>
          <w:rFonts w:hint="eastAsia" w:ascii="仿宋" w:hAnsi="仿宋" w:eastAsia="仿宋" w:cs="仿宋"/>
          <w:b w:val="0"/>
          <w:bCs w:val="0"/>
          <w:i w:val="0"/>
          <w:iCs w:val="0"/>
          <w:caps w:val="0"/>
          <w:color w:val="auto"/>
          <w:spacing w:val="0"/>
          <w:kern w:val="0"/>
          <w:sz w:val="27"/>
          <w:szCs w:val="27"/>
          <w:highlight w:val="none"/>
          <w:lang w:val="en-US" w:eastAsia="zh-CN" w:bidi="ar"/>
        </w:rPr>
      </w:pPr>
      <w:r>
        <w:rPr>
          <w:rFonts w:hint="eastAsia" w:ascii="仿宋" w:hAnsi="仿宋" w:eastAsia="仿宋" w:cs="仿宋"/>
          <w:b w:val="0"/>
          <w:bCs w:val="0"/>
          <w:i w:val="0"/>
          <w:iCs w:val="0"/>
          <w:caps w:val="0"/>
          <w:color w:val="auto"/>
          <w:spacing w:val="0"/>
          <w:kern w:val="0"/>
          <w:sz w:val="27"/>
          <w:szCs w:val="27"/>
          <w:highlight w:val="none"/>
          <w:lang w:val="en-US" w:eastAsia="zh-CN" w:bidi="ar"/>
        </w:rPr>
        <w:t>（1）供应商必须在中国境内注册，具备有效的营业执照；</w:t>
      </w:r>
      <w:r>
        <w:rPr>
          <w:rFonts w:hint="default" w:ascii="仿宋" w:hAnsi="仿宋" w:eastAsia="仿宋" w:cs="仿宋"/>
          <w:b w:val="0"/>
          <w:bCs w:val="0"/>
          <w:i w:val="0"/>
          <w:iCs w:val="0"/>
          <w:caps w:val="0"/>
          <w:color w:val="auto"/>
          <w:spacing w:val="0"/>
          <w:kern w:val="0"/>
          <w:sz w:val="27"/>
          <w:szCs w:val="27"/>
          <w:highlight w:val="none"/>
          <w:lang w:val="en-US" w:eastAsia="zh-CN" w:bidi="ar"/>
        </w:rPr>
        <w:t>持有农业农村主管部门</w:t>
      </w:r>
      <w:r>
        <w:rPr>
          <w:rFonts w:hint="default" w:ascii="仿宋" w:hAnsi="仿宋" w:eastAsia="仿宋" w:cs="仿宋"/>
          <w:b w:val="0"/>
          <w:bCs w:val="0"/>
          <w:i w:val="0"/>
          <w:iCs w:val="0"/>
          <w:caps w:val="0"/>
          <w:color w:val="auto"/>
          <w:spacing w:val="0"/>
          <w:kern w:val="0"/>
          <w:sz w:val="27"/>
          <w:szCs w:val="27"/>
          <w:highlight w:val="none"/>
          <w:lang w:val="en-US" w:eastAsia="zh-Hans" w:bidi="ar"/>
        </w:rPr>
        <w:t>核发的</w:t>
      </w:r>
      <w:r>
        <w:rPr>
          <w:rFonts w:hint="default" w:ascii="仿宋" w:hAnsi="仿宋" w:eastAsia="仿宋" w:cs="仿宋"/>
          <w:b w:val="0"/>
          <w:bCs w:val="0"/>
          <w:i w:val="0"/>
          <w:iCs w:val="0"/>
          <w:caps w:val="0"/>
          <w:color w:val="auto"/>
          <w:spacing w:val="0"/>
          <w:kern w:val="0"/>
          <w:sz w:val="27"/>
          <w:szCs w:val="27"/>
          <w:highlight w:val="none"/>
          <w:lang w:val="en-US" w:eastAsia="zh-CN" w:bidi="ar"/>
        </w:rPr>
        <w:t>相应</w:t>
      </w:r>
      <w:r>
        <w:rPr>
          <w:rFonts w:hint="default" w:ascii="仿宋" w:hAnsi="仿宋" w:eastAsia="仿宋" w:cs="仿宋"/>
          <w:b w:val="0"/>
          <w:bCs w:val="0"/>
          <w:i w:val="0"/>
          <w:iCs w:val="0"/>
          <w:caps w:val="0"/>
          <w:color w:val="auto"/>
          <w:spacing w:val="0"/>
          <w:kern w:val="0"/>
          <w:sz w:val="27"/>
          <w:szCs w:val="27"/>
          <w:highlight w:val="none"/>
          <w:lang w:val="en-US" w:eastAsia="zh-Hans" w:bidi="ar"/>
        </w:rPr>
        <w:t>农作物</w:t>
      </w:r>
      <w:r>
        <w:rPr>
          <w:rFonts w:hint="default" w:ascii="仿宋" w:hAnsi="仿宋" w:eastAsia="仿宋" w:cs="仿宋"/>
          <w:b w:val="0"/>
          <w:bCs w:val="0"/>
          <w:i w:val="0"/>
          <w:iCs w:val="0"/>
          <w:caps w:val="0"/>
          <w:color w:val="auto"/>
          <w:spacing w:val="0"/>
          <w:kern w:val="0"/>
          <w:sz w:val="27"/>
          <w:szCs w:val="27"/>
          <w:highlight w:val="none"/>
          <w:lang w:val="en-US" w:eastAsia="zh-CN" w:bidi="ar"/>
        </w:rPr>
        <w:t>种子生产经营</w:t>
      </w:r>
      <w:r>
        <w:rPr>
          <w:rFonts w:hint="default" w:ascii="仿宋" w:hAnsi="仿宋" w:eastAsia="仿宋" w:cs="仿宋"/>
          <w:b w:val="0"/>
          <w:bCs w:val="0"/>
          <w:i w:val="0"/>
          <w:iCs w:val="0"/>
          <w:caps w:val="0"/>
          <w:color w:val="auto"/>
          <w:spacing w:val="0"/>
          <w:kern w:val="0"/>
          <w:sz w:val="27"/>
          <w:szCs w:val="27"/>
          <w:highlight w:val="none"/>
          <w:lang w:val="en-US" w:eastAsia="zh-Hans" w:bidi="ar"/>
        </w:rPr>
        <w:t>许可证</w:t>
      </w:r>
      <w:r>
        <w:rPr>
          <w:rFonts w:hint="default" w:ascii="仿宋" w:hAnsi="仿宋" w:eastAsia="仿宋" w:cs="仿宋"/>
          <w:b w:val="0"/>
          <w:bCs w:val="0"/>
          <w:i w:val="0"/>
          <w:iCs w:val="0"/>
          <w:caps w:val="0"/>
          <w:color w:val="auto"/>
          <w:spacing w:val="0"/>
          <w:kern w:val="0"/>
          <w:sz w:val="27"/>
          <w:szCs w:val="27"/>
          <w:highlight w:val="none"/>
          <w:lang w:val="en-US" w:eastAsia="zh-CN" w:bidi="ar"/>
        </w:rPr>
        <w:t>；</w:t>
      </w:r>
    </w:p>
    <w:p w14:paraId="023CD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jc w:val="left"/>
        <w:rPr>
          <w:rFonts w:hint="eastAsia" w:ascii="仿宋" w:hAnsi="仿宋" w:eastAsia="仿宋" w:cs="仿宋"/>
          <w:b w:val="0"/>
          <w:bCs w:val="0"/>
          <w:i w:val="0"/>
          <w:iCs w:val="0"/>
          <w:caps w:val="0"/>
          <w:color w:val="auto"/>
          <w:spacing w:val="0"/>
          <w:kern w:val="0"/>
          <w:sz w:val="27"/>
          <w:szCs w:val="27"/>
          <w:highlight w:val="none"/>
          <w:lang w:val="en-US" w:eastAsia="zh-CN" w:bidi="ar"/>
        </w:rPr>
      </w:pPr>
      <w:r>
        <w:rPr>
          <w:rFonts w:hint="eastAsia" w:ascii="仿宋" w:hAnsi="仿宋" w:eastAsia="仿宋" w:cs="仿宋"/>
          <w:b w:val="0"/>
          <w:bCs w:val="0"/>
          <w:i w:val="0"/>
          <w:iCs w:val="0"/>
          <w:caps w:val="0"/>
          <w:snapToGrid w:val="0"/>
          <w:color w:val="auto"/>
          <w:spacing w:val="0"/>
          <w:kern w:val="0"/>
          <w:sz w:val="27"/>
          <w:szCs w:val="27"/>
          <w:highlight w:val="none"/>
          <w:lang w:val="en-US" w:eastAsia="zh-CN" w:bidi="ar"/>
        </w:rPr>
        <w:t>（2）</w:t>
      </w:r>
      <w:r>
        <w:rPr>
          <w:rFonts w:hint="eastAsia" w:ascii="仿宋" w:hAnsi="仿宋" w:eastAsia="仿宋" w:cs="仿宋"/>
          <w:b w:val="0"/>
          <w:bCs w:val="0"/>
          <w:i w:val="0"/>
          <w:iCs w:val="0"/>
          <w:caps w:val="0"/>
          <w:color w:val="auto"/>
          <w:spacing w:val="0"/>
          <w:kern w:val="0"/>
          <w:sz w:val="27"/>
          <w:szCs w:val="27"/>
          <w:highlight w:val="none"/>
          <w:lang w:val="en-US" w:eastAsia="zh-CN" w:bidi="ar"/>
        </w:rPr>
        <w:t>供应商须具有拟储备品种的生产经营权，储备植物新品种保护的品种必须是自有品种或获得品种所有权人书面授权；</w:t>
      </w:r>
    </w:p>
    <w:p w14:paraId="73B8676F">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3.7.4 证明投标货物、服务的合格性和符合磋商文件规定的文件。</w:t>
      </w:r>
    </w:p>
    <w:p w14:paraId="2D97DD0B">
      <w:pPr>
        <w:spacing w:before="181" w:line="313" w:lineRule="auto"/>
        <w:ind w:left="3" w:firstLine="485"/>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采取资格预审方式项目的供应商在递交响应文件时，其资格条件与资格预审时发生变化的，提交变化后的资料。</w:t>
      </w:r>
    </w:p>
    <w:p w14:paraId="181B8BFB">
      <w:pPr>
        <w:spacing w:line="220" w:lineRule="auto"/>
        <w:ind w:left="48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3.8.磋商保证金</w:t>
      </w:r>
    </w:p>
    <w:p w14:paraId="0BB24E13">
      <w:pPr>
        <w:spacing w:before="180" w:line="313" w:lineRule="auto"/>
        <w:ind w:left="2" w:firstLine="488"/>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3.8.1</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供应商应在响应文件截止时间之前，通过账户，将所规定数额的保证金</w:t>
      </w:r>
      <w:r>
        <w:rPr>
          <w:rFonts w:hint="eastAsia" w:ascii="仿宋" w:hAnsi="仿宋" w:eastAsia="仿宋" w:cs="仿宋"/>
          <w:color w:val="auto"/>
          <w:spacing w:val="-2"/>
          <w:sz w:val="28"/>
          <w:szCs w:val="28"/>
          <w:highlight w:val="none"/>
        </w:rPr>
        <w:t>以转账或电汇方式缴纳至该项目所对应的保证金收取账号内（不接受现金缴纳）。</w:t>
      </w:r>
      <w:r>
        <w:rPr>
          <w:rFonts w:hint="eastAsia" w:ascii="仿宋" w:hAnsi="仿宋" w:eastAsia="仿宋" w:cs="仿宋"/>
          <w:color w:val="auto"/>
          <w:sz w:val="28"/>
          <w:szCs w:val="28"/>
          <w:highlight w:val="none"/>
        </w:rPr>
        <w:t>保证金缴纳时间以该项目所对应的保证金收取账</w:t>
      </w:r>
      <w:r>
        <w:rPr>
          <w:rFonts w:hint="eastAsia" w:ascii="仿宋" w:hAnsi="仿宋" w:eastAsia="仿宋" w:cs="仿宋"/>
          <w:color w:val="auto"/>
          <w:spacing w:val="-1"/>
          <w:sz w:val="28"/>
          <w:szCs w:val="28"/>
          <w:highlight w:val="none"/>
        </w:rPr>
        <w:t>号中显示的到账时间为准。</w:t>
      </w:r>
    </w:p>
    <w:p w14:paraId="207615B3">
      <w:pPr>
        <w:spacing w:before="179" w:line="290" w:lineRule="auto"/>
        <w:ind w:right="80" w:firstLine="49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3.8.2</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对于未能按要求提交保证金的将视为未响应磋商文件的要求，其响应文件无效。</w:t>
      </w:r>
    </w:p>
    <w:p w14:paraId="688BAF76">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3.8.3</w:t>
      </w:r>
      <w:r>
        <w:rPr>
          <w:rFonts w:hint="eastAsia" w:ascii="仿宋" w:hAnsi="仿宋" w:eastAsia="仿宋" w:cs="仿宋"/>
          <w:color w:val="auto"/>
          <w:spacing w:val="-37"/>
          <w:sz w:val="28"/>
          <w:szCs w:val="28"/>
          <w:highlight w:val="none"/>
        </w:rPr>
        <w:t xml:space="preserve"> </w:t>
      </w:r>
      <w:r>
        <w:rPr>
          <w:rFonts w:hint="eastAsia" w:ascii="仿宋" w:hAnsi="仿宋" w:eastAsia="仿宋" w:cs="仿宋"/>
          <w:color w:val="auto"/>
          <w:spacing w:val="-4"/>
          <w:sz w:val="28"/>
          <w:szCs w:val="28"/>
          <w:highlight w:val="none"/>
        </w:rPr>
        <w:t>未成交的供应商，其保证金在成交公告发布后5个工作日内，按照磋商</w:t>
      </w:r>
      <w:r>
        <w:rPr>
          <w:rFonts w:hint="eastAsia" w:ascii="仿宋" w:hAnsi="仿宋" w:eastAsia="仿宋" w:cs="仿宋"/>
          <w:color w:val="auto"/>
          <w:sz w:val="28"/>
          <w:szCs w:val="28"/>
          <w:highlight w:val="none"/>
        </w:rPr>
        <w:t>保证金的来款渠道原路退还至供应商缴纳保证金的企</w:t>
      </w:r>
      <w:r>
        <w:rPr>
          <w:rFonts w:hint="eastAsia" w:ascii="仿宋" w:hAnsi="仿宋" w:eastAsia="仿宋" w:cs="仿宋"/>
          <w:color w:val="auto"/>
          <w:spacing w:val="-1"/>
          <w:sz w:val="28"/>
          <w:szCs w:val="28"/>
          <w:highlight w:val="none"/>
        </w:rPr>
        <w:t>业银行账户内；如有质疑或投诉，政府采购代理机构将在质疑和投诉处理完毕后5个工作日内，按照保证金的来款渠道原路退还至供应商缴纳保证金的企业银行账户内。</w:t>
      </w:r>
    </w:p>
    <w:p w14:paraId="3E6B89D1">
      <w:pPr>
        <w:spacing w:before="179" w:line="313" w:lineRule="auto"/>
        <w:ind w:right="118" w:firstLine="49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3.8.4</w:t>
      </w:r>
      <w:r>
        <w:rPr>
          <w:rFonts w:hint="eastAsia" w:ascii="仿宋" w:hAnsi="仿宋" w:eastAsia="仿宋" w:cs="仿宋"/>
          <w:color w:val="auto"/>
          <w:spacing w:val="-40"/>
          <w:sz w:val="28"/>
          <w:szCs w:val="28"/>
          <w:highlight w:val="none"/>
        </w:rPr>
        <w:t xml:space="preserve"> </w:t>
      </w:r>
      <w:r>
        <w:rPr>
          <w:rFonts w:hint="eastAsia" w:ascii="仿宋" w:hAnsi="仿宋" w:eastAsia="仿宋" w:cs="仿宋"/>
          <w:color w:val="auto"/>
          <w:spacing w:val="-1"/>
          <w:sz w:val="28"/>
          <w:szCs w:val="28"/>
          <w:highlight w:val="none"/>
        </w:rPr>
        <w:t>成交供应商的磋商保证金,在供应商与采购人签订合同，并将合同原件报采购代理机构后5个工作日内，按照保证金的来款渠道原路退还至供应商缴纳保证金的企业银行账户内。</w:t>
      </w:r>
    </w:p>
    <w:p w14:paraId="2D2FD72D">
      <w:pPr>
        <w:pStyle w:val="16"/>
        <w:spacing w:line="242" w:lineRule="auto"/>
        <w:rPr>
          <w:color w:val="auto"/>
          <w:sz w:val="22"/>
          <w:szCs w:val="24"/>
          <w:highlight w:val="none"/>
        </w:rPr>
      </w:pPr>
      <w:r>
        <w:rPr>
          <w:rFonts w:hint="eastAsia" w:ascii="仿宋" w:hAnsi="仿宋" w:eastAsia="仿宋" w:cs="仿宋"/>
          <w:color w:val="auto"/>
          <w:spacing w:val="-2"/>
          <w:sz w:val="28"/>
          <w:szCs w:val="28"/>
          <w:highlight w:val="none"/>
        </w:rPr>
        <w:t>3.8.5</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2"/>
          <w:sz w:val="28"/>
          <w:szCs w:val="28"/>
          <w:highlight w:val="none"/>
        </w:rPr>
        <w:t>有</w:t>
      </w:r>
      <w:r>
        <w:rPr>
          <w:rFonts w:hint="eastAsia" w:ascii="仿宋" w:hAnsi="仿宋" w:eastAsia="仿宋" w:cs="仿宋"/>
          <w:color w:val="auto"/>
          <w:spacing w:val="-2"/>
          <w:sz w:val="28"/>
          <w:szCs w:val="28"/>
          <w:highlight w:val="none"/>
          <w:lang w:eastAsia="zh-CN"/>
        </w:rPr>
        <w:t>不符合</w:t>
      </w:r>
      <w:r>
        <w:rPr>
          <w:rFonts w:hint="eastAsia" w:ascii="仿宋" w:hAnsi="仿宋" w:eastAsia="仿宋" w:cs="仿宋"/>
          <w:color w:val="auto"/>
          <w:spacing w:val="-2"/>
          <w:sz w:val="28"/>
          <w:szCs w:val="28"/>
          <w:highlight w:val="none"/>
        </w:rPr>
        <w:t>下列情形之一的，保证金将被没收：</w:t>
      </w:r>
    </w:p>
    <w:p w14:paraId="32FC36B2">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（1）供应商在响应文件中提供虚假资料的；</w:t>
      </w:r>
    </w:p>
    <w:p w14:paraId="7E67E78C">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（2）除因不可抗力或磋商文件认可的情形以外，成交供应商不与采购人签订合同的；</w:t>
      </w:r>
    </w:p>
    <w:p w14:paraId="4F372FAC">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（3）供应商与采购人、其他供应商或者采购代理机构恶意串通的；</w:t>
      </w:r>
    </w:p>
    <w:p w14:paraId="24D2E61D">
      <w:pPr>
        <w:spacing w:before="182" w:line="324" w:lineRule="auto"/>
        <w:ind w:left="2" w:right="80" w:firstLine="488"/>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（4）磋商文件规定的其他情形。</w:t>
      </w:r>
    </w:p>
    <w:p w14:paraId="09050B20">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3.8.6 如开标时供应商对本单位投标保证金缴纳情况有疑义，供应商应在开标结束前向招标人提交书面申请核实保证金缴纳情况。由银行或保险公司核实后出具书面材料予以答复。</w:t>
      </w:r>
    </w:p>
    <w:p w14:paraId="20A9A5DE">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3.8.7 开标结束后，转账、电汇、网银形式缴纳的保证金由采购代理或采购人统一办理中标人和未中标人的保证金退还事宜。如本项目招标中遇质疑，投诉，复议等特殊情况，保证金退还时间按相关规定执行。</w:t>
      </w:r>
    </w:p>
    <w:p w14:paraId="3579319E">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3.9.磋商的有效期</w:t>
      </w:r>
    </w:p>
    <w:p w14:paraId="12071B61">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3.9.1 磋商有效期详见供应商须知前附表。供应商响应文件中有效期不足的将被视为无效文件。</w:t>
      </w:r>
    </w:p>
    <w:p w14:paraId="13AD466B">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3.9.2 有效期内供应商未经采购结果确认谈判达成一致不得改变其磋商最后报价及承诺的全部义务。</w:t>
      </w:r>
    </w:p>
    <w:p w14:paraId="3A8D196D">
      <w:pPr>
        <w:spacing w:before="183" w:line="219" w:lineRule="auto"/>
        <w:ind w:left="3192"/>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四、响应文件的递交</w:t>
      </w:r>
    </w:p>
    <w:p w14:paraId="53E74394">
      <w:pPr>
        <w:spacing w:before="181" w:line="219" w:lineRule="auto"/>
        <w:ind w:left="485"/>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4.1</w:t>
      </w:r>
      <w:r>
        <w:rPr>
          <w:rFonts w:hint="eastAsia" w:ascii="仿宋" w:hAnsi="仿宋" w:eastAsia="仿宋" w:cs="仿宋"/>
          <w:color w:val="auto"/>
          <w:spacing w:val="-31"/>
          <w:sz w:val="28"/>
          <w:szCs w:val="28"/>
          <w:highlight w:val="none"/>
        </w:rPr>
        <w:t xml:space="preserve"> </w:t>
      </w:r>
      <w:r>
        <w:rPr>
          <w:rFonts w:hint="eastAsia" w:ascii="仿宋" w:hAnsi="仿宋" w:eastAsia="仿宋" w:cs="仿宋"/>
          <w:color w:val="auto"/>
          <w:spacing w:val="-3"/>
          <w:sz w:val="28"/>
          <w:szCs w:val="28"/>
          <w:highlight w:val="none"/>
        </w:rPr>
        <w:t>响应文件的密封和标记</w:t>
      </w:r>
    </w:p>
    <w:p w14:paraId="07F34482">
      <w:pPr>
        <w:spacing w:before="183" w:line="312" w:lineRule="auto"/>
        <w:ind w:firstLine="484"/>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4.1.1</w:t>
      </w:r>
      <w:r>
        <w:rPr>
          <w:rFonts w:hint="eastAsia" w:ascii="仿宋" w:hAnsi="仿宋" w:eastAsia="仿宋" w:cs="仿宋"/>
          <w:color w:val="auto"/>
          <w:spacing w:val="-38"/>
          <w:sz w:val="28"/>
          <w:szCs w:val="28"/>
          <w:highlight w:val="none"/>
        </w:rPr>
        <w:t xml:space="preserve"> </w:t>
      </w:r>
      <w:r>
        <w:rPr>
          <w:rFonts w:hint="eastAsia" w:ascii="仿宋" w:hAnsi="仿宋" w:eastAsia="仿宋" w:cs="仿宋"/>
          <w:color w:val="auto"/>
          <w:spacing w:val="-3"/>
          <w:sz w:val="28"/>
          <w:szCs w:val="28"/>
          <w:highlight w:val="none"/>
        </w:rPr>
        <w:t>响应文件的密封和标记。电子响应文件的内容通过数字证书</w:t>
      </w:r>
      <w:r>
        <w:rPr>
          <w:rFonts w:hint="eastAsia" w:ascii="仿宋" w:hAnsi="仿宋" w:eastAsia="仿宋" w:cs="仿宋"/>
          <w:color w:val="auto"/>
          <w:spacing w:val="-4"/>
          <w:sz w:val="28"/>
          <w:szCs w:val="28"/>
          <w:highlight w:val="none"/>
        </w:rPr>
        <w:t>进行加密并</w:t>
      </w:r>
      <w:r>
        <w:rPr>
          <w:rFonts w:hint="eastAsia" w:ascii="仿宋" w:hAnsi="仿宋" w:eastAsia="仿宋" w:cs="仿宋"/>
          <w:color w:val="auto"/>
          <w:spacing w:val="-1"/>
          <w:sz w:val="28"/>
          <w:szCs w:val="28"/>
          <w:highlight w:val="none"/>
        </w:rPr>
        <w:t>签章。未按要求加密和数字证书认证的响应文件，电子评标系统将无法接受,采购代理机构不予受理。</w:t>
      </w:r>
    </w:p>
    <w:p w14:paraId="34C614A1">
      <w:pPr>
        <w:spacing w:before="186" w:line="324" w:lineRule="auto"/>
        <w:ind w:left="1" w:firstLine="48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4.1.2</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5"/>
          <w:sz w:val="28"/>
          <w:szCs w:val="28"/>
          <w:highlight w:val="none"/>
        </w:rPr>
        <w:t>是否采用不见面开标方式详见供应商</w:t>
      </w:r>
      <w:r>
        <w:rPr>
          <w:rFonts w:hint="eastAsia" w:ascii="仿宋" w:hAnsi="仿宋" w:eastAsia="仿宋" w:cs="仿宋"/>
          <w:b/>
          <w:bCs/>
          <w:color w:val="auto"/>
          <w:spacing w:val="-6"/>
          <w:sz w:val="28"/>
          <w:szCs w:val="28"/>
          <w:highlight w:val="none"/>
        </w:rPr>
        <w:t>须知前附表，若本项目采用不见面</w:t>
      </w:r>
      <w:r>
        <w:rPr>
          <w:rFonts w:hint="eastAsia" w:ascii="仿宋" w:hAnsi="仿宋" w:eastAsia="仿宋" w:cs="仿宋"/>
          <w:b/>
          <w:bCs/>
          <w:color w:val="auto"/>
          <w:spacing w:val="-4"/>
          <w:sz w:val="28"/>
          <w:szCs w:val="28"/>
          <w:highlight w:val="none"/>
        </w:rPr>
        <w:t>开标，中标单位在开标后</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4"/>
          <w:sz w:val="28"/>
          <w:szCs w:val="28"/>
          <w:highlight w:val="none"/>
        </w:rPr>
        <w:t>5</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日内提供密封不加密的电子版标书一</w:t>
      </w:r>
      <w:r>
        <w:rPr>
          <w:rFonts w:hint="eastAsia" w:ascii="仿宋" w:hAnsi="仿宋" w:eastAsia="仿宋" w:cs="仿宋"/>
          <w:b/>
          <w:bCs/>
          <w:color w:val="auto"/>
          <w:spacing w:val="-5"/>
          <w:sz w:val="28"/>
          <w:szCs w:val="28"/>
          <w:highlight w:val="none"/>
        </w:rPr>
        <w:t>份（U</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5"/>
          <w:sz w:val="28"/>
          <w:szCs w:val="28"/>
          <w:highlight w:val="none"/>
        </w:rPr>
        <w:t>盘介质，U</w:t>
      </w:r>
      <w:r>
        <w:rPr>
          <w:rFonts w:hint="eastAsia" w:ascii="仿宋" w:hAnsi="仿宋" w:eastAsia="仿宋" w:cs="仿宋"/>
          <w:color w:val="auto"/>
          <w:sz w:val="28"/>
          <w:szCs w:val="28"/>
          <w:highlight w:val="none"/>
        </w:rPr>
        <w:t xml:space="preserve"> </w:t>
      </w:r>
      <w:r>
        <w:rPr>
          <w:rFonts w:hint="eastAsia" w:ascii="仿宋" w:hAnsi="仿宋" w:eastAsia="仿宋" w:cs="仿宋"/>
          <w:b/>
          <w:bCs/>
          <w:color w:val="auto"/>
          <w:spacing w:val="-4"/>
          <w:sz w:val="28"/>
          <w:szCs w:val="28"/>
          <w:highlight w:val="none"/>
        </w:rPr>
        <w:t>盘存储一份电子版标书或</w:t>
      </w:r>
      <w:r>
        <w:rPr>
          <w:rFonts w:hint="eastAsia" w:ascii="仿宋" w:hAnsi="仿宋" w:eastAsia="仿宋" w:cs="仿宋"/>
          <w:color w:val="auto"/>
          <w:spacing w:val="-43"/>
          <w:sz w:val="28"/>
          <w:szCs w:val="28"/>
          <w:highlight w:val="none"/>
        </w:rPr>
        <w:t xml:space="preserve"> </w:t>
      </w:r>
      <w:r>
        <w:rPr>
          <w:rFonts w:hint="eastAsia" w:ascii="仿宋" w:hAnsi="仿宋" w:eastAsia="仿宋" w:cs="仿宋"/>
          <w:b/>
          <w:bCs/>
          <w:color w:val="auto"/>
          <w:spacing w:val="-4"/>
          <w:sz w:val="28"/>
          <w:szCs w:val="28"/>
          <w:highlight w:val="none"/>
        </w:rPr>
        <w:t>WORD</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4"/>
          <w:sz w:val="28"/>
          <w:szCs w:val="28"/>
          <w:highlight w:val="none"/>
        </w:rPr>
        <w:t>版本一份）和纸质版响应文件一正</w:t>
      </w:r>
      <w:r>
        <w:rPr>
          <w:rFonts w:hint="eastAsia" w:ascii="仿宋" w:hAnsi="仿宋" w:eastAsia="仿宋" w:cs="仿宋"/>
          <w:b/>
          <w:bCs/>
          <w:color w:val="auto"/>
          <w:spacing w:val="-4"/>
          <w:sz w:val="28"/>
          <w:szCs w:val="28"/>
          <w:highlight w:val="none"/>
          <w:lang w:eastAsia="zh-CN"/>
        </w:rPr>
        <w:t>两</w:t>
      </w:r>
      <w:r>
        <w:rPr>
          <w:rFonts w:hint="eastAsia" w:ascii="仿宋" w:hAnsi="仿宋" w:eastAsia="仿宋" w:cs="仿宋"/>
          <w:b/>
          <w:bCs/>
          <w:color w:val="auto"/>
          <w:spacing w:val="-4"/>
          <w:sz w:val="28"/>
          <w:szCs w:val="28"/>
          <w:highlight w:val="none"/>
        </w:rPr>
        <w:t>副至招标代理</w:t>
      </w:r>
      <w:r>
        <w:rPr>
          <w:rFonts w:hint="eastAsia" w:ascii="仿宋" w:hAnsi="仿宋" w:eastAsia="仿宋" w:cs="仿宋"/>
          <w:b/>
          <w:bCs/>
          <w:color w:val="auto"/>
          <w:spacing w:val="-2"/>
          <w:sz w:val="28"/>
          <w:szCs w:val="28"/>
          <w:highlight w:val="none"/>
        </w:rPr>
        <w:t>公司处。纸质版响应文件内容须与电子版响应</w:t>
      </w:r>
      <w:r>
        <w:rPr>
          <w:rFonts w:hint="eastAsia" w:ascii="仿宋" w:hAnsi="仿宋" w:eastAsia="仿宋" w:cs="仿宋"/>
          <w:b/>
          <w:bCs/>
          <w:color w:val="auto"/>
          <w:spacing w:val="-3"/>
          <w:sz w:val="28"/>
          <w:szCs w:val="28"/>
          <w:highlight w:val="none"/>
        </w:rPr>
        <w:t>文件一致。</w:t>
      </w:r>
    </w:p>
    <w:p w14:paraId="1715968F">
      <w:pPr>
        <w:spacing w:before="181" w:line="219" w:lineRule="auto"/>
        <w:ind w:left="48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4.2</w:t>
      </w:r>
      <w:r>
        <w:rPr>
          <w:rFonts w:hint="eastAsia" w:ascii="仿宋" w:hAnsi="仿宋" w:eastAsia="仿宋" w:cs="仿宋"/>
          <w:color w:val="auto"/>
          <w:spacing w:val="-40"/>
          <w:sz w:val="28"/>
          <w:szCs w:val="28"/>
          <w:highlight w:val="none"/>
        </w:rPr>
        <w:t xml:space="preserve"> </w:t>
      </w:r>
      <w:r>
        <w:rPr>
          <w:rFonts w:hint="eastAsia" w:ascii="仿宋" w:hAnsi="仿宋" w:eastAsia="仿宋" w:cs="仿宋"/>
          <w:b/>
          <w:bCs/>
          <w:color w:val="auto"/>
          <w:spacing w:val="-5"/>
          <w:sz w:val="28"/>
          <w:szCs w:val="28"/>
          <w:highlight w:val="none"/>
        </w:rPr>
        <w:t>响应文件的递交</w:t>
      </w:r>
    </w:p>
    <w:p w14:paraId="5E707CD1">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 供应商应在磋商文件规定的响应文件递交截止时间前将电子响应文件上传到新疆政采云（</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"http://ccgp-xinjiang.gov.cn/"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http://ccgp-xinjiang.gov.cn/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）的指定栏目。未在响应文件递交截止时间前完成上传的电子响应文件视为逾期送达。逾期上传或未按规定方式上传的电子响应文件，采购代理机构不予受理。</w:t>
      </w:r>
    </w:p>
    <w:p w14:paraId="13FE4976">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 是否采用不见面开标详见供应商须知前附表，若项目采用不见面开标。只需将电子响应文件在投标截止时间前通过新疆政采云</w:t>
      </w:r>
    </w:p>
    <w:p w14:paraId="3AFCC59D">
      <w:pPr>
        <w:spacing w:before="182" w:line="324" w:lineRule="auto"/>
        <w:ind w:left="2" w:right="80" w:firstLine="4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"http://ccgp-xinjiang.gov.cn/"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http://ccgp-xinjiang.gov.cn/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）加密上传完成。逾期上传的或者未上传到平台的响应文件，采购人不予受理。</w:t>
      </w:r>
    </w:p>
    <w:p w14:paraId="5AFE1698">
      <w:pPr>
        <w:spacing w:line="219" w:lineRule="auto"/>
        <w:ind w:left="483"/>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4.3</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4"/>
          <w:sz w:val="28"/>
          <w:szCs w:val="28"/>
          <w:highlight w:val="none"/>
        </w:rPr>
        <w:t>迟交的响应文件</w:t>
      </w:r>
    </w:p>
    <w:p w14:paraId="575AA0C2">
      <w:pPr>
        <w:spacing w:before="180" w:line="359" w:lineRule="auto"/>
        <w:ind w:right="144" w:firstLine="484"/>
        <w:jc w:val="both"/>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4.3.1</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1"/>
          <w:sz w:val="28"/>
          <w:szCs w:val="28"/>
          <w:highlight w:val="none"/>
        </w:rPr>
        <w:t>采购代理机构将拒绝并原封退回在规定的响应文件递交截止期后送达</w:t>
      </w:r>
      <w:r>
        <w:rPr>
          <w:rFonts w:hint="eastAsia" w:ascii="仿宋" w:hAnsi="仿宋" w:eastAsia="仿宋" w:cs="仿宋"/>
          <w:color w:val="auto"/>
          <w:sz w:val="28"/>
          <w:szCs w:val="28"/>
          <w:highlight w:val="none"/>
        </w:rPr>
        <w:t>的任何响应文件。由于对网上招标操作不熟悉或自身电脑</w:t>
      </w:r>
      <w:r>
        <w:rPr>
          <w:rFonts w:hint="eastAsia" w:ascii="仿宋" w:hAnsi="仿宋" w:eastAsia="仿宋" w:cs="仿宋"/>
          <w:color w:val="auto"/>
          <w:spacing w:val="-1"/>
          <w:sz w:val="28"/>
          <w:szCs w:val="28"/>
          <w:highlight w:val="none"/>
        </w:rPr>
        <w:t>、网络的原因导致不能</w:t>
      </w:r>
      <w:r>
        <w:rPr>
          <w:rFonts w:hint="eastAsia" w:ascii="仿宋" w:hAnsi="仿宋" w:eastAsia="仿宋" w:cs="仿宋"/>
          <w:color w:val="auto"/>
          <w:sz w:val="28"/>
          <w:szCs w:val="28"/>
          <w:highlight w:val="none"/>
        </w:rPr>
        <w:t>在响应文件递交截止时间之前上传响应文件，采购代理机</w:t>
      </w:r>
      <w:r>
        <w:rPr>
          <w:rFonts w:hint="eastAsia" w:ascii="仿宋" w:hAnsi="仿宋" w:eastAsia="仿宋" w:cs="仿宋"/>
          <w:color w:val="auto"/>
          <w:spacing w:val="-1"/>
          <w:sz w:val="28"/>
          <w:szCs w:val="28"/>
          <w:highlight w:val="none"/>
        </w:rPr>
        <w:t>构不负任何责任。建议</w:t>
      </w:r>
      <w:r>
        <w:rPr>
          <w:rFonts w:hint="eastAsia" w:ascii="仿宋" w:hAnsi="仿宋" w:eastAsia="仿宋" w:cs="仿宋"/>
          <w:color w:val="auto"/>
          <w:spacing w:val="-2"/>
          <w:sz w:val="28"/>
          <w:szCs w:val="28"/>
          <w:highlight w:val="none"/>
        </w:rPr>
        <w:t>于开标前</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pacing w:val="-2"/>
          <w:sz w:val="28"/>
          <w:szCs w:val="28"/>
          <w:highlight w:val="none"/>
        </w:rPr>
        <w:t>1</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2"/>
          <w:sz w:val="28"/>
          <w:szCs w:val="28"/>
          <w:highlight w:val="none"/>
        </w:rPr>
        <w:t>个工作日完成响应文件的制作与上</w:t>
      </w:r>
      <w:r>
        <w:rPr>
          <w:rFonts w:hint="eastAsia" w:ascii="仿宋" w:hAnsi="仿宋" w:eastAsia="仿宋" w:cs="仿宋"/>
          <w:color w:val="auto"/>
          <w:spacing w:val="-3"/>
          <w:sz w:val="28"/>
          <w:szCs w:val="28"/>
          <w:highlight w:val="none"/>
        </w:rPr>
        <w:t>传。</w:t>
      </w:r>
    </w:p>
    <w:p w14:paraId="368A910A">
      <w:pPr>
        <w:spacing w:line="219" w:lineRule="auto"/>
        <w:ind w:left="483"/>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4.4</w:t>
      </w:r>
      <w:r>
        <w:rPr>
          <w:rFonts w:hint="eastAsia" w:ascii="仿宋" w:hAnsi="仿宋" w:eastAsia="仿宋" w:cs="仿宋"/>
          <w:color w:val="auto"/>
          <w:spacing w:val="-41"/>
          <w:sz w:val="28"/>
          <w:szCs w:val="28"/>
          <w:highlight w:val="none"/>
        </w:rPr>
        <w:t xml:space="preserve"> </w:t>
      </w:r>
      <w:r>
        <w:rPr>
          <w:rFonts w:hint="eastAsia" w:ascii="仿宋" w:hAnsi="仿宋" w:eastAsia="仿宋" w:cs="仿宋"/>
          <w:b/>
          <w:bCs/>
          <w:color w:val="auto"/>
          <w:spacing w:val="-4"/>
          <w:sz w:val="28"/>
          <w:szCs w:val="28"/>
          <w:highlight w:val="none"/>
        </w:rPr>
        <w:t>响应文件的修改和撤回</w:t>
      </w:r>
    </w:p>
    <w:p w14:paraId="08212B95">
      <w:pPr>
        <w:spacing w:before="184" w:line="324" w:lineRule="auto"/>
        <w:ind w:right="41" w:firstLine="485"/>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4.4.1</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3"/>
          <w:sz w:val="28"/>
          <w:szCs w:val="28"/>
          <w:highlight w:val="none"/>
        </w:rPr>
        <w:t>供应商在磋商文件规定的响应文件递交截止时间前，可以撤回已上传的</w:t>
      </w:r>
      <w:r>
        <w:rPr>
          <w:rFonts w:hint="eastAsia" w:ascii="仿宋" w:hAnsi="仿宋" w:eastAsia="仿宋" w:cs="仿宋"/>
          <w:color w:val="auto"/>
          <w:sz w:val="28"/>
          <w:szCs w:val="28"/>
          <w:highlight w:val="none"/>
        </w:rPr>
        <w:t>响应文件。如要修改，必须在撤回并修改后在规定的响应文</w:t>
      </w:r>
      <w:r>
        <w:rPr>
          <w:rFonts w:hint="eastAsia" w:ascii="仿宋" w:hAnsi="仿宋" w:eastAsia="仿宋" w:cs="仿宋"/>
          <w:color w:val="auto"/>
          <w:spacing w:val="-1"/>
          <w:sz w:val="28"/>
          <w:szCs w:val="28"/>
          <w:highlight w:val="none"/>
        </w:rPr>
        <w:t>件递交截止时间之前</w:t>
      </w:r>
      <w:r>
        <w:rPr>
          <w:rFonts w:hint="eastAsia" w:ascii="仿宋" w:hAnsi="仿宋" w:eastAsia="仿宋" w:cs="仿宋"/>
          <w:color w:val="auto"/>
          <w:sz w:val="28"/>
          <w:szCs w:val="28"/>
          <w:highlight w:val="none"/>
        </w:rPr>
        <w:t>将修改后的响应文件再重新上传。在响应文件递交截止时间</w:t>
      </w:r>
      <w:r>
        <w:rPr>
          <w:rFonts w:hint="eastAsia" w:ascii="仿宋" w:hAnsi="仿宋" w:eastAsia="仿宋" w:cs="仿宋"/>
          <w:color w:val="auto"/>
          <w:spacing w:val="-1"/>
          <w:sz w:val="28"/>
          <w:szCs w:val="28"/>
          <w:highlight w:val="none"/>
        </w:rPr>
        <w:t>之后，供应商不得对上传的响应文件撤销或修改。</w:t>
      </w:r>
    </w:p>
    <w:p w14:paraId="3A846189">
      <w:pPr>
        <w:spacing w:before="180" w:line="324" w:lineRule="auto"/>
        <w:ind w:right="144" w:firstLine="484"/>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4.4.2</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1"/>
          <w:sz w:val="28"/>
          <w:szCs w:val="28"/>
          <w:highlight w:val="none"/>
        </w:rPr>
        <w:t>采购代理机构将拒绝并原封退回在规定的响应文件递交截止期后送达</w:t>
      </w:r>
      <w:r>
        <w:rPr>
          <w:rFonts w:hint="eastAsia" w:ascii="仿宋" w:hAnsi="仿宋" w:eastAsia="仿宋" w:cs="仿宋"/>
          <w:color w:val="auto"/>
          <w:sz w:val="28"/>
          <w:szCs w:val="28"/>
          <w:highlight w:val="none"/>
        </w:rPr>
        <w:t>的任何响应文件。由于对网上招标操作不熟悉或自身电脑</w:t>
      </w:r>
      <w:r>
        <w:rPr>
          <w:rFonts w:hint="eastAsia" w:ascii="仿宋" w:hAnsi="仿宋" w:eastAsia="仿宋" w:cs="仿宋"/>
          <w:color w:val="auto"/>
          <w:spacing w:val="-1"/>
          <w:sz w:val="28"/>
          <w:szCs w:val="28"/>
          <w:highlight w:val="none"/>
        </w:rPr>
        <w:t>、网络的原因导致不能</w:t>
      </w:r>
      <w:r>
        <w:rPr>
          <w:rFonts w:hint="eastAsia" w:ascii="仿宋" w:hAnsi="仿宋" w:eastAsia="仿宋" w:cs="仿宋"/>
          <w:color w:val="auto"/>
          <w:sz w:val="28"/>
          <w:szCs w:val="28"/>
          <w:highlight w:val="none"/>
        </w:rPr>
        <w:t>在响应文件递交截止时间之前上传响应文件，采购代理机</w:t>
      </w:r>
      <w:r>
        <w:rPr>
          <w:rFonts w:hint="eastAsia" w:ascii="仿宋" w:hAnsi="仿宋" w:eastAsia="仿宋" w:cs="仿宋"/>
          <w:color w:val="auto"/>
          <w:spacing w:val="-1"/>
          <w:sz w:val="28"/>
          <w:szCs w:val="28"/>
          <w:highlight w:val="none"/>
        </w:rPr>
        <w:t>构不负任何责任。建议</w:t>
      </w:r>
      <w:r>
        <w:rPr>
          <w:rFonts w:hint="eastAsia" w:ascii="仿宋" w:hAnsi="仿宋" w:eastAsia="仿宋" w:cs="仿宋"/>
          <w:color w:val="auto"/>
          <w:spacing w:val="-2"/>
          <w:sz w:val="28"/>
          <w:szCs w:val="28"/>
          <w:highlight w:val="none"/>
        </w:rPr>
        <w:t>于开标前</w:t>
      </w:r>
      <w:r>
        <w:rPr>
          <w:rFonts w:hint="eastAsia" w:ascii="仿宋" w:hAnsi="仿宋" w:eastAsia="仿宋" w:cs="仿宋"/>
          <w:color w:val="auto"/>
          <w:spacing w:val="-33"/>
          <w:sz w:val="28"/>
          <w:szCs w:val="28"/>
          <w:highlight w:val="none"/>
        </w:rPr>
        <w:t xml:space="preserve"> </w:t>
      </w:r>
      <w:r>
        <w:rPr>
          <w:rFonts w:hint="eastAsia" w:ascii="仿宋" w:hAnsi="仿宋" w:eastAsia="仿宋" w:cs="仿宋"/>
          <w:color w:val="auto"/>
          <w:spacing w:val="-2"/>
          <w:sz w:val="28"/>
          <w:szCs w:val="28"/>
          <w:highlight w:val="none"/>
        </w:rPr>
        <w:t>1</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2"/>
          <w:sz w:val="28"/>
          <w:szCs w:val="28"/>
          <w:highlight w:val="none"/>
        </w:rPr>
        <w:t>个工作日完成响应文件的制作与上</w:t>
      </w:r>
      <w:r>
        <w:rPr>
          <w:rFonts w:hint="eastAsia" w:ascii="仿宋" w:hAnsi="仿宋" w:eastAsia="仿宋" w:cs="仿宋"/>
          <w:color w:val="auto"/>
          <w:spacing w:val="-3"/>
          <w:sz w:val="28"/>
          <w:szCs w:val="28"/>
          <w:highlight w:val="none"/>
        </w:rPr>
        <w:t>传。</w:t>
      </w:r>
    </w:p>
    <w:p w14:paraId="235CB348">
      <w:pPr>
        <w:spacing w:before="183" w:line="219" w:lineRule="auto"/>
        <w:ind w:left="48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4.4.3</w:t>
      </w:r>
      <w:r>
        <w:rPr>
          <w:rFonts w:hint="eastAsia" w:ascii="仿宋" w:hAnsi="仿宋" w:eastAsia="仿宋" w:cs="仿宋"/>
          <w:color w:val="auto"/>
          <w:spacing w:val="-36"/>
          <w:sz w:val="28"/>
          <w:szCs w:val="28"/>
          <w:highlight w:val="none"/>
        </w:rPr>
        <w:t xml:space="preserve"> </w:t>
      </w:r>
      <w:r>
        <w:rPr>
          <w:rFonts w:hint="eastAsia" w:ascii="仿宋" w:hAnsi="仿宋" w:eastAsia="仿宋" w:cs="仿宋"/>
          <w:color w:val="auto"/>
          <w:spacing w:val="-1"/>
          <w:sz w:val="28"/>
          <w:szCs w:val="28"/>
          <w:highlight w:val="none"/>
        </w:rPr>
        <w:t>供应商所提交的响应文件在评审结束后，无论中标与否都不退还。</w:t>
      </w:r>
    </w:p>
    <w:p w14:paraId="02B23B72">
      <w:pPr>
        <w:spacing w:before="184" w:line="219" w:lineRule="auto"/>
        <w:ind w:left="3173"/>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五、竞争性磋商程序</w:t>
      </w:r>
    </w:p>
    <w:p w14:paraId="338E0DFB">
      <w:pPr>
        <w:spacing w:before="181" w:line="220" w:lineRule="auto"/>
        <w:ind w:left="486"/>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5.1</w:t>
      </w:r>
      <w:r>
        <w:rPr>
          <w:rFonts w:hint="eastAsia" w:ascii="仿宋" w:hAnsi="仿宋" w:eastAsia="仿宋" w:cs="仿宋"/>
          <w:color w:val="auto"/>
          <w:spacing w:val="-44"/>
          <w:sz w:val="28"/>
          <w:szCs w:val="28"/>
          <w:highlight w:val="none"/>
        </w:rPr>
        <w:t xml:space="preserve"> </w:t>
      </w:r>
      <w:r>
        <w:rPr>
          <w:rFonts w:hint="eastAsia" w:ascii="仿宋" w:hAnsi="仿宋" w:eastAsia="仿宋" w:cs="仿宋"/>
          <w:b/>
          <w:bCs/>
          <w:color w:val="auto"/>
          <w:spacing w:val="-5"/>
          <w:sz w:val="28"/>
          <w:szCs w:val="28"/>
          <w:highlight w:val="none"/>
        </w:rPr>
        <w:t>磋商小组的组成</w:t>
      </w:r>
    </w:p>
    <w:p w14:paraId="63157841">
      <w:pPr>
        <w:spacing w:before="182" w:line="359" w:lineRule="auto"/>
        <w:ind w:left="4" w:right="41" w:firstLine="486"/>
        <w:jc w:val="both"/>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5.1.1</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评审由采购单位依法组建的磋商小组负责。磋商小组由采购人代表和有</w:t>
      </w:r>
      <w:r>
        <w:rPr>
          <w:rFonts w:hint="eastAsia" w:ascii="仿宋" w:hAnsi="仿宋" w:eastAsia="仿宋" w:cs="仿宋"/>
          <w:color w:val="auto"/>
          <w:sz w:val="28"/>
          <w:szCs w:val="28"/>
          <w:highlight w:val="none"/>
        </w:rPr>
        <w:t>关技术、经济等方面的专家组成。全面负责对响</w:t>
      </w:r>
      <w:r>
        <w:rPr>
          <w:rFonts w:hint="eastAsia" w:ascii="仿宋" w:hAnsi="仿宋" w:eastAsia="仿宋" w:cs="仿宋"/>
          <w:color w:val="auto"/>
          <w:spacing w:val="-1"/>
          <w:sz w:val="28"/>
          <w:szCs w:val="28"/>
          <w:highlight w:val="none"/>
        </w:rPr>
        <w:t>应文件的审查、评审、磋商、打</w:t>
      </w:r>
      <w:r>
        <w:rPr>
          <w:rFonts w:hint="eastAsia" w:ascii="仿宋" w:hAnsi="仿宋" w:eastAsia="仿宋" w:cs="仿宋"/>
          <w:color w:val="auto"/>
          <w:sz w:val="28"/>
          <w:szCs w:val="28"/>
          <w:highlight w:val="none"/>
        </w:rPr>
        <w:t>分等全部评审工作。磋商小组人数以及技术、经</w:t>
      </w:r>
      <w:r>
        <w:rPr>
          <w:rFonts w:hint="eastAsia" w:ascii="仿宋" w:hAnsi="仿宋" w:eastAsia="仿宋" w:cs="仿宋"/>
          <w:color w:val="auto"/>
          <w:spacing w:val="-1"/>
          <w:sz w:val="28"/>
          <w:szCs w:val="28"/>
          <w:highlight w:val="none"/>
        </w:rPr>
        <w:t>济方面的专家组成见</w:t>
      </w:r>
      <w:r>
        <w:rPr>
          <w:rFonts w:hint="eastAsia" w:ascii="仿宋" w:hAnsi="仿宋" w:eastAsia="仿宋" w:cs="仿宋"/>
          <w:color w:val="auto"/>
          <w:sz w:val="22"/>
          <w:szCs w:val="24"/>
          <w:highlight w:val="none"/>
        </w:rPr>
        <w:fldChar w:fldCharType="begin"/>
      </w:r>
      <w:r>
        <w:rPr>
          <w:rFonts w:hint="eastAsia" w:ascii="仿宋" w:hAnsi="仿宋" w:eastAsia="仿宋" w:cs="仿宋"/>
          <w:color w:val="auto"/>
          <w:sz w:val="22"/>
          <w:szCs w:val="24"/>
          <w:highlight w:val="none"/>
        </w:rPr>
        <w:instrText xml:space="preserve"> HYPERLINK "file:///C:/Users/zww/Documents/WeChat%20Files/wxid_6509915098812/WordForm/e944b4b1-01b6-4e42-b170-f783fcf7903a.doc" </w:instrText>
      </w:r>
      <w:r>
        <w:rPr>
          <w:rFonts w:hint="eastAsia" w:ascii="仿宋" w:hAnsi="仿宋" w:eastAsia="仿宋" w:cs="仿宋"/>
          <w:color w:val="auto"/>
          <w:sz w:val="22"/>
          <w:szCs w:val="24"/>
          <w:highlight w:val="none"/>
        </w:rPr>
        <w:fldChar w:fldCharType="separate"/>
      </w:r>
      <w:r>
        <w:rPr>
          <w:rFonts w:hint="eastAsia" w:ascii="仿宋" w:hAnsi="仿宋" w:eastAsia="仿宋" w:cs="仿宋"/>
          <w:color w:val="auto"/>
          <w:spacing w:val="-1"/>
          <w:sz w:val="28"/>
          <w:szCs w:val="28"/>
          <w:highlight w:val="none"/>
        </w:rPr>
        <w:t>供应商须知</w:t>
      </w:r>
      <w:r>
        <w:rPr>
          <w:rFonts w:hint="eastAsia" w:ascii="仿宋" w:hAnsi="仿宋" w:eastAsia="仿宋" w:cs="仿宋"/>
          <w:color w:val="auto"/>
          <w:spacing w:val="-1"/>
          <w:sz w:val="28"/>
          <w:szCs w:val="28"/>
          <w:highlight w:val="none"/>
        </w:rPr>
        <w:fldChar w:fldCharType="end"/>
      </w:r>
      <w:r>
        <w:rPr>
          <w:rFonts w:hint="eastAsia" w:ascii="仿宋" w:hAnsi="仿宋" w:eastAsia="仿宋" w:cs="仿宋"/>
          <w:color w:val="auto"/>
          <w:sz w:val="22"/>
          <w:szCs w:val="24"/>
          <w:highlight w:val="none"/>
        </w:rPr>
        <w:fldChar w:fldCharType="begin"/>
      </w:r>
      <w:r>
        <w:rPr>
          <w:rFonts w:hint="eastAsia" w:ascii="仿宋" w:hAnsi="仿宋" w:eastAsia="仿宋" w:cs="仿宋"/>
          <w:color w:val="auto"/>
          <w:sz w:val="22"/>
          <w:szCs w:val="24"/>
          <w:highlight w:val="none"/>
        </w:rPr>
        <w:instrText xml:space="preserve"> HYPERLINK "file:///C:/Users/zww/Documents/WeChat%20Files/wxid_6509915098812/WordForm/e944b4b1-01b6-4e42-b170-f783fcf7903a.doc" </w:instrText>
      </w:r>
      <w:r>
        <w:rPr>
          <w:rFonts w:hint="eastAsia" w:ascii="仿宋" w:hAnsi="仿宋" w:eastAsia="仿宋" w:cs="仿宋"/>
          <w:color w:val="auto"/>
          <w:sz w:val="22"/>
          <w:szCs w:val="24"/>
          <w:highlight w:val="none"/>
        </w:rPr>
        <w:fldChar w:fldCharType="separate"/>
      </w:r>
      <w:r>
        <w:rPr>
          <w:rFonts w:hint="eastAsia" w:ascii="仿宋" w:hAnsi="仿宋" w:eastAsia="仿宋" w:cs="仿宋"/>
          <w:color w:val="auto"/>
          <w:spacing w:val="-4"/>
          <w:sz w:val="28"/>
          <w:szCs w:val="28"/>
          <w:highlight w:val="none"/>
        </w:rPr>
        <w:t>前附表</w:t>
      </w:r>
      <w:r>
        <w:rPr>
          <w:rFonts w:hint="eastAsia" w:ascii="仿宋" w:hAnsi="仿宋" w:eastAsia="仿宋" w:cs="仿宋"/>
          <w:color w:val="auto"/>
          <w:spacing w:val="-4"/>
          <w:sz w:val="28"/>
          <w:szCs w:val="28"/>
          <w:highlight w:val="none"/>
        </w:rPr>
        <w:fldChar w:fldCharType="end"/>
      </w:r>
      <w:r>
        <w:rPr>
          <w:rFonts w:hint="eastAsia" w:ascii="仿宋" w:hAnsi="仿宋" w:eastAsia="仿宋" w:cs="仿宋"/>
          <w:color w:val="auto"/>
          <w:spacing w:val="-4"/>
          <w:sz w:val="28"/>
          <w:szCs w:val="28"/>
          <w:highlight w:val="none"/>
        </w:rPr>
        <w:t>。</w:t>
      </w:r>
    </w:p>
    <w:p w14:paraId="12B4CA29">
      <w:pPr>
        <w:spacing w:line="220" w:lineRule="auto"/>
        <w:ind w:left="491"/>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5.2</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4"/>
          <w:sz w:val="28"/>
          <w:szCs w:val="28"/>
          <w:highlight w:val="none"/>
        </w:rPr>
        <w:t>磋商方法</w:t>
      </w:r>
    </w:p>
    <w:p w14:paraId="2579C264">
      <w:pPr>
        <w:spacing w:before="179" w:line="313" w:lineRule="auto"/>
        <w:ind w:right="41" w:firstLine="49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5.2.1</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磋商小组将按照磋商文件确定的评审方法进行评审。磋商小组对响应文</w:t>
      </w:r>
      <w:r>
        <w:rPr>
          <w:rFonts w:hint="eastAsia" w:ascii="仿宋" w:hAnsi="仿宋" w:eastAsia="仿宋" w:cs="仿宋"/>
          <w:color w:val="auto"/>
          <w:sz w:val="28"/>
          <w:szCs w:val="28"/>
          <w:highlight w:val="none"/>
        </w:rPr>
        <w:t>件的评审分为响应文件初审、澄清有关问题、比较与评价</w:t>
      </w:r>
      <w:r>
        <w:rPr>
          <w:rFonts w:hint="eastAsia" w:ascii="仿宋" w:hAnsi="仿宋" w:eastAsia="仿宋" w:cs="仿宋"/>
          <w:color w:val="auto"/>
          <w:spacing w:val="-1"/>
          <w:sz w:val="28"/>
          <w:szCs w:val="28"/>
          <w:highlight w:val="none"/>
        </w:rPr>
        <w:t>响应文件、推荐中标候</w:t>
      </w:r>
      <w:r>
        <w:rPr>
          <w:rFonts w:hint="eastAsia" w:ascii="仿宋" w:hAnsi="仿宋" w:eastAsia="仿宋" w:cs="仿宋"/>
          <w:color w:val="auto"/>
          <w:spacing w:val="-2"/>
          <w:sz w:val="28"/>
          <w:szCs w:val="28"/>
          <w:highlight w:val="none"/>
        </w:rPr>
        <w:t>选人名单。</w:t>
      </w:r>
    </w:p>
    <w:p w14:paraId="009B45F8">
      <w:pPr>
        <w:pStyle w:val="16"/>
        <w:spacing w:line="242" w:lineRule="auto"/>
        <w:rPr>
          <w:rFonts w:hint="eastAsia" w:ascii="仿宋" w:hAnsi="仿宋" w:eastAsia="仿宋" w:cs="仿宋"/>
          <w:color w:val="auto"/>
          <w:sz w:val="22"/>
          <w:szCs w:val="24"/>
          <w:highlight w:val="none"/>
        </w:rPr>
      </w:pPr>
      <w:r>
        <w:rPr>
          <w:rFonts w:hint="eastAsia" w:ascii="仿宋" w:hAnsi="仿宋" w:eastAsia="仿宋" w:cs="仿宋"/>
          <w:color w:val="auto"/>
          <w:spacing w:val="-1"/>
          <w:sz w:val="28"/>
          <w:szCs w:val="28"/>
          <w:highlight w:val="none"/>
        </w:rPr>
        <w:t>5.2.1</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1"/>
          <w:sz w:val="28"/>
          <w:szCs w:val="28"/>
          <w:highlight w:val="none"/>
        </w:rPr>
        <w:t>项目评审方法详见磋商文件“第三章 评审方法</w:t>
      </w:r>
      <w:r>
        <w:rPr>
          <w:rFonts w:hint="eastAsia" w:ascii="仿宋" w:hAnsi="仿宋" w:eastAsia="仿宋" w:cs="仿宋"/>
          <w:color w:val="auto"/>
          <w:spacing w:val="-88"/>
          <w:sz w:val="28"/>
          <w:szCs w:val="28"/>
          <w:highlight w:val="none"/>
        </w:rPr>
        <w:t xml:space="preserve"> </w:t>
      </w:r>
      <w:r>
        <w:rPr>
          <w:rFonts w:hint="eastAsia" w:ascii="仿宋" w:hAnsi="仿宋" w:eastAsia="仿宋" w:cs="仿宋"/>
          <w:color w:val="auto"/>
          <w:spacing w:val="-1"/>
          <w:sz w:val="28"/>
          <w:szCs w:val="28"/>
          <w:highlight w:val="none"/>
        </w:rPr>
        <w:t>”。</w:t>
      </w:r>
    </w:p>
    <w:p w14:paraId="1649A00A">
      <w:pPr>
        <w:spacing w:before="78" w:line="219" w:lineRule="auto"/>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A．采用见面开标方式</w:t>
      </w:r>
    </w:p>
    <w:p w14:paraId="330ABD05">
      <w:pPr>
        <w:spacing w:before="181" w:line="219" w:lineRule="auto"/>
        <w:ind w:left="497"/>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5.3</w:t>
      </w:r>
      <w:r>
        <w:rPr>
          <w:rFonts w:hint="eastAsia" w:ascii="仿宋" w:hAnsi="仿宋" w:eastAsia="仿宋" w:cs="仿宋"/>
          <w:color w:val="auto"/>
          <w:spacing w:val="-36"/>
          <w:sz w:val="28"/>
          <w:szCs w:val="28"/>
          <w:highlight w:val="none"/>
        </w:rPr>
        <w:t xml:space="preserve"> </w:t>
      </w:r>
      <w:r>
        <w:rPr>
          <w:rFonts w:hint="eastAsia" w:ascii="仿宋" w:hAnsi="仿宋" w:eastAsia="仿宋" w:cs="仿宋"/>
          <w:color w:val="auto"/>
          <w:spacing w:val="-4"/>
          <w:sz w:val="28"/>
          <w:szCs w:val="28"/>
          <w:highlight w:val="none"/>
        </w:rPr>
        <w:t>响应文件的初审</w:t>
      </w:r>
    </w:p>
    <w:p w14:paraId="3E7CED85">
      <w:pPr>
        <w:spacing w:before="183" w:line="219" w:lineRule="auto"/>
        <w:ind w:left="49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初审分为资格性检查和符合性检查。</w:t>
      </w:r>
    </w:p>
    <w:p w14:paraId="1DE3324E">
      <w:pPr>
        <w:spacing w:before="180" w:line="219" w:lineRule="auto"/>
        <w:ind w:left="497"/>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5.3.1</w:t>
      </w:r>
      <w:r>
        <w:rPr>
          <w:rFonts w:hint="eastAsia" w:ascii="仿宋" w:hAnsi="仿宋" w:eastAsia="仿宋" w:cs="仿宋"/>
          <w:color w:val="auto"/>
          <w:spacing w:val="-36"/>
          <w:sz w:val="28"/>
          <w:szCs w:val="28"/>
          <w:highlight w:val="none"/>
        </w:rPr>
        <w:t xml:space="preserve"> </w:t>
      </w:r>
      <w:r>
        <w:rPr>
          <w:rFonts w:hint="eastAsia" w:ascii="仿宋" w:hAnsi="仿宋" w:eastAsia="仿宋" w:cs="仿宋"/>
          <w:color w:val="auto"/>
          <w:spacing w:val="-4"/>
          <w:sz w:val="28"/>
          <w:szCs w:val="28"/>
          <w:highlight w:val="none"/>
        </w:rPr>
        <w:t>资格性检查</w:t>
      </w:r>
    </w:p>
    <w:p w14:paraId="291FD139">
      <w:pPr>
        <w:spacing w:before="184" w:line="288" w:lineRule="auto"/>
        <w:ind w:left="19" w:firstLine="484"/>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（1）磋商小组根据评审办法前附表规定的评审因素和</w:t>
      </w:r>
      <w:r>
        <w:rPr>
          <w:rFonts w:hint="eastAsia" w:ascii="仿宋" w:hAnsi="仿宋" w:eastAsia="仿宋" w:cs="仿宋"/>
          <w:color w:val="auto"/>
          <w:spacing w:val="-2"/>
          <w:sz w:val="28"/>
          <w:szCs w:val="28"/>
          <w:highlight w:val="none"/>
        </w:rPr>
        <w:t>评审标准，对供应商的响应文件进行资格评审。资格性检查不合格的供应商的响应文件</w:t>
      </w:r>
      <w:r>
        <w:rPr>
          <w:rFonts w:hint="eastAsia" w:ascii="仿宋" w:hAnsi="仿宋" w:eastAsia="仿宋" w:cs="仿宋"/>
          <w:color w:val="auto"/>
          <w:spacing w:val="-3"/>
          <w:sz w:val="28"/>
          <w:szCs w:val="28"/>
          <w:highlight w:val="none"/>
        </w:rPr>
        <w:t>作无效文件处理。</w:t>
      </w:r>
    </w:p>
    <w:p w14:paraId="02B198B9">
      <w:pPr>
        <w:spacing w:before="185" w:line="288" w:lineRule="auto"/>
        <w:ind w:left="8" w:right="98" w:firstLine="495"/>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（2）磋商小组在进行资格检查时，不得改变磋商文件中已载明的资格条件、</w:t>
      </w:r>
      <w:r>
        <w:rPr>
          <w:rFonts w:hint="eastAsia" w:ascii="仿宋" w:hAnsi="仿宋" w:eastAsia="仿宋" w:cs="仿宋"/>
          <w:color w:val="auto"/>
          <w:sz w:val="28"/>
          <w:szCs w:val="28"/>
          <w:highlight w:val="none"/>
        </w:rPr>
        <w:t>标准和办法。资格性检查不合格的供应商的</w:t>
      </w:r>
      <w:r>
        <w:rPr>
          <w:rFonts w:hint="eastAsia" w:ascii="仿宋" w:hAnsi="仿宋" w:eastAsia="仿宋" w:cs="仿宋"/>
          <w:color w:val="auto"/>
          <w:spacing w:val="-1"/>
          <w:sz w:val="28"/>
          <w:szCs w:val="28"/>
          <w:highlight w:val="none"/>
        </w:rPr>
        <w:t>响应文件作无效文件处理。</w:t>
      </w:r>
    </w:p>
    <w:p w14:paraId="21BB46C4">
      <w:pPr>
        <w:spacing w:before="185" w:line="288" w:lineRule="auto"/>
        <w:ind w:left="7" w:right="80" w:firstLine="496"/>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（3）供应商在递交响应文件的同时，应逐项对照上述</w:t>
      </w:r>
      <w:r>
        <w:rPr>
          <w:rFonts w:hint="eastAsia" w:ascii="仿宋" w:hAnsi="仿宋" w:eastAsia="仿宋" w:cs="仿宋"/>
          <w:color w:val="auto"/>
          <w:spacing w:val="-2"/>
          <w:sz w:val="28"/>
          <w:szCs w:val="28"/>
          <w:highlight w:val="none"/>
        </w:rPr>
        <w:t>资格性检查要求提交相</w:t>
      </w:r>
      <w:r>
        <w:rPr>
          <w:rFonts w:hint="eastAsia" w:ascii="仿宋" w:hAnsi="仿宋" w:eastAsia="仿宋" w:cs="仿宋"/>
          <w:color w:val="auto"/>
          <w:spacing w:val="-1"/>
          <w:sz w:val="28"/>
          <w:szCs w:val="28"/>
          <w:highlight w:val="none"/>
        </w:rPr>
        <w:t>应的原件和资格证明文件供磋商小组核查，否则评委将不予采信。</w:t>
      </w:r>
    </w:p>
    <w:p w14:paraId="7B6EB5B5">
      <w:pPr>
        <w:spacing w:before="185" w:line="288" w:lineRule="auto"/>
        <w:ind w:left="7" w:right="80" w:firstLine="496"/>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（4）磋商小组在评审中必要时可按供应商提供的联系</w:t>
      </w:r>
      <w:r>
        <w:rPr>
          <w:rFonts w:hint="eastAsia" w:ascii="仿宋" w:hAnsi="仿宋" w:eastAsia="仿宋" w:cs="仿宋"/>
          <w:color w:val="auto"/>
          <w:spacing w:val="-2"/>
          <w:sz w:val="28"/>
          <w:szCs w:val="28"/>
          <w:highlight w:val="none"/>
        </w:rPr>
        <w:t>方式就有关问题进行查</w:t>
      </w:r>
      <w:r>
        <w:rPr>
          <w:rFonts w:hint="eastAsia" w:ascii="仿宋" w:hAnsi="仿宋" w:eastAsia="仿宋" w:cs="仿宋"/>
          <w:color w:val="auto"/>
          <w:sz w:val="28"/>
          <w:szCs w:val="28"/>
          <w:highlight w:val="none"/>
        </w:rPr>
        <w:t>询核实，或要求供应商做出书面澄清，查询及澄清</w:t>
      </w:r>
      <w:r>
        <w:rPr>
          <w:rFonts w:hint="eastAsia" w:ascii="仿宋" w:hAnsi="仿宋" w:eastAsia="仿宋" w:cs="仿宋"/>
          <w:color w:val="auto"/>
          <w:spacing w:val="-1"/>
          <w:sz w:val="28"/>
          <w:szCs w:val="28"/>
          <w:highlight w:val="none"/>
        </w:rPr>
        <w:t>结果将作为审查的依据。</w:t>
      </w:r>
    </w:p>
    <w:p w14:paraId="672F7B21">
      <w:pPr>
        <w:spacing w:before="183" w:line="290" w:lineRule="auto"/>
        <w:ind w:left="8" w:right="80" w:firstLine="49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（5）通过全部资格性检查条件合格的供应商才能通过</w:t>
      </w:r>
      <w:r>
        <w:rPr>
          <w:rFonts w:hint="eastAsia" w:ascii="仿宋" w:hAnsi="仿宋" w:eastAsia="仿宋" w:cs="仿宋"/>
          <w:color w:val="auto"/>
          <w:spacing w:val="-2"/>
          <w:sz w:val="28"/>
          <w:szCs w:val="28"/>
          <w:highlight w:val="none"/>
        </w:rPr>
        <w:t>资格检查，其响应文件</w:t>
      </w:r>
      <w:r>
        <w:rPr>
          <w:rFonts w:hint="eastAsia" w:ascii="仿宋" w:hAnsi="仿宋" w:eastAsia="仿宋" w:cs="仿宋"/>
          <w:color w:val="auto"/>
          <w:spacing w:val="-1"/>
          <w:sz w:val="28"/>
          <w:szCs w:val="28"/>
          <w:highlight w:val="none"/>
        </w:rPr>
        <w:t>方可进入下一个检查阶段。</w:t>
      </w:r>
    </w:p>
    <w:p w14:paraId="07204D58">
      <w:pPr>
        <w:spacing w:before="180" w:line="219" w:lineRule="auto"/>
        <w:ind w:left="49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5.3.2</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3"/>
          <w:sz w:val="28"/>
          <w:szCs w:val="28"/>
          <w:highlight w:val="none"/>
        </w:rPr>
        <w:t>符合性检查</w:t>
      </w:r>
    </w:p>
    <w:p w14:paraId="087BF835">
      <w:pPr>
        <w:spacing w:before="184" w:line="358" w:lineRule="auto"/>
        <w:ind w:left="9" w:right="178" w:firstLine="48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磋商小组根据评审办法前附表规定的评审因素和评审</w:t>
      </w:r>
      <w:r>
        <w:rPr>
          <w:rFonts w:hint="eastAsia" w:ascii="仿宋" w:hAnsi="仿宋" w:eastAsia="仿宋" w:cs="仿宋"/>
          <w:color w:val="auto"/>
          <w:spacing w:val="-1"/>
          <w:sz w:val="28"/>
          <w:szCs w:val="28"/>
          <w:highlight w:val="none"/>
        </w:rPr>
        <w:t>标准，对供应商的响应</w:t>
      </w:r>
      <w:r>
        <w:rPr>
          <w:rFonts w:hint="eastAsia" w:ascii="仿宋" w:hAnsi="仿宋" w:eastAsia="仿宋" w:cs="仿宋"/>
          <w:color w:val="auto"/>
          <w:sz w:val="28"/>
          <w:szCs w:val="28"/>
          <w:highlight w:val="none"/>
        </w:rPr>
        <w:t>文件进行符合性检查。符合性检查不合格的供应商</w:t>
      </w:r>
      <w:r>
        <w:rPr>
          <w:rFonts w:hint="eastAsia" w:ascii="仿宋" w:hAnsi="仿宋" w:eastAsia="仿宋" w:cs="仿宋"/>
          <w:color w:val="auto"/>
          <w:spacing w:val="-1"/>
          <w:sz w:val="28"/>
          <w:szCs w:val="28"/>
          <w:highlight w:val="none"/>
        </w:rPr>
        <w:t>的响应文件作无效文件处理。</w:t>
      </w:r>
    </w:p>
    <w:p w14:paraId="401E8061">
      <w:pPr>
        <w:spacing w:line="220" w:lineRule="auto"/>
        <w:ind w:left="49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5.4</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违法违规行为</w:t>
      </w:r>
    </w:p>
    <w:p w14:paraId="1F116089">
      <w:pPr>
        <w:spacing w:before="182" w:line="359" w:lineRule="auto"/>
        <w:ind w:left="10" w:right="80" w:firstLine="486"/>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5.4.1</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在评审过程中，磋商小组发现供应商有下列情形之一的，作无效文件处</w:t>
      </w:r>
      <w:r>
        <w:rPr>
          <w:rFonts w:hint="eastAsia" w:ascii="仿宋" w:hAnsi="仿宋" w:eastAsia="仿宋" w:cs="仿宋"/>
          <w:color w:val="auto"/>
          <w:spacing w:val="-7"/>
          <w:sz w:val="28"/>
          <w:szCs w:val="28"/>
          <w:highlight w:val="none"/>
        </w:rPr>
        <w:t>理：</w:t>
      </w:r>
    </w:p>
    <w:p w14:paraId="73B9AE47">
      <w:pPr>
        <w:spacing w:line="290" w:lineRule="auto"/>
        <w:ind w:left="8" w:right="80" w:firstLine="49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（1）属于同一集团、协会、商会等组织成员的供应商</w:t>
      </w:r>
      <w:r>
        <w:rPr>
          <w:rFonts w:hint="eastAsia" w:ascii="仿宋" w:hAnsi="仿宋" w:eastAsia="仿宋" w:cs="仿宋"/>
          <w:color w:val="auto"/>
          <w:spacing w:val="-2"/>
          <w:sz w:val="28"/>
          <w:szCs w:val="28"/>
          <w:highlight w:val="none"/>
        </w:rPr>
        <w:t>按照该组织要求协同投</w:t>
      </w:r>
      <w:r>
        <w:rPr>
          <w:rFonts w:hint="eastAsia" w:ascii="仿宋" w:hAnsi="仿宋" w:eastAsia="仿宋" w:cs="仿宋"/>
          <w:color w:val="auto"/>
          <w:spacing w:val="-6"/>
          <w:sz w:val="28"/>
          <w:szCs w:val="28"/>
          <w:highlight w:val="none"/>
        </w:rPr>
        <w:t>标；</w:t>
      </w:r>
    </w:p>
    <w:p w14:paraId="0AB3BBBB">
      <w:pPr>
        <w:spacing w:before="179"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（2）不同供应商的响应文件由同一单位或者个人编制；</w:t>
      </w:r>
    </w:p>
    <w:p w14:paraId="0CBAF2B4">
      <w:pPr>
        <w:spacing w:before="183"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（3）不同供应商委托同一单位或者个人办理投标事宜；</w:t>
      </w:r>
    </w:p>
    <w:p w14:paraId="366ACB47">
      <w:pPr>
        <w:spacing w:before="184"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（4）不同供应商的响应文件载明的项目管理成员为同一人；</w:t>
      </w:r>
    </w:p>
    <w:p w14:paraId="46DDD92B">
      <w:pPr>
        <w:spacing w:before="181" w:line="218"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（5）不同供应商的响应文件异常一致或者投标报价呈规律性差异；</w:t>
      </w:r>
    </w:p>
    <w:p w14:paraId="5E160933">
      <w:pPr>
        <w:spacing w:before="182"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（6）不同供应商的响应文件相互混装；</w:t>
      </w:r>
    </w:p>
    <w:p w14:paraId="70D99992">
      <w:pPr>
        <w:spacing w:before="183"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（7）不同供应商的投标保证金从同一单位或者个人的账户转出；</w:t>
      </w:r>
    </w:p>
    <w:p w14:paraId="429BE761">
      <w:pPr>
        <w:spacing w:before="182"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（8）使用伪造、变造的行政许可证件；</w:t>
      </w:r>
    </w:p>
    <w:p w14:paraId="3A72A400">
      <w:pPr>
        <w:spacing w:before="182" w:line="219" w:lineRule="auto"/>
        <w:ind w:left="503"/>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（9）提供虚假的财务状况或者业绩；</w:t>
      </w:r>
    </w:p>
    <w:p w14:paraId="4D9C8F9F">
      <w:pPr>
        <w:spacing w:before="182" w:line="219" w:lineRule="auto"/>
        <w:ind w:left="503"/>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（10）提供虚假的项目负责人或者主要技术人员简历、劳动关系证明；</w:t>
      </w:r>
    </w:p>
    <w:p w14:paraId="0C14BCE9">
      <w:pPr>
        <w:spacing w:before="182" w:line="219" w:lineRule="auto"/>
        <w:ind w:left="503"/>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（11）提供虚假的信用状况；</w:t>
      </w:r>
    </w:p>
    <w:p w14:paraId="0A42270D">
      <w:pPr>
        <w:spacing w:before="183" w:line="219" w:lineRule="auto"/>
        <w:ind w:left="49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（12）其他弄虚作假的行为。</w:t>
      </w:r>
    </w:p>
    <w:p w14:paraId="73FC0E3D">
      <w:pPr>
        <w:spacing w:before="181" w:line="219" w:lineRule="auto"/>
        <w:ind w:left="489"/>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5.5</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磋商小组审查响应文件是否完整、有无计算上的错误等。</w:t>
      </w:r>
    </w:p>
    <w:p w14:paraId="2C1EE58D">
      <w:pPr>
        <w:spacing w:before="184" w:line="219" w:lineRule="auto"/>
        <w:ind w:left="48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5.5.1</w:t>
      </w:r>
      <w:r>
        <w:rPr>
          <w:rFonts w:hint="eastAsia" w:ascii="仿宋" w:hAnsi="仿宋" w:eastAsia="仿宋" w:cs="仿宋"/>
          <w:color w:val="auto"/>
          <w:spacing w:val="-31"/>
          <w:sz w:val="28"/>
          <w:szCs w:val="28"/>
          <w:highlight w:val="none"/>
        </w:rPr>
        <w:t xml:space="preserve"> </w:t>
      </w:r>
      <w:r>
        <w:rPr>
          <w:rFonts w:hint="eastAsia" w:ascii="仿宋" w:hAnsi="仿宋" w:eastAsia="仿宋" w:cs="仿宋"/>
          <w:color w:val="auto"/>
          <w:spacing w:val="-3"/>
          <w:sz w:val="28"/>
          <w:szCs w:val="28"/>
          <w:highlight w:val="none"/>
        </w:rPr>
        <w:t>响应文件的修正及澄清</w:t>
      </w:r>
    </w:p>
    <w:p w14:paraId="7DC23608">
      <w:pPr>
        <w:spacing w:before="179" w:line="290" w:lineRule="auto"/>
        <w:ind w:left="3" w:firstLine="49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（1）磋商小组对确定为实质上响应磋商文件要求的响</w:t>
      </w:r>
      <w:r>
        <w:rPr>
          <w:rFonts w:hint="eastAsia" w:ascii="仿宋" w:hAnsi="仿宋" w:eastAsia="仿宋" w:cs="仿宋"/>
          <w:color w:val="auto"/>
          <w:spacing w:val="-2"/>
          <w:sz w:val="28"/>
          <w:szCs w:val="28"/>
          <w:highlight w:val="none"/>
        </w:rPr>
        <w:t>应文件进行校核，看其</w:t>
      </w:r>
      <w:r>
        <w:rPr>
          <w:rFonts w:hint="eastAsia" w:ascii="仿宋" w:hAnsi="仿宋" w:eastAsia="仿宋" w:cs="仿宋"/>
          <w:color w:val="auto"/>
          <w:spacing w:val="-1"/>
          <w:sz w:val="28"/>
          <w:szCs w:val="28"/>
          <w:highlight w:val="none"/>
        </w:rPr>
        <w:t>是否有计算或表达上的错误，算术错误将按以下方法更正：</w:t>
      </w:r>
    </w:p>
    <w:p w14:paraId="70DD2868">
      <w:pPr>
        <w:spacing w:before="183" w:line="324" w:lineRule="auto"/>
        <w:ind w:firstLine="49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（2）响应文件的大写金额和小写金额不一致的，以大</w:t>
      </w:r>
      <w:r>
        <w:rPr>
          <w:rFonts w:hint="eastAsia" w:ascii="仿宋" w:hAnsi="仿宋" w:eastAsia="仿宋" w:cs="仿宋"/>
          <w:color w:val="auto"/>
          <w:spacing w:val="-2"/>
          <w:sz w:val="28"/>
          <w:szCs w:val="28"/>
          <w:highlight w:val="none"/>
        </w:rPr>
        <w:t>写金额为准；总价金额</w:t>
      </w:r>
      <w:r>
        <w:rPr>
          <w:rFonts w:hint="eastAsia" w:ascii="仿宋" w:hAnsi="仿宋" w:eastAsia="仿宋" w:cs="仿宋"/>
          <w:color w:val="auto"/>
          <w:sz w:val="28"/>
          <w:szCs w:val="28"/>
          <w:highlight w:val="none"/>
        </w:rPr>
        <w:t>与单价汇总金额不一致的，以单价汇总金额计算结果</w:t>
      </w:r>
      <w:r>
        <w:rPr>
          <w:rFonts w:hint="eastAsia" w:ascii="仿宋" w:hAnsi="仿宋" w:eastAsia="仿宋" w:cs="仿宋"/>
          <w:color w:val="auto"/>
          <w:spacing w:val="-1"/>
          <w:sz w:val="28"/>
          <w:szCs w:val="28"/>
          <w:highlight w:val="none"/>
        </w:rPr>
        <w:t>为准；单价金额小数点有明</w:t>
      </w:r>
      <w:r>
        <w:rPr>
          <w:rFonts w:hint="eastAsia" w:ascii="仿宋" w:hAnsi="仿宋" w:eastAsia="仿宋" w:cs="仿宋"/>
          <w:color w:val="auto"/>
          <w:sz w:val="28"/>
          <w:szCs w:val="28"/>
          <w:highlight w:val="none"/>
        </w:rPr>
        <w:t>显错位的，应以总价为准，并修改单价。提交最终报</w:t>
      </w:r>
      <w:r>
        <w:rPr>
          <w:rFonts w:hint="eastAsia" w:ascii="仿宋" w:hAnsi="仿宋" w:eastAsia="仿宋" w:cs="仿宋"/>
          <w:color w:val="auto"/>
          <w:spacing w:val="-1"/>
          <w:sz w:val="28"/>
          <w:szCs w:val="28"/>
          <w:highlight w:val="none"/>
        </w:rPr>
        <w:t>价时，如果供应商不接受对其错误的更正，其响应文件将被视为无效文件。</w:t>
      </w:r>
    </w:p>
    <w:p w14:paraId="158F42DC">
      <w:pPr>
        <w:spacing w:before="181" w:line="324" w:lineRule="auto"/>
        <w:ind w:firstLine="488"/>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5.5.2</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评审之前，磋商小组要审查每份响应文件是否实质上响应了磋商文件的</w:t>
      </w:r>
      <w:r>
        <w:rPr>
          <w:rFonts w:hint="eastAsia" w:ascii="仿宋" w:hAnsi="仿宋" w:eastAsia="仿宋" w:cs="仿宋"/>
          <w:color w:val="auto"/>
          <w:sz w:val="28"/>
          <w:szCs w:val="28"/>
          <w:highlight w:val="none"/>
        </w:rPr>
        <w:t>要求。实质上响应的响应文件应该是与磋商文件要求</w:t>
      </w:r>
      <w:r>
        <w:rPr>
          <w:rFonts w:hint="eastAsia" w:ascii="仿宋" w:hAnsi="仿宋" w:eastAsia="仿宋" w:cs="仿宋"/>
          <w:color w:val="auto"/>
          <w:spacing w:val="-1"/>
          <w:sz w:val="28"/>
          <w:szCs w:val="28"/>
          <w:highlight w:val="none"/>
        </w:rPr>
        <w:t>的关键条款、条件和规格相</w:t>
      </w:r>
      <w:r>
        <w:rPr>
          <w:rFonts w:hint="eastAsia" w:ascii="仿宋" w:hAnsi="仿宋" w:eastAsia="仿宋" w:cs="仿宋"/>
          <w:color w:val="auto"/>
          <w:sz w:val="28"/>
          <w:szCs w:val="28"/>
          <w:highlight w:val="none"/>
        </w:rPr>
        <w:t>符没有重大偏离的响应文件。对关键条款的偏离或反</w:t>
      </w:r>
      <w:r>
        <w:rPr>
          <w:rFonts w:hint="eastAsia" w:ascii="仿宋" w:hAnsi="仿宋" w:eastAsia="仿宋" w:cs="仿宋"/>
          <w:color w:val="auto"/>
          <w:spacing w:val="-1"/>
          <w:sz w:val="28"/>
          <w:szCs w:val="28"/>
          <w:highlight w:val="none"/>
        </w:rPr>
        <w:t>对将被认定为是实质上的不</w:t>
      </w:r>
      <w:r>
        <w:rPr>
          <w:rFonts w:hint="eastAsia" w:ascii="仿宋" w:hAnsi="仿宋" w:eastAsia="仿宋" w:cs="仿宋"/>
          <w:color w:val="auto"/>
          <w:sz w:val="28"/>
          <w:szCs w:val="28"/>
          <w:highlight w:val="none"/>
        </w:rPr>
        <w:t>响应。磋商小组决定响应文件的响应性只根据响应文</w:t>
      </w:r>
      <w:r>
        <w:rPr>
          <w:rFonts w:hint="eastAsia" w:ascii="仿宋" w:hAnsi="仿宋" w:eastAsia="仿宋" w:cs="仿宋"/>
          <w:color w:val="auto"/>
          <w:spacing w:val="-1"/>
          <w:sz w:val="28"/>
          <w:szCs w:val="28"/>
          <w:highlight w:val="none"/>
        </w:rPr>
        <w:t>件本身的真实无误的内容，</w:t>
      </w:r>
    </w:p>
    <w:p w14:paraId="4C3B4478">
      <w:pPr>
        <w:spacing w:before="183" w:line="219" w:lineRule="auto"/>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而不依据外部的证据。但响应文件有不真实不正确的内容的除外。</w:t>
      </w:r>
    </w:p>
    <w:p w14:paraId="7AA19306">
      <w:pPr>
        <w:spacing w:before="181" w:line="289" w:lineRule="auto"/>
        <w:ind w:firstLine="488"/>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5.5.3</w:t>
      </w:r>
      <w:r>
        <w:rPr>
          <w:rFonts w:hint="eastAsia" w:ascii="仿宋" w:hAnsi="仿宋" w:eastAsia="仿宋" w:cs="仿宋"/>
          <w:color w:val="auto"/>
          <w:spacing w:val="-45"/>
          <w:sz w:val="28"/>
          <w:szCs w:val="28"/>
          <w:highlight w:val="none"/>
        </w:rPr>
        <w:t xml:space="preserve"> </w:t>
      </w:r>
      <w:r>
        <w:rPr>
          <w:rFonts w:hint="eastAsia" w:ascii="仿宋" w:hAnsi="仿宋" w:eastAsia="仿宋" w:cs="仿宋"/>
          <w:color w:val="auto"/>
          <w:spacing w:val="-3"/>
          <w:sz w:val="28"/>
          <w:szCs w:val="28"/>
          <w:highlight w:val="none"/>
        </w:rPr>
        <w:t>实质上没有响应磋商文件要求的响应文件将被视为无效文件。</w:t>
      </w:r>
      <w:r>
        <w:rPr>
          <w:rFonts w:hint="eastAsia" w:ascii="仿宋" w:hAnsi="仿宋" w:eastAsia="仿宋" w:cs="仿宋"/>
          <w:color w:val="auto"/>
          <w:spacing w:val="-4"/>
          <w:sz w:val="28"/>
          <w:szCs w:val="28"/>
          <w:highlight w:val="none"/>
        </w:rPr>
        <w:t>供应商不</w:t>
      </w:r>
      <w:r>
        <w:rPr>
          <w:rFonts w:hint="eastAsia" w:ascii="仿宋" w:hAnsi="仿宋" w:eastAsia="仿宋" w:cs="仿宋"/>
          <w:color w:val="auto"/>
          <w:spacing w:val="-1"/>
          <w:sz w:val="28"/>
          <w:szCs w:val="28"/>
          <w:highlight w:val="none"/>
        </w:rPr>
        <w:t>得通过修正或撤销不合要求的偏离从而使其成为实质上响应的文件。</w:t>
      </w:r>
    </w:p>
    <w:p w14:paraId="5D700857">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5.5.4</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3"/>
          <w:sz w:val="28"/>
          <w:szCs w:val="28"/>
          <w:highlight w:val="none"/>
        </w:rPr>
        <w:t>评审期间，磋商小组有权要求供应商对其响应文件中含义不明确、同类</w:t>
      </w:r>
      <w:r>
        <w:rPr>
          <w:rFonts w:hint="eastAsia" w:ascii="仿宋" w:hAnsi="仿宋" w:eastAsia="仿宋" w:cs="仿宋"/>
          <w:color w:val="auto"/>
          <w:sz w:val="28"/>
          <w:szCs w:val="28"/>
          <w:highlight w:val="none"/>
        </w:rPr>
        <w:t>问题表述不一致或者有明显文字和计算错误的内容等作</w:t>
      </w:r>
      <w:r>
        <w:rPr>
          <w:rFonts w:hint="eastAsia" w:ascii="仿宋" w:hAnsi="仿宋" w:eastAsia="仿宋" w:cs="仿宋"/>
          <w:color w:val="auto"/>
          <w:spacing w:val="-1"/>
          <w:sz w:val="28"/>
          <w:szCs w:val="28"/>
          <w:highlight w:val="none"/>
        </w:rPr>
        <w:t>必要的澄清、说明或者补</w:t>
      </w:r>
      <w:r>
        <w:rPr>
          <w:rFonts w:hint="eastAsia" w:ascii="仿宋" w:hAnsi="仿宋" w:eastAsia="仿宋" w:cs="仿宋"/>
          <w:color w:val="auto"/>
          <w:sz w:val="28"/>
          <w:szCs w:val="28"/>
          <w:highlight w:val="none"/>
        </w:rPr>
        <w:t>正。供应商必须按照磋商小组要求的澄清内容和时间做</w:t>
      </w:r>
      <w:r>
        <w:rPr>
          <w:rFonts w:hint="eastAsia" w:ascii="仿宋" w:hAnsi="仿宋" w:eastAsia="仿宋" w:cs="仿宋"/>
          <w:color w:val="auto"/>
          <w:spacing w:val="-1"/>
          <w:sz w:val="28"/>
          <w:szCs w:val="28"/>
          <w:highlight w:val="none"/>
        </w:rPr>
        <w:t>出澄清。除按本磋商文件</w:t>
      </w:r>
      <w:r>
        <w:rPr>
          <w:rFonts w:hint="eastAsia" w:ascii="仿宋" w:hAnsi="仿宋" w:eastAsia="仿宋" w:cs="仿宋"/>
          <w:color w:val="auto"/>
          <w:sz w:val="28"/>
          <w:szCs w:val="28"/>
          <w:highlight w:val="none"/>
        </w:rPr>
        <w:t>规定改正算术错误外，供应商对响应文件的澄清不得超</w:t>
      </w:r>
      <w:r>
        <w:rPr>
          <w:rFonts w:hint="eastAsia" w:ascii="仿宋" w:hAnsi="仿宋" w:eastAsia="仿宋" w:cs="仿宋"/>
          <w:color w:val="auto"/>
          <w:spacing w:val="-1"/>
          <w:sz w:val="28"/>
          <w:szCs w:val="28"/>
          <w:highlight w:val="none"/>
        </w:rPr>
        <w:t>出响应文件的范围或者改变响应文件的实质性内容。在评审期间,磋商小组可要求供应商对其响应文件进行</w:t>
      </w:r>
      <w:r>
        <w:rPr>
          <w:rFonts w:hint="eastAsia" w:ascii="仿宋" w:hAnsi="仿宋" w:eastAsia="仿宋" w:cs="仿宋"/>
          <w:color w:val="auto"/>
          <w:sz w:val="28"/>
          <w:szCs w:val="28"/>
          <w:highlight w:val="none"/>
        </w:rPr>
        <w:t>澄清，但不得寻求、提供或允许供应商对投标报价等实</w:t>
      </w:r>
      <w:r>
        <w:rPr>
          <w:rFonts w:hint="eastAsia" w:ascii="仿宋" w:hAnsi="仿宋" w:eastAsia="仿宋" w:cs="仿宋"/>
          <w:color w:val="auto"/>
          <w:spacing w:val="-1"/>
          <w:sz w:val="28"/>
          <w:szCs w:val="28"/>
          <w:highlight w:val="none"/>
        </w:rPr>
        <w:t>质性内容做任何更改。有</w:t>
      </w:r>
      <w:r>
        <w:rPr>
          <w:rFonts w:hint="eastAsia" w:ascii="仿宋" w:hAnsi="仿宋" w:eastAsia="仿宋" w:cs="仿宋"/>
          <w:color w:val="auto"/>
          <w:sz w:val="28"/>
          <w:szCs w:val="28"/>
          <w:highlight w:val="none"/>
        </w:rPr>
        <w:t>关澄清的答复均应由供应商的法定代表人（负责人）或</w:t>
      </w:r>
      <w:r>
        <w:rPr>
          <w:rFonts w:hint="eastAsia" w:ascii="仿宋" w:hAnsi="仿宋" w:eastAsia="仿宋" w:cs="仿宋"/>
          <w:color w:val="auto"/>
          <w:spacing w:val="-1"/>
          <w:sz w:val="28"/>
          <w:szCs w:val="28"/>
          <w:highlight w:val="none"/>
        </w:rPr>
        <w:t>授权代表以书面形式作出</w:t>
      </w:r>
      <w:r>
        <w:rPr>
          <w:rFonts w:hint="eastAsia" w:ascii="仿宋" w:hAnsi="仿宋" w:eastAsia="仿宋" w:cs="仿宋"/>
          <w:color w:val="auto"/>
          <w:spacing w:val="-3"/>
          <w:sz w:val="28"/>
          <w:szCs w:val="28"/>
          <w:highlight w:val="none"/>
        </w:rPr>
        <w:t>并签字。</w:t>
      </w:r>
    </w:p>
    <w:p w14:paraId="5DDDAD9B">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5.5.5 供应商的澄清文件是其响应文件的组成部分。</w:t>
      </w:r>
    </w:p>
    <w:p w14:paraId="7DDF8053">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5.6 磋商</w:t>
      </w:r>
    </w:p>
    <w:p w14:paraId="2EF52CB3">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5.6.1 磋商小组所有成员应当集中与单一供应商分别进行磋商，并给予所有参加磋商的供应商平等的磋商机会。</w:t>
      </w:r>
    </w:p>
    <w:p w14:paraId="5765F123">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5.6.2 在磋商过程中，磋商小组可以根据磋商文件和磋商情况实质性变动采购需求中的技术、服务要求以及合同草案条款，但不得变动磋商文件中的其他内容。实质性变动的内容，须经采购人代表确认。</w:t>
      </w:r>
    </w:p>
    <w:p w14:paraId="4F94ACA1">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5.6.3 对磋商文件作出的实质性变动是</w:t>
      </w:r>
      <w:r>
        <w:rPr>
          <w:rFonts w:hint="eastAsia" w:ascii="仿宋" w:hAnsi="仿宋" w:eastAsia="仿宋" w:cs="仿宋"/>
          <w:color w:val="auto"/>
          <w:spacing w:val="-3"/>
          <w:sz w:val="28"/>
          <w:szCs w:val="28"/>
          <w:highlight w:val="none"/>
        </w:rPr>
        <w:t>磋商文件的有效组成部分，磋商小组应</w:t>
      </w:r>
      <w:r>
        <w:rPr>
          <w:rFonts w:hint="eastAsia" w:ascii="仿宋" w:hAnsi="仿宋" w:eastAsia="仿宋" w:cs="仿宋"/>
          <w:color w:val="auto"/>
          <w:spacing w:val="-1"/>
          <w:sz w:val="28"/>
          <w:szCs w:val="28"/>
          <w:highlight w:val="none"/>
        </w:rPr>
        <w:t>当及时以书面形式同时通知所有参加磋商的供</w:t>
      </w:r>
      <w:r>
        <w:rPr>
          <w:rFonts w:hint="eastAsia" w:ascii="仿宋" w:hAnsi="仿宋" w:eastAsia="仿宋" w:cs="仿宋"/>
          <w:color w:val="auto"/>
          <w:spacing w:val="-2"/>
          <w:sz w:val="28"/>
          <w:szCs w:val="28"/>
          <w:highlight w:val="none"/>
        </w:rPr>
        <w:t>应商。</w:t>
      </w:r>
    </w:p>
    <w:p w14:paraId="27A7AB15">
      <w:pPr>
        <w:spacing w:before="182" w:line="312" w:lineRule="auto"/>
        <w:ind w:left="7" w:right="183" w:firstLine="48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5.6.4</w:t>
      </w:r>
      <w:r>
        <w:rPr>
          <w:rFonts w:hint="eastAsia" w:ascii="仿宋" w:hAnsi="仿宋" w:eastAsia="仿宋" w:cs="仿宋"/>
          <w:color w:val="auto"/>
          <w:spacing w:val="-41"/>
          <w:sz w:val="28"/>
          <w:szCs w:val="28"/>
          <w:highlight w:val="none"/>
        </w:rPr>
        <w:t xml:space="preserve"> </w:t>
      </w:r>
      <w:r>
        <w:rPr>
          <w:rFonts w:hint="eastAsia" w:ascii="仿宋" w:hAnsi="仿宋" w:eastAsia="仿宋" w:cs="仿宋"/>
          <w:color w:val="auto"/>
          <w:spacing w:val="-1"/>
          <w:sz w:val="28"/>
          <w:szCs w:val="28"/>
          <w:highlight w:val="none"/>
        </w:rPr>
        <w:t>供应商应当按照磋商文件的变动情况和磋商小组的要求重新提交响应</w:t>
      </w:r>
      <w:r>
        <w:rPr>
          <w:rFonts w:hint="eastAsia" w:ascii="仿宋" w:hAnsi="仿宋" w:eastAsia="仿宋" w:cs="仿宋"/>
          <w:color w:val="auto"/>
          <w:sz w:val="28"/>
          <w:szCs w:val="28"/>
          <w:highlight w:val="none"/>
        </w:rPr>
        <w:t>文件，并由其法定代表人或授权代表签字或者加盖</w:t>
      </w:r>
      <w:r>
        <w:rPr>
          <w:rFonts w:hint="eastAsia" w:ascii="仿宋" w:hAnsi="仿宋" w:eastAsia="仿宋" w:cs="仿宋"/>
          <w:color w:val="auto"/>
          <w:spacing w:val="-1"/>
          <w:sz w:val="28"/>
          <w:szCs w:val="28"/>
          <w:highlight w:val="none"/>
        </w:rPr>
        <w:t>公章。由授权代表签字的，应</w:t>
      </w:r>
      <w:r>
        <w:rPr>
          <w:rFonts w:hint="eastAsia" w:ascii="仿宋" w:hAnsi="仿宋" w:eastAsia="仿宋" w:cs="仿宋"/>
          <w:color w:val="auto"/>
          <w:sz w:val="28"/>
          <w:szCs w:val="28"/>
          <w:highlight w:val="none"/>
        </w:rPr>
        <w:t>当附法定代表人授权书。供应商为自然人的，应</w:t>
      </w:r>
      <w:r>
        <w:rPr>
          <w:rFonts w:hint="eastAsia" w:ascii="仿宋" w:hAnsi="仿宋" w:eastAsia="仿宋" w:cs="仿宋"/>
          <w:color w:val="auto"/>
          <w:spacing w:val="-1"/>
          <w:sz w:val="28"/>
          <w:szCs w:val="28"/>
          <w:highlight w:val="none"/>
        </w:rPr>
        <w:t>当由本人签字并附身份证明。</w:t>
      </w:r>
    </w:p>
    <w:p w14:paraId="75265FE5">
      <w:pPr>
        <w:spacing w:before="183" w:line="312" w:lineRule="auto"/>
        <w:ind w:left="3" w:right="80" w:firstLine="491"/>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5.6.5</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磋商文件能够详细列明采购标的的技术、服务要求的，磋商结束后，磋</w:t>
      </w:r>
      <w:r>
        <w:rPr>
          <w:rFonts w:hint="eastAsia" w:ascii="仿宋" w:hAnsi="仿宋" w:eastAsia="仿宋" w:cs="仿宋"/>
          <w:color w:val="auto"/>
          <w:sz w:val="28"/>
          <w:szCs w:val="28"/>
          <w:highlight w:val="none"/>
        </w:rPr>
        <w:t>商小组应当要求所有实质性响应的供应商在规定时间内提交</w:t>
      </w:r>
      <w:r>
        <w:rPr>
          <w:rFonts w:hint="eastAsia" w:ascii="仿宋" w:hAnsi="仿宋" w:eastAsia="仿宋" w:cs="仿宋"/>
          <w:color w:val="auto"/>
          <w:spacing w:val="-1"/>
          <w:sz w:val="28"/>
          <w:szCs w:val="28"/>
          <w:highlight w:val="none"/>
        </w:rPr>
        <w:t>最后报价，提交最后</w:t>
      </w:r>
      <w:r>
        <w:rPr>
          <w:rFonts w:hint="eastAsia" w:ascii="仿宋" w:hAnsi="仿宋" w:eastAsia="仿宋" w:cs="仿宋"/>
          <w:color w:val="auto"/>
          <w:spacing w:val="-3"/>
          <w:sz w:val="28"/>
          <w:szCs w:val="28"/>
          <w:highlight w:val="none"/>
        </w:rPr>
        <w:t>报价的供应商不得少于</w:t>
      </w:r>
      <w:r>
        <w:rPr>
          <w:rFonts w:hint="eastAsia" w:ascii="仿宋" w:hAnsi="仿宋" w:eastAsia="仿宋" w:cs="仿宋"/>
          <w:color w:val="auto"/>
          <w:spacing w:val="-41"/>
          <w:sz w:val="28"/>
          <w:szCs w:val="28"/>
          <w:highlight w:val="none"/>
        </w:rPr>
        <w:t xml:space="preserve"> </w:t>
      </w:r>
      <w:r>
        <w:rPr>
          <w:rFonts w:hint="eastAsia" w:ascii="仿宋" w:hAnsi="仿宋" w:eastAsia="仿宋" w:cs="仿宋"/>
          <w:color w:val="auto"/>
          <w:spacing w:val="-3"/>
          <w:sz w:val="28"/>
          <w:szCs w:val="28"/>
          <w:highlight w:val="none"/>
        </w:rPr>
        <w:t>2</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3"/>
          <w:sz w:val="28"/>
          <w:szCs w:val="28"/>
          <w:highlight w:val="none"/>
        </w:rPr>
        <w:t>家。</w:t>
      </w:r>
    </w:p>
    <w:p w14:paraId="38517CC2">
      <w:pPr>
        <w:spacing w:before="182" w:line="324" w:lineRule="auto"/>
        <w:ind w:left="6" w:right="80" w:firstLine="483"/>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5.5.6</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3"/>
          <w:sz w:val="28"/>
          <w:szCs w:val="28"/>
          <w:highlight w:val="none"/>
        </w:rPr>
        <w:t>磋商文件不能详细列明采购标的的技术、服务要求，需经磋商由供应商</w:t>
      </w:r>
      <w:r>
        <w:rPr>
          <w:rFonts w:hint="eastAsia" w:ascii="仿宋" w:hAnsi="仿宋" w:eastAsia="仿宋" w:cs="仿宋"/>
          <w:color w:val="auto"/>
          <w:sz w:val="28"/>
          <w:szCs w:val="28"/>
          <w:highlight w:val="none"/>
        </w:rPr>
        <w:t>提供最终设计方案或解决方案的，磋商结束后，磋商</w:t>
      </w:r>
      <w:r>
        <w:rPr>
          <w:rFonts w:hint="eastAsia" w:ascii="仿宋" w:hAnsi="仿宋" w:eastAsia="仿宋" w:cs="仿宋"/>
          <w:color w:val="auto"/>
          <w:spacing w:val="-1"/>
          <w:sz w:val="28"/>
          <w:szCs w:val="28"/>
          <w:highlight w:val="none"/>
        </w:rPr>
        <w:t>小组应当按照少数服从多数的原则投票推荐</w:t>
      </w:r>
      <w:r>
        <w:rPr>
          <w:rFonts w:hint="eastAsia" w:ascii="仿宋" w:hAnsi="仿宋" w:eastAsia="仿宋" w:cs="仿宋"/>
          <w:color w:val="auto"/>
          <w:spacing w:val="-48"/>
          <w:sz w:val="28"/>
          <w:szCs w:val="28"/>
          <w:highlight w:val="none"/>
        </w:rPr>
        <w:t xml:space="preserve"> </w:t>
      </w:r>
      <w:r>
        <w:rPr>
          <w:rFonts w:hint="eastAsia" w:ascii="仿宋" w:hAnsi="仿宋" w:eastAsia="仿宋" w:cs="仿宋"/>
          <w:color w:val="auto"/>
          <w:spacing w:val="-1"/>
          <w:sz w:val="28"/>
          <w:szCs w:val="28"/>
          <w:highlight w:val="none"/>
        </w:rPr>
        <w:t>2</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1"/>
          <w:sz w:val="28"/>
          <w:szCs w:val="28"/>
          <w:highlight w:val="none"/>
        </w:rPr>
        <w:t>家以上供应商的设计方案或者解决方案，并要求其在规定时间</w:t>
      </w:r>
      <w:r>
        <w:rPr>
          <w:rFonts w:hint="eastAsia" w:ascii="仿宋" w:hAnsi="仿宋" w:eastAsia="仿宋" w:cs="仿宋"/>
          <w:color w:val="auto"/>
          <w:spacing w:val="-2"/>
          <w:sz w:val="28"/>
          <w:szCs w:val="28"/>
          <w:highlight w:val="none"/>
        </w:rPr>
        <w:t>内提交最后报价。</w:t>
      </w:r>
    </w:p>
    <w:p w14:paraId="2CD75B5E">
      <w:pPr>
        <w:spacing w:before="184" w:line="289" w:lineRule="auto"/>
        <w:ind w:left="26" w:right="80" w:firstLine="468"/>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5.6.7</w:t>
      </w:r>
      <w:r>
        <w:rPr>
          <w:rFonts w:hint="eastAsia" w:ascii="仿宋" w:hAnsi="仿宋" w:eastAsia="仿宋" w:cs="仿宋"/>
          <w:color w:val="auto"/>
          <w:spacing w:val="-13"/>
          <w:sz w:val="28"/>
          <w:szCs w:val="28"/>
          <w:highlight w:val="none"/>
        </w:rPr>
        <w:t xml:space="preserve"> </w:t>
      </w:r>
      <w:r>
        <w:rPr>
          <w:rFonts w:hint="eastAsia" w:ascii="仿宋" w:hAnsi="仿宋" w:eastAsia="仿宋" w:cs="仿宋"/>
          <w:color w:val="auto"/>
          <w:spacing w:val="-4"/>
          <w:sz w:val="28"/>
          <w:szCs w:val="28"/>
          <w:highlight w:val="none"/>
        </w:rPr>
        <w:t>已提交响应文件的供应商，在提交最后报价之前，可以根据磋商情况退</w:t>
      </w:r>
      <w:r>
        <w:rPr>
          <w:rFonts w:hint="eastAsia" w:ascii="仿宋" w:hAnsi="仿宋" w:eastAsia="仿宋" w:cs="仿宋"/>
          <w:color w:val="auto"/>
          <w:spacing w:val="-2"/>
          <w:sz w:val="28"/>
          <w:szCs w:val="28"/>
          <w:highlight w:val="none"/>
        </w:rPr>
        <w:t>出磋商。其磋商保证金将予以退还。</w:t>
      </w:r>
    </w:p>
    <w:p w14:paraId="149F1EF7">
      <w:pPr>
        <w:spacing w:before="180" w:line="289" w:lineRule="auto"/>
        <w:ind w:left="6" w:right="80" w:firstLine="483"/>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5.6.8</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3"/>
          <w:sz w:val="28"/>
          <w:szCs w:val="28"/>
          <w:highlight w:val="none"/>
        </w:rPr>
        <w:t>最后报价是供应商响应文件的有效组成部分。符合本办法第三条第四项</w:t>
      </w:r>
      <w:r>
        <w:rPr>
          <w:rFonts w:hint="eastAsia" w:ascii="仿宋" w:hAnsi="仿宋" w:eastAsia="仿宋" w:cs="仿宋"/>
          <w:color w:val="auto"/>
          <w:spacing w:val="-2"/>
          <w:sz w:val="28"/>
          <w:szCs w:val="28"/>
          <w:highlight w:val="none"/>
        </w:rPr>
        <w:t>情形的，提交最后报价的供应商可以为</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2"/>
          <w:sz w:val="28"/>
          <w:szCs w:val="28"/>
          <w:highlight w:val="none"/>
        </w:rPr>
        <w:t>2</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2"/>
          <w:sz w:val="28"/>
          <w:szCs w:val="28"/>
          <w:highlight w:val="none"/>
        </w:rPr>
        <w:t>家。</w:t>
      </w:r>
    </w:p>
    <w:p w14:paraId="122385F0">
      <w:pPr>
        <w:spacing w:before="185" w:line="288" w:lineRule="auto"/>
        <w:ind w:left="8" w:right="80" w:firstLine="481"/>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5.6.9</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3"/>
          <w:sz w:val="28"/>
          <w:szCs w:val="28"/>
          <w:highlight w:val="none"/>
        </w:rPr>
        <w:t>经磋商确定最终采购需求和提交最后报价的供应商后，由磋商小组采用</w:t>
      </w:r>
      <w:r>
        <w:rPr>
          <w:rFonts w:hint="eastAsia" w:ascii="仿宋" w:hAnsi="仿宋" w:eastAsia="仿宋" w:cs="仿宋"/>
          <w:color w:val="auto"/>
          <w:sz w:val="28"/>
          <w:szCs w:val="28"/>
          <w:highlight w:val="none"/>
        </w:rPr>
        <w:t>综合评分法对提交最后报价的供应商的响应</w:t>
      </w:r>
      <w:r>
        <w:rPr>
          <w:rFonts w:hint="eastAsia" w:ascii="仿宋" w:hAnsi="仿宋" w:eastAsia="仿宋" w:cs="仿宋"/>
          <w:color w:val="auto"/>
          <w:spacing w:val="-1"/>
          <w:sz w:val="28"/>
          <w:szCs w:val="28"/>
          <w:highlight w:val="none"/>
        </w:rPr>
        <w:t>文件和最后报价进行综合评分。</w:t>
      </w:r>
    </w:p>
    <w:p w14:paraId="328A5787">
      <w:pPr>
        <w:spacing w:before="184" w:line="219" w:lineRule="auto"/>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B．采用不见面开标方式</w:t>
      </w:r>
      <w:r>
        <w:rPr>
          <w:rFonts w:hint="eastAsia" w:ascii="仿宋" w:hAnsi="仿宋" w:eastAsia="仿宋" w:cs="仿宋"/>
          <w:color w:val="auto"/>
          <w:spacing w:val="-1"/>
          <w:sz w:val="28"/>
          <w:szCs w:val="28"/>
          <w:highlight w:val="none"/>
        </w:rPr>
        <w:t>（是否采用详见供应商须知前附表）</w:t>
      </w:r>
    </w:p>
    <w:p w14:paraId="1C5B8F7F">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采购人在本章规定的投标截止时间（开标时间）和供应商须知前附表规定的地点开标。供应商的法定代表人或其委托代理人无需到达开标现场，仅需在任意地点通过新疆政采云进入不见面开标系统，使用CA 密钥完成远程解密、提疑澄清、开标唱标、结果公布等交互环节。</w:t>
      </w:r>
    </w:p>
    <w:p w14:paraId="623450D9">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1BE51527">
      <w:pPr>
        <w:spacing w:before="180" w:line="342" w:lineRule="auto"/>
        <w:ind w:firstLine="48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5.6.10 采购结果确认</w:t>
      </w:r>
    </w:p>
    <w:p w14:paraId="7EACF11C">
      <w:pPr>
        <w:spacing w:before="181" w:line="359" w:lineRule="auto"/>
        <w:ind w:left="2" w:firstLine="477"/>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磋商小组按照采购文件确定的评标方法、步骤、标准，对响应文件进行评审。</w:t>
      </w:r>
      <w:r>
        <w:rPr>
          <w:rFonts w:hint="eastAsia" w:ascii="仿宋" w:hAnsi="仿宋" w:eastAsia="仿宋" w:cs="仿宋"/>
          <w:color w:val="auto"/>
          <w:sz w:val="28"/>
          <w:szCs w:val="28"/>
          <w:highlight w:val="none"/>
        </w:rPr>
        <w:t>按评审后得分由高到底顺序排列。得分相同的，按</w:t>
      </w:r>
      <w:r>
        <w:rPr>
          <w:rFonts w:hint="eastAsia" w:ascii="仿宋" w:hAnsi="仿宋" w:eastAsia="仿宋" w:cs="仿宋"/>
          <w:color w:val="auto"/>
          <w:spacing w:val="-1"/>
          <w:sz w:val="28"/>
          <w:szCs w:val="28"/>
          <w:highlight w:val="none"/>
        </w:rPr>
        <w:t>供应商报价由低到高的顺序排</w:t>
      </w:r>
      <w:r>
        <w:rPr>
          <w:rFonts w:hint="eastAsia" w:ascii="仿宋" w:hAnsi="仿宋" w:eastAsia="仿宋" w:cs="仿宋"/>
          <w:color w:val="auto"/>
          <w:sz w:val="28"/>
          <w:szCs w:val="28"/>
          <w:highlight w:val="none"/>
        </w:rPr>
        <w:t>列。得分且报价相同的，按技术指标优劣顺序排列</w:t>
      </w:r>
      <w:r>
        <w:rPr>
          <w:rFonts w:hint="eastAsia" w:ascii="仿宋" w:hAnsi="仿宋" w:eastAsia="仿宋" w:cs="仿宋"/>
          <w:color w:val="auto"/>
          <w:spacing w:val="-1"/>
          <w:sz w:val="28"/>
          <w:szCs w:val="28"/>
          <w:highlight w:val="none"/>
        </w:rPr>
        <w:t>。磋商小组依据对各响应文件</w:t>
      </w:r>
      <w:r>
        <w:rPr>
          <w:rFonts w:hint="eastAsia" w:ascii="仿宋" w:hAnsi="仿宋" w:eastAsia="仿宋" w:cs="仿宋"/>
          <w:color w:val="auto"/>
          <w:sz w:val="28"/>
          <w:szCs w:val="28"/>
          <w:highlight w:val="none"/>
        </w:rPr>
        <w:t>的评审结果，按各供应商的得分由高到低的顺序向</w:t>
      </w:r>
      <w:r>
        <w:rPr>
          <w:rFonts w:hint="eastAsia" w:ascii="仿宋" w:hAnsi="仿宋" w:eastAsia="仿宋" w:cs="仿宋"/>
          <w:color w:val="auto"/>
          <w:spacing w:val="-1"/>
          <w:sz w:val="28"/>
          <w:szCs w:val="28"/>
          <w:highlight w:val="none"/>
        </w:rPr>
        <w:t>采购人推荐成交候选供应商。</w:t>
      </w:r>
    </w:p>
    <w:p w14:paraId="661D708C">
      <w:pPr>
        <w:spacing w:before="1" w:line="217" w:lineRule="auto"/>
        <w:ind w:left="485"/>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5.7.公示或公告</w:t>
      </w:r>
    </w:p>
    <w:p w14:paraId="65693FB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成交供应商确定后，采购代理机构将在政府采</w:t>
      </w:r>
      <w:r>
        <w:rPr>
          <w:rFonts w:hint="eastAsia" w:ascii="仿宋" w:hAnsi="仿宋" w:eastAsia="仿宋" w:cs="仿宋"/>
          <w:color w:val="auto"/>
          <w:spacing w:val="-1"/>
          <w:sz w:val="28"/>
          <w:szCs w:val="28"/>
          <w:highlight w:val="none"/>
        </w:rPr>
        <w:t>购监管部门指定的媒体上发布</w:t>
      </w:r>
      <w:r>
        <w:rPr>
          <w:rFonts w:hint="eastAsia" w:ascii="仿宋" w:hAnsi="仿宋" w:eastAsia="仿宋" w:cs="仿宋"/>
          <w:color w:val="auto"/>
          <w:sz w:val="28"/>
          <w:szCs w:val="28"/>
          <w:highlight w:val="none"/>
        </w:rPr>
        <w:t>成交公告，同时向成交供应商发出《成交通知书》</w:t>
      </w:r>
      <w:r>
        <w:rPr>
          <w:rFonts w:hint="eastAsia" w:ascii="仿宋" w:hAnsi="仿宋" w:eastAsia="仿宋" w:cs="仿宋"/>
          <w:color w:val="auto"/>
          <w:spacing w:val="-1"/>
          <w:sz w:val="28"/>
          <w:szCs w:val="28"/>
          <w:highlight w:val="none"/>
        </w:rPr>
        <w:t>。《成交通知书》是合同的组成部分,对成交供应商和采购人具有同等法律效力。</w:t>
      </w:r>
    </w:p>
    <w:p w14:paraId="3DB79D90">
      <w:pPr>
        <w:spacing w:before="1" w:line="220" w:lineRule="auto"/>
        <w:ind w:left="3770"/>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六、授予合同</w:t>
      </w:r>
    </w:p>
    <w:p w14:paraId="1BE29806">
      <w:pPr>
        <w:spacing w:before="182" w:line="221" w:lineRule="auto"/>
        <w:ind w:left="2"/>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6.1</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3"/>
          <w:sz w:val="28"/>
          <w:szCs w:val="28"/>
          <w:highlight w:val="none"/>
        </w:rPr>
        <w:t>签订合同</w:t>
      </w:r>
    </w:p>
    <w:p w14:paraId="60EE1EA2">
      <w:pPr>
        <w:spacing w:before="178" w:line="289" w:lineRule="auto"/>
        <w:ind w:right="123" w:firstLine="481"/>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6.1.1</w:t>
      </w:r>
      <w:r>
        <w:rPr>
          <w:rFonts w:hint="eastAsia" w:ascii="仿宋" w:hAnsi="仿宋" w:eastAsia="仿宋" w:cs="仿宋"/>
          <w:color w:val="auto"/>
          <w:spacing w:val="-36"/>
          <w:sz w:val="28"/>
          <w:szCs w:val="28"/>
          <w:highlight w:val="none"/>
        </w:rPr>
        <w:t xml:space="preserve"> </w:t>
      </w:r>
      <w:r>
        <w:rPr>
          <w:rFonts w:hint="eastAsia" w:ascii="仿宋" w:hAnsi="仿宋" w:eastAsia="仿宋" w:cs="仿宋"/>
          <w:color w:val="auto"/>
          <w:spacing w:val="-3"/>
          <w:sz w:val="28"/>
          <w:szCs w:val="28"/>
          <w:highlight w:val="none"/>
        </w:rPr>
        <w:t>采购人应在成交通知书发出后</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3"/>
          <w:sz w:val="28"/>
          <w:szCs w:val="28"/>
          <w:highlight w:val="none"/>
        </w:rPr>
        <w:t>30 日内，根据成交结果和磋商文件、响</w:t>
      </w:r>
      <w:r>
        <w:rPr>
          <w:rFonts w:hint="eastAsia" w:ascii="仿宋" w:hAnsi="仿宋" w:eastAsia="仿宋" w:cs="仿宋"/>
          <w:color w:val="auto"/>
          <w:spacing w:val="-1"/>
          <w:sz w:val="28"/>
          <w:szCs w:val="28"/>
          <w:highlight w:val="none"/>
        </w:rPr>
        <w:t>应文件及有关补遗文件等与成交供应商签订采购合同。</w:t>
      </w:r>
    </w:p>
    <w:p w14:paraId="628BAC86">
      <w:pPr>
        <w:spacing w:before="183" w:line="313" w:lineRule="auto"/>
        <w:ind w:right="80" w:firstLine="482"/>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6.1.2</w:t>
      </w:r>
      <w:r>
        <w:rPr>
          <w:rFonts w:hint="eastAsia" w:ascii="仿宋" w:hAnsi="仿宋" w:eastAsia="仿宋" w:cs="仿宋"/>
          <w:color w:val="auto"/>
          <w:spacing w:val="-42"/>
          <w:sz w:val="28"/>
          <w:szCs w:val="28"/>
          <w:highlight w:val="none"/>
        </w:rPr>
        <w:t xml:space="preserve"> </w:t>
      </w:r>
      <w:r>
        <w:rPr>
          <w:rFonts w:hint="eastAsia" w:ascii="仿宋" w:hAnsi="仿宋" w:eastAsia="仿宋" w:cs="仿宋"/>
          <w:color w:val="auto"/>
          <w:spacing w:val="-3"/>
          <w:sz w:val="28"/>
          <w:szCs w:val="28"/>
          <w:highlight w:val="none"/>
        </w:rPr>
        <w:t>采购人应按磋商文件要求和成交人的响应文件承诺订立书面合同，不得</w:t>
      </w:r>
      <w:r>
        <w:rPr>
          <w:rFonts w:hint="eastAsia" w:ascii="仿宋" w:hAnsi="仿宋" w:eastAsia="仿宋" w:cs="仿宋"/>
          <w:color w:val="auto"/>
          <w:sz w:val="28"/>
          <w:szCs w:val="28"/>
          <w:highlight w:val="none"/>
        </w:rPr>
        <w:t>超出磋商文件和成交人响应文件的范围，也不得再另行订</w:t>
      </w:r>
      <w:r>
        <w:rPr>
          <w:rFonts w:hint="eastAsia" w:ascii="仿宋" w:hAnsi="仿宋" w:eastAsia="仿宋" w:cs="仿宋"/>
          <w:color w:val="auto"/>
          <w:spacing w:val="-1"/>
          <w:sz w:val="28"/>
          <w:szCs w:val="28"/>
          <w:highlight w:val="none"/>
        </w:rPr>
        <w:t>立背离合同实质性内容</w:t>
      </w:r>
      <w:r>
        <w:rPr>
          <w:rFonts w:hint="eastAsia" w:ascii="仿宋" w:hAnsi="仿宋" w:eastAsia="仿宋" w:cs="仿宋"/>
          <w:color w:val="auto"/>
          <w:spacing w:val="-2"/>
          <w:sz w:val="28"/>
          <w:szCs w:val="28"/>
          <w:highlight w:val="none"/>
        </w:rPr>
        <w:t>的其他协议。</w:t>
      </w:r>
    </w:p>
    <w:p w14:paraId="33D139A2">
      <w:pPr>
        <w:spacing w:before="180" w:line="312" w:lineRule="auto"/>
        <w:ind w:right="123" w:firstLine="48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6.1.3</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1"/>
          <w:sz w:val="28"/>
          <w:szCs w:val="28"/>
          <w:highlight w:val="none"/>
        </w:rPr>
        <w:t>采购人应在《成交通知书》发出之日起</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2"/>
          <w:sz w:val="28"/>
          <w:szCs w:val="28"/>
          <w:highlight w:val="none"/>
        </w:rPr>
        <w:t>30</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2"/>
          <w:sz w:val="28"/>
          <w:szCs w:val="28"/>
          <w:highlight w:val="none"/>
        </w:rPr>
        <w:t>天内与成交人签订政府采购</w:t>
      </w:r>
      <w:r>
        <w:rPr>
          <w:rFonts w:hint="eastAsia" w:ascii="仿宋" w:hAnsi="仿宋" w:eastAsia="仿宋" w:cs="仿宋"/>
          <w:color w:val="auto"/>
          <w:spacing w:val="-1"/>
          <w:sz w:val="28"/>
          <w:szCs w:val="28"/>
          <w:highlight w:val="none"/>
        </w:rPr>
        <w:t>合同。签订政府采购合同后</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1"/>
          <w:sz w:val="28"/>
          <w:szCs w:val="28"/>
          <w:highlight w:val="none"/>
        </w:rPr>
        <w:t>7</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1"/>
          <w:sz w:val="28"/>
          <w:szCs w:val="28"/>
          <w:highlight w:val="none"/>
        </w:rPr>
        <w:t>个工作日内，采购人应将政府采购合同副本报政府采购监管部门和政府采购代理机构备案。</w:t>
      </w:r>
    </w:p>
    <w:p w14:paraId="4DDE57FC">
      <w:pPr>
        <w:spacing w:before="184" w:line="220" w:lineRule="auto"/>
        <w:ind w:left="3407"/>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七、质疑和投诉</w:t>
      </w:r>
    </w:p>
    <w:p w14:paraId="1D26CD35">
      <w:pPr>
        <w:spacing w:before="180" w:line="220" w:lineRule="auto"/>
        <w:ind w:left="486"/>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7.1</w:t>
      </w:r>
      <w:r>
        <w:rPr>
          <w:rFonts w:hint="eastAsia" w:ascii="仿宋" w:hAnsi="仿宋" w:eastAsia="仿宋" w:cs="仿宋"/>
          <w:color w:val="auto"/>
          <w:spacing w:val="-47"/>
          <w:sz w:val="28"/>
          <w:szCs w:val="28"/>
          <w:highlight w:val="none"/>
        </w:rPr>
        <w:t xml:space="preserve"> </w:t>
      </w:r>
      <w:r>
        <w:rPr>
          <w:rFonts w:hint="eastAsia" w:ascii="仿宋" w:hAnsi="仿宋" w:eastAsia="仿宋" w:cs="仿宋"/>
          <w:color w:val="auto"/>
          <w:spacing w:val="-6"/>
          <w:sz w:val="28"/>
          <w:szCs w:val="28"/>
          <w:highlight w:val="none"/>
        </w:rPr>
        <w:t>质疑</w:t>
      </w:r>
    </w:p>
    <w:p w14:paraId="243DA13C">
      <w:pPr>
        <w:spacing w:before="181" w:line="219" w:lineRule="auto"/>
        <w:ind w:left="486"/>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7.1.1</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2"/>
          <w:sz w:val="28"/>
          <w:szCs w:val="28"/>
          <w:highlight w:val="none"/>
        </w:rPr>
        <w:t>供应商提出质疑应当符合以下条件：</w:t>
      </w:r>
    </w:p>
    <w:p w14:paraId="48114638">
      <w:pPr>
        <w:spacing w:before="183" w:line="359" w:lineRule="auto"/>
        <w:ind w:left="1" w:right="183" w:firstLine="482"/>
        <w:jc w:val="both"/>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如果供应商对此次采购活动有疑问，可依据《政府采购法》等相关规定，在</w:t>
      </w:r>
      <w:r>
        <w:rPr>
          <w:rFonts w:hint="eastAsia" w:ascii="仿宋" w:hAnsi="仿宋" w:eastAsia="仿宋" w:cs="仿宋"/>
          <w:color w:val="auto"/>
          <w:sz w:val="28"/>
          <w:szCs w:val="28"/>
          <w:highlight w:val="none"/>
        </w:rPr>
        <w:t>规定的时间内以书面形式向采购人或代理机构提出质</w:t>
      </w:r>
      <w:r>
        <w:rPr>
          <w:rFonts w:hint="eastAsia" w:ascii="仿宋" w:hAnsi="仿宋" w:eastAsia="仿宋" w:cs="仿宋"/>
          <w:color w:val="auto"/>
          <w:spacing w:val="-1"/>
          <w:sz w:val="28"/>
          <w:szCs w:val="28"/>
          <w:highlight w:val="none"/>
        </w:rPr>
        <w:t>疑。质疑书应当包括下列主</w:t>
      </w:r>
      <w:r>
        <w:rPr>
          <w:rFonts w:hint="eastAsia" w:ascii="仿宋" w:hAnsi="仿宋" w:eastAsia="仿宋" w:cs="仿宋"/>
          <w:color w:val="auto"/>
          <w:spacing w:val="-3"/>
          <w:sz w:val="28"/>
          <w:szCs w:val="28"/>
          <w:highlight w:val="none"/>
        </w:rPr>
        <w:t>要内容：</w:t>
      </w:r>
    </w:p>
    <w:p w14:paraId="65D86D57">
      <w:pPr>
        <w:spacing w:before="1" w:line="219" w:lineRule="auto"/>
        <w:ind w:left="492"/>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（1）质疑人的名称、地址、电话等；</w:t>
      </w:r>
    </w:p>
    <w:p w14:paraId="4F3A35D5">
      <w:pPr>
        <w:spacing w:before="180" w:line="219" w:lineRule="auto"/>
        <w:ind w:left="492"/>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（2）质疑人法人签章和单位公章；</w:t>
      </w:r>
    </w:p>
    <w:p w14:paraId="4FB18096">
      <w:pPr>
        <w:spacing w:before="183" w:line="219" w:lineRule="auto"/>
        <w:ind w:left="492"/>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（3）具体的质疑事项及事实依据；</w:t>
      </w:r>
    </w:p>
    <w:p w14:paraId="15C79619">
      <w:pPr>
        <w:spacing w:before="181" w:line="219" w:lineRule="auto"/>
        <w:ind w:left="49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（4）明确的请求和必要（合法来源）的证明材料；</w:t>
      </w:r>
    </w:p>
    <w:p w14:paraId="36BE7133">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（5）以联合体形式参与资格预审的，则必须联合体各方共同签署、盖章；</w:t>
      </w:r>
    </w:p>
    <w:p w14:paraId="1C9E2FD8">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（6）提起质疑的日期。</w:t>
      </w:r>
    </w:p>
    <w:p w14:paraId="59ACDE1E">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特注：未按上述程序规定的必备内容进行质疑的，采购人或代理机构将不予受理。</w:t>
      </w:r>
    </w:p>
    <w:p w14:paraId="542E493B">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7.1.2 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094455B1">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7.1.3 质疑人可以委托代理人办理质疑事项，代理人办理质疑事项时，除提交质疑书外，还应当提交质疑人的授权委托书及代理人的有效身份证明，授权委托书应当载明委托代理的具体权限和事项。</w:t>
      </w:r>
    </w:p>
    <w:p w14:paraId="66CB2A28">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7.1.4 被质疑人应当在受理质疑后 7 个工作日内作出答复，并以书面形式通知质疑人和其他有关供应商，答复内容仅限于供应商所质疑的内容，不得涉及国家秘密和商业秘密。</w:t>
      </w:r>
    </w:p>
    <w:p w14:paraId="07E7CEA0">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7.2 投诉</w:t>
      </w:r>
    </w:p>
    <w:p w14:paraId="2757C520">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7.2.1 质疑人如对被质疑人的质疑回复不满意或在规定时间内未做出回复的，可在答复期满后 15 个工作日内向本项目管辖内的政府采购监督部门提起投诉。供应商投诉应当有明确的请求和必要的证明材料。</w:t>
      </w:r>
    </w:p>
    <w:p w14:paraId="5B8156F3">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7.2.2 投诉人提起投诉应符合以下条件：</w:t>
      </w:r>
    </w:p>
    <w:p w14:paraId="0F6F136B">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(1)投诉人应是参与项目的供应商；</w:t>
      </w:r>
    </w:p>
    <w:p w14:paraId="73B19FE6">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(2)投诉前已依法进行质疑；</w:t>
      </w:r>
    </w:p>
    <w:p w14:paraId="523BB2F1">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(3)投诉书内容符合中华人民共和国财政部 94 号令《政府采购质疑和投诉办法》的规定；</w:t>
      </w:r>
    </w:p>
    <w:p w14:paraId="19061516">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(4)在投诉有效期内；</w:t>
      </w:r>
    </w:p>
    <w:p w14:paraId="3F3DA236">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(5)同一投诉事项未经处理的；</w:t>
      </w:r>
    </w:p>
    <w:p w14:paraId="07AEDDF9">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(6)相关法律、法规和省级以上人民政府财政部门规定的其他条件。</w:t>
      </w:r>
    </w:p>
    <w:p w14:paraId="5E2A095E">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7.2.3 供应商投诉时，应当当面提交投诉书，投诉书应当包括下列主要内容：</w:t>
      </w:r>
    </w:p>
    <w:p w14:paraId="538FEC42">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(1)投诉人的姓名或者名称、住所、联系方式及相关证明；</w:t>
      </w:r>
    </w:p>
    <w:p w14:paraId="29734CA9">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(2)被投诉人的名称、住所、联系方式；</w:t>
      </w:r>
    </w:p>
    <w:p w14:paraId="3215E134">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(3)具体的投诉事项、事实根据和法律依据；</w:t>
      </w:r>
    </w:p>
    <w:p w14:paraId="63F44467">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(4)质疑和质疑答复情况及相关证明材料；</w:t>
      </w:r>
    </w:p>
    <w:p w14:paraId="04AFAF89">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(5)提起投诉的日期。</w:t>
      </w:r>
    </w:p>
    <w:p w14:paraId="6F7970A9">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投诉人为自然人的，应当由本人签字。投诉人为法人的，应当由其法定代表人（负责人）签字并加盖单位公章。投诉人为其他组织的，应当由其主要负责人签字盖章并加盖单位公章。</w:t>
      </w:r>
    </w:p>
    <w:p w14:paraId="2B6A3239">
      <w:pPr>
        <w:spacing w:before="180" w:line="312" w:lineRule="auto"/>
        <w:ind w:right="123" w:firstLine="482"/>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7.2.4 投诉人可以授权代理人办理投诉事务。代理人办理投诉事务时，除提交投诉书外，还应当向监督部门提交投诉人的授权委托书，授权委托书应当载明委托代理的具体权限和事项。</w:t>
      </w:r>
    </w:p>
    <w:p w14:paraId="79A38C5A">
      <w:pPr>
        <w:spacing w:before="180" w:line="312" w:lineRule="auto"/>
        <w:ind w:right="123" w:firstLine="48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7.2.5 投诉人不符合上述规定提起的投诉，政府采购监督部门不予受理。</w:t>
      </w:r>
    </w:p>
    <w:p w14:paraId="28A1E2E4">
      <w:pPr>
        <w:spacing w:before="117" w:line="219" w:lineRule="auto"/>
        <w:ind w:left="3532"/>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八、项目验收</w:t>
      </w:r>
    </w:p>
    <w:p w14:paraId="58905DBF">
      <w:pPr>
        <w:spacing w:before="116" w:line="278" w:lineRule="auto"/>
        <w:ind w:left="2" w:firstLine="47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8.1</w:t>
      </w:r>
      <w:r>
        <w:rPr>
          <w:rFonts w:hint="eastAsia" w:ascii="仿宋" w:hAnsi="仿宋" w:eastAsia="仿宋" w:cs="仿宋"/>
          <w:color w:val="auto"/>
          <w:spacing w:val="-44"/>
          <w:sz w:val="28"/>
          <w:szCs w:val="28"/>
          <w:highlight w:val="none"/>
        </w:rPr>
        <w:t xml:space="preserve"> </w:t>
      </w:r>
      <w:r>
        <w:rPr>
          <w:rFonts w:hint="eastAsia" w:ascii="仿宋" w:hAnsi="仿宋" w:eastAsia="仿宋" w:cs="仿宋"/>
          <w:color w:val="auto"/>
          <w:spacing w:val="-3"/>
          <w:sz w:val="28"/>
          <w:szCs w:val="28"/>
          <w:highlight w:val="none"/>
        </w:rPr>
        <w:t>采购单位按照政府采购合同规定的技术、服务、安全标准对供应商履约情</w:t>
      </w:r>
      <w:r>
        <w:rPr>
          <w:rFonts w:hint="eastAsia" w:ascii="仿宋" w:hAnsi="仿宋" w:eastAsia="仿宋" w:cs="仿宋"/>
          <w:color w:val="auto"/>
          <w:sz w:val="28"/>
          <w:szCs w:val="28"/>
          <w:highlight w:val="none"/>
        </w:rPr>
        <w:t>况进行验收，并出具验收书。验收书包括每一项技</w:t>
      </w:r>
      <w:r>
        <w:rPr>
          <w:rFonts w:hint="eastAsia" w:ascii="仿宋" w:hAnsi="仿宋" w:eastAsia="仿宋" w:cs="仿宋"/>
          <w:color w:val="auto"/>
          <w:spacing w:val="-1"/>
          <w:sz w:val="28"/>
          <w:szCs w:val="28"/>
          <w:highlight w:val="none"/>
        </w:rPr>
        <w:t>术、服务、安全标准的履约情</w:t>
      </w:r>
      <w:r>
        <w:rPr>
          <w:rFonts w:hint="eastAsia" w:ascii="仿宋" w:hAnsi="仿宋" w:eastAsia="仿宋" w:cs="仿宋"/>
          <w:color w:val="auto"/>
          <w:spacing w:val="-6"/>
          <w:sz w:val="28"/>
          <w:szCs w:val="28"/>
          <w:highlight w:val="none"/>
        </w:rPr>
        <w:t>况。</w:t>
      </w:r>
    </w:p>
    <w:p w14:paraId="46C3E5B3">
      <w:pPr>
        <w:spacing w:before="114" w:line="219" w:lineRule="auto"/>
        <w:ind w:left="48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8.2</w:t>
      </w:r>
      <w:r>
        <w:rPr>
          <w:rFonts w:hint="eastAsia" w:ascii="仿宋" w:hAnsi="仿宋" w:eastAsia="仿宋" w:cs="仿宋"/>
          <w:color w:val="auto"/>
          <w:spacing w:val="-42"/>
          <w:sz w:val="28"/>
          <w:szCs w:val="28"/>
          <w:highlight w:val="none"/>
        </w:rPr>
        <w:t xml:space="preserve"> </w:t>
      </w:r>
      <w:r>
        <w:rPr>
          <w:rFonts w:hint="eastAsia" w:ascii="仿宋" w:hAnsi="仿宋" w:eastAsia="仿宋" w:cs="仿宋"/>
          <w:color w:val="auto"/>
          <w:spacing w:val="-1"/>
          <w:sz w:val="28"/>
          <w:szCs w:val="28"/>
          <w:highlight w:val="none"/>
        </w:rPr>
        <w:t>验收标准:磋商文件、响应文件、政府采购合同规定的标准。</w:t>
      </w:r>
    </w:p>
    <w:p w14:paraId="630EE3EF">
      <w:pPr>
        <w:spacing w:before="115" w:line="219" w:lineRule="auto"/>
        <w:ind w:left="3534"/>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九、适用法律</w:t>
      </w:r>
    </w:p>
    <w:p w14:paraId="6ACFCA93">
      <w:pPr>
        <w:spacing w:before="116" w:line="307" w:lineRule="auto"/>
        <w:ind w:firstLine="481"/>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9.1</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9"/>
          <w:sz w:val="28"/>
          <w:szCs w:val="28"/>
          <w:highlight w:val="none"/>
        </w:rPr>
        <w:t>招标采购单位和供应商的一切招标投标活</w:t>
      </w:r>
      <w:r>
        <w:rPr>
          <w:rFonts w:hint="eastAsia" w:ascii="仿宋" w:hAnsi="仿宋" w:eastAsia="仿宋" w:cs="仿宋"/>
          <w:color w:val="auto"/>
          <w:spacing w:val="-10"/>
          <w:sz w:val="28"/>
          <w:szCs w:val="28"/>
          <w:highlight w:val="none"/>
        </w:rPr>
        <w:t>动均适用于《政府采购法》、《政</w:t>
      </w:r>
      <w:r>
        <w:rPr>
          <w:rFonts w:hint="eastAsia" w:ascii="仿宋" w:hAnsi="仿宋" w:eastAsia="仿宋" w:cs="仿宋"/>
          <w:color w:val="auto"/>
          <w:sz w:val="28"/>
          <w:szCs w:val="28"/>
          <w:highlight w:val="none"/>
        </w:rPr>
        <w:t>府采购实施条例》、《政府采购竞争性磋商采购方式管</w:t>
      </w:r>
      <w:r>
        <w:rPr>
          <w:rFonts w:hint="eastAsia" w:ascii="仿宋" w:hAnsi="仿宋" w:eastAsia="仿宋" w:cs="仿宋"/>
          <w:color w:val="auto"/>
          <w:spacing w:val="-1"/>
          <w:sz w:val="28"/>
          <w:szCs w:val="28"/>
          <w:highlight w:val="none"/>
        </w:rPr>
        <w:t>理办法》等相关规定。</w:t>
      </w:r>
    </w:p>
    <w:p w14:paraId="63C902C4">
      <w:pPr>
        <w:spacing w:before="1" w:line="219" w:lineRule="auto"/>
        <w:ind w:left="3047"/>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十、磋商文件的解释权</w:t>
      </w:r>
    </w:p>
    <w:p w14:paraId="72E0EE64">
      <w:pPr>
        <w:spacing w:before="115" w:line="219" w:lineRule="auto"/>
        <w:ind w:left="503"/>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10.1</w:t>
      </w:r>
      <w:r>
        <w:rPr>
          <w:rFonts w:hint="eastAsia" w:ascii="仿宋" w:hAnsi="仿宋" w:eastAsia="仿宋" w:cs="仿宋"/>
          <w:color w:val="auto"/>
          <w:spacing w:val="-35"/>
          <w:sz w:val="28"/>
          <w:szCs w:val="28"/>
          <w:highlight w:val="none"/>
        </w:rPr>
        <w:t xml:space="preserve"> </w:t>
      </w:r>
      <w:r>
        <w:rPr>
          <w:rFonts w:hint="eastAsia" w:ascii="仿宋" w:hAnsi="仿宋" w:eastAsia="仿宋" w:cs="仿宋"/>
          <w:color w:val="auto"/>
          <w:spacing w:val="-2"/>
          <w:sz w:val="28"/>
          <w:szCs w:val="28"/>
          <w:highlight w:val="none"/>
        </w:rPr>
        <w:t>本项目磋商文件的最终解释权为采购代理机构所有。</w:t>
      </w:r>
    </w:p>
    <w:p w14:paraId="0FDCADE8">
      <w:pPr>
        <w:spacing w:before="117" w:line="220" w:lineRule="auto"/>
        <w:ind w:left="3169"/>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十一、其他注意事项</w:t>
      </w:r>
    </w:p>
    <w:p w14:paraId="08A1F3AC">
      <w:pPr>
        <w:spacing w:before="33" w:line="289" w:lineRule="auto"/>
        <w:ind w:left="2" w:right="43" w:firstLine="49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11.1</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1"/>
          <w:sz w:val="28"/>
          <w:szCs w:val="28"/>
          <w:highlight w:val="none"/>
        </w:rPr>
        <w:t>单位负责人为同一人或者存在直接控股、管理关系的不同供</w:t>
      </w:r>
      <w:r>
        <w:rPr>
          <w:rFonts w:hint="eastAsia" w:ascii="仿宋" w:hAnsi="仿宋" w:eastAsia="仿宋" w:cs="仿宋"/>
          <w:color w:val="auto"/>
          <w:spacing w:val="-2"/>
          <w:sz w:val="28"/>
          <w:szCs w:val="28"/>
          <w:highlight w:val="none"/>
        </w:rPr>
        <w:t>应商，不得</w:t>
      </w:r>
      <w:r>
        <w:rPr>
          <w:rFonts w:hint="eastAsia" w:ascii="仿宋" w:hAnsi="仿宋" w:eastAsia="仿宋" w:cs="仿宋"/>
          <w:color w:val="auto"/>
          <w:spacing w:val="-1"/>
          <w:sz w:val="28"/>
          <w:szCs w:val="28"/>
          <w:highlight w:val="none"/>
        </w:rPr>
        <w:t>参加同一合同项下的政府采购活动。</w:t>
      </w:r>
    </w:p>
    <w:p w14:paraId="62289AC4">
      <w:pPr>
        <w:spacing w:before="183" w:line="289" w:lineRule="auto"/>
        <w:ind w:left="2" w:right="43" w:firstLine="49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11.2</w:t>
      </w:r>
      <w:r>
        <w:rPr>
          <w:rFonts w:hint="eastAsia" w:ascii="仿宋" w:hAnsi="仿宋" w:eastAsia="仿宋" w:cs="仿宋"/>
          <w:color w:val="auto"/>
          <w:spacing w:val="-51"/>
          <w:sz w:val="28"/>
          <w:szCs w:val="28"/>
          <w:highlight w:val="none"/>
        </w:rPr>
        <w:t xml:space="preserve"> </w:t>
      </w:r>
      <w:r>
        <w:rPr>
          <w:rFonts w:hint="eastAsia" w:ascii="仿宋" w:hAnsi="仿宋" w:eastAsia="仿宋" w:cs="仿宋"/>
          <w:color w:val="auto"/>
          <w:spacing w:val="-1"/>
          <w:sz w:val="28"/>
          <w:szCs w:val="28"/>
          <w:highlight w:val="none"/>
        </w:rPr>
        <w:t>供应商为采购项目提供整体设计、规范编制或者项目管理、监理</w:t>
      </w:r>
      <w:r>
        <w:rPr>
          <w:rFonts w:hint="eastAsia" w:ascii="仿宋" w:hAnsi="仿宋" w:eastAsia="仿宋" w:cs="仿宋"/>
          <w:color w:val="auto"/>
          <w:spacing w:val="-2"/>
          <w:sz w:val="28"/>
          <w:szCs w:val="28"/>
          <w:highlight w:val="none"/>
        </w:rPr>
        <w:t>、检测</w:t>
      </w:r>
      <w:r>
        <w:rPr>
          <w:rFonts w:hint="eastAsia" w:ascii="仿宋" w:hAnsi="仿宋" w:eastAsia="仿宋" w:cs="仿宋"/>
          <w:color w:val="auto"/>
          <w:spacing w:val="-1"/>
          <w:sz w:val="28"/>
          <w:szCs w:val="28"/>
          <w:highlight w:val="none"/>
        </w:rPr>
        <w:t>等服务的供应商，不得再参加该采购项目的其他采购活动。</w:t>
      </w:r>
    </w:p>
    <w:p w14:paraId="1C0AA28F">
      <w:pPr>
        <w:spacing w:before="182" w:line="313" w:lineRule="auto"/>
        <w:ind w:right="43" w:firstLine="497"/>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11.3</w:t>
      </w:r>
      <w:r>
        <w:rPr>
          <w:rFonts w:hint="eastAsia" w:ascii="仿宋" w:hAnsi="仿宋" w:eastAsia="仿宋" w:cs="仿宋"/>
          <w:color w:val="auto"/>
          <w:spacing w:val="-52"/>
          <w:sz w:val="28"/>
          <w:szCs w:val="28"/>
          <w:highlight w:val="none"/>
        </w:rPr>
        <w:t xml:space="preserve"> </w:t>
      </w:r>
      <w:r>
        <w:rPr>
          <w:rFonts w:hint="eastAsia" w:ascii="仿宋" w:hAnsi="仿宋" w:eastAsia="仿宋" w:cs="仿宋"/>
          <w:color w:val="auto"/>
          <w:spacing w:val="-1"/>
          <w:sz w:val="28"/>
          <w:szCs w:val="28"/>
          <w:highlight w:val="none"/>
        </w:rPr>
        <w:t>政府采购法第二十二条第一款第五项所称重大违法记录，是指供应</w:t>
      </w:r>
      <w:r>
        <w:rPr>
          <w:rFonts w:hint="eastAsia" w:ascii="仿宋" w:hAnsi="仿宋" w:eastAsia="仿宋" w:cs="仿宋"/>
          <w:color w:val="auto"/>
          <w:spacing w:val="-2"/>
          <w:sz w:val="28"/>
          <w:szCs w:val="28"/>
          <w:highlight w:val="none"/>
        </w:rPr>
        <w:t>商因</w:t>
      </w:r>
      <w:r>
        <w:rPr>
          <w:rFonts w:hint="eastAsia" w:ascii="仿宋" w:hAnsi="仿宋" w:eastAsia="仿宋" w:cs="仿宋"/>
          <w:color w:val="auto"/>
          <w:sz w:val="28"/>
          <w:szCs w:val="28"/>
          <w:highlight w:val="none"/>
        </w:rPr>
        <w:t>违法经营受到刑事处罚或者责令停产停业、吊销许可证</w:t>
      </w:r>
      <w:r>
        <w:rPr>
          <w:rFonts w:hint="eastAsia" w:ascii="仿宋" w:hAnsi="仿宋" w:eastAsia="仿宋" w:cs="仿宋"/>
          <w:color w:val="auto"/>
          <w:spacing w:val="-1"/>
          <w:sz w:val="28"/>
          <w:szCs w:val="28"/>
          <w:highlight w:val="none"/>
        </w:rPr>
        <w:t>或者执照、较大数额罚款</w:t>
      </w:r>
      <w:r>
        <w:rPr>
          <w:rFonts w:hint="eastAsia" w:ascii="仿宋" w:hAnsi="仿宋" w:eastAsia="仿宋" w:cs="仿宋"/>
          <w:color w:val="auto"/>
          <w:spacing w:val="-2"/>
          <w:sz w:val="28"/>
          <w:szCs w:val="28"/>
          <w:highlight w:val="none"/>
        </w:rPr>
        <w:t>等行政处罚。</w:t>
      </w:r>
    </w:p>
    <w:p w14:paraId="79E0BBE4">
      <w:pPr>
        <w:spacing w:before="182" w:line="312" w:lineRule="auto"/>
        <w:ind w:left="4" w:right="43" w:firstLine="493"/>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11.4</w:t>
      </w:r>
      <w:r>
        <w:rPr>
          <w:rFonts w:hint="eastAsia" w:ascii="仿宋" w:hAnsi="仿宋" w:eastAsia="仿宋" w:cs="仿宋"/>
          <w:color w:val="auto"/>
          <w:spacing w:val="-49"/>
          <w:sz w:val="28"/>
          <w:szCs w:val="28"/>
          <w:highlight w:val="none"/>
        </w:rPr>
        <w:t xml:space="preserve"> </w:t>
      </w:r>
      <w:r>
        <w:rPr>
          <w:rFonts w:hint="eastAsia" w:ascii="仿宋" w:hAnsi="仿宋" w:eastAsia="仿宋" w:cs="仿宋"/>
          <w:color w:val="auto"/>
          <w:spacing w:val="-1"/>
          <w:sz w:val="28"/>
          <w:szCs w:val="28"/>
          <w:highlight w:val="none"/>
        </w:rPr>
        <w:t>按照财政部《关于规范政府采购行政处罚有关问题的通知》</w:t>
      </w:r>
      <w:r>
        <w:rPr>
          <w:rFonts w:hint="eastAsia" w:ascii="仿宋" w:hAnsi="仿宋" w:eastAsia="仿宋" w:cs="仿宋"/>
          <w:color w:val="auto"/>
          <w:spacing w:val="-2"/>
          <w:sz w:val="28"/>
          <w:szCs w:val="28"/>
          <w:highlight w:val="none"/>
        </w:rPr>
        <w:t>的规定，各</w:t>
      </w:r>
      <w:r>
        <w:rPr>
          <w:rFonts w:hint="eastAsia" w:ascii="仿宋" w:hAnsi="仿宋" w:eastAsia="仿宋" w:cs="仿宋"/>
          <w:color w:val="auto"/>
          <w:sz w:val="28"/>
          <w:szCs w:val="28"/>
          <w:highlight w:val="none"/>
        </w:rPr>
        <w:t>级人民政府财政部门依法对参加政府采购活动</w:t>
      </w:r>
      <w:r>
        <w:rPr>
          <w:rFonts w:hint="eastAsia" w:ascii="仿宋" w:hAnsi="仿宋" w:eastAsia="仿宋" w:cs="仿宋"/>
          <w:color w:val="auto"/>
          <w:spacing w:val="-1"/>
          <w:sz w:val="28"/>
          <w:szCs w:val="28"/>
          <w:highlight w:val="none"/>
        </w:rPr>
        <w:t>的供应商作出的禁止参加政府采购活动等行政处罚决定在全国范围内生效。</w:t>
      </w:r>
    </w:p>
    <w:p w14:paraId="498527D0">
      <w:pPr>
        <w:spacing w:before="181" w:line="289" w:lineRule="auto"/>
        <w:ind w:right="43" w:firstLine="497"/>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11.5</w:t>
      </w:r>
      <w:r>
        <w:rPr>
          <w:rFonts w:hint="eastAsia" w:ascii="仿宋" w:hAnsi="仿宋" w:eastAsia="仿宋" w:cs="仿宋"/>
          <w:color w:val="auto"/>
          <w:spacing w:val="-43"/>
          <w:sz w:val="28"/>
          <w:szCs w:val="28"/>
          <w:highlight w:val="none"/>
        </w:rPr>
        <w:t xml:space="preserve"> </w:t>
      </w:r>
      <w:r>
        <w:rPr>
          <w:rFonts w:hint="eastAsia" w:ascii="仿宋" w:hAnsi="仿宋" w:eastAsia="仿宋" w:cs="仿宋"/>
          <w:color w:val="auto"/>
          <w:spacing w:val="-2"/>
          <w:sz w:val="28"/>
          <w:szCs w:val="28"/>
          <w:highlight w:val="none"/>
        </w:rPr>
        <w:t>供应商在参加政府采购活动前</w:t>
      </w:r>
      <w:r>
        <w:rPr>
          <w:rFonts w:hint="eastAsia" w:ascii="仿宋" w:hAnsi="仿宋" w:eastAsia="仿宋" w:cs="仿宋"/>
          <w:color w:val="auto"/>
          <w:spacing w:val="-46"/>
          <w:sz w:val="28"/>
          <w:szCs w:val="28"/>
          <w:highlight w:val="none"/>
        </w:rPr>
        <w:t xml:space="preserve"> </w:t>
      </w:r>
      <w:r>
        <w:rPr>
          <w:rFonts w:hint="eastAsia" w:ascii="仿宋" w:hAnsi="仿宋" w:eastAsia="仿宋" w:cs="仿宋"/>
          <w:color w:val="auto"/>
          <w:spacing w:val="-2"/>
          <w:sz w:val="28"/>
          <w:szCs w:val="28"/>
          <w:highlight w:val="none"/>
        </w:rPr>
        <w:t>3</w:t>
      </w:r>
      <w:r>
        <w:rPr>
          <w:rFonts w:hint="eastAsia" w:ascii="仿宋" w:hAnsi="仿宋" w:eastAsia="仿宋" w:cs="仿宋"/>
          <w:color w:val="auto"/>
          <w:spacing w:val="-50"/>
          <w:sz w:val="28"/>
          <w:szCs w:val="28"/>
          <w:highlight w:val="none"/>
        </w:rPr>
        <w:t xml:space="preserve"> </w:t>
      </w:r>
      <w:r>
        <w:rPr>
          <w:rFonts w:hint="eastAsia" w:ascii="仿宋" w:hAnsi="仿宋" w:eastAsia="仿宋" w:cs="仿宋"/>
          <w:color w:val="auto"/>
          <w:spacing w:val="-2"/>
          <w:sz w:val="28"/>
          <w:szCs w:val="28"/>
          <w:highlight w:val="none"/>
        </w:rPr>
        <w:t>年内因违法经营被禁止在一定期限内参</w:t>
      </w:r>
      <w:r>
        <w:rPr>
          <w:rFonts w:hint="eastAsia" w:ascii="仿宋" w:hAnsi="仿宋" w:eastAsia="仿宋" w:cs="仿宋"/>
          <w:color w:val="auto"/>
          <w:spacing w:val="-1"/>
          <w:sz w:val="28"/>
          <w:szCs w:val="28"/>
          <w:highlight w:val="none"/>
        </w:rPr>
        <w:t>加政府采购活动，期限届满的，可以参加政府采购活动。</w:t>
      </w:r>
    </w:p>
    <w:p w14:paraId="2F7A416F">
      <w:pPr>
        <w:spacing w:line="289" w:lineRule="auto"/>
        <w:rPr>
          <w:rFonts w:hint="eastAsia" w:ascii="仿宋" w:hAnsi="仿宋" w:eastAsia="仿宋" w:cs="仿宋"/>
          <w:color w:val="auto"/>
          <w:sz w:val="24"/>
          <w:szCs w:val="24"/>
          <w:highlight w:val="none"/>
        </w:rPr>
        <w:sectPr>
          <w:footerReference r:id="rId5" w:type="default"/>
          <w:pgSz w:w="11906" w:h="16839"/>
          <w:pgMar w:top="1440" w:right="1800" w:bottom="1440" w:left="1800" w:header="0" w:footer="845" w:gutter="0"/>
          <w:pgNumType w:fmt="decimal" w:start="18"/>
          <w:cols w:space="720" w:num="1"/>
        </w:sectPr>
      </w:pPr>
    </w:p>
    <w:p w14:paraId="459A7468">
      <w:pPr>
        <w:numPr>
          <w:ilvl w:val="0"/>
          <w:numId w:val="6"/>
        </w:numPr>
        <w:jc w:val="center"/>
        <w:outlineLvl w:val="0"/>
        <w:rPr>
          <w:rFonts w:hint="eastAsia" w:ascii="仿宋" w:hAnsi="仿宋" w:eastAsia="仿宋" w:cs="仿宋"/>
          <w:b/>
          <w:bCs w:val="0"/>
          <w:color w:val="auto"/>
          <w:kern w:val="44"/>
          <w:sz w:val="44"/>
          <w:szCs w:val="44"/>
          <w:highlight w:val="none"/>
          <w:lang w:val="en-US" w:eastAsia="zh-CN" w:bidi="ar-SA"/>
        </w:rPr>
      </w:pPr>
      <w:bookmarkStart w:id="18" w:name="_Toc32698"/>
      <w:bookmarkStart w:id="19" w:name="_Toc294515580"/>
      <w:bookmarkStart w:id="20" w:name="_Toc293739001"/>
      <w:bookmarkStart w:id="21" w:name="_Toc293736063"/>
      <w:bookmarkStart w:id="22" w:name="_Toc446599322"/>
      <w:bookmarkStart w:id="23" w:name="_Toc293736020"/>
      <w:r>
        <w:rPr>
          <w:rFonts w:hint="eastAsia" w:ascii="仿宋" w:hAnsi="仿宋" w:eastAsia="仿宋" w:cs="仿宋"/>
          <w:b/>
          <w:bCs w:val="0"/>
          <w:color w:val="auto"/>
          <w:kern w:val="44"/>
          <w:sz w:val="44"/>
          <w:szCs w:val="44"/>
          <w:highlight w:val="none"/>
          <w:lang w:val="en-US" w:eastAsia="zh-CN" w:bidi="ar-SA"/>
        </w:rPr>
        <w:t>服务需求</w:t>
      </w:r>
      <w:bookmarkEnd w:id="18"/>
    </w:p>
    <w:p w14:paraId="3FD62AE6">
      <w:pPr>
        <w:numPr>
          <w:ilvl w:val="0"/>
          <w:numId w:val="0"/>
        </w:numPr>
        <w:jc w:val="both"/>
        <w:outlineLvl w:val="0"/>
        <w:rPr>
          <w:rFonts w:hint="eastAsia" w:ascii="仿宋" w:hAnsi="仿宋" w:eastAsia="仿宋" w:cs="仿宋"/>
          <w:bCs/>
          <w:color w:val="auto"/>
          <w:kern w:val="44"/>
          <w:sz w:val="44"/>
          <w:szCs w:val="44"/>
          <w:highlight w:val="none"/>
          <w:lang w:val="en-US" w:eastAsia="zh-CN" w:bidi="ar-SA"/>
        </w:rPr>
      </w:pPr>
      <w:r>
        <w:rPr>
          <w:rFonts w:hint="eastAsia" w:ascii="仿宋" w:hAnsi="仿宋" w:eastAsia="仿宋" w:cs="仿宋"/>
          <w:bCs/>
          <w:color w:val="auto"/>
          <w:kern w:val="44"/>
          <w:sz w:val="44"/>
          <w:szCs w:val="44"/>
          <w:highlight w:val="none"/>
          <w:lang w:val="en-US" w:eastAsia="zh-CN" w:bidi="ar-SA"/>
        </w:rPr>
        <w:t xml:space="preserve"> </w:t>
      </w:r>
    </w:p>
    <w:bookmarkEnd w:id="19"/>
    <w:p w14:paraId="5203DC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bookmarkStart w:id="24" w:name="_Toc31228"/>
      <w:bookmarkStart w:id="25" w:name="_Toc20816"/>
      <w:bookmarkStart w:id="26" w:name="_Toc10724"/>
      <w:r>
        <w:rPr>
          <w:rFonts w:hint="eastAsia" w:ascii="黑体" w:hAnsi="黑体" w:eastAsia="黑体" w:cs="黑体"/>
          <w:color w:val="auto"/>
          <w:sz w:val="28"/>
          <w:szCs w:val="28"/>
          <w:highlight w:val="none"/>
        </w:rPr>
        <w:t>一、基本情况</w:t>
      </w:r>
    </w:p>
    <w:p w14:paraId="209D32FC">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楷体_GB2312" w:hAnsi="楷体_GB2312" w:eastAsia="楷体_GB2312" w:cs="楷体_GB2312"/>
          <w:b/>
          <w:bCs/>
          <w:color w:val="auto"/>
          <w:sz w:val="30"/>
          <w:szCs w:val="30"/>
          <w:highlight w:val="none"/>
        </w:rPr>
      </w:pPr>
      <w:r>
        <w:rPr>
          <w:rFonts w:hint="eastAsia" w:ascii="楷体_GB2312" w:hAnsi="楷体_GB2312" w:eastAsia="楷体_GB2312" w:cs="楷体_GB2312"/>
          <w:b/>
          <w:bCs/>
          <w:color w:val="auto"/>
          <w:sz w:val="30"/>
          <w:szCs w:val="30"/>
          <w:highlight w:val="none"/>
        </w:rPr>
        <w:t>（一）项目名称</w:t>
      </w:r>
    </w:p>
    <w:p w14:paraId="497642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提前下达2026年自治区农业生产发展资金</w:t>
      </w:r>
    </w:p>
    <w:p w14:paraId="6AB9F5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标项</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提前下达2026年自治区农业生产发展资金（</w:t>
      </w:r>
      <w:r>
        <w:rPr>
          <w:rFonts w:hint="eastAsia" w:ascii="仿宋_GB2312" w:hAnsi="仿宋_GB2312" w:eastAsia="仿宋_GB2312" w:cs="仿宋_GB2312"/>
          <w:color w:val="auto"/>
          <w:sz w:val="28"/>
          <w:szCs w:val="28"/>
          <w:highlight w:val="none"/>
          <w:lang w:val="en-US" w:eastAsia="zh-CN"/>
        </w:rPr>
        <w:t>自治区</w:t>
      </w:r>
      <w:r>
        <w:rPr>
          <w:rFonts w:hint="eastAsia" w:ascii="仿宋_GB2312" w:hAnsi="仿宋_GB2312" w:eastAsia="仿宋_GB2312" w:cs="仿宋_GB2312"/>
          <w:color w:val="auto"/>
          <w:sz w:val="28"/>
          <w:szCs w:val="28"/>
          <w:highlight w:val="none"/>
          <w:lang w:eastAsia="zh-CN"/>
        </w:rPr>
        <w:t>救灾备荒</w:t>
      </w:r>
      <w:r>
        <w:rPr>
          <w:rFonts w:hint="eastAsia" w:ascii="仿宋_GB2312" w:hAnsi="仿宋_GB2312" w:eastAsia="仿宋_GB2312" w:cs="仿宋_GB2312"/>
          <w:color w:val="auto"/>
          <w:sz w:val="28"/>
          <w:szCs w:val="28"/>
          <w:highlight w:val="none"/>
          <w:lang w:val="en-US" w:eastAsia="zh-CN"/>
        </w:rPr>
        <w:t>种子</w:t>
      </w:r>
      <w:r>
        <w:rPr>
          <w:rFonts w:hint="eastAsia" w:ascii="仿宋_GB2312" w:hAnsi="仿宋_GB2312" w:eastAsia="仿宋_GB2312" w:cs="仿宋_GB2312"/>
          <w:color w:val="auto"/>
          <w:sz w:val="28"/>
          <w:szCs w:val="28"/>
          <w:highlight w:val="none"/>
          <w:lang w:eastAsia="zh-CN"/>
        </w:rPr>
        <w:t>储备项目）</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玉米种子救灾备荒储备服务</w:t>
      </w:r>
    </w:p>
    <w:p w14:paraId="09711E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标项</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提前下达2026年自治区农业生产发展资金（</w:t>
      </w:r>
      <w:r>
        <w:rPr>
          <w:rFonts w:hint="eastAsia" w:ascii="仿宋_GB2312" w:hAnsi="仿宋_GB2312" w:eastAsia="仿宋_GB2312" w:cs="仿宋_GB2312"/>
          <w:color w:val="auto"/>
          <w:sz w:val="28"/>
          <w:szCs w:val="28"/>
          <w:highlight w:val="none"/>
          <w:lang w:val="en-US" w:eastAsia="zh-CN"/>
        </w:rPr>
        <w:t>自治区</w:t>
      </w:r>
      <w:r>
        <w:rPr>
          <w:rFonts w:hint="eastAsia" w:ascii="仿宋_GB2312" w:hAnsi="仿宋_GB2312" w:eastAsia="仿宋_GB2312" w:cs="仿宋_GB2312"/>
          <w:color w:val="auto"/>
          <w:sz w:val="28"/>
          <w:szCs w:val="28"/>
          <w:highlight w:val="none"/>
          <w:lang w:eastAsia="zh-CN"/>
        </w:rPr>
        <w:t>救灾备荒</w:t>
      </w:r>
      <w:r>
        <w:rPr>
          <w:rFonts w:hint="eastAsia" w:ascii="仿宋_GB2312" w:hAnsi="仿宋_GB2312" w:eastAsia="仿宋_GB2312" w:cs="仿宋_GB2312"/>
          <w:color w:val="auto"/>
          <w:sz w:val="28"/>
          <w:szCs w:val="28"/>
          <w:highlight w:val="none"/>
          <w:lang w:val="en-US" w:eastAsia="zh-CN"/>
        </w:rPr>
        <w:t>种子</w:t>
      </w:r>
      <w:r>
        <w:rPr>
          <w:rFonts w:hint="eastAsia" w:ascii="仿宋_GB2312" w:hAnsi="仿宋_GB2312" w:eastAsia="仿宋_GB2312" w:cs="仿宋_GB2312"/>
          <w:color w:val="auto"/>
          <w:sz w:val="28"/>
          <w:szCs w:val="28"/>
          <w:highlight w:val="none"/>
          <w:lang w:eastAsia="zh-CN"/>
        </w:rPr>
        <w:t>储备项目）</w:t>
      </w:r>
      <w:r>
        <w:rPr>
          <w:rFonts w:hint="eastAsia" w:ascii="仿宋_GB2312" w:hAnsi="仿宋_GB2312" w:eastAsia="仿宋_GB2312" w:cs="仿宋_GB2312"/>
          <w:color w:val="auto"/>
          <w:sz w:val="28"/>
          <w:szCs w:val="28"/>
          <w:highlight w:val="none"/>
          <w:lang w:val="en-US" w:eastAsia="zh-CN"/>
        </w:rPr>
        <w:t>-棉花</w:t>
      </w:r>
      <w:r>
        <w:rPr>
          <w:rFonts w:hint="eastAsia" w:ascii="仿宋_GB2312" w:hAnsi="仿宋_GB2312" w:eastAsia="仿宋_GB2312" w:cs="仿宋_GB2312"/>
          <w:color w:val="auto"/>
          <w:sz w:val="28"/>
          <w:szCs w:val="28"/>
          <w:highlight w:val="none"/>
        </w:rPr>
        <w:t>种子救灾备荒储备服务</w:t>
      </w:r>
    </w:p>
    <w:p w14:paraId="14D16D3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（二）项目主管单位</w:t>
      </w:r>
    </w:p>
    <w:p w14:paraId="4EE042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阿克苏地区农业农村局（联系人：辛乐，15886818000）</w:t>
      </w:r>
    </w:p>
    <w:p w14:paraId="305DE05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（三）项目实施单位</w:t>
      </w:r>
    </w:p>
    <w:p w14:paraId="4A83DF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阿克苏地区种业发展中心</w:t>
      </w:r>
    </w:p>
    <w:p w14:paraId="1F3E8E7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（四）项目性质</w:t>
      </w:r>
    </w:p>
    <w:p w14:paraId="4E34E9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新建</w:t>
      </w:r>
    </w:p>
    <w:p w14:paraId="5C47B73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highlight w:val="none"/>
        </w:rPr>
      </w:pPr>
      <w:r>
        <w:rPr>
          <w:rFonts w:hint="eastAsia" w:ascii="楷体_GB2312" w:hAnsi="楷体_GB2312" w:eastAsia="楷体_GB2312" w:cs="楷体_GB2312"/>
          <w:b/>
          <w:bCs/>
          <w:color w:val="auto"/>
          <w:sz w:val="28"/>
          <w:szCs w:val="28"/>
          <w:highlight w:val="none"/>
        </w:rPr>
        <w:t>（五）项目实施内容</w:t>
      </w:r>
    </w:p>
    <w:p w14:paraId="7E3A1D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本项目涉及资金217.2万元，其中</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自治区</w:t>
      </w:r>
      <w:r>
        <w:rPr>
          <w:rFonts w:hint="eastAsia" w:ascii="仿宋_GB2312" w:hAnsi="仿宋_GB2312" w:eastAsia="仿宋_GB2312" w:cs="仿宋_GB2312"/>
          <w:b/>
          <w:bCs/>
          <w:color w:val="auto"/>
          <w:sz w:val="28"/>
          <w:szCs w:val="28"/>
          <w:highlight w:val="none"/>
        </w:rPr>
        <w:t>救灾备荒</w:t>
      </w:r>
      <w:r>
        <w:rPr>
          <w:rFonts w:hint="eastAsia" w:ascii="仿宋_GB2312" w:hAnsi="仿宋_GB2312" w:eastAsia="仿宋_GB2312" w:cs="仿宋_GB2312"/>
          <w:b/>
          <w:bCs/>
          <w:color w:val="auto"/>
          <w:sz w:val="28"/>
          <w:szCs w:val="28"/>
          <w:highlight w:val="none"/>
          <w:lang w:val="en-US" w:eastAsia="zh-CN"/>
        </w:rPr>
        <w:t>种子</w:t>
      </w:r>
      <w:r>
        <w:rPr>
          <w:rFonts w:hint="eastAsia" w:ascii="仿宋_GB2312" w:hAnsi="仿宋_GB2312" w:eastAsia="仿宋_GB2312" w:cs="仿宋_GB2312"/>
          <w:b/>
          <w:bCs/>
          <w:color w:val="auto"/>
          <w:sz w:val="28"/>
          <w:szCs w:val="28"/>
          <w:highlight w:val="none"/>
        </w:rPr>
        <w:t>储备项目192万元</w:t>
      </w:r>
      <w:r>
        <w:rPr>
          <w:rFonts w:hint="eastAsia" w:ascii="仿宋_GB2312" w:hAnsi="仿宋_GB2312" w:eastAsia="仿宋_GB2312" w:cs="仿宋_GB2312"/>
          <w:color w:val="auto"/>
          <w:sz w:val="28"/>
          <w:szCs w:val="28"/>
          <w:highlight w:val="none"/>
        </w:rPr>
        <w:t>，计划储备救灾玉米、棉花种子各300 吨，</w:t>
      </w:r>
      <w:r>
        <w:rPr>
          <w:rFonts w:hint="eastAsia" w:ascii="仿宋_GB2312" w:hAnsi="仿宋_GB2312" w:eastAsia="仿宋_GB2312" w:cs="仿宋_GB2312"/>
          <w:color w:val="auto"/>
          <w:sz w:val="28"/>
          <w:szCs w:val="28"/>
          <w:highlight w:val="none"/>
          <w:lang w:val="en-US" w:eastAsia="zh-CN"/>
        </w:rPr>
        <w:t>按照救灾类种子3.2元/公斤进行补助，</w:t>
      </w:r>
      <w:r>
        <w:rPr>
          <w:rFonts w:hint="eastAsia" w:ascii="仿宋_GB2312" w:hAnsi="仿宋_GB2312" w:eastAsia="仿宋_GB2312" w:cs="仿宋_GB2312"/>
          <w:color w:val="auto"/>
          <w:sz w:val="28"/>
          <w:szCs w:val="28"/>
          <w:highlight w:val="none"/>
        </w:rPr>
        <w:t>主要用于自然灾害等原因造成种子短缺急需恢复农业生产时的应急储备，将自然灾害对农业生产的影响降至最低程度，有效保障生产用种安全；</w:t>
      </w:r>
      <w:r>
        <w:rPr>
          <w:rFonts w:hint="eastAsia" w:ascii="仿宋_GB2312" w:hAnsi="仿宋_GB2312" w:eastAsia="仿宋_GB2312" w:cs="仿宋_GB2312"/>
          <w:b/>
          <w:bCs/>
          <w:color w:val="auto"/>
          <w:sz w:val="28"/>
          <w:szCs w:val="28"/>
          <w:highlight w:val="none"/>
        </w:rPr>
        <w:t>种子质量</w:t>
      </w:r>
      <w:r>
        <w:rPr>
          <w:rFonts w:hint="eastAsia" w:ascii="仿宋_GB2312" w:hAnsi="仿宋_GB2312" w:eastAsia="仿宋_GB2312" w:cs="仿宋_GB2312"/>
          <w:b/>
          <w:bCs/>
          <w:color w:val="auto"/>
          <w:sz w:val="28"/>
          <w:szCs w:val="28"/>
          <w:highlight w:val="none"/>
          <w:lang w:val="en-US" w:eastAsia="zh-CN"/>
        </w:rPr>
        <w:t>抽检</w:t>
      </w:r>
      <w:r>
        <w:rPr>
          <w:rFonts w:hint="eastAsia" w:ascii="仿宋_GB2312" w:hAnsi="仿宋_GB2312" w:eastAsia="仿宋_GB2312" w:cs="仿宋_GB2312"/>
          <w:b/>
          <w:bCs/>
          <w:color w:val="auto"/>
          <w:sz w:val="28"/>
          <w:szCs w:val="28"/>
          <w:highlight w:val="none"/>
        </w:rPr>
        <w:t>项目12万元</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主要</w:t>
      </w:r>
      <w:r>
        <w:rPr>
          <w:rFonts w:hint="eastAsia" w:ascii="仿宋_GB2312" w:hAnsi="仿宋_GB2312" w:eastAsia="仿宋_GB2312" w:cs="仿宋_GB2312"/>
          <w:b/>
          <w:bCs/>
          <w:color w:val="auto"/>
          <w:sz w:val="28"/>
          <w:szCs w:val="28"/>
          <w:highlight w:val="none"/>
        </w:rPr>
        <w:t>农作物品种</w:t>
      </w:r>
      <w:r>
        <w:rPr>
          <w:rFonts w:hint="eastAsia" w:ascii="仿宋_GB2312" w:hAnsi="仿宋_GB2312" w:eastAsia="仿宋_GB2312" w:cs="仿宋_GB2312"/>
          <w:b/>
          <w:bCs/>
          <w:color w:val="auto"/>
          <w:sz w:val="28"/>
          <w:szCs w:val="28"/>
          <w:highlight w:val="none"/>
          <w:lang w:val="en-US" w:eastAsia="zh-CN"/>
        </w:rPr>
        <w:t>审定</w:t>
      </w:r>
      <w:r>
        <w:rPr>
          <w:rFonts w:hint="eastAsia" w:ascii="仿宋_GB2312" w:hAnsi="仿宋_GB2312" w:eastAsia="仿宋_GB2312" w:cs="仿宋_GB2312"/>
          <w:b/>
          <w:bCs/>
          <w:color w:val="auto"/>
          <w:sz w:val="28"/>
          <w:szCs w:val="28"/>
          <w:highlight w:val="none"/>
        </w:rPr>
        <w:t>试验</w:t>
      </w:r>
      <w:r>
        <w:rPr>
          <w:rFonts w:hint="eastAsia" w:ascii="仿宋_GB2312" w:hAnsi="仿宋_GB2312" w:eastAsia="仿宋_GB2312" w:cs="仿宋_GB2312"/>
          <w:b/>
          <w:bCs/>
          <w:color w:val="auto"/>
          <w:sz w:val="28"/>
          <w:szCs w:val="28"/>
          <w:highlight w:val="none"/>
          <w:lang w:val="en-US" w:eastAsia="zh-CN"/>
        </w:rPr>
        <w:t>项目</w:t>
      </w:r>
      <w:r>
        <w:rPr>
          <w:rFonts w:hint="eastAsia" w:ascii="仿宋_GB2312" w:hAnsi="仿宋_GB2312" w:eastAsia="仿宋_GB2312" w:cs="仿宋_GB2312"/>
          <w:b/>
          <w:bCs/>
          <w:color w:val="auto"/>
          <w:sz w:val="28"/>
          <w:szCs w:val="28"/>
          <w:highlight w:val="none"/>
        </w:rPr>
        <w:t>13.2万元</w:t>
      </w:r>
      <w:r>
        <w:rPr>
          <w:rFonts w:hint="eastAsia" w:ascii="仿宋_GB2312" w:hAnsi="仿宋_GB2312" w:eastAsia="仿宋_GB2312" w:cs="仿宋_GB2312"/>
          <w:color w:val="auto"/>
          <w:sz w:val="28"/>
          <w:szCs w:val="28"/>
          <w:highlight w:val="none"/>
        </w:rPr>
        <w:t>。</w:t>
      </w:r>
    </w:p>
    <w:p w14:paraId="15878E1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（六）项目预算编制</w:t>
      </w:r>
    </w:p>
    <w:p w14:paraId="374851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自治区财政厅《关于提前下达2026年自治区农业生产发展资金预算的通知》（新财农〔2025〕109号）、地区财政局《关于提前下达2026年自治区农业生产发展资金预算的通知》（阿地财农〔2025〕54号），编制2026年度自治区农业生产发展资金项目预算资金</w:t>
      </w:r>
      <w:r>
        <w:rPr>
          <w:rFonts w:hint="eastAsia" w:ascii="仿宋_GB2312" w:hAnsi="仿宋_GB2312" w:eastAsia="仿宋_GB2312" w:cs="仿宋_GB2312"/>
          <w:b/>
          <w:bCs/>
          <w:color w:val="auto"/>
          <w:sz w:val="28"/>
          <w:szCs w:val="28"/>
          <w:highlight w:val="none"/>
        </w:rPr>
        <w:t>217.2万元</w:t>
      </w:r>
      <w:r>
        <w:rPr>
          <w:rFonts w:hint="eastAsia" w:ascii="仿宋_GB2312" w:hAnsi="仿宋_GB2312" w:eastAsia="仿宋_GB2312" w:cs="仿宋_GB2312"/>
          <w:color w:val="auto"/>
          <w:sz w:val="28"/>
          <w:szCs w:val="28"/>
          <w:highlight w:val="none"/>
        </w:rPr>
        <w:t>，其中：</w:t>
      </w:r>
      <w:r>
        <w:rPr>
          <w:rFonts w:hint="eastAsia" w:ascii="仿宋_GB2312" w:hAnsi="仿宋_GB2312" w:eastAsia="仿宋_GB2312" w:cs="仿宋_GB2312"/>
          <w:b/>
          <w:bCs/>
          <w:color w:val="auto"/>
          <w:sz w:val="28"/>
          <w:szCs w:val="28"/>
          <w:highlight w:val="none"/>
          <w:lang w:val="en-US" w:eastAsia="zh-CN"/>
        </w:rPr>
        <w:t>自治区</w:t>
      </w:r>
      <w:r>
        <w:rPr>
          <w:rFonts w:hint="eastAsia" w:ascii="仿宋_GB2312" w:hAnsi="仿宋_GB2312" w:eastAsia="仿宋_GB2312" w:cs="仿宋_GB2312"/>
          <w:b/>
          <w:bCs/>
          <w:color w:val="auto"/>
          <w:sz w:val="28"/>
          <w:szCs w:val="28"/>
          <w:highlight w:val="none"/>
        </w:rPr>
        <w:t>救灾备荒</w:t>
      </w:r>
      <w:r>
        <w:rPr>
          <w:rFonts w:hint="eastAsia" w:ascii="仿宋_GB2312" w:hAnsi="仿宋_GB2312" w:eastAsia="仿宋_GB2312" w:cs="仿宋_GB2312"/>
          <w:b/>
          <w:bCs/>
          <w:color w:val="auto"/>
          <w:sz w:val="28"/>
          <w:szCs w:val="28"/>
          <w:highlight w:val="none"/>
          <w:lang w:val="en-US" w:eastAsia="zh-CN"/>
        </w:rPr>
        <w:t>种子</w:t>
      </w:r>
      <w:r>
        <w:rPr>
          <w:rFonts w:hint="eastAsia" w:ascii="仿宋_GB2312" w:hAnsi="仿宋_GB2312" w:eastAsia="仿宋_GB2312" w:cs="仿宋_GB2312"/>
          <w:b/>
          <w:bCs/>
          <w:color w:val="auto"/>
          <w:sz w:val="28"/>
          <w:szCs w:val="28"/>
          <w:highlight w:val="none"/>
        </w:rPr>
        <w:t>储备项目</w:t>
      </w:r>
      <w:r>
        <w:rPr>
          <w:rFonts w:hint="eastAsia" w:ascii="仿宋_GB2312" w:hAnsi="仿宋_GB2312" w:eastAsia="仿宋_GB2312" w:cs="仿宋_GB2312"/>
          <w:b/>
          <w:bCs/>
          <w:color w:val="auto"/>
          <w:sz w:val="28"/>
          <w:szCs w:val="28"/>
          <w:highlight w:val="none"/>
          <w:lang w:val="en-US" w:eastAsia="zh-CN"/>
        </w:rPr>
        <w:t>192万元（</w:t>
      </w:r>
      <w:r>
        <w:rPr>
          <w:rFonts w:hint="eastAsia" w:ascii="仿宋_GB2312" w:hAnsi="仿宋_GB2312" w:eastAsia="仿宋_GB2312" w:cs="仿宋_GB2312"/>
          <w:b/>
          <w:bCs/>
          <w:color w:val="auto"/>
          <w:sz w:val="28"/>
          <w:szCs w:val="28"/>
          <w:highlight w:val="none"/>
        </w:rPr>
        <w:t>棉花</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玉米各96万元）</w:t>
      </w:r>
      <w:r>
        <w:rPr>
          <w:rFonts w:hint="eastAsia" w:ascii="仿宋_GB2312" w:hAnsi="仿宋_GB2312" w:eastAsia="仿宋_GB2312" w:cs="仿宋_GB2312"/>
          <w:color w:val="auto"/>
          <w:sz w:val="28"/>
          <w:szCs w:val="28"/>
          <w:highlight w:val="none"/>
        </w:rPr>
        <w:t>，主要用于承储单位在储备救灾备荒种子过程中发生的储藏保管、种子检验、自然损耗、转商亏损或贷款贴息等费用。</w:t>
      </w:r>
    </w:p>
    <w:p w14:paraId="35F6CB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（七）项目实施期限</w:t>
      </w:r>
    </w:p>
    <w:p w14:paraId="05BE15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2026年1月至2026年12月。</w:t>
      </w:r>
    </w:p>
    <w:p w14:paraId="61900F1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（八）项目实施地点及基本情况</w:t>
      </w:r>
    </w:p>
    <w:p w14:paraId="5B2B0F0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项目实施地点：</w:t>
      </w:r>
      <w:r>
        <w:rPr>
          <w:rFonts w:hint="eastAsia" w:ascii="仿宋_GB2312" w:hAnsi="仿宋_GB2312" w:eastAsia="仿宋_GB2312" w:cs="仿宋_GB2312"/>
          <w:color w:val="auto"/>
          <w:sz w:val="28"/>
          <w:szCs w:val="28"/>
          <w:highlight w:val="none"/>
        </w:rPr>
        <w:t>阿克苏地区各县（市）</w:t>
      </w:r>
      <w:r>
        <w:rPr>
          <w:rFonts w:hint="eastAsia" w:ascii="仿宋_GB2312" w:hAnsi="仿宋_GB2312" w:eastAsia="仿宋_GB2312" w:cs="仿宋_GB2312"/>
          <w:color w:val="auto"/>
          <w:sz w:val="28"/>
          <w:szCs w:val="28"/>
          <w:highlight w:val="none"/>
          <w:lang w:val="en-US" w:eastAsia="zh-CN"/>
        </w:rPr>
        <w:t>及一师阿拉尔市</w:t>
      </w:r>
    </w:p>
    <w:p w14:paraId="34AE4CC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基本情况：</w:t>
      </w:r>
      <w:r>
        <w:rPr>
          <w:rFonts w:hint="eastAsia" w:ascii="仿宋_GB2312" w:hAnsi="仿宋_GB2312" w:eastAsia="仿宋_GB2312" w:cs="仿宋_GB2312"/>
          <w:b/>
          <w:bCs/>
          <w:color w:val="auto"/>
          <w:sz w:val="28"/>
          <w:szCs w:val="28"/>
          <w:highlight w:val="none"/>
          <w:lang w:val="en-US" w:eastAsia="zh-CN"/>
        </w:rPr>
        <w:t>自治区</w:t>
      </w:r>
      <w:r>
        <w:rPr>
          <w:rFonts w:hint="eastAsia" w:ascii="仿宋_GB2312" w:hAnsi="仿宋_GB2312" w:eastAsia="仿宋_GB2312" w:cs="仿宋_GB2312"/>
          <w:b/>
          <w:bCs/>
          <w:color w:val="auto"/>
          <w:sz w:val="28"/>
          <w:szCs w:val="28"/>
          <w:highlight w:val="none"/>
        </w:rPr>
        <w:t>救灾备荒种子储备项目。</w:t>
      </w:r>
      <w:r>
        <w:rPr>
          <w:rFonts w:hint="eastAsia" w:ascii="仿宋_GB2312" w:hAnsi="仿宋_GB2312" w:eastAsia="仿宋_GB2312" w:cs="仿宋_GB2312"/>
          <w:color w:val="auto"/>
          <w:sz w:val="28"/>
          <w:szCs w:val="28"/>
          <w:highlight w:val="none"/>
        </w:rPr>
        <w:t>采取政府购买服务、种子企业承储的方式进行，根据政府购买服务的流程要求，遴选招标代理机构进行招标，公开择优确定承储单位。承储单位必须持有农业农村主管部门核发的相应农作物种子生产经营许可证；具有拟储备品种的生产经营权，储备植物新品种保护的品种必须是自有品种或获得品种权人书面授权；具有储备种子的加工、仓储设施和种子检验仪器设备，有专门的种子储藏、检验技术人员；有健全的种子仓储管理制度和防护措施；信誉良好，近3年无违法生产经营种子记录。</w:t>
      </w:r>
    </w:p>
    <w:p w14:paraId="665CC3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二、项目立项情况</w:t>
      </w:r>
    </w:p>
    <w:p w14:paraId="0E4457D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（一）项目实施依据</w:t>
      </w:r>
    </w:p>
    <w:p w14:paraId="19AACE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新疆维吾尔自治区救灾备荒种子储备管理办法》（新农规〔2025〕2号）、自治区农业农村厅办公室《关于印发&lt;2026年自治区现代种业振兴项目实施方案&gt;的通知》（新农办种函〔2026〕31号）的要求：为保障农业生产用种安全，提升抗灾减灾能力，加强救灾备荒种子储备管理，根据《中华人民共和国种子法》《国家救灾备荒种子储备补助经费管理办法》(农财发〔2015〕71号)《新疆维吾尔自治区应急物资储备管理办法》等有关规定，开展农作物种子救灾储备。根据自治区财政厅《关于提前下达2026年自治区农业生产发展资金预算的通知》（新财农〔2025〕109号）、地区财政局《关于提前下达2026年自治区农业生产发展资金预算的通知》（阿地财农〔2025〕54号）要求，2026年度自治区农业生产发展资金项目预算资金217.2万元，其中</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自治区</w:t>
      </w:r>
      <w:r>
        <w:rPr>
          <w:rFonts w:hint="eastAsia" w:ascii="仿宋_GB2312" w:hAnsi="仿宋_GB2312" w:eastAsia="仿宋_GB2312" w:cs="仿宋_GB2312"/>
          <w:color w:val="auto"/>
          <w:sz w:val="28"/>
          <w:szCs w:val="28"/>
          <w:highlight w:val="none"/>
        </w:rPr>
        <w:t>救灾备荒种子储备项目192万元。</w:t>
      </w:r>
    </w:p>
    <w:p w14:paraId="61F9640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（二）项目实施的必要性和可行性</w:t>
      </w:r>
    </w:p>
    <w:p w14:paraId="4CA5F61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必要性：</w:t>
      </w:r>
      <w:r>
        <w:rPr>
          <w:rFonts w:hint="eastAsia" w:ascii="仿宋_GB2312" w:hAnsi="仿宋_GB2312" w:eastAsia="仿宋_GB2312" w:cs="仿宋_GB2312"/>
          <w:color w:val="auto"/>
          <w:sz w:val="28"/>
          <w:szCs w:val="28"/>
          <w:highlight w:val="none"/>
        </w:rPr>
        <w:t>通过</w:t>
      </w:r>
      <w:r>
        <w:rPr>
          <w:rFonts w:hint="eastAsia" w:ascii="仿宋_GB2312" w:hAnsi="仿宋_GB2312" w:eastAsia="仿宋_GB2312" w:cs="仿宋_GB2312"/>
          <w:color w:val="auto"/>
          <w:sz w:val="28"/>
          <w:szCs w:val="28"/>
          <w:highlight w:val="none"/>
          <w:lang w:val="en-US" w:eastAsia="zh-CN"/>
        </w:rPr>
        <w:t>自治区</w:t>
      </w:r>
      <w:r>
        <w:rPr>
          <w:rFonts w:hint="eastAsia" w:ascii="仿宋_GB2312" w:hAnsi="仿宋_GB2312" w:eastAsia="仿宋_GB2312" w:cs="仿宋_GB2312"/>
          <w:color w:val="auto"/>
          <w:sz w:val="28"/>
          <w:szCs w:val="28"/>
          <w:highlight w:val="none"/>
        </w:rPr>
        <w:t>救灾备荒种子储备项目实施，可应对农业生产遭遇特、重大自然灾害及种子市场出现供应短缺等特殊情况，对灾后快速恢复农业生产，调控种子市场价格波动、余缺调剂等起到至关重要的作用。</w:t>
      </w:r>
    </w:p>
    <w:p w14:paraId="031051F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可行性：</w:t>
      </w:r>
      <w:r>
        <w:rPr>
          <w:rFonts w:hint="eastAsia" w:ascii="仿宋_GB2312" w:hAnsi="仿宋_GB2312" w:eastAsia="仿宋_GB2312" w:cs="仿宋_GB2312"/>
          <w:color w:val="auto"/>
          <w:sz w:val="28"/>
          <w:szCs w:val="28"/>
          <w:highlight w:val="none"/>
        </w:rPr>
        <w:t>阿克苏地区农作物种植面积常年稳定在1400万亩左右，其中棉花种植面积750万亩左右，春播玉米种植面积180万亩左右。据统计，每年因大风、冰雹、霜冻、低温等自然灾害，造成不同程度的棉花、玉米受灾面积达70万亩之多，近年来，气候变化无常，灾害影响有递增的趋势，加之售种途径增多，质量隐患也日益凸显。因此开展救灾储备对灾后快速恢复农业生产，保障农业生产安全，</w:t>
      </w:r>
      <w:r>
        <w:rPr>
          <w:rFonts w:hint="eastAsia" w:ascii="仿宋_GB2312" w:hAnsi="仿宋_GB2312" w:eastAsia="仿宋_GB2312" w:cs="仿宋_GB2312"/>
          <w:color w:val="auto"/>
          <w:sz w:val="28"/>
          <w:szCs w:val="28"/>
          <w:highlight w:val="none"/>
          <w:lang w:val="en-US" w:eastAsia="zh-CN"/>
        </w:rPr>
        <w:t>新品种选育</w:t>
      </w:r>
      <w:r>
        <w:rPr>
          <w:rFonts w:hint="eastAsia" w:ascii="仿宋_GB2312" w:hAnsi="仿宋_GB2312" w:eastAsia="仿宋_GB2312" w:cs="仿宋_GB2312"/>
          <w:color w:val="auto"/>
          <w:sz w:val="28"/>
          <w:szCs w:val="28"/>
          <w:highlight w:val="none"/>
        </w:rPr>
        <w:t xml:space="preserve">具有十分重要的意义。 </w:t>
      </w:r>
    </w:p>
    <w:p w14:paraId="6B7A93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三、项目资金投入和管理情况</w:t>
      </w:r>
    </w:p>
    <w:p w14:paraId="1901E8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（一）项目资金投入情况</w:t>
      </w:r>
    </w:p>
    <w:p w14:paraId="7509EA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总投资为217.2万元，其中</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自治区</w:t>
      </w:r>
      <w:r>
        <w:rPr>
          <w:rFonts w:hint="eastAsia" w:ascii="仿宋_GB2312" w:hAnsi="仿宋_GB2312" w:eastAsia="仿宋_GB2312" w:cs="仿宋_GB2312"/>
          <w:color w:val="auto"/>
          <w:sz w:val="28"/>
          <w:szCs w:val="28"/>
          <w:highlight w:val="none"/>
        </w:rPr>
        <w:t>救灾备荒种子储备项目192万元</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资金来源为自治区转移支付资金。</w:t>
      </w:r>
    </w:p>
    <w:p w14:paraId="73C1E9B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（二）项目资金管理情况</w:t>
      </w:r>
    </w:p>
    <w:p w14:paraId="228A05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地区种业发展中心严格按照《项目专项资金管理办法》及资金支付审批流程，提出支付申请并提供真实、合规的相关证明材料。根据项目实施进度制定资金使用计划，经审核通过后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按国库集中支付管理制度的相关规定及时支付资金。项目承担单位按照项目管理有关规定建立资金使用台账，严格落实专款专用、分账核算、专人管理，严禁挤占、挪用项目建设资金；严禁虚列支出、以拨代支虚增项目进度。项目资金支付后，经审计或检查中发现资金使用存在违法违规问题的应及时追回、收回。</w:t>
      </w:r>
    </w:p>
    <w:p w14:paraId="4603F6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四、项目实施保障情况</w:t>
      </w:r>
    </w:p>
    <w:p w14:paraId="2C7313B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（一）项目组织建设</w:t>
      </w:r>
    </w:p>
    <w:p w14:paraId="5E16C3A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项目主管单位：</w:t>
      </w:r>
      <w:r>
        <w:rPr>
          <w:rFonts w:hint="eastAsia" w:ascii="仿宋_GB2312" w:hAnsi="仿宋_GB2312" w:eastAsia="仿宋_GB2312" w:cs="仿宋_GB2312"/>
          <w:color w:val="auto"/>
          <w:sz w:val="28"/>
          <w:szCs w:val="28"/>
          <w:highlight w:val="none"/>
        </w:rPr>
        <w:t>阿克苏地区农业农村局，主要负责：负责全地区</w:t>
      </w:r>
      <w:r>
        <w:rPr>
          <w:rFonts w:hint="eastAsia" w:ascii="仿宋_GB2312" w:hAnsi="仿宋_GB2312" w:eastAsia="仿宋_GB2312" w:cs="仿宋_GB2312"/>
          <w:color w:val="auto"/>
          <w:sz w:val="28"/>
          <w:szCs w:val="28"/>
          <w:highlight w:val="none"/>
          <w:lang w:val="en-US" w:eastAsia="zh-CN"/>
        </w:rPr>
        <w:t>种业</w:t>
      </w:r>
      <w:r>
        <w:rPr>
          <w:rFonts w:hint="eastAsia" w:ascii="仿宋_GB2312" w:hAnsi="仿宋_GB2312" w:eastAsia="仿宋_GB2312" w:cs="仿宋_GB2312"/>
          <w:color w:val="auto"/>
          <w:sz w:val="28"/>
          <w:szCs w:val="28"/>
          <w:highlight w:val="none"/>
        </w:rPr>
        <w:t>系统实施项目的监督检查，指导整改等工作。</w:t>
      </w:r>
    </w:p>
    <w:p w14:paraId="03B11EA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项目实施单位：</w:t>
      </w:r>
      <w:r>
        <w:rPr>
          <w:rFonts w:hint="eastAsia" w:ascii="仿宋_GB2312" w:hAnsi="仿宋_GB2312" w:eastAsia="仿宋_GB2312" w:cs="仿宋_GB2312"/>
          <w:color w:val="auto"/>
          <w:sz w:val="28"/>
          <w:szCs w:val="28"/>
          <w:highlight w:val="none"/>
        </w:rPr>
        <w:t>阿克苏地区种业发展中心，主要负责：制定项目实施方案，协调相关部门进行项目开工前的招投标、采购、项目具体实施等工作。</w:t>
      </w:r>
    </w:p>
    <w:p w14:paraId="1F5C086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项目监督检查单位：</w:t>
      </w:r>
      <w:r>
        <w:rPr>
          <w:rFonts w:hint="eastAsia" w:ascii="仿宋_GB2312" w:hAnsi="仿宋_GB2312" w:eastAsia="仿宋_GB2312" w:cs="仿宋_GB2312"/>
          <w:color w:val="auto"/>
          <w:sz w:val="28"/>
          <w:szCs w:val="28"/>
          <w:highlight w:val="none"/>
        </w:rPr>
        <w:t>阿克苏地区财政局，主要负责：项目资金的审批及监督检查等工作。</w:t>
      </w:r>
    </w:p>
    <w:p w14:paraId="6E6745C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（二）项目管理制度</w:t>
      </w:r>
    </w:p>
    <w:p w14:paraId="5B2CB9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由地区农业农村局种业管理科科长辛乐同志作为项目负责人，负责该项目的组织实施。地区种业发展中心副主任杨云同志负责项目的策划和实施，以及项目实施过程中的绩效评价，确保评估结果具备客观性、准确性；黄保成同志作为财务人员，负责按照项目进度向财政申请支付资金。项目在实际执行过程中将严格按照《专项项目管理制度》《项目监督检查制度》《预算绩效管理办法》等相关制度、办法落实各项工作。</w:t>
      </w:r>
    </w:p>
    <w:p w14:paraId="560AF94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rPr>
        <w:t>（三）人力 、 财力 、 物力条件</w:t>
      </w:r>
    </w:p>
    <w:p w14:paraId="24A233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涉及的人员由地区农业农村局、种业发展中心干部具体实施，人员均已到位。项目申报2026年预算，资金来源为自治区转移支付资金，按照流程批复后可及时到位。项目实施涉及的物力均已到位，可正常开展项目。</w:t>
      </w:r>
    </w:p>
    <w:p w14:paraId="400644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五、项目实施进度</w:t>
      </w:r>
    </w:p>
    <w:p w14:paraId="3AB773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2026年1-2月，按照《专项项目管理制度》规定，发布意向公告，该项目开始实施；3-6月，开展项目具体建设工作，监督救灾备荒种子承储单位按要求进行专库存储、专垛存放，做到管理科学，账物相符，便于检查和盘点；7-10月，根据项目开展实际情况支付项目资金；11-12月，该项目工作内容全部完成，形成项目总结，项目结束。</w:t>
      </w:r>
    </w:p>
    <w:p w14:paraId="267782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六、项目绩效</w:t>
      </w:r>
    </w:p>
    <w:p w14:paraId="74DDE9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color w:val="auto"/>
          <w:sz w:val="28"/>
          <w:szCs w:val="28"/>
          <w:highlight w:val="none"/>
        </w:rPr>
        <w:t>通过实施本项目，不仅可快速恢复农业生产，提高农业生产抵御自然灾害的综合能力，同时可确保地区农作物生产在遭受自然灾害时，快速稳定粮食播种面积，保障粮食供给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对确保粮食安全和社会稳定起着至关重要的作用。</w:t>
      </w:r>
    </w:p>
    <w:p w14:paraId="6CA4F3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highlight w:val="none"/>
        </w:rPr>
        <w:sectPr>
          <w:footerReference r:id="rId6" w:type="default"/>
          <w:pgSz w:w="11905" w:h="16839"/>
          <w:pgMar w:top="1440" w:right="1800" w:bottom="1440" w:left="1800" w:header="0" w:footer="1013" w:gutter="0"/>
          <w:pgNumType w:fmt="decimal"/>
          <w:cols w:space="720" w:num="1"/>
        </w:sectPr>
      </w:pPr>
    </w:p>
    <w:p w14:paraId="64FB1CE6">
      <w:pPr>
        <w:jc w:val="center"/>
        <w:outlineLvl w:val="0"/>
        <w:rPr>
          <w:rFonts w:hint="eastAsia" w:ascii="仿宋" w:hAnsi="仿宋" w:eastAsia="仿宋" w:cs="仿宋"/>
          <w:b/>
          <w:bCs/>
          <w:color w:val="auto"/>
          <w:highlight w:val="none"/>
        </w:rPr>
      </w:pPr>
      <w:r>
        <w:rPr>
          <w:rFonts w:hint="eastAsia" w:ascii="仿宋" w:hAnsi="仿宋" w:eastAsia="仿宋" w:cs="仿宋"/>
          <w:b/>
          <w:bCs/>
          <w:color w:val="auto"/>
          <w:kern w:val="44"/>
          <w:sz w:val="44"/>
          <w:szCs w:val="44"/>
          <w:highlight w:val="none"/>
          <w:lang w:val="en-US" w:eastAsia="zh-CN" w:bidi="ar-SA"/>
        </w:rPr>
        <w:t xml:space="preserve">第四章 </w:t>
      </w:r>
      <w:r>
        <w:rPr>
          <w:rFonts w:hint="eastAsia" w:ascii="仿宋" w:hAnsi="仿宋" w:eastAsia="仿宋" w:cs="仿宋"/>
          <w:b/>
          <w:bCs/>
          <w:color w:val="auto"/>
          <w:sz w:val="44"/>
          <w:szCs w:val="44"/>
          <w:highlight w:val="none"/>
        </w:rPr>
        <w:t xml:space="preserve"> </w:t>
      </w:r>
      <w:bookmarkStart w:id="27" w:name="_Toc5472"/>
      <w:bookmarkStart w:id="28" w:name="_Toc10229"/>
      <w:bookmarkStart w:id="29" w:name="_Toc23076"/>
      <w:r>
        <w:rPr>
          <w:rFonts w:hint="eastAsia" w:ascii="仿宋" w:hAnsi="仿宋" w:eastAsia="仿宋" w:cs="仿宋"/>
          <w:b/>
          <w:bCs/>
          <w:color w:val="auto"/>
          <w:sz w:val="44"/>
          <w:szCs w:val="44"/>
          <w:highlight w:val="none"/>
        </w:rPr>
        <w:t>评审方法</w:t>
      </w:r>
      <w:bookmarkEnd w:id="20"/>
      <w:bookmarkEnd w:id="21"/>
      <w:bookmarkEnd w:id="22"/>
      <w:bookmarkEnd w:id="23"/>
      <w:bookmarkEnd w:id="24"/>
      <w:bookmarkEnd w:id="25"/>
      <w:bookmarkEnd w:id="26"/>
      <w:bookmarkEnd w:id="27"/>
      <w:bookmarkEnd w:id="28"/>
      <w:bookmarkEnd w:id="29"/>
    </w:p>
    <w:p w14:paraId="1808CA88">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highlight w:val="none"/>
          <w:lang w:val="en-US" w:eastAsia="zh-CN" w:bidi="ar-SA"/>
        </w:rPr>
      </w:pPr>
      <w:bookmarkStart w:id="30" w:name="_Toc12926"/>
      <w:bookmarkStart w:id="31" w:name="_Toc16809"/>
      <w:bookmarkStart w:id="32" w:name="_Toc293739005"/>
      <w:bookmarkStart w:id="33" w:name="_Toc293736067"/>
      <w:bookmarkStart w:id="34" w:name="_Toc293736024"/>
      <w:bookmarkStart w:id="35" w:name="_Toc446599330"/>
      <w:r>
        <w:rPr>
          <w:rFonts w:hint="default" w:ascii="仿宋" w:hAnsi="仿宋" w:eastAsia="仿宋" w:cs="仿宋"/>
          <w:b w:val="0"/>
          <w:bCs/>
          <w:color w:val="auto"/>
          <w:kern w:val="2"/>
          <w:sz w:val="28"/>
          <w:szCs w:val="28"/>
          <w:highlight w:val="none"/>
          <w:lang w:val="en-US" w:eastAsia="zh-CN" w:bidi="ar-SA"/>
        </w:rPr>
        <w:t>资格审查程序</w:t>
      </w:r>
    </w:p>
    <w:p w14:paraId="3FC40C3D">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1响应文件的资格性检查和符合性审查</w:t>
      </w:r>
    </w:p>
    <w:p w14:paraId="62F3A9CE">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无效响应处理，磋商小组应当告知提交响应文件的供应商。</w:t>
      </w:r>
    </w:p>
    <w:p w14:paraId="429A847E">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1.2《资格性检查要求》中对格式有要求的，除竞争性磋商文件另有规定外，均为“实质性格式”文件。</w:t>
      </w:r>
    </w:p>
    <w:p w14:paraId="3F9DE3B0">
      <w:pPr>
        <w:pStyle w:val="109"/>
        <w:numPr>
          <w:ilvl w:val="0"/>
          <w:numId w:val="0"/>
        </w:numPr>
        <w:spacing w:line="500" w:lineRule="exact"/>
        <w:ind w:left="720" w:leftChars="0" w:hanging="720" w:firstLineChars="0"/>
        <w:outlineLvl w:val="9"/>
        <w:rPr>
          <w:rFonts w:hint="default" w:ascii="仿宋" w:hAnsi="仿宋" w:eastAsia="仿宋" w:cs="仿宋"/>
          <w:b w:val="0"/>
          <w:bCs/>
          <w:color w:val="auto"/>
          <w:kern w:val="2"/>
          <w:sz w:val="28"/>
          <w:szCs w:val="28"/>
          <w:highlight w:val="none"/>
          <w:lang w:val="en-US" w:eastAsia="zh-CN" w:bidi="ar-SA"/>
        </w:rPr>
      </w:pPr>
      <w:r>
        <w:rPr>
          <w:rFonts w:hint="default" w:ascii="仿宋" w:hAnsi="仿宋" w:eastAsia="仿宋" w:cs="仿宋"/>
          <w:b w:val="0"/>
          <w:bCs/>
          <w:color w:val="auto"/>
          <w:kern w:val="2"/>
          <w:sz w:val="28"/>
          <w:szCs w:val="28"/>
          <w:highlight w:val="none"/>
          <w:lang w:val="en-US" w:eastAsia="zh-CN" w:bidi="ar-SA"/>
        </w:rPr>
        <w:t>1.3《资格性检查要求》见下表：</w:t>
      </w:r>
    </w:p>
    <w:p w14:paraId="461B073D">
      <w:pPr>
        <w:pStyle w:val="109"/>
        <w:numPr>
          <w:ilvl w:val="0"/>
          <w:numId w:val="0"/>
        </w:numPr>
        <w:spacing w:line="500" w:lineRule="exact"/>
        <w:ind w:left="720" w:leftChars="0" w:hanging="720" w:firstLineChars="0"/>
        <w:outlineLvl w:val="1"/>
        <w:rPr>
          <w:rFonts w:hint="eastAsia" w:ascii="仿宋" w:hAnsi="仿宋" w:eastAsia="仿宋" w:cs="仿宋"/>
          <w:b/>
          <w:bCs w:val="0"/>
          <w:color w:val="auto"/>
          <w:sz w:val="28"/>
          <w:szCs w:val="28"/>
          <w:highlight w:val="none"/>
        </w:rPr>
      </w:pPr>
      <w:r>
        <w:rPr>
          <w:rFonts w:hint="default" w:ascii="仿宋" w:hAnsi="仿宋" w:eastAsia="仿宋" w:cs="仿宋"/>
          <w:b/>
          <w:bCs w:val="0"/>
          <w:color w:val="auto"/>
          <w:kern w:val="2"/>
          <w:sz w:val="28"/>
          <w:szCs w:val="28"/>
          <w:highlight w:val="none"/>
          <w:lang w:val="en-US" w:eastAsia="zh-CN" w:bidi="ar-SA"/>
        </w:rPr>
        <w:t>一、</w:t>
      </w:r>
      <w:r>
        <w:rPr>
          <w:rFonts w:hint="eastAsia" w:ascii="仿宋" w:hAnsi="仿宋" w:eastAsia="仿宋" w:cs="仿宋"/>
          <w:b/>
          <w:bCs w:val="0"/>
          <w:color w:val="auto"/>
          <w:sz w:val="28"/>
          <w:szCs w:val="28"/>
          <w:highlight w:val="none"/>
        </w:rPr>
        <w:t>评审办法（附表一、二）</w:t>
      </w:r>
      <w:bookmarkEnd w:id="30"/>
      <w:bookmarkEnd w:id="31"/>
    </w:p>
    <w:p w14:paraId="3805904B">
      <w:pPr>
        <w:pStyle w:val="92"/>
        <w:rPr>
          <w:rFonts w:hint="eastAsia" w:ascii="仿宋" w:hAnsi="仿宋" w:eastAsia="仿宋" w:cs="仿宋"/>
          <w:b w:val="0"/>
          <w:bCs/>
          <w:color w:val="auto"/>
          <w:sz w:val="22"/>
          <w:szCs w:val="22"/>
          <w:highlight w:val="none"/>
        </w:rPr>
      </w:pPr>
    </w:p>
    <w:p w14:paraId="415D5D6C">
      <w:pPr>
        <w:pStyle w:val="9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附表一：</w:t>
      </w:r>
    </w:p>
    <w:p w14:paraId="4420B5FF">
      <w:pPr>
        <w:pStyle w:val="92"/>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32"/>
          <w:highlight w:val="none"/>
        </w:rPr>
        <w:t>初步评审－资格、符合性审查表</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2121"/>
        <w:gridCol w:w="5841"/>
        <w:gridCol w:w="933"/>
      </w:tblGrid>
      <w:tr w14:paraId="345D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14:paraId="0BBFF9BC">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评审因素</w:t>
            </w:r>
          </w:p>
        </w:tc>
        <w:tc>
          <w:tcPr>
            <w:tcW w:w="2121" w:type="dxa"/>
            <w:vAlign w:val="center"/>
          </w:tcPr>
          <w:p w14:paraId="7B15A55C">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评审内容</w:t>
            </w:r>
          </w:p>
        </w:tc>
        <w:tc>
          <w:tcPr>
            <w:tcW w:w="5841" w:type="dxa"/>
            <w:vAlign w:val="center"/>
          </w:tcPr>
          <w:p w14:paraId="0C8381A8">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评审标准</w:t>
            </w:r>
          </w:p>
        </w:tc>
        <w:tc>
          <w:tcPr>
            <w:tcW w:w="933" w:type="dxa"/>
          </w:tcPr>
          <w:p w14:paraId="07689928">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评审意见</w:t>
            </w:r>
          </w:p>
        </w:tc>
      </w:tr>
      <w:tr w14:paraId="69B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restart"/>
          </w:tcPr>
          <w:p w14:paraId="48AD802C">
            <w:pPr>
              <w:jc w:val="center"/>
              <w:rPr>
                <w:rFonts w:hint="eastAsia" w:ascii="仿宋" w:hAnsi="仿宋" w:eastAsia="仿宋" w:cs="仿宋"/>
                <w:color w:val="auto"/>
                <w:szCs w:val="21"/>
                <w:highlight w:val="none"/>
              </w:rPr>
            </w:pPr>
          </w:p>
        </w:tc>
        <w:tc>
          <w:tcPr>
            <w:tcW w:w="539" w:type="dxa"/>
            <w:vMerge w:val="restart"/>
            <w:vAlign w:val="center"/>
          </w:tcPr>
          <w:p w14:paraId="26B58AD2">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资格审查</w:t>
            </w:r>
          </w:p>
        </w:tc>
        <w:tc>
          <w:tcPr>
            <w:tcW w:w="2121" w:type="dxa"/>
            <w:vAlign w:val="top"/>
          </w:tcPr>
          <w:p w14:paraId="22705595">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Cs w:val="21"/>
                <w:highlight w:val="none"/>
                <w:lang w:eastAsia="zh-CN"/>
              </w:rPr>
            </w:pPr>
            <w:r>
              <w:rPr>
                <w:rFonts w:hint="eastAsia" w:ascii="仿宋" w:hAnsi="仿宋" w:eastAsia="仿宋" w:cs="仿宋"/>
                <w:bCs w:val="0"/>
                <w:color w:val="auto"/>
                <w:spacing w:val="0"/>
                <w:kern w:val="2"/>
                <w:sz w:val="20"/>
                <w:szCs w:val="20"/>
                <w:highlight w:val="none"/>
                <w:lang w:val="en-US" w:eastAsia="zh-CN" w:bidi="ar-SA"/>
              </w:rPr>
              <w:t>具有独立承担民事责任的能力</w:t>
            </w:r>
          </w:p>
        </w:tc>
        <w:tc>
          <w:tcPr>
            <w:tcW w:w="5841" w:type="dxa"/>
            <w:vAlign w:val="top"/>
          </w:tcPr>
          <w:p w14:paraId="7910431D">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highlight w:val="none"/>
                <w:lang w:val="en-US" w:eastAsia="zh-CN"/>
              </w:rPr>
            </w:pPr>
            <w:r>
              <w:rPr>
                <w:rFonts w:hint="eastAsia" w:ascii="仿宋" w:hAnsi="仿宋" w:eastAsia="仿宋" w:cs="仿宋"/>
                <w:bCs w:val="0"/>
                <w:color w:val="auto"/>
                <w:spacing w:val="0"/>
                <w:kern w:val="2"/>
                <w:sz w:val="20"/>
                <w:szCs w:val="20"/>
                <w:highlight w:val="none"/>
                <w:lang w:val="en-US" w:eastAsia="zh-CN" w:bidi="ar-SA"/>
              </w:rPr>
              <w:t>提供法人营业执照或事业单位法人证书或民办非企业单位登记证书或个体工商户营业执照或其他组织的执业许可证副本扫描件；投标人为自然人的提供身份证明扫描件；采购标的属于银行、保险、石油石化、电力、电信等行业的，允许该行业法人的分支机构参加投标（报价）， 提供分支机构的《营业执照》副本扫描件。（①自然人投标的，证明材料须由本人签字；②证明材料有效期应包含投标截止日。）</w:t>
            </w:r>
          </w:p>
        </w:tc>
        <w:tc>
          <w:tcPr>
            <w:tcW w:w="933" w:type="dxa"/>
          </w:tcPr>
          <w:p w14:paraId="241D4E66">
            <w:pPr>
              <w:jc w:val="center"/>
              <w:rPr>
                <w:rFonts w:hint="eastAsia" w:ascii="仿宋" w:hAnsi="仿宋" w:eastAsia="仿宋" w:cs="仿宋"/>
                <w:color w:val="auto"/>
                <w:szCs w:val="21"/>
                <w:highlight w:val="none"/>
              </w:rPr>
            </w:pPr>
          </w:p>
        </w:tc>
      </w:tr>
      <w:tr w14:paraId="6399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14:paraId="5A346DC5">
            <w:pPr>
              <w:jc w:val="center"/>
              <w:rPr>
                <w:rFonts w:hint="eastAsia" w:ascii="仿宋" w:hAnsi="仿宋" w:eastAsia="仿宋" w:cs="仿宋"/>
                <w:color w:val="auto"/>
                <w:szCs w:val="21"/>
                <w:highlight w:val="none"/>
              </w:rPr>
            </w:pPr>
          </w:p>
        </w:tc>
        <w:tc>
          <w:tcPr>
            <w:tcW w:w="539" w:type="dxa"/>
            <w:vMerge w:val="continue"/>
            <w:vAlign w:val="center"/>
          </w:tcPr>
          <w:p w14:paraId="1E05DC4A">
            <w:pPr>
              <w:jc w:val="center"/>
              <w:rPr>
                <w:rFonts w:hint="eastAsia" w:ascii="仿宋" w:hAnsi="仿宋" w:eastAsia="仿宋" w:cs="仿宋"/>
                <w:color w:val="auto"/>
                <w:szCs w:val="21"/>
                <w:highlight w:val="none"/>
              </w:rPr>
            </w:pPr>
          </w:p>
        </w:tc>
        <w:tc>
          <w:tcPr>
            <w:tcW w:w="2121" w:type="dxa"/>
            <w:vAlign w:val="top"/>
          </w:tcPr>
          <w:p w14:paraId="3517C561">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具有良好的商业信誉和健全的财务会计制度</w:t>
            </w:r>
          </w:p>
        </w:tc>
        <w:tc>
          <w:tcPr>
            <w:tcW w:w="5841" w:type="dxa"/>
            <w:vAlign w:val="top"/>
          </w:tcPr>
          <w:p w14:paraId="5B3F06A8">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提供2024年或2025年财务财务审计报告扫描件(成立不足一年提供成立至今财务报表，至少包含资产负债表）或提供其基本开户银行在投标截止日前、六个月内出具的资信证明扫描件（银行出具的存款证明不能替代银行资信证明）。</w:t>
            </w:r>
          </w:p>
        </w:tc>
        <w:tc>
          <w:tcPr>
            <w:tcW w:w="933" w:type="dxa"/>
          </w:tcPr>
          <w:p w14:paraId="7A13C5DE">
            <w:pPr>
              <w:jc w:val="center"/>
              <w:rPr>
                <w:rFonts w:hint="eastAsia" w:ascii="仿宋" w:hAnsi="仿宋" w:eastAsia="仿宋" w:cs="仿宋"/>
                <w:color w:val="auto"/>
                <w:szCs w:val="21"/>
                <w:highlight w:val="none"/>
              </w:rPr>
            </w:pPr>
          </w:p>
        </w:tc>
      </w:tr>
      <w:tr w14:paraId="7BF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14:paraId="3EC115C9">
            <w:pPr>
              <w:jc w:val="center"/>
              <w:rPr>
                <w:rFonts w:hint="eastAsia" w:ascii="仿宋" w:hAnsi="仿宋" w:eastAsia="仿宋" w:cs="仿宋"/>
                <w:color w:val="auto"/>
                <w:szCs w:val="21"/>
                <w:highlight w:val="none"/>
              </w:rPr>
            </w:pPr>
          </w:p>
        </w:tc>
        <w:tc>
          <w:tcPr>
            <w:tcW w:w="539" w:type="dxa"/>
            <w:vMerge w:val="continue"/>
            <w:vAlign w:val="center"/>
          </w:tcPr>
          <w:p w14:paraId="240F3577">
            <w:pPr>
              <w:jc w:val="center"/>
              <w:rPr>
                <w:rFonts w:hint="eastAsia" w:ascii="仿宋" w:hAnsi="仿宋" w:eastAsia="仿宋" w:cs="仿宋"/>
                <w:color w:val="auto"/>
                <w:szCs w:val="21"/>
                <w:highlight w:val="none"/>
              </w:rPr>
            </w:pPr>
          </w:p>
        </w:tc>
        <w:tc>
          <w:tcPr>
            <w:tcW w:w="2121" w:type="dxa"/>
            <w:vAlign w:val="top"/>
          </w:tcPr>
          <w:p w14:paraId="7AC76F7B">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具有履行合同所必需的设备和专业技术能力</w:t>
            </w:r>
          </w:p>
        </w:tc>
        <w:tc>
          <w:tcPr>
            <w:tcW w:w="5841" w:type="dxa"/>
            <w:vAlign w:val="top"/>
          </w:tcPr>
          <w:p w14:paraId="2B4B668A">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《供应商具有履行合同所必需的设备和专业技术能力提供声明函》</w:t>
            </w:r>
          </w:p>
        </w:tc>
        <w:tc>
          <w:tcPr>
            <w:tcW w:w="933" w:type="dxa"/>
          </w:tcPr>
          <w:p w14:paraId="53D1B61B">
            <w:pPr>
              <w:jc w:val="center"/>
              <w:rPr>
                <w:rFonts w:hint="eastAsia" w:ascii="仿宋" w:hAnsi="仿宋" w:eastAsia="仿宋" w:cs="仿宋"/>
                <w:color w:val="auto"/>
                <w:szCs w:val="21"/>
                <w:highlight w:val="none"/>
              </w:rPr>
            </w:pPr>
          </w:p>
        </w:tc>
      </w:tr>
      <w:tr w14:paraId="714B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14:paraId="5308EACC">
            <w:pPr>
              <w:jc w:val="center"/>
              <w:rPr>
                <w:rFonts w:hint="eastAsia" w:ascii="仿宋" w:hAnsi="仿宋" w:eastAsia="仿宋" w:cs="仿宋"/>
                <w:color w:val="auto"/>
                <w:szCs w:val="21"/>
                <w:highlight w:val="none"/>
              </w:rPr>
            </w:pPr>
          </w:p>
        </w:tc>
        <w:tc>
          <w:tcPr>
            <w:tcW w:w="539" w:type="dxa"/>
            <w:vMerge w:val="continue"/>
            <w:vAlign w:val="center"/>
          </w:tcPr>
          <w:p w14:paraId="32C53779">
            <w:pPr>
              <w:jc w:val="center"/>
              <w:rPr>
                <w:rFonts w:hint="eastAsia" w:ascii="仿宋" w:hAnsi="仿宋" w:eastAsia="仿宋" w:cs="仿宋"/>
                <w:color w:val="auto"/>
                <w:szCs w:val="21"/>
                <w:highlight w:val="none"/>
              </w:rPr>
            </w:pPr>
          </w:p>
        </w:tc>
        <w:tc>
          <w:tcPr>
            <w:tcW w:w="2121" w:type="dxa"/>
            <w:vAlign w:val="top"/>
          </w:tcPr>
          <w:p w14:paraId="2088FD94">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有依法缴纳税收和社会保障资金的良好记录</w:t>
            </w:r>
          </w:p>
        </w:tc>
        <w:tc>
          <w:tcPr>
            <w:tcW w:w="5841" w:type="dxa"/>
            <w:vAlign w:val="top"/>
          </w:tcPr>
          <w:p w14:paraId="2D46F9F1">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提供投标截止日前近一年任意一个月完税证明；依法免税的，应提供相应文件（扫描件）证明其依法免税；</w:t>
            </w:r>
          </w:p>
          <w:p w14:paraId="7C4FCA70">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提供投标截止日前近一年任意一个月盖有社保局公章的社保缴纳证明（社保缴纳证明中含法定代表人或委托代理人的社保明细）；依法不需要缴纳社会保险的，应提供相应文件（扫描件）证明其依法不需要缴纳社会保险。</w:t>
            </w:r>
          </w:p>
        </w:tc>
        <w:tc>
          <w:tcPr>
            <w:tcW w:w="933" w:type="dxa"/>
          </w:tcPr>
          <w:p w14:paraId="14D7F678">
            <w:pPr>
              <w:jc w:val="center"/>
              <w:rPr>
                <w:rFonts w:hint="eastAsia" w:ascii="仿宋" w:hAnsi="仿宋" w:eastAsia="仿宋" w:cs="仿宋"/>
                <w:color w:val="auto"/>
                <w:szCs w:val="21"/>
                <w:highlight w:val="none"/>
              </w:rPr>
            </w:pPr>
          </w:p>
        </w:tc>
      </w:tr>
      <w:tr w14:paraId="1AFF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14:paraId="5A5C8A13">
            <w:pPr>
              <w:jc w:val="center"/>
              <w:rPr>
                <w:rFonts w:hint="eastAsia" w:ascii="仿宋" w:hAnsi="仿宋" w:eastAsia="仿宋" w:cs="仿宋"/>
                <w:color w:val="auto"/>
                <w:szCs w:val="21"/>
                <w:highlight w:val="none"/>
              </w:rPr>
            </w:pPr>
          </w:p>
        </w:tc>
        <w:tc>
          <w:tcPr>
            <w:tcW w:w="539" w:type="dxa"/>
            <w:vMerge w:val="continue"/>
            <w:vAlign w:val="center"/>
          </w:tcPr>
          <w:p w14:paraId="67FECA47">
            <w:pPr>
              <w:jc w:val="center"/>
              <w:rPr>
                <w:rFonts w:hint="eastAsia" w:ascii="仿宋" w:hAnsi="仿宋" w:eastAsia="仿宋" w:cs="仿宋"/>
                <w:color w:val="auto"/>
                <w:szCs w:val="21"/>
                <w:highlight w:val="none"/>
              </w:rPr>
            </w:pPr>
          </w:p>
        </w:tc>
        <w:tc>
          <w:tcPr>
            <w:tcW w:w="2121" w:type="dxa"/>
            <w:vAlign w:val="top"/>
          </w:tcPr>
          <w:p w14:paraId="7F549F2D">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参加政府采购活动前三年内，在经营活动中没有重大违法记录</w:t>
            </w:r>
          </w:p>
        </w:tc>
        <w:tc>
          <w:tcPr>
            <w:tcW w:w="5841" w:type="dxa"/>
            <w:vAlign w:val="center"/>
          </w:tcPr>
          <w:p w14:paraId="2FF2BEE8">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提供《三年内在经营活动中没有重大违法记录的声明》</w:t>
            </w:r>
          </w:p>
        </w:tc>
        <w:tc>
          <w:tcPr>
            <w:tcW w:w="933" w:type="dxa"/>
          </w:tcPr>
          <w:p w14:paraId="3867E165">
            <w:pPr>
              <w:jc w:val="center"/>
              <w:rPr>
                <w:rFonts w:hint="eastAsia" w:ascii="仿宋" w:hAnsi="仿宋" w:eastAsia="仿宋" w:cs="仿宋"/>
                <w:color w:val="auto"/>
                <w:szCs w:val="21"/>
                <w:highlight w:val="none"/>
              </w:rPr>
            </w:pPr>
          </w:p>
        </w:tc>
      </w:tr>
      <w:tr w14:paraId="2A3E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14:paraId="178EA15D">
            <w:pPr>
              <w:jc w:val="center"/>
              <w:rPr>
                <w:rFonts w:hint="eastAsia" w:ascii="仿宋" w:hAnsi="仿宋" w:eastAsia="仿宋" w:cs="仿宋"/>
                <w:color w:val="auto"/>
                <w:szCs w:val="21"/>
                <w:highlight w:val="none"/>
              </w:rPr>
            </w:pPr>
          </w:p>
        </w:tc>
        <w:tc>
          <w:tcPr>
            <w:tcW w:w="539" w:type="dxa"/>
            <w:vMerge w:val="continue"/>
            <w:vAlign w:val="center"/>
          </w:tcPr>
          <w:p w14:paraId="01031044">
            <w:pPr>
              <w:jc w:val="center"/>
              <w:rPr>
                <w:rFonts w:hint="eastAsia" w:ascii="仿宋" w:hAnsi="仿宋" w:eastAsia="仿宋" w:cs="仿宋"/>
                <w:color w:val="auto"/>
                <w:szCs w:val="21"/>
                <w:highlight w:val="none"/>
              </w:rPr>
            </w:pPr>
          </w:p>
        </w:tc>
        <w:tc>
          <w:tcPr>
            <w:tcW w:w="2121" w:type="dxa"/>
            <w:vAlign w:val="top"/>
          </w:tcPr>
          <w:p w14:paraId="3D6DD7AD">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符合法律、行政法规规定的其他条件</w:t>
            </w:r>
          </w:p>
        </w:tc>
        <w:tc>
          <w:tcPr>
            <w:tcW w:w="5841" w:type="dxa"/>
            <w:vAlign w:val="top"/>
          </w:tcPr>
          <w:p w14:paraId="2B0B131E">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提供① 单位负责人为同一人或者存在直接控股、管理关系的不同供应商不得参加同一合同项下的政府采购活动的《声明函》；提供②为采购项目提供整体设计、规范编制或者项目管理、监理、检测等服务的供应商，不得再参加该采购项目的其他采购活动的《声明函》。</w:t>
            </w:r>
          </w:p>
        </w:tc>
        <w:tc>
          <w:tcPr>
            <w:tcW w:w="933" w:type="dxa"/>
          </w:tcPr>
          <w:p w14:paraId="7732FB11">
            <w:pPr>
              <w:jc w:val="center"/>
              <w:rPr>
                <w:rFonts w:hint="eastAsia" w:ascii="仿宋" w:hAnsi="仿宋" w:eastAsia="仿宋" w:cs="仿宋"/>
                <w:color w:val="auto"/>
                <w:szCs w:val="21"/>
                <w:highlight w:val="none"/>
              </w:rPr>
            </w:pPr>
          </w:p>
        </w:tc>
      </w:tr>
      <w:tr w14:paraId="4B21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14:paraId="568C0C0A">
            <w:pPr>
              <w:jc w:val="center"/>
              <w:rPr>
                <w:rFonts w:hint="eastAsia" w:ascii="仿宋" w:hAnsi="仿宋" w:eastAsia="仿宋" w:cs="仿宋"/>
                <w:color w:val="auto"/>
                <w:szCs w:val="21"/>
                <w:highlight w:val="none"/>
              </w:rPr>
            </w:pPr>
          </w:p>
        </w:tc>
        <w:tc>
          <w:tcPr>
            <w:tcW w:w="539" w:type="dxa"/>
            <w:vMerge w:val="continue"/>
            <w:vAlign w:val="center"/>
          </w:tcPr>
          <w:p w14:paraId="1458D495">
            <w:pPr>
              <w:jc w:val="center"/>
              <w:rPr>
                <w:rFonts w:hint="eastAsia" w:ascii="仿宋" w:hAnsi="仿宋" w:eastAsia="仿宋" w:cs="仿宋"/>
                <w:color w:val="auto"/>
                <w:szCs w:val="21"/>
                <w:highlight w:val="none"/>
              </w:rPr>
            </w:pPr>
          </w:p>
        </w:tc>
        <w:tc>
          <w:tcPr>
            <w:tcW w:w="2121" w:type="dxa"/>
            <w:vAlign w:val="center"/>
          </w:tcPr>
          <w:p w14:paraId="098B630C">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其他要求</w:t>
            </w:r>
          </w:p>
        </w:tc>
        <w:tc>
          <w:tcPr>
            <w:tcW w:w="5841" w:type="dxa"/>
            <w:vAlign w:val="top"/>
          </w:tcPr>
          <w:p w14:paraId="53486482">
            <w:pPr>
              <w:pStyle w:val="124"/>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Cs w:val="0"/>
                <w:color w:val="auto"/>
                <w:spacing w:val="0"/>
                <w:kern w:val="2"/>
                <w:sz w:val="20"/>
                <w:szCs w:val="20"/>
                <w:highlight w:val="none"/>
                <w:lang w:val="en-US" w:eastAsia="zh-CN" w:bidi="ar-SA"/>
              </w:rPr>
            </w:pPr>
            <w:r>
              <w:rPr>
                <w:rFonts w:hint="eastAsia" w:ascii="仿宋" w:hAnsi="仿宋" w:eastAsia="仿宋" w:cs="仿宋"/>
                <w:bCs w:val="0"/>
                <w:color w:val="auto"/>
                <w:spacing w:val="0"/>
                <w:kern w:val="2"/>
                <w:sz w:val="20"/>
                <w:szCs w:val="20"/>
                <w:highlight w:val="none"/>
                <w:lang w:val="en-US" w:eastAsia="zh-CN" w:bidi="ar-SA"/>
              </w:rPr>
              <w:t>供应商存在“信用中国”网站 （ www.creditchina.gov.cn ）、中 国政府采购网 （www.ccgp.gov.cn）中被列入失信被执行人、重大税收违法案件当事人名单、政府采购严重违法失信行为记录名单的禁止参与参与本项目，响应文件无效。（由采购人或采购代理机构自行查询）</w:t>
            </w:r>
          </w:p>
        </w:tc>
        <w:tc>
          <w:tcPr>
            <w:tcW w:w="933" w:type="dxa"/>
          </w:tcPr>
          <w:p w14:paraId="1CF14520">
            <w:pPr>
              <w:jc w:val="center"/>
              <w:rPr>
                <w:rFonts w:hint="eastAsia" w:ascii="仿宋" w:hAnsi="仿宋" w:eastAsia="仿宋" w:cs="仿宋"/>
                <w:color w:val="auto"/>
                <w:szCs w:val="21"/>
                <w:highlight w:val="none"/>
              </w:rPr>
            </w:pPr>
          </w:p>
        </w:tc>
      </w:tr>
      <w:tr w14:paraId="75F3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14:paraId="045BBF72">
            <w:pPr>
              <w:jc w:val="center"/>
              <w:rPr>
                <w:rFonts w:hint="eastAsia" w:ascii="仿宋" w:hAnsi="仿宋" w:eastAsia="仿宋" w:cs="仿宋"/>
                <w:color w:val="auto"/>
                <w:szCs w:val="21"/>
                <w:highlight w:val="none"/>
              </w:rPr>
            </w:pPr>
          </w:p>
        </w:tc>
        <w:tc>
          <w:tcPr>
            <w:tcW w:w="539" w:type="dxa"/>
            <w:vMerge w:val="continue"/>
            <w:vAlign w:val="center"/>
          </w:tcPr>
          <w:p w14:paraId="23D53589">
            <w:pPr>
              <w:jc w:val="center"/>
              <w:rPr>
                <w:rFonts w:hint="eastAsia" w:ascii="仿宋" w:hAnsi="仿宋" w:eastAsia="仿宋" w:cs="仿宋"/>
                <w:color w:val="auto"/>
                <w:szCs w:val="21"/>
                <w:highlight w:val="none"/>
              </w:rPr>
            </w:pPr>
          </w:p>
        </w:tc>
        <w:tc>
          <w:tcPr>
            <w:tcW w:w="2121" w:type="dxa"/>
            <w:vAlign w:val="center"/>
          </w:tcPr>
          <w:p w14:paraId="0A097577">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 w:val="20"/>
                <w:szCs w:val="20"/>
                <w:highlight w:val="none"/>
              </w:rPr>
              <w:t>特定资质</w:t>
            </w:r>
          </w:p>
        </w:tc>
        <w:tc>
          <w:tcPr>
            <w:tcW w:w="5841" w:type="dxa"/>
            <w:vAlign w:val="center"/>
          </w:tcPr>
          <w:p w14:paraId="56C16F7F">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default" w:ascii="仿宋" w:hAnsi="仿宋" w:eastAsia="仿宋" w:cs="仿宋"/>
                <w:color w:val="FF0000"/>
                <w:szCs w:val="21"/>
                <w:highlight w:val="none"/>
                <w:lang w:val="en-US" w:eastAsia="zh-CN"/>
              </w:rPr>
            </w:pPr>
            <w:r>
              <w:rPr>
                <w:rFonts w:hint="eastAsia" w:ascii="仿宋" w:hAnsi="仿宋" w:eastAsia="仿宋" w:cs="仿宋"/>
                <w:color w:val="FF0000"/>
                <w:szCs w:val="21"/>
                <w:highlight w:val="none"/>
                <w:lang w:val="en-US" w:eastAsia="zh-CN"/>
              </w:rPr>
              <w:t>1、</w:t>
            </w:r>
            <w:r>
              <w:rPr>
                <w:rFonts w:hint="default" w:ascii="仿宋" w:hAnsi="仿宋" w:eastAsia="仿宋" w:cs="仿宋"/>
                <w:color w:val="FF0000"/>
                <w:szCs w:val="21"/>
                <w:highlight w:val="none"/>
                <w:lang w:val="en-US" w:eastAsia="zh-CN"/>
              </w:rPr>
              <w:t>申请取得种子生产经营许可证的，应当具有与种子生产经营相适应的生产经营设施、设备及专业技术人员，以及法规和国务院农业、林业主管部门规定的其他条件。</w:t>
            </w:r>
          </w:p>
          <w:p w14:paraId="67BEC207">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default" w:ascii="仿宋" w:hAnsi="仿宋" w:eastAsia="仿宋" w:cs="仿宋"/>
                <w:color w:val="FF0000"/>
                <w:szCs w:val="21"/>
                <w:highlight w:val="none"/>
                <w:lang w:val="en-US" w:eastAsia="zh-CN"/>
              </w:rPr>
            </w:pPr>
            <w:r>
              <w:rPr>
                <w:rFonts w:hint="eastAsia" w:ascii="仿宋" w:hAnsi="仿宋" w:eastAsia="仿宋" w:cs="仿宋"/>
                <w:color w:val="FF0000"/>
                <w:szCs w:val="21"/>
                <w:highlight w:val="none"/>
                <w:lang w:val="en-US" w:eastAsia="zh-CN"/>
              </w:rPr>
              <w:t>2、</w:t>
            </w:r>
            <w:r>
              <w:rPr>
                <w:rFonts w:hint="default" w:ascii="仿宋" w:hAnsi="仿宋" w:eastAsia="仿宋" w:cs="仿宋"/>
                <w:color w:val="FF0000"/>
                <w:szCs w:val="21"/>
                <w:highlight w:val="none"/>
                <w:lang w:val="en-US" w:eastAsia="zh-CN"/>
              </w:rPr>
              <w:t>从事种子生产的，还应当同时具有繁殖种子的隔离和培育条件，具有无检疫性有害生物的种子生产地点或者县级以上人民政府林业主管部门确定的采种林。</w:t>
            </w:r>
          </w:p>
          <w:p w14:paraId="71D03D6D">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FF0000"/>
                <w:szCs w:val="21"/>
                <w:highlight w:val="none"/>
                <w:lang w:val="en-US" w:eastAsia="zh-CN"/>
              </w:rPr>
              <w:t>3、</w:t>
            </w:r>
            <w:r>
              <w:rPr>
                <w:rFonts w:hint="default" w:ascii="仿宋" w:hAnsi="仿宋" w:eastAsia="仿宋" w:cs="仿宋"/>
                <w:color w:val="FF0000"/>
                <w:szCs w:val="21"/>
                <w:highlight w:val="none"/>
                <w:lang w:val="en-US" w:eastAsia="zh-CN"/>
              </w:rPr>
              <w:t>申请领取具有植物新品种权的种子生产经营许可证的，应当征得植物新品种权所有人的书面同意。</w:t>
            </w:r>
          </w:p>
        </w:tc>
        <w:tc>
          <w:tcPr>
            <w:tcW w:w="933" w:type="dxa"/>
          </w:tcPr>
          <w:p w14:paraId="62440614">
            <w:pPr>
              <w:jc w:val="center"/>
              <w:rPr>
                <w:rFonts w:hint="eastAsia" w:ascii="仿宋" w:hAnsi="仿宋" w:eastAsia="仿宋" w:cs="仿宋"/>
                <w:color w:val="auto"/>
                <w:szCs w:val="21"/>
                <w:highlight w:val="none"/>
              </w:rPr>
            </w:pPr>
          </w:p>
        </w:tc>
      </w:tr>
      <w:tr w14:paraId="716E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14:paraId="01FBCA15">
            <w:pPr>
              <w:jc w:val="center"/>
              <w:rPr>
                <w:rFonts w:hint="eastAsia" w:ascii="仿宋" w:hAnsi="仿宋" w:eastAsia="仿宋" w:cs="仿宋"/>
                <w:color w:val="auto"/>
                <w:szCs w:val="21"/>
                <w:highlight w:val="none"/>
              </w:rPr>
            </w:pPr>
          </w:p>
        </w:tc>
        <w:tc>
          <w:tcPr>
            <w:tcW w:w="539" w:type="dxa"/>
            <w:vMerge w:val="continue"/>
            <w:vAlign w:val="center"/>
          </w:tcPr>
          <w:p w14:paraId="06CF6198">
            <w:pPr>
              <w:jc w:val="center"/>
              <w:rPr>
                <w:rFonts w:hint="eastAsia" w:ascii="仿宋" w:hAnsi="仿宋" w:eastAsia="仿宋" w:cs="仿宋"/>
                <w:color w:val="auto"/>
                <w:szCs w:val="21"/>
                <w:highlight w:val="none"/>
              </w:rPr>
            </w:pPr>
          </w:p>
        </w:tc>
        <w:tc>
          <w:tcPr>
            <w:tcW w:w="2121" w:type="dxa"/>
            <w:vAlign w:val="center"/>
          </w:tcPr>
          <w:p w14:paraId="6B55A424">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 w:val="20"/>
                <w:szCs w:val="20"/>
                <w:highlight w:val="none"/>
              </w:rPr>
              <w:t>采购政策</w:t>
            </w:r>
          </w:p>
        </w:tc>
        <w:tc>
          <w:tcPr>
            <w:tcW w:w="5841" w:type="dxa"/>
            <w:vAlign w:val="center"/>
          </w:tcPr>
          <w:p w14:paraId="50E2942C">
            <w:pPr>
              <w:pageBreakBefore w:val="0"/>
              <w:widowControl w:val="0"/>
              <w:kinsoku/>
              <w:overflowPunct/>
              <w:topLinePunct w:val="0"/>
              <w:bidi w:val="0"/>
              <w:spacing w:beforeAutospacing="0" w:after="0" w:afterAutospacing="0" w:line="240" w:lineRule="auto"/>
              <w:ind w:left="0" w:leftChars="0" w:right="0" w:rightChars="0"/>
              <w:jc w:val="both"/>
              <w:textAlignment w:val="auto"/>
              <w:rPr>
                <w:rFonts w:hint="eastAsia" w:ascii="仿宋" w:hAnsi="仿宋" w:eastAsia="仿宋" w:cs="仿宋"/>
                <w:color w:val="auto"/>
                <w:szCs w:val="21"/>
                <w:highlight w:val="none"/>
              </w:rPr>
            </w:pPr>
            <w:r>
              <w:rPr>
                <w:rFonts w:hint="eastAsia" w:ascii="仿宋" w:hAnsi="仿宋" w:eastAsia="仿宋" w:cs="仿宋"/>
                <w:color w:val="auto"/>
                <w:sz w:val="20"/>
                <w:szCs w:val="20"/>
                <w:highlight w:val="none"/>
              </w:rPr>
              <w:t>供应商</w:t>
            </w:r>
            <w:r>
              <w:rPr>
                <w:rFonts w:hint="eastAsia" w:ascii="仿宋" w:hAnsi="仿宋" w:eastAsia="仿宋" w:cs="仿宋"/>
                <w:color w:val="auto"/>
                <w:sz w:val="20"/>
                <w:szCs w:val="20"/>
                <w:highlight w:val="none"/>
                <w:lang w:val="en-US" w:eastAsia="zh-CN"/>
              </w:rPr>
              <w:t>如</w:t>
            </w:r>
            <w:r>
              <w:rPr>
                <w:rFonts w:hint="eastAsia" w:ascii="仿宋" w:hAnsi="仿宋" w:eastAsia="仿宋" w:cs="仿宋"/>
                <w:color w:val="auto"/>
                <w:sz w:val="20"/>
                <w:szCs w:val="20"/>
                <w:highlight w:val="none"/>
              </w:rPr>
              <w:t>为中小</w:t>
            </w:r>
            <w:r>
              <w:rPr>
                <w:rFonts w:hint="eastAsia" w:ascii="仿宋" w:hAnsi="仿宋" w:eastAsia="仿宋" w:cs="仿宋"/>
                <w:color w:val="auto"/>
                <w:sz w:val="20"/>
                <w:szCs w:val="20"/>
                <w:highlight w:val="none"/>
                <w:lang w:val="en-US" w:eastAsia="zh-CN"/>
              </w:rPr>
              <w:t>微</w:t>
            </w:r>
            <w:r>
              <w:rPr>
                <w:rFonts w:hint="eastAsia" w:ascii="仿宋" w:hAnsi="仿宋" w:eastAsia="仿宋" w:cs="仿宋"/>
                <w:color w:val="auto"/>
                <w:sz w:val="20"/>
                <w:szCs w:val="20"/>
                <w:highlight w:val="none"/>
              </w:rPr>
              <w:t>企业</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必须提供中小企业声明函</w:t>
            </w:r>
          </w:p>
        </w:tc>
        <w:tc>
          <w:tcPr>
            <w:tcW w:w="933" w:type="dxa"/>
          </w:tcPr>
          <w:p w14:paraId="275691CD">
            <w:pPr>
              <w:jc w:val="center"/>
              <w:rPr>
                <w:rFonts w:hint="eastAsia" w:ascii="仿宋" w:hAnsi="仿宋" w:eastAsia="仿宋" w:cs="仿宋"/>
                <w:color w:val="auto"/>
                <w:szCs w:val="21"/>
                <w:highlight w:val="none"/>
              </w:rPr>
            </w:pPr>
          </w:p>
        </w:tc>
      </w:tr>
      <w:tr w14:paraId="0BBA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14:paraId="123F9BEA">
            <w:pPr>
              <w:jc w:val="center"/>
              <w:rPr>
                <w:rFonts w:hint="eastAsia" w:ascii="仿宋" w:hAnsi="仿宋" w:eastAsia="仿宋" w:cs="仿宋"/>
                <w:color w:val="auto"/>
                <w:szCs w:val="21"/>
                <w:highlight w:val="none"/>
              </w:rPr>
            </w:pPr>
          </w:p>
        </w:tc>
        <w:tc>
          <w:tcPr>
            <w:tcW w:w="539" w:type="dxa"/>
            <w:vMerge w:val="restart"/>
            <w:vAlign w:val="center"/>
          </w:tcPr>
          <w:p w14:paraId="72A11C5A">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符合性审查表</w:t>
            </w:r>
          </w:p>
        </w:tc>
        <w:tc>
          <w:tcPr>
            <w:tcW w:w="7962" w:type="dxa"/>
            <w:gridSpan w:val="2"/>
            <w:vAlign w:val="center"/>
          </w:tcPr>
          <w:p w14:paraId="38F75161">
            <w:pPr>
              <w:pStyle w:val="11"/>
              <w:ind w:firstLine="0" w:firstLine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响应文件格式符合磋商文件要求</w:t>
            </w:r>
            <w:r>
              <w:rPr>
                <w:rFonts w:hint="eastAsia" w:ascii="仿宋" w:hAnsi="仿宋" w:eastAsia="仿宋" w:cs="仿宋"/>
                <w:color w:val="auto"/>
                <w:szCs w:val="21"/>
                <w:highlight w:val="none"/>
                <w:lang w:eastAsia="zh-CN"/>
              </w:rPr>
              <w:t>；</w:t>
            </w:r>
          </w:p>
        </w:tc>
        <w:tc>
          <w:tcPr>
            <w:tcW w:w="933" w:type="dxa"/>
          </w:tcPr>
          <w:p w14:paraId="47FAE9CA">
            <w:pPr>
              <w:jc w:val="center"/>
              <w:rPr>
                <w:rFonts w:hint="eastAsia" w:ascii="仿宋" w:hAnsi="仿宋" w:eastAsia="仿宋" w:cs="仿宋"/>
                <w:color w:val="auto"/>
                <w:szCs w:val="21"/>
                <w:highlight w:val="none"/>
              </w:rPr>
            </w:pPr>
          </w:p>
        </w:tc>
      </w:tr>
      <w:tr w14:paraId="2BA0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14:paraId="473EDA4F">
            <w:pPr>
              <w:jc w:val="center"/>
              <w:rPr>
                <w:rFonts w:hint="eastAsia" w:ascii="仿宋" w:hAnsi="仿宋" w:eastAsia="仿宋" w:cs="仿宋"/>
                <w:color w:val="auto"/>
                <w:szCs w:val="21"/>
                <w:highlight w:val="none"/>
              </w:rPr>
            </w:pPr>
          </w:p>
        </w:tc>
        <w:tc>
          <w:tcPr>
            <w:tcW w:w="539" w:type="dxa"/>
            <w:vMerge w:val="continue"/>
            <w:vAlign w:val="center"/>
          </w:tcPr>
          <w:p w14:paraId="7AD98925">
            <w:pPr>
              <w:jc w:val="center"/>
              <w:rPr>
                <w:rFonts w:hint="eastAsia" w:ascii="仿宋" w:hAnsi="仿宋" w:eastAsia="仿宋" w:cs="仿宋"/>
                <w:color w:val="auto"/>
                <w:szCs w:val="21"/>
                <w:highlight w:val="none"/>
              </w:rPr>
            </w:pPr>
          </w:p>
        </w:tc>
        <w:tc>
          <w:tcPr>
            <w:tcW w:w="7962" w:type="dxa"/>
            <w:gridSpan w:val="2"/>
            <w:vAlign w:val="center"/>
          </w:tcPr>
          <w:p w14:paraId="7A73D1AC">
            <w:pPr>
              <w:pStyle w:val="11"/>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响应文件按照磋商文件规定要求签署、盖章的；</w:t>
            </w:r>
          </w:p>
        </w:tc>
        <w:tc>
          <w:tcPr>
            <w:tcW w:w="933" w:type="dxa"/>
          </w:tcPr>
          <w:p w14:paraId="6597534C">
            <w:pPr>
              <w:jc w:val="center"/>
              <w:rPr>
                <w:rFonts w:hint="eastAsia" w:ascii="仿宋" w:hAnsi="仿宋" w:eastAsia="仿宋" w:cs="仿宋"/>
                <w:color w:val="auto"/>
                <w:szCs w:val="21"/>
                <w:highlight w:val="none"/>
              </w:rPr>
            </w:pPr>
          </w:p>
        </w:tc>
      </w:tr>
      <w:tr w14:paraId="7738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14:paraId="276D1710">
            <w:pPr>
              <w:jc w:val="center"/>
              <w:rPr>
                <w:rFonts w:hint="eastAsia" w:ascii="仿宋" w:hAnsi="仿宋" w:eastAsia="仿宋" w:cs="仿宋"/>
                <w:color w:val="auto"/>
                <w:szCs w:val="21"/>
                <w:highlight w:val="none"/>
              </w:rPr>
            </w:pPr>
          </w:p>
        </w:tc>
        <w:tc>
          <w:tcPr>
            <w:tcW w:w="539" w:type="dxa"/>
            <w:vMerge w:val="continue"/>
            <w:vAlign w:val="center"/>
          </w:tcPr>
          <w:p w14:paraId="785025F9">
            <w:pPr>
              <w:jc w:val="center"/>
              <w:rPr>
                <w:rFonts w:hint="eastAsia" w:ascii="仿宋" w:hAnsi="仿宋" w:eastAsia="仿宋" w:cs="仿宋"/>
                <w:color w:val="auto"/>
                <w:szCs w:val="21"/>
                <w:highlight w:val="none"/>
              </w:rPr>
            </w:pPr>
          </w:p>
        </w:tc>
        <w:tc>
          <w:tcPr>
            <w:tcW w:w="7962" w:type="dxa"/>
            <w:gridSpan w:val="2"/>
            <w:vAlign w:val="center"/>
          </w:tcPr>
          <w:p w14:paraId="4A538297">
            <w:pPr>
              <w:pStyle w:val="11"/>
              <w:ind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供应商报价未按照竞争性磋商文件规定的金额报价；</w:t>
            </w:r>
          </w:p>
        </w:tc>
        <w:tc>
          <w:tcPr>
            <w:tcW w:w="933" w:type="dxa"/>
          </w:tcPr>
          <w:p w14:paraId="07320521">
            <w:pPr>
              <w:jc w:val="center"/>
              <w:rPr>
                <w:rFonts w:hint="eastAsia" w:ascii="仿宋" w:hAnsi="仿宋" w:eastAsia="仿宋" w:cs="仿宋"/>
                <w:color w:val="auto"/>
                <w:szCs w:val="21"/>
                <w:highlight w:val="none"/>
              </w:rPr>
            </w:pPr>
          </w:p>
        </w:tc>
      </w:tr>
      <w:tr w14:paraId="3D88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556" w:type="dxa"/>
            <w:vMerge w:val="continue"/>
          </w:tcPr>
          <w:p w14:paraId="1CDFC8DB">
            <w:pPr>
              <w:jc w:val="center"/>
              <w:rPr>
                <w:rFonts w:hint="eastAsia" w:ascii="仿宋" w:hAnsi="仿宋" w:eastAsia="仿宋" w:cs="仿宋"/>
                <w:color w:val="auto"/>
                <w:szCs w:val="21"/>
                <w:highlight w:val="none"/>
              </w:rPr>
            </w:pPr>
          </w:p>
        </w:tc>
        <w:tc>
          <w:tcPr>
            <w:tcW w:w="539" w:type="dxa"/>
            <w:vMerge w:val="continue"/>
            <w:vAlign w:val="center"/>
          </w:tcPr>
          <w:p w14:paraId="0AD131D0">
            <w:pPr>
              <w:jc w:val="center"/>
              <w:rPr>
                <w:rFonts w:hint="eastAsia" w:ascii="仿宋" w:hAnsi="仿宋" w:eastAsia="仿宋" w:cs="仿宋"/>
                <w:color w:val="auto"/>
                <w:szCs w:val="21"/>
                <w:highlight w:val="none"/>
              </w:rPr>
            </w:pPr>
          </w:p>
        </w:tc>
        <w:tc>
          <w:tcPr>
            <w:tcW w:w="7962" w:type="dxa"/>
            <w:gridSpan w:val="2"/>
            <w:vAlign w:val="center"/>
          </w:tcPr>
          <w:p w14:paraId="462939F9">
            <w:pPr>
              <w:pStyle w:val="11"/>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磋商有效期符合磋商文件中规定的；</w:t>
            </w:r>
          </w:p>
        </w:tc>
        <w:tc>
          <w:tcPr>
            <w:tcW w:w="933" w:type="dxa"/>
          </w:tcPr>
          <w:p w14:paraId="1EEFC19B">
            <w:pPr>
              <w:jc w:val="center"/>
              <w:rPr>
                <w:rFonts w:hint="eastAsia" w:ascii="仿宋" w:hAnsi="仿宋" w:eastAsia="仿宋" w:cs="仿宋"/>
                <w:color w:val="auto"/>
                <w:szCs w:val="21"/>
                <w:highlight w:val="none"/>
              </w:rPr>
            </w:pPr>
          </w:p>
        </w:tc>
      </w:tr>
      <w:tr w14:paraId="6E73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jc w:val="center"/>
        </w:trPr>
        <w:tc>
          <w:tcPr>
            <w:tcW w:w="556" w:type="dxa"/>
            <w:vMerge w:val="continue"/>
          </w:tcPr>
          <w:p w14:paraId="5A8128E4">
            <w:pPr>
              <w:jc w:val="center"/>
              <w:rPr>
                <w:rFonts w:hint="eastAsia" w:ascii="仿宋" w:hAnsi="仿宋" w:eastAsia="仿宋" w:cs="仿宋"/>
                <w:color w:val="auto"/>
                <w:szCs w:val="21"/>
                <w:highlight w:val="none"/>
              </w:rPr>
            </w:pPr>
          </w:p>
        </w:tc>
        <w:tc>
          <w:tcPr>
            <w:tcW w:w="539" w:type="dxa"/>
            <w:vMerge w:val="continue"/>
            <w:vAlign w:val="center"/>
          </w:tcPr>
          <w:p w14:paraId="0CA1C99B">
            <w:pPr>
              <w:jc w:val="center"/>
              <w:rPr>
                <w:rFonts w:hint="eastAsia" w:ascii="仿宋" w:hAnsi="仿宋" w:eastAsia="仿宋" w:cs="仿宋"/>
                <w:color w:val="auto"/>
                <w:szCs w:val="21"/>
                <w:highlight w:val="none"/>
              </w:rPr>
            </w:pPr>
          </w:p>
        </w:tc>
        <w:tc>
          <w:tcPr>
            <w:tcW w:w="7962" w:type="dxa"/>
            <w:gridSpan w:val="2"/>
            <w:vAlign w:val="center"/>
          </w:tcPr>
          <w:p w14:paraId="677ED5CB">
            <w:pPr>
              <w:pStyle w:val="11"/>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响应文件中没有采购人不能接受的附加条件的；</w:t>
            </w:r>
          </w:p>
        </w:tc>
        <w:tc>
          <w:tcPr>
            <w:tcW w:w="933" w:type="dxa"/>
          </w:tcPr>
          <w:p w14:paraId="715BF928">
            <w:pPr>
              <w:jc w:val="center"/>
              <w:rPr>
                <w:rFonts w:hint="eastAsia" w:ascii="仿宋" w:hAnsi="仿宋" w:eastAsia="仿宋" w:cs="仿宋"/>
                <w:color w:val="auto"/>
                <w:szCs w:val="21"/>
                <w:highlight w:val="none"/>
              </w:rPr>
            </w:pPr>
          </w:p>
        </w:tc>
      </w:tr>
      <w:tr w14:paraId="535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14:paraId="399FE4EE">
            <w:pPr>
              <w:jc w:val="center"/>
              <w:rPr>
                <w:rFonts w:hint="eastAsia" w:ascii="仿宋" w:hAnsi="仿宋" w:eastAsia="仿宋" w:cs="仿宋"/>
                <w:color w:val="auto"/>
                <w:szCs w:val="21"/>
                <w:highlight w:val="none"/>
              </w:rPr>
            </w:pPr>
          </w:p>
        </w:tc>
        <w:tc>
          <w:tcPr>
            <w:tcW w:w="539" w:type="dxa"/>
            <w:vMerge w:val="continue"/>
            <w:vAlign w:val="center"/>
          </w:tcPr>
          <w:p w14:paraId="0414493B">
            <w:pPr>
              <w:jc w:val="center"/>
              <w:rPr>
                <w:rFonts w:hint="eastAsia" w:ascii="仿宋" w:hAnsi="仿宋" w:eastAsia="仿宋" w:cs="仿宋"/>
                <w:color w:val="auto"/>
                <w:szCs w:val="21"/>
                <w:highlight w:val="none"/>
              </w:rPr>
            </w:pPr>
          </w:p>
        </w:tc>
        <w:tc>
          <w:tcPr>
            <w:tcW w:w="7962" w:type="dxa"/>
            <w:gridSpan w:val="2"/>
            <w:vAlign w:val="center"/>
          </w:tcPr>
          <w:p w14:paraId="615432D5">
            <w:pPr>
              <w:pStyle w:val="11"/>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符合法律、法规及本磋商文件规定的其他情形。</w:t>
            </w:r>
          </w:p>
        </w:tc>
        <w:tc>
          <w:tcPr>
            <w:tcW w:w="933" w:type="dxa"/>
          </w:tcPr>
          <w:p w14:paraId="436E0265">
            <w:pPr>
              <w:jc w:val="center"/>
              <w:rPr>
                <w:rFonts w:hint="eastAsia" w:ascii="仿宋" w:hAnsi="仿宋" w:eastAsia="仿宋" w:cs="仿宋"/>
                <w:color w:val="auto"/>
                <w:szCs w:val="21"/>
                <w:highlight w:val="none"/>
              </w:rPr>
            </w:pPr>
          </w:p>
        </w:tc>
      </w:tr>
      <w:tr w14:paraId="160C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14:paraId="0BBA6C79">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注：以上检查内容必须全部满足检查标准，否则视为无效投标。</w:t>
            </w:r>
          </w:p>
        </w:tc>
      </w:tr>
    </w:tbl>
    <w:p w14:paraId="4517F1B2">
      <w:pPr>
        <w:pStyle w:val="92"/>
        <w:rPr>
          <w:rFonts w:ascii="宋体" w:hAnsi="宋体" w:cs="宋体"/>
          <w:color w:val="auto"/>
          <w:sz w:val="22"/>
          <w:szCs w:val="22"/>
          <w:highlight w:val="none"/>
        </w:rPr>
      </w:pPr>
    </w:p>
    <w:p w14:paraId="7EFDED26">
      <w:pPr>
        <w:pStyle w:val="92"/>
        <w:rPr>
          <w:rFonts w:hint="eastAsia" w:ascii="宋体" w:hAnsi="宋体" w:cs="宋体"/>
          <w:color w:val="auto"/>
          <w:sz w:val="22"/>
          <w:szCs w:val="22"/>
          <w:highlight w:val="none"/>
        </w:rPr>
      </w:pPr>
    </w:p>
    <w:p w14:paraId="478162E1">
      <w:pPr>
        <w:pStyle w:val="92"/>
        <w:rPr>
          <w:rFonts w:hint="eastAsia" w:ascii="宋体" w:hAnsi="宋体" w:cs="宋体"/>
          <w:color w:val="auto"/>
          <w:sz w:val="22"/>
          <w:szCs w:val="22"/>
          <w:highlight w:val="none"/>
        </w:rPr>
      </w:pPr>
    </w:p>
    <w:p w14:paraId="023AE5F8">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7A7BBBC9">
      <w:pPr>
        <w:pStyle w:val="92"/>
        <w:rPr>
          <w:rFonts w:ascii="宋体" w:hAnsi="宋体" w:cs="宋体"/>
          <w:color w:val="auto"/>
          <w:sz w:val="22"/>
          <w:szCs w:val="22"/>
          <w:highlight w:val="none"/>
        </w:rPr>
      </w:pPr>
      <w:r>
        <w:rPr>
          <w:rFonts w:hint="eastAsia" w:ascii="宋体" w:hAnsi="宋体" w:cs="宋体"/>
          <w:color w:val="auto"/>
          <w:sz w:val="22"/>
          <w:szCs w:val="22"/>
          <w:highlight w:val="none"/>
        </w:rPr>
        <w:t>附表二：</w:t>
      </w:r>
    </w:p>
    <w:p w14:paraId="670C706E">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评标办法</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详细评审（一）</w:t>
      </w:r>
    </w:p>
    <w:p w14:paraId="5FD2E0E7">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宋体" w:hAnsi="宋体" w:eastAsia="宋体" w:cs="宋体"/>
          <w:b/>
          <w:color w:val="auto"/>
          <w:sz w:val="21"/>
          <w:szCs w:val="21"/>
          <w:highlight w:val="none"/>
        </w:rPr>
      </w:pPr>
      <w:bookmarkStart w:id="36" w:name="_Hlk508132016"/>
      <w:r>
        <w:rPr>
          <w:rFonts w:hint="eastAsia" w:ascii="宋体" w:hAnsi="宋体" w:eastAsia="宋体" w:cs="宋体"/>
          <w:b/>
          <w:color w:val="auto"/>
          <w:sz w:val="21"/>
          <w:szCs w:val="21"/>
          <w:highlight w:val="none"/>
        </w:rPr>
        <w:t>评标表-5</w:t>
      </w:r>
      <w:bookmarkEnd w:id="36"/>
    </w:p>
    <w:tbl>
      <w:tblPr>
        <w:tblStyle w:val="34"/>
        <w:tblW w:w="46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701"/>
        <w:gridCol w:w="1401"/>
        <w:gridCol w:w="1665"/>
        <w:gridCol w:w="4859"/>
        <w:gridCol w:w="583"/>
      </w:tblGrid>
      <w:tr w14:paraId="7B01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2" w:hRule="atLeast"/>
        </w:trPr>
        <w:tc>
          <w:tcPr>
            <w:tcW w:w="1141" w:type="pct"/>
            <w:gridSpan w:val="2"/>
            <w:noWrap w:val="0"/>
            <w:vAlign w:val="center"/>
          </w:tcPr>
          <w:p w14:paraId="24FCFA90">
            <w:pPr>
              <w:pStyle w:val="118"/>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903" w:type="pct"/>
            <w:noWrap w:val="0"/>
            <w:vAlign w:val="center"/>
          </w:tcPr>
          <w:p w14:paraId="42DECFA2">
            <w:pPr>
              <w:pStyle w:val="118"/>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评分点</w:t>
            </w:r>
          </w:p>
        </w:tc>
        <w:tc>
          <w:tcPr>
            <w:tcW w:w="2638" w:type="pct"/>
            <w:noWrap w:val="0"/>
            <w:vAlign w:val="center"/>
          </w:tcPr>
          <w:p w14:paraId="65B1B24B">
            <w:pPr>
              <w:pStyle w:val="118"/>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c>
          <w:tcPr>
            <w:tcW w:w="316" w:type="pct"/>
            <w:noWrap w:val="0"/>
            <w:vAlign w:val="center"/>
          </w:tcPr>
          <w:p w14:paraId="0C9704B8">
            <w:pPr>
              <w:pStyle w:val="118"/>
              <w:pageBreakBefore w:val="0"/>
              <w:kinsoku/>
              <w:overflowPunct/>
              <w:topLinePunct w:val="0"/>
              <w:bidi w:val="0"/>
              <w:spacing w:beforeAutospacing="0" w:afterAutospacing="0" w:line="240" w:lineRule="auto"/>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得分</w:t>
            </w:r>
          </w:p>
        </w:tc>
      </w:tr>
      <w:tr w14:paraId="63A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71" w:hRule="atLeast"/>
        </w:trPr>
        <w:tc>
          <w:tcPr>
            <w:tcW w:w="380" w:type="pct"/>
            <w:vMerge w:val="restart"/>
            <w:noWrap w:val="0"/>
            <w:vAlign w:val="center"/>
          </w:tcPr>
          <w:p w14:paraId="2DFC7159">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详细评审</w:t>
            </w:r>
          </w:p>
        </w:tc>
        <w:tc>
          <w:tcPr>
            <w:tcW w:w="760" w:type="pct"/>
            <w:noWrap w:val="0"/>
            <w:vAlign w:val="center"/>
          </w:tcPr>
          <w:p w14:paraId="48DB7122">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价格评审</w:t>
            </w:r>
          </w:p>
          <w:p w14:paraId="42454099">
            <w:pPr>
              <w:pStyle w:val="118"/>
              <w:pageBreakBefore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10分）</w:t>
            </w:r>
          </w:p>
        </w:tc>
        <w:tc>
          <w:tcPr>
            <w:tcW w:w="903" w:type="pct"/>
            <w:noWrap w:val="0"/>
            <w:vAlign w:val="center"/>
          </w:tcPr>
          <w:p w14:paraId="07D5A86D">
            <w:pPr>
              <w:pStyle w:val="118"/>
              <w:pageBreakBefore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w:t>
            </w:r>
          </w:p>
        </w:tc>
        <w:tc>
          <w:tcPr>
            <w:tcW w:w="2638" w:type="pct"/>
            <w:noWrap w:val="0"/>
            <w:vAlign w:val="center"/>
          </w:tcPr>
          <w:p w14:paraId="39B64B35">
            <w:pPr>
              <w:pStyle w:val="118"/>
              <w:pageBreakBefore w:val="0"/>
              <w:kinsoku/>
              <w:overflowPunct/>
              <w:topLinePunct w:val="0"/>
              <w:bidi w:val="0"/>
              <w:spacing w:beforeAutospacing="0" w:afterAutospacing="0" w:line="240" w:lineRule="auto"/>
              <w:ind w:left="0" w:leftChars="0" w:right="0" w:rightChars="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磋商小组只对符合性检查合格的响应文件进行评议，报价分采用数量优先法计算而得，即满足磋商文件要求且最终报个数最高为评审基准价，其价格分为满分。其他供应商的价格按照下列公式计算：磋商报价得分=（磋商基准价/最后磋商报价）×价格权值×100%</w:t>
            </w:r>
          </w:p>
        </w:tc>
        <w:tc>
          <w:tcPr>
            <w:tcW w:w="316" w:type="pct"/>
            <w:noWrap w:val="0"/>
            <w:vAlign w:val="center"/>
          </w:tcPr>
          <w:p w14:paraId="18FD0469">
            <w:pPr>
              <w:pStyle w:val="118"/>
              <w:pageBreakBefore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6456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5" w:hRule="atLeast"/>
        </w:trPr>
        <w:tc>
          <w:tcPr>
            <w:tcW w:w="380" w:type="pct"/>
            <w:vMerge w:val="continue"/>
            <w:noWrap w:val="0"/>
            <w:vAlign w:val="center"/>
          </w:tcPr>
          <w:p w14:paraId="116482A7">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60" w:type="pct"/>
            <w:vMerge w:val="restart"/>
            <w:noWrap w:val="0"/>
            <w:vAlign w:val="center"/>
          </w:tcPr>
          <w:p w14:paraId="0EDB5C54">
            <w:pPr>
              <w:pStyle w:val="118"/>
              <w:pageBreakBefore w:val="0"/>
              <w:kinsoku/>
              <w:overflowPunct/>
              <w:topLinePunct w:val="0"/>
              <w:bidi w:val="0"/>
              <w:spacing w:beforeAutospacing="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商务技术部分（90分）</w:t>
            </w:r>
          </w:p>
        </w:tc>
        <w:tc>
          <w:tcPr>
            <w:tcW w:w="903" w:type="pct"/>
            <w:noWrap w:val="0"/>
            <w:vAlign w:val="center"/>
          </w:tcPr>
          <w:p w14:paraId="130127CB">
            <w:pPr>
              <w:pStyle w:val="118"/>
              <w:pageBreakBefore w:val="0"/>
              <w:kinsoku/>
              <w:overflowPunct/>
              <w:topLinePunct w:val="0"/>
              <w:bidi w:val="0"/>
              <w:spacing w:beforeAutospacing="0" w:afterAutospacing="0" w:line="240" w:lineRule="auto"/>
              <w:ind w:left="420" w:leftChars="0" w:right="0" w:rightChars="0" w:hanging="420" w:hangingChars="200"/>
              <w:jc w:val="center"/>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拟投入本项目人员（</w:t>
            </w:r>
            <w:r>
              <w:rPr>
                <w:rFonts w:hint="eastAsia" w:ascii="仿宋" w:hAnsi="仿宋" w:eastAsia="仿宋" w:cs="仿宋"/>
                <w:bCs/>
                <w:color w:val="auto"/>
                <w:sz w:val="21"/>
                <w:szCs w:val="21"/>
                <w:highlight w:val="none"/>
                <w:lang w:val="en-US" w:eastAsia="zh-CN"/>
              </w:rPr>
              <w:t>17分</w:t>
            </w:r>
            <w:r>
              <w:rPr>
                <w:rFonts w:hint="eastAsia" w:ascii="仿宋" w:hAnsi="仿宋" w:eastAsia="仿宋" w:cs="仿宋"/>
                <w:bCs/>
                <w:color w:val="auto"/>
                <w:sz w:val="21"/>
                <w:szCs w:val="21"/>
                <w:highlight w:val="none"/>
                <w:lang w:eastAsia="zh-CN"/>
              </w:rPr>
              <w:t>）</w:t>
            </w:r>
          </w:p>
        </w:tc>
        <w:tc>
          <w:tcPr>
            <w:tcW w:w="2638" w:type="pct"/>
            <w:noWrap w:val="0"/>
            <w:vAlign w:val="center"/>
          </w:tcPr>
          <w:p w14:paraId="53F59E6D">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1.拟派至本项目的服务团队成员不少于5人(不含项目负责人)，得10分。每增加一人加1分，此项最高得15分。</w:t>
            </w:r>
          </w:p>
          <w:p w14:paraId="2CB70B19">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注:须提供人员身份证、近半年任意两个月在本单位的社保缴纳证明，未提供不得分。</w:t>
            </w:r>
          </w:p>
          <w:p w14:paraId="7C693804">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2.有相关种子存储人员、检验或加工人员的，每提供一个培训证书或相关证明得0.5分；最高得2分。</w:t>
            </w:r>
          </w:p>
          <w:p w14:paraId="0C3D6752">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注：须提主管部门颁发的培训证书、近半年任意两个月在本单位的社保缴纳证明，未提供不得分。(缺任意一项不得分)说明:同一人员具有多个资格的，只能计一次。</w:t>
            </w:r>
          </w:p>
        </w:tc>
        <w:tc>
          <w:tcPr>
            <w:tcW w:w="316" w:type="pct"/>
            <w:noWrap w:val="0"/>
            <w:vAlign w:val="center"/>
          </w:tcPr>
          <w:p w14:paraId="4CCBCDFD">
            <w:pPr>
              <w:pStyle w:val="118"/>
              <w:pageBreakBefore w:val="0"/>
              <w:kinsoku/>
              <w:overflowPunct/>
              <w:topLinePunct w:val="0"/>
              <w:bidi w:val="0"/>
              <w:spacing w:beforeAutospacing="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r>
      <w:tr w14:paraId="1109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5" w:hRule="atLeast"/>
        </w:trPr>
        <w:tc>
          <w:tcPr>
            <w:tcW w:w="380" w:type="pct"/>
            <w:vMerge w:val="continue"/>
            <w:noWrap w:val="0"/>
            <w:vAlign w:val="center"/>
          </w:tcPr>
          <w:p w14:paraId="2BF12546">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60" w:type="pct"/>
            <w:vMerge w:val="continue"/>
            <w:noWrap w:val="0"/>
            <w:vAlign w:val="center"/>
          </w:tcPr>
          <w:p w14:paraId="7DD1B79F">
            <w:pPr>
              <w:pStyle w:val="118"/>
              <w:pageBreakBefore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rPr>
            </w:pPr>
          </w:p>
        </w:tc>
        <w:tc>
          <w:tcPr>
            <w:tcW w:w="903" w:type="pct"/>
            <w:noWrap w:val="0"/>
            <w:vAlign w:val="center"/>
          </w:tcPr>
          <w:p w14:paraId="437E5AF6">
            <w:pPr>
              <w:widowControl/>
              <w:spacing w:line="32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GB" w:eastAsia="zh-CN"/>
              </w:rPr>
              <w:t>投入的设备设施（</w:t>
            </w:r>
            <w:r>
              <w:rPr>
                <w:rFonts w:hint="eastAsia" w:ascii="仿宋" w:hAnsi="仿宋" w:eastAsia="仿宋" w:cs="仿宋"/>
                <w:bCs/>
                <w:color w:val="auto"/>
                <w:sz w:val="21"/>
                <w:szCs w:val="21"/>
                <w:highlight w:val="none"/>
                <w:lang w:val="en-US" w:eastAsia="zh-CN"/>
              </w:rPr>
              <w:t>9分）</w:t>
            </w:r>
          </w:p>
        </w:tc>
        <w:tc>
          <w:tcPr>
            <w:tcW w:w="2638" w:type="pct"/>
            <w:noWrap w:val="0"/>
            <w:vAlign w:val="center"/>
          </w:tcPr>
          <w:p w14:paraId="45BA161C">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default" w:ascii="仿宋" w:hAnsi="仿宋" w:eastAsia="仿宋" w:cs="仿宋"/>
                <w:color w:val="auto"/>
                <w:kern w:val="0"/>
                <w:sz w:val="21"/>
                <w:szCs w:val="21"/>
                <w:highlight w:val="none"/>
                <w:lang w:val="en-US" w:eastAsia="zh-CN" w:bidi="ar-SA"/>
              </w:rPr>
            </w:pPr>
            <w:bookmarkStart w:id="61" w:name="_GoBack"/>
            <w:r>
              <w:rPr>
                <w:rFonts w:hint="eastAsia" w:ascii="仿宋" w:hAnsi="仿宋" w:eastAsia="仿宋" w:cs="仿宋"/>
                <w:color w:val="auto"/>
                <w:kern w:val="0"/>
                <w:sz w:val="21"/>
                <w:szCs w:val="21"/>
                <w:highlight w:val="none"/>
                <w:lang w:val="en-US" w:eastAsia="zh-CN" w:bidi="ar-SA"/>
              </w:rPr>
              <w:t>磋商小组根据投标供应商提供的投入的设备设施进行评审，包括但不限于①种子加工②仓储设施③种子检验仪器设备。</w:t>
            </w:r>
          </w:p>
          <w:p w14:paraId="21114F07">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根据投标人提供的设备进行打分，每项3分，最高得9分，不提供不得分。</w:t>
            </w:r>
          </w:p>
          <w:p w14:paraId="2CBC2FA9">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SA"/>
              </w:rPr>
              <w:t>备注：需提供拟投入设备清单、图片及合同或发票等相关证明材料并加盖公章，资料提供不全不予计分。</w:t>
            </w:r>
            <w:bookmarkEnd w:id="61"/>
          </w:p>
        </w:tc>
        <w:tc>
          <w:tcPr>
            <w:tcW w:w="316" w:type="pct"/>
            <w:noWrap w:val="0"/>
            <w:vAlign w:val="center"/>
          </w:tcPr>
          <w:p w14:paraId="160449ED">
            <w:pPr>
              <w:pStyle w:val="118"/>
              <w:pageBreakBefore w:val="0"/>
              <w:kinsoku/>
              <w:overflowPunct/>
              <w:topLinePunct w:val="0"/>
              <w:bidi w:val="0"/>
              <w:spacing w:beforeAutospacing="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r>
      <w:tr w14:paraId="122A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5" w:hRule="atLeast"/>
        </w:trPr>
        <w:tc>
          <w:tcPr>
            <w:tcW w:w="380" w:type="pct"/>
            <w:vMerge w:val="continue"/>
            <w:noWrap w:val="0"/>
            <w:vAlign w:val="center"/>
          </w:tcPr>
          <w:p w14:paraId="55BD2D1C">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60" w:type="pct"/>
            <w:vMerge w:val="continue"/>
            <w:noWrap w:val="0"/>
            <w:vAlign w:val="center"/>
          </w:tcPr>
          <w:p w14:paraId="1DE16F70">
            <w:pPr>
              <w:pStyle w:val="118"/>
              <w:pageBreakBefore w:val="0"/>
              <w:kinsoku/>
              <w:overflowPunct/>
              <w:topLinePunct w:val="0"/>
              <w:bidi w:val="0"/>
              <w:spacing w:beforeAutospacing="0" w:afterAutospacing="0" w:line="240" w:lineRule="auto"/>
              <w:ind w:left="0" w:leftChars="0" w:right="0" w:rightChars="0"/>
              <w:jc w:val="center"/>
              <w:textAlignment w:val="auto"/>
              <w:rPr>
                <w:rFonts w:hint="eastAsia" w:ascii="仿宋" w:hAnsi="仿宋" w:eastAsia="仿宋" w:cs="仿宋"/>
                <w:color w:val="auto"/>
                <w:sz w:val="21"/>
                <w:szCs w:val="21"/>
                <w:highlight w:val="none"/>
              </w:rPr>
            </w:pPr>
          </w:p>
        </w:tc>
        <w:tc>
          <w:tcPr>
            <w:tcW w:w="903" w:type="pct"/>
            <w:noWrap w:val="0"/>
            <w:vAlign w:val="center"/>
          </w:tcPr>
          <w:p w14:paraId="68898EFA">
            <w:pPr>
              <w:widowControl/>
              <w:spacing w:line="32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服务承诺（</w:t>
            </w:r>
            <w:r>
              <w:rPr>
                <w:rFonts w:hint="eastAsia" w:ascii="仿宋" w:hAnsi="仿宋" w:eastAsia="仿宋" w:cs="仿宋"/>
                <w:bCs/>
                <w:color w:val="auto"/>
                <w:sz w:val="21"/>
                <w:szCs w:val="21"/>
                <w:highlight w:val="none"/>
                <w:lang w:val="en-US" w:eastAsia="zh-CN"/>
              </w:rPr>
              <w:t>20</w:t>
            </w:r>
            <w:r>
              <w:rPr>
                <w:rFonts w:hint="eastAsia" w:ascii="仿宋" w:hAnsi="仿宋" w:eastAsia="仿宋" w:cs="仿宋"/>
                <w:bCs/>
                <w:color w:val="auto"/>
                <w:sz w:val="21"/>
                <w:szCs w:val="21"/>
                <w:highlight w:val="none"/>
              </w:rPr>
              <w:t>分</w:t>
            </w:r>
            <w:r>
              <w:rPr>
                <w:rFonts w:hint="eastAsia" w:ascii="仿宋" w:hAnsi="仿宋" w:eastAsia="仿宋" w:cs="仿宋"/>
                <w:bCs/>
                <w:color w:val="auto"/>
                <w:sz w:val="21"/>
                <w:szCs w:val="21"/>
                <w:highlight w:val="none"/>
                <w:lang w:eastAsia="zh-CN"/>
              </w:rPr>
              <w:t>）</w:t>
            </w:r>
          </w:p>
        </w:tc>
        <w:tc>
          <w:tcPr>
            <w:tcW w:w="2638" w:type="pct"/>
            <w:noWrap w:val="0"/>
            <w:vAlign w:val="center"/>
          </w:tcPr>
          <w:p w14:paraId="68CCA99C">
            <w:pPr>
              <w:pStyle w:val="118"/>
              <w:pageBreakBefore w:val="0"/>
              <w:kinsoku/>
              <w:overflowPunct/>
              <w:topLinePunct w:val="0"/>
              <w:bidi w:val="0"/>
              <w:spacing w:beforeAutospacing="0" w:afterAutospacing="0" w:line="240" w:lineRule="auto"/>
              <w:ind w:left="0" w:leftChars="0" w:right="0" w:right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磋商小组根据投标供应商提供的售后服务承诺及售保障后措施进行综合评审，包括但不限于①服务质量标准承诺②响应承诺③服务响应时间④后续服务⑤保证措施、服务质量考核、整改及验收方案等：</w:t>
            </w:r>
          </w:p>
          <w:p w14:paraId="051ECB67">
            <w:pPr>
              <w:pStyle w:val="118"/>
              <w:pageBreakBefore w:val="0"/>
              <w:kinsoku/>
              <w:overflowPunct/>
              <w:topLinePunct w:val="0"/>
              <w:bidi w:val="0"/>
              <w:spacing w:beforeAutospacing="0" w:afterAutospacing="0" w:line="240" w:lineRule="auto"/>
              <w:ind w:left="0" w:leftChars="0" w:right="0" w:right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以上方案内容每项4分，最高得20分，根据投标人提供的内容进行打分，不提供不得分。</w:t>
            </w:r>
          </w:p>
        </w:tc>
        <w:tc>
          <w:tcPr>
            <w:tcW w:w="316" w:type="pct"/>
            <w:noWrap w:val="0"/>
            <w:vAlign w:val="center"/>
          </w:tcPr>
          <w:p w14:paraId="5C210E7A">
            <w:pPr>
              <w:pStyle w:val="118"/>
              <w:pageBreakBefore w:val="0"/>
              <w:kinsoku/>
              <w:overflowPunct/>
              <w:topLinePunct w:val="0"/>
              <w:bidi w:val="0"/>
              <w:spacing w:beforeAutospacing="0" w:afterAutospacing="0" w:line="240" w:lineRule="auto"/>
              <w:ind w:left="0" w:leftChars="0" w:right="0" w:right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r>
      <w:tr w14:paraId="4BD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34" w:hRule="atLeast"/>
        </w:trPr>
        <w:tc>
          <w:tcPr>
            <w:tcW w:w="380" w:type="pct"/>
            <w:vMerge w:val="continue"/>
            <w:noWrap w:val="0"/>
            <w:vAlign w:val="center"/>
          </w:tcPr>
          <w:p w14:paraId="61577667">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1"/>
                <w:szCs w:val="21"/>
                <w:highlight w:val="none"/>
              </w:rPr>
            </w:pPr>
          </w:p>
        </w:tc>
        <w:tc>
          <w:tcPr>
            <w:tcW w:w="760" w:type="pct"/>
            <w:vMerge w:val="continue"/>
            <w:noWrap w:val="0"/>
            <w:vAlign w:val="center"/>
          </w:tcPr>
          <w:p w14:paraId="45B2F8FE">
            <w:pPr>
              <w:widowControl/>
              <w:spacing w:line="300" w:lineRule="exact"/>
              <w:rPr>
                <w:rFonts w:hint="eastAsia" w:ascii="仿宋" w:hAnsi="仿宋" w:eastAsia="仿宋" w:cs="仿宋"/>
                <w:color w:val="auto"/>
                <w:sz w:val="21"/>
                <w:szCs w:val="21"/>
                <w:highlight w:val="none"/>
                <w:lang w:val="en-US" w:eastAsia="zh-CN"/>
              </w:rPr>
            </w:pPr>
          </w:p>
        </w:tc>
        <w:tc>
          <w:tcPr>
            <w:tcW w:w="903" w:type="pct"/>
            <w:shd w:val="clear" w:color="auto" w:fill="auto"/>
            <w:noWrap w:val="0"/>
            <w:vAlign w:val="center"/>
          </w:tcPr>
          <w:p w14:paraId="096CAFAA">
            <w:pPr>
              <w:widowControl/>
              <w:spacing w:line="32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zh-CN" w:eastAsia="en-US"/>
              </w:rPr>
              <w:t>项目服务方案（</w:t>
            </w:r>
            <w:r>
              <w:rPr>
                <w:rFonts w:hint="eastAsia" w:ascii="仿宋" w:hAnsi="仿宋" w:eastAsia="仿宋" w:cs="仿宋"/>
                <w:bCs/>
                <w:color w:val="auto"/>
                <w:sz w:val="21"/>
                <w:szCs w:val="21"/>
                <w:highlight w:val="none"/>
                <w:lang w:val="en-US" w:eastAsia="zh-CN"/>
              </w:rPr>
              <w:t>28分）</w:t>
            </w:r>
          </w:p>
        </w:tc>
        <w:tc>
          <w:tcPr>
            <w:tcW w:w="2638" w:type="pct"/>
            <w:shd w:val="clear" w:color="auto" w:fill="auto"/>
            <w:noWrap w:val="0"/>
            <w:vAlign w:val="center"/>
          </w:tcPr>
          <w:p w14:paraId="4F50C6B5">
            <w:pPr>
              <w:keepNext w:val="0"/>
              <w:keepLines w:val="0"/>
              <w:widowControl/>
              <w:suppressLineNumbers w:val="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磋商小组根据投标供应商提供的①项目生产方案、②采购方案③加工方案④检疫检验⑤仓储管理方案⑥出入库管控⑦储存方案等内容进行综合评审：</w:t>
            </w:r>
          </w:p>
          <w:p w14:paraId="115F4DE6">
            <w:pPr>
              <w:keepNext w:val="0"/>
              <w:keepLines w:val="0"/>
              <w:widowControl/>
              <w:suppressLineNumbers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以上方案内容每项4分，最高得28分，根据投标人提供的内容进行打分，不提供不得分。</w:t>
            </w:r>
          </w:p>
        </w:tc>
        <w:tc>
          <w:tcPr>
            <w:tcW w:w="316" w:type="pct"/>
            <w:shd w:val="clear" w:color="auto" w:fill="auto"/>
            <w:noWrap w:val="0"/>
            <w:vAlign w:val="center"/>
          </w:tcPr>
          <w:p w14:paraId="0E1D62E8">
            <w:pPr>
              <w:widowControl/>
              <w:spacing w:line="32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28</w:t>
            </w:r>
          </w:p>
        </w:tc>
      </w:tr>
      <w:tr w14:paraId="3878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38" w:hRule="atLeast"/>
        </w:trPr>
        <w:tc>
          <w:tcPr>
            <w:tcW w:w="380" w:type="pct"/>
            <w:vMerge w:val="continue"/>
            <w:noWrap w:val="0"/>
            <w:vAlign w:val="center"/>
          </w:tcPr>
          <w:p w14:paraId="7037FAF1">
            <w:pPr>
              <w:pStyle w:val="118"/>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0"/>
                <w:szCs w:val="20"/>
                <w:highlight w:val="none"/>
              </w:rPr>
            </w:pPr>
          </w:p>
        </w:tc>
        <w:tc>
          <w:tcPr>
            <w:tcW w:w="760" w:type="pct"/>
            <w:vMerge w:val="continue"/>
            <w:noWrap w:val="0"/>
            <w:vAlign w:val="center"/>
          </w:tcPr>
          <w:p w14:paraId="17282902">
            <w:pPr>
              <w:pStyle w:val="118"/>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0"/>
                <w:szCs w:val="20"/>
                <w:highlight w:val="none"/>
              </w:rPr>
            </w:pPr>
          </w:p>
        </w:tc>
        <w:tc>
          <w:tcPr>
            <w:tcW w:w="903" w:type="pct"/>
            <w:shd w:val="clear" w:color="auto" w:fill="auto"/>
            <w:noWrap w:val="0"/>
            <w:vAlign w:val="center"/>
          </w:tcPr>
          <w:p w14:paraId="0431B73D">
            <w:pPr>
              <w:widowControl/>
              <w:spacing w:line="32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管理制度（10分）</w:t>
            </w:r>
          </w:p>
        </w:tc>
        <w:tc>
          <w:tcPr>
            <w:tcW w:w="2638" w:type="pct"/>
            <w:shd w:val="clear" w:color="auto" w:fill="auto"/>
            <w:noWrap w:val="0"/>
            <w:vAlign w:val="center"/>
          </w:tcPr>
          <w:p w14:paraId="2DDD8207">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磋商小组根据投标供应商提供的管理制度进行评审，包括但不限于①日常管理制度②储备管理制度③应急管理制度④档案管理制度（包括生产、收储、加工、检验）⑤安全管理制度等：</w:t>
            </w:r>
          </w:p>
          <w:p w14:paraId="6BD5F20D">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以上方案内容每项2分，最高得10分，根据投标人提供的内容进行打分，不提供不得分。</w:t>
            </w:r>
          </w:p>
        </w:tc>
        <w:tc>
          <w:tcPr>
            <w:tcW w:w="316" w:type="pct"/>
            <w:shd w:val="clear" w:color="auto" w:fill="auto"/>
            <w:noWrap w:val="0"/>
            <w:vAlign w:val="center"/>
          </w:tcPr>
          <w:p w14:paraId="58D7BCF0">
            <w:pPr>
              <w:widowControl/>
              <w:spacing w:line="32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r>
      <w:tr w14:paraId="3CEF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38" w:hRule="atLeast"/>
        </w:trPr>
        <w:tc>
          <w:tcPr>
            <w:tcW w:w="380" w:type="pct"/>
            <w:tcBorders>
              <w:top w:val="nil"/>
            </w:tcBorders>
            <w:noWrap w:val="0"/>
            <w:vAlign w:val="center"/>
          </w:tcPr>
          <w:p w14:paraId="416455C7">
            <w:pPr>
              <w:pStyle w:val="118"/>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0"/>
                <w:szCs w:val="20"/>
                <w:highlight w:val="none"/>
              </w:rPr>
            </w:pPr>
          </w:p>
        </w:tc>
        <w:tc>
          <w:tcPr>
            <w:tcW w:w="760" w:type="pct"/>
            <w:tcBorders>
              <w:top w:val="nil"/>
            </w:tcBorders>
            <w:noWrap w:val="0"/>
            <w:vAlign w:val="center"/>
          </w:tcPr>
          <w:p w14:paraId="5CBFFE42">
            <w:pPr>
              <w:pStyle w:val="118"/>
              <w:pageBreakBefore w:val="0"/>
              <w:kinsoku/>
              <w:overflowPunct/>
              <w:topLinePunct w:val="0"/>
              <w:bidi w:val="0"/>
              <w:spacing w:beforeAutospacing="0" w:afterAutospacing="0" w:line="240" w:lineRule="auto"/>
              <w:ind w:left="0" w:leftChars="0" w:right="0"/>
              <w:textAlignment w:val="auto"/>
              <w:rPr>
                <w:rFonts w:hint="eastAsia" w:ascii="宋体" w:hAnsi="宋体" w:eastAsia="宋体" w:cs="宋体"/>
                <w:color w:val="auto"/>
                <w:sz w:val="20"/>
                <w:szCs w:val="20"/>
                <w:highlight w:val="none"/>
              </w:rPr>
            </w:pPr>
          </w:p>
        </w:tc>
        <w:tc>
          <w:tcPr>
            <w:tcW w:w="903" w:type="pct"/>
            <w:shd w:val="clear" w:color="auto" w:fill="auto"/>
            <w:noWrap w:val="0"/>
            <w:vAlign w:val="center"/>
          </w:tcPr>
          <w:p w14:paraId="4EB2E485">
            <w:pPr>
              <w:widowControl/>
              <w:spacing w:line="320" w:lineRule="exact"/>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企业经营场所（6分）</w:t>
            </w:r>
          </w:p>
        </w:tc>
        <w:tc>
          <w:tcPr>
            <w:tcW w:w="2638" w:type="pct"/>
            <w:shd w:val="clear" w:color="auto" w:fill="auto"/>
            <w:noWrap w:val="0"/>
            <w:vAlign w:val="center"/>
          </w:tcPr>
          <w:p w14:paraId="6D42620E">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企业库房或加工车间面积≥3000平方米的得6分；</w:t>
            </w:r>
          </w:p>
          <w:p w14:paraId="46D0FA31">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企业库房或加工车间面积≥2000平方米的得5分；</w:t>
            </w:r>
          </w:p>
          <w:p w14:paraId="23336283">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企业库房或加工车间面积≥1000平方米的得4分；</w:t>
            </w:r>
          </w:p>
          <w:p w14:paraId="1D104461">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企业库房或加工车间面积≥500平方米的得3分；</w:t>
            </w:r>
          </w:p>
          <w:p w14:paraId="3475AB76">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企业库房或加工车间面积≤500平方米的不得分；</w:t>
            </w:r>
          </w:p>
          <w:p w14:paraId="6A501473">
            <w:pPr>
              <w:pStyle w:val="118"/>
              <w:pageBreakBefore w:val="0"/>
              <w:numPr>
                <w:ilvl w:val="0"/>
                <w:numId w:val="0"/>
              </w:numPr>
              <w:kinsoku/>
              <w:overflowPunct/>
              <w:topLinePunct w:val="0"/>
              <w:bidi w:val="0"/>
              <w:spacing w:beforeAutospacing="0" w:afterAutospacing="0" w:line="240" w:lineRule="auto"/>
              <w:ind w:left="0" w:leftChars="0" w:right="0" w:rightChars="0" w:firstLine="0" w:firstLineChars="0"/>
              <w:textAlignment w:val="auto"/>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注：须提供库房或加工车间的租赁证明或自有产权证明材料；仓库库房或加工车间照片；不提供不得分。（还需提供定位截图，方便后期实地核查）</w:t>
            </w:r>
          </w:p>
        </w:tc>
        <w:tc>
          <w:tcPr>
            <w:tcW w:w="316" w:type="pct"/>
            <w:shd w:val="clear" w:color="auto" w:fill="auto"/>
            <w:noWrap w:val="0"/>
            <w:vAlign w:val="center"/>
          </w:tcPr>
          <w:p w14:paraId="4C1A48C2">
            <w:pPr>
              <w:pStyle w:val="121"/>
              <w:spacing w:before="104" w:line="246"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w:t>
            </w:r>
          </w:p>
        </w:tc>
      </w:tr>
      <w:tr w14:paraId="7694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27" w:hRule="atLeast"/>
        </w:trPr>
        <w:tc>
          <w:tcPr>
            <w:tcW w:w="380" w:type="pct"/>
            <w:noWrap w:val="0"/>
            <w:vAlign w:val="center"/>
          </w:tcPr>
          <w:p w14:paraId="5B0A6904">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0"/>
                <w:szCs w:val="20"/>
                <w:highlight w:val="none"/>
              </w:rPr>
            </w:pPr>
          </w:p>
        </w:tc>
        <w:tc>
          <w:tcPr>
            <w:tcW w:w="760" w:type="pct"/>
            <w:noWrap w:val="0"/>
            <w:vAlign w:val="center"/>
          </w:tcPr>
          <w:p w14:paraId="10D57BD0">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合计</w:t>
            </w:r>
          </w:p>
        </w:tc>
        <w:tc>
          <w:tcPr>
            <w:tcW w:w="903" w:type="pct"/>
            <w:noWrap w:val="0"/>
            <w:vAlign w:val="center"/>
          </w:tcPr>
          <w:p w14:paraId="73CE413D">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0"/>
                <w:szCs w:val="20"/>
                <w:highlight w:val="none"/>
              </w:rPr>
            </w:pPr>
          </w:p>
        </w:tc>
        <w:tc>
          <w:tcPr>
            <w:tcW w:w="2638" w:type="pct"/>
            <w:noWrap w:val="0"/>
            <w:vAlign w:val="center"/>
          </w:tcPr>
          <w:p w14:paraId="55F76AF6">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0"/>
                <w:szCs w:val="20"/>
                <w:highlight w:val="none"/>
              </w:rPr>
            </w:pPr>
          </w:p>
        </w:tc>
        <w:tc>
          <w:tcPr>
            <w:tcW w:w="316" w:type="pct"/>
            <w:noWrap w:val="0"/>
            <w:vAlign w:val="center"/>
          </w:tcPr>
          <w:p w14:paraId="6AAD0A0B">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100</w:t>
            </w:r>
          </w:p>
        </w:tc>
      </w:tr>
      <w:tr w14:paraId="70A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73" w:hRule="atLeast"/>
        </w:trPr>
        <w:tc>
          <w:tcPr>
            <w:tcW w:w="1141" w:type="pct"/>
            <w:gridSpan w:val="2"/>
            <w:noWrap w:val="0"/>
            <w:vAlign w:val="center"/>
          </w:tcPr>
          <w:p w14:paraId="04A3869C">
            <w:pPr>
              <w:pStyle w:val="118"/>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废标条款</w:t>
            </w:r>
          </w:p>
        </w:tc>
        <w:tc>
          <w:tcPr>
            <w:tcW w:w="3858" w:type="pct"/>
            <w:gridSpan w:val="3"/>
            <w:noWrap w:val="0"/>
            <w:vAlign w:val="center"/>
          </w:tcPr>
          <w:p w14:paraId="6E7C58D9">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(1)未按照招标文件的规定提交投标保证金的</w:t>
            </w:r>
          </w:p>
          <w:p w14:paraId="73457072">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lang w:eastAsia="zh-CN"/>
              </w:rPr>
              <w:t>磋商文件</w:t>
            </w:r>
            <w:r>
              <w:rPr>
                <w:rFonts w:hint="eastAsia" w:ascii="仿宋" w:hAnsi="仿宋" w:eastAsia="仿宋" w:cs="仿宋"/>
                <w:color w:val="auto"/>
                <w:sz w:val="20"/>
                <w:szCs w:val="20"/>
                <w:highlight w:val="none"/>
              </w:rPr>
              <w:t>未按招标文件要求签署、盖章的</w:t>
            </w:r>
          </w:p>
          <w:p w14:paraId="56E82353">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(3)不具备招标文件中规定的资格要求</w:t>
            </w:r>
          </w:p>
          <w:p w14:paraId="0746E9FF">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(4)</w:t>
            </w:r>
            <w:r>
              <w:rPr>
                <w:rFonts w:hint="eastAsia" w:ascii="仿宋" w:hAnsi="仿宋" w:eastAsia="仿宋" w:cs="仿宋"/>
                <w:color w:val="auto"/>
                <w:kern w:val="2"/>
                <w:sz w:val="21"/>
                <w:szCs w:val="21"/>
                <w:highlight w:val="none"/>
                <w:lang w:val="en-US" w:eastAsia="zh-CN" w:bidi="ar-SA"/>
              </w:rPr>
              <w:t>供应商报价未按照竞争性磋商文件规定的金额报价</w:t>
            </w:r>
          </w:p>
          <w:p w14:paraId="244482BB">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(5)</w:t>
            </w:r>
            <w:r>
              <w:rPr>
                <w:rFonts w:hint="eastAsia" w:ascii="仿宋" w:hAnsi="仿宋" w:eastAsia="仿宋" w:cs="仿宋"/>
                <w:color w:val="auto"/>
                <w:sz w:val="20"/>
                <w:szCs w:val="20"/>
                <w:highlight w:val="none"/>
                <w:lang w:eastAsia="zh-CN"/>
              </w:rPr>
              <w:t>磋商文件</w:t>
            </w:r>
            <w:r>
              <w:rPr>
                <w:rFonts w:hint="eastAsia" w:ascii="仿宋" w:hAnsi="仿宋" w:eastAsia="仿宋" w:cs="仿宋"/>
                <w:color w:val="auto"/>
                <w:sz w:val="20"/>
                <w:szCs w:val="20"/>
                <w:highlight w:val="none"/>
              </w:rPr>
              <w:t>含有采购人不能接受的附加条件的</w:t>
            </w:r>
          </w:p>
          <w:p w14:paraId="207400F2">
            <w:pPr>
              <w:pStyle w:val="118"/>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(6)法律、法规和招标文件规定的其他无效情形</w:t>
            </w:r>
          </w:p>
        </w:tc>
      </w:tr>
    </w:tbl>
    <w:p w14:paraId="2C031B63">
      <w:pPr>
        <w:pStyle w:val="92"/>
        <w:jc w:val="both"/>
        <w:rPr>
          <w:rFonts w:hint="eastAsia" w:ascii="仿宋" w:hAnsi="仿宋" w:eastAsia="仿宋" w:cs="仿宋"/>
          <w:b/>
          <w:bCs/>
          <w:color w:val="auto"/>
          <w:sz w:val="28"/>
          <w:szCs w:val="32"/>
          <w:highlight w:val="none"/>
        </w:rPr>
      </w:pPr>
    </w:p>
    <w:p w14:paraId="585204C1">
      <w:pPr>
        <w:rPr>
          <w:rFonts w:hint="eastAsia" w:ascii="仿宋" w:hAnsi="仿宋" w:eastAsia="仿宋" w:cs="仿宋"/>
          <w:b/>
          <w:color w:val="auto"/>
          <w:sz w:val="28"/>
          <w:szCs w:val="28"/>
          <w:highlight w:val="none"/>
        </w:rPr>
      </w:pPr>
      <w:bookmarkStart w:id="37" w:name="_Toc14001"/>
      <w:bookmarkStart w:id="38" w:name="_Toc25362"/>
      <w:r>
        <w:rPr>
          <w:rFonts w:hint="eastAsia" w:ascii="仿宋" w:hAnsi="仿宋" w:eastAsia="仿宋" w:cs="仿宋"/>
          <w:b/>
          <w:color w:val="auto"/>
          <w:sz w:val="28"/>
          <w:szCs w:val="28"/>
          <w:highlight w:val="none"/>
        </w:rPr>
        <w:br w:type="page"/>
      </w:r>
    </w:p>
    <w:p w14:paraId="3524CF05">
      <w:pPr>
        <w:spacing w:line="400" w:lineRule="exact"/>
        <w:outlineLvl w:val="1"/>
        <w:rPr>
          <w:rFonts w:hint="eastAsia" w:ascii="仿宋" w:hAnsi="仿宋" w:eastAsia="仿宋" w:cs="仿宋"/>
          <w:color w:val="auto"/>
          <w:kern w:val="0"/>
          <w:sz w:val="24"/>
          <w:highlight w:val="none"/>
        </w:rPr>
      </w:pPr>
      <w:r>
        <w:rPr>
          <w:rFonts w:hint="eastAsia" w:ascii="仿宋" w:hAnsi="仿宋" w:eastAsia="仿宋" w:cs="仿宋"/>
          <w:b/>
          <w:color w:val="auto"/>
          <w:sz w:val="28"/>
          <w:szCs w:val="28"/>
          <w:highlight w:val="none"/>
        </w:rPr>
        <w:t>二、评审办法正文部分</w:t>
      </w:r>
      <w:bookmarkEnd w:id="37"/>
      <w:bookmarkEnd w:id="38"/>
    </w:p>
    <w:p w14:paraId="0813296A">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经磋商确定最终采购需求和提交最后报价的供应商后，由磋商小组采用综合评分法对提交最后报价的供应商的响应文件和最后报价进行综合评分。</w:t>
      </w:r>
    </w:p>
    <w:p w14:paraId="1E8C322F">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综合评分法，是指响应文件满足磋商文件全部实质性要求且按评审因素的量化指标评审得分最高的供应商为成交候选供应商的评审方法。</w:t>
      </w:r>
    </w:p>
    <w:p w14:paraId="693560B4">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评审时，磋商小组各成员应当独立对每个有效响应的文件进行评价、打分，然后汇总每个供应商每项评分因素的得分。</w:t>
      </w:r>
    </w:p>
    <w:p w14:paraId="01A94765">
      <w:pPr>
        <w:pStyle w:val="11"/>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2.1响应文件的初审</w:t>
      </w:r>
    </w:p>
    <w:p w14:paraId="6AB140C6">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初审分为资格审查和符合性审查。</w:t>
      </w:r>
    </w:p>
    <w:p w14:paraId="47144BF4">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2.1.1资格审查</w:t>
      </w:r>
    </w:p>
    <w:p w14:paraId="47CE19C5">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（1）磋商小组根据评标办法前附表规定的评审因素和评审标准，对供应商的响应文件进行资格评审。资格审查不合格的供应商的响应文件作无效文件处理。</w:t>
      </w:r>
    </w:p>
    <w:p w14:paraId="51B90FDE">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（2）磋商小组在进行资格检查时，不得改变磋商文件中已载明的资格条件、标准和办法。资格审查不合格的供应商的响应文件作无效文件处理。</w:t>
      </w:r>
    </w:p>
    <w:p w14:paraId="37371118">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（3）磋商小组在评审中必要时可按供应商提供的联系方式就有关问题进行查询核实，或要求供应商做出书面澄清，查询及澄清结果将作为审查的依据。</w:t>
      </w:r>
    </w:p>
    <w:p w14:paraId="6FBD5162">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（4）通过全部资格审查条件合格的供应商才能通过资格审查，其响应文件方可进入下一个检查阶段。</w:t>
      </w:r>
    </w:p>
    <w:p w14:paraId="7EE11790">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2.1.2符合性审查</w:t>
      </w:r>
    </w:p>
    <w:p w14:paraId="661EF1AA">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磋商小组根据评标办法前附表规定的评审因素和评审标准，对供应商的响应文件进行符合性审查。符合性审查不合格的供应商的响应文件作无效文件处理。</w:t>
      </w:r>
    </w:p>
    <w:p w14:paraId="1B2EEB7C">
      <w:pPr>
        <w:pStyle w:val="11"/>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2.2磋商小组审查响应文件是否完整、有无计算上的错误等。</w:t>
      </w:r>
    </w:p>
    <w:p w14:paraId="4B7EB727">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2.2.1响应文件的修正及澄清</w:t>
      </w:r>
    </w:p>
    <w:p w14:paraId="11A089EB">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14:paraId="3AF78038">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517E45ED">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2.2.3实质上没有响应磋商文件要求的响应文件将被视为无效文件。供应商不得通过修正或撤销不合要求的偏离从而使其成为实质上响应的文件。</w:t>
      </w:r>
    </w:p>
    <w:p w14:paraId="6BD56920">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129F159B">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2.2.5供应商的澄清文件是其响应文件的组成部分。</w:t>
      </w:r>
    </w:p>
    <w:p w14:paraId="4778D991">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3FC7C8B9">
      <w:pPr>
        <w:pStyle w:val="11"/>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2.3磋商</w:t>
      </w:r>
    </w:p>
    <w:p w14:paraId="74D039BF">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2.3.1磋商小组所有成员应当集中与单一供应商分别进行磋商，并给予所有参加磋商的供应商平等的磋商机会。</w:t>
      </w:r>
    </w:p>
    <w:p w14:paraId="60B4E7FA">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2.3.2在磋商过程中，磋商小组可以根据磋商文件和磋商情况实质性变动采购需求中的技术、服务要求以及合同草案条款，但不得变动磋商文件中的其他内容。实质性变动的内容，须经采购人代表确认。</w:t>
      </w:r>
    </w:p>
    <w:p w14:paraId="3BBD828F">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2.3.3对磋商文件作出的实质性变动是磋商文件的有效组成部分，磋商小组应当及时以书面形式同时通知所有参加磋商的供应商。</w:t>
      </w:r>
    </w:p>
    <w:p w14:paraId="5B0CED27">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72A97CD">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2.3.5磋商文件能够详细列明采购标的的技术、服务要求的，磋商结束后，磋商小组应当要求所有实质性响应的供应商在规定时间内提交最后报价，提交最后报价的供应商不得少于3家。</w:t>
      </w:r>
    </w:p>
    <w:p w14:paraId="1171CC3C">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A4307AA">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2.3.7已提交响应文件的供应商，在提交最后报价之前，可以根据磋商情况退出磋商。其磋商保证金将予以退还。</w:t>
      </w:r>
    </w:p>
    <w:p w14:paraId="4DB7E963">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14:paraId="4E73C845">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2.3.9经磋商确定最终采购需求和提交最后报价的供应商后，由磋商小组采用综合评分法对提交最后报价的供应商的响应文件和最后报价进行综合评分。</w:t>
      </w:r>
    </w:p>
    <w:p w14:paraId="63D2A1B5">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2.3.10采购结果确认</w:t>
      </w:r>
    </w:p>
    <w:p w14:paraId="0687574A">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5412C269">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48323CE3">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（3）条款是指磋商过程中确定的最终采购需求及报价。</w:t>
      </w:r>
    </w:p>
    <w:p w14:paraId="64EE0233">
      <w:pPr>
        <w:pStyle w:val="11"/>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2.4推荐成交供应商</w:t>
      </w:r>
    </w:p>
    <w:p w14:paraId="6C070258">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6433E7A7">
      <w:pPr>
        <w:pStyle w:val="11"/>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2.5确定成交供应商</w:t>
      </w:r>
    </w:p>
    <w:p w14:paraId="42EC99AF">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2.5.1采购代理机构应当在评审结束后2个工作日内将评审报告送采购人确认。</w:t>
      </w:r>
    </w:p>
    <w:p w14:paraId="6E944BCB">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AE8488">
      <w:pPr>
        <w:spacing w:line="400" w:lineRule="exact"/>
        <w:outlineLvl w:val="1"/>
        <w:rPr>
          <w:rFonts w:hint="eastAsia" w:ascii="仿宋" w:hAnsi="仿宋" w:eastAsia="仿宋" w:cs="仿宋"/>
          <w:b/>
          <w:color w:val="auto"/>
          <w:sz w:val="28"/>
          <w:szCs w:val="28"/>
          <w:highlight w:val="none"/>
        </w:rPr>
      </w:pPr>
      <w:bookmarkStart w:id="39" w:name="_Toc19418"/>
      <w:r>
        <w:rPr>
          <w:rFonts w:hint="eastAsia" w:ascii="仿宋" w:hAnsi="仿宋" w:eastAsia="仿宋" w:cs="仿宋"/>
          <w:b/>
          <w:color w:val="auto"/>
          <w:sz w:val="28"/>
          <w:szCs w:val="28"/>
          <w:highlight w:val="none"/>
        </w:rPr>
        <w:t>三、串通投标的情况</w:t>
      </w:r>
      <w:bookmarkEnd w:id="39"/>
    </w:p>
    <w:p w14:paraId="7F02BA40">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有下列情形之一的，视为投标人串通投标，其投标无效：</w:t>
      </w:r>
    </w:p>
    <w:p w14:paraId="125731B6">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1、不同投标人的投标文件由同一单位或者个人编制；</w:t>
      </w:r>
    </w:p>
    <w:p w14:paraId="1598259D">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2、不同投标人委托同一单位或者个人办理投标事宜；</w:t>
      </w:r>
    </w:p>
    <w:p w14:paraId="6896AD9D">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3、不同投标人的投标文件载明的项目管理成员或者联系人员为同一人；</w:t>
      </w:r>
    </w:p>
    <w:p w14:paraId="31EF63CF">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4、不同投标人的投标文件异常一致或者投标报价呈规律性差异；</w:t>
      </w:r>
    </w:p>
    <w:p w14:paraId="0E98B818">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5、不同投标人的投标文件相互混装；</w:t>
      </w:r>
    </w:p>
    <w:p w14:paraId="40906258">
      <w:pPr>
        <w:pStyle w:val="11"/>
        <w:spacing w:line="400" w:lineRule="exact"/>
        <w:ind w:firstLine="484" w:firstLineChars="202"/>
        <w:jc w:val="lef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6、不同投标人的投标保证金从同一单位或者个人的账户转出。</w:t>
      </w:r>
    </w:p>
    <w:p w14:paraId="1EFCD57B">
      <w:pPr>
        <w:spacing w:line="400" w:lineRule="exact"/>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四、无效投标条款和废标条款</w:t>
      </w:r>
    </w:p>
    <w:p w14:paraId="4CF5ABFA">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4.1无效投标条款</w:t>
      </w:r>
    </w:p>
    <w:p w14:paraId="48C1901E">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投标人不遵循公平竞争的原则，恶意串通，妨碍其他投标人的竞争，损害采购人或者其他投标人的合法权益，评标委员会应当认定其投标无效。</w:t>
      </w:r>
    </w:p>
    <w:p w14:paraId="43F804F7">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4.2废标条款：</w:t>
      </w:r>
    </w:p>
    <w:p w14:paraId="38F9D588">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4.2.1符合专业条件的供应商或者对招标文件作实质响应的供应商不足三家的；</w:t>
      </w:r>
    </w:p>
    <w:p w14:paraId="4F62C10B">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4.2.2出现影响采购公正的违法、违规行为的；</w:t>
      </w:r>
    </w:p>
    <w:p w14:paraId="2301D3B1">
      <w:pPr>
        <w:pStyle w:val="11"/>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4.2.3投标人的报价均超过了采购预算，采购人不能支付的；</w:t>
      </w:r>
    </w:p>
    <w:p w14:paraId="5BCA0A51">
      <w:pPr>
        <w:pStyle w:val="11"/>
        <w:spacing w:line="400" w:lineRule="exact"/>
        <w:ind w:firstLine="484" w:firstLineChars="202"/>
        <w:jc w:val="left"/>
        <w:rPr>
          <w:rFonts w:ascii="宋体" w:hAnsi="宋体" w:cs="宋体"/>
          <w:color w:val="auto"/>
          <w:sz w:val="24"/>
          <w:szCs w:val="24"/>
          <w:highlight w:val="none"/>
        </w:rPr>
      </w:pPr>
      <w:r>
        <w:rPr>
          <w:rFonts w:hint="eastAsia" w:ascii="仿宋" w:hAnsi="仿宋" w:eastAsia="仿宋" w:cs="仿宋"/>
          <w:color w:val="auto"/>
          <w:sz w:val="24"/>
          <w:szCs w:val="24"/>
          <w:highlight w:val="none"/>
        </w:rPr>
        <w:t>4.2.4因重大变故，采购任务取消的。</w:t>
      </w:r>
    </w:p>
    <w:p w14:paraId="63C5ACAC">
      <w:pPr>
        <w:rPr>
          <w:rFonts w:hint="eastAsia" w:ascii="Calibri" w:hAnsi="Calibri" w:eastAsia="宋体" w:cs="Times New Roman"/>
          <w:bCs/>
          <w:color w:val="auto"/>
          <w:kern w:val="44"/>
          <w:sz w:val="44"/>
          <w:szCs w:val="44"/>
          <w:highlight w:val="none"/>
          <w:lang w:val="en-US" w:eastAsia="zh-CN" w:bidi="ar-SA"/>
        </w:rPr>
      </w:pPr>
      <w:bookmarkStart w:id="40" w:name="_Toc22804"/>
      <w:bookmarkStart w:id="41" w:name="_Toc6170"/>
      <w:r>
        <w:rPr>
          <w:rFonts w:hint="eastAsia" w:ascii="Calibri" w:hAnsi="Calibri" w:eastAsia="宋体" w:cs="Times New Roman"/>
          <w:bCs/>
          <w:color w:val="auto"/>
          <w:kern w:val="44"/>
          <w:sz w:val="44"/>
          <w:szCs w:val="44"/>
          <w:highlight w:val="none"/>
          <w:lang w:val="en-US" w:eastAsia="zh-CN" w:bidi="ar-SA"/>
        </w:rPr>
        <w:br w:type="page"/>
      </w:r>
    </w:p>
    <w:p w14:paraId="080CB9A7">
      <w:pPr>
        <w:pStyle w:val="2"/>
        <w:numPr>
          <w:ilvl w:val="0"/>
          <w:numId w:val="0"/>
        </w:numPr>
        <w:spacing w:before="0" w:after="0" w:line="240" w:lineRule="auto"/>
        <w:rPr>
          <w:rFonts w:hint="eastAsia" w:ascii="仿宋" w:hAnsi="仿宋" w:eastAsia="仿宋" w:cs="仿宋"/>
          <w:b/>
          <w:bCs w:val="0"/>
          <w:color w:val="auto"/>
          <w:highlight w:val="none"/>
        </w:rPr>
      </w:pPr>
      <w:bookmarkStart w:id="42" w:name="_Toc29943"/>
      <w:r>
        <w:rPr>
          <w:rFonts w:hint="eastAsia" w:ascii="仿宋" w:hAnsi="仿宋" w:eastAsia="仿宋" w:cs="仿宋"/>
          <w:b/>
          <w:bCs w:val="0"/>
          <w:color w:val="auto"/>
          <w:kern w:val="44"/>
          <w:sz w:val="44"/>
          <w:szCs w:val="44"/>
          <w:highlight w:val="none"/>
          <w:lang w:val="en-US" w:eastAsia="zh-CN" w:bidi="ar-SA"/>
        </w:rPr>
        <w:t>第五章</w:t>
      </w:r>
      <w:r>
        <w:rPr>
          <w:rFonts w:hint="eastAsia" w:ascii="仿宋" w:hAnsi="仿宋" w:eastAsia="仿宋" w:cs="仿宋"/>
          <w:b/>
          <w:bCs w:val="0"/>
          <w:color w:val="auto"/>
          <w:highlight w:val="none"/>
        </w:rPr>
        <w:t xml:space="preserve"> </w:t>
      </w:r>
      <w:bookmarkStart w:id="43" w:name="_Toc10028"/>
      <w:bookmarkStart w:id="44" w:name="_Toc32004"/>
      <w:bookmarkStart w:id="45" w:name="_Toc15715"/>
      <w:r>
        <w:rPr>
          <w:rFonts w:hint="eastAsia" w:ascii="仿宋" w:hAnsi="仿宋" w:eastAsia="仿宋" w:cs="仿宋"/>
          <w:b/>
          <w:bCs w:val="0"/>
          <w:color w:val="auto"/>
          <w:highlight w:val="none"/>
          <w:lang w:val="en-US" w:eastAsia="zh-CN"/>
        </w:rPr>
        <w:t xml:space="preserve"> </w:t>
      </w:r>
      <w:r>
        <w:rPr>
          <w:rFonts w:hint="eastAsia" w:ascii="仿宋" w:hAnsi="仿宋" w:eastAsia="仿宋" w:cs="仿宋"/>
          <w:b/>
          <w:bCs w:val="0"/>
          <w:color w:val="auto"/>
          <w:highlight w:val="none"/>
        </w:rPr>
        <w:t>合同格式及合同条款</w:t>
      </w:r>
      <w:bookmarkEnd w:id="32"/>
      <w:bookmarkEnd w:id="33"/>
      <w:bookmarkEnd w:id="34"/>
      <w:bookmarkEnd w:id="35"/>
      <w:bookmarkEnd w:id="40"/>
      <w:bookmarkEnd w:id="41"/>
      <w:bookmarkEnd w:id="42"/>
      <w:bookmarkEnd w:id="43"/>
      <w:bookmarkEnd w:id="44"/>
      <w:bookmarkEnd w:id="45"/>
    </w:p>
    <w:p w14:paraId="15588937">
      <w:pPr>
        <w:jc w:val="center"/>
        <w:rPr>
          <w:rFonts w:hint="eastAsia" w:ascii="仿宋" w:hAnsi="仿宋" w:eastAsia="仿宋" w:cs="仿宋"/>
          <w:color w:val="auto"/>
          <w:sz w:val="22"/>
          <w:szCs w:val="22"/>
          <w:highlight w:val="none"/>
          <w:lang w:eastAsia="zh-CN"/>
        </w:rPr>
      </w:pPr>
      <w:bookmarkStart w:id="46" w:name="_Toc18901"/>
      <w:bookmarkStart w:id="47" w:name="_Toc7411"/>
      <w:bookmarkStart w:id="48" w:name="_Toc257633148"/>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具体以双方签订合同为准</w:t>
      </w:r>
      <w:r>
        <w:rPr>
          <w:rFonts w:hint="eastAsia" w:ascii="仿宋" w:hAnsi="仿宋" w:eastAsia="仿宋" w:cs="仿宋"/>
          <w:color w:val="auto"/>
          <w:sz w:val="22"/>
          <w:szCs w:val="22"/>
          <w:highlight w:val="none"/>
          <w:lang w:eastAsia="zh-CN"/>
        </w:rPr>
        <w:t>）</w:t>
      </w:r>
    </w:p>
    <w:p w14:paraId="213CE99A">
      <w:pPr>
        <w:jc w:val="center"/>
        <w:rPr>
          <w:rFonts w:hint="eastAsia" w:ascii="仿宋" w:hAnsi="仿宋" w:eastAsia="仿宋" w:cs="仿宋"/>
          <w:color w:val="auto"/>
          <w:highlight w:val="none"/>
        </w:rPr>
      </w:pPr>
    </w:p>
    <w:p w14:paraId="0170448A">
      <w:pPr>
        <w:pStyle w:val="126"/>
        <w:jc w:val="left"/>
        <w:rPr>
          <w:rFonts w:ascii="Times New Roman" w:cs="Times New Roman"/>
          <w:color w:val="auto"/>
          <w:highlight w:val="none"/>
        </w:rPr>
      </w:pPr>
      <w:r>
        <w:rPr>
          <w:rFonts w:hint="default" w:ascii="Times New Roman" w:cs="Times New Roman"/>
          <w:color w:val="auto"/>
          <w:highlight w:val="none"/>
        </w:rPr>
        <w:t xml:space="preserve">附件2                               编号：            </w:t>
      </w:r>
    </w:p>
    <w:p w14:paraId="4AC0412B">
      <w:pPr>
        <w:pStyle w:val="1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580534D0">
      <w:pPr>
        <w:pStyle w:val="1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color w:val="auto"/>
          <w:sz w:val="40"/>
          <w:szCs w:val="40"/>
          <w:highlight w:val="none"/>
          <w:lang w:eastAsia="zh-CN"/>
        </w:rPr>
      </w:pPr>
      <w:r>
        <w:rPr>
          <w:rFonts w:hint="eastAsia" w:ascii="方正小标宋简体" w:hAnsi="方正小标宋简体" w:eastAsia="方正小标宋简体" w:cs="方正小标宋简体"/>
          <w:b w:val="0"/>
          <w:bCs/>
          <w:color w:val="auto"/>
          <w:sz w:val="40"/>
          <w:szCs w:val="40"/>
          <w:highlight w:val="none"/>
          <w:lang w:val="en-US" w:eastAsia="zh-CN"/>
        </w:rPr>
        <w:t>2026年农作物</w:t>
      </w:r>
      <w:r>
        <w:rPr>
          <w:rFonts w:hint="eastAsia" w:ascii="方正小标宋简体" w:hAnsi="方正小标宋简体" w:eastAsia="方正小标宋简体" w:cs="方正小标宋简体"/>
          <w:b w:val="0"/>
          <w:bCs/>
          <w:color w:val="auto"/>
          <w:sz w:val="40"/>
          <w:szCs w:val="40"/>
          <w:highlight w:val="none"/>
          <w:lang w:eastAsia="zh-CN"/>
        </w:rPr>
        <w:t>救灾备荒种子</w:t>
      </w:r>
    </w:p>
    <w:p w14:paraId="0483871D">
      <w:pPr>
        <w:pStyle w:val="1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简体" w:hAnsi="方正小标宋简体" w:eastAsia="方正小标宋简体" w:cs="方正小标宋简体"/>
          <w:b w:val="0"/>
          <w:bCs/>
          <w:color w:val="auto"/>
          <w:sz w:val="40"/>
          <w:szCs w:val="40"/>
          <w:highlight w:val="none"/>
          <w:lang w:eastAsia="zh-CN"/>
        </w:rPr>
      </w:pPr>
      <w:r>
        <w:rPr>
          <w:rFonts w:hint="eastAsia" w:ascii="方正小标宋简体" w:hAnsi="方正小标宋简体" w:eastAsia="方正小标宋简体" w:cs="方正小标宋简体"/>
          <w:b w:val="0"/>
          <w:bCs/>
          <w:color w:val="auto"/>
          <w:sz w:val="40"/>
          <w:szCs w:val="40"/>
          <w:highlight w:val="none"/>
          <w:lang w:eastAsia="zh-CN"/>
        </w:rPr>
        <w:t>储备合同</w:t>
      </w:r>
    </w:p>
    <w:p w14:paraId="639F6E40">
      <w:pPr>
        <w:pStyle w:val="127"/>
        <w:rPr>
          <w:rFonts w:cs="Times New Roman"/>
          <w:color w:val="auto"/>
          <w:highlight w:val="none"/>
          <w:lang w:eastAsia="zh-CN"/>
        </w:rPr>
      </w:pPr>
    </w:p>
    <w:p w14:paraId="7236F063">
      <w:pPr>
        <w:pStyle w:val="127"/>
        <w:keepNext w:val="0"/>
        <w:keepLines w:val="0"/>
        <w:pageBreakBefore w:val="0"/>
        <w:widowControl/>
        <w:kinsoku/>
        <w:wordWrap/>
        <w:overflowPunct/>
        <w:topLinePunct w:val="0"/>
        <w:autoSpaceDE/>
        <w:autoSpaceDN/>
        <w:bidi w:val="0"/>
        <w:spacing w:line="1100" w:lineRule="exact"/>
        <w:textAlignment w:val="auto"/>
        <w:rPr>
          <w:rFonts w:hint="default" w:cs="Times New Roman"/>
          <w:color w:val="auto"/>
          <w:highlight w:val="none"/>
          <w:lang w:eastAsia="zh-CN"/>
        </w:rPr>
      </w:pPr>
    </w:p>
    <w:p w14:paraId="18718F30">
      <w:pPr>
        <w:pStyle w:val="128"/>
        <w:keepNext w:val="0"/>
        <w:keepLines w:val="0"/>
        <w:pageBreakBefore w:val="0"/>
        <w:widowControl/>
        <w:kinsoku/>
        <w:wordWrap/>
        <w:overflowPunct/>
        <w:topLinePunct w:val="0"/>
        <w:autoSpaceDE/>
        <w:autoSpaceDN/>
        <w:bidi w:val="0"/>
        <w:spacing w:line="1100" w:lineRule="exact"/>
        <w:ind w:firstLine="640"/>
        <w:textAlignment w:val="auto"/>
        <w:rPr>
          <w:rFonts w:cs="Times New Roman"/>
          <w:b w:val="0"/>
          <w:bCs w:val="0"/>
          <w:color w:val="auto"/>
          <w:highlight w:val="none"/>
          <w:u w:val="single"/>
        </w:rPr>
      </w:pPr>
      <w:r>
        <w:rPr>
          <w:rFonts w:hint="default" w:cs="Times New Roman"/>
          <w:b w:val="0"/>
          <w:bCs w:val="0"/>
          <w:color w:val="auto"/>
          <w:highlight w:val="none"/>
          <w:lang w:eastAsia="zh-CN"/>
        </w:rPr>
        <w:t>项目名称</w:t>
      </w:r>
      <w:r>
        <w:rPr>
          <w:rFonts w:hint="default" w:cs="Times New Roman"/>
          <w:b w:val="0"/>
          <w:bCs w:val="0"/>
          <w:color w:val="auto"/>
          <w:highlight w:val="none"/>
        </w:rPr>
        <w:t>：</w:t>
      </w:r>
      <w:r>
        <w:rPr>
          <w:rFonts w:hint="default" w:cs="Times New Roman"/>
          <w:b w:val="0"/>
          <w:bCs w:val="0"/>
          <w:color w:val="auto"/>
          <w:highlight w:val="none"/>
          <w:u w:val="single"/>
        </w:rPr>
        <w:t xml:space="preserve"> </w:t>
      </w:r>
      <w:r>
        <w:rPr>
          <w:rFonts w:hint="eastAsia" w:eastAsia="仿宋_GB2312" w:cs="Times New Roman"/>
          <w:b w:val="0"/>
          <w:bCs w:val="0"/>
          <w:color w:val="auto"/>
          <w:highlight w:val="none"/>
          <w:u w:val="single"/>
          <w:lang w:val="en-US" w:eastAsia="zh-CN"/>
        </w:rPr>
        <w:t xml:space="preserve"> 2026</w:t>
      </w:r>
      <w:r>
        <w:rPr>
          <w:rFonts w:hint="default" w:ascii="Times New Roman" w:hAnsi="Times New Roman" w:eastAsia="仿宋_GB2312" w:cs="Times New Roman"/>
          <w:b w:val="0"/>
          <w:bCs w:val="0"/>
          <w:color w:val="auto"/>
          <w:highlight w:val="none"/>
          <w:u w:val="single"/>
        </w:rPr>
        <w:t>年</w:t>
      </w:r>
      <w:r>
        <w:rPr>
          <w:rFonts w:hint="eastAsia" w:eastAsia="仿宋_GB2312" w:cs="Times New Roman"/>
          <w:b w:val="0"/>
          <w:bCs w:val="0"/>
          <w:color w:val="auto"/>
          <w:highlight w:val="none"/>
          <w:u w:val="single"/>
          <w:lang w:eastAsia="zh-CN"/>
        </w:rPr>
        <w:t>农作物</w:t>
      </w:r>
      <w:r>
        <w:rPr>
          <w:rFonts w:hint="default" w:ascii="Times New Roman" w:hAnsi="Times New Roman" w:eastAsia="仿宋_GB2312" w:cs="Times New Roman"/>
          <w:b w:val="0"/>
          <w:bCs w:val="0"/>
          <w:color w:val="auto"/>
          <w:highlight w:val="none"/>
          <w:u w:val="single"/>
        </w:rPr>
        <w:t>救灾备荒种子储备</w:t>
      </w:r>
      <w:r>
        <w:rPr>
          <w:rFonts w:hint="default" w:ascii="Times New Roman" w:hAnsi="Times New Roman" w:eastAsia="仿宋_GB2312" w:cs="Times New Roman"/>
          <w:b w:val="0"/>
          <w:bCs w:val="0"/>
          <w:color w:val="auto"/>
          <w:highlight w:val="none"/>
          <w:u w:val="single"/>
          <w:lang w:eastAsia="zh-CN"/>
        </w:rPr>
        <w:t>项目</w:t>
      </w:r>
      <w:r>
        <w:rPr>
          <w:rFonts w:hint="default" w:ascii="Times New Roman" w:hAnsi="Times New Roman" w:eastAsia="仿宋_GB2312" w:cs="Times New Roman"/>
          <w:b w:val="0"/>
          <w:bCs w:val="0"/>
          <w:color w:val="auto"/>
          <w:highlight w:val="none"/>
          <w:u w:val="single"/>
        </w:rPr>
        <w:t xml:space="preserve">  </w:t>
      </w:r>
      <w:r>
        <w:rPr>
          <w:rFonts w:hint="default" w:cs="Times New Roman"/>
          <w:b w:val="0"/>
          <w:bCs w:val="0"/>
          <w:color w:val="auto"/>
          <w:highlight w:val="none"/>
          <w:u w:val="single"/>
        </w:rPr>
        <w:t xml:space="preserve"> </w:t>
      </w:r>
    </w:p>
    <w:p w14:paraId="1A82F1C3">
      <w:pPr>
        <w:pStyle w:val="128"/>
        <w:keepNext w:val="0"/>
        <w:keepLines w:val="0"/>
        <w:pageBreakBefore w:val="0"/>
        <w:widowControl/>
        <w:kinsoku/>
        <w:wordWrap/>
        <w:overflowPunct/>
        <w:topLinePunct w:val="0"/>
        <w:autoSpaceDE/>
        <w:autoSpaceDN/>
        <w:bidi w:val="0"/>
        <w:spacing w:line="1100" w:lineRule="exact"/>
        <w:ind w:firstLine="640"/>
        <w:textAlignment w:val="auto"/>
        <w:rPr>
          <w:rFonts w:hint="default" w:cs="Times New Roman"/>
          <w:b w:val="0"/>
          <w:bCs w:val="0"/>
          <w:color w:val="auto"/>
          <w:highlight w:val="none"/>
        </w:rPr>
      </w:pPr>
      <w:r>
        <w:rPr>
          <w:rFonts w:hint="default" w:cs="Times New Roman"/>
          <w:b w:val="0"/>
          <w:bCs w:val="0"/>
          <w:color w:val="auto"/>
          <w:highlight w:val="none"/>
          <w:lang w:eastAsia="zh-CN"/>
        </w:rPr>
        <w:t>项目</w:t>
      </w:r>
      <w:r>
        <w:rPr>
          <w:rFonts w:hint="default" w:cs="Times New Roman"/>
          <w:b w:val="0"/>
          <w:bCs w:val="0"/>
          <w:color w:val="auto"/>
          <w:highlight w:val="none"/>
        </w:rPr>
        <w:t>主体：</w:t>
      </w:r>
      <w:r>
        <w:rPr>
          <w:rFonts w:hint="default" w:cs="Times New Roman"/>
          <w:b w:val="0"/>
          <w:bCs w:val="0"/>
          <w:color w:val="auto"/>
          <w:highlight w:val="none"/>
          <w:u w:val="single"/>
        </w:rPr>
        <w:t xml:space="preserve">  </w:t>
      </w:r>
      <w:r>
        <w:rPr>
          <w:rFonts w:hint="eastAsia" w:cs="Times New Roman"/>
          <w:b w:val="0"/>
          <w:bCs w:val="0"/>
          <w:color w:val="auto"/>
          <w:highlight w:val="none"/>
          <w:u w:val="single"/>
          <w:lang w:val="en-US" w:eastAsia="zh-CN"/>
        </w:rPr>
        <w:t xml:space="preserve">  </w:t>
      </w:r>
      <w:r>
        <w:rPr>
          <w:rFonts w:hint="eastAsia" w:eastAsia="仿宋_GB2312" w:cs="Times New Roman"/>
          <w:b w:val="0"/>
          <w:bCs w:val="0"/>
          <w:color w:val="auto"/>
          <w:highlight w:val="none"/>
          <w:u w:val="single"/>
          <w:lang w:val="en-US" w:eastAsia="zh-CN"/>
        </w:rPr>
        <w:t xml:space="preserve">阿克苏地区种业发展中心     </w:t>
      </w:r>
      <w:r>
        <w:rPr>
          <w:rFonts w:hint="default" w:cs="Times New Roman"/>
          <w:b w:val="0"/>
          <w:bCs w:val="0"/>
          <w:color w:val="auto"/>
          <w:highlight w:val="none"/>
          <w:u w:val="single"/>
        </w:rPr>
        <w:t>（甲方）</w:t>
      </w:r>
    </w:p>
    <w:p w14:paraId="53FB4972">
      <w:pPr>
        <w:pStyle w:val="128"/>
        <w:keepNext w:val="0"/>
        <w:keepLines w:val="0"/>
        <w:pageBreakBefore w:val="0"/>
        <w:widowControl/>
        <w:kinsoku/>
        <w:wordWrap/>
        <w:overflowPunct/>
        <w:topLinePunct w:val="0"/>
        <w:autoSpaceDE/>
        <w:autoSpaceDN/>
        <w:bidi w:val="0"/>
        <w:spacing w:line="1100" w:lineRule="exact"/>
        <w:ind w:firstLine="640"/>
        <w:textAlignment w:val="auto"/>
        <w:rPr>
          <w:rFonts w:hint="default" w:eastAsia="黑体" w:cs="Times New Roman"/>
          <w:b w:val="0"/>
          <w:bCs w:val="0"/>
          <w:color w:val="auto"/>
          <w:highlight w:val="none"/>
          <w:lang w:val="en-US" w:eastAsia="zh-CN"/>
        </w:rPr>
      </w:pPr>
      <w:r>
        <w:rPr>
          <w:rFonts w:hint="default" w:cs="Times New Roman"/>
          <w:b w:val="0"/>
          <w:bCs w:val="0"/>
          <w:color w:val="auto"/>
          <w:highlight w:val="none"/>
        </w:rPr>
        <w:t>承接主体</w:t>
      </w:r>
      <w:r>
        <w:rPr>
          <w:rFonts w:cs="Times New Roman"/>
          <w:b w:val="0"/>
          <w:bCs w:val="0"/>
          <w:color w:val="auto"/>
          <w:highlight w:val="none"/>
        </w:rPr>
        <w:t>：</w:t>
      </w:r>
      <w:r>
        <w:rPr>
          <w:rFonts w:hint="default" w:cs="Times New Roman"/>
          <w:b w:val="0"/>
          <w:bCs w:val="0"/>
          <w:color w:val="auto"/>
          <w:highlight w:val="none"/>
          <w:u w:val="single"/>
        </w:rPr>
        <w:t xml:space="preserve">    </w:t>
      </w:r>
      <w:r>
        <w:rPr>
          <w:rFonts w:hint="eastAsia" w:ascii="仿宋_GB2312" w:hAnsi="仿宋_GB2312" w:eastAsia="仿宋_GB2312" w:cs="仿宋_GB2312"/>
          <w:b w:val="0"/>
          <w:bCs w:val="0"/>
          <w:color w:val="auto"/>
          <w:highlight w:val="none"/>
          <w:u w:val="single"/>
          <w:lang w:val="en-US" w:eastAsia="zh-CN"/>
        </w:rPr>
        <w:t xml:space="preserve">                         </w:t>
      </w:r>
      <w:r>
        <w:rPr>
          <w:rFonts w:hint="default" w:cs="Times New Roman"/>
          <w:b w:val="0"/>
          <w:bCs w:val="0"/>
          <w:color w:val="auto"/>
          <w:highlight w:val="none"/>
          <w:u w:val="single"/>
          <w:lang w:val="en-US" w:eastAsia="zh-CN"/>
        </w:rPr>
        <w:t xml:space="preserve"> </w:t>
      </w:r>
      <w:r>
        <w:rPr>
          <w:rFonts w:hint="eastAsia" w:cs="Times New Roman"/>
          <w:b w:val="0"/>
          <w:bCs w:val="0"/>
          <w:color w:val="auto"/>
          <w:highlight w:val="none"/>
          <w:u w:val="single"/>
          <w:lang w:val="en-US" w:eastAsia="zh-CN"/>
        </w:rPr>
        <w:t xml:space="preserve"> </w:t>
      </w:r>
      <w:r>
        <w:rPr>
          <w:rFonts w:hint="default" w:cs="Times New Roman"/>
          <w:b w:val="0"/>
          <w:bCs w:val="0"/>
          <w:color w:val="auto"/>
          <w:highlight w:val="none"/>
          <w:u w:val="single"/>
        </w:rPr>
        <w:t>（乙方）</w:t>
      </w:r>
    </w:p>
    <w:p w14:paraId="07521776">
      <w:pPr>
        <w:pStyle w:val="128"/>
        <w:keepNext w:val="0"/>
        <w:keepLines w:val="0"/>
        <w:pageBreakBefore w:val="0"/>
        <w:widowControl/>
        <w:kinsoku/>
        <w:wordWrap/>
        <w:overflowPunct/>
        <w:topLinePunct w:val="0"/>
        <w:autoSpaceDE/>
        <w:autoSpaceDN/>
        <w:bidi w:val="0"/>
        <w:spacing w:line="1100" w:lineRule="exact"/>
        <w:ind w:firstLine="640"/>
        <w:textAlignment w:val="auto"/>
        <w:rPr>
          <w:rFonts w:hint="default" w:eastAsia="黑体" w:cs="Times New Roman"/>
          <w:b w:val="0"/>
          <w:bCs w:val="0"/>
          <w:color w:val="auto"/>
          <w:highlight w:val="none"/>
          <w:u w:val="single"/>
          <w:lang w:val="en-US" w:eastAsia="zh-CN"/>
        </w:rPr>
      </w:pPr>
      <w:r>
        <w:rPr>
          <w:rFonts w:hint="default" w:cs="Times New Roman"/>
          <w:b w:val="0"/>
          <w:bCs w:val="0"/>
          <w:color w:val="auto"/>
          <w:highlight w:val="none"/>
        </w:rPr>
        <w:t>签订时间：</w:t>
      </w:r>
      <w:r>
        <w:rPr>
          <w:rFonts w:hint="default" w:cs="Times New Roman"/>
          <w:b w:val="0"/>
          <w:bCs w:val="0"/>
          <w:color w:val="auto"/>
          <w:highlight w:val="none"/>
          <w:u w:val="single"/>
        </w:rPr>
        <w:t xml:space="preserve">   </w:t>
      </w:r>
      <w:r>
        <w:rPr>
          <w:rFonts w:hint="eastAsia" w:cs="Times New Roman"/>
          <w:b w:val="0"/>
          <w:bCs w:val="0"/>
          <w:color w:val="auto"/>
          <w:highlight w:val="none"/>
          <w:u w:val="single"/>
          <w:lang w:val="en-US" w:eastAsia="zh-CN"/>
        </w:rPr>
        <w:t xml:space="preserve">  </w:t>
      </w:r>
      <w:r>
        <w:rPr>
          <w:rFonts w:hint="default" w:ascii="Times New Roman" w:hAnsi="Times New Roman" w:eastAsia="仿宋_GB2312" w:cs="Times New Roman"/>
          <w:b w:val="0"/>
          <w:bCs w:val="0"/>
          <w:color w:val="auto"/>
          <w:highlight w:val="none"/>
          <w:u w:val="single"/>
        </w:rPr>
        <w:t xml:space="preserve"> 20</w:t>
      </w:r>
      <w:r>
        <w:rPr>
          <w:rFonts w:ascii="Times New Roman" w:hAnsi="Times New Roman" w:eastAsia="仿宋_GB2312" w:cs="Times New Roman"/>
          <w:b w:val="0"/>
          <w:bCs w:val="0"/>
          <w:color w:val="auto"/>
          <w:highlight w:val="none"/>
          <w:u w:val="single"/>
        </w:rPr>
        <w:t>2</w:t>
      </w:r>
      <w:r>
        <w:rPr>
          <w:rFonts w:hint="eastAsia" w:eastAsia="仿宋_GB2312" w:cs="Times New Roman"/>
          <w:b w:val="0"/>
          <w:bCs w:val="0"/>
          <w:color w:val="auto"/>
          <w:highlight w:val="none"/>
          <w:u w:val="single"/>
          <w:lang w:val="en-US" w:eastAsia="zh-CN"/>
        </w:rPr>
        <w:t>6</w:t>
      </w:r>
      <w:r>
        <w:rPr>
          <w:rFonts w:hint="default" w:ascii="Times New Roman" w:hAnsi="Times New Roman" w:eastAsia="仿宋_GB2312" w:cs="Times New Roman"/>
          <w:b w:val="0"/>
          <w:bCs w:val="0"/>
          <w:color w:val="auto"/>
          <w:highlight w:val="none"/>
          <w:u w:val="single"/>
        </w:rPr>
        <w:t>年</w:t>
      </w:r>
      <w:r>
        <w:rPr>
          <w:rFonts w:hint="eastAsia" w:eastAsia="仿宋_GB2312" w:cs="Times New Roman"/>
          <w:b w:val="0"/>
          <w:bCs w:val="0"/>
          <w:color w:val="auto"/>
          <w:highlight w:val="none"/>
          <w:u w:val="single"/>
          <w:lang w:val="en-US" w:eastAsia="zh-CN"/>
        </w:rPr>
        <w:t xml:space="preserve">   </w:t>
      </w:r>
      <w:r>
        <w:rPr>
          <w:rFonts w:hint="default" w:ascii="Times New Roman" w:hAnsi="Times New Roman" w:eastAsia="仿宋_GB2312" w:cs="Times New Roman"/>
          <w:b w:val="0"/>
          <w:bCs w:val="0"/>
          <w:color w:val="auto"/>
          <w:highlight w:val="none"/>
          <w:u w:val="single"/>
        </w:rPr>
        <w:t xml:space="preserve"> 月 </w:t>
      </w:r>
      <w:r>
        <w:rPr>
          <w:rFonts w:hint="eastAsia" w:eastAsia="仿宋_GB2312" w:cs="Times New Roman"/>
          <w:b w:val="0"/>
          <w:bCs w:val="0"/>
          <w:color w:val="auto"/>
          <w:highlight w:val="none"/>
          <w:u w:val="single"/>
          <w:lang w:val="en-US" w:eastAsia="zh-CN"/>
        </w:rPr>
        <w:t xml:space="preserve"> </w:t>
      </w:r>
      <w:r>
        <w:rPr>
          <w:rFonts w:hint="default" w:ascii="Times New Roman" w:hAnsi="Times New Roman" w:eastAsia="仿宋_GB2312" w:cs="Times New Roman"/>
          <w:b w:val="0"/>
          <w:bCs w:val="0"/>
          <w:color w:val="auto"/>
          <w:highlight w:val="none"/>
          <w:u w:val="single"/>
        </w:rPr>
        <w:t xml:space="preserve">   日  </w:t>
      </w:r>
      <w:r>
        <w:rPr>
          <w:rFonts w:hint="default" w:cs="Times New Roman"/>
          <w:b w:val="0"/>
          <w:bCs w:val="0"/>
          <w:color w:val="auto"/>
          <w:highlight w:val="none"/>
          <w:u w:val="single"/>
        </w:rPr>
        <w:t xml:space="preserve">        </w:t>
      </w:r>
      <w:r>
        <w:rPr>
          <w:rFonts w:hint="default" w:cs="Times New Roman"/>
          <w:b w:val="0"/>
          <w:bCs w:val="0"/>
          <w:color w:val="auto"/>
          <w:highlight w:val="none"/>
          <w:u w:val="single"/>
          <w:lang w:val="en-US" w:eastAsia="zh-CN"/>
        </w:rPr>
        <w:t xml:space="preserve">   </w:t>
      </w:r>
    </w:p>
    <w:p w14:paraId="64C076CB">
      <w:pPr>
        <w:pStyle w:val="130"/>
        <w:rPr>
          <w:rFonts w:cs="Times New Roman"/>
          <w:color w:val="auto"/>
          <w:highlight w:val="none"/>
        </w:rPr>
      </w:pPr>
    </w:p>
    <w:p w14:paraId="4D115203">
      <w:pPr>
        <w:rPr>
          <w:rFonts w:cs="Times New Roman"/>
          <w:color w:val="auto"/>
          <w:sz w:val="30"/>
          <w:szCs w:val="30"/>
          <w:highlight w:val="none"/>
        </w:rPr>
      </w:pPr>
      <w:r>
        <w:rPr>
          <w:rFonts w:cs="Times New Roman"/>
          <w:color w:val="auto"/>
          <w:sz w:val="30"/>
          <w:szCs w:val="30"/>
          <w:highlight w:val="none"/>
        </w:rPr>
        <w:br w:type="page"/>
      </w:r>
    </w:p>
    <w:p w14:paraId="14C5370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cs="Times New Roman"/>
          <w:color w:val="auto"/>
          <w:sz w:val="28"/>
          <w:szCs w:val="28"/>
          <w:highlight w:val="none"/>
        </w:rPr>
        <w:t>根据《中华人民共和国</w:t>
      </w:r>
      <w:r>
        <w:rPr>
          <w:rFonts w:hint="default" w:cs="Times New Roman"/>
          <w:color w:val="auto"/>
          <w:sz w:val="28"/>
          <w:szCs w:val="28"/>
          <w:highlight w:val="none"/>
          <w:lang w:eastAsia="zh-CN"/>
        </w:rPr>
        <w:t>种子法</w:t>
      </w:r>
      <w:r>
        <w:rPr>
          <w:rFonts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《国家救灾备荒种子储备补助经费管理办法》(农财发〔2015〕71号)</w:t>
      </w:r>
      <w:r>
        <w:rPr>
          <w:rFonts w:cs="Times New Roman"/>
          <w:color w:val="auto"/>
          <w:sz w:val="28"/>
          <w:szCs w:val="28"/>
          <w:highlight w:val="none"/>
        </w:rPr>
        <w:t>《</w:t>
      </w:r>
      <w:r>
        <w:rPr>
          <w:rFonts w:hint="eastAsia" w:cs="Times New Roman"/>
          <w:color w:val="auto"/>
          <w:sz w:val="28"/>
          <w:szCs w:val="28"/>
          <w:highlight w:val="none"/>
          <w:lang w:val="en-US" w:eastAsia="zh-CN"/>
        </w:rPr>
        <w:t>新疆维吾尔</w:t>
      </w:r>
      <w:r>
        <w:rPr>
          <w:rFonts w:hint="default" w:cs="Times New Roman"/>
          <w:color w:val="auto"/>
          <w:sz w:val="28"/>
          <w:szCs w:val="28"/>
          <w:highlight w:val="none"/>
          <w:lang w:eastAsia="zh-CN"/>
        </w:rPr>
        <w:t>自治区救灾备荒种子储备管理办法</w:t>
      </w:r>
      <w:r>
        <w:rPr>
          <w:rFonts w:cs="Times New Roman"/>
          <w:color w:val="auto"/>
          <w:sz w:val="28"/>
          <w:szCs w:val="28"/>
          <w:highlight w:val="none"/>
        </w:rPr>
        <w:t>》</w:t>
      </w:r>
      <w:r>
        <w:rPr>
          <w:rFonts w:hint="default" w:cs="Times New Roman"/>
          <w:color w:val="auto"/>
          <w:sz w:val="28"/>
          <w:szCs w:val="28"/>
          <w:highlight w:val="none"/>
          <w:lang w:eastAsia="zh-CN"/>
        </w:rPr>
        <w:t>（新农规</w:t>
      </w:r>
      <w:r>
        <w:rPr>
          <w:rFonts w:hint="default" w:ascii="Times New Roman" w:hAnsi="Times New Roman" w:eastAsia="仿宋_GB2312" w:cs="Times New Roman"/>
          <w:color w:val="auto"/>
          <w:sz w:val="28"/>
          <w:szCs w:val="28"/>
          <w:highlight w:val="none"/>
          <w:lang w:val="en-US" w:eastAsia="zh-CN"/>
        </w:rPr>
        <w:t>〔</w:t>
      </w:r>
      <w:r>
        <w:rPr>
          <w:rFonts w:hint="default" w:cs="Times New Roman"/>
          <w:color w:val="auto"/>
          <w:sz w:val="28"/>
          <w:szCs w:val="28"/>
          <w:highlight w:val="none"/>
          <w:lang w:eastAsia="zh-CN"/>
        </w:rPr>
        <w:t>202</w:t>
      </w:r>
      <w:r>
        <w:rPr>
          <w:rFonts w:hint="eastAsia"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w:t>
      </w:r>
      <w:r>
        <w:rPr>
          <w:rFonts w:hint="eastAsia" w:cs="Times New Roman"/>
          <w:color w:val="auto"/>
          <w:sz w:val="28"/>
          <w:szCs w:val="28"/>
          <w:highlight w:val="none"/>
          <w:lang w:val="en-US" w:eastAsia="zh-CN"/>
        </w:rPr>
        <w:t>2</w:t>
      </w:r>
      <w:r>
        <w:rPr>
          <w:rFonts w:hint="default" w:cs="Times New Roman"/>
          <w:color w:val="auto"/>
          <w:sz w:val="28"/>
          <w:szCs w:val="28"/>
          <w:highlight w:val="none"/>
          <w:lang w:eastAsia="zh-CN"/>
        </w:rPr>
        <w:t>号）</w:t>
      </w:r>
      <w:r>
        <w:rPr>
          <w:rFonts w:cs="Times New Roman"/>
          <w:color w:val="auto"/>
          <w:sz w:val="28"/>
          <w:szCs w:val="28"/>
          <w:highlight w:val="none"/>
        </w:rPr>
        <w:t>等有关规定，</w:t>
      </w:r>
      <w:r>
        <w:rPr>
          <w:rFonts w:hint="default" w:ascii="Times New Roman" w:hAnsi="Times New Roman" w:eastAsia="仿宋_GB2312" w:cs="Times New Roman"/>
          <w:color w:val="auto"/>
          <w:sz w:val="28"/>
          <w:szCs w:val="28"/>
          <w:highlight w:val="none"/>
          <w:lang w:val="en-US" w:eastAsia="zh-CN"/>
        </w:rPr>
        <w:t>为保障农业生产用种安全，提升抗灾减灾能力，加强</w:t>
      </w:r>
      <w:r>
        <w:rPr>
          <w:rFonts w:hint="eastAsia" w:cs="Times New Roman"/>
          <w:color w:val="auto"/>
          <w:sz w:val="28"/>
          <w:szCs w:val="28"/>
          <w:highlight w:val="none"/>
          <w:lang w:val="en-US" w:eastAsia="zh-CN"/>
        </w:rPr>
        <w:t>自治区</w:t>
      </w:r>
      <w:r>
        <w:rPr>
          <w:rFonts w:hint="default" w:ascii="Times New Roman" w:hAnsi="Times New Roman" w:eastAsia="仿宋_GB2312" w:cs="Times New Roman"/>
          <w:color w:val="auto"/>
          <w:sz w:val="28"/>
          <w:szCs w:val="28"/>
          <w:highlight w:val="none"/>
          <w:lang w:val="en-US" w:eastAsia="zh-CN"/>
        </w:rPr>
        <w:t>救灾备荒种子储备</w:t>
      </w:r>
      <w:r>
        <w:rPr>
          <w:rFonts w:hint="default" w:ascii="Times New Roman" w:hAnsi="Times New Roman" w:cs="Times New Roman"/>
          <w:color w:val="auto"/>
          <w:sz w:val="28"/>
          <w:szCs w:val="28"/>
          <w:highlight w:val="none"/>
          <w:lang w:val="en-US" w:eastAsia="zh-CN"/>
        </w:rPr>
        <w:t>项目的规范实施</w:t>
      </w:r>
      <w:r>
        <w:rPr>
          <w:rFonts w:cs="Times New Roman"/>
          <w:color w:val="auto"/>
          <w:sz w:val="28"/>
          <w:szCs w:val="28"/>
          <w:highlight w:val="none"/>
        </w:rPr>
        <w:t>，明确</w:t>
      </w:r>
      <w:r>
        <w:rPr>
          <w:rFonts w:hint="default" w:cs="Times New Roman"/>
          <w:color w:val="auto"/>
          <w:sz w:val="28"/>
          <w:szCs w:val="28"/>
          <w:highlight w:val="none"/>
        </w:rPr>
        <w:t>甲乙双方（以及本合同涉及的其他当事方）</w:t>
      </w:r>
      <w:r>
        <w:rPr>
          <w:rFonts w:cs="Times New Roman"/>
          <w:color w:val="auto"/>
          <w:sz w:val="28"/>
          <w:szCs w:val="28"/>
          <w:highlight w:val="none"/>
        </w:rPr>
        <w:t>的权利义务，经双方协商，本着平等互利和诚实信用的原则，一致同意签订本合同。</w:t>
      </w:r>
    </w:p>
    <w:p w14:paraId="0DE947B3">
      <w:pPr>
        <w:pStyle w:val="130"/>
        <w:keepNext w:val="0"/>
        <w:keepLines w:val="0"/>
        <w:pageBreakBefore w:val="0"/>
        <w:widowControl/>
        <w:kinsoku/>
        <w:wordWrap/>
        <w:overflowPunct/>
        <w:topLinePunct w:val="0"/>
        <w:autoSpaceDE/>
        <w:autoSpaceDN/>
        <w:bidi w:val="0"/>
        <w:adjustRightInd/>
        <w:snapToGrid/>
        <w:spacing w:line="560" w:lineRule="exact"/>
        <w:textAlignment w:val="auto"/>
        <w:rPr>
          <w:rFonts w:hint="default" w:cs="Times New Roman"/>
          <w:color w:val="auto"/>
          <w:sz w:val="28"/>
          <w:szCs w:val="28"/>
          <w:highlight w:val="none"/>
        </w:rPr>
      </w:pPr>
      <w:r>
        <w:rPr>
          <w:rFonts w:hint="default" w:cs="Times New Roman"/>
          <w:color w:val="auto"/>
          <w:sz w:val="28"/>
          <w:szCs w:val="28"/>
          <w:highlight w:val="none"/>
        </w:rPr>
        <w:t xml:space="preserve">第一条 </w:t>
      </w:r>
      <w:r>
        <w:rPr>
          <w:rFonts w:hint="default" w:cs="Times New Roman"/>
          <w:color w:val="auto"/>
          <w:sz w:val="28"/>
          <w:szCs w:val="28"/>
          <w:highlight w:val="none"/>
          <w:lang w:eastAsia="zh-CN"/>
        </w:rPr>
        <w:t>项目</w:t>
      </w:r>
      <w:r>
        <w:rPr>
          <w:rFonts w:hint="default" w:cs="Times New Roman"/>
          <w:color w:val="auto"/>
          <w:sz w:val="28"/>
          <w:szCs w:val="28"/>
          <w:highlight w:val="none"/>
        </w:rPr>
        <w:t>的内容及要求</w:t>
      </w:r>
    </w:p>
    <w:p w14:paraId="21A82075">
      <w:pPr>
        <w:pStyle w:val="123"/>
        <w:keepNext w:val="0"/>
        <w:keepLines w:val="0"/>
        <w:pageBreakBefore w:val="0"/>
        <w:widowControl/>
        <w:kinsoku/>
        <w:wordWrap/>
        <w:overflowPunct/>
        <w:topLinePunct w:val="0"/>
        <w:autoSpaceDE/>
        <w:autoSpaceDN/>
        <w:bidi w:val="0"/>
        <w:adjustRightInd/>
        <w:snapToGrid/>
        <w:spacing w:line="560" w:lineRule="exact"/>
        <w:textAlignment w:val="auto"/>
        <w:rPr>
          <w:rFonts w:hint="default" w:cs="Times New Roman"/>
          <w:color w:val="auto"/>
          <w:sz w:val="28"/>
          <w:szCs w:val="28"/>
          <w:highlight w:val="none"/>
          <w:u w:val="single"/>
        </w:rPr>
      </w:pPr>
      <w:r>
        <w:rPr>
          <w:rFonts w:hint="default" w:cs="Times New Roman"/>
          <w:color w:val="auto"/>
          <w:sz w:val="28"/>
          <w:szCs w:val="28"/>
          <w:highlight w:val="none"/>
        </w:rPr>
        <w:t>（一）本合同所涉及的政府购买服务事项为：</w:t>
      </w:r>
      <w:r>
        <w:rPr>
          <w:rFonts w:hint="default" w:cs="Times New Roman"/>
          <w:color w:val="auto"/>
          <w:sz w:val="28"/>
          <w:szCs w:val="28"/>
          <w:highlight w:val="none"/>
          <w:lang w:val="en-US" w:eastAsia="zh-CN"/>
        </w:rPr>
        <w:t>202</w:t>
      </w:r>
      <w:r>
        <w:rPr>
          <w:rFonts w:hint="eastAsia" w:cs="Times New Roman"/>
          <w:color w:val="auto"/>
          <w:sz w:val="28"/>
          <w:szCs w:val="28"/>
          <w:highlight w:val="none"/>
          <w:lang w:val="en-US" w:eastAsia="zh-CN"/>
        </w:rPr>
        <w:t>6</w:t>
      </w:r>
      <w:r>
        <w:rPr>
          <w:rFonts w:hint="default" w:cs="Times New Roman"/>
          <w:color w:val="auto"/>
          <w:sz w:val="28"/>
          <w:szCs w:val="28"/>
          <w:highlight w:val="none"/>
          <w:lang w:val="en-US" w:eastAsia="zh-CN"/>
        </w:rPr>
        <w:t>年</w:t>
      </w:r>
      <w:r>
        <w:rPr>
          <w:rFonts w:hint="default" w:cs="Times New Roman"/>
          <w:color w:val="auto"/>
          <w:sz w:val="28"/>
          <w:szCs w:val="28"/>
          <w:highlight w:val="none"/>
          <w:lang w:eastAsia="zh-CN"/>
        </w:rPr>
        <w:t>自治区</w:t>
      </w:r>
      <w:r>
        <w:rPr>
          <w:rFonts w:hint="default" w:cs="Times New Roman"/>
          <w:color w:val="auto"/>
          <w:sz w:val="28"/>
          <w:szCs w:val="28"/>
          <w:highlight w:val="none"/>
        </w:rPr>
        <w:t>救灾备荒种子储备项目，</w:t>
      </w:r>
      <w:r>
        <w:rPr>
          <w:rFonts w:hint="eastAsia" w:cs="Times New Roman"/>
          <w:color w:val="auto"/>
          <w:sz w:val="28"/>
          <w:szCs w:val="28"/>
          <w:highlight w:val="none"/>
          <w:lang w:eastAsia="zh-CN"/>
        </w:rPr>
        <w:t>根据</w:t>
      </w:r>
      <w:r>
        <w:rPr>
          <w:rFonts w:hint="default" w:ascii="Times New Roman" w:hAnsi="Times New Roman" w:cs="Times New Roman"/>
          <w:color w:val="auto"/>
          <w:sz w:val="28"/>
          <w:szCs w:val="28"/>
          <w:highlight w:val="none"/>
        </w:rPr>
        <w:t>自治区农业农村厅办公室《关于印发&lt;2026年自治区现代种业振兴项目实施方案&gt;的通知》（新农办种函〔2026〕31号）</w:t>
      </w:r>
      <w:r>
        <w:rPr>
          <w:rFonts w:hint="eastAsia" w:cs="Times New Roman"/>
          <w:color w:val="auto"/>
          <w:sz w:val="28"/>
          <w:szCs w:val="28"/>
          <w:highlight w:val="none"/>
          <w:lang w:eastAsia="zh-CN"/>
        </w:rPr>
        <w:t>下达的储备任务要求，安排阿克苏地区储备</w:t>
      </w:r>
      <w:r>
        <w:rPr>
          <w:rFonts w:hint="default" w:cs="Times New Roman"/>
          <w:color w:val="auto"/>
          <w:sz w:val="28"/>
          <w:szCs w:val="28"/>
          <w:highlight w:val="none"/>
          <w:lang w:eastAsia="zh-CN"/>
        </w:rPr>
        <w:t>玉米、棉花救灾备荒种子</w:t>
      </w:r>
      <w:r>
        <w:rPr>
          <w:rFonts w:hint="eastAsia" w:cs="Times New Roman"/>
          <w:color w:val="auto"/>
          <w:sz w:val="28"/>
          <w:szCs w:val="28"/>
          <w:highlight w:val="none"/>
          <w:lang w:eastAsia="zh-CN"/>
        </w:rPr>
        <w:t>各</w:t>
      </w:r>
      <w:r>
        <w:rPr>
          <w:rFonts w:hint="eastAsia" w:cs="Times New Roman"/>
          <w:color w:val="auto"/>
          <w:sz w:val="28"/>
          <w:szCs w:val="28"/>
          <w:highlight w:val="none"/>
          <w:lang w:val="en-US" w:eastAsia="zh-CN"/>
        </w:rPr>
        <w:t>300吨</w:t>
      </w:r>
      <w:r>
        <w:rPr>
          <w:rFonts w:hint="default" w:cs="Times New Roman"/>
          <w:color w:val="auto"/>
          <w:sz w:val="28"/>
          <w:szCs w:val="28"/>
          <w:highlight w:val="none"/>
        </w:rPr>
        <w:t>。</w:t>
      </w:r>
    </w:p>
    <w:p w14:paraId="2BB12F10">
      <w:pPr>
        <w:pStyle w:val="123"/>
        <w:keepNext w:val="0"/>
        <w:keepLines w:val="0"/>
        <w:pageBreakBefore w:val="0"/>
        <w:widowControl/>
        <w:kinsoku/>
        <w:wordWrap/>
        <w:overflowPunct/>
        <w:topLinePunct w:val="0"/>
        <w:autoSpaceDE/>
        <w:autoSpaceDN/>
        <w:bidi w:val="0"/>
        <w:adjustRightInd/>
        <w:snapToGrid/>
        <w:spacing w:line="560" w:lineRule="exact"/>
        <w:textAlignment w:val="auto"/>
        <w:rPr>
          <w:rFonts w:hint="default" w:cs="Times New Roman"/>
          <w:color w:val="auto"/>
          <w:sz w:val="28"/>
          <w:szCs w:val="28"/>
          <w:highlight w:val="none"/>
        </w:rPr>
      </w:pPr>
      <w:r>
        <w:rPr>
          <w:rFonts w:hint="default" w:cs="Times New Roman"/>
          <w:color w:val="auto"/>
          <w:sz w:val="28"/>
          <w:szCs w:val="28"/>
          <w:highlight w:val="none"/>
        </w:rPr>
        <w:t>（二）甲方</w:t>
      </w:r>
      <w:r>
        <w:rPr>
          <w:rFonts w:hint="default" w:cs="Times New Roman"/>
          <w:color w:val="auto"/>
          <w:sz w:val="28"/>
          <w:szCs w:val="28"/>
          <w:highlight w:val="none"/>
          <w:lang w:eastAsia="zh-CN"/>
        </w:rPr>
        <w:t>根据</w:t>
      </w:r>
      <w:r>
        <w:rPr>
          <w:rFonts w:hint="default" w:ascii="Times New Roman" w:hAnsi="Times New Roman" w:eastAsia="仿宋_GB2312" w:cs="Times New Roman"/>
          <w:color w:val="auto"/>
          <w:sz w:val="28"/>
          <w:szCs w:val="28"/>
          <w:highlight w:val="none"/>
          <w:lang w:val="en-US" w:eastAsia="zh-CN"/>
        </w:rPr>
        <w:t>《国家救灾备荒种子储备补助经费管理办法》(农财发〔2015〕71号)</w:t>
      </w:r>
      <w:r>
        <w:rPr>
          <w:rFonts w:hint="eastAsia" w:cs="Times New Roman"/>
          <w:color w:val="auto"/>
          <w:sz w:val="28"/>
          <w:szCs w:val="28"/>
          <w:highlight w:val="none"/>
          <w:lang w:val="en-US" w:eastAsia="zh-CN"/>
        </w:rPr>
        <w:t>、《关于印发&lt;2026年自治区现代种业振兴项目实施方案&gt;的通知》（新农办种函〔2026〕31号）</w:t>
      </w:r>
      <w:r>
        <w:rPr>
          <w:rFonts w:hint="default" w:cs="Times New Roman"/>
          <w:color w:val="auto"/>
          <w:sz w:val="28"/>
          <w:szCs w:val="28"/>
          <w:highlight w:val="none"/>
          <w:lang w:eastAsia="zh-CN"/>
        </w:rPr>
        <w:t>规定</w:t>
      </w:r>
      <w:r>
        <w:rPr>
          <w:rFonts w:hint="eastAsia" w:cs="Times New Roman"/>
          <w:color w:val="auto"/>
          <w:sz w:val="28"/>
          <w:szCs w:val="28"/>
          <w:highlight w:val="none"/>
          <w:lang w:eastAsia="zh-CN"/>
        </w:rPr>
        <w:t>，</w:t>
      </w:r>
      <w:r>
        <w:rPr>
          <w:rFonts w:hint="default" w:cs="Times New Roman"/>
          <w:color w:val="auto"/>
          <w:sz w:val="28"/>
          <w:szCs w:val="28"/>
          <w:highlight w:val="none"/>
          <w:lang w:eastAsia="zh-CN"/>
        </w:rPr>
        <w:t>提供补助资金</w:t>
      </w:r>
      <w:r>
        <w:rPr>
          <w:rFonts w:hint="default" w:cs="Times New Roman"/>
          <w:color w:val="auto"/>
          <w:sz w:val="28"/>
          <w:szCs w:val="28"/>
          <w:highlight w:val="none"/>
        </w:rPr>
        <w:t>。救灾</w:t>
      </w:r>
      <w:r>
        <w:rPr>
          <w:rFonts w:hint="eastAsia" w:cs="Times New Roman"/>
          <w:color w:val="auto"/>
          <w:sz w:val="28"/>
          <w:szCs w:val="28"/>
          <w:highlight w:val="none"/>
          <w:lang w:val="en-US" w:eastAsia="zh-CN"/>
        </w:rPr>
        <w:t>类</w:t>
      </w:r>
      <w:r>
        <w:rPr>
          <w:rFonts w:hint="default" w:cs="Times New Roman"/>
          <w:color w:val="auto"/>
          <w:sz w:val="28"/>
          <w:szCs w:val="28"/>
          <w:highlight w:val="none"/>
        </w:rPr>
        <w:t>种子补助标准为3</w:t>
      </w:r>
      <w:r>
        <w:rPr>
          <w:rFonts w:hint="eastAsia" w:cs="Times New Roman"/>
          <w:color w:val="auto"/>
          <w:sz w:val="28"/>
          <w:szCs w:val="28"/>
          <w:highlight w:val="none"/>
          <w:lang w:val="en-US" w:eastAsia="zh-CN"/>
        </w:rPr>
        <w:t>.2</w:t>
      </w:r>
      <w:r>
        <w:rPr>
          <w:rFonts w:hint="default" w:cs="Times New Roman"/>
          <w:color w:val="auto"/>
          <w:sz w:val="28"/>
          <w:szCs w:val="28"/>
          <w:highlight w:val="none"/>
        </w:rPr>
        <w:t>元/公斤，备荒种子补助标准为0.</w:t>
      </w:r>
      <w:r>
        <w:rPr>
          <w:rFonts w:hint="eastAsia" w:cs="Times New Roman"/>
          <w:color w:val="auto"/>
          <w:sz w:val="28"/>
          <w:szCs w:val="28"/>
          <w:highlight w:val="none"/>
          <w:lang w:val="en-US" w:eastAsia="zh-CN"/>
        </w:rPr>
        <w:t>6</w:t>
      </w:r>
      <w:r>
        <w:rPr>
          <w:rFonts w:hint="default" w:cs="Times New Roman"/>
          <w:color w:val="auto"/>
          <w:sz w:val="28"/>
          <w:szCs w:val="28"/>
          <w:highlight w:val="none"/>
        </w:rPr>
        <w:t>元/公斤。</w:t>
      </w:r>
    </w:p>
    <w:p w14:paraId="3F19984F">
      <w:pPr>
        <w:pStyle w:val="123"/>
        <w:keepNext w:val="0"/>
        <w:keepLines w:val="0"/>
        <w:pageBreakBefore w:val="0"/>
        <w:widowControl/>
        <w:kinsoku/>
        <w:wordWrap/>
        <w:overflowPunct/>
        <w:topLinePunct w:val="0"/>
        <w:autoSpaceDE/>
        <w:autoSpaceDN/>
        <w:bidi w:val="0"/>
        <w:adjustRightInd/>
        <w:snapToGrid/>
        <w:spacing w:line="560" w:lineRule="exact"/>
        <w:textAlignment w:val="auto"/>
        <w:rPr>
          <w:rFonts w:hint="default" w:cs="Times New Roman"/>
          <w:color w:val="auto"/>
          <w:sz w:val="28"/>
          <w:szCs w:val="28"/>
          <w:highlight w:val="none"/>
        </w:rPr>
      </w:pPr>
      <w:r>
        <w:rPr>
          <w:rFonts w:hint="default" w:cs="Times New Roman"/>
          <w:color w:val="auto"/>
          <w:sz w:val="28"/>
          <w:szCs w:val="28"/>
          <w:highlight w:val="none"/>
        </w:rPr>
        <w:t>（三）甲方向乙方购买服务的具体内容包括：承担救灾备荒种子储备，总计：</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u w:val="single"/>
        </w:rPr>
        <w:t xml:space="preserve"> </w:t>
      </w:r>
      <w:r>
        <w:rPr>
          <w:rFonts w:hint="default" w:cs="Times New Roman"/>
          <w:color w:val="auto"/>
          <w:sz w:val="28"/>
          <w:szCs w:val="28"/>
          <w:highlight w:val="none"/>
          <w:lang w:eastAsia="zh-CN"/>
        </w:rPr>
        <w:t>吨</w:t>
      </w:r>
      <w:r>
        <w:rPr>
          <w:rFonts w:hint="default" w:cs="Times New Roman"/>
          <w:color w:val="auto"/>
          <w:sz w:val="28"/>
          <w:szCs w:val="28"/>
          <w:highlight w:val="none"/>
        </w:rPr>
        <w:t>。具体承储作物、品种和数量如下：</w:t>
      </w:r>
    </w:p>
    <w:p w14:paraId="5E348DC4">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2" w:firstLineChars="200"/>
        <w:textAlignment w:val="auto"/>
        <w:rPr>
          <w:rFonts w:hint="default" w:eastAsia="仿宋_GB2312" w:cs="Times New Roman"/>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rPr>
        <w:t>救灾种子储备</w:t>
      </w:r>
      <w:r>
        <w:rPr>
          <w:rFonts w:hint="eastAsia" w:eastAsia="楷体_GB2312" w:cs="Times New Roman"/>
          <w:b/>
          <w:bCs/>
          <w:color w:val="auto"/>
          <w:sz w:val="28"/>
          <w:szCs w:val="28"/>
          <w:highlight w:val="none"/>
          <w:lang w:val="en-US" w:eastAsia="zh-CN"/>
        </w:rPr>
        <w:t>:</w:t>
      </w:r>
      <w:r>
        <w:rPr>
          <w:rFonts w:hint="eastAsia" w:cs="Times New Roman"/>
          <w:color w:val="auto"/>
          <w:sz w:val="28"/>
          <w:szCs w:val="28"/>
          <w:highlight w:val="none"/>
          <w:u w:val="single"/>
          <w:lang w:val="en-US" w:eastAsia="zh-CN"/>
        </w:rPr>
        <w:t xml:space="preserve">                              </w:t>
      </w:r>
    </w:p>
    <w:p w14:paraId="0F87199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lang w:eastAsia="zh-CN"/>
        </w:rPr>
      </w:pPr>
      <w:r>
        <w:rPr>
          <w:rFonts w:hint="default" w:cs="Times New Roman"/>
          <w:color w:val="auto"/>
          <w:sz w:val="28"/>
          <w:szCs w:val="28"/>
          <w:highlight w:val="none"/>
        </w:rPr>
        <w:t>（四）本合同履行时间</w:t>
      </w:r>
    </w:p>
    <w:p w14:paraId="493ACCF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根据</w:t>
      </w:r>
      <w:r>
        <w:rPr>
          <w:rFonts w:cs="Times New Roman"/>
          <w:color w:val="auto"/>
          <w:sz w:val="28"/>
          <w:szCs w:val="28"/>
          <w:highlight w:val="none"/>
        </w:rPr>
        <w:t>《</w:t>
      </w:r>
      <w:r>
        <w:rPr>
          <w:rFonts w:hint="eastAsia" w:cs="Times New Roman"/>
          <w:color w:val="auto"/>
          <w:sz w:val="28"/>
          <w:szCs w:val="28"/>
          <w:highlight w:val="none"/>
          <w:lang w:val="en-US" w:eastAsia="zh-CN"/>
        </w:rPr>
        <w:t>新疆维吾尔</w:t>
      </w:r>
      <w:r>
        <w:rPr>
          <w:rFonts w:hint="default" w:cs="Times New Roman"/>
          <w:color w:val="auto"/>
          <w:sz w:val="28"/>
          <w:szCs w:val="28"/>
          <w:highlight w:val="none"/>
          <w:lang w:eastAsia="zh-CN"/>
        </w:rPr>
        <w:t>自治区救灾备荒种子储备管理办法</w:t>
      </w:r>
      <w:r>
        <w:rPr>
          <w:rFonts w:cs="Times New Roman"/>
          <w:color w:val="auto"/>
          <w:sz w:val="28"/>
          <w:szCs w:val="28"/>
          <w:highlight w:val="none"/>
        </w:rPr>
        <w:t>》</w:t>
      </w:r>
      <w:r>
        <w:rPr>
          <w:rFonts w:hint="default" w:cs="Times New Roman"/>
          <w:color w:val="auto"/>
          <w:sz w:val="28"/>
          <w:szCs w:val="28"/>
          <w:highlight w:val="none"/>
          <w:lang w:eastAsia="zh-CN"/>
        </w:rPr>
        <w:t>（新农规</w:t>
      </w:r>
      <w:r>
        <w:rPr>
          <w:rFonts w:hint="default" w:ascii="Times New Roman" w:hAnsi="Times New Roman" w:cs="Times New Roman"/>
          <w:color w:val="auto"/>
          <w:sz w:val="28"/>
          <w:szCs w:val="28"/>
          <w:highlight w:val="none"/>
        </w:rPr>
        <w:t>〔202</w:t>
      </w:r>
      <w:r>
        <w:rPr>
          <w:rFonts w:hint="eastAsia"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val="en-US" w:eastAsia="zh-CN"/>
        </w:rPr>
        <w:t>2</w:t>
      </w:r>
      <w:r>
        <w:rPr>
          <w:rFonts w:hint="default" w:cs="Times New Roman"/>
          <w:color w:val="auto"/>
          <w:sz w:val="28"/>
          <w:szCs w:val="28"/>
          <w:highlight w:val="none"/>
          <w:lang w:eastAsia="zh-CN"/>
        </w:rPr>
        <w:t>号）</w:t>
      </w:r>
      <w:r>
        <w:rPr>
          <w:rFonts w:hint="eastAsia" w:cs="Times New Roman"/>
          <w:color w:val="auto"/>
          <w:sz w:val="28"/>
          <w:szCs w:val="28"/>
          <w:highlight w:val="none"/>
          <w:lang w:eastAsia="zh-CN"/>
        </w:rPr>
        <w:t>要求，农作物</w:t>
      </w:r>
      <w:r>
        <w:rPr>
          <w:rFonts w:hint="default" w:cs="Times New Roman"/>
          <w:color w:val="auto"/>
          <w:sz w:val="28"/>
          <w:szCs w:val="28"/>
          <w:highlight w:val="none"/>
          <w:lang w:val="en-US" w:eastAsia="zh-CN"/>
        </w:rPr>
        <w:t>救灾</w:t>
      </w:r>
      <w:r>
        <w:rPr>
          <w:rFonts w:hint="eastAsia" w:cs="Times New Roman"/>
          <w:color w:val="auto"/>
          <w:sz w:val="28"/>
          <w:szCs w:val="28"/>
          <w:highlight w:val="none"/>
          <w:lang w:val="en-US" w:eastAsia="zh-CN"/>
        </w:rPr>
        <w:t>备荒</w:t>
      </w:r>
      <w:r>
        <w:rPr>
          <w:rFonts w:hint="default" w:cs="Times New Roman"/>
          <w:color w:val="auto"/>
          <w:sz w:val="28"/>
          <w:szCs w:val="28"/>
          <w:highlight w:val="none"/>
          <w:lang w:val="en-US" w:eastAsia="zh-CN"/>
        </w:rPr>
        <w:t>种子储备时间为</w:t>
      </w:r>
      <w:r>
        <w:rPr>
          <w:rFonts w:hint="default" w:cs="Times New Roman"/>
          <w:color w:val="auto"/>
          <w:sz w:val="28"/>
          <w:szCs w:val="28"/>
          <w:highlight w:val="none"/>
          <w:u w:val="single"/>
        </w:rPr>
        <w:t>20</w:t>
      </w:r>
      <w:r>
        <w:rPr>
          <w:rFonts w:cs="Times New Roman"/>
          <w:color w:val="auto"/>
          <w:sz w:val="28"/>
          <w:szCs w:val="28"/>
          <w:highlight w:val="none"/>
          <w:u w:val="single"/>
        </w:rPr>
        <w:t>2</w:t>
      </w:r>
      <w:r>
        <w:rPr>
          <w:rFonts w:hint="eastAsia" w:cs="Times New Roman"/>
          <w:color w:val="auto"/>
          <w:sz w:val="28"/>
          <w:szCs w:val="28"/>
          <w:highlight w:val="none"/>
          <w:u w:val="single"/>
          <w:lang w:val="en-US" w:eastAsia="zh-CN"/>
        </w:rPr>
        <w:t>6</w:t>
      </w:r>
      <w:r>
        <w:rPr>
          <w:rFonts w:hint="default" w:cs="Times New Roman"/>
          <w:color w:val="auto"/>
          <w:sz w:val="28"/>
          <w:szCs w:val="28"/>
          <w:highlight w:val="none"/>
          <w:u w:val="single"/>
        </w:rPr>
        <w:t xml:space="preserve"> </w:t>
      </w:r>
      <w:r>
        <w:rPr>
          <w:rFonts w:hint="default" w:cs="Times New Roman"/>
          <w:color w:val="auto"/>
          <w:sz w:val="28"/>
          <w:szCs w:val="28"/>
          <w:highlight w:val="none"/>
        </w:rPr>
        <w:t>年</w:t>
      </w:r>
      <w:r>
        <w:rPr>
          <w:rFonts w:hint="eastAsia" w:cs="Times New Roman"/>
          <w:color w:val="auto"/>
          <w:sz w:val="28"/>
          <w:szCs w:val="28"/>
          <w:highlight w:val="none"/>
          <w:lang w:val="en-US" w:eastAsia="zh-CN"/>
        </w:rPr>
        <w:t>10</w:t>
      </w:r>
      <w:r>
        <w:rPr>
          <w:rFonts w:hint="default" w:cs="Times New Roman"/>
          <w:color w:val="auto"/>
          <w:sz w:val="28"/>
          <w:szCs w:val="28"/>
          <w:highlight w:val="none"/>
          <w:u w:val="single"/>
        </w:rPr>
        <w:t xml:space="preserve"> </w:t>
      </w:r>
      <w:r>
        <w:rPr>
          <w:rFonts w:hint="default" w:cs="Times New Roman"/>
          <w:color w:val="auto"/>
          <w:sz w:val="28"/>
          <w:szCs w:val="28"/>
          <w:highlight w:val="none"/>
        </w:rPr>
        <w:t>月</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01</w:t>
      </w:r>
      <w:r>
        <w:rPr>
          <w:rFonts w:hint="default" w:cs="Times New Roman"/>
          <w:color w:val="auto"/>
          <w:sz w:val="28"/>
          <w:szCs w:val="28"/>
          <w:highlight w:val="none"/>
          <w:u w:val="single"/>
        </w:rPr>
        <w:t xml:space="preserve"> </w:t>
      </w:r>
      <w:r>
        <w:rPr>
          <w:rFonts w:hint="default" w:cs="Times New Roman"/>
          <w:color w:val="auto"/>
          <w:sz w:val="28"/>
          <w:szCs w:val="28"/>
          <w:highlight w:val="none"/>
        </w:rPr>
        <w:t>日至</w:t>
      </w:r>
      <w:r>
        <w:rPr>
          <w:rFonts w:hint="default" w:cs="Times New Roman"/>
          <w:color w:val="auto"/>
          <w:sz w:val="28"/>
          <w:szCs w:val="28"/>
          <w:highlight w:val="none"/>
          <w:u w:val="single"/>
        </w:rPr>
        <w:t xml:space="preserve"> 202</w:t>
      </w:r>
      <w:r>
        <w:rPr>
          <w:rFonts w:hint="eastAsia" w:cs="Times New Roman"/>
          <w:color w:val="auto"/>
          <w:sz w:val="28"/>
          <w:szCs w:val="28"/>
          <w:highlight w:val="none"/>
          <w:u w:val="single"/>
          <w:lang w:val="en-US" w:eastAsia="zh-CN"/>
        </w:rPr>
        <w:t>7</w:t>
      </w:r>
      <w:r>
        <w:rPr>
          <w:rFonts w:hint="default" w:cs="Times New Roman"/>
          <w:color w:val="auto"/>
          <w:sz w:val="28"/>
          <w:szCs w:val="28"/>
          <w:highlight w:val="none"/>
        </w:rPr>
        <w:t>年</w:t>
      </w:r>
      <w:r>
        <w:rPr>
          <w:rFonts w:hint="eastAsia" w:cs="Times New Roman"/>
          <w:color w:val="auto"/>
          <w:sz w:val="28"/>
          <w:szCs w:val="28"/>
          <w:highlight w:val="none"/>
          <w:u w:val="single"/>
          <w:lang w:val="en-US" w:eastAsia="zh-CN"/>
        </w:rPr>
        <w:t>09</w:t>
      </w:r>
      <w:r>
        <w:rPr>
          <w:rFonts w:hint="default" w:cs="Times New Roman"/>
          <w:color w:val="auto"/>
          <w:sz w:val="28"/>
          <w:szCs w:val="28"/>
          <w:highlight w:val="none"/>
          <w:u w:val="single"/>
        </w:rPr>
        <w:t xml:space="preserve"> </w:t>
      </w:r>
      <w:r>
        <w:rPr>
          <w:rFonts w:hint="default" w:cs="Times New Roman"/>
          <w:color w:val="auto"/>
          <w:sz w:val="28"/>
          <w:szCs w:val="28"/>
          <w:highlight w:val="none"/>
        </w:rPr>
        <w:t>月</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30</w:t>
      </w:r>
      <w:r>
        <w:rPr>
          <w:rFonts w:hint="default" w:cs="Times New Roman"/>
          <w:color w:val="auto"/>
          <w:sz w:val="28"/>
          <w:szCs w:val="28"/>
          <w:highlight w:val="none"/>
        </w:rPr>
        <w:t>日</w:t>
      </w:r>
      <w:r>
        <w:rPr>
          <w:rFonts w:hint="eastAsia" w:cs="Times New Roman"/>
          <w:color w:val="auto"/>
          <w:sz w:val="28"/>
          <w:szCs w:val="28"/>
          <w:highlight w:val="none"/>
          <w:lang w:eastAsia="zh-CN"/>
        </w:rPr>
        <w:t>止</w:t>
      </w:r>
      <w:r>
        <w:rPr>
          <w:rFonts w:hint="default" w:cs="Times New Roman"/>
          <w:color w:val="auto"/>
          <w:sz w:val="28"/>
          <w:szCs w:val="28"/>
          <w:highlight w:val="none"/>
        </w:rPr>
        <w:t>。</w:t>
      </w:r>
    </w:p>
    <w:p w14:paraId="4A85EDB9">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cs="Times New Roman"/>
          <w:color w:val="auto"/>
          <w:sz w:val="28"/>
          <w:szCs w:val="28"/>
          <w:highlight w:val="none"/>
        </w:rPr>
        <w:t>乙方应于</w:t>
      </w:r>
      <w:r>
        <w:rPr>
          <w:rFonts w:hint="eastAsia" w:cs="Times New Roman"/>
          <w:color w:val="auto"/>
          <w:sz w:val="28"/>
          <w:szCs w:val="28"/>
          <w:highlight w:val="none"/>
          <w:lang w:val="en-US" w:eastAsia="zh-CN"/>
        </w:rPr>
        <w:t>2026</w:t>
      </w:r>
      <w:r>
        <w:rPr>
          <w:rFonts w:cs="Times New Roman"/>
          <w:color w:val="auto"/>
          <w:sz w:val="28"/>
          <w:szCs w:val="28"/>
          <w:highlight w:val="none"/>
        </w:rPr>
        <w:t>年</w:t>
      </w:r>
      <w:r>
        <w:rPr>
          <w:rFonts w:hint="eastAsia" w:cs="Times New Roman"/>
          <w:color w:val="auto"/>
          <w:sz w:val="28"/>
          <w:szCs w:val="28"/>
          <w:highlight w:val="none"/>
          <w:lang w:val="en-US" w:eastAsia="zh-CN"/>
        </w:rPr>
        <w:t>1</w:t>
      </w:r>
      <w:r>
        <w:rPr>
          <w:rFonts w:hint="default" w:cs="Times New Roman"/>
          <w:color w:val="auto"/>
          <w:sz w:val="28"/>
          <w:szCs w:val="28"/>
          <w:highlight w:val="none"/>
          <w:lang w:val="en-US" w:eastAsia="zh-CN"/>
        </w:rPr>
        <w:t>2</w:t>
      </w:r>
      <w:r>
        <w:rPr>
          <w:rFonts w:cs="Times New Roman"/>
          <w:color w:val="auto"/>
          <w:sz w:val="28"/>
          <w:szCs w:val="28"/>
          <w:highlight w:val="none"/>
        </w:rPr>
        <w:t>月</w:t>
      </w:r>
      <w:r>
        <w:rPr>
          <w:rFonts w:hint="eastAsia" w:cs="Times New Roman"/>
          <w:color w:val="auto"/>
          <w:sz w:val="28"/>
          <w:szCs w:val="28"/>
          <w:highlight w:val="none"/>
          <w:lang w:val="en-US" w:eastAsia="zh-CN"/>
        </w:rPr>
        <w:t>20</w:t>
      </w:r>
      <w:r>
        <w:rPr>
          <w:rFonts w:cs="Times New Roman"/>
          <w:color w:val="auto"/>
          <w:sz w:val="28"/>
          <w:szCs w:val="28"/>
          <w:highlight w:val="none"/>
        </w:rPr>
        <w:t>日之前</w:t>
      </w:r>
      <w:r>
        <w:rPr>
          <w:rFonts w:hint="default" w:cs="Times New Roman"/>
          <w:color w:val="auto"/>
          <w:sz w:val="28"/>
          <w:szCs w:val="28"/>
          <w:highlight w:val="none"/>
        </w:rPr>
        <w:t>，</w:t>
      </w:r>
      <w:r>
        <w:rPr>
          <w:rFonts w:cs="Times New Roman"/>
          <w:color w:val="auto"/>
          <w:sz w:val="28"/>
          <w:szCs w:val="28"/>
          <w:highlight w:val="none"/>
        </w:rPr>
        <w:t>向甲方报送救灾备荒种子储备</w:t>
      </w:r>
      <w:r>
        <w:rPr>
          <w:rFonts w:hint="default" w:cs="Times New Roman"/>
          <w:color w:val="auto"/>
          <w:sz w:val="28"/>
          <w:szCs w:val="28"/>
          <w:highlight w:val="none"/>
        </w:rPr>
        <w:t>完成情况</w:t>
      </w:r>
      <w:r>
        <w:rPr>
          <w:rFonts w:cs="Times New Roman"/>
          <w:color w:val="auto"/>
          <w:sz w:val="28"/>
          <w:szCs w:val="28"/>
          <w:highlight w:val="none"/>
        </w:rPr>
        <w:t>总结报告。主要内容包括：</w:t>
      </w:r>
      <w:r>
        <w:rPr>
          <w:rFonts w:hint="default" w:cs="Times New Roman"/>
          <w:color w:val="auto"/>
          <w:sz w:val="28"/>
          <w:szCs w:val="28"/>
          <w:highlight w:val="none"/>
          <w:lang w:eastAsia="zh-CN"/>
        </w:rPr>
        <w:t>自治区</w:t>
      </w:r>
      <w:r>
        <w:rPr>
          <w:rFonts w:cs="Times New Roman"/>
          <w:color w:val="auto"/>
          <w:sz w:val="28"/>
          <w:szCs w:val="28"/>
          <w:highlight w:val="none"/>
        </w:rPr>
        <w:t>救灾备荒种子储备任务的落实情况，储备种子质量内部检测情况、</w:t>
      </w:r>
      <w:r>
        <w:rPr>
          <w:rFonts w:hint="default" w:cs="Times New Roman"/>
          <w:color w:val="auto"/>
          <w:sz w:val="28"/>
          <w:szCs w:val="28"/>
          <w:highlight w:val="none"/>
        </w:rPr>
        <w:t>储备资金</w:t>
      </w:r>
      <w:r>
        <w:rPr>
          <w:rFonts w:cs="Times New Roman"/>
          <w:color w:val="auto"/>
          <w:sz w:val="28"/>
          <w:szCs w:val="28"/>
          <w:highlight w:val="none"/>
        </w:rPr>
        <w:t>的使用情况，储备种子的</w:t>
      </w:r>
      <w:r>
        <w:rPr>
          <w:rFonts w:hint="default" w:cs="Times New Roman"/>
          <w:color w:val="auto"/>
          <w:sz w:val="28"/>
          <w:szCs w:val="28"/>
          <w:highlight w:val="none"/>
        </w:rPr>
        <w:t>动用</w:t>
      </w:r>
      <w:r>
        <w:rPr>
          <w:rFonts w:cs="Times New Roman"/>
          <w:color w:val="auto"/>
          <w:sz w:val="28"/>
          <w:szCs w:val="28"/>
          <w:highlight w:val="none"/>
        </w:rPr>
        <w:t>情况，储备种子在救灾中发挥的作用和效益</w:t>
      </w:r>
      <w:r>
        <w:rPr>
          <w:rFonts w:hint="default" w:cs="Times New Roman"/>
          <w:color w:val="auto"/>
          <w:sz w:val="28"/>
          <w:szCs w:val="28"/>
          <w:highlight w:val="none"/>
        </w:rPr>
        <w:t>情况</w:t>
      </w:r>
      <w:r>
        <w:rPr>
          <w:rFonts w:cs="Times New Roman"/>
          <w:color w:val="auto"/>
          <w:sz w:val="28"/>
          <w:szCs w:val="28"/>
          <w:highlight w:val="none"/>
        </w:rPr>
        <w:t>，</w:t>
      </w:r>
      <w:r>
        <w:rPr>
          <w:rFonts w:hint="eastAsia" w:cs="Times New Roman"/>
          <w:color w:val="auto"/>
          <w:sz w:val="28"/>
          <w:szCs w:val="28"/>
          <w:highlight w:val="none"/>
          <w:lang w:eastAsia="zh-CN"/>
        </w:rPr>
        <w:t>地区</w:t>
      </w:r>
      <w:r>
        <w:rPr>
          <w:rFonts w:hint="default" w:cs="Times New Roman"/>
          <w:color w:val="auto"/>
          <w:sz w:val="28"/>
          <w:szCs w:val="28"/>
          <w:highlight w:val="none"/>
        </w:rPr>
        <w:t>种子管理部门监督检查及质量抽检情况，</w:t>
      </w:r>
      <w:r>
        <w:rPr>
          <w:rFonts w:cs="Times New Roman"/>
          <w:color w:val="auto"/>
          <w:sz w:val="28"/>
          <w:szCs w:val="28"/>
          <w:highlight w:val="none"/>
        </w:rPr>
        <w:t>储备合同的执行情况</w:t>
      </w:r>
      <w:r>
        <w:rPr>
          <w:rFonts w:hint="default" w:cs="Times New Roman"/>
          <w:color w:val="auto"/>
          <w:sz w:val="28"/>
          <w:szCs w:val="28"/>
          <w:highlight w:val="none"/>
        </w:rPr>
        <w:t>及其他相关情况</w:t>
      </w:r>
      <w:r>
        <w:rPr>
          <w:rFonts w:cs="Times New Roman"/>
          <w:color w:val="auto"/>
          <w:sz w:val="28"/>
          <w:szCs w:val="28"/>
          <w:highlight w:val="none"/>
        </w:rPr>
        <w:t>。</w:t>
      </w:r>
    </w:p>
    <w:p w14:paraId="30D5FC09">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（五）乙方按照本条第四款约定期限，提供本条第三款所列服务内容，应当满足</w:t>
      </w:r>
      <w:r>
        <w:rPr>
          <w:rFonts w:cs="Times New Roman"/>
          <w:color w:val="auto"/>
          <w:sz w:val="28"/>
          <w:szCs w:val="28"/>
          <w:highlight w:val="none"/>
        </w:rPr>
        <w:t>以下要求</w:t>
      </w:r>
      <w:r>
        <w:rPr>
          <w:rFonts w:hint="default" w:cs="Times New Roman"/>
          <w:color w:val="auto"/>
          <w:sz w:val="28"/>
          <w:szCs w:val="28"/>
          <w:highlight w:val="none"/>
        </w:rPr>
        <w:t>：</w:t>
      </w:r>
    </w:p>
    <w:p w14:paraId="121F6374">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kern w:val="2"/>
          <w:sz w:val="28"/>
          <w:szCs w:val="28"/>
          <w:highlight w:val="none"/>
          <w:lang w:bidi="ar-SA"/>
        </w:rPr>
      </w:pPr>
      <w:r>
        <w:rPr>
          <w:rFonts w:hint="default" w:cs="Times New Roman"/>
          <w:color w:val="auto"/>
          <w:sz w:val="28"/>
          <w:szCs w:val="28"/>
          <w:highlight w:val="none"/>
        </w:rPr>
        <w:t>1.在</w:t>
      </w:r>
      <w:r>
        <w:rPr>
          <w:rFonts w:cs="Times New Roman"/>
          <w:color w:val="auto"/>
          <w:sz w:val="28"/>
          <w:szCs w:val="28"/>
          <w:highlight w:val="none"/>
        </w:rPr>
        <w:t>储备期间内，乙方按约定</w:t>
      </w:r>
      <w:r>
        <w:rPr>
          <w:rFonts w:hint="default" w:cs="Times New Roman"/>
          <w:color w:val="auto"/>
          <w:sz w:val="28"/>
          <w:szCs w:val="28"/>
          <w:highlight w:val="none"/>
        </w:rPr>
        <w:t>数量</w:t>
      </w:r>
      <w:r>
        <w:rPr>
          <w:rFonts w:cs="Times New Roman"/>
          <w:color w:val="auto"/>
          <w:sz w:val="28"/>
          <w:szCs w:val="28"/>
          <w:highlight w:val="none"/>
        </w:rPr>
        <w:t>、品种储备符合</w:t>
      </w:r>
      <w:r>
        <w:rPr>
          <w:rFonts w:hint="default" w:cs="Times New Roman"/>
          <w:color w:val="auto"/>
          <w:sz w:val="28"/>
          <w:szCs w:val="28"/>
          <w:highlight w:val="none"/>
        </w:rPr>
        <w:t>相关</w:t>
      </w:r>
      <w:r>
        <w:rPr>
          <w:rFonts w:cs="Times New Roman"/>
          <w:color w:val="auto"/>
          <w:sz w:val="28"/>
          <w:szCs w:val="28"/>
          <w:highlight w:val="none"/>
        </w:rPr>
        <w:t>质量标准要求</w:t>
      </w:r>
      <w:r>
        <w:rPr>
          <w:rFonts w:hint="default" w:cs="Times New Roman"/>
          <w:color w:val="auto"/>
          <w:sz w:val="28"/>
          <w:szCs w:val="28"/>
          <w:highlight w:val="none"/>
        </w:rPr>
        <w:t>的</w:t>
      </w:r>
      <w:r>
        <w:rPr>
          <w:rFonts w:hint="default" w:cs="Times New Roman"/>
          <w:color w:val="auto"/>
          <w:kern w:val="2"/>
          <w:sz w:val="28"/>
          <w:szCs w:val="28"/>
          <w:highlight w:val="none"/>
          <w:lang w:bidi="ar-SA"/>
        </w:rPr>
        <w:t>救灾备荒种子。</w:t>
      </w:r>
    </w:p>
    <w:p w14:paraId="6DA331A7">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lang w:bidi="ar-SA"/>
        </w:rPr>
      </w:pPr>
      <w:r>
        <w:rPr>
          <w:rFonts w:cs="Times New Roman"/>
          <w:color w:val="auto"/>
          <w:sz w:val="28"/>
          <w:szCs w:val="28"/>
          <w:highlight w:val="none"/>
          <w:lang w:bidi="ar-SA"/>
        </w:rPr>
        <w:t>2</w:t>
      </w:r>
      <w:r>
        <w:rPr>
          <w:rFonts w:hint="default" w:cs="Times New Roman"/>
          <w:color w:val="auto"/>
          <w:sz w:val="28"/>
          <w:szCs w:val="28"/>
          <w:highlight w:val="none"/>
          <w:lang w:bidi="ar-SA"/>
        </w:rPr>
        <w:t>.在储备期间调用权归</w:t>
      </w:r>
      <w:r>
        <w:rPr>
          <w:rFonts w:cs="Times New Roman"/>
          <w:color w:val="auto"/>
          <w:sz w:val="28"/>
          <w:szCs w:val="28"/>
          <w:highlight w:val="none"/>
          <w:lang w:bidi="ar-SA"/>
        </w:rPr>
        <w:t>甲方</w:t>
      </w:r>
      <w:r>
        <w:rPr>
          <w:rFonts w:hint="default" w:cs="Times New Roman"/>
          <w:color w:val="auto"/>
          <w:sz w:val="28"/>
          <w:szCs w:val="28"/>
          <w:highlight w:val="none"/>
          <w:lang w:bidi="ar-SA"/>
        </w:rPr>
        <w:t>，未经甲方批准，任何单位和个人不得擅自调用。因自然灾害、调剂市场供需矛盾等原因，需调用</w:t>
      </w:r>
      <w:r>
        <w:rPr>
          <w:rFonts w:hint="eastAsia" w:cs="Times New Roman"/>
          <w:color w:val="auto"/>
          <w:sz w:val="28"/>
          <w:szCs w:val="28"/>
          <w:highlight w:val="none"/>
          <w:lang w:eastAsia="zh-CN" w:bidi="ar-SA"/>
        </w:rPr>
        <w:t>自治区</w:t>
      </w:r>
      <w:r>
        <w:rPr>
          <w:rFonts w:hint="default" w:cs="Times New Roman"/>
          <w:color w:val="auto"/>
          <w:sz w:val="28"/>
          <w:szCs w:val="28"/>
          <w:highlight w:val="none"/>
          <w:lang w:bidi="ar-SA"/>
        </w:rPr>
        <w:t>救灾备荒种子的，由乙方向</w:t>
      </w:r>
      <w:r>
        <w:rPr>
          <w:rFonts w:hint="eastAsia" w:cs="Times New Roman"/>
          <w:color w:val="auto"/>
          <w:sz w:val="28"/>
          <w:szCs w:val="28"/>
          <w:highlight w:val="none"/>
          <w:lang w:eastAsia="zh-CN" w:bidi="ar-SA"/>
        </w:rPr>
        <w:t>甲方</w:t>
      </w:r>
      <w:r>
        <w:rPr>
          <w:rFonts w:hint="default" w:cs="Times New Roman"/>
          <w:color w:val="auto"/>
          <w:sz w:val="28"/>
          <w:szCs w:val="28"/>
          <w:highlight w:val="none"/>
          <w:lang w:bidi="ar-SA"/>
        </w:rPr>
        <w:t xml:space="preserve">提出书面申请（紧急情况下，可先通过电话申请），甲方在第一时间内下达相关指令。 </w:t>
      </w:r>
      <w:r>
        <w:rPr>
          <w:rFonts w:cs="Times New Roman"/>
          <w:color w:val="auto"/>
          <w:sz w:val="28"/>
          <w:szCs w:val="28"/>
          <w:highlight w:val="none"/>
          <w:lang w:bidi="ar-SA"/>
        </w:rPr>
        <w:t xml:space="preserve"> </w:t>
      </w:r>
    </w:p>
    <w:p w14:paraId="21F1E182">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lang w:bidi="ar-SA"/>
        </w:rPr>
      </w:pPr>
      <w:r>
        <w:rPr>
          <w:rFonts w:eastAsia="黑体" w:cs="Times New Roman"/>
          <w:color w:val="auto"/>
          <w:sz w:val="28"/>
          <w:szCs w:val="28"/>
          <w:highlight w:val="none"/>
          <w:lang w:bidi="ar-SA"/>
        </w:rPr>
        <w:t>3</w:t>
      </w:r>
      <w:r>
        <w:rPr>
          <w:rFonts w:hint="default" w:eastAsia="黑体" w:cs="Times New Roman"/>
          <w:color w:val="auto"/>
          <w:sz w:val="28"/>
          <w:szCs w:val="28"/>
          <w:highlight w:val="none"/>
          <w:lang w:bidi="ar-SA"/>
        </w:rPr>
        <w:t>.</w:t>
      </w:r>
      <w:r>
        <w:rPr>
          <w:rFonts w:hint="default" w:eastAsia="仿宋_GB2312" w:cs="Times New Roman"/>
          <w:color w:val="auto"/>
          <w:sz w:val="28"/>
          <w:szCs w:val="28"/>
          <w:highlight w:val="none"/>
          <w:lang w:eastAsia="zh-CN" w:bidi="ar-SA"/>
        </w:rPr>
        <w:t>自治区</w:t>
      </w:r>
      <w:r>
        <w:rPr>
          <w:rFonts w:hint="default" w:cs="Times New Roman"/>
          <w:color w:val="auto"/>
          <w:sz w:val="28"/>
          <w:szCs w:val="28"/>
          <w:highlight w:val="none"/>
          <w:lang w:bidi="ar-SA"/>
        </w:rPr>
        <w:t>救灾备荒种子调用价格不得高于出厂价，具体由调入方和调出方协商，调运费由调出、调入双方协商决定。</w:t>
      </w:r>
    </w:p>
    <w:p w14:paraId="5A73FB17">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lang w:bidi="ar-SA"/>
        </w:rPr>
      </w:pPr>
      <w:r>
        <w:rPr>
          <w:rFonts w:eastAsia="黑体" w:cs="Times New Roman"/>
          <w:color w:val="auto"/>
          <w:sz w:val="28"/>
          <w:szCs w:val="28"/>
          <w:highlight w:val="none"/>
          <w:lang w:bidi="ar-SA"/>
        </w:rPr>
        <w:t>4</w:t>
      </w:r>
      <w:r>
        <w:rPr>
          <w:rFonts w:hint="default" w:eastAsia="黑体" w:cs="Times New Roman"/>
          <w:color w:val="auto"/>
          <w:sz w:val="28"/>
          <w:szCs w:val="28"/>
          <w:highlight w:val="none"/>
          <w:lang w:bidi="ar-SA"/>
        </w:rPr>
        <w:t>.</w:t>
      </w:r>
      <w:r>
        <w:rPr>
          <w:rFonts w:cs="Times New Roman"/>
          <w:color w:val="auto"/>
          <w:sz w:val="28"/>
          <w:szCs w:val="28"/>
          <w:highlight w:val="none"/>
          <w:lang w:bidi="ar-SA"/>
        </w:rPr>
        <w:t>乙方接到甲方《同意动用</w:t>
      </w:r>
      <w:r>
        <w:rPr>
          <w:rFonts w:hint="default" w:cs="Times New Roman"/>
          <w:color w:val="auto"/>
          <w:sz w:val="28"/>
          <w:szCs w:val="28"/>
          <w:highlight w:val="none"/>
          <w:lang w:eastAsia="zh-CN" w:bidi="ar-SA"/>
        </w:rPr>
        <w:t>自治区</w:t>
      </w:r>
      <w:r>
        <w:rPr>
          <w:rFonts w:cs="Times New Roman"/>
          <w:color w:val="auto"/>
          <w:sz w:val="28"/>
          <w:szCs w:val="28"/>
          <w:highlight w:val="none"/>
          <w:lang w:bidi="ar-SA"/>
        </w:rPr>
        <w:t>救灾备荒种子</w:t>
      </w:r>
      <w:r>
        <w:rPr>
          <w:rFonts w:hint="default" w:cs="Times New Roman"/>
          <w:color w:val="auto"/>
          <w:sz w:val="28"/>
          <w:szCs w:val="28"/>
          <w:highlight w:val="none"/>
          <w:lang w:eastAsia="zh-CN" w:bidi="ar-SA"/>
        </w:rPr>
        <w:t>的</w:t>
      </w:r>
      <w:r>
        <w:rPr>
          <w:rFonts w:cs="Times New Roman"/>
          <w:color w:val="auto"/>
          <w:sz w:val="28"/>
          <w:szCs w:val="28"/>
          <w:highlight w:val="none"/>
          <w:lang w:bidi="ar-SA"/>
        </w:rPr>
        <w:t>通知书》后，应尽快组织储备种子调拨，并于调运之日起30日之内，将调拨种子的品种、数量、质量、调出（入）时间和地点及救灾面积、挽回经济损失等情况如实上报甲方。</w:t>
      </w:r>
    </w:p>
    <w:p w14:paraId="3C59A995">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第二条 服务的验收及评价</w:t>
      </w:r>
    </w:p>
    <w:p w14:paraId="70649404">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eastAsia="仿宋_GB2312" w:cs="Times New Roman"/>
          <w:color w:val="auto"/>
          <w:sz w:val="28"/>
          <w:szCs w:val="28"/>
          <w:highlight w:val="none"/>
          <w:lang w:bidi="ar-SA"/>
        </w:rPr>
      </w:pPr>
      <w:r>
        <w:rPr>
          <w:rFonts w:hint="default" w:eastAsia="仿宋_GB2312" w:cs="Times New Roman"/>
          <w:color w:val="auto"/>
          <w:sz w:val="28"/>
          <w:szCs w:val="28"/>
          <w:highlight w:val="none"/>
          <w:lang w:bidi="ar-SA"/>
        </w:rPr>
        <w:t>（一）乙方在完成第一条约定的服务内容并向甲方提供相应工作成果的基础上，以乙方向甲方提交服务事项完成情况总结报告，视同提出验收申请。</w:t>
      </w:r>
    </w:p>
    <w:p w14:paraId="5DD0071A">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（二）甲方采用</w:t>
      </w:r>
      <w:r>
        <w:rPr>
          <w:rFonts w:hint="default" w:cs="Times New Roman"/>
          <w:color w:val="auto"/>
          <w:sz w:val="28"/>
          <w:szCs w:val="28"/>
          <w:highlight w:val="none"/>
          <w:u w:val="single"/>
        </w:rPr>
        <w:t>书面报告验收</w:t>
      </w:r>
      <w:r>
        <w:rPr>
          <w:rFonts w:hint="default" w:cs="Times New Roman"/>
          <w:color w:val="auto"/>
          <w:sz w:val="28"/>
          <w:szCs w:val="28"/>
          <w:highlight w:val="none"/>
        </w:rPr>
        <w:t>方式对乙方提交的服务成果进行验收：</w:t>
      </w:r>
    </w:p>
    <w:p w14:paraId="3E618920">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u w:val="single"/>
        </w:rPr>
      </w:pPr>
      <w:r>
        <w:rPr>
          <w:rFonts w:hint="default" w:cs="Times New Roman"/>
          <w:color w:val="auto"/>
          <w:sz w:val="28"/>
          <w:szCs w:val="28"/>
          <w:highlight w:val="none"/>
        </w:rPr>
        <w:t>甲方确认乙方提交的服务成果通过验收的形式为</w:t>
      </w:r>
      <w:r>
        <w:rPr>
          <w:rFonts w:hint="default" w:cs="Times New Roman"/>
          <w:color w:val="auto"/>
          <w:sz w:val="28"/>
          <w:szCs w:val="28"/>
          <w:highlight w:val="none"/>
          <w:u w:val="single"/>
        </w:rPr>
        <w:t>甲方在收到乙方提交的服务事项完成情况总结报告后10个工作日内无异议，视为验收通过。</w:t>
      </w:r>
    </w:p>
    <w:p w14:paraId="0B24602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u w:val="single"/>
        </w:rPr>
      </w:pPr>
      <w:r>
        <w:rPr>
          <w:rFonts w:hint="default" w:cs="Times New Roman"/>
          <w:color w:val="auto"/>
          <w:sz w:val="28"/>
          <w:szCs w:val="28"/>
          <w:highlight w:val="none"/>
        </w:rPr>
        <w:t>（三）</w:t>
      </w:r>
      <w:r>
        <w:rPr>
          <w:rFonts w:cs="Times New Roman"/>
          <w:color w:val="auto"/>
          <w:sz w:val="28"/>
          <w:szCs w:val="28"/>
          <w:highlight w:val="none"/>
        </w:rPr>
        <w:t>在储备期内</w:t>
      </w:r>
      <w:r>
        <w:rPr>
          <w:rFonts w:hint="default" w:cs="Times New Roman"/>
          <w:color w:val="auto"/>
          <w:sz w:val="28"/>
          <w:szCs w:val="28"/>
          <w:highlight w:val="none"/>
        </w:rPr>
        <w:t>，甲方有权对乙方</w:t>
      </w:r>
      <w:r>
        <w:rPr>
          <w:rFonts w:cs="Times New Roman"/>
          <w:color w:val="auto"/>
          <w:sz w:val="28"/>
          <w:szCs w:val="28"/>
          <w:highlight w:val="none"/>
        </w:rPr>
        <w:t>储备</w:t>
      </w:r>
      <w:r>
        <w:rPr>
          <w:rFonts w:hint="default" w:cs="Times New Roman"/>
          <w:color w:val="auto"/>
          <w:sz w:val="28"/>
          <w:szCs w:val="28"/>
          <w:highlight w:val="none"/>
        </w:rPr>
        <w:t>品种的</w:t>
      </w:r>
      <w:r>
        <w:rPr>
          <w:rFonts w:cs="Times New Roman"/>
          <w:color w:val="auto"/>
          <w:sz w:val="28"/>
          <w:szCs w:val="28"/>
          <w:highlight w:val="none"/>
        </w:rPr>
        <w:t>种子质量</w:t>
      </w:r>
      <w:r>
        <w:rPr>
          <w:rFonts w:hint="default" w:cs="Times New Roman"/>
          <w:color w:val="auto"/>
          <w:sz w:val="28"/>
          <w:szCs w:val="28"/>
          <w:highlight w:val="none"/>
        </w:rPr>
        <w:t>、</w:t>
      </w:r>
      <w:r>
        <w:rPr>
          <w:rFonts w:cs="Times New Roman"/>
          <w:color w:val="auto"/>
          <w:sz w:val="28"/>
          <w:szCs w:val="28"/>
          <w:highlight w:val="none"/>
        </w:rPr>
        <w:t>数量</w:t>
      </w:r>
      <w:r>
        <w:rPr>
          <w:rFonts w:hint="default" w:cs="Times New Roman"/>
          <w:color w:val="auto"/>
          <w:sz w:val="28"/>
          <w:szCs w:val="28"/>
          <w:highlight w:val="none"/>
        </w:rPr>
        <w:t>及管理等情况进行抽查检查、检验检测等</w:t>
      </w:r>
      <w:r>
        <w:rPr>
          <w:rFonts w:cs="Times New Roman"/>
          <w:color w:val="auto"/>
          <w:sz w:val="28"/>
          <w:szCs w:val="28"/>
          <w:highlight w:val="none"/>
        </w:rPr>
        <w:t>，</w:t>
      </w:r>
      <w:r>
        <w:rPr>
          <w:rFonts w:hint="default" w:cs="Times New Roman"/>
          <w:color w:val="auto"/>
          <w:sz w:val="28"/>
          <w:szCs w:val="28"/>
          <w:highlight w:val="none"/>
        </w:rPr>
        <w:t>如不符合相关要求，则取消该品种储备补贴资金。</w:t>
      </w:r>
    </w:p>
    <w:p w14:paraId="416D7AF1">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（四）本合同约定的政府购买服务事项质量保证期为自验收通过之日起至</w:t>
      </w:r>
      <w:r>
        <w:rPr>
          <w:rFonts w:cs="Times New Roman"/>
          <w:color w:val="auto"/>
          <w:sz w:val="28"/>
          <w:szCs w:val="28"/>
          <w:highlight w:val="none"/>
        </w:rPr>
        <w:t>合同约定</w:t>
      </w:r>
      <w:r>
        <w:rPr>
          <w:rFonts w:hint="default" w:cs="Times New Roman"/>
          <w:color w:val="auto"/>
          <w:sz w:val="28"/>
          <w:szCs w:val="28"/>
          <w:highlight w:val="none"/>
        </w:rPr>
        <w:t>期限</w:t>
      </w:r>
      <w:r>
        <w:rPr>
          <w:rFonts w:cs="Times New Roman"/>
          <w:color w:val="auto"/>
          <w:sz w:val="28"/>
          <w:szCs w:val="28"/>
          <w:highlight w:val="none"/>
        </w:rPr>
        <w:t>结束为</w:t>
      </w:r>
      <w:r>
        <w:rPr>
          <w:rFonts w:hint="eastAsia" w:cs="Times New Roman"/>
          <w:color w:val="auto"/>
          <w:sz w:val="28"/>
          <w:szCs w:val="28"/>
          <w:highlight w:val="none"/>
          <w:lang w:eastAsia="zh-CN"/>
        </w:rPr>
        <w:t>止</w:t>
      </w:r>
      <w:r>
        <w:rPr>
          <w:rFonts w:hint="default" w:cs="Times New Roman"/>
          <w:color w:val="auto"/>
          <w:sz w:val="28"/>
          <w:szCs w:val="28"/>
          <w:highlight w:val="none"/>
        </w:rPr>
        <w:t>，并不得向甲方额外收取任何费用。</w:t>
      </w:r>
    </w:p>
    <w:p w14:paraId="10FD36E8">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（五）根据中共中央、国务院《关于全面实施预算绩效管理的意见》以及</w:t>
      </w:r>
      <w:r>
        <w:rPr>
          <w:rFonts w:cs="Times New Roman"/>
          <w:color w:val="auto"/>
          <w:sz w:val="28"/>
          <w:szCs w:val="28"/>
          <w:highlight w:val="none"/>
        </w:rPr>
        <w:t>《</w:t>
      </w:r>
      <w:r>
        <w:rPr>
          <w:rFonts w:hint="default" w:cs="Times New Roman"/>
          <w:color w:val="auto"/>
          <w:sz w:val="28"/>
          <w:szCs w:val="28"/>
          <w:highlight w:val="none"/>
        </w:rPr>
        <w:t>政府购买服务管理办法</w:t>
      </w:r>
      <w:r>
        <w:rPr>
          <w:rFonts w:cs="Times New Roman"/>
          <w:color w:val="auto"/>
          <w:sz w:val="28"/>
          <w:szCs w:val="28"/>
          <w:highlight w:val="none"/>
        </w:rPr>
        <w:t>》</w:t>
      </w:r>
      <w:r>
        <w:rPr>
          <w:rFonts w:hint="default" w:cs="Times New Roman"/>
          <w:color w:val="auto"/>
          <w:sz w:val="28"/>
          <w:szCs w:val="28"/>
          <w:highlight w:val="none"/>
        </w:rPr>
        <w:t>等有关规定，甲方应当建立健全政府购买服务项目绩效目标设置与审核、绩效执行监控、绩效评价及结果运用的全过程绩效管理机制，不断提高政府购买服务质量和效益。</w:t>
      </w:r>
    </w:p>
    <w:p w14:paraId="36946A1A">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（六）就本合同约定的政府购买服务事项等，甲方与乙方协商设置相应绩效目标以及数量、质量、时效、成本、效益和服务对象满意度等绩效指标，以附件形式作为本合同不可分割的一部分。</w:t>
      </w:r>
    </w:p>
    <w:p w14:paraId="65138662">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七）在本合同履约期内，乙方应当加强绩效执行监控，对绩效目标及指标实现程度进行跟踪分析，并将绩效执行监控结果以书面形式报告甲方。实际执行情况与绩效目标偏离的，应当及时予以纠正，确保绩效目标如期实现。甲方原则上按照组织开展相应项目支出预算绩效执行监控的具体要求和时间节点，督促乙方开展相应绩效执行监控工作并提交报告。</w:t>
      </w:r>
    </w:p>
    <w:p w14:paraId="065B4FC3">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（八）本合同约定期限届满时，乙方应当对本合同约定绩效目标及指标的实现情况开展绩效自评，填报绩效目标完成情况，分析未完成的原因，提出改进措施，并于本合同期限届满之日起</w:t>
      </w:r>
      <w:r>
        <w:rPr>
          <w:rFonts w:hint="default" w:cs="Times New Roman"/>
          <w:color w:val="auto"/>
          <w:sz w:val="28"/>
          <w:szCs w:val="28"/>
          <w:highlight w:val="none"/>
          <w:u w:val="single"/>
        </w:rPr>
        <w:t>10</w:t>
      </w:r>
      <w:r>
        <w:rPr>
          <w:rFonts w:hint="default" w:cs="Times New Roman"/>
          <w:color w:val="auto"/>
          <w:sz w:val="28"/>
          <w:szCs w:val="28"/>
          <w:highlight w:val="none"/>
        </w:rPr>
        <w:t>个工作日内将绩效自评结果以书面形式报告甲方。在本合同约定期限尚未届满、但预算年度已经终了的情况下，甲方应按照财政部组织开展相应项目支出预算绩效自评的要求，督促乙方开展相应绩效自评工作并提交报告。</w:t>
      </w:r>
    </w:p>
    <w:p w14:paraId="5DE799DB">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第三条 合同金额及款项支付</w:t>
      </w:r>
    </w:p>
    <w:p w14:paraId="31B75E39">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（一）本合同购买服务总金额为人民币（大写）：</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eastAsia="zh-CN"/>
        </w:rPr>
        <w:t>万</w:t>
      </w:r>
      <w:r>
        <w:rPr>
          <w:rFonts w:hint="default" w:cs="Times New Roman"/>
          <w:color w:val="auto"/>
          <w:sz w:val="28"/>
          <w:szCs w:val="28"/>
          <w:highlight w:val="none"/>
        </w:rPr>
        <w:t>元 （小写：¥</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rPr>
        <w:t>元）。乙方提供本合同约定服务所发生的各项成本费用，以及与履行本合同有关的一切税费，均已包含在以上服务报酬总金额之中，由乙方负担。</w:t>
      </w:r>
    </w:p>
    <w:p w14:paraId="44A80C3C">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（二）乙方开户名称为：</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rPr>
        <w:t>；开户银行为：</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rPr>
        <w:t>；银行账号为：</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u w:val="single"/>
        </w:rPr>
        <w:t xml:space="preserve"> </w:t>
      </w:r>
      <w:r>
        <w:rPr>
          <w:rFonts w:hint="default" w:cs="Times New Roman"/>
          <w:color w:val="auto"/>
          <w:sz w:val="28"/>
          <w:szCs w:val="28"/>
          <w:highlight w:val="none"/>
        </w:rPr>
        <w:t>。</w:t>
      </w:r>
    </w:p>
    <w:p w14:paraId="7549026F">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（三）根据</w:t>
      </w:r>
      <w:r>
        <w:rPr>
          <w:rFonts w:hint="eastAsia" w:cs="Times New Roman"/>
          <w:color w:val="auto"/>
          <w:sz w:val="28"/>
          <w:szCs w:val="28"/>
          <w:highlight w:val="none"/>
          <w:lang w:eastAsia="zh-CN"/>
        </w:rPr>
        <w:t>自治区农业生产发展资金</w:t>
      </w:r>
      <w:r>
        <w:rPr>
          <w:rFonts w:hint="default" w:cs="Times New Roman"/>
          <w:color w:val="auto"/>
          <w:sz w:val="28"/>
          <w:szCs w:val="28"/>
          <w:highlight w:val="none"/>
        </w:rPr>
        <w:t>管理规定和服务类型，选择</w:t>
      </w:r>
      <w:r>
        <w:rPr>
          <w:rFonts w:hint="eastAsia" w:cs="Times New Roman"/>
          <w:color w:val="auto"/>
          <w:sz w:val="28"/>
          <w:szCs w:val="28"/>
          <w:highlight w:val="none"/>
          <w:lang w:eastAsia="zh-CN"/>
        </w:rPr>
        <w:t>自治区财政资金转移支付</w:t>
      </w:r>
      <w:r>
        <w:rPr>
          <w:rFonts w:hint="default" w:cs="Times New Roman"/>
          <w:color w:val="auto"/>
          <w:sz w:val="28"/>
          <w:szCs w:val="28"/>
          <w:highlight w:val="none"/>
        </w:rPr>
        <w:t>方式付款。</w:t>
      </w:r>
    </w:p>
    <w:p w14:paraId="31CDC0C3">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（四）</w:t>
      </w:r>
      <w:r>
        <w:rPr>
          <w:rFonts w:hint="default" w:cs="Times New Roman"/>
          <w:color w:val="auto"/>
          <w:sz w:val="28"/>
          <w:szCs w:val="28"/>
          <w:highlight w:val="none"/>
          <w:u w:val="single"/>
        </w:rPr>
        <w:t>本合同生效后，</w:t>
      </w:r>
      <w:r>
        <w:rPr>
          <w:rFonts w:hint="default" w:cs="Times New Roman"/>
          <w:color w:val="auto"/>
          <w:sz w:val="30"/>
          <w:szCs w:val="30"/>
          <w:highlight w:val="none"/>
          <w:u w:val="single"/>
        </w:rPr>
        <w:t>甲方在年度预算批复且财政资金到位后，</w:t>
      </w:r>
      <w:r>
        <w:rPr>
          <w:rFonts w:hint="eastAsia" w:cs="Times New Roman"/>
          <w:color w:val="auto"/>
          <w:sz w:val="30"/>
          <w:szCs w:val="30"/>
          <w:highlight w:val="none"/>
          <w:u w:val="single"/>
          <w:lang w:eastAsia="zh-CN"/>
        </w:rPr>
        <w:t>合同签订后支付总金额的</w:t>
      </w:r>
      <w:r>
        <w:rPr>
          <w:rFonts w:hint="eastAsia" w:cs="Times New Roman"/>
          <w:color w:val="auto"/>
          <w:sz w:val="30"/>
          <w:szCs w:val="30"/>
          <w:highlight w:val="none"/>
          <w:u w:val="single"/>
          <w:lang w:val="en-US" w:eastAsia="zh-CN"/>
        </w:rPr>
        <w:t>50%，2026年8月30日前支付总金额的30%，2026年10月1日前完成储备数量支付</w:t>
      </w:r>
      <w:r>
        <w:rPr>
          <w:rFonts w:hint="eastAsia" w:cs="Times New Roman"/>
          <w:color w:val="auto"/>
          <w:sz w:val="30"/>
          <w:szCs w:val="30"/>
          <w:highlight w:val="none"/>
          <w:u w:val="single"/>
          <w:lang w:eastAsia="zh-CN"/>
        </w:rPr>
        <w:t>总金额的</w:t>
      </w:r>
      <w:r>
        <w:rPr>
          <w:rFonts w:hint="eastAsia" w:cs="Times New Roman"/>
          <w:color w:val="auto"/>
          <w:sz w:val="30"/>
          <w:szCs w:val="30"/>
          <w:highlight w:val="none"/>
          <w:u w:val="single"/>
          <w:lang w:val="en-US" w:eastAsia="zh-CN"/>
        </w:rPr>
        <w:t>15%，2027年6月30日前支付</w:t>
      </w:r>
      <w:r>
        <w:rPr>
          <w:rFonts w:hint="eastAsia" w:cs="Times New Roman"/>
          <w:color w:val="auto"/>
          <w:sz w:val="30"/>
          <w:szCs w:val="30"/>
          <w:highlight w:val="none"/>
          <w:u w:val="single"/>
          <w:lang w:eastAsia="zh-CN"/>
        </w:rPr>
        <w:t>总金额的</w:t>
      </w:r>
      <w:r>
        <w:rPr>
          <w:rFonts w:hint="eastAsia" w:cs="Times New Roman"/>
          <w:color w:val="auto"/>
          <w:sz w:val="30"/>
          <w:szCs w:val="30"/>
          <w:highlight w:val="none"/>
          <w:u w:val="single"/>
          <w:lang w:val="en-US" w:eastAsia="zh-CN"/>
        </w:rPr>
        <w:t>5%</w:t>
      </w:r>
      <w:r>
        <w:rPr>
          <w:rFonts w:hint="default" w:cs="Times New Roman"/>
          <w:color w:val="auto"/>
          <w:sz w:val="30"/>
          <w:szCs w:val="30"/>
          <w:highlight w:val="none"/>
          <w:u w:val="single"/>
        </w:rPr>
        <w:t>。</w:t>
      </w:r>
    </w:p>
    <w:p w14:paraId="492D98D5">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第四条 甲方的权利和义务</w:t>
      </w:r>
    </w:p>
    <w:p w14:paraId="3B5C0A7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（一）甲方应当加强政府购买服务项目履约管理，督促乙方严格履行合同约定，有权随时向乙方了解提供服务的实施进度，并要求乙方提供相关资料。</w:t>
      </w:r>
    </w:p>
    <w:p w14:paraId="5B300BF6">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二）甲方有权按照本合同约定或者有关法律法规、部门规章、规范性文件的规定，对乙方履约情况进行监督和检查，并督促乙方加以整改。但不因甲方行使该监督和检查权而减轻或者免除乙方应承担的任何义务或者责任。</w:t>
      </w:r>
    </w:p>
    <w:p w14:paraId="7F19E337">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（三）甲方有权根据国家政策或者法律法规的变动对服务的质量要求、标准规范和技术指标做出相应变动，有权在发现乙方履行合同过程中出现损害或者可能损害公共利益、公共安全情形时终止本合同。</w:t>
      </w:r>
    </w:p>
    <w:p w14:paraId="07E226F1">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（四）甲方有权将乙方履行合同情况及不符合政府购买服务管理相关规定的情况，向相关部门报告并纳入不良信用记录、年检（报）、评估、执法等监管体系中。</w:t>
      </w:r>
    </w:p>
    <w:p w14:paraId="6DF0A34A">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（五）甲方承诺确保本合同约定的政府购买服务事项，符合</w:t>
      </w:r>
      <w:r>
        <w:rPr>
          <w:rFonts w:hint="default" w:cs="Times New Roman"/>
          <w:color w:val="auto"/>
          <w:sz w:val="28"/>
          <w:szCs w:val="28"/>
          <w:highlight w:val="none"/>
          <w:lang w:eastAsia="zh-CN"/>
        </w:rPr>
        <w:t>自治区</w:t>
      </w:r>
      <w:r>
        <w:rPr>
          <w:rFonts w:hint="default" w:cs="Times New Roman"/>
          <w:color w:val="auto"/>
          <w:sz w:val="28"/>
          <w:szCs w:val="28"/>
          <w:highlight w:val="none"/>
        </w:rPr>
        <w:t>政府购买服务的内容要求，并已列入农业农村</w:t>
      </w:r>
      <w:r>
        <w:rPr>
          <w:rFonts w:hint="default" w:cs="Times New Roman"/>
          <w:color w:val="auto"/>
          <w:sz w:val="28"/>
          <w:szCs w:val="28"/>
          <w:highlight w:val="none"/>
          <w:lang w:eastAsia="zh-CN"/>
        </w:rPr>
        <w:t>厅</w:t>
      </w:r>
      <w:r>
        <w:rPr>
          <w:rFonts w:hint="default" w:cs="Times New Roman"/>
          <w:color w:val="auto"/>
          <w:sz w:val="28"/>
          <w:szCs w:val="28"/>
          <w:highlight w:val="none"/>
          <w:lang w:val="en-US" w:eastAsia="zh-CN"/>
        </w:rPr>
        <w:t>202</w:t>
      </w:r>
      <w:r>
        <w:rPr>
          <w:rFonts w:hint="eastAsia" w:cs="Times New Roman"/>
          <w:color w:val="auto"/>
          <w:sz w:val="28"/>
          <w:szCs w:val="28"/>
          <w:highlight w:val="none"/>
          <w:lang w:val="en-US" w:eastAsia="zh-CN"/>
        </w:rPr>
        <w:t>6</w:t>
      </w:r>
      <w:r>
        <w:rPr>
          <w:rFonts w:hint="default" w:cs="Times New Roman"/>
          <w:color w:val="auto"/>
          <w:sz w:val="28"/>
          <w:szCs w:val="28"/>
          <w:highlight w:val="none"/>
          <w:lang w:val="en-US" w:eastAsia="zh-CN"/>
        </w:rPr>
        <w:t>年度自治区现代种业振兴项目列表中</w:t>
      </w:r>
      <w:r>
        <w:rPr>
          <w:rFonts w:hint="default" w:cs="Times New Roman"/>
          <w:color w:val="auto"/>
          <w:sz w:val="28"/>
          <w:szCs w:val="28"/>
          <w:highlight w:val="none"/>
        </w:rPr>
        <w:t>。</w:t>
      </w:r>
    </w:p>
    <w:p w14:paraId="54686978">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（六）甲方承诺履行本合同所需财政资金，已经列入相应年度的部门预算和中期支出规划安排，并已经按规定编制相应政府购买服务预算及政府采购预算。</w:t>
      </w:r>
    </w:p>
    <w:p w14:paraId="0A52967A">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（七）甲方应及时向乙方提供或者协调有关方面提供与履行本合同相关的，且为乙方开展工作必备前提的政策、制度、规范、标准、数据等资料。</w:t>
      </w:r>
    </w:p>
    <w:p w14:paraId="64DC9510">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（八）甲方应当根据乙方履行合同和开展工作的实际需要，积极协助乙方做好与相关政府部门、企事业单位及其他第三方的沟通、协调工作。</w:t>
      </w:r>
    </w:p>
    <w:p w14:paraId="2DBC9C2F">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（九）甲方应当依照本合同约定的金额、方式、时间、条件等，及时向乙方支付服务报酬。</w:t>
      </w:r>
    </w:p>
    <w:p w14:paraId="7D2CFAB7">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第五条 乙方的权利和义务</w:t>
      </w:r>
    </w:p>
    <w:p w14:paraId="182370A7">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（一）乙方有权要求甲方提供或者要求甲方协调有关方面提供与履行本合同相关的，且为乙方开展工作必备前提的政策、制度、规范、标准、数据等资料。</w:t>
      </w:r>
    </w:p>
    <w:p w14:paraId="0D3983A8">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（二）乙方有权根据履行合同和开展工作的实际需要，要求甲方协助做好与相关政府部门、企事业单位及其他第三方的沟通、协调工作。</w:t>
      </w:r>
    </w:p>
    <w:p w14:paraId="78DEBF58">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（三）乙方有权依照本合同约定的金额、方式、时间、条件等向甲方收取服务报酬，在账户信息变更时有权要求甲方根据乙方出具的相关证明材料向变更后的账户付款。</w:t>
      </w:r>
    </w:p>
    <w:p w14:paraId="07702CE4">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（四）乙方在不违反本合同约定或者有关法律法规、部门规章、规范性文件规定的前提下，有权根据提供服务的实际成本费用等，自主安排使用所获服务报酬。</w:t>
      </w:r>
    </w:p>
    <w:p w14:paraId="3F993AEC">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（五）乙方应当配备具有相应资质、能力、经验的工作人员承担本合同约定服务事项的具体实施，保证其具有充裕的工作时间，并为其提供相应条件支持。</w:t>
      </w:r>
    </w:p>
    <w:p w14:paraId="3AE35C46">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六）乙方应当按照本合同约定的内容、期限、数量、质量、标准等要求，及时提供服务并提交成果，并根据甲方需要报告工作进展情况。未经甲方书面同意，乙方不得擅自将本合同约定的服务事项转包给其他机构实际承担。</w:t>
      </w:r>
    </w:p>
    <w:p w14:paraId="4FF446B4">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（七）乙方应当按照有关规定建立承接政府购买服务事项台账，妥善保存与本合同履约活动相关的纸质文档、电子文档、影音图像等信息，保存期限为本合同履行完毕或者终止后15年。</w:t>
      </w:r>
    </w:p>
    <w:p w14:paraId="580EC325">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（八）乙方应当建立健全财务制度，严格遵守相关财政财务规定，确保政府购买服务资金规范管理和使用，以辅助账等适当形式进行单独核算，相应原始凭证、会计账簿等财务资料依照上款要求妥善保存。</w:t>
      </w:r>
    </w:p>
    <w:p w14:paraId="2D7CC510">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（九）乙方有义务接受和配合甲方或者有关部门对本合同履行情况的监督和检查，按要求完整、准确、如实提供所需业务和财务资料，并对监督检查提出的问题及时做出合理解释或者加以整改。</w:t>
      </w:r>
    </w:p>
    <w:p w14:paraId="11CA0620">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（十）乙方应当全面履行本合同约定服务事项实施过程中的相关安全管理职责，因乙方未尽到管理职责发生安全事故的，由乙方承担相应的法律责任。</w:t>
      </w:r>
    </w:p>
    <w:p w14:paraId="4F30D897">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第六条 违约责任</w:t>
      </w:r>
    </w:p>
    <w:p w14:paraId="4CE64F1E">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default" w:cs="Times New Roman"/>
          <w:color w:val="auto"/>
          <w:sz w:val="28"/>
          <w:szCs w:val="28"/>
          <w:highlight w:val="none"/>
        </w:rPr>
      </w:pPr>
      <w:r>
        <w:rPr>
          <w:rFonts w:hint="default" w:cs="Times New Roman"/>
          <w:color w:val="auto"/>
          <w:sz w:val="28"/>
          <w:szCs w:val="28"/>
          <w:highlight w:val="none"/>
        </w:rPr>
        <w:t>（一）甲方无正当理由逾期付款的，应当按照本合同约定的付款时限及相应金额，自逾期之日起，每日以逾期金额为基数，按合同订立时1年期贷款市场报价利率（LPR）计算向乙方支付违约金。</w:t>
      </w:r>
    </w:p>
    <w:p w14:paraId="26B05BA2">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cs="Times New Roman"/>
          <w:color w:val="auto"/>
          <w:sz w:val="28"/>
          <w:szCs w:val="28"/>
          <w:highlight w:val="none"/>
        </w:rPr>
      </w:pPr>
      <w:r>
        <w:rPr>
          <w:rFonts w:hint="default" w:cs="Times New Roman"/>
          <w:color w:val="auto"/>
          <w:sz w:val="28"/>
          <w:szCs w:val="28"/>
          <w:highlight w:val="none"/>
        </w:rPr>
        <w:t>（二）乙方提供的服务不符合本合同约定或相关法律法规、部门规章、规范性文件规定的，甲方有权予以拒收，且乙方应按照本合同约定服务报酬总金额，</w:t>
      </w:r>
      <w:r>
        <w:rPr>
          <w:rFonts w:hint="eastAsia" w:cs="Times New Roman"/>
          <w:color w:val="auto"/>
          <w:sz w:val="28"/>
          <w:szCs w:val="28"/>
          <w:highlight w:val="none"/>
          <w:lang w:val="en-US" w:eastAsia="zh-CN"/>
        </w:rPr>
        <w:t>按</w:t>
      </w:r>
      <w:r>
        <w:rPr>
          <w:rFonts w:hint="default" w:cs="Times New Roman"/>
          <w:color w:val="auto"/>
          <w:sz w:val="28"/>
          <w:szCs w:val="28"/>
          <w:highlight w:val="none"/>
        </w:rPr>
        <w:t>合同订立时1年期贷款市场报价利率（LPR）计算，向甲方支付违约金。</w:t>
      </w:r>
    </w:p>
    <w:p w14:paraId="62988717">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（三）乙方未能按照本合同约定时间提供服务或提交成果的，从逾期之日起每日按逾期金额的</w:t>
      </w:r>
      <w:r>
        <w:rPr>
          <w:rFonts w:hint="default" w:cs="Times New Roman"/>
          <w:color w:val="auto"/>
          <w:sz w:val="28"/>
          <w:szCs w:val="28"/>
          <w:highlight w:val="none"/>
          <w:u w:val="single"/>
        </w:rPr>
        <w:t>按合同订立时1年期贷款市场报价利率(LPR)计算</w:t>
      </w:r>
      <w:r>
        <w:rPr>
          <w:rFonts w:hint="default" w:cs="Times New Roman"/>
          <w:color w:val="auto"/>
          <w:sz w:val="28"/>
          <w:szCs w:val="28"/>
          <w:highlight w:val="none"/>
        </w:rPr>
        <w:t>向甲方支付违约金；逾期</w:t>
      </w:r>
      <w:r>
        <w:rPr>
          <w:rFonts w:hint="default" w:cs="Times New Roman"/>
          <w:color w:val="auto"/>
          <w:sz w:val="28"/>
          <w:szCs w:val="28"/>
          <w:highlight w:val="none"/>
          <w:u w:val="single"/>
        </w:rPr>
        <w:t>30</w:t>
      </w:r>
      <w:r>
        <w:rPr>
          <w:rFonts w:hint="default" w:cs="Times New Roman"/>
          <w:color w:val="auto"/>
          <w:sz w:val="28"/>
          <w:szCs w:val="28"/>
          <w:highlight w:val="none"/>
        </w:rPr>
        <w:t>日以上的，甲方有权终止合同，由此造成的甲方经济损失由乙方承担。</w:t>
      </w:r>
    </w:p>
    <w:p w14:paraId="3E187FE9">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（四）乙方不得擅自将本合同服务转包给其他主体。如擅自转包，则乙方应当按照本合同约定服务报酬总金额，以合同订立时1年期贷款市场报价利率（LPR）计算向甲方支付违约金。</w:t>
      </w:r>
    </w:p>
    <w:p w14:paraId="3AE6CBF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（五）其他违约责任，甲方可以根据本合同约定购买服务事项的具体情况，依据《中华人民共和国民法典》等法律法规的相关规定，在本合同中约定。</w:t>
      </w:r>
    </w:p>
    <w:p w14:paraId="34AD07C5">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cs="Times New Roman"/>
          <w:color w:val="auto"/>
          <w:sz w:val="28"/>
          <w:szCs w:val="28"/>
          <w:highlight w:val="none"/>
        </w:rPr>
      </w:pPr>
      <w:r>
        <w:rPr>
          <w:rFonts w:hint="default" w:cs="Times New Roman"/>
          <w:color w:val="auto"/>
          <w:sz w:val="28"/>
          <w:szCs w:val="28"/>
          <w:highlight w:val="none"/>
        </w:rPr>
        <w:t>（六）经甲乙双方协商一致，同意免除或者部分免除对方违约责任的，双方应当签订《补充协议》或《谅解备忘录》进行约定。</w:t>
      </w:r>
    </w:p>
    <w:p w14:paraId="73EA9ADE">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第七条 保密条款</w:t>
      </w:r>
    </w:p>
    <w:p w14:paraId="5AA2173A">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（一）甲方按照本合同第四条第七款的约定，向乙方提供的资料，如有属于《中华人民共和国保密法》规定的国家秘密范围的信息，应当严格按照相关保密规定进行管理，并责成乙方严格按照保密规定进行管理。</w:t>
      </w:r>
    </w:p>
    <w:p w14:paraId="4ECDDD45">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（二）甲方按照本合同第四条第七款的约定，向乙方提供的资料，如有属于甲方工作秘密或者内部资料的，应当以编列目录清单的形式如实告知乙方，并责成乙方严格按照相关保密规定和本合同约定进行管理。</w:t>
      </w:r>
    </w:p>
    <w:p w14:paraId="19518BBE">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乙方应当对甲方提供的资料负有保密责任。属于本条第一款所列国家秘密以及本条第二款所列工作秘密或内部资料的，乙方应当严格按照相关保密规定和甲方要求进行管理。其他信息未经甲方书面许可，乙方亦不得提供给其他单位和个人。</w:t>
      </w:r>
    </w:p>
    <w:p w14:paraId="46FFD49E">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四）乙方在承接本合同约定的政府购买服务事项的过程中，所获得的政府、企事业单位、公民个人等各种信息和资料，如有属于《中华人民共和国保密法》规定的国家秘密范围的信息，乙方应当严格按照相关保密规定和甲方要求进行管理。</w:t>
      </w:r>
    </w:p>
    <w:p w14:paraId="27EBBECC">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五）乙方在承接本合同约定的政府购买服务事项的过程中，所获得的政府、企事业单位、公民个人等各种信息和资料，不属于《中华人民共和国保密法》规定的国家秘密范围的，未经甲方书面许可，乙方不得提供给其他单位和个人，也不得以乙方名义或者乙方工作人员个人名义做出公开披露和公开发表观点。</w:t>
      </w:r>
    </w:p>
    <w:p w14:paraId="573999AD">
      <w:pPr>
        <w:pStyle w:val="12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六）甲方应当保护乙方的商业秘密（含技术秘密）和其他敏感信息，未经乙方书面许可，不得将所知悉的乙方商业秘密（含技术秘密）和其他敏感信息提供给其他单位和个人。但甲方依据相关法律法规规定、法定职责或本合同约定，向社会公开或提供给相关部门的除外。</w:t>
      </w:r>
    </w:p>
    <w:p w14:paraId="05DD5A61">
      <w:pPr>
        <w:pStyle w:val="13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第八条 争议的解决</w:t>
      </w:r>
    </w:p>
    <w:p w14:paraId="35AEF9A0">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本合同在履行过程中发生的任何争议，由甲乙双方友好协商解决。协商未果的，双方均同意以</w:t>
      </w:r>
      <w:r>
        <w:rPr>
          <w:rFonts w:hint="default" w:cs="Times New Roman"/>
          <w:color w:val="auto"/>
          <w:sz w:val="28"/>
          <w:szCs w:val="28"/>
          <w:highlight w:val="none"/>
          <w:u w:val="single"/>
        </w:rPr>
        <w:t>任何一方均可通过向甲方所在地有管辖权的人民法院提起诉讼处理</w:t>
      </w:r>
      <w:r>
        <w:rPr>
          <w:rFonts w:hint="default" w:cs="Times New Roman"/>
          <w:color w:val="auto"/>
          <w:sz w:val="28"/>
          <w:szCs w:val="28"/>
          <w:highlight w:val="none"/>
        </w:rPr>
        <w:t>方式解决。</w:t>
      </w:r>
    </w:p>
    <w:p w14:paraId="1D3CAE89">
      <w:pPr>
        <w:pStyle w:val="130"/>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第九条 不可抗力</w:t>
      </w:r>
    </w:p>
    <w:p w14:paraId="20EADF37">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任何一方由于不可抗力原因不能履行合同时，应在不可抗力事件发生后7个工作日内向对方通报，以减轻可能给对方造成的损失，在取得有关机构的不可抗力证明或者对方谅解确认后，双方可以协商延期、调整履行或者修订合同；双方根据具体情况可协商一致，全部或者部分免除受不可抗力影响的一方的违约责任。</w:t>
      </w:r>
    </w:p>
    <w:p w14:paraId="60B8390B">
      <w:pPr>
        <w:pStyle w:val="130"/>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第十条 合同的终止</w:t>
      </w:r>
    </w:p>
    <w:p w14:paraId="7C72F9C2">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（一）本合同期满，双方不再续签合同的；</w:t>
      </w:r>
    </w:p>
    <w:p w14:paraId="36DDEFA5">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（二）乙方丧失提供服务的能力，致使本合同服务无法正常提供的；</w:t>
      </w:r>
    </w:p>
    <w:p w14:paraId="72E6C640">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（三）在履行合同过程中，发现乙方已不符合承接主体应具备的条件，造成合同无法履行的；</w:t>
      </w:r>
    </w:p>
    <w:p w14:paraId="22ADF8F2">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（四）乙方明确表示不再履行本合同的；</w:t>
      </w:r>
    </w:p>
    <w:p w14:paraId="3C2A0334">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（五）乙方履行本合同不符合约定，在甲方确定的合理期限内仍不能纠正的；</w:t>
      </w:r>
    </w:p>
    <w:p w14:paraId="5CC9F091">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（六）受国家政策或者法律法规变动影响，经双方协商终止本合同的。</w:t>
      </w:r>
    </w:p>
    <w:p w14:paraId="46635737">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七</w:t>
      </w:r>
      <w:r>
        <w:rPr>
          <w:rFonts w:hint="eastAsia" w:cs="Times New Roman"/>
          <w:color w:val="auto"/>
          <w:sz w:val="28"/>
          <w:szCs w:val="28"/>
          <w:highlight w:val="none"/>
          <w:lang w:eastAsia="zh-CN"/>
        </w:rPr>
        <w:t>）因国家政策或自治区财政预算重大调整导致合同无法继续的，双方可协商解除合同，并对乙方已发生的合理成本予以补偿。</w:t>
      </w:r>
    </w:p>
    <w:p w14:paraId="77D4BE01">
      <w:pPr>
        <w:pStyle w:val="130"/>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b w:val="0"/>
          <w:bCs w:val="0"/>
          <w:color w:val="auto"/>
          <w:sz w:val="28"/>
          <w:szCs w:val="28"/>
          <w:highlight w:val="none"/>
        </w:rPr>
        <w:t>第十一条 未尽事宜或者补充条款</w:t>
      </w:r>
    </w:p>
    <w:p w14:paraId="383BDC18">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w:t>
      </w:r>
      <w:r>
        <w:rPr>
          <w:rFonts w:cs="Times New Roman"/>
          <w:color w:val="auto"/>
          <w:sz w:val="28"/>
          <w:szCs w:val="28"/>
          <w:highlight w:val="none"/>
        </w:rPr>
        <w:t>乙方应按甲方要求，按时向甲方提供发票等凭证，用于甲方向乙方拨付合同资金。如乙方因自身原因无法提供，一切后果由乙方承担。</w:t>
      </w:r>
    </w:p>
    <w:p w14:paraId="6BBF98A5">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cs="Times New Roman"/>
          <w:color w:val="auto"/>
          <w:sz w:val="28"/>
          <w:szCs w:val="28"/>
          <w:highlight w:val="none"/>
        </w:rPr>
      </w:pPr>
      <w:r>
        <w:rPr>
          <w:rFonts w:cs="Times New Roman"/>
          <w:color w:val="auto"/>
          <w:sz w:val="28"/>
          <w:szCs w:val="28"/>
          <w:highlight w:val="none"/>
        </w:rPr>
        <w:t>（二）如无特殊情况，乙方单方面不履行合同的，甲方有权将其纳入该项目的“黑名单”。</w:t>
      </w:r>
    </w:p>
    <w:p w14:paraId="4EE0B3AB">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cs="Times New Roman"/>
          <w:color w:val="auto"/>
          <w:sz w:val="28"/>
          <w:szCs w:val="28"/>
          <w:highlight w:val="none"/>
        </w:rPr>
        <w:t>（三）</w:t>
      </w:r>
      <w:r>
        <w:rPr>
          <w:rFonts w:hint="default" w:cs="Times New Roman"/>
          <w:color w:val="auto"/>
          <w:sz w:val="28"/>
          <w:szCs w:val="28"/>
          <w:highlight w:val="none"/>
        </w:rPr>
        <w:t>其他未尽事宜，由双方协商确定。</w:t>
      </w:r>
    </w:p>
    <w:p w14:paraId="77243305">
      <w:pPr>
        <w:pStyle w:val="130"/>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第十二条 其他</w:t>
      </w:r>
    </w:p>
    <w:p w14:paraId="01928C9E">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（一）本合同所有附件均为本合同的有效组成部分，与本合同具有同等法律效力。若合同附件与本合同正文条款存在不一致的，则以本合同正文条款为准。</w:t>
      </w:r>
    </w:p>
    <w:p w14:paraId="6C251E2B">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（二）在履行本合同过程中，所有经双方签署确认的文件（包括但不限于会议纪要、补充协议、往来信函等）即成为本合同的有效组成部分。</w:t>
      </w:r>
    </w:p>
    <w:p w14:paraId="6C7FFEB7">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（三）如一方名称、地址、负责人、联系人、联系方式或者乙方银行账户信息有变更，应在发生变更之日起3个工作日内通知对方，否则应承担未及时通知产生的相应后果。</w:t>
      </w:r>
    </w:p>
    <w:p w14:paraId="754BF3EA">
      <w:pPr>
        <w:pStyle w:val="130"/>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第十三条 合同生效</w:t>
      </w:r>
    </w:p>
    <w:p w14:paraId="2C47E147">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（一）本合同订立时间：</w:t>
      </w:r>
      <w:r>
        <w:rPr>
          <w:rFonts w:hint="default" w:cs="Times New Roman"/>
          <w:color w:val="auto"/>
          <w:sz w:val="28"/>
          <w:szCs w:val="28"/>
          <w:highlight w:val="none"/>
          <w:u w:val="single"/>
        </w:rPr>
        <w:t>20</w:t>
      </w:r>
      <w:r>
        <w:rPr>
          <w:rFonts w:cs="Times New Roman"/>
          <w:color w:val="auto"/>
          <w:sz w:val="28"/>
          <w:szCs w:val="28"/>
          <w:highlight w:val="none"/>
          <w:u w:val="single"/>
        </w:rPr>
        <w:t>2</w:t>
      </w:r>
      <w:r>
        <w:rPr>
          <w:rFonts w:hint="eastAsia" w:cs="Times New Roman"/>
          <w:color w:val="auto"/>
          <w:sz w:val="28"/>
          <w:szCs w:val="28"/>
          <w:highlight w:val="none"/>
          <w:u w:val="single"/>
          <w:lang w:val="en-US" w:eastAsia="zh-CN"/>
        </w:rPr>
        <w:t>6</w:t>
      </w:r>
      <w:r>
        <w:rPr>
          <w:rFonts w:hint="default" w:cs="Times New Roman"/>
          <w:color w:val="auto"/>
          <w:sz w:val="28"/>
          <w:szCs w:val="28"/>
          <w:highlight w:val="none"/>
        </w:rPr>
        <w:t>年</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u w:val="single"/>
        </w:rPr>
        <w:t xml:space="preserve"> </w:t>
      </w:r>
      <w:r>
        <w:rPr>
          <w:rFonts w:hint="default" w:cs="Times New Roman"/>
          <w:color w:val="auto"/>
          <w:sz w:val="28"/>
          <w:szCs w:val="28"/>
          <w:highlight w:val="none"/>
        </w:rPr>
        <w:t>月</w:t>
      </w:r>
      <w:r>
        <w:rPr>
          <w:rFonts w:hint="default"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cs="Times New Roman"/>
          <w:color w:val="auto"/>
          <w:sz w:val="28"/>
          <w:szCs w:val="28"/>
          <w:highlight w:val="none"/>
          <w:u w:val="single"/>
        </w:rPr>
        <w:t xml:space="preserve"> </w:t>
      </w:r>
      <w:r>
        <w:rPr>
          <w:rFonts w:hint="default" w:cs="Times New Roman"/>
          <w:color w:val="auto"/>
          <w:sz w:val="28"/>
          <w:szCs w:val="28"/>
          <w:highlight w:val="none"/>
        </w:rPr>
        <w:t>日。</w:t>
      </w:r>
    </w:p>
    <w:p w14:paraId="0334D769">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eastAsia" w:cs="Times New Roman"/>
          <w:color w:val="auto"/>
          <w:sz w:val="28"/>
          <w:szCs w:val="28"/>
          <w:highlight w:val="none"/>
          <w:u w:val="single"/>
          <w:lang w:val="en-US" w:eastAsia="zh-CN"/>
        </w:rPr>
      </w:pPr>
      <w:r>
        <w:rPr>
          <w:rFonts w:hint="default" w:cs="Times New Roman"/>
          <w:color w:val="auto"/>
          <w:sz w:val="28"/>
          <w:szCs w:val="28"/>
          <w:highlight w:val="none"/>
        </w:rPr>
        <w:t>（二）本合同订立地点：</w:t>
      </w:r>
      <w:r>
        <w:rPr>
          <w:rFonts w:hint="eastAsia" w:cs="Times New Roman"/>
          <w:color w:val="auto"/>
          <w:sz w:val="28"/>
          <w:szCs w:val="28"/>
          <w:highlight w:val="none"/>
          <w:u w:val="single"/>
          <w:lang w:val="en-US" w:eastAsia="zh-CN"/>
        </w:rPr>
        <w:t xml:space="preserve">  阿克苏市柯柯牙路3号阿克苏地区农业农村局种业发展中心   </w:t>
      </w:r>
    </w:p>
    <w:p w14:paraId="08D0F4E1">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（三）本合同自甲、乙双方法定代表人或者代理人签字并加盖公章之日起生效。</w:t>
      </w:r>
    </w:p>
    <w:p w14:paraId="59B942C0">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（四）本合同甲方的代理人即作为购买主体的负责人。</w:t>
      </w:r>
    </w:p>
    <w:p w14:paraId="2EF7B32D">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r>
        <w:rPr>
          <w:rFonts w:hint="default" w:cs="Times New Roman"/>
          <w:color w:val="auto"/>
          <w:sz w:val="28"/>
          <w:szCs w:val="28"/>
          <w:highlight w:val="none"/>
        </w:rPr>
        <w:t>（五）本合同一式肆份，甲乙双方各执贰份，双方文本具有同等法律效力。</w:t>
      </w:r>
    </w:p>
    <w:p w14:paraId="008D6646">
      <w:pPr>
        <w:pStyle w:val="123"/>
        <w:keepNext w:val="0"/>
        <w:keepLines w:val="0"/>
        <w:pageBreakBefore w:val="0"/>
        <w:widowControl/>
        <w:kinsoku/>
        <w:wordWrap/>
        <w:overflowPunct/>
        <w:topLinePunct w:val="0"/>
        <w:autoSpaceDE/>
        <w:autoSpaceDN/>
        <w:bidi w:val="0"/>
        <w:adjustRightInd/>
        <w:snapToGrid/>
        <w:spacing w:line="540" w:lineRule="exact"/>
        <w:ind w:left="0" w:leftChars="0" w:firstLine="560" w:firstLineChars="200"/>
        <w:textAlignment w:val="auto"/>
        <w:rPr>
          <w:rFonts w:hint="default" w:cs="Times New Roman"/>
          <w:color w:val="auto"/>
          <w:sz w:val="28"/>
          <w:szCs w:val="28"/>
          <w:highlight w:val="none"/>
        </w:rPr>
      </w:pPr>
    </w:p>
    <w:tbl>
      <w:tblPr>
        <w:tblStyle w:val="34"/>
        <w:tblW w:w="89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520"/>
        <w:gridCol w:w="2722"/>
        <w:gridCol w:w="1417"/>
        <w:gridCol w:w="2461"/>
      </w:tblGrid>
      <w:tr w14:paraId="01873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8948" w:type="dxa"/>
            <w:gridSpan w:val="5"/>
            <w:noWrap w:val="0"/>
            <w:vAlign w:val="center"/>
          </w:tcPr>
          <w:p w14:paraId="5122A110">
            <w:pPr>
              <w:jc w:val="center"/>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color w:val="auto"/>
                <w:sz w:val="28"/>
                <w:szCs w:val="28"/>
                <w:highlight w:val="none"/>
                <w:lang w:eastAsia="zh-CN"/>
              </w:rPr>
              <w:t>签 章 页</w:t>
            </w:r>
          </w:p>
        </w:tc>
      </w:tr>
      <w:tr w14:paraId="09A60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9" w:hRule="atLeast"/>
        </w:trPr>
        <w:tc>
          <w:tcPr>
            <w:tcW w:w="828" w:type="dxa"/>
            <w:vMerge w:val="restart"/>
            <w:noWrap w:val="0"/>
            <w:textDirection w:val="tbRlV"/>
            <w:vAlign w:val="center"/>
          </w:tcPr>
          <w:p w14:paraId="0D06BEFA">
            <w:pPr>
              <w:ind w:left="113" w:right="113"/>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黑体" w:cs="Times New Roman"/>
                <w:color w:val="auto"/>
                <w:sz w:val="28"/>
                <w:szCs w:val="28"/>
                <w:highlight w:val="none"/>
              </w:rPr>
              <w:t>甲</w:t>
            </w:r>
            <w:r>
              <w:rPr>
                <w:rFonts w:hint="default" w:ascii="Times New Roman" w:hAnsi="Times New Roman" w:eastAsia="黑体" w:cs="Times New Roman"/>
                <w:color w:val="auto"/>
                <w:sz w:val="28"/>
                <w:szCs w:val="28"/>
                <w:highlight w:val="none"/>
                <w:lang w:eastAsia="zh-CN"/>
              </w:rPr>
              <w:t xml:space="preserve">  </w:t>
            </w:r>
            <w:r>
              <w:rPr>
                <w:rFonts w:hint="default" w:ascii="Times New Roman" w:hAnsi="Times New Roman" w:eastAsia="黑体" w:cs="Times New Roman"/>
                <w:color w:val="auto"/>
                <w:sz w:val="28"/>
                <w:szCs w:val="28"/>
                <w:highlight w:val="none"/>
              </w:rPr>
              <w:t>方</w:t>
            </w:r>
          </w:p>
        </w:tc>
        <w:tc>
          <w:tcPr>
            <w:tcW w:w="1520" w:type="dxa"/>
            <w:noWrap w:val="0"/>
            <w:vAlign w:val="center"/>
          </w:tcPr>
          <w:p w14:paraId="6F6D6640">
            <w:pPr>
              <w:jc w:val="center"/>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购买主体</w:t>
            </w:r>
          </w:p>
        </w:tc>
        <w:tc>
          <w:tcPr>
            <w:tcW w:w="6600" w:type="dxa"/>
            <w:gridSpan w:val="3"/>
            <w:noWrap w:val="0"/>
            <w:vAlign w:val="center"/>
          </w:tcPr>
          <w:p w14:paraId="7D500679">
            <w:pPr>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法定代表人或者代理人签字：</w:t>
            </w:r>
          </w:p>
          <w:p w14:paraId="37C9E166">
            <w:pPr>
              <w:rPr>
                <w:rFonts w:hint="default" w:ascii="Times New Roman" w:hAnsi="Times New Roman" w:cs="Times New Roman"/>
                <w:color w:val="auto"/>
                <w:sz w:val="28"/>
                <w:szCs w:val="28"/>
                <w:highlight w:val="none"/>
                <w:lang w:eastAsia="zh-CN"/>
              </w:rPr>
            </w:pPr>
          </w:p>
          <w:p w14:paraId="6E33034F">
            <w:pPr>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单位公章：</w:t>
            </w:r>
          </w:p>
          <w:p w14:paraId="09DCB84A">
            <w:pPr>
              <w:rPr>
                <w:rFonts w:hint="default" w:ascii="Times New Roman" w:hAnsi="Times New Roman" w:cs="Times New Roman"/>
                <w:color w:val="auto"/>
                <w:sz w:val="28"/>
                <w:szCs w:val="28"/>
                <w:highlight w:val="none"/>
                <w:lang w:eastAsia="zh-CN"/>
              </w:rPr>
            </w:pPr>
          </w:p>
          <w:p w14:paraId="0D0EFED1">
            <w:pPr>
              <w:ind w:firstLine="3360" w:firstLineChars="12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年   月   日</w:t>
            </w:r>
          </w:p>
        </w:tc>
      </w:tr>
      <w:tr w14:paraId="323C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828" w:type="dxa"/>
            <w:vMerge w:val="continue"/>
            <w:noWrap w:val="0"/>
            <w:vAlign w:val="top"/>
          </w:tcPr>
          <w:p w14:paraId="5FA8A924">
            <w:pPr>
              <w:rPr>
                <w:rFonts w:hint="default" w:ascii="Times New Roman" w:hAnsi="Times New Roman" w:cs="Times New Roman"/>
                <w:b/>
                <w:color w:val="auto"/>
                <w:sz w:val="28"/>
                <w:szCs w:val="28"/>
                <w:highlight w:val="none"/>
                <w:lang w:eastAsia="zh-CN"/>
              </w:rPr>
            </w:pPr>
          </w:p>
        </w:tc>
        <w:tc>
          <w:tcPr>
            <w:tcW w:w="1520" w:type="dxa"/>
            <w:noWrap w:val="0"/>
            <w:vAlign w:val="center"/>
          </w:tcPr>
          <w:p w14:paraId="545CB505">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业务负责</w:t>
            </w:r>
          </w:p>
          <w:p w14:paraId="5718EA34">
            <w:pPr>
              <w:jc w:val="center"/>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科</w:t>
            </w:r>
            <w:r>
              <w:rPr>
                <w:rFonts w:hint="default" w:ascii="Times New Roman" w:hAnsi="Times New Roman" w:cs="Times New Roman"/>
                <w:color w:val="auto"/>
                <w:sz w:val="28"/>
                <w:szCs w:val="28"/>
                <w:highlight w:val="none"/>
              </w:rPr>
              <w:t>室</w:t>
            </w:r>
          </w:p>
        </w:tc>
        <w:tc>
          <w:tcPr>
            <w:tcW w:w="6600" w:type="dxa"/>
            <w:gridSpan w:val="3"/>
            <w:noWrap w:val="0"/>
            <w:vAlign w:val="center"/>
          </w:tcPr>
          <w:p w14:paraId="317F168F">
            <w:pPr>
              <w:ind w:firstLine="6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rPr>
              <w:t>负责人签字：</w:t>
            </w:r>
          </w:p>
          <w:p w14:paraId="420B7657">
            <w:pPr>
              <w:ind w:firstLine="3360" w:firstLineChars="12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年   月   日</w:t>
            </w:r>
          </w:p>
        </w:tc>
      </w:tr>
      <w:tr w14:paraId="69D28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828" w:type="dxa"/>
            <w:vMerge w:val="continue"/>
            <w:noWrap w:val="0"/>
            <w:vAlign w:val="top"/>
          </w:tcPr>
          <w:p w14:paraId="3325D63B">
            <w:pPr>
              <w:rPr>
                <w:rFonts w:hint="default" w:ascii="Times New Roman" w:hAnsi="Times New Roman" w:cs="Times New Roman"/>
                <w:b/>
                <w:color w:val="auto"/>
                <w:sz w:val="28"/>
                <w:szCs w:val="28"/>
                <w:highlight w:val="none"/>
              </w:rPr>
            </w:pPr>
          </w:p>
        </w:tc>
        <w:tc>
          <w:tcPr>
            <w:tcW w:w="1520" w:type="dxa"/>
            <w:noWrap w:val="0"/>
            <w:vAlign w:val="center"/>
          </w:tcPr>
          <w:p w14:paraId="53E4A914">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联系人</w:t>
            </w:r>
          </w:p>
        </w:tc>
        <w:tc>
          <w:tcPr>
            <w:tcW w:w="2722" w:type="dxa"/>
            <w:noWrap w:val="0"/>
            <w:vAlign w:val="center"/>
          </w:tcPr>
          <w:p w14:paraId="6C340414">
            <w:pPr>
              <w:jc w:val="center"/>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  </w:t>
            </w:r>
          </w:p>
        </w:tc>
        <w:tc>
          <w:tcPr>
            <w:tcW w:w="1417" w:type="dxa"/>
            <w:noWrap w:val="0"/>
            <w:vAlign w:val="center"/>
          </w:tcPr>
          <w:p w14:paraId="13E84820">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联系电话</w:t>
            </w:r>
          </w:p>
        </w:tc>
        <w:tc>
          <w:tcPr>
            <w:tcW w:w="2461" w:type="dxa"/>
            <w:noWrap w:val="0"/>
            <w:vAlign w:val="center"/>
          </w:tcPr>
          <w:p w14:paraId="2866885F">
            <w:pPr>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 </w:t>
            </w:r>
          </w:p>
        </w:tc>
      </w:tr>
      <w:tr w14:paraId="326FC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828" w:type="dxa"/>
            <w:vMerge w:val="continue"/>
            <w:noWrap w:val="0"/>
            <w:vAlign w:val="top"/>
          </w:tcPr>
          <w:p w14:paraId="6711C3AB">
            <w:pPr>
              <w:rPr>
                <w:rFonts w:hint="default" w:ascii="Times New Roman" w:hAnsi="Times New Roman" w:cs="Times New Roman"/>
                <w:b/>
                <w:color w:val="auto"/>
                <w:sz w:val="28"/>
                <w:szCs w:val="28"/>
                <w:highlight w:val="none"/>
              </w:rPr>
            </w:pPr>
          </w:p>
        </w:tc>
        <w:tc>
          <w:tcPr>
            <w:tcW w:w="1520" w:type="dxa"/>
            <w:noWrap w:val="0"/>
            <w:vAlign w:val="center"/>
          </w:tcPr>
          <w:p w14:paraId="6C9A4F88">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通讯地址</w:t>
            </w:r>
          </w:p>
        </w:tc>
        <w:tc>
          <w:tcPr>
            <w:tcW w:w="2722" w:type="dxa"/>
            <w:noWrap w:val="0"/>
            <w:vAlign w:val="center"/>
          </w:tcPr>
          <w:p w14:paraId="1B5201F3">
            <w:pPr>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 </w:t>
            </w:r>
          </w:p>
        </w:tc>
        <w:tc>
          <w:tcPr>
            <w:tcW w:w="1417" w:type="dxa"/>
            <w:noWrap w:val="0"/>
            <w:vAlign w:val="center"/>
          </w:tcPr>
          <w:p w14:paraId="0507399A">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邮政编码</w:t>
            </w:r>
          </w:p>
        </w:tc>
        <w:tc>
          <w:tcPr>
            <w:tcW w:w="2461" w:type="dxa"/>
            <w:noWrap w:val="0"/>
            <w:vAlign w:val="center"/>
          </w:tcPr>
          <w:p w14:paraId="175C3D03">
            <w:pPr>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 xml:space="preserve"> </w:t>
            </w:r>
          </w:p>
        </w:tc>
      </w:tr>
      <w:tr w14:paraId="516E7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5" w:hRule="atLeast"/>
        </w:trPr>
        <w:tc>
          <w:tcPr>
            <w:tcW w:w="828" w:type="dxa"/>
            <w:vMerge w:val="restart"/>
            <w:noWrap w:val="0"/>
            <w:textDirection w:val="tbRlV"/>
            <w:vAlign w:val="center"/>
          </w:tcPr>
          <w:p w14:paraId="05576ACD">
            <w:pPr>
              <w:ind w:left="113" w:right="113"/>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b w:val="0"/>
                <w:bCs w:val="0"/>
                <w:color w:val="auto"/>
                <w:sz w:val="28"/>
                <w:szCs w:val="28"/>
                <w:highlight w:val="none"/>
              </w:rPr>
              <w:t>乙</w:t>
            </w:r>
            <w:r>
              <w:rPr>
                <w:rFonts w:hint="default" w:ascii="Times New Roman" w:hAnsi="Times New Roman" w:eastAsia="黑体" w:cs="Times New Roman"/>
                <w:b w:val="0"/>
                <w:bCs w:val="0"/>
                <w:color w:val="auto"/>
                <w:sz w:val="28"/>
                <w:szCs w:val="28"/>
                <w:highlight w:val="none"/>
                <w:lang w:eastAsia="zh-CN"/>
              </w:rPr>
              <w:t xml:space="preserve">  </w:t>
            </w:r>
            <w:r>
              <w:rPr>
                <w:rFonts w:hint="default" w:ascii="Times New Roman" w:hAnsi="Times New Roman" w:eastAsia="黑体" w:cs="Times New Roman"/>
                <w:b w:val="0"/>
                <w:bCs w:val="0"/>
                <w:color w:val="auto"/>
                <w:sz w:val="28"/>
                <w:szCs w:val="28"/>
                <w:highlight w:val="none"/>
              </w:rPr>
              <w:t>方</w:t>
            </w:r>
          </w:p>
        </w:tc>
        <w:tc>
          <w:tcPr>
            <w:tcW w:w="1520" w:type="dxa"/>
            <w:noWrap w:val="0"/>
            <w:vAlign w:val="center"/>
          </w:tcPr>
          <w:p w14:paraId="33AF9F42">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承接主体</w:t>
            </w:r>
          </w:p>
        </w:tc>
        <w:tc>
          <w:tcPr>
            <w:tcW w:w="6600" w:type="dxa"/>
            <w:gridSpan w:val="3"/>
            <w:noWrap w:val="0"/>
            <w:vAlign w:val="center"/>
          </w:tcPr>
          <w:p w14:paraId="431089E0">
            <w:pPr>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法定代表人或者代理人签字：</w:t>
            </w:r>
          </w:p>
          <w:p w14:paraId="46CB2D6F">
            <w:pPr>
              <w:rPr>
                <w:rFonts w:hint="default" w:ascii="Times New Roman" w:hAnsi="Times New Roman" w:cs="Times New Roman"/>
                <w:color w:val="auto"/>
                <w:sz w:val="28"/>
                <w:szCs w:val="28"/>
                <w:highlight w:val="none"/>
                <w:lang w:eastAsia="zh-CN"/>
              </w:rPr>
            </w:pPr>
          </w:p>
          <w:p w14:paraId="7D56EE32">
            <w:pPr>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单位公章：</w:t>
            </w:r>
          </w:p>
          <w:p w14:paraId="1CDC52FC">
            <w:pPr>
              <w:rPr>
                <w:rFonts w:hint="default" w:ascii="Times New Roman" w:hAnsi="Times New Roman" w:cs="Times New Roman"/>
                <w:color w:val="auto"/>
                <w:sz w:val="28"/>
                <w:szCs w:val="28"/>
                <w:highlight w:val="none"/>
                <w:lang w:eastAsia="zh-CN"/>
              </w:rPr>
            </w:pPr>
          </w:p>
          <w:p w14:paraId="1B3628AA">
            <w:pPr>
              <w:ind w:firstLine="3360" w:firstLineChars="12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年   月   日</w:t>
            </w:r>
          </w:p>
        </w:tc>
      </w:tr>
      <w:tr w14:paraId="5DE36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828" w:type="dxa"/>
            <w:vMerge w:val="continue"/>
            <w:noWrap w:val="0"/>
            <w:vAlign w:val="top"/>
          </w:tcPr>
          <w:p w14:paraId="09E1E7F7">
            <w:pPr>
              <w:rPr>
                <w:rFonts w:hint="default" w:ascii="Times New Roman" w:hAnsi="Times New Roman" w:cs="Times New Roman"/>
                <w:b/>
                <w:color w:val="auto"/>
                <w:sz w:val="28"/>
                <w:szCs w:val="28"/>
                <w:highlight w:val="none"/>
                <w:lang w:eastAsia="zh-CN"/>
              </w:rPr>
            </w:pPr>
          </w:p>
        </w:tc>
        <w:tc>
          <w:tcPr>
            <w:tcW w:w="1520" w:type="dxa"/>
            <w:noWrap w:val="0"/>
            <w:vAlign w:val="center"/>
          </w:tcPr>
          <w:p w14:paraId="38C8F350">
            <w:pPr>
              <w:jc w:val="center"/>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rPr>
              <w:t>业务负责</w:t>
            </w:r>
          </w:p>
          <w:p w14:paraId="0AD08F92">
            <w:pPr>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科室</w:t>
            </w:r>
          </w:p>
        </w:tc>
        <w:tc>
          <w:tcPr>
            <w:tcW w:w="6600" w:type="dxa"/>
            <w:gridSpan w:val="3"/>
            <w:noWrap w:val="0"/>
            <w:vAlign w:val="center"/>
          </w:tcPr>
          <w:p w14:paraId="6C7D8B5E">
            <w:pPr>
              <w:ind w:firstLine="6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rPr>
              <w:t>负责人签字：</w:t>
            </w:r>
          </w:p>
          <w:p w14:paraId="3ABE66C0">
            <w:pPr>
              <w:ind w:firstLine="3360" w:firstLineChars="1200"/>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年   月   日</w:t>
            </w:r>
          </w:p>
        </w:tc>
      </w:tr>
      <w:tr w14:paraId="0C776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828" w:type="dxa"/>
            <w:vMerge w:val="continue"/>
            <w:noWrap w:val="0"/>
            <w:vAlign w:val="top"/>
          </w:tcPr>
          <w:p w14:paraId="28EDB659">
            <w:pPr>
              <w:rPr>
                <w:rFonts w:hint="default" w:ascii="Times New Roman" w:hAnsi="Times New Roman" w:cs="Times New Roman"/>
                <w:b/>
                <w:color w:val="auto"/>
                <w:sz w:val="28"/>
                <w:szCs w:val="28"/>
                <w:highlight w:val="none"/>
              </w:rPr>
            </w:pPr>
          </w:p>
        </w:tc>
        <w:tc>
          <w:tcPr>
            <w:tcW w:w="1520" w:type="dxa"/>
            <w:noWrap w:val="0"/>
            <w:vAlign w:val="center"/>
          </w:tcPr>
          <w:p w14:paraId="4C30A2BB">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联系人</w:t>
            </w:r>
          </w:p>
        </w:tc>
        <w:tc>
          <w:tcPr>
            <w:tcW w:w="2722" w:type="dxa"/>
            <w:noWrap w:val="0"/>
            <w:vAlign w:val="center"/>
          </w:tcPr>
          <w:p w14:paraId="01822E74">
            <w:pPr>
              <w:rPr>
                <w:rFonts w:hint="default" w:ascii="Times New Roman" w:hAnsi="Times New Roman" w:cs="Times New Roman"/>
                <w:color w:val="auto"/>
                <w:sz w:val="28"/>
                <w:szCs w:val="28"/>
                <w:highlight w:val="none"/>
              </w:rPr>
            </w:pPr>
          </w:p>
        </w:tc>
        <w:tc>
          <w:tcPr>
            <w:tcW w:w="1417" w:type="dxa"/>
            <w:noWrap w:val="0"/>
            <w:vAlign w:val="center"/>
          </w:tcPr>
          <w:p w14:paraId="52392126">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联系电话</w:t>
            </w:r>
          </w:p>
        </w:tc>
        <w:tc>
          <w:tcPr>
            <w:tcW w:w="2461" w:type="dxa"/>
            <w:noWrap w:val="0"/>
            <w:vAlign w:val="top"/>
          </w:tcPr>
          <w:p w14:paraId="68415F78">
            <w:pPr>
              <w:rPr>
                <w:rFonts w:hint="default" w:ascii="Times New Roman" w:hAnsi="Times New Roman" w:cs="Times New Roman"/>
                <w:b/>
                <w:color w:val="auto"/>
                <w:sz w:val="28"/>
                <w:szCs w:val="28"/>
                <w:highlight w:val="none"/>
              </w:rPr>
            </w:pPr>
          </w:p>
        </w:tc>
      </w:tr>
      <w:tr w14:paraId="4B6FE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828" w:type="dxa"/>
            <w:vMerge w:val="continue"/>
            <w:noWrap w:val="0"/>
            <w:vAlign w:val="top"/>
          </w:tcPr>
          <w:p w14:paraId="57110446">
            <w:pPr>
              <w:rPr>
                <w:rFonts w:hint="default" w:ascii="Times New Roman" w:hAnsi="Times New Roman" w:cs="Times New Roman"/>
                <w:b/>
                <w:color w:val="auto"/>
                <w:sz w:val="28"/>
                <w:szCs w:val="28"/>
                <w:highlight w:val="none"/>
              </w:rPr>
            </w:pPr>
          </w:p>
        </w:tc>
        <w:tc>
          <w:tcPr>
            <w:tcW w:w="1520" w:type="dxa"/>
            <w:noWrap w:val="0"/>
            <w:vAlign w:val="center"/>
          </w:tcPr>
          <w:p w14:paraId="34005B5B">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通讯地址</w:t>
            </w:r>
          </w:p>
        </w:tc>
        <w:tc>
          <w:tcPr>
            <w:tcW w:w="2722" w:type="dxa"/>
            <w:noWrap w:val="0"/>
            <w:vAlign w:val="center"/>
          </w:tcPr>
          <w:p w14:paraId="67D35F40">
            <w:pPr>
              <w:rPr>
                <w:rFonts w:hint="default" w:ascii="Times New Roman" w:hAnsi="Times New Roman" w:cs="Times New Roman"/>
                <w:color w:val="auto"/>
                <w:sz w:val="28"/>
                <w:szCs w:val="28"/>
                <w:highlight w:val="none"/>
              </w:rPr>
            </w:pPr>
          </w:p>
        </w:tc>
        <w:tc>
          <w:tcPr>
            <w:tcW w:w="1417" w:type="dxa"/>
            <w:noWrap w:val="0"/>
            <w:vAlign w:val="center"/>
          </w:tcPr>
          <w:p w14:paraId="2526F1A8">
            <w:pPr>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邮政编码</w:t>
            </w:r>
          </w:p>
        </w:tc>
        <w:tc>
          <w:tcPr>
            <w:tcW w:w="2461" w:type="dxa"/>
            <w:noWrap w:val="0"/>
            <w:vAlign w:val="top"/>
          </w:tcPr>
          <w:p w14:paraId="6B986E26">
            <w:pPr>
              <w:rPr>
                <w:rFonts w:hint="default" w:ascii="Times New Roman" w:hAnsi="Times New Roman" w:cs="Times New Roman"/>
                <w:b/>
                <w:color w:val="auto"/>
                <w:sz w:val="28"/>
                <w:szCs w:val="28"/>
                <w:highlight w:val="none"/>
              </w:rPr>
            </w:pPr>
          </w:p>
        </w:tc>
      </w:tr>
    </w:tbl>
    <w:p w14:paraId="7FDF19E5">
      <w:pPr>
        <w:rPr>
          <w:rFonts w:hint="default" w:ascii="Times New Roman" w:hAnsi="Times New Roman" w:cs="Times New Roman"/>
          <w:color w:val="auto"/>
          <w:highlight w:val="none"/>
          <w:lang w:eastAsia="zh-CN"/>
        </w:rPr>
      </w:pPr>
    </w:p>
    <w:p w14:paraId="41DC86AB">
      <w:pP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br w:type="page"/>
      </w:r>
    </w:p>
    <w:p w14:paraId="596828B5">
      <w:pPr>
        <w:pStyle w:val="2"/>
        <w:numPr>
          <w:ilvl w:val="0"/>
          <w:numId w:val="0"/>
        </w:numPr>
        <w:spacing w:before="0" w:after="0" w:line="240" w:lineRule="auto"/>
        <w:rPr>
          <w:rFonts w:hint="eastAsia" w:ascii="仿宋" w:hAnsi="仿宋" w:eastAsia="仿宋" w:cs="仿宋"/>
          <w:color w:val="auto"/>
          <w:highlight w:val="none"/>
        </w:rPr>
      </w:pPr>
      <w:bookmarkStart w:id="49" w:name="_Toc29549"/>
      <w:r>
        <w:rPr>
          <w:rFonts w:hint="eastAsia" w:ascii="仿宋" w:hAnsi="仿宋" w:eastAsia="仿宋" w:cs="仿宋"/>
          <w:b/>
          <w:bCs w:val="0"/>
          <w:color w:val="auto"/>
          <w:kern w:val="44"/>
          <w:sz w:val="44"/>
          <w:szCs w:val="44"/>
          <w:highlight w:val="none"/>
          <w:lang w:val="en-US" w:eastAsia="zh-CN" w:bidi="ar-SA"/>
        </w:rPr>
        <w:t>第六章</w:t>
      </w:r>
      <w:bookmarkStart w:id="50" w:name="_Toc804"/>
      <w:bookmarkStart w:id="51" w:name="_Toc16000"/>
      <w:bookmarkStart w:id="52" w:name="_Toc10721"/>
      <w:r>
        <w:rPr>
          <w:rFonts w:hint="eastAsia" w:ascii="仿宋" w:hAnsi="仿宋" w:eastAsia="仿宋" w:cs="仿宋"/>
          <w:b/>
          <w:bCs w:val="0"/>
          <w:color w:val="auto"/>
          <w:kern w:val="44"/>
          <w:sz w:val="44"/>
          <w:szCs w:val="44"/>
          <w:highlight w:val="none"/>
          <w:lang w:val="en-US" w:eastAsia="zh-CN" w:bidi="ar-SA"/>
        </w:rPr>
        <w:t xml:space="preserve">  </w:t>
      </w:r>
      <w:r>
        <w:rPr>
          <w:rFonts w:hint="eastAsia" w:ascii="仿宋" w:hAnsi="仿宋" w:eastAsia="仿宋" w:cs="仿宋"/>
          <w:b/>
          <w:bCs w:val="0"/>
          <w:color w:val="auto"/>
          <w:highlight w:val="none"/>
        </w:rPr>
        <w:t>响应文件格式</w:t>
      </w:r>
      <w:bookmarkEnd w:id="46"/>
      <w:bookmarkEnd w:id="47"/>
      <w:bookmarkEnd w:id="49"/>
      <w:bookmarkEnd w:id="50"/>
      <w:bookmarkEnd w:id="51"/>
      <w:bookmarkEnd w:id="52"/>
    </w:p>
    <w:p w14:paraId="2EAB0A5B">
      <w:pPr>
        <w:rPr>
          <w:rFonts w:hint="eastAsia" w:ascii="仿宋" w:hAnsi="仿宋" w:eastAsia="仿宋" w:cs="仿宋"/>
          <w:color w:val="auto"/>
          <w:sz w:val="24"/>
          <w:highlight w:val="none"/>
        </w:rPr>
      </w:pPr>
    </w:p>
    <w:p w14:paraId="638F7B50">
      <w:pPr>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响应文件封面</w:t>
      </w:r>
    </w:p>
    <w:p w14:paraId="24F421E8">
      <w:pPr>
        <w:spacing w:line="360" w:lineRule="auto"/>
        <w:rPr>
          <w:rFonts w:hint="eastAsia" w:ascii="仿宋" w:hAnsi="仿宋" w:eastAsia="仿宋" w:cs="仿宋"/>
          <w:b/>
          <w:color w:val="auto"/>
          <w:sz w:val="28"/>
          <w:highlight w:val="none"/>
        </w:rPr>
      </w:pPr>
    </w:p>
    <w:p w14:paraId="7103471D">
      <w:pPr>
        <w:spacing w:line="360" w:lineRule="auto"/>
        <w:jc w:val="center"/>
        <w:rPr>
          <w:rFonts w:hint="eastAsia" w:ascii="仿宋" w:hAnsi="仿宋" w:eastAsia="仿宋" w:cs="仿宋"/>
          <w:color w:val="auto"/>
          <w:sz w:val="28"/>
          <w:highlight w:val="none"/>
        </w:rPr>
      </w:pPr>
    </w:p>
    <w:p w14:paraId="74A234CD">
      <w:pPr>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bookmarkStart w:id="53" w:name="_Toc18205"/>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标段名称</w:t>
      </w:r>
      <w:r>
        <w:rPr>
          <w:rFonts w:hint="eastAsia" w:ascii="仿宋" w:hAnsi="仿宋" w:eastAsia="仿宋" w:cs="仿宋"/>
          <w:color w:val="auto"/>
          <w:sz w:val="28"/>
          <w:szCs w:val="28"/>
          <w:highlight w:val="none"/>
        </w:rPr>
        <w:t>）</w:t>
      </w:r>
      <w:bookmarkEnd w:id="53"/>
    </w:p>
    <w:p w14:paraId="1D2DBC4B">
      <w:pPr>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bookmarkStart w:id="54" w:name="_Toc19484"/>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标段编号</w:t>
      </w:r>
      <w:r>
        <w:rPr>
          <w:rFonts w:hint="eastAsia" w:ascii="仿宋" w:hAnsi="仿宋" w:eastAsia="仿宋" w:cs="仿宋"/>
          <w:color w:val="auto"/>
          <w:sz w:val="28"/>
          <w:szCs w:val="28"/>
          <w:highlight w:val="none"/>
        </w:rPr>
        <w:t>）</w:t>
      </w:r>
      <w:bookmarkEnd w:id="54"/>
    </w:p>
    <w:p w14:paraId="399BE60B">
      <w:pPr>
        <w:spacing w:line="360" w:lineRule="auto"/>
        <w:jc w:val="center"/>
        <w:outlineLvl w:val="9"/>
        <w:rPr>
          <w:rFonts w:hint="eastAsia" w:ascii="仿宋" w:hAnsi="仿宋" w:eastAsia="仿宋" w:cs="仿宋"/>
          <w:color w:val="auto"/>
          <w:sz w:val="28"/>
          <w:szCs w:val="28"/>
          <w:highlight w:val="none"/>
        </w:rPr>
      </w:pPr>
    </w:p>
    <w:p w14:paraId="4545EC80">
      <w:pPr>
        <w:spacing w:line="36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8B46A54">
      <w:pPr>
        <w:spacing w:line="360" w:lineRule="auto"/>
        <w:jc w:val="center"/>
        <w:rPr>
          <w:rFonts w:hint="eastAsia" w:ascii="仿宋" w:hAnsi="仿宋" w:eastAsia="仿宋" w:cs="仿宋"/>
          <w:color w:val="auto"/>
          <w:sz w:val="28"/>
          <w:highlight w:val="none"/>
        </w:rPr>
      </w:pPr>
    </w:p>
    <w:p w14:paraId="1499B9EB">
      <w:pPr>
        <w:spacing w:line="360" w:lineRule="auto"/>
        <w:jc w:val="center"/>
        <w:rPr>
          <w:rFonts w:hint="eastAsia" w:ascii="仿宋" w:hAnsi="仿宋" w:eastAsia="仿宋" w:cs="仿宋"/>
          <w:color w:val="auto"/>
          <w:sz w:val="28"/>
          <w:highlight w:val="none"/>
        </w:rPr>
      </w:pPr>
    </w:p>
    <w:p w14:paraId="7C2BEF71">
      <w:pPr>
        <w:spacing w:line="360" w:lineRule="auto"/>
        <w:jc w:val="center"/>
        <w:outlineLvl w:val="9"/>
        <w:rPr>
          <w:rFonts w:hint="eastAsia" w:ascii="仿宋" w:hAnsi="仿宋" w:eastAsia="仿宋" w:cs="仿宋"/>
          <w:b/>
          <w:color w:val="auto"/>
          <w:sz w:val="72"/>
          <w:szCs w:val="72"/>
          <w:highlight w:val="none"/>
        </w:rPr>
      </w:pPr>
      <w:bookmarkStart w:id="55" w:name="_Toc3702"/>
      <w:bookmarkStart w:id="56" w:name="_Toc25547"/>
      <w:r>
        <w:rPr>
          <w:rFonts w:hint="eastAsia" w:ascii="仿宋" w:hAnsi="仿宋" w:eastAsia="仿宋" w:cs="仿宋"/>
          <w:b/>
          <w:color w:val="auto"/>
          <w:sz w:val="72"/>
          <w:szCs w:val="72"/>
          <w:highlight w:val="none"/>
        </w:rPr>
        <w:t>响应文件</w:t>
      </w:r>
      <w:bookmarkEnd w:id="55"/>
      <w:bookmarkEnd w:id="56"/>
    </w:p>
    <w:p w14:paraId="4A8D9534">
      <w:pPr>
        <w:spacing w:line="360" w:lineRule="auto"/>
        <w:jc w:val="center"/>
        <w:rPr>
          <w:rFonts w:hint="eastAsia" w:ascii="仿宋" w:hAnsi="仿宋" w:eastAsia="仿宋" w:cs="仿宋"/>
          <w:color w:val="auto"/>
          <w:sz w:val="28"/>
          <w:highlight w:val="none"/>
        </w:rPr>
      </w:pPr>
    </w:p>
    <w:p w14:paraId="0940DFC1">
      <w:pPr>
        <w:spacing w:line="360" w:lineRule="auto"/>
        <w:rPr>
          <w:rFonts w:hint="eastAsia" w:ascii="仿宋" w:hAnsi="仿宋" w:eastAsia="仿宋" w:cs="仿宋"/>
          <w:b/>
          <w:color w:val="auto"/>
          <w:sz w:val="28"/>
          <w:highlight w:val="none"/>
        </w:rPr>
      </w:pPr>
    </w:p>
    <w:p w14:paraId="3C8FB127">
      <w:pPr>
        <w:spacing w:line="360" w:lineRule="auto"/>
        <w:jc w:val="center"/>
        <w:rPr>
          <w:rFonts w:hint="eastAsia" w:ascii="仿宋" w:hAnsi="仿宋" w:eastAsia="仿宋" w:cs="仿宋"/>
          <w:b/>
          <w:color w:val="auto"/>
          <w:sz w:val="28"/>
          <w:highlight w:val="none"/>
        </w:rPr>
      </w:pPr>
    </w:p>
    <w:p w14:paraId="4CE8CFAD">
      <w:pPr>
        <w:spacing w:line="360" w:lineRule="auto"/>
        <w:jc w:val="center"/>
        <w:rPr>
          <w:rFonts w:hint="eastAsia" w:ascii="仿宋" w:hAnsi="仿宋" w:eastAsia="仿宋" w:cs="仿宋"/>
          <w:b/>
          <w:color w:val="auto"/>
          <w:sz w:val="28"/>
          <w:highlight w:val="none"/>
        </w:rPr>
      </w:pPr>
    </w:p>
    <w:p w14:paraId="25B50A1A">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3AD419C3">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CE5C5DB">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5A8464E3">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6632C622">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（年/月/日）</w:t>
      </w:r>
    </w:p>
    <w:p w14:paraId="1A9CCA8A">
      <w:pPr>
        <w:spacing w:line="360" w:lineRule="auto"/>
        <w:rPr>
          <w:rFonts w:hint="eastAsia" w:ascii="仿宋" w:hAnsi="仿宋" w:eastAsia="仿宋" w:cs="仿宋"/>
          <w:color w:val="auto"/>
          <w:sz w:val="28"/>
          <w:szCs w:val="28"/>
          <w:highlight w:val="none"/>
        </w:rPr>
      </w:pPr>
    </w:p>
    <w:p w14:paraId="03767712">
      <w:pPr>
        <w:spacing w:line="360" w:lineRule="auto"/>
        <w:rPr>
          <w:rFonts w:hint="eastAsia" w:ascii="仿宋" w:hAnsi="仿宋" w:eastAsia="仿宋" w:cs="仿宋"/>
          <w:color w:val="auto"/>
          <w:sz w:val="28"/>
          <w:szCs w:val="28"/>
          <w:highlight w:val="none"/>
        </w:rPr>
      </w:pPr>
    </w:p>
    <w:p w14:paraId="766D9E18">
      <w:pPr>
        <w:pStyle w:val="33"/>
        <w:ind w:left="0" w:leftChars="0" w:firstLine="0" w:firstLineChars="0"/>
        <w:rPr>
          <w:rFonts w:hint="eastAsia" w:ascii="仿宋" w:hAnsi="仿宋" w:eastAsia="仿宋" w:cs="仿宋"/>
          <w:color w:val="auto"/>
          <w:highlight w:val="none"/>
        </w:rPr>
      </w:pPr>
    </w:p>
    <w:p w14:paraId="5383EF7F">
      <w:pPr>
        <w:pStyle w:val="16"/>
        <w:spacing w:after="0" w:line="240" w:lineRule="auto"/>
        <w:ind w:left="0"/>
        <w:jc w:val="center"/>
        <w:outlineLvl w:val="1"/>
        <w:rPr>
          <w:color w:val="auto"/>
          <w:sz w:val="35"/>
          <w:szCs w:val="35"/>
          <w:highlight w:val="none"/>
        </w:rPr>
      </w:pPr>
      <w:r>
        <w:rPr>
          <w:b/>
          <w:bCs/>
          <w:color w:val="auto"/>
          <w:spacing w:val="4"/>
          <w:sz w:val="35"/>
          <w:szCs w:val="35"/>
          <w:highlight w:val="none"/>
        </w:rPr>
        <w:t>投标响应文件的编写</w:t>
      </w:r>
    </w:p>
    <w:p w14:paraId="1F05FC14">
      <w:pPr>
        <w:pStyle w:val="16"/>
        <w:spacing w:after="0" w:line="240" w:lineRule="auto"/>
        <w:ind w:right="0"/>
        <w:jc w:val="left"/>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投标响应文件的组成和编制顺序：</w:t>
      </w:r>
    </w:p>
    <w:p w14:paraId="5EB74207">
      <w:pPr>
        <w:pStyle w:val="16"/>
        <w:spacing w:after="0" w:line="240" w:lineRule="auto"/>
        <w:ind w:left="0" w:right="0" w:firstLine="544"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请各投标人严格按照以下顺序编制投标响应文件，如未按要求编</w:t>
      </w:r>
      <w:r>
        <w:rPr>
          <w:rFonts w:hint="eastAsia" w:ascii="仿宋" w:hAnsi="仿宋" w:eastAsia="仿宋" w:cs="仿宋"/>
          <w:color w:val="auto"/>
          <w:spacing w:val="-2"/>
          <w:sz w:val="28"/>
          <w:szCs w:val="28"/>
          <w:highlight w:val="none"/>
        </w:rPr>
        <w:t>制投标响应文件的，投标无效。</w:t>
      </w:r>
    </w:p>
    <w:p w14:paraId="390AEFDF">
      <w:pPr>
        <w:pStyle w:val="16"/>
        <w:spacing w:after="0" w:line="240" w:lineRule="auto"/>
        <w:ind w:left="0" w:righ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1.磋商函</w:t>
      </w:r>
      <w:r>
        <w:rPr>
          <w:rFonts w:hint="eastAsia" w:ascii="仿宋" w:hAnsi="仿宋" w:eastAsia="仿宋" w:cs="仿宋"/>
          <w:color w:val="auto"/>
          <w:spacing w:val="-15"/>
          <w:sz w:val="28"/>
          <w:szCs w:val="28"/>
          <w:highlight w:val="none"/>
        </w:rPr>
        <w:t>；</w:t>
      </w:r>
    </w:p>
    <w:p w14:paraId="0500F19A">
      <w:pPr>
        <w:pStyle w:val="16"/>
        <w:spacing w:after="0" w:line="240" w:lineRule="auto"/>
        <w:ind w:left="0" w:right="0" w:firstLine="564"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2.磋商保证书</w:t>
      </w:r>
      <w:r>
        <w:rPr>
          <w:rFonts w:hint="eastAsia" w:ascii="仿宋" w:hAnsi="仿宋" w:eastAsia="仿宋" w:cs="仿宋"/>
          <w:color w:val="auto"/>
          <w:spacing w:val="-18"/>
          <w:sz w:val="28"/>
          <w:szCs w:val="28"/>
          <w:highlight w:val="none"/>
        </w:rPr>
        <w:t>；</w:t>
      </w:r>
    </w:p>
    <w:p w14:paraId="382DFD6D">
      <w:pPr>
        <w:pStyle w:val="16"/>
        <w:spacing w:after="0" w:line="240" w:lineRule="auto"/>
        <w:ind w:left="0" w:right="0" w:firstLine="564"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3.法定代表人授权委托书</w:t>
      </w:r>
      <w:r>
        <w:rPr>
          <w:rFonts w:hint="eastAsia" w:ascii="仿宋" w:hAnsi="仿宋" w:eastAsia="仿宋" w:cs="仿宋"/>
          <w:color w:val="auto"/>
          <w:spacing w:val="-65"/>
          <w:sz w:val="28"/>
          <w:szCs w:val="28"/>
          <w:highlight w:val="none"/>
        </w:rPr>
        <w:t>；（</w:t>
      </w:r>
      <w:r>
        <w:rPr>
          <w:rFonts w:hint="eastAsia" w:ascii="仿宋" w:hAnsi="仿宋" w:eastAsia="仿宋" w:cs="仿宋"/>
          <w:color w:val="auto"/>
          <w:spacing w:val="1"/>
          <w:sz w:val="28"/>
          <w:szCs w:val="28"/>
          <w:highlight w:val="none"/>
        </w:rPr>
        <w:t>法定代表人参加附法定代表人</w:t>
      </w:r>
      <w:r>
        <w:rPr>
          <w:rFonts w:hint="eastAsia" w:ascii="仿宋" w:hAnsi="仿宋" w:eastAsia="仿宋" w:cs="仿宋"/>
          <w:color w:val="auto"/>
          <w:sz w:val="28"/>
          <w:szCs w:val="28"/>
          <w:highlight w:val="none"/>
        </w:rPr>
        <w:t>证明</w:t>
      </w:r>
      <w:r>
        <w:rPr>
          <w:rFonts w:hint="eastAsia" w:ascii="仿宋" w:hAnsi="仿宋" w:eastAsia="仿宋" w:cs="仿宋"/>
          <w:color w:val="auto"/>
          <w:spacing w:val="-2"/>
          <w:sz w:val="28"/>
          <w:szCs w:val="28"/>
          <w:highlight w:val="none"/>
        </w:rPr>
        <w:t>书、见第三部分 投标响应文件格式）</w:t>
      </w:r>
    </w:p>
    <w:p w14:paraId="3CC953BC">
      <w:pPr>
        <w:pStyle w:val="16"/>
        <w:spacing w:after="0" w:line="240" w:lineRule="auto"/>
        <w:ind w:left="0" w:right="0" w:firstLine="564"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rPr>
        <w:t>4.</w:t>
      </w:r>
      <w:r>
        <w:rPr>
          <w:rFonts w:hint="eastAsia" w:ascii="仿宋" w:hAnsi="仿宋" w:eastAsia="仿宋" w:cs="仿宋"/>
          <w:color w:val="auto"/>
          <w:spacing w:val="1"/>
          <w:sz w:val="28"/>
          <w:szCs w:val="28"/>
          <w:highlight w:val="none"/>
          <w:lang w:eastAsia="zh-CN"/>
        </w:rPr>
        <w:t>投标供应商资格文件</w:t>
      </w:r>
    </w:p>
    <w:p w14:paraId="0FCF7A22">
      <w:pPr>
        <w:pStyle w:val="16"/>
        <w:spacing w:after="0" w:line="240" w:lineRule="auto"/>
        <w:ind w:left="0" w:right="0" w:firstLine="564"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5.报价一览表</w:t>
      </w:r>
      <w:r>
        <w:rPr>
          <w:rFonts w:hint="eastAsia" w:ascii="仿宋" w:hAnsi="仿宋" w:eastAsia="仿宋" w:cs="仿宋"/>
          <w:color w:val="auto"/>
          <w:spacing w:val="-17"/>
          <w:sz w:val="28"/>
          <w:szCs w:val="28"/>
          <w:highlight w:val="none"/>
        </w:rPr>
        <w:t>；</w:t>
      </w:r>
    </w:p>
    <w:p w14:paraId="4A74B85D">
      <w:pPr>
        <w:pStyle w:val="16"/>
        <w:spacing w:after="0" w:line="240" w:lineRule="auto"/>
        <w:ind w:left="0" w:right="0" w:firstLine="54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6.</w:t>
      </w:r>
      <w:r>
        <w:rPr>
          <w:rFonts w:hint="eastAsia" w:ascii="仿宋" w:hAnsi="仿宋" w:eastAsia="仿宋" w:cs="仿宋"/>
          <w:color w:val="auto"/>
          <w:spacing w:val="1"/>
          <w:sz w:val="28"/>
          <w:szCs w:val="28"/>
          <w:highlight w:val="none"/>
        </w:rPr>
        <w:t>服务需求及要求偏离表</w:t>
      </w:r>
      <w:r>
        <w:rPr>
          <w:rFonts w:hint="eastAsia" w:ascii="仿宋" w:hAnsi="仿宋" w:eastAsia="仿宋" w:cs="仿宋"/>
          <w:color w:val="auto"/>
          <w:spacing w:val="-21"/>
          <w:sz w:val="28"/>
          <w:szCs w:val="28"/>
          <w:highlight w:val="none"/>
        </w:rPr>
        <w:t>；</w:t>
      </w:r>
    </w:p>
    <w:p w14:paraId="46A324E1">
      <w:pPr>
        <w:pStyle w:val="16"/>
        <w:spacing w:after="0" w:line="240" w:lineRule="auto"/>
        <w:ind w:left="0" w:right="0" w:firstLine="564" w:firstLineChars="200"/>
        <w:jc w:val="left"/>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1"/>
          <w:sz w:val="28"/>
          <w:szCs w:val="28"/>
          <w:highlight w:val="none"/>
        </w:rPr>
        <w:t>7.</w:t>
      </w:r>
      <w:r>
        <w:rPr>
          <w:rFonts w:hint="eastAsia" w:ascii="仿宋" w:hAnsi="仿宋" w:eastAsia="仿宋" w:cs="仿宋"/>
          <w:color w:val="auto"/>
          <w:spacing w:val="-5"/>
          <w:sz w:val="28"/>
          <w:szCs w:val="28"/>
          <w:highlight w:val="none"/>
          <w:lang w:eastAsia="zh-CN"/>
        </w:rPr>
        <w:t>技术文件；</w:t>
      </w:r>
    </w:p>
    <w:p w14:paraId="7AC4FB30">
      <w:pPr>
        <w:pStyle w:val="16"/>
        <w:spacing w:after="0" w:line="240" w:lineRule="auto"/>
        <w:ind w:left="0" w:right="0" w:firstLine="544" w:firstLineChars="200"/>
        <w:jc w:val="left"/>
        <w:rPr>
          <w:rFonts w:hint="eastAsia" w:ascii="仿宋" w:hAnsi="仿宋" w:eastAsia="仿宋" w:cs="仿宋"/>
          <w:color w:val="auto"/>
          <w:spacing w:val="-13"/>
          <w:sz w:val="28"/>
          <w:szCs w:val="28"/>
          <w:highlight w:val="none"/>
        </w:rPr>
      </w:pPr>
      <w:r>
        <w:rPr>
          <w:rFonts w:hint="eastAsia" w:ascii="仿宋" w:hAnsi="仿宋" w:eastAsia="仿宋" w:cs="仿宋"/>
          <w:color w:val="auto"/>
          <w:spacing w:val="-4"/>
          <w:sz w:val="28"/>
          <w:szCs w:val="28"/>
          <w:highlight w:val="none"/>
        </w:rPr>
        <w:t>8.</w:t>
      </w:r>
      <w:r>
        <w:rPr>
          <w:rFonts w:hint="eastAsia" w:ascii="仿宋" w:hAnsi="仿宋" w:eastAsia="仿宋" w:cs="仿宋"/>
          <w:color w:val="auto"/>
          <w:spacing w:val="1"/>
          <w:sz w:val="28"/>
          <w:szCs w:val="28"/>
          <w:highlight w:val="none"/>
        </w:rPr>
        <w:t>参与此项目人员配备表</w:t>
      </w:r>
      <w:r>
        <w:rPr>
          <w:rFonts w:hint="eastAsia" w:ascii="仿宋" w:hAnsi="仿宋" w:eastAsia="仿宋" w:cs="仿宋"/>
          <w:color w:val="auto"/>
          <w:spacing w:val="-21"/>
          <w:sz w:val="28"/>
          <w:szCs w:val="28"/>
          <w:highlight w:val="none"/>
        </w:rPr>
        <w:t>；</w:t>
      </w:r>
    </w:p>
    <w:p w14:paraId="455133D0">
      <w:pPr>
        <w:pStyle w:val="16"/>
        <w:spacing w:after="0" w:line="240" w:lineRule="auto"/>
        <w:ind w:left="0" w:righ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r>
        <w:rPr>
          <w:rFonts w:hint="eastAsia" w:ascii="仿宋" w:hAnsi="仿宋" w:eastAsia="仿宋" w:cs="仿宋"/>
          <w:color w:val="auto"/>
          <w:spacing w:val="-4"/>
          <w:sz w:val="28"/>
          <w:szCs w:val="28"/>
          <w:highlight w:val="none"/>
        </w:rPr>
        <w:t>类似业绩（附合同或中标（或成交）通知书复印件加盖企业公</w:t>
      </w:r>
      <w:r>
        <w:rPr>
          <w:rFonts w:hint="eastAsia" w:ascii="仿宋" w:hAnsi="仿宋" w:eastAsia="仿宋" w:cs="仿宋"/>
          <w:color w:val="auto"/>
          <w:spacing w:val="1"/>
          <w:sz w:val="28"/>
          <w:szCs w:val="28"/>
          <w:highlight w:val="none"/>
        </w:rPr>
        <w:t>章</w:t>
      </w:r>
      <w:r>
        <w:rPr>
          <w:rFonts w:hint="eastAsia" w:ascii="仿宋" w:hAnsi="仿宋" w:eastAsia="仿宋" w:cs="仿宋"/>
          <w:color w:val="auto"/>
          <w:spacing w:val="-13"/>
          <w:sz w:val="28"/>
          <w:szCs w:val="28"/>
          <w:highlight w:val="none"/>
        </w:rPr>
        <w:t>）；</w:t>
      </w:r>
    </w:p>
    <w:p w14:paraId="6AA0E658">
      <w:pPr>
        <w:pStyle w:val="16"/>
        <w:spacing w:after="0" w:line="240" w:lineRule="auto"/>
        <w:ind w:left="0" w:right="0" w:firstLine="552"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10.</w:t>
      </w:r>
      <w:r>
        <w:rPr>
          <w:rFonts w:hint="eastAsia" w:ascii="仿宋" w:hAnsi="仿宋" w:eastAsia="仿宋" w:cs="仿宋"/>
          <w:color w:val="auto"/>
          <w:sz w:val="28"/>
          <w:szCs w:val="28"/>
          <w:highlight w:val="none"/>
        </w:rPr>
        <w:t>无串通投标行为的承诺书</w:t>
      </w:r>
      <w:r>
        <w:rPr>
          <w:rFonts w:hint="eastAsia" w:ascii="仿宋" w:hAnsi="仿宋" w:eastAsia="仿宋" w:cs="仿宋"/>
          <w:color w:val="auto"/>
          <w:spacing w:val="-59"/>
          <w:sz w:val="28"/>
          <w:szCs w:val="28"/>
          <w:highlight w:val="none"/>
        </w:rPr>
        <w:t>；</w:t>
      </w:r>
    </w:p>
    <w:p w14:paraId="71A92FD8">
      <w:pPr>
        <w:pStyle w:val="16"/>
        <w:spacing w:after="0" w:line="240" w:lineRule="auto"/>
        <w:ind w:left="0" w:righ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pacing w:val="-2"/>
          <w:sz w:val="28"/>
          <w:szCs w:val="28"/>
          <w:highlight w:val="none"/>
        </w:rPr>
        <w:t>投标人认为有必要提供的资料；</w:t>
      </w:r>
    </w:p>
    <w:p w14:paraId="52599197">
      <w:pPr>
        <w:pStyle w:val="16"/>
        <w:spacing w:after="0" w:line="240" w:lineRule="auto"/>
        <w:ind w:left="0" w:right="0" w:firstLine="556"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12.</w:t>
      </w:r>
      <w:r>
        <w:rPr>
          <w:rFonts w:hint="eastAsia" w:ascii="仿宋" w:hAnsi="仿宋" w:eastAsia="仿宋" w:cs="仿宋"/>
          <w:color w:val="auto"/>
          <w:spacing w:val="-1"/>
          <w:sz w:val="28"/>
          <w:szCs w:val="28"/>
          <w:highlight w:val="none"/>
          <w:lang w:eastAsia="zh-CN"/>
        </w:rPr>
        <w:t>中小企业声明函</w:t>
      </w:r>
      <w:r>
        <w:rPr>
          <w:rFonts w:hint="eastAsia" w:ascii="仿宋" w:hAnsi="仿宋" w:eastAsia="仿宋" w:cs="仿宋"/>
          <w:color w:val="auto"/>
          <w:spacing w:val="-2"/>
          <w:sz w:val="28"/>
          <w:szCs w:val="28"/>
          <w:highlight w:val="none"/>
        </w:rPr>
        <w:t>。</w:t>
      </w:r>
    </w:p>
    <w:p w14:paraId="54AD2ED8">
      <w:pPr>
        <w:pStyle w:val="33"/>
        <w:spacing w:line="440" w:lineRule="exact"/>
        <w:ind w:firstLine="480" w:firstLineChars="200"/>
        <w:outlineLvl w:val="9"/>
        <w:rPr>
          <w:rFonts w:hint="eastAsia" w:ascii="仿宋" w:hAnsi="仿宋" w:eastAsia="仿宋" w:cs="仿宋"/>
          <w:color w:val="auto"/>
          <w:sz w:val="24"/>
          <w:szCs w:val="22"/>
          <w:highlight w:val="none"/>
          <w:lang w:eastAsia="zh-CN"/>
        </w:rPr>
      </w:pPr>
    </w:p>
    <w:p w14:paraId="12EA9ED5">
      <w:pPr>
        <w:pStyle w:val="33"/>
        <w:spacing w:line="44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48"/>
    <w:p w14:paraId="73AAEC7E">
      <w:pPr>
        <w:pStyle w:val="16"/>
        <w:spacing w:after="0" w:line="360" w:lineRule="auto"/>
        <w:ind w:left="0" w:right="0" w:firstLine="0" w:firstLineChars="0"/>
        <w:jc w:val="center"/>
        <w:outlineLvl w:val="2"/>
        <w:rPr>
          <w:rFonts w:hint="eastAsia" w:ascii="仿宋" w:hAnsi="仿宋" w:eastAsia="仿宋" w:cs="仿宋"/>
          <w:color w:val="auto"/>
          <w:sz w:val="35"/>
          <w:szCs w:val="35"/>
          <w:highlight w:val="none"/>
        </w:rPr>
      </w:pPr>
      <w:bookmarkStart w:id="57" w:name="_Toc519111281"/>
      <w:r>
        <w:rPr>
          <w:rFonts w:hint="eastAsia" w:ascii="仿宋" w:hAnsi="仿宋" w:eastAsia="仿宋" w:cs="仿宋"/>
          <w:b/>
          <w:bCs/>
          <w:color w:val="auto"/>
          <w:spacing w:val="-3"/>
          <w:sz w:val="35"/>
          <w:szCs w:val="35"/>
          <w:highlight w:val="none"/>
        </w:rPr>
        <w:t>1.磋商函</w:t>
      </w:r>
    </w:p>
    <w:p w14:paraId="094BE070">
      <w:pPr>
        <w:pStyle w:val="16"/>
        <w:spacing w:after="0" w:line="360" w:lineRule="auto"/>
        <w:ind w:left="0" w:righ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rPr>
        <w:t>：</w:t>
      </w:r>
    </w:p>
    <w:p w14:paraId="6D3CF7A7">
      <w:pPr>
        <w:pStyle w:val="16"/>
        <w:spacing w:after="0" w:line="360" w:lineRule="auto"/>
        <w:ind w:left="0" w:right="0" w:firstLine="552" w:firstLineChars="200"/>
        <w:rPr>
          <w:rFonts w:hint="eastAsia" w:ascii="仿宋" w:hAnsi="仿宋" w:eastAsia="仿宋" w:cs="仿宋"/>
          <w:color w:val="auto"/>
          <w:spacing w:val="0"/>
          <w:kern w:val="21"/>
          <w:sz w:val="28"/>
          <w:szCs w:val="28"/>
          <w:highlight w:val="none"/>
        </w:rPr>
      </w:pPr>
      <w:r>
        <w:rPr>
          <w:rFonts w:hint="eastAsia" w:ascii="仿宋" w:hAnsi="仿宋" w:eastAsia="仿宋" w:cs="仿宋"/>
          <w:color w:val="auto"/>
          <w:spacing w:val="-2"/>
          <w:sz w:val="28"/>
          <w:szCs w:val="28"/>
          <w:highlight w:val="none"/>
        </w:rPr>
        <w:t xml:space="preserve">根 据 贵 方 组 织 招 标 的 </w:t>
      </w:r>
      <w:r>
        <w:rPr>
          <w:rFonts w:hint="eastAsia" w:ascii="仿宋" w:hAnsi="仿宋" w:eastAsia="仿宋" w:cs="仿宋"/>
          <w:color w:val="auto"/>
          <w:spacing w:val="0"/>
          <w:kern w:val="21"/>
          <w:sz w:val="28"/>
          <w:szCs w:val="28"/>
          <w:highlight w:val="none"/>
          <w:u w:val="single" w:color="auto"/>
        </w:rPr>
        <w:t xml:space="preserve">  （ </w:t>
      </w:r>
      <w:r>
        <w:rPr>
          <w:rFonts w:hint="eastAsia" w:ascii="仿宋" w:hAnsi="仿宋" w:eastAsia="仿宋" w:cs="仿宋"/>
          <w:color w:val="auto"/>
          <w:spacing w:val="0"/>
          <w:kern w:val="21"/>
          <w:sz w:val="28"/>
          <w:szCs w:val="28"/>
          <w:highlight w:val="none"/>
          <w:u w:val="single" w:color="auto"/>
          <w:lang w:val="en-US" w:eastAsia="zh-CN"/>
        </w:rPr>
        <w:t>标 段</w:t>
      </w:r>
      <w:r>
        <w:rPr>
          <w:rFonts w:hint="eastAsia" w:ascii="仿宋" w:hAnsi="仿宋" w:eastAsia="仿宋" w:cs="仿宋"/>
          <w:color w:val="auto"/>
          <w:spacing w:val="0"/>
          <w:kern w:val="21"/>
          <w:sz w:val="28"/>
          <w:szCs w:val="28"/>
          <w:highlight w:val="none"/>
          <w:u w:val="single" w:color="auto"/>
        </w:rPr>
        <w:t xml:space="preserve"> 名 称  ） </w:t>
      </w:r>
      <w:r>
        <w:rPr>
          <w:rFonts w:hint="eastAsia" w:ascii="仿宋" w:hAnsi="仿宋" w:eastAsia="仿宋" w:cs="仿宋"/>
          <w:color w:val="auto"/>
          <w:spacing w:val="0"/>
          <w:kern w:val="21"/>
          <w:sz w:val="28"/>
          <w:szCs w:val="28"/>
          <w:highlight w:val="none"/>
        </w:rPr>
        <w:t xml:space="preserve"> 项 目 采 购 文 件 编号</w:t>
      </w:r>
      <w:r>
        <w:rPr>
          <w:rFonts w:hint="eastAsia" w:ascii="仿宋" w:hAnsi="仿宋" w:eastAsia="仿宋" w:cs="仿宋"/>
          <w:color w:val="auto"/>
          <w:spacing w:val="0"/>
          <w:kern w:val="21"/>
          <w:sz w:val="28"/>
          <w:szCs w:val="28"/>
          <w:highlight w:val="none"/>
          <w:u w:val="single" w:color="auto"/>
        </w:rPr>
        <w:t xml:space="preserve">        </w:t>
      </w:r>
      <w:r>
        <w:rPr>
          <w:rFonts w:hint="eastAsia" w:ascii="仿宋" w:hAnsi="仿宋" w:eastAsia="仿宋" w:cs="仿宋"/>
          <w:color w:val="auto"/>
          <w:spacing w:val="0"/>
          <w:kern w:val="21"/>
          <w:sz w:val="28"/>
          <w:szCs w:val="28"/>
          <w:highlight w:val="none"/>
        </w:rPr>
        <w:t>，</w:t>
      </w:r>
      <w:r>
        <w:rPr>
          <w:rFonts w:hint="eastAsia" w:ascii="仿宋" w:hAnsi="仿宋" w:eastAsia="仿宋" w:cs="仿宋"/>
          <w:color w:val="auto"/>
          <w:spacing w:val="0"/>
          <w:kern w:val="21"/>
          <w:sz w:val="28"/>
          <w:szCs w:val="28"/>
          <w:highlight w:val="none"/>
          <w:u w:val="single" w:color="auto"/>
        </w:rPr>
        <w:t>（姓名、职务）</w:t>
      </w:r>
      <w:r>
        <w:rPr>
          <w:rFonts w:hint="eastAsia" w:ascii="仿宋" w:hAnsi="仿宋" w:eastAsia="仿宋" w:cs="仿宋"/>
          <w:color w:val="auto"/>
          <w:spacing w:val="0"/>
          <w:kern w:val="21"/>
          <w:sz w:val="28"/>
          <w:szCs w:val="28"/>
          <w:highlight w:val="none"/>
        </w:rPr>
        <w:t>经正式授权并代表供应商（</w:t>
      </w:r>
      <w:r>
        <w:rPr>
          <w:rFonts w:hint="eastAsia" w:ascii="仿宋" w:hAnsi="仿宋" w:eastAsia="仿宋" w:cs="仿宋"/>
          <w:color w:val="auto"/>
          <w:spacing w:val="0"/>
          <w:kern w:val="21"/>
          <w:sz w:val="28"/>
          <w:szCs w:val="28"/>
          <w:highlight w:val="none"/>
          <w:u w:val="single" w:color="auto"/>
        </w:rPr>
        <w:t>供应商名称、</w:t>
      </w:r>
      <w:r>
        <w:rPr>
          <w:rFonts w:hint="eastAsia" w:ascii="仿宋" w:hAnsi="仿宋" w:eastAsia="仿宋" w:cs="仿宋"/>
          <w:color w:val="auto"/>
          <w:spacing w:val="0"/>
          <w:kern w:val="21"/>
          <w:sz w:val="28"/>
          <w:szCs w:val="28"/>
          <w:highlight w:val="none"/>
        </w:rPr>
        <w:t xml:space="preserve"> </w:t>
      </w:r>
      <w:r>
        <w:rPr>
          <w:rFonts w:hint="eastAsia" w:ascii="仿宋" w:hAnsi="仿宋" w:eastAsia="仿宋" w:cs="仿宋"/>
          <w:color w:val="auto"/>
          <w:spacing w:val="0"/>
          <w:kern w:val="21"/>
          <w:sz w:val="28"/>
          <w:szCs w:val="28"/>
          <w:highlight w:val="none"/>
          <w:u w:val="single" w:color="auto"/>
        </w:rPr>
        <w:t>地址</w:t>
      </w:r>
      <w:r>
        <w:rPr>
          <w:rFonts w:hint="eastAsia" w:ascii="仿宋" w:hAnsi="仿宋" w:eastAsia="仿宋" w:cs="仿宋"/>
          <w:color w:val="auto"/>
          <w:spacing w:val="0"/>
          <w:kern w:val="21"/>
          <w:sz w:val="28"/>
          <w:szCs w:val="28"/>
          <w:highlight w:val="none"/>
        </w:rPr>
        <w:t>）处理本项目投标相关事宜。并以</w:t>
      </w:r>
      <w:r>
        <w:rPr>
          <w:rFonts w:hint="eastAsia" w:ascii="仿宋" w:hAnsi="仿宋" w:eastAsia="仿宋" w:cs="仿宋"/>
          <w:color w:val="auto"/>
          <w:spacing w:val="0"/>
          <w:kern w:val="21"/>
          <w:sz w:val="28"/>
          <w:szCs w:val="28"/>
          <w:highlight w:val="none"/>
          <w:u w:val="single" w:color="auto"/>
        </w:rPr>
        <w:t xml:space="preserve">         </w:t>
      </w:r>
      <w:r>
        <w:rPr>
          <w:rFonts w:hint="eastAsia" w:ascii="仿宋" w:hAnsi="仿宋" w:eastAsia="仿宋" w:cs="仿宋"/>
          <w:color w:val="auto"/>
          <w:spacing w:val="0"/>
          <w:kern w:val="21"/>
          <w:sz w:val="28"/>
          <w:szCs w:val="28"/>
          <w:highlight w:val="none"/>
        </w:rPr>
        <w:t xml:space="preserve"> 形式出具的金额为人民币</w:t>
      </w:r>
      <w:r>
        <w:rPr>
          <w:rFonts w:hint="eastAsia" w:ascii="仿宋" w:hAnsi="仿宋" w:eastAsia="仿宋" w:cs="仿宋"/>
          <w:color w:val="auto"/>
          <w:spacing w:val="0"/>
          <w:kern w:val="21"/>
          <w:sz w:val="28"/>
          <w:szCs w:val="28"/>
          <w:highlight w:val="none"/>
          <w:u w:val="single"/>
          <w:lang w:val="en-US" w:eastAsia="zh-CN"/>
        </w:rPr>
        <w:t xml:space="preserve">     </w:t>
      </w:r>
      <w:r>
        <w:rPr>
          <w:rFonts w:hint="eastAsia" w:ascii="仿宋" w:hAnsi="仿宋" w:eastAsia="仿宋" w:cs="仿宋"/>
          <w:color w:val="auto"/>
          <w:spacing w:val="0"/>
          <w:kern w:val="21"/>
          <w:sz w:val="28"/>
          <w:szCs w:val="28"/>
          <w:highlight w:val="none"/>
        </w:rPr>
        <w:t>元的投标保证金。</w:t>
      </w:r>
    </w:p>
    <w:p w14:paraId="7696FB89">
      <w:pPr>
        <w:pStyle w:val="16"/>
        <w:spacing w:after="0" w:line="360" w:lineRule="auto"/>
        <w:ind w:left="0" w:right="0" w:firstLine="552"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据此，我方代表宣布同意如下：</w:t>
      </w:r>
    </w:p>
    <w:p w14:paraId="197EF484">
      <w:pPr>
        <w:pStyle w:val="16"/>
        <w:spacing w:after="0" w:line="360" w:lineRule="auto"/>
        <w:ind w:left="0" w:right="0" w:firstLine="552"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1.向采购人提交磋商响应文件、磋商一览表。</w:t>
      </w:r>
    </w:p>
    <w:p w14:paraId="5197DA98">
      <w:pPr>
        <w:pStyle w:val="16"/>
        <w:spacing w:after="0" w:line="360" w:lineRule="auto"/>
        <w:ind w:left="0" w:right="0" w:firstLine="552"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2.我方的磋商采购文件自报价截止起有效期为</w:t>
      </w:r>
      <w:r>
        <w:rPr>
          <w:rFonts w:hint="eastAsia" w:ascii="仿宋" w:hAnsi="仿宋" w:eastAsia="仿宋" w:cs="仿宋"/>
          <w:color w:val="auto"/>
          <w:spacing w:val="-52"/>
          <w:sz w:val="28"/>
          <w:szCs w:val="28"/>
          <w:highlight w:val="none"/>
        </w:rPr>
        <w:t xml:space="preserve"> </w:t>
      </w: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53"/>
          <w:sz w:val="28"/>
          <w:szCs w:val="28"/>
          <w:highlight w:val="none"/>
          <w:u w:val="single" w:color="auto"/>
        </w:rPr>
        <w:t xml:space="preserve"> </w:t>
      </w:r>
      <w:r>
        <w:rPr>
          <w:rFonts w:hint="eastAsia" w:ascii="仿宋" w:hAnsi="仿宋" w:eastAsia="仿宋" w:cs="仿宋"/>
          <w:color w:val="auto"/>
          <w:spacing w:val="-2"/>
          <w:sz w:val="28"/>
          <w:szCs w:val="28"/>
          <w:highlight w:val="none"/>
        </w:rPr>
        <w:t>天。</w:t>
      </w:r>
    </w:p>
    <w:p w14:paraId="13894A91">
      <w:pPr>
        <w:pStyle w:val="16"/>
        <w:spacing w:after="0" w:line="360" w:lineRule="auto"/>
        <w:ind w:left="0" w:right="0" w:firstLine="548"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3.我方同意提供可能要求的与本次磋商有关的一切数据或资料，并对其真实性负责。</w:t>
      </w:r>
    </w:p>
    <w:p w14:paraId="4EB22328">
      <w:pPr>
        <w:pStyle w:val="16"/>
        <w:spacing w:after="0" w:line="360" w:lineRule="auto"/>
        <w:ind w:left="0" w:right="0" w:firstLine="556"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4.与本磋商有关的一切正式往来请按下列地址和方式联系：</w:t>
      </w:r>
    </w:p>
    <w:p w14:paraId="7975D8E8">
      <w:pPr>
        <w:pStyle w:val="16"/>
        <w:spacing w:after="0" w:line="360" w:lineRule="auto"/>
        <w:ind w:left="0" w:righ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与本投标有关的一切正式往来信函请寄：</w:t>
      </w:r>
    </w:p>
    <w:p w14:paraId="4E988D2A">
      <w:pPr>
        <w:pStyle w:val="16"/>
        <w:spacing w:after="0" w:line="360" w:lineRule="auto"/>
        <w:ind w:left="0" w:right="0" w:firstLine="0" w:firstLineChars="0"/>
        <w:rPr>
          <w:rFonts w:hint="eastAsia" w:ascii="仿宋" w:hAnsi="仿宋" w:eastAsia="仿宋" w:cs="仿宋"/>
          <w:color w:val="auto"/>
          <w:spacing w:val="7"/>
          <w:sz w:val="28"/>
          <w:szCs w:val="28"/>
          <w:highlight w:val="none"/>
        </w:rPr>
      </w:pPr>
      <w:r>
        <w:rPr>
          <w:rFonts w:hint="eastAsia" w:ascii="仿宋" w:hAnsi="仿宋" w:eastAsia="仿宋" w:cs="仿宋"/>
          <w:color w:val="auto"/>
          <w:spacing w:val="-5"/>
          <w:sz w:val="28"/>
          <w:szCs w:val="28"/>
          <w:highlight w:val="none"/>
        </w:rPr>
        <w:t>地址</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7"/>
          <w:sz w:val="28"/>
          <w:szCs w:val="28"/>
          <w:highlight w:val="none"/>
        </w:rPr>
        <w:t xml:space="preserve">     </w:t>
      </w:r>
    </w:p>
    <w:p w14:paraId="6EBD6A1A">
      <w:pPr>
        <w:pStyle w:val="16"/>
        <w:spacing w:after="0" w:line="360" w:lineRule="auto"/>
        <w:ind w:left="0" w:right="0" w:firstLine="0" w:firstLineChars="0"/>
        <w:rPr>
          <w:rFonts w:hint="eastAsia" w:ascii="仿宋" w:hAnsi="仿宋" w:eastAsia="仿宋" w:cs="仿宋"/>
          <w:color w:val="auto"/>
          <w:spacing w:val="10"/>
          <w:sz w:val="28"/>
          <w:szCs w:val="28"/>
          <w:highlight w:val="none"/>
        </w:rPr>
      </w:pPr>
      <w:r>
        <w:rPr>
          <w:rFonts w:hint="eastAsia" w:ascii="仿宋" w:hAnsi="仿宋" w:eastAsia="仿宋" w:cs="仿宋"/>
          <w:color w:val="auto"/>
          <w:spacing w:val="-5"/>
          <w:sz w:val="28"/>
          <w:szCs w:val="28"/>
          <w:highlight w:val="none"/>
        </w:rPr>
        <w:t>传真</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17"/>
          <w:sz w:val="28"/>
          <w:szCs w:val="28"/>
          <w:highlight w:val="none"/>
        </w:rPr>
        <w:t>电话</w:t>
      </w:r>
      <w:r>
        <w:rPr>
          <w:rFonts w:hint="eastAsia" w:ascii="仿宋" w:hAnsi="仿宋" w:eastAsia="仿宋" w:cs="仿宋"/>
          <w:color w:val="auto"/>
          <w:spacing w:val="6"/>
          <w:sz w:val="28"/>
          <w:szCs w:val="28"/>
          <w:highlight w:val="none"/>
          <w:u w:val="single" w:color="auto"/>
        </w:rPr>
        <w:t xml:space="preserve">                    </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10"/>
          <w:sz w:val="28"/>
          <w:szCs w:val="28"/>
          <w:highlight w:val="none"/>
        </w:rPr>
        <w:t xml:space="preserve">     </w:t>
      </w:r>
    </w:p>
    <w:p w14:paraId="56F6D30A">
      <w:pPr>
        <w:pStyle w:val="16"/>
        <w:spacing w:after="0" w:line="360" w:lineRule="auto"/>
        <w:ind w:left="0" w:righ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pacing w:val="-17"/>
          <w:sz w:val="28"/>
          <w:szCs w:val="28"/>
          <w:highlight w:val="none"/>
        </w:rPr>
        <w:t>电子函件</w:t>
      </w:r>
      <w:r>
        <w:rPr>
          <w:rFonts w:hint="eastAsia" w:ascii="仿宋" w:hAnsi="仿宋" w:eastAsia="仿宋" w:cs="仿宋"/>
          <w:color w:val="auto"/>
          <w:sz w:val="28"/>
          <w:szCs w:val="28"/>
          <w:highlight w:val="none"/>
          <w:u w:val="single" w:color="auto"/>
        </w:rPr>
        <w:t xml:space="preserve">              </w:t>
      </w:r>
    </w:p>
    <w:p w14:paraId="16657DFD">
      <w:pPr>
        <w:pStyle w:val="16"/>
        <w:spacing w:after="0" w:line="360" w:lineRule="auto"/>
        <w:ind w:left="0" w:righ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法定代表人或被授权人签字或签章</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z w:val="28"/>
          <w:szCs w:val="28"/>
          <w:highlight w:val="none"/>
        </w:rPr>
        <w:t xml:space="preserve"> </w:t>
      </w:r>
    </w:p>
    <w:p w14:paraId="438690DA">
      <w:pPr>
        <w:pStyle w:val="16"/>
        <w:spacing w:after="0" w:line="360" w:lineRule="auto"/>
        <w:ind w:left="0" w:righ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投标人名称（全称、盖章）</w:t>
      </w:r>
      <w:r>
        <w:rPr>
          <w:rFonts w:hint="eastAsia" w:ascii="仿宋" w:hAnsi="仿宋" w:eastAsia="仿宋" w:cs="仿宋"/>
          <w:color w:val="auto"/>
          <w:sz w:val="28"/>
          <w:szCs w:val="28"/>
          <w:highlight w:val="none"/>
          <w:u w:val="single" w:color="auto"/>
        </w:rPr>
        <w:t xml:space="preserve">                 </w:t>
      </w:r>
    </w:p>
    <w:p w14:paraId="25E705AB">
      <w:pPr>
        <w:spacing w:line="360" w:lineRule="auto"/>
        <w:ind w:left="0" w:right="0" w:firstLine="0" w:firstLineChars="0"/>
        <w:rPr>
          <w:rFonts w:hint="eastAsia" w:ascii="仿宋" w:hAnsi="仿宋" w:eastAsia="仿宋" w:cs="仿宋"/>
          <w:color w:val="auto"/>
          <w:spacing w:val="9"/>
          <w:sz w:val="28"/>
          <w:szCs w:val="28"/>
          <w:highlight w:val="none"/>
        </w:rPr>
      </w:pPr>
      <w:r>
        <w:rPr>
          <w:rFonts w:hint="eastAsia" w:ascii="仿宋" w:hAnsi="仿宋" w:eastAsia="仿宋" w:cs="仿宋"/>
          <w:color w:val="auto"/>
          <w:spacing w:val="-1"/>
          <w:sz w:val="28"/>
          <w:szCs w:val="28"/>
          <w:highlight w:val="none"/>
        </w:rPr>
        <w:t>投标人开户银行（全称）</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9"/>
          <w:sz w:val="28"/>
          <w:szCs w:val="28"/>
          <w:highlight w:val="none"/>
        </w:rPr>
        <w:t xml:space="preserve"> </w:t>
      </w:r>
    </w:p>
    <w:p w14:paraId="4509DB7E">
      <w:pPr>
        <w:spacing w:line="360" w:lineRule="auto"/>
        <w:ind w:left="0" w:right="0" w:firstLine="0" w:firstLineChars="0"/>
        <w:rPr>
          <w:rFonts w:hint="eastAsia" w:ascii="仿宋" w:hAnsi="仿宋" w:eastAsia="仿宋" w:cs="仿宋"/>
          <w:color w:val="auto"/>
          <w:spacing w:val="-1"/>
          <w:sz w:val="28"/>
          <w:szCs w:val="28"/>
          <w:highlight w:val="none"/>
          <w:u w:val="single" w:color="auto"/>
        </w:rPr>
      </w:pPr>
      <w:r>
        <w:rPr>
          <w:rFonts w:hint="eastAsia" w:ascii="仿宋" w:hAnsi="仿宋" w:eastAsia="仿宋" w:cs="仿宋"/>
          <w:color w:val="auto"/>
          <w:spacing w:val="-1"/>
          <w:sz w:val="28"/>
          <w:szCs w:val="28"/>
          <w:highlight w:val="none"/>
        </w:rPr>
        <w:t>投标人银行帐号</w:t>
      </w:r>
      <w:r>
        <w:rPr>
          <w:rFonts w:hint="eastAsia" w:ascii="仿宋" w:hAnsi="仿宋" w:eastAsia="仿宋" w:cs="仿宋"/>
          <w:color w:val="auto"/>
          <w:spacing w:val="-1"/>
          <w:sz w:val="28"/>
          <w:szCs w:val="28"/>
          <w:highlight w:val="none"/>
          <w:u w:val="single" w:color="auto"/>
        </w:rPr>
        <w:t xml:space="preserve">                      </w:t>
      </w:r>
    </w:p>
    <w:p w14:paraId="7DD2CE91">
      <w:pPr>
        <w:spacing w:line="360" w:lineRule="auto"/>
        <w:ind w:left="0" w:right="0" w:firstLine="0" w:firstLineChars="0"/>
        <w:rPr>
          <w:rFonts w:hint="eastAsia" w:ascii="仿宋" w:hAnsi="仿宋" w:eastAsia="仿宋" w:cs="仿宋"/>
          <w:color w:val="auto"/>
          <w:sz w:val="28"/>
          <w:szCs w:val="28"/>
          <w:highlight w:val="none"/>
          <w:u w:val="single" w:color="auto"/>
        </w:rPr>
      </w:pPr>
      <w:r>
        <w:rPr>
          <w:rFonts w:hint="eastAsia" w:ascii="仿宋" w:hAnsi="仿宋" w:eastAsia="仿宋" w:cs="仿宋"/>
          <w:color w:val="auto"/>
          <w:spacing w:val="-8"/>
          <w:sz w:val="28"/>
          <w:szCs w:val="28"/>
          <w:highlight w:val="none"/>
        </w:rPr>
        <w:t>日期</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rPr>
        <w:t xml:space="preserve"> </w:t>
      </w:r>
    </w:p>
    <w:p w14:paraId="5E379B72">
      <w:pPr>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u w:val="single" w:color="auto"/>
        </w:rPr>
        <w:br w:type="page"/>
      </w:r>
    </w:p>
    <w:p w14:paraId="1676D071">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rPr>
      </w:pPr>
      <w:r>
        <w:rPr>
          <w:rFonts w:hint="eastAsia" w:ascii="仿宋" w:hAnsi="仿宋" w:eastAsia="仿宋" w:cs="仿宋"/>
          <w:b/>
          <w:bCs/>
          <w:color w:val="auto"/>
          <w:spacing w:val="-3"/>
          <w:sz w:val="35"/>
          <w:szCs w:val="35"/>
          <w:highlight w:val="none"/>
        </w:rPr>
        <w:t>2.磋商保证书</w:t>
      </w:r>
    </w:p>
    <w:p w14:paraId="10FD8F56">
      <w:pPr>
        <w:pStyle w:val="16"/>
        <w:spacing w:after="0" w:line="360" w:lineRule="auto"/>
        <w:ind w:left="0" w:righ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rPr>
        <w:t>：</w:t>
      </w:r>
    </w:p>
    <w:p w14:paraId="7785BEC8">
      <w:pPr>
        <w:pStyle w:val="16"/>
        <w:spacing w:after="0" w:line="360" w:lineRule="auto"/>
        <w:ind w:left="0" w:right="0"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u w:val="single"/>
        </w:rPr>
        <w:t>（投标单位名称）</w:t>
      </w:r>
      <w:r>
        <w:rPr>
          <w:rFonts w:hint="eastAsia" w:ascii="仿宋" w:hAnsi="仿宋" w:eastAsia="仿宋" w:cs="仿宋"/>
          <w:color w:val="auto"/>
          <w:spacing w:val="-2"/>
          <w:sz w:val="28"/>
          <w:szCs w:val="28"/>
          <w:highlight w:val="none"/>
        </w:rPr>
        <w:t>参加贵方组织的</w:t>
      </w:r>
      <w:r>
        <w:rPr>
          <w:rFonts w:hint="eastAsia" w:ascii="仿宋" w:hAnsi="仿宋" w:eastAsia="仿宋" w:cs="仿宋"/>
          <w:color w:val="auto"/>
          <w:spacing w:val="-2"/>
          <w:sz w:val="28"/>
          <w:szCs w:val="28"/>
          <w:highlight w:val="none"/>
          <w:u w:val="single"/>
        </w:rPr>
        <w:t>（</w:t>
      </w:r>
      <w:r>
        <w:rPr>
          <w:rFonts w:hint="eastAsia" w:ascii="仿宋" w:hAnsi="仿宋" w:eastAsia="仿宋" w:cs="仿宋"/>
          <w:color w:val="auto"/>
          <w:spacing w:val="-2"/>
          <w:sz w:val="28"/>
          <w:szCs w:val="28"/>
          <w:highlight w:val="none"/>
          <w:u w:val="single"/>
          <w:lang w:eastAsia="zh-CN"/>
        </w:rPr>
        <w:t>标段名称</w:t>
      </w:r>
      <w:r>
        <w:rPr>
          <w:rFonts w:hint="eastAsia" w:ascii="仿宋" w:hAnsi="仿宋" w:eastAsia="仿宋" w:cs="仿宋"/>
          <w:color w:val="auto"/>
          <w:spacing w:val="-2"/>
          <w:sz w:val="28"/>
          <w:szCs w:val="28"/>
          <w:highlight w:val="none"/>
          <w:u w:val="single"/>
        </w:rPr>
        <w:t>）</w:t>
      </w:r>
      <w:r>
        <w:rPr>
          <w:rFonts w:hint="eastAsia" w:ascii="仿宋" w:hAnsi="仿宋" w:eastAsia="仿宋" w:cs="仿宋"/>
          <w:color w:val="auto"/>
          <w:spacing w:val="-2"/>
          <w:sz w:val="28"/>
          <w:szCs w:val="28"/>
          <w:highlight w:val="none"/>
        </w:rPr>
        <w:t>的磋商，对以下事项进行保证：</w:t>
      </w:r>
    </w:p>
    <w:p w14:paraId="560C40DD">
      <w:pPr>
        <w:pStyle w:val="16"/>
        <w:spacing w:after="0" w:line="360" w:lineRule="auto"/>
        <w:ind w:left="0" w:right="0"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1.遵守《中华人民共和国政府采购法》，严格按照招标代理机构的要求参加投标，不进行任何破坏采购活动的行为。</w:t>
      </w:r>
    </w:p>
    <w:p w14:paraId="77781E5C">
      <w:pPr>
        <w:pStyle w:val="16"/>
        <w:spacing w:after="0" w:line="360" w:lineRule="auto"/>
        <w:ind w:left="0" w:right="0"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2.保证响应文件所提供的全部资料真实、可靠、有效及准确，并接受招标人的审查和现场核实要求。如果所提供的资料有欺诈和严重失实情况，招标人有权取消本机构中标资格，我方承担一切与之有关的责任和损失。</w:t>
      </w:r>
    </w:p>
    <w:p w14:paraId="6B94D19F">
      <w:pPr>
        <w:pStyle w:val="16"/>
        <w:spacing w:after="0" w:line="360" w:lineRule="auto"/>
        <w:ind w:left="0" w:right="0"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3.若成交，保证在领取成交通知书的同时按照招标代理机构的要求交纳招标代理服务费，并承担其他相关费用。</w:t>
      </w:r>
    </w:p>
    <w:p w14:paraId="79409CEF">
      <w:pPr>
        <w:pStyle w:val="16"/>
        <w:spacing w:after="0" w:line="360" w:lineRule="auto"/>
        <w:ind w:left="0" w:right="0"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4.如出现违反上述保证的行为，我方将承担相应的法律责任。</w:t>
      </w:r>
    </w:p>
    <w:p w14:paraId="47FFEBB9">
      <w:pPr>
        <w:pStyle w:val="16"/>
        <w:spacing w:after="0" w:line="360" w:lineRule="auto"/>
        <w:ind w:left="0" w:right="0" w:firstLine="0" w:firstLineChars="0"/>
        <w:rPr>
          <w:rFonts w:hint="eastAsia" w:ascii="仿宋" w:hAnsi="仿宋" w:eastAsia="仿宋" w:cs="仿宋"/>
          <w:color w:val="auto"/>
          <w:spacing w:val="-5"/>
          <w:sz w:val="28"/>
          <w:szCs w:val="28"/>
          <w:highlight w:val="none"/>
        </w:rPr>
      </w:pPr>
    </w:p>
    <w:p w14:paraId="2B8BE66B">
      <w:pPr>
        <w:pStyle w:val="16"/>
        <w:spacing w:after="0" w:line="360" w:lineRule="auto"/>
        <w:ind w:left="0" w:right="0" w:firstLine="0" w:firstLineChars="0"/>
        <w:rPr>
          <w:rFonts w:hint="eastAsia" w:ascii="仿宋" w:hAnsi="仿宋" w:eastAsia="仿宋" w:cs="仿宋"/>
          <w:color w:val="auto"/>
          <w:spacing w:val="-5"/>
          <w:sz w:val="28"/>
          <w:szCs w:val="28"/>
          <w:highlight w:val="none"/>
        </w:rPr>
      </w:pPr>
    </w:p>
    <w:p w14:paraId="36C93F21">
      <w:pPr>
        <w:pStyle w:val="16"/>
        <w:spacing w:after="0" w:line="360" w:lineRule="auto"/>
        <w:ind w:left="0" w:right="0" w:firstLine="0" w:firstLineChars="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投标人名称： 公       章：</w:t>
      </w:r>
    </w:p>
    <w:p w14:paraId="3EEB9D27">
      <w:pPr>
        <w:pStyle w:val="16"/>
        <w:spacing w:after="0" w:line="360" w:lineRule="auto"/>
        <w:ind w:left="0" w:right="0" w:firstLine="0" w:firstLineChars="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 xml:space="preserve">法定代表人或被授权人（签字或签章）： </w:t>
      </w:r>
    </w:p>
    <w:p w14:paraId="4DF135AF">
      <w:pPr>
        <w:pStyle w:val="16"/>
        <w:spacing w:after="0" w:line="360" w:lineRule="auto"/>
        <w:ind w:left="0" w:right="0" w:firstLine="0" w:firstLineChars="0"/>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日期：     年    月    日</w:t>
      </w:r>
    </w:p>
    <w:p w14:paraId="327730E4">
      <w:pPr>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u w:val="single" w:color="auto"/>
        </w:rPr>
        <w:br w:type="page"/>
      </w:r>
    </w:p>
    <w:p w14:paraId="62AE7576">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rPr>
      </w:pPr>
      <w:r>
        <w:rPr>
          <w:rFonts w:hint="eastAsia" w:ascii="仿宋" w:hAnsi="仿宋" w:eastAsia="仿宋" w:cs="仿宋"/>
          <w:b/>
          <w:bCs/>
          <w:color w:val="auto"/>
          <w:spacing w:val="-3"/>
          <w:sz w:val="35"/>
          <w:szCs w:val="35"/>
          <w:highlight w:val="none"/>
          <w:lang w:val="en-US" w:eastAsia="zh-CN"/>
        </w:rPr>
        <w:t>3.1</w:t>
      </w:r>
      <w:r>
        <w:rPr>
          <w:rFonts w:hint="eastAsia" w:ascii="仿宋" w:hAnsi="仿宋" w:eastAsia="仿宋" w:cs="仿宋"/>
          <w:b/>
          <w:bCs/>
          <w:color w:val="auto"/>
          <w:spacing w:val="-3"/>
          <w:sz w:val="35"/>
          <w:szCs w:val="35"/>
          <w:highlight w:val="none"/>
        </w:rPr>
        <w:t>法定代表人（单位负责人）身份证明及授权委托书</w:t>
      </w:r>
    </w:p>
    <w:p w14:paraId="4FCA602E">
      <w:pPr>
        <w:rPr>
          <w:rFonts w:hint="eastAsia" w:ascii="仿宋" w:hAnsi="仿宋" w:eastAsia="仿宋" w:cs="仿宋"/>
          <w:color w:val="auto"/>
          <w:highlight w:val="none"/>
        </w:rPr>
      </w:pPr>
    </w:p>
    <w:p w14:paraId="2917945A">
      <w:pPr>
        <w:pStyle w:val="95"/>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法定代表人（单位负责人）资格证明文件</w:t>
      </w:r>
    </w:p>
    <w:p w14:paraId="0BD28696">
      <w:pPr>
        <w:pStyle w:val="94"/>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（采购人）   </w:t>
      </w:r>
      <w:r>
        <w:rPr>
          <w:rFonts w:hint="eastAsia" w:ascii="仿宋" w:hAnsi="仿宋" w:eastAsia="仿宋" w:cs="仿宋"/>
          <w:color w:val="auto"/>
          <w:sz w:val="24"/>
          <w:szCs w:val="24"/>
          <w:highlight w:val="none"/>
        </w:rPr>
        <w:t>：</w:t>
      </w:r>
    </w:p>
    <w:p w14:paraId="4BABA944">
      <w:pPr>
        <w:pStyle w:val="94"/>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公司法定代表人（单位负责人），代表我公司办理一切社会公务事宜，具有法律效力。 </w:t>
      </w:r>
    </w:p>
    <w:p w14:paraId="11587DBD">
      <w:pPr>
        <w:pStyle w:val="94"/>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附法定代表人（单位负责人）基本情况： </w:t>
      </w:r>
    </w:p>
    <w:p w14:paraId="4D9B323F">
      <w:pPr>
        <w:pStyle w:val="94"/>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1EDF5684">
      <w:pPr>
        <w:pStyle w:val="94"/>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069363EA">
      <w:pPr>
        <w:pStyle w:val="94"/>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14:paraId="1357A444">
      <w:pPr>
        <w:pStyle w:val="94"/>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6A59FFE5">
      <w:pPr>
        <w:pStyle w:val="94"/>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3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98A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696F6B2">
            <w:pPr>
              <w:pStyle w:val="94"/>
              <w:adjustRightInd w:val="0"/>
              <w:snapToGrid w:val="0"/>
              <w:spacing w:line="500" w:lineRule="exact"/>
              <w:jc w:val="center"/>
              <w:rPr>
                <w:rFonts w:hint="eastAsia" w:ascii="仿宋" w:hAnsi="仿宋" w:eastAsia="仿宋" w:cs="仿宋"/>
                <w:color w:val="auto"/>
                <w:sz w:val="24"/>
                <w:szCs w:val="24"/>
                <w:highlight w:val="none"/>
              </w:rPr>
            </w:pPr>
          </w:p>
          <w:p w14:paraId="3FB6BCF4">
            <w:pPr>
              <w:pStyle w:val="94"/>
              <w:adjustRightInd w:val="0"/>
              <w:snapToGrid w:val="0"/>
              <w:spacing w:line="500" w:lineRule="exact"/>
              <w:jc w:val="center"/>
              <w:rPr>
                <w:rFonts w:hint="eastAsia" w:ascii="仿宋" w:hAnsi="仿宋" w:eastAsia="仿宋" w:cs="仿宋"/>
                <w:color w:val="auto"/>
                <w:sz w:val="24"/>
                <w:szCs w:val="24"/>
                <w:highlight w:val="none"/>
              </w:rPr>
            </w:pPr>
          </w:p>
          <w:p w14:paraId="35EA0326">
            <w:pPr>
              <w:pStyle w:val="94"/>
              <w:adjustRightInd w:val="0"/>
              <w:snapToGrid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法定代表人（单位负责人）《居民身份证》</w:t>
            </w:r>
            <w:r>
              <w:rPr>
                <w:rFonts w:hint="eastAsia" w:ascii="仿宋" w:hAnsi="仿宋" w:eastAsia="仿宋" w:cs="仿宋"/>
                <w:color w:val="auto"/>
                <w:sz w:val="24"/>
                <w:szCs w:val="24"/>
                <w:highlight w:val="none"/>
                <w:lang w:val="en-US" w:eastAsia="zh-CN"/>
              </w:rPr>
              <w:t>复印件</w:t>
            </w:r>
          </w:p>
        </w:tc>
      </w:tr>
    </w:tbl>
    <w:p w14:paraId="65AF9C4C">
      <w:pPr>
        <w:pStyle w:val="94"/>
        <w:adjustRightInd w:val="0"/>
        <w:snapToGrid w:val="0"/>
        <w:spacing w:line="500" w:lineRule="exact"/>
        <w:rPr>
          <w:rFonts w:hint="eastAsia" w:ascii="仿宋" w:hAnsi="仿宋" w:eastAsia="仿宋" w:cs="仿宋"/>
          <w:color w:val="auto"/>
          <w:sz w:val="24"/>
          <w:szCs w:val="24"/>
          <w:highlight w:val="none"/>
        </w:rPr>
      </w:pPr>
    </w:p>
    <w:p w14:paraId="4C11B7F8">
      <w:pPr>
        <w:pStyle w:val="94"/>
        <w:tabs>
          <w:tab w:val="left" w:pos="750"/>
        </w:tabs>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14:paraId="1CEEB40E">
      <w:pPr>
        <w:pStyle w:val="94"/>
        <w:tabs>
          <w:tab w:val="left" w:pos="750"/>
        </w:tabs>
        <w:adjustRightInd w:val="0"/>
        <w:snapToGrid w:val="0"/>
        <w:spacing w:line="500" w:lineRule="exact"/>
        <w:rPr>
          <w:rFonts w:hint="eastAsia" w:ascii="仿宋" w:hAnsi="仿宋" w:eastAsia="仿宋" w:cs="仿宋"/>
          <w:color w:val="auto"/>
          <w:sz w:val="24"/>
          <w:szCs w:val="24"/>
          <w:highlight w:val="none"/>
        </w:rPr>
      </w:pPr>
    </w:p>
    <w:p w14:paraId="607BA6F7">
      <w:pPr>
        <w:pStyle w:val="94"/>
        <w:tabs>
          <w:tab w:val="left" w:pos="750"/>
        </w:tabs>
        <w:adjustRightInd w:val="0"/>
        <w:snapToGrid w:val="0"/>
        <w:spacing w:line="5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法定代表人（单位负责人）（签字或盖章） ：</w:t>
      </w:r>
      <w:r>
        <w:rPr>
          <w:rFonts w:hint="eastAsia" w:ascii="仿宋" w:hAnsi="仿宋" w:eastAsia="仿宋" w:cs="仿宋"/>
          <w:color w:val="auto"/>
          <w:sz w:val="24"/>
          <w:szCs w:val="24"/>
          <w:highlight w:val="none"/>
          <w:u w:val="single"/>
        </w:rPr>
        <w:t xml:space="preserve">           </w:t>
      </w:r>
    </w:p>
    <w:p w14:paraId="4E2AAE8B">
      <w:pPr>
        <w:pStyle w:val="94"/>
        <w:tabs>
          <w:tab w:val="left" w:pos="750"/>
        </w:tabs>
        <w:adjustRightInd w:val="0"/>
        <w:snapToGrid w:val="0"/>
        <w:spacing w:line="500" w:lineRule="exact"/>
        <w:rPr>
          <w:rFonts w:hint="eastAsia" w:ascii="仿宋" w:hAnsi="仿宋" w:eastAsia="仿宋" w:cs="仿宋"/>
          <w:color w:val="auto"/>
          <w:sz w:val="24"/>
          <w:szCs w:val="24"/>
          <w:highlight w:val="none"/>
        </w:rPr>
      </w:pPr>
    </w:p>
    <w:p w14:paraId="7A05811E">
      <w:pPr>
        <w:pStyle w:val="94"/>
        <w:tabs>
          <w:tab w:val="left" w:pos="750"/>
        </w:tabs>
        <w:adjustRightInd w:val="0"/>
        <w:snapToGrid w:val="0"/>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highlight w:val="none"/>
        </w:rPr>
        <w:t xml:space="preserve"> </w:t>
      </w:r>
    </w:p>
    <w:p w14:paraId="1CDAD894">
      <w:pPr>
        <w:pStyle w:val="94"/>
        <w:rPr>
          <w:rFonts w:hint="eastAsia" w:ascii="仿宋" w:hAnsi="仿宋" w:eastAsia="仿宋" w:cs="仿宋"/>
          <w:color w:val="auto"/>
          <w:highlight w:val="none"/>
        </w:rPr>
      </w:pPr>
    </w:p>
    <w:p w14:paraId="09F01249">
      <w:pPr>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br w:type="page"/>
      </w:r>
    </w:p>
    <w:p w14:paraId="27266E34">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3.2法定代表人（单位负责人）授权书</w:t>
      </w:r>
    </w:p>
    <w:p w14:paraId="2BC8F809">
      <w:pPr>
        <w:pStyle w:val="94"/>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（采购人）   </w:t>
      </w:r>
      <w:r>
        <w:rPr>
          <w:rFonts w:hint="eastAsia" w:ascii="仿宋" w:hAnsi="仿宋" w:eastAsia="仿宋" w:cs="仿宋"/>
          <w:color w:val="auto"/>
          <w:sz w:val="24"/>
          <w:szCs w:val="24"/>
          <w:highlight w:val="none"/>
        </w:rPr>
        <w:t>：</w:t>
      </w:r>
    </w:p>
    <w:p w14:paraId="6FA5AEED">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同志为我公司参加贵单位组织的编号为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标段编号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标 段</w:t>
      </w:r>
      <w:r>
        <w:rPr>
          <w:rFonts w:hint="eastAsia" w:ascii="仿宋" w:hAnsi="仿宋" w:eastAsia="仿宋" w:cs="仿宋"/>
          <w:color w:val="auto"/>
          <w:sz w:val="24"/>
          <w:szCs w:val="24"/>
          <w:highlight w:val="none"/>
          <w:u w:val="single"/>
        </w:rPr>
        <w:t xml:space="preserve"> 名 称）</w:t>
      </w:r>
      <w:r>
        <w:rPr>
          <w:rFonts w:hint="eastAsia" w:ascii="仿宋" w:hAnsi="仿宋" w:eastAsia="仿宋" w:cs="仿宋"/>
          <w:color w:val="auto"/>
          <w:sz w:val="24"/>
          <w:szCs w:val="24"/>
          <w:highlight w:val="none"/>
        </w:rPr>
        <w:t>采购活动的投标代表人，全权代表我公司处理在该项目采购活动中的一切事宜。代理期限从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日止。 </w:t>
      </w:r>
    </w:p>
    <w:p w14:paraId="1EB00E11">
      <w:pPr>
        <w:pStyle w:val="94"/>
        <w:spacing w:line="500" w:lineRule="exact"/>
        <w:rPr>
          <w:rFonts w:hint="eastAsia" w:ascii="仿宋" w:hAnsi="仿宋" w:eastAsia="仿宋" w:cs="仿宋"/>
          <w:color w:val="auto"/>
          <w:sz w:val="24"/>
          <w:szCs w:val="24"/>
          <w:highlight w:val="none"/>
        </w:rPr>
      </w:pPr>
    </w:p>
    <w:p w14:paraId="21AAAA28">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p>
    <w:p w14:paraId="14DF6BF9">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法定代表人（单位负责人）（签字或盖章）：</w:t>
      </w:r>
      <w:r>
        <w:rPr>
          <w:rFonts w:hint="eastAsia" w:ascii="仿宋" w:hAnsi="仿宋" w:eastAsia="仿宋" w:cs="仿宋"/>
          <w:color w:val="auto"/>
          <w:sz w:val="24"/>
          <w:szCs w:val="24"/>
          <w:highlight w:val="none"/>
          <w:u w:val="single"/>
        </w:rPr>
        <w:t xml:space="preserve">                   </w:t>
      </w:r>
    </w:p>
    <w:p w14:paraId="01FBB836">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A5348B">
      <w:pPr>
        <w:pStyle w:val="94"/>
        <w:spacing w:line="500" w:lineRule="exact"/>
        <w:ind w:firstLine="480" w:firstLineChars="200"/>
        <w:rPr>
          <w:rFonts w:hint="eastAsia" w:ascii="仿宋" w:hAnsi="仿宋" w:eastAsia="仿宋" w:cs="仿宋"/>
          <w:color w:val="auto"/>
          <w:sz w:val="24"/>
          <w:szCs w:val="24"/>
          <w:highlight w:val="none"/>
        </w:rPr>
      </w:pPr>
    </w:p>
    <w:p w14:paraId="72B23DB8">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p>
    <w:p w14:paraId="7440B703">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代理人工作单位：</w:t>
      </w:r>
      <w:r>
        <w:rPr>
          <w:rFonts w:hint="eastAsia" w:ascii="仿宋" w:hAnsi="仿宋" w:eastAsia="仿宋" w:cs="仿宋"/>
          <w:color w:val="auto"/>
          <w:sz w:val="24"/>
          <w:szCs w:val="24"/>
          <w:highlight w:val="none"/>
          <w:u w:val="single"/>
        </w:rPr>
        <w:t xml:space="preserve">                          </w:t>
      </w:r>
    </w:p>
    <w:p w14:paraId="117E7A26">
      <w:pPr>
        <w:pStyle w:val="94"/>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p>
    <w:p w14:paraId="323CDEA7">
      <w:pPr>
        <w:pStyle w:val="94"/>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1BBF2A02">
      <w:pPr>
        <w:pStyle w:val="94"/>
        <w:adjustRightInd w:val="0"/>
        <w:snapToGrid w:val="0"/>
        <w:spacing w:line="500" w:lineRule="exact"/>
        <w:ind w:left="-88" w:leftChars="-42" w:firstLine="600" w:firstLineChars="250"/>
        <w:rPr>
          <w:rFonts w:hint="eastAsia" w:ascii="仿宋" w:hAnsi="仿宋" w:eastAsia="仿宋" w:cs="仿宋"/>
          <w:color w:val="auto"/>
          <w:sz w:val="24"/>
          <w:szCs w:val="24"/>
          <w:highlight w:val="none"/>
          <w:u w:val="single"/>
        </w:rPr>
      </w:pPr>
    </w:p>
    <w:tbl>
      <w:tblPr>
        <w:tblStyle w:val="34"/>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6AB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14:paraId="3EE5BBA3">
            <w:pPr>
              <w:pStyle w:val="94"/>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粘贴被授权人身份证（</w:t>
            </w:r>
            <w:r>
              <w:rPr>
                <w:rFonts w:hint="eastAsia" w:ascii="仿宋" w:hAnsi="仿宋" w:eastAsia="仿宋" w:cs="仿宋"/>
                <w:color w:val="auto"/>
                <w:sz w:val="24"/>
                <w:szCs w:val="24"/>
                <w:highlight w:val="none"/>
                <w:lang w:val="en-US" w:eastAsia="zh-CN"/>
              </w:rPr>
              <w:t>复印件</w:t>
            </w:r>
            <w:r>
              <w:rPr>
                <w:rFonts w:hint="eastAsia" w:ascii="仿宋" w:hAnsi="仿宋" w:eastAsia="仿宋" w:cs="仿宋"/>
                <w:color w:val="auto"/>
                <w:sz w:val="24"/>
                <w:szCs w:val="24"/>
                <w:highlight w:val="none"/>
              </w:rPr>
              <w:t>）</w:t>
            </w:r>
          </w:p>
        </w:tc>
      </w:tr>
    </w:tbl>
    <w:p w14:paraId="272C2019">
      <w:pPr>
        <w:autoSpaceDE w:val="0"/>
        <w:autoSpaceDN w:val="0"/>
        <w:adjustRightInd w:val="0"/>
        <w:spacing w:line="500" w:lineRule="exact"/>
        <w:ind w:firstLine="141" w:firstLineChars="50"/>
        <w:jc w:val="left"/>
        <w:rPr>
          <w:rFonts w:hint="eastAsia" w:ascii="仿宋" w:hAnsi="仿宋" w:eastAsia="仿宋" w:cs="仿宋"/>
          <w:b/>
          <w:color w:val="auto"/>
          <w:kern w:val="0"/>
          <w:sz w:val="28"/>
          <w:szCs w:val="28"/>
          <w:highlight w:val="none"/>
        </w:rPr>
      </w:pPr>
    </w:p>
    <w:p w14:paraId="52B4F6EB">
      <w:pPr>
        <w:autoSpaceDE w:val="0"/>
        <w:autoSpaceDN w:val="0"/>
        <w:adjustRightInd w:val="0"/>
        <w:spacing w:line="500" w:lineRule="exact"/>
        <w:ind w:firstLine="141" w:firstLineChars="50"/>
        <w:jc w:val="left"/>
        <w:rPr>
          <w:rFonts w:hint="eastAsia" w:ascii="仿宋" w:hAnsi="仿宋" w:eastAsia="仿宋" w:cs="仿宋"/>
          <w:b/>
          <w:color w:val="auto"/>
          <w:kern w:val="0"/>
          <w:sz w:val="28"/>
          <w:szCs w:val="28"/>
          <w:highlight w:val="none"/>
        </w:rPr>
      </w:pPr>
    </w:p>
    <w:p w14:paraId="49133401">
      <w:pPr>
        <w:pStyle w:val="102"/>
        <w:tabs>
          <w:tab w:val="left" w:pos="8786"/>
        </w:tabs>
        <w:spacing w:after="0"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注：供应商法定代表人（单位负责人）亲自签署响应文件、亲自参加磋商的，不需提供。</w:t>
      </w:r>
    </w:p>
    <w:p w14:paraId="258CCC18">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754CB68">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sectPr>
          <w:headerReference r:id="rId7" w:type="default"/>
          <w:footerReference r:id="rId8" w:type="default"/>
          <w:pgSz w:w="11906" w:h="16838"/>
          <w:pgMar w:top="1440" w:right="1080" w:bottom="1440" w:left="1080" w:header="851" w:footer="992" w:gutter="0"/>
          <w:pgNumType w:fmt="decimal"/>
          <w:cols w:space="425" w:num="1"/>
          <w:docGrid w:linePitch="312" w:charSpace="0"/>
        </w:sectPr>
      </w:pPr>
    </w:p>
    <w:p w14:paraId="7D4A9BF6">
      <w:pPr>
        <w:pStyle w:val="16"/>
        <w:numPr>
          <w:ilvl w:val="0"/>
          <w:numId w:val="7"/>
        </w:numPr>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投标供应商资格文件</w:t>
      </w:r>
    </w:p>
    <w:p w14:paraId="1325FC0B">
      <w:pPr>
        <w:spacing w:before="91" w:line="223" w:lineRule="auto"/>
        <w:ind w:left="3942"/>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供应商基本情况表</w:t>
      </w:r>
    </w:p>
    <w:p w14:paraId="3878F7C0">
      <w:pPr>
        <w:spacing w:line="159" w:lineRule="exact"/>
        <w:rPr>
          <w:color w:val="auto"/>
          <w:highlight w:val="none"/>
        </w:rPr>
      </w:pPr>
    </w:p>
    <w:tbl>
      <w:tblPr>
        <w:tblStyle w:val="122"/>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3593D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1777" w:type="dxa"/>
            <w:vAlign w:val="top"/>
          </w:tcPr>
          <w:p w14:paraId="2C47F603">
            <w:pPr>
              <w:pStyle w:val="121"/>
              <w:spacing w:before="219" w:line="221" w:lineRule="auto"/>
              <w:ind w:left="303"/>
              <w:rPr>
                <w:color w:val="auto"/>
                <w:sz w:val="24"/>
                <w:szCs w:val="24"/>
                <w:highlight w:val="none"/>
              </w:rPr>
            </w:pPr>
            <w:r>
              <w:rPr>
                <w:color w:val="auto"/>
                <w:spacing w:val="-4"/>
                <w:sz w:val="24"/>
                <w:szCs w:val="24"/>
                <w:highlight w:val="none"/>
              </w:rPr>
              <w:t>供应商名称</w:t>
            </w:r>
          </w:p>
        </w:tc>
        <w:tc>
          <w:tcPr>
            <w:tcW w:w="7947" w:type="dxa"/>
            <w:gridSpan w:val="6"/>
            <w:vAlign w:val="top"/>
          </w:tcPr>
          <w:p w14:paraId="529D3618">
            <w:pPr>
              <w:rPr>
                <w:rFonts w:ascii="Arial"/>
                <w:color w:val="auto"/>
                <w:sz w:val="21"/>
                <w:highlight w:val="none"/>
              </w:rPr>
            </w:pPr>
          </w:p>
        </w:tc>
      </w:tr>
      <w:tr w14:paraId="41FB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4E16163">
            <w:pPr>
              <w:pStyle w:val="121"/>
              <w:spacing w:before="213" w:line="224" w:lineRule="auto"/>
              <w:ind w:left="429"/>
              <w:rPr>
                <w:color w:val="auto"/>
                <w:sz w:val="24"/>
                <w:szCs w:val="24"/>
                <w:highlight w:val="none"/>
              </w:rPr>
            </w:pPr>
            <w:r>
              <w:rPr>
                <w:color w:val="auto"/>
                <w:spacing w:val="-6"/>
                <w:sz w:val="24"/>
                <w:szCs w:val="24"/>
                <w:highlight w:val="none"/>
              </w:rPr>
              <w:t>注册地址</w:t>
            </w:r>
          </w:p>
        </w:tc>
        <w:tc>
          <w:tcPr>
            <w:tcW w:w="3891" w:type="dxa"/>
            <w:gridSpan w:val="3"/>
            <w:vAlign w:val="top"/>
          </w:tcPr>
          <w:p w14:paraId="40432BD9">
            <w:pPr>
              <w:rPr>
                <w:rFonts w:ascii="Arial"/>
                <w:color w:val="auto"/>
                <w:sz w:val="21"/>
                <w:highlight w:val="none"/>
              </w:rPr>
            </w:pPr>
          </w:p>
        </w:tc>
        <w:tc>
          <w:tcPr>
            <w:tcW w:w="1425" w:type="dxa"/>
            <w:vAlign w:val="top"/>
          </w:tcPr>
          <w:p w14:paraId="39D96A89">
            <w:pPr>
              <w:pStyle w:val="121"/>
              <w:spacing w:before="213" w:line="222" w:lineRule="auto"/>
              <w:ind w:left="266"/>
              <w:rPr>
                <w:color w:val="auto"/>
                <w:sz w:val="24"/>
                <w:szCs w:val="24"/>
                <w:highlight w:val="none"/>
              </w:rPr>
            </w:pPr>
            <w:r>
              <w:rPr>
                <w:color w:val="auto"/>
                <w:spacing w:val="-9"/>
                <w:sz w:val="24"/>
                <w:szCs w:val="24"/>
                <w:highlight w:val="none"/>
              </w:rPr>
              <w:t>邮政编码</w:t>
            </w:r>
          </w:p>
        </w:tc>
        <w:tc>
          <w:tcPr>
            <w:tcW w:w="2631" w:type="dxa"/>
            <w:gridSpan w:val="2"/>
            <w:vAlign w:val="top"/>
          </w:tcPr>
          <w:p w14:paraId="0E53C887">
            <w:pPr>
              <w:rPr>
                <w:rFonts w:ascii="Arial"/>
                <w:color w:val="auto"/>
                <w:sz w:val="21"/>
                <w:highlight w:val="none"/>
              </w:rPr>
            </w:pPr>
          </w:p>
        </w:tc>
      </w:tr>
      <w:tr w14:paraId="1C1ED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14:paraId="3814C761">
            <w:pPr>
              <w:spacing w:line="472" w:lineRule="auto"/>
              <w:rPr>
                <w:rFonts w:ascii="Arial"/>
                <w:color w:val="auto"/>
                <w:sz w:val="21"/>
                <w:highlight w:val="none"/>
              </w:rPr>
            </w:pPr>
          </w:p>
          <w:p w14:paraId="12103A3E">
            <w:pPr>
              <w:pStyle w:val="121"/>
              <w:spacing w:before="78" w:line="223" w:lineRule="auto"/>
              <w:ind w:left="420"/>
              <w:rPr>
                <w:color w:val="auto"/>
                <w:sz w:val="24"/>
                <w:szCs w:val="24"/>
                <w:highlight w:val="none"/>
              </w:rPr>
            </w:pPr>
            <w:r>
              <w:rPr>
                <w:color w:val="auto"/>
                <w:spacing w:val="-4"/>
                <w:sz w:val="24"/>
                <w:szCs w:val="24"/>
                <w:highlight w:val="none"/>
              </w:rPr>
              <w:t>联系方式</w:t>
            </w:r>
          </w:p>
        </w:tc>
        <w:tc>
          <w:tcPr>
            <w:tcW w:w="1349" w:type="dxa"/>
            <w:vAlign w:val="top"/>
          </w:tcPr>
          <w:p w14:paraId="16781E84">
            <w:pPr>
              <w:pStyle w:val="121"/>
              <w:spacing w:before="215" w:line="224" w:lineRule="auto"/>
              <w:ind w:left="322"/>
              <w:rPr>
                <w:color w:val="auto"/>
                <w:sz w:val="24"/>
                <w:szCs w:val="24"/>
                <w:highlight w:val="none"/>
              </w:rPr>
            </w:pPr>
            <w:r>
              <w:rPr>
                <w:color w:val="auto"/>
                <w:spacing w:val="-5"/>
                <w:sz w:val="24"/>
                <w:szCs w:val="24"/>
                <w:highlight w:val="none"/>
              </w:rPr>
              <w:t>联系人</w:t>
            </w:r>
          </w:p>
        </w:tc>
        <w:tc>
          <w:tcPr>
            <w:tcW w:w="2542" w:type="dxa"/>
            <w:gridSpan w:val="2"/>
            <w:vAlign w:val="top"/>
          </w:tcPr>
          <w:p w14:paraId="7FAB7026">
            <w:pPr>
              <w:rPr>
                <w:rFonts w:ascii="Arial"/>
                <w:color w:val="auto"/>
                <w:sz w:val="21"/>
                <w:highlight w:val="none"/>
              </w:rPr>
            </w:pPr>
          </w:p>
        </w:tc>
        <w:tc>
          <w:tcPr>
            <w:tcW w:w="1425" w:type="dxa"/>
            <w:vAlign w:val="top"/>
          </w:tcPr>
          <w:p w14:paraId="323534A7">
            <w:pPr>
              <w:pStyle w:val="121"/>
              <w:spacing w:before="215" w:line="223" w:lineRule="auto"/>
              <w:ind w:left="394"/>
              <w:rPr>
                <w:color w:val="auto"/>
                <w:sz w:val="24"/>
                <w:szCs w:val="24"/>
                <w:highlight w:val="none"/>
              </w:rPr>
            </w:pPr>
            <w:r>
              <w:rPr>
                <w:color w:val="auto"/>
                <w:spacing w:val="-22"/>
                <w:sz w:val="24"/>
                <w:szCs w:val="24"/>
                <w:highlight w:val="none"/>
              </w:rPr>
              <w:t>电</w:t>
            </w:r>
            <w:r>
              <w:rPr>
                <w:color w:val="auto"/>
                <w:spacing w:val="8"/>
                <w:sz w:val="24"/>
                <w:szCs w:val="24"/>
                <w:highlight w:val="none"/>
              </w:rPr>
              <w:t xml:space="preserve">  </w:t>
            </w:r>
            <w:r>
              <w:rPr>
                <w:color w:val="auto"/>
                <w:spacing w:val="-22"/>
                <w:sz w:val="24"/>
                <w:szCs w:val="24"/>
                <w:highlight w:val="none"/>
              </w:rPr>
              <w:t>话</w:t>
            </w:r>
          </w:p>
        </w:tc>
        <w:tc>
          <w:tcPr>
            <w:tcW w:w="2631" w:type="dxa"/>
            <w:gridSpan w:val="2"/>
            <w:vAlign w:val="top"/>
          </w:tcPr>
          <w:p w14:paraId="190E8D14">
            <w:pPr>
              <w:rPr>
                <w:rFonts w:ascii="Arial"/>
                <w:color w:val="auto"/>
                <w:sz w:val="21"/>
                <w:highlight w:val="none"/>
              </w:rPr>
            </w:pPr>
          </w:p>
        </w:tc>
      </w:tr>
      <w:tr w14:paraId="48E72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14:paraId="131404B9">
            <w:pPr>
              <w:rPr>
                <w:rFonts w:ascii="Arial"/>
                <w:color w:val="auto"/>
                <w:sz w:val="21"/>
                <w:highlight w:val="none"/>
              </w:rPr>
            </w:pPr>
          </w:p>
        </w:tc>
        <w:tc>
          <w:tcPr>
            <w:tcW w:w="1349" w:type="dxa"/>
            <w:vAlign w:val="top"/>
          </w:tcPr>
          <w:p w14:paraId="66C654FC">
            <w:pPr>
              <w:pStyle w:val="121"/>
              <w:spacing w:before="215" w:line="223" w:lineRule="auto"/>
              <w:ind w:left="328"/>
              <w:rPr>
                <w:color w:val="auto"/>
                <w:sz w:val="24"/>
                <w:szCs w:val="24"/>
                <w:highlight w:val="none"/>
              </w:rPr>
            </w:pPr>
            <w:r>
              <w:rPr>
                <w:color w:val="auto"/>
                <w:spacing w:val="-10"/>
                <w:sz w:val="24"/>
                <w:szCs w:val="24"/>
                <w:highlight w:val="none"/>
              </w:rPr>
              <w:t>传</w:t>
            </w:r>
            <w:r>
              <w:rPr>
                <w:color w:val="auto"/>
                <w:spacing w:val="11"/>
                <w:sz w:val="24"/>
                <w:szCs w:val="24"/>
                <w:highlight w:val="none"/>
              </w:rPr>
              <w:t xml:space="preserve">  </w:t>
            </w:r>
            <w:r>
              <w:rPr>
                <w:color w:val="auto"/>
                <w:spacing w:val="-10"/>
                <w:sz w:val="24"/>
                <w:szCs w:val="24"/>
                <w:highlight w:val="none"/>
              </w:rPr>
              <w:t>真</w:t>
            </w:r>
          </w:p>
        </w:tc>
        <w:tc>
          <w:tcPr>
            <w:tcW w:w="2542" w:type="dxa"/>
            <w:gridSpan w:val="2"/>
            <w:vAlign w:val="top"/>
          </w:tcPr>
          <w:p w14:paraId="3C63B8C8">
            <w:pPr>
              <w:rPr>
                <w:rFonts w:ascii="Arial"/>
                <w:color w:val="auto"/>
                <w:sz w:val="21"/>
                <w:highlight w:val="none"/>
              </w:rPr>
            </w:pPr>
          </w:p>
        </w:tc>
        <w:tc>
          <w:tcPr>
            <w:tcW w:w="1425" w:type="dxa"/>
            <w:vAlign w:val="top"/>
          </w:tcPr>
          <w:p w14:paraId="08FB7520">
            <w:pPr>
              <w:pStyle w:val="121"/>
              <w:spacing w:before="214" w:line="224" w:lineRule="auto"/>
              <w:ind w:left="394"/>
              <w:rPr>
                <w:color w:val="auto"/>
                <w:sz w:val="24"/>
                <w:szCs w:val="24"/>
                <w:highlight w:val="none"/>
              </w:rPr>
            </w:pPr>
            <w:r>
              <w:rPr>
                <w:color w:val="auto"/>
                <w:spacing w:val="-22"/>
                <w:sz w:val="24"/>
                <w:szCs w:val="24"/>
                <w:highlight w:val="none"/>
              </w:rPr>
              <w:t>网</w:t>
            </w:r>
            <w:r>
              <w:rPr>
                <w:color w:val="auto"/>
                <w:spacing w:val="10"/>
                <w:sz w:val="24"/>
                <w:szCs w:val="24"/>
                <w:highlight w:val="none"/>
              </w:rPr>
              <w:t xml:space="preserve">  </w:t>
            </w:r>
            <w:r>
              <w:rPr>
                <w:color w:val="auto"/>
                <w:spacing w:val="-22"/>
                <w:sz w:val="24"/>
                <w:szCs w:val="24"/>
                <w:highlight w:val="none"/>
              </w:rPr>
              <w:t>址</w:t>
            </w:r>
          </w:p>
        </w:tc>
        <w:tc>
          <w:tcPr>
            <w:tcW w:w="2631" w:type="dxa"/>
            <w:gridSpan w:val="2"/>
            <w:vAlign w:val="top"/>
          </w:tcPr>
          <w:p w14:paraId="7E897960">
            <w:pPr>
              <w:rPr>
                <w:rFonts w:ascii="Arial"/>
                <w:color w:val="auto"/>
                <w:sz w:val="21"/>
                <w:highlight w:val="none"/>
              </w:rPr>
            </w:pPr>
          </w:p>
        </w:tc>
      </w:tr>
      <w:tr w14:paraId="2D20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D755FD3">
            <w:pPr>
              <w:pStyle w:val="121"/>
              <w:spacing w:before="217" w:line="223" w:lineRule="auto"/>
              <w:ind w:left="310"/>
              <w:rPr>
                <w:color w:val="auto"/>
                <w:sz w:val="24"/>
                <w:szCs w:val="24"/>
                <w:highlight w:val="none"/>
              </w:rPr>
            </w:pPr>
            <w:r>
              <w:rPr>
                <w:color w:val="auto"/>
                <w:spacing w:val="-5"/>
                <w:sz w:val="24"/>
                <w:szCs w:val="24"/>
                <w:highlight w:val="none"/>
              </w:rPr>
              <w:t>法定代表人</w:t>
            </w:r>
          </w:p>
        </w:tc>
        <w:tc>
          <w:tcPr>
            <w:tcW w:w="1349" w:type="dxa"/>
            <w:vAlign w:val="top"/>
          </w:tcPr>
          <w:p w14:paraId="78CB33D6">
            <w:pPr>
              <w:pStyle w:val="121"/>
              <w:spacing w:before="217" w:line="224" w:lineRule="auto"/>
              <w:ind w:left="445"/>
              <w:rPr>
                <w:color w:val="auto"/>
                <w:sz w:val="24"/>
                <w:szCs w:val="24"/>
                <w:highlight w:val="none"/>
              </w:rPr>
            </w:pPr>
            <w:r>
              <w:rPr>
                <w:color w:val="auto"/>
                <w:spacing w:val="-8"/>
                <w:sz w:val="24"/>
                <w:szCs w:val="24"/>
                <w:highlight w:val="none"/>
              </w:rPr>
              <w:t>姓名</w:t>
            </w:r>
          </w:p>
        </w:tc>
        <w:tc>
          <w:tcPr>
            <w:tcW w:w="1137" w:type="dxa"/>
            <w:vAlign w:val="top"/>
          </w:tcPr>
          <w:p w14:paraId="3B5C6E88">
            <w:pPr>
              <w:rPr>
                <w:rFonts w:ascii="Arial"/>
                <w:color w:val="auto"/>
                <w:sz w:val="21"/>
                <w:highlight w:val="none"/>
              </w:rPr>
            </w:pPr>
          </w:p>
        </w:tc>
        <w:tc>
          <w:tcPr>
            <w:tcW w:w="1405" w:type="dxa"/>
            <w:vAlign w:val="top"/>
          </w:tcPr>
          <w:p w14:paraId="5F6F948C">
            <w:pPr>
              <w:pStyle w:val="121"/>
              <w:spacing w:before="217" w:line="221" w:lineRule="auto"/>
              <w:ind w:left="238"/>
              <w:rPr>
                <w:color w:val="auto"/>
                <w:sz w:val="24"/>
                <w:szCs w:val="24"/>
                <w:highlight w:val="none"/>
              </w:rPr>
            </w:pPr>
            <w:r>
              <w:rPr>
                <w:color w:val="auto"/>
                <w:spacing w:val="-5"/>
                <w:sz w:val="24"/>
                <w:szCs w:val="24"/>
                <w:highlight w:val="none"/>
              </w:rPr>
              <w:t>技术职称</w:t>
            </w:r>
          </w:p>
        </w:tc>
        <w:tc>
          <w:tcPr>
            <w:tcW w:w="1425" w:type="dxa"/>
            <w:vAlign w:val="top"/>
          </w:tcPr>
          <w:p w14:paraId="2BC1A52F">
            <w:pPr>
              <w:rPr>
                <w:rFonts w:ascii="Arial"/>
                <w:color w:val="auto"/>
                <w:sz w:val="21"/>
                <w:highlight w:val="none"/>
              </w:rPr>
            </w:pPr>
          </w:p>
        </w:tc>
        <w:tc>
          <w:tcPr>
            <w:tcW w:w="1059" w:type="dxa"/>
            <w:vAlign w:val="top"/>
          </w:tcPr>
          <w:p w14:paraId="586A9751">
            <w:pPr>
              <w:pStyle w:val="121"/>
              <w:spacing w:before="217" w:line="223" w:lineRule="auto"/>
              <w:ind w:left="330"/>
              <w:rPr>
                <w:color w:val="auto"/>
                <w:sz w:val="24"/>
                <w:szCs w:val="24"/>
                <w:highlight w:val="none"/>
              </w:rPr>
            </w:pPr>
            <w:r>
              <w:rPr>
                <w:color w:val="auto"/>
                <w:spacing w:val="-22"/>
                <w:sz w:val="24"/>
                <w:szCs w:val="24"/>
                <w:highlight w:val="none"/>
              </w:rPr>
              <w:t>电话</w:t>
            </w:r>
          </w:p>
        </w:tc>
        <w:tc>
          <w:tcPr>
            <w:tcW w:w="1572" w:type="dxa"/>
            <w:vAlign w:val="top"/>
          </w:tcPr>
          <w:p w14:paraId="5947A1E0">
            <w:pPr>
              <w:rPr>
                <w:rFonts w:ascii="Arial"/>
                <w:color w:val="auto"/>
                <w:sz w:val="21"/>
                <w:highlight w:val="none"/>
              </w:rPr>
            </w:pPr>
          </w:p>
        </w:tc>
      </w:tr>
      <w:tr w14:paraId="708A1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67C910D">
            <w:pPr>
              <w:pStyle w:val="121"/>
              <w:spacing w:before="216" w:line="223" w:lineRule="auto"/>
              <w:ind w:left="426"/>
              <w:rPr>
                <w:color w:val="auto"/>
                <w:sz w:val="24"/>
                <w:szCs w:val="24"/>
                <w:highlight w:val="none"/>
              </w:rPr>
            </w:pPr>
            <w:r>
              <w:rPr>
                <w:color w:val="auto"/>
                <w:spacing w:val="-5"/>
                <w:sz w:val="24"/>
                <w:szCs w:val="24"/>
                <w:highlight w:val="none"/>
              </w:rPr>
              <w:t>成立时间</w:t>
            </w:r>
          </w:p>
        </w:tc>
        <w:tc>
          <w:tcPr>
            <w:tcW w:w="7947" w:type="dxa"/>
            <w:gridSpan w:val="6"/>
            <w:vAlign w:val="top"/>
          </w:tcPr>
          <w:p w14:paraId="0C70862A">
            <w:pPr>
              <w:rPr>
                <w:rFonts w:ascii="Arial"/>
                <w:color w:val="auto"/>
                <w:sz w:val="21"/>
                <w:highlight w:val="none"/>
              </w:rPr>
            </w:pPr>
          </w:p>
        </w:tc>
      </w:tr>
      <w:tr w14:paraId="4607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0821F1B">
            <w:pPr>
              <w:pStyle w:val="121"/>
              <w:spacing w:before="216" w:line="224" w:lineRule="auto"/>
              <w:ind w:left="309"/>
              <w:rPr>
                <w:color w:val="auto"/>
                <w:sz w:val="24"/>
                <w:szCs w:val="24"/>
                <w:highlight w:val="none"/>
              </w:rPr>
            </w:pPr>
            <w:r>
              <w:rPr>
                <w:color w:val="auto"/>
                <w:spacing w:val="-5"/>
                <w:sz w:val="24"/>
                <w:szCs w:val="24"/>
                <w:highlight w:val="none"/>
              </w:rPr>
              <w:t>营业执照号</w:t>
            </w:r>
          </w:p>
        </w:tc>
        <w:tc>
          <w:tcPr>
            <w:tcW w:w="2486" w:type="dxa"/>
            <w:gridSpan w:val="2"/>
            <w:vAlign w:val="top"/>
          </w:tcPr>
          <w:p w14:paraId="77D6A880">
            <w:pPr>
              <w:rPr>
                <w:rFonts w:ascii="Arial"/>
                <w:color w:val="auto"/>
                <w:sz w:val="21"/>
                <w:highlight w:val="none"/>
              </w:rPr>
            </w:pPr>
          </w:p>
        </w:tc>
        <w:tc>
          <w:tcPr>
            <w:tcW w:w="1405" w:type="dxa"/>
            <w:vMerge w:val="restart"/>
            <w:tcBorders>
              <w:bottom w:val="nil"/>
            </w:tcBorders>
            <w:vAlign w:val="top"/>
          </w:tcPr>
          <w:p w14:paraId="3BA92B17">
            <w:pPr>
              <w:spacing w:line="287" w:lineRule="auto"/>
              <w:rPr>
                <w:rFonts w:ascii="Arial"/>
                <w:color w:val="auto"/>
                <w:sz w:val="21"/>
                <w:highlight w:val="none"/>
              </w:rPr>
            </w:pPr>
          </w:p>
          <w:p w14:paraId="2294A843">
            <w:pPr>
              <w:spacing w:line="287" w:lineRule="auto"/>
              <w:rPr>
                <w:rFonts w:ascii="Arial"/>
                <w:color w:val="auto"/>
                <w:sz w:val="21"/>
                <w:highlight w:val="none"/>
              </w:rPr>
            </w:pPr>
          </w:p>
          <w:p w14:paraId="21355015">
            <w:pPr>
              <w:spacing w:line="288" w:lineRule="auto"/>
              <w:rPr>
                <w:rFonts w:ascii="Arial"/>
                <w:color w:val="auto"/>
                <w:sz w:val="21"/>
                <w:highlight w:val="none"/>
              </w:rPr>
            </w:pPr>
          </w:p>
          <w:p w14:paraId="25E12B69">
            <w:pPr>
              <w:spacing w:line="288" w:lineRule="auto"/>
              <w:rPr>
                <w:rFonts w:ascii="Arial"/>
                <w:color w:val="auto"/>
                <w:sz w:val="21"/>
                <w:highlight w:val="none"/>
              </w:rPr>
            </w:pPr>
          </w:p>
          <w:p w14:paraId="3E5A1AB9">
            <w:pPr>
              <w:pStyle w:val="121"/>
              <w:spacing w:before="78" w:line="224" w:lineRule="auto"/>
              <w:ind w:left="238"/>
              <w:rPr>
                <w:color w:val="auto"/>
                <w:sz w:val="24"/>
                <w:szCs w:val="24"/>
                <w:highlight w:val="none"/>
              </w:rPr>
            </w:pPr>
            <w:r>
              <w:rPr>
                <w:color w:val="auto"/>
                <w:spacing w:val="-5"/>
                <w:sz w:val="24"/>
                <w:szCs w:val="24"/>
                <w:highlight w:val="none"/>
              </w:rPr>
              <w:t>企业人员</w:t>
            </w:r>
          </w:p>
        </w:tc>
        <w:tc>
          <w:tcPr>
            <w:tcW w:w="1425" w:type="dxa"/>
            <w:vAlign w:val="top"/>
          </w:tcPr>
          <w:p w14:paraId="3822F797">
            <w:pPr>
              <w:rPr>
                <w:rFonts w:ascii="Arial"/>
                <w:color w:val="auto"/>
                <w:sz w:val="21"/>
                <w:highlight w:val="none"/>
              </w:rPr>
            </w:pPr>
          </w:p>
        </w:tc>
        <w:tc>
          <w:tcPr>
            <w:tcW w:w="2631" w:type="dxa"/>
            <w:gridSpan w:val="2"/>
            <w:vAlign w:val="top"/>
          </w:tcPr>
          <w:p w14:paraId="3DCBEDA0">
            <w:pPr>
              <w:rPr>
                <w:rFonts w:ascii="Arial"/>
                <w:color w:val="auto"/>
                <w:sz w:val="21"/>
                <w:highlight w:val="none"/>
              </w:rPr>
            </w:pPr>
          </w:p>
        </w:tc>
      </w:tr>
      <w:tr w14:paraId="0A66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93C0E30">
            <w:pPr>
              <w:pStyle w:val="121"/>
              <w:spacing w:before="215" w:line="224" w:lineRule="auto"/>
              <w:ind w:left="429"/>
              <w:rPr>
                <w:color w:val="auto"/>
                <w:sz w:val="24"/>
                <w:szCs w:val="24"/>
                <w:highlight w:val="none"/>
              </w:rPr>
            </w:pPr>
            <w:r>
              <w:rPr>
                <w:color w:val="auto"/>
                <w:spacing w:val="-6"/>
                <w:sz w:val="24"/>
                <w:szCs w:val="24"/>
                <w:highlight w:val="none"/>
              </w:rPr>
              <w:t>注册资金</w:t>
            </w:r>
          </w:p>
        </w:tc>
        <w:tc>
          <w:tcPr>
            <w:tcW w:w="2486" w:type="dxa"/>
            <w:gridSpan w:val="2"/>
            <w:vAlign w:val="top"/>
          </w:tcPr>
          <w:p w14:paraId="541378E6">
            <w:pPr>
              <w:rPr>
                <w:rFonts w:ascii="Arial"/>
                <w:color w:val="auto"/>
                <w:sz w:val="21"/>
                <w:highlight w:val="none"/>
              </w:rPr>
            </w:pPr>
          </w:p>
        </w:tc>
        <w:tc>
          <w:tcPr>
            <w:tcW w:w="1405" w:type="dxa"/>
            <w:vMerge w:val="continue"/>
            <w:tcBorders>
              <w:top w:val="nil"/>
              <w:bottom w:val="nil"/>
            </w:tcBorders>
            <w:vAlign w:val="top"/>
          </w:tcPr>
          <w:p w14:paraId="02BA6FA4">
            <w:pPr>
              <w:rPr>
                <w:rFonts w:ascii="Arial"/>
                <w:color w:val="auto"/>
                <w:sz w:val="21"/>
                <w:highlight w:val="none"/>
              </w:rPr>
            </w:pPr>
          </w:p>
        </w:tc>
        <w:tc>
          <w:tcPr>
            <w:tcW w:w="1425" w:type="dxa"/>
            <w:vAlign w:val="top"/>
          </w:tcPr>
          <w:p w14:paraId="5942B857">
            <w:pPr>
              <w:rPr>
                <w:rFonts w:ascii="Arial"/>
                <w:color w:val="auto"/>
                <w:sz w:val="21"/>
                <w:highlight w:val="none"/>
              </w:rPr>
            </w:pPr>
          </w:p>
        </w:tc>
        <w:tc>
          <w:tcPr>
            <w:tcW w:w="2631" w:type="dxa"/>
            <w:gridSpan w:val="2"/>
            <w:vAlign w:val="top"/>
          </w:tcPr>
          <w:p w14:paraId="340684F6">
            <w:pPr>
              <w:rPr>
                <w:rFonts w:ascii="Arial"/>
                <w:color w:val="auto"/>
                <w:sz w:val="21"/>
                <w:highlight w:val="none"/>
              </w:rPr>
            </w:pPr>
          </w:p>
        </w:tc>
      </w:tr>
      <w:tr w14:paraId="018D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D0BD46F">
            <w:pPr>
              <w:pStyle w:val="121"/>
              <w:spacing w:before="217" w:line="221" w:lineRule="auto"/>
              <w:ind w:left="422"/>
              <w:rPr>
                <w:color w:val="auto"/>
                <w:sz w:val="24"/>
                <w:szCs w:val="24"/>
                <w:highlight w:val="none"/>
              </w:rPr>
            </w:pPr>
            <w:r>
              <w:rPr>
                <w:color w:val="auto"/>
                <w:spacing w:val="-4"/>
                <w:sz w:val="24"/>
                <w:szCs w:val="24"/>
                <w:highlight w:val="none"/>
              </w:rPr>
              <w:t>开户银行</w:t>
            </w:r>
          </w:p>
        </w:tc>
        <w:tc>
          <w:tcPr>
            <w:tcW w:w="2486" w:type="dxa"/>
            <w:gridSpan w:val="2"/>
            <w:vAlign w:val="top"/>
          </w:tcPr>
          <w:p w14:paraId="2312172B">
            <w:pPr>
              <w:rPr>
                <w:rFonts w:ascii="Arial"/>
                <w:color w:val="auto"/>
                <w:sz w:val="21"/>
                <w:highlight w:val="none"/>
              </w:rPr>
            </w:pPr>
          </w:p>
        </w:tc>
        <w:tc>
          <w:tcPr>
            <w:tcW w:w="1405" w:type="dxa"/>
            <w:vMerge w:val="continue"/>
            <w:tcBorders>
              <w:top w:val="nil"/>
              <w:bottom w:val="nil"/>
            </w:tcBorders>
            <w:vAlign w:val="top"/>
          </w:tcPr>
          <w:p w14:paraId="2601582D">
            <w:pPr>
              <w:rPr>
                <w:rFonts w:ascii="Arial"/>
                <w:color w:val="auto"/>
                <w:sz w:val="21"/>
                <w:highlight w:val="none"/>
              </w:rPr>
            </w:pPr>
          </w:p>
        </w:tc>
        <w:tc>
          <w:tcPr>
            <w:tcW w:w="1425" w:type="dxa"/>
            <w:vAlign w:val="top"/>
          </w:tcPr>
          <w:p w14:paraId="3CD43479">
            <w:pPr>
              <w:rPr>
                <w:rFonts w:ascii="Arial"/>
                <w:color w:val="auto"/>
                <w:sz w:val="21"/>
                <w:highlight w:val="none"/>
              </w:rPr>
            </w:pPr>
          </w:p>
        </w:tc>
        <w:tc>
          <w:tcPr>
            <w:tcW w:w="2631" w:type="dxa"/>
            <w:gridSpan w:val="2"/>
            <w:vAlign w:val="top"/>
          </w:tcPr>
          <w:p w14:paraId="256387BD">
            <w:pPr>
              <w:rPr>
                <w:rFonts w:ascii="Arial"/>
                <w:color w:val="auto"/>
                <w:sz w:val="21"/>
                <w:highlight w:val="none"/>
              </w:rPr>
            </w:pPr>
          </w:p>
        </w:tc>
      </w:tr>
      <w:tr w14:paraId="47E8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77867ED5">
            <w:pPr>
              <w:pStyle w:val="121"/>
              <w:spacing w:before="215" w:line="224" w:lineRule="auto"/>
              <w:ind w:left="480"/>
              <w:rPr>
                <w:color w:val="auto"/>
                <w:sz w:val="24"/>
                <w:szCs w:val="24"/>
                <w:highlight w:val="none"/>
              </w:rPr>
            </w:pPr>
            <w:r>
              <w:rPr>
                <w:color w:val="auto"/>
                <w:spacing w:val="-7"/>
                <w:sz w:val="24"/>
                <w:szCs w:val="24"/>
                <w:highlight w:val="none"/>
              </w:rPr>
              <w:t>账</w:t>
            </w:r>
            <w:r>
              <w:rPr>
                <w:color w:val="auto"/>
                <w:spacing w:val="7"/>
                <w:sz w:val="24"/>
                <w:szCs w:val="24"/>
                <w:highlight w:val="none"/>
              </w:rPr>
              <w:t xml:space="preserve">   </w:t>
            </w:r>
            <w:r>
              <w:rPr>
                <w:color w:val="auto"/>
                <w:spacing w:val="-7"/>
                <w:sz w:val="24"/>
                <w:szCs w:val="24"/>
                <w:highlight w:val="none"/>
              </w:rPr>
              <w:t>号</w:t>
            </w:r>
          </w:p>
        </w:tc>
        <w:tc>
          <w:tcPr>
            <w:tcW w:w="2486" w:type="dxa"/>
            <w:gridSpan w:val="2"/>
            <w:vAlign w:val="top"/>
          </w:tcPr>
          <w:p w14:paraId="6814482E">
            <w:pPr>
              <w:rPr>
                <w:rFonts w:ascii="Arial"/>
                <w:color w:val="auto"/>
                <w:sz w:val="21"/>
                <w:highlight w:val="none"/>
              </w:rPr>
            </w:pPr>
          </w:p>
        </w:tc>
        <w:tc>
          <w:tcPr>
            <w:tcW w:w="1405" w:type="dxa"/>
            <w:vMerge w:val="continue"/>
            <w:tcBorders>
              <w:top w:val="nil"/>
            </w:tcBorders>
            <w:vAlign w:val="top"/>
          </w:tcPr>
          <w:p w14:paraId="678C0EA1">
            <w:pPr>
              <w:rPr>
                <w:rFonts w:ascii="Arial"/>
                <w:color w:val="auto"/>
                <w:sz w:val="21"/>
                <w:highlight w:val="none"/>
              </w:rPr>
            </w:pPr>
          </w:p>
        </w:tc>
        <w:tc>
          <w:tcPr>
            <w:tcW w:w="1425" w:type="dxa"/>
            <w:vAlign w:val="top"/>
          </w:tcPr>
          <w:p w14:paraId="550D0DFA">
            <w:pPr>
              <w:rPr>
                <w:rFonts w:ascii="Arial"/>
                <w:color w:val="auto"/>
                <w:sz w:val="21"/>
                <w:highlight w:val="none"/>
              </w:rPr>
            </w:pPr>
          </w:p>
        </w:tc>
        <w:tc>
          <w:tcPr>
            <w:tcW w:w="2631" w:type="dxa"/>
            <w:gridSpan w:val="2"/>
            <w:vAlign w:val="top"/>
          </w:tcPr>
          <w:p w14:paraId="29D6B615">
            <w:pPr>
              <w:rPr>
                <w:rFonts w:ascii="Arial"/>
                <w:color w:val="auto"/>
                <w:sz w:val="21"/>
                <w:highlight w:val="none"/>
              </w:rPr>
            </w:pPr>
          </w:p>
        </w:tc>
      </w:tr>
      <w:tr w14:paraId="6A68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14:paraId="7FD63B66">
            <w:pPr>
              <w:spacing w:line="298" w:lineRule="auto"/>
              <w:rPr>
                <w:rFonts w:ascii="Arial"/>
                <w:color w:val="auto"/>
                <w:sz w:val="21"/>
                <w:highlight w:val="none"/>
              </w:rPr>
            </w:pPr>
          </w:p>
          <w:p w14:paraId="7A303819">
            <w:pPr>
              <w:spacing w:line="299" w:lineRule="auto"/>
              <w:rPr>
                <w:rFonts w:ascii="Arial"/>
                <w:color w:val="auto"/>
                <w:sz w:val="21"/>
                <w:highlight w:val="none"/>
              </w:rPr>
            </w:pPr>
          </w:p>
          <w:p w14:paraId="2E13B1DB">
            <w:pPr>
              <w:spacing w:line="299" w:lineRule="auto"/>
              <w:rPr>
                <w:rFonts w:ascii="Arial"/>
                <w:color w:val="auto"/>
                <w:sz w:val="21"/>
                <w:highlight w:val="none"/>
              </w:rPr>
            </w:pPr>
          </w:p>
          <w:p w14:paraId="15CC2A03">
            <w:pPr>
              <w:spacing w:line="299" w:lineRule="auto"/>
              <w:rPr>
                <w:rFonts w:ascii="Arial"/>
                <w:color w:val="auto"/>
                <w:sz w:val="21"/>
                <w:highlight w:val="none"/>
              </w:rPr>
            </w:pPr>
          </w:p>
          <w:p w14:paraId="42DBD9A7">
            <w:pPr>
              <w:pStyle w:val="121"/>
              <w:spacing w:before="78" w:line="223" w:lineRule="auto"/>
              <w:ind w:left="422"/>
              <w:rPr>
                <w:color w:val="auto"/>
                <w:sz w:val="24"/>
                <w:szCs w:val="24"/>
                <w:highlight w:val="none"/>
              </w:rPr>
            </w:pPr>
            <w:r>
              <w:rPr>
                <w:color w:val="auto"/>
                <w:spacing w:val="-4"/>
                <w:sz w:val="24"/>
                <w:szCs w:val="24"/>
                <w:highlight w:val="none"/>
              </w:rPr>
              <w:t>经营范围</w:t>
            </w:r>
          </w:p>
        </w:tc>
        <w:tc>
          <w:tcPr>
            <w:tcW w:w="7947" w:type="dxa"/>
            <w:gridSpan w:val="6"/>
            <w:vAlign w:val="top"/>
          </w:tcPr>
          <w:p w14:paraId="50B9BAC4">
            <w:pPr>
              <w:rPr>
                <w:rFonts w:ascii="Arial"/>
                <w:color w:val="auto"/>
                <w:sz w:val="21"/>
                <w:highlight w:val="none"/>
              </w:rPr>
            </w:pPr>
          </w:p>
        </w:tc>
      </w:tr>
      <w:tr w14:paraId="3BA4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66CC6414">
            <w:pPr>
              <w:pStyle w:val="121"/>
              <w:spacing w:before="250" w:line="224" w:lineRule="auto"/>
              <w:ind w:left="484"/>
              <w:outlineLvl w:val="1"/>
              <w:rPr>
                <w:color w:val="auto"/>
                <w:sz w:val="24"/>
                <w:szCs w:val="24"/>
                <w:highlight w:val="none"/>
              </w:rPr>
            </w:pPr>
            <w:r>
              <w:rPr>
                <w:color w:val="auto"/>
                <w:spacing w:val="-9"/>
                <w:sz w:val="24"/>
                <w:szCs w:val="24"/>
                <w:highlight w:val="none"/>
              </w:rPr>
              <w:t>备</w:t>
            </w:r>
            <w:r>
              <w:rPr>
                <w:color w:val="auto"/>
                <w:spacing w:val="7"/>
                <w:sz w:val="24"/>
                <w:szCs w:val="24"/>
                <w:highlight w:val="none"/>
              </w:rPr>
              <w:t xml:space="preserve">   </w:t>
            </w:r>
            <w:r>
              <w:rPr>
                <w:color w:val="auto"/>
                <w:spacing w:val="-9"/>
                <w:sz w:val="24"/>
                <w:szCs w:val="24"/>
                <w:highlight w:val="none"/>
              </w:rPr>
              <w:t>注</w:t>
            </w:r>
          </w:p>
        </w:tc>
        <w:tc>
          <w:tcPr>
            <w:tcW w:w="7947" w:type="dxa"/>
            <w:gridSpan w:val="6"/>
            <w:vAlign w:val="top"/>
          </w:tcPr>
          <w:p w14:paraId="29E6BBE5">
            <w:pPr>
              <w:rPr>
                <w:rFonts w:ascii="Arial"/>
                <w:color w:val="auto"/>
                <w:sz w:val="21"/>
                <w:highlight w:val="none"/>
              </w:rPr>
            </w:pPr>
          </w:p>
        </w:tc>
      </w:tr>
    </w:tbl>
    <w:p w14:paraId="6D433B37">
      <w:pPr>
        <w:bidi w:val="0"/>
        <w:rPr>
          <w:rFonts w:hint="default"/>
          <w:color w:val="auto"/>
          <w:highlight w:val="none"/>
          <w:lang w:val="en-US" w:eastAsia="zh-CN"/>
        </w:rPr>
      </w:pPr>
      <w:r>
        <w:rPr>
          <w:rFonts w:ascii="仿宋" w:hAnsi="仿宋" w:eastAsia="仿宋" w:cs="仿宋"/>
          <w:color w:val="auto"/>
          <w:spacing w:val="-2"/>
          <w:sz w:val="28"/>
          <w:szCs w:val="28"/>
          <w:highlight w:val="none"/>
        </w:rPr>
        <w:t>（附营业执照等</w:t>
      </w:r>
      <w:r>
        <w:rPr>
          <w:rFonts w:hint="eastAsia" w:ascii="仿宋" w:hAnsi="仿宋" w:eastAsia="仿宋" w:cs="仿宋"/>
          <w:color w:val="auto"/>
          <w:spacing w:val="-2"/>
          <w:sz w:val="28"/>
          <w:szCs w:val="28"/>
          <w:highlight w:val="none"/>
          <w:lang w:eastAsia="zh-CN"/>
        </w:rPr>
        <w:t>资格证明文件，格式自拟</w:t>
      </w:r>
      <w:r>
        <w:rPr>
          <w:rFonts w:ascii="仿宋" w:hAnsi="仿宋" w:eastAsia="仿宋" w:cs="仿宋"/>
          <w:color w:val="auto"/>
          <w:spacing w:val="-2"/>
          <w:sz w:val="28"/>
          <w:szCs w:val="28"/>
          <w:highlight w:val="none"/>
        </w:rPr>
        <w:t>）</w:t>
      </w:r>
    </w:p>
    <w:p w14:paraId="15683FDE">
      <w:pPr>
        <w:bidi w:val="0"/>
        <w:rPr>
          <w:rFonts w:hint="default"/>
          <w:color w:val="auto"/>
          <w:highlight w:val="none"/>
          <w:lang w:val="en-US" w:eastAsia="zh-CN"/>
        </w:rPr>
      </w:pPr>
    </w:p>
    <w:p w14:paraId="3437B7EE">
      <w:pPr>
        <w:bidi w:val="0"/>
        <w:rPr>
          <w:rFonts w:hint="default"/>
          <w:color w:val="auto"/>
          <w:highlight w:val="none"/>
          <w:lang w:val="en-US" w:eastAsia="zh-CN"/>
        </w:rPr>
      </w:pPr>
    </w:p>
    <w:p w14:paraId="3714130B">
      <w:pPr>
        <w:bidi w:val="0"/>
        <w:rPr>
          <w:rFonts w:hint="default"/>
          <w:color w:val="auto"/>
          <w:highlight w:val="none"/>
          <w:lang w:val="en-US" w:eastAsia="zh-CN"/>
        </w:rPr>
      </w:pPr>
    </w:p>
    <w:p w14:paraId="50B07CB5">
      <w:pPr>
        <w:bidi w:val="0"/>
        <w:rPr>
          <w:rFonts w:hint="default"/>
          <w:color w:val="auto"/>
          <w:highlight w:val="none"/>
          <w:lang w:val="en-US" w:eastAsia="zh-CN"/>
        </w:rPr>
        <w:sectPr>
          <w:pgSz w:w="11906" w:h="16838"/>
          <w:pgMar w:top="1440" w:right="1080" w:bottom="1440" w:left="1080" w:header="851" w:footer="992" w:gutter="0"/>
          <w:pgNumType w:fmt="decimal"/>
          <w:cols w:space="425" w:num="1"/>
          <w:docGrid w:linePitch="312" w:charSpace="0"/>
        </w:sectPr>
      </w:pPr>
    </w:p>
    <w:p w14:paraId="25D50B06">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5.报价一览表</w:t>
      </w:r>
    </w:p>
    <w:p w14:paraId="6B63E735">
      <w:pPr>
        <w:spacing w:before="157"/>
        <w:rPr>
          <w:color w:val="auto"/>
          <w:highlight w:val="none"/>
        </w:rPr>
      </w:pPr>
    </w:p>
    <w:tbl>
      <w:tblPr>
        <w:tblStyle w:val="122"/>
        <w:tblW w:w="876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2"/>
        <w:gridCol w:w="5841"/>
      </w:tblGrid>
      <w:tr w14:paraId="4589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922" w:type="dxa"/>
            <w:vAlign w:val="top"/>
          </w:tcPr>
          <w:p w14:paraId="1FB52AF8">
            <w:pPr>
              <w:pStyle w:val="121"/>
              <w:spacing w:before="125" w:line="219" w:lineRule="auto"/>
              <w:ind w:left="918"/>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标段名称</w:t>
            </w:r>
          </w:p>
        </w:tc>
        <w:tc>
          <w:tcPr>
            <w:tcW w:w="5841" w:type="dxa"/>
            <w:vAlign w:val="top"/>
          </w:tcPr>
          <w:p w14:paraId="36A43352">
            <w:pPr>
              <w:rPr>
                <w:rFonts w:hint="eastAsia" w:ascii="仿宋" w:hAnsi="仿宋" w:eastAsia="仿宋" w:cs="仿宋"/>
                <w:color w:val="auto"/>
                <w:sz w:val="21"/>
                <w:highlight w:val="none"/>
              </w:rPr>
            </w:pPr>
          </w:p>
        </w:tc>
      </w:tr>
      <w:tr w14:paraId="2B546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922" w:type="dxa"/>
            <w:vAlign w:val="top"/>
          </w:tcPr>
          <w:p w14:paraId="5043B335">
            <w:pPr>
              <w:pStyle w:val="121"/>
              <w:spacing w:before="120" w:line="219" w:lineRule="auto"/>
              <w:ind w:left="918"/>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标段编号</w:t>
            </w:r>
          </w:p>
        </w:tc>
        <w:tc>
          <w:tcPr>
            <w:tcW w:w="5841" w:type="dxa"/>
            <w:vAlign w:val="top"/>
          </w:tcPr>
          <w:p w14:paraId="69F74A2F">
            <w:pPr>
              <w:rPr>
                <w:rFonts w:hint="eastAsia" w:ascii="仿宋" w:hAnsi="仿宋" w:eastAsia="仿宋" w:cs="仿宋"/>
                <w:color w:val="auto"/>
                <w:sz w:val="21"/>
                <w:highlight w:val="none"/>
              </w:rPr>
            </w:pPr>
          </w:p>
        </w:tc>
      </w:tr>
      <w:tr w14:paraId="0C27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2922" w:type="dxa"/>
            <w:vAlign w:val="top"/>
          </w:tcPr>
          <w:p w14:paraId="304F1D59">
            <w:pPr>
              <w:spacing w:line="247" w:lineRule="auto"/>
              <w:rPr>
                <w:rFonts w:hint="eastAsia" w:ascii="仿宋" w:hAnsi="仿宋" w:eastAsia="仿宋" w:cs="仿宋"/>
                <w:color w:val="auto"/>
                <w:sz w:val="21"/>
                <w:highlight w:val="none"/>
              </w:rPr>
            </w:pPr>
          </w:p>
          <w:p w14:paraId="0C4566D0">
            <w:pPr>
              <w:pStyle w:val="121"/>
              <w:spacing w:before="91" w:line="223" w:lineRule="auto"/>
              <w:jc w:val="right"/>
              <w:rPr>
                <w:rFonts w:hint="eastAsia" w:ascii="仿宋" w:hAnsi="仿宋" w:eastAsia="仿宋" w:cs="仿宋"/>
                <w:color w:val="auto"/>
                <w:highlight w:val="none"/>
              </w:rPr>
            </w:pPr>
            <w:r>
              <w:rPr>
                <w:rFonts w:hint="eastAsia" w:ascii="仿宋" w:hAnsi="仿宋" w:eastAsia="仿宋" w:cs="仿宋"/>
                <w:color w:val="auto"/>
                <w:spacing w:val="-17"/>
                <w:highlight w:val="none"/>
              </w:rPr>
              <w:t>投标总报价（人民币</w:t>
            </w:r>
            <w:r>
              <w:rPr>
                <w:rFonts w:hint="eastAsia" w:ascii="仿宋" w:hAnsi="仿宋" w:eastAsia="仿宋" w:cs="仿宋"/>
                <w:color w:val="auto"/>
                <w:spacing w:val="-68"/>
                <w:highlight w:val="none"/>
              </w:rPr>
              <w:t>）：</w:t>
            </w:r>
          </w:p>
        </w:tc>
        <w:tc>
          <w:tcPr>
            <w:tcW w:w="5841" w:type="dxa"/>
            <w:vAlign w:val="top"/>
          </w:tcPr>
          <w:p w14:paraId="32089500">
            <w:pPr>
              <w:pStyle w:val="121"/>
              <w:spacing w:before="100" w:line="215" w:lineRule="auto"/>
              <w:ind w:left="122"/>
              <w:rPr>
                <w:rFonts w:hint="eastAsia" w:ascii="仿宋" w:hAnsi="仿宋" w:eastAsia="仿宋" w:cs="仿宋"/>
                <w:color w:val="auto"/>
                <w:highlight w:val="none"/>
              </w:rPr>
            </w:pPr>
          </w:p>
        </w:tc>
      </w:tr>
      <w:tr w14:paraId="703B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922" w:type="dxa"/>
            <w:vAlign w:val="top"/>
          </w:tcPr>
          <w:p w14:paraId="27FCB940">
            <w:pPr>
              <w:pStyle w:val="121"/>
              <w:spacing w:before="115" w:line="250" w:lineRule="auto"/>
              <w:ind w:left="1042" w:leftChars="378" w:right="198" w:hanging="248" w:hangingChars="98"/>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服务期限</w:t>
            </w:r>
            <w:r>
              <w:rPr>
                <w:rFonts w:hint="eastAsia" w:ascii="仿宋" w:hAnsi="仿宋" w:eastAsia="仿宋" w:cs="仿宋"/>
                <w:color w:val="auto"/>
                <w:spacing w:val="-7"/>
                <w:highlight w:val="none"/>
              </w:rPr>
              <w:t>：</w:t>
            </w:r>
          </w:p>
        </w:tc>
        <w:tc>
          <w:tcPr>
            <w:tcW w:w="5841" w:type="dxa"/>
            <w:vAlign w:val="top"/>
          </w:tcPr>
          <w:p w14:paraId="6CBC0D38">
            <w:pPr>
              <w:rPr>
                <w:rFonts w:hint="eastAsia" w:ascii="仿宋" w:hAnsi="仿宋" w:eastAsia="仿宋" w:cs="仿宋"/>
                <w:color w:val="auto"/>
                <w:sz w:val="21"/>
                <w:highlight w:val="none"/>
              </w:rPr>
            </w:pPr>
          </w:p>
        </w:tc>
      </w:tr>
      <w:tr w14:paraId="1BB2C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922" w:type="dxa"/>
            <w:vAlign w:val="top"/>
          </w:tcPr>
          <w:p w14:paraId="409A4092">
            <w:pPr>
              <w:pStyle w:val="121"/>
              <w:spacing w:before="115" w:line="223" w:lineRule="auto"/>
              <w:ind w:left="636"/>
              <w:rPr>
                <w:rFonts w:hint="eastAsia" w:ascii="仿宋" w:hAnsi="仿宋" w:eastAsia="仿宋" w:cs="仿宋"/>
                <w:color w:val="auto"/>
                <w:highlight w:val="none"/>
              </w:rPr>
            </w:pPr>
            <w:r>
              <w:rPr>
                <w:rFonts w:hint="eastAsia" w:ascii="仿宋" w:hAnsi="仿宋" w:eastAsia="仿宋" w:cs="仿宋"/>
                <w:color w:val="auto"/>
                <w:spacing w:val="-3"/>
                <w:highlight w:val="none"/>
              </w:rPr>
              <w:t>报价总说明：</w:t>
            </w:r>
          </w:p>
        </w:tc>
        <w:tc>
          <w:tcPr>
            <w:tcW w:w="5841" w:type="dxa"/>
            <w:vAlign w:val="top"/>
          </w:tcPr>
          <w:p w14:paraId="3E68F041">
            <w:pPr>
              <w:rPr>
                <w:rFonts w:hint="eastAsia" w:ascii="仿宋" w:hAnsi="仿宋" w:eastAsia="仿宋" w:cs="仿宋"/>
                <w:color w:val="auto"/>
                <w:sz w:val="21"/>
                <w:highlight w:val="none"/>
                <w:lang w:eastAsia="zh-CN"/>
              </w:rPr>
            </w:pPr>
          </w:p>
        </w:tc>
      </w:tr>
    </w:tbl>
    <w:p w14:paraId="4446E749">
      <w:pPr>
        <w:spacing w:line="331" w:lineRule="auto"/>
        <w:rPr>
          <w:rFonts w:hint="eastAsia" w:ascii="仿宋" w:hAnsi="仿宋" w:eastAsia="仿宋" w:cs="仿宋"/>
          <w:color w:val="auto"/>
          <w:sz w:val="21"/>
          <w:highlight w:val="none"/>
        </w:rPr>
      </w:pPr>
    </w:p>
    <w:p w14:paraId="09A1E73A">
      <w:pPr>
        <w:pStyle w:val="16"/>
        <w:spacing w:after="0" w:line="360" w:lineRule="auto"/>
        <w:ind w:left="0" w:right="0"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lang w:val="en-US" w:eastAsia="zh-CN"/>
        </w:rPr>
        <w:t>1</w:t>
      </w:r>
      <w:r>
        <w:rPr>
          <w:rFonts w:hint="eastAsia" w:ascii="仿宋" w:hAnsi="仿宋" w:eastAsia="仿宋" w:cs="仿宋"/>
          <w:color w:val="auto"/>
          <w:spacing w:val="-2"/>
          <w:sz w:val="28"/>
          <w:szCs w:val="28"/>
          <w:highlight w:val="none"/>
        </w:rPr>
        <w:t>.此表中的报价为提供该服务的总费用包括此项目完成合同所需的一切本身和不可或缺的所有工作开支、政策性文件规定及合同包含的所有风险、责任等各项费用并承担一切风险责任。</w:t>
      </w:r>
    </w:p>
    <w:p w14:paraId="06497474">
      <w:pPr>
        <w:pStyle w:val="16"/>
        <w:spacing w:before="91" w:line="222" w:lineRule="auto"/>
        <w:ind w:left="17"/>
        <w:rPr>
          <w:rFonts w:hint="eastAsia" w:ascii="仿宋" w:hAnsi="仿宋" w:eastAsia="仿宋" w:cs="仿宋"/>
          <w:color w:val="auto"/>
          <w:spacing w:val="-3"/>
          <w:sz w:val="28"/>
          <w:szCs w:val="28"/>
          <w:highlight w:val="none"/>
        </w:rPr>
      </w:pPr>
    </w:p>
    <w:p w14:paraId="5E19EF5F">
      <w:pPr>
        <w:pStyle w:val="16"/>
        <w:spacing w:before="91" w:line="222" w:lineRule="auto"/>
        <w:ind w:left="1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投标人名称：</w:t>
      </w:r>
      <w:r>
        <w:rPr>
          <w:rFonts w:hint="eastAsia" w:ascii="仿宋" w:hAnsi="仿宋" w:eastAsia="仿宋" w:cs="仿宋"/>
          <w:color w:val="auto"/>
          <w:sz w:val="28"/>
          <w:szCs w:val="28"/>
          <w:highlight w:val="none"/>
          <w:u w:val="single" w:color="auto"/>
        </w:rPr>
        <w:t xml:space="preserve">                        </w:t>
      </w:r>
    </w:p>
    <w:p w14:paraId="11E96343">
      <w:pPr>
        <w:pStyle w:val="16"/>
        <w:spacing w:before="106" w:line="223" w:lineRule="auto"/>
        <w:ind w:left="24"/>
        <w:rPr>
          <w:rFonts w:hint="eastAsia" w:ascii="仿宋" w:hAnsi="仿宋" w:eastAsia="仿宋" w:cs="仿宋"/>
          <w:color w:val="auto"/>
          <w:sz w:val="28"/>
          <w:szCs w:val="28"/>
          <w:highlight w:val="none"/>
        </w:rPr>
      </w:pPr>
      <w:r>
        <w:rPr>
          <w:rFonts w:hint="eastAsia" w:ascii="仿宋" w:hAnsi="仿宋" w:eastAsia="仿宋" w:cs="仿宋"/>
          <w:color w:val="auto"/>
          <w:spacing w:val="-29"/>
          <w:sz w:val="28"/>
          <w:szCs w:val="28"/>
          <w:highlight w:val="none"/>
        </w:rPr>
        <w:t>公</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29"/>
          <w:sz w:val="28"/>
          <w:szCs w:val="28"/>
          <w:highlight w:val="none"/>
        </w:rPr>
        <w:t>章</w:t>
      </w:r>
      <w:r>
        <w:rPr>
          <w:rFonts w:hint="eastAsia" w:ascii="仿宋" w:hAnsi="仿宋" w:eastAsia="仿宋" w:cs="仿宋"/>
          <w:color w:val="auto"/>
          <w:spacing w:val="-97"/>
          <w:sz w:val="28"/>
          <w:szCs w:val="28"/>
          <w:highlight w:val="none"/>
        </w:rPr>
        <w:t xml:space="preserve"> </w:t>
      </w:r>
      <w:r>
        <w:rPr>
          <w:rFonts w:hint="eastAsia" w:ascii="仿宋" w:hAnsi="仿宋" w:eastAsia="仿宋" w:cs="仿宋"/>
          <w:color w:val="auto"/>
          <w:spacing w:val="-29"/>
          <w:sz w:val="28"/>
          <w:szCs w:val="28"/>
          <w:highlight w:val="none"/>
        </w:rPr>
        <w:t>：</w:t>
      </w:r>
      <w:r>
        <w:rPr>
          <w:rFonts w:hint="eastAsia" w:ascii="仿宋" w:hAnsi="仿宋" w:eastAsia="仿宋" w:cs="仿宋"/>
          <w:color w:val="auto"/>
          <w:sz w:val="28"/>
          <w:szCs w:val="28"/>
          <w:highlight w:val="none"/>
          <w:u w:val="single" w:color="auto"/>
        </w:rPr>
        <w:t xml:space="preserve">                        </w:t>
      </w:r>
    </w:p>
    <w:p w14:paraId="7D48DCB8">
      <w:pPr>
        <w:pStyle w:val="102"/>
        <w:tabs>
          <w:tab w:val="left" w:pos="8786"/>
        </w:tabs>
        <w:spacing w:after="0" w:line="360" w:lineRule="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2"/>
          <w:sz w:val="28"/>
          <w:szCs w:val="28"/>
          <w:highlight w:val="none"/>
        </w:rPr>
        <w:t>法定代表人或被授权人签字或签章:</w:t>
      </w:r>
      <w:r>
        <w:rPr>
          <w:rFonts w:hint="eastAsia" w:ascii="仿宋" w:hAnsi="仿宋" w:eastAsia="仿宋" w:cs="仿宋"/>
          <w:color w:val="auto"/>
          <w:spacing w:val="7"/>
          <w:sz w:val="28"/>
          <w:szCs w:val="28"/>
          <w:highlight w:val="none"/>
          <w:u w:val="single" w:color="auto"/>
        </w:rPr>
        <w:t xml:space="preserve">                 </w:t>
      </w:r>
      <w:r>
        <w:rPr>
          <w:rFonts w:hint="eastAsia" w:ascii="仿宋" w:hAnsi="仿宋" w:eastAsia="仿宋" w:cs="仿宋"/>
          <w:color w:val="auto"/>
          <w:spacing w:val="4"/>
          <w:sz w:val="28"/>
          <w:szCs w:val="28"/>
          <w:highlight w:val="none"/>
        </w:rPr>
        <w:t xml:space="preserve"> </w:t>
      </w:r>
    </w:p>
    <w:p w14:paraId="6A402E64">
      <w:pPr>
        <w:pStyle w:val="102"/>
        <w:tabs>
          <w:tab w:val="left" w:pos="8786"/>
        </w:tabs>
        <w:spacing w:after="0" w:line="360" w:lineRule="auto"/>
        <w:rPr>
          <w:rFonts w:hint="eastAsia" w:ascii="仿宋" w:hAnsi="仿宋" w:eastAsia="仿宋" w:cs="仿宋"/>
          <w:b/>
          <w:color w:val="auto"/>
          <w:sz w:val="24"/>
          <w:highlight w:val="none"/>
        </w:rPr>
      </w:pPr>
      <w:r>
        <w:rPr>
          <w:rFonts w:hint="eastAsia" w:ascii="仿宋" w:hAnsi="仿宋" w:eastAsia="仿宋" w:cs="仿宋"/>
          <w:color w:val="auto"/>
          <w:spacing w:val="-26"/>
          <w:sz w:val="28"/>
          <w:szCs w:val="28"/>
          <w:highlight w:val="none"/>
        </w:rPr>
        <w:t>日期：</w:t>
      </w:r>
    </w:p>
    <w:p w14:paraId="20C2CF11">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A6D0B52">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6.服务需求及要求偏离表</w:t>
      </w:r>
    </w:p>
    <w:p w14:paraId="5B06E69A">
      <w:pPr>
        <w:spacing w:before="185"/>
        <w:rPr>
          <w:color w:val="auto"/>
          <w:highlight w:val="none"/>
        </w:rPr>
      </w:pPr>
    </w:p>
    <w:tbl>
      <w:tblPr>
        <w:tblStyle w:val="122"/>
        <w:tblW w:w="8583"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2169"/>
        <w:gridCol w:w="2009"/>
        <w:gridCol w:w="1368"/>
        <w:gridCol w:w="1983"/>
      </w:tblGrid>
      <w:tr w14:paraId="310C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223" w:type="dxa"/>
            <w:gridSpan w:val="2"/>
            <w:vAlign w:val="top"/>
          </w:tcPr>
          <w:p w14:paraId="375A51C3">
            <w:pPr>
              <w:pStyle w:val="121"/>
              <w:spacing w:before="279" w:line="222" w:lineRule="auto"/>
              <w:ind w:left="1068"/>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标段名称</w:t>
            </w:r>
          </w:p>
        </w:tc>
        <w:tc>
          <w:tcPr>
            <w:tcW w:w="5360" w:type="dxa"/>
            <w:gridSpan w:val="3"/>
            <w:vAlign w:val="top"/>
          </w:tcPr>
          <w:p w14:paraId="6892279C">
            <w:pPr>
              <w:rPr>
                <w:rFonts w:hint="eastAsia" w:ascii="仿宋" w:hAnsi="仿宋" w:eastAsia="仿宋" w:cs="仿宋"/>
                <w:color w:val="auto"/>
                <w:sz w:val="21"/>
                <w:highlight w:val="none"/>
              </w:rPr>
            </w:pPr>
          </w:p>
        </w:tc>
      </w:tr>
      <w:tr w14:paraId="362B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223" w:type="dxa"/>
            <w:gridSpan w:val="2"/>
            <w:vAlign w:val="top"/>
          </w:tcPr>
          <w:p w14:paraId="737D9B30">
            <w:pPr>
              <w:pStyle w:val="121"/>
              <w:spacing w:before="262" w:line="224" w:lineRule="auto"/>
              <w:ind w:left="1068"/>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标段编号</w:t>
            </w:r>
          </w:p>
        </w:tc>
        <w:tc>
          <w:tcPr>
            <w:tcW w:w="5360" w:type="dxa"/>
            <w:gridSpan w:val="3"/>
            <w:vAlign w:val="top"/>
          </w:tcPr>
          <w:p w14:paraId="01E46724">
            <w:pPr>
              <w:rPr>
                <w:rFonts w:hint="eastAsia" w:ascii="仿宋" w:hAnsi="仿宋" w:eastAsia="仿宋" w:cs="仿宋"/>
                <w:color w:val="auto"/>
                <w:sz w:val="21"/>
                <w:highlight w:val="none"/>
              </w:rPr>
            </w:pPr>
          </w:p>
        </w:tc>
      </w:tr>
      <w:tr w14:paraId="0872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054" w:type="dxa"/>
            <w:vAlign w:val="top"/>
          </w:tcPr>
          <w:p w14:paraId="6FE48A43">
            <w:pPr>
              <w:spacing w:line="295" w:lineRule="auto"/>
              <w:rPr>
                <w:rFonts w:hint="eastAsia" w:ascii="仿宋" w:hAnsi="仿宋" w:eastAsia="仿宋" w:cs="仿宋"/>
                <w:color w:val="auto"/>
                <w:sz w:val="21"/>
                <w:highlight w:val="none"/>
              </w:rPr>
            </w:pPr>
          </w:p>
          <w:p w14:paraId="0D7BC102">
            <w:pPr>
              <w:pStyle w:val="121"/>
              <w:spacing w:before="91" w:line="223" w:lineRule="auto"/>
              <w:ind w:left="263"/>
              <w:rPr>
                <w:rFonts w:hint="eastAsia" w:ascii="仿宋" w:hAnsi="仿宋" w:eastAsia="仿宋" w:cs="仿宋"/>
                <w:color w:val="auto"/>
                <w:highlight w:val="none"/>
              </w:rPr>
            </w:pPr>
            <w:r>
              <w:rPr>
                <w:rFonts w:hint="eastAsia" w:ascii="仿宋" w:hAnsi="仿宋" w:eastAsia="仿宋" w:cs="仿宋"/>
                <w:color w:val="auto"/>
                <w:spacing w:val="-9"/>
                <w:highlight w:val="none"/>
              </w:rPr>
              <w:t>序号</w:t>
            </w:r>
          </w:p>
        </w:tc>
        <w:tc>
          <w:tcPr>
            <w:tcW w:w="2169" w:type="dxa"/>
            <w:vAlign w:val="top"/>
          </w:tcPr>
          <w:p w14:paraId="61AC0008">
            <w:pPr>
              <w:spacing w:line="295" w:lineRule="auto"/>
              <w:rPr>
                <w:rFonts w:hint="eastAsia" w:ascii="仿宋" w:hAnsi="仿宋" w:eastAsia="仿宋" w:cs="仿宋"/>
                <w:color w:val="auto"/>
                <w:sz w:val="21"/>
                <w:highlight w:val="none"/>
              </w:rPr>
            </w:pPr>
          </w:p>
          <w:p w14:paraId="0C043C60">
            <w:pPr>
              <w:pStyle w:val="121"/>
              <w:spacing w:before="91" w:line="223" w:lineRule="auto"/>
              <w:ind w:left="260"/>
              <w:rPr>
                <w:rFonts w:hint="eastAsia" w:ascii="仿宋" w:hAnsi="仿宋" w:eastAsia="仿宋" w:cs="仿宋"/>
                <w:color w:val="auto"/>
                <w:highlight w:val="none"/>
              </w:rPr>
            </w:pPr>
            <w:r>
              <w:rPr>
                <w:rFonts w:hint="eastAsia" w:ascii="仿宋" w:hAnsi="仿宋" w:eastAsia="仿宋" w:cs="仿宋"/>
                <w:color w:val="auto"/>
                <w:spacing w:val="-4"/>
                <w:highlight w:val="none"/>
              </w:rPr>
              <w:t>采购要求内容</w:t>
            </w:r>
          </w:p>
        </w:tc>
        <w:tc>
          <w:tcPr>
            <w:tcW w:w="2009" w:type="dxa"/>
            <w:vAlign w:val="top"/>
          </w:tcPr>
          <w:p w14:paraId="353A4FF3">
            <w:pPr>
              <w:spacing w:line="295" w:lineRule="auto"/>
              <w:rPr>
                <w:rFonts w:hint="eastAsia" w:ascii="仿宋" w:hAnsi="仿宋" w:eastAsia="仿宋" w:cs="仿宋"/>
                <w:color w:val="auto"/>
                <w:sz w:val="21"/>
                <w:highlight w:val="none"/>
              </w:rPr>
            </w:pPr>
          </w:p>
          <w:p w14:paraId="3BBCE6E0">
            <w:pPr>
              <w:pStyle w:val="121"/>
              <w:spacing w:before="91" w:line="223" w:lineRule="auto"/>
              <w:ind w:left="178"/>
              <w:rPr>
                <w:rFonts w:hint="eastAsia" w:ascii="仿宋" w:hAnsi="仿宋" w:eastAsia="仿宋" w:cs="仿宋"/>
                <w:color w:val="auto"/>
                <w:highlight w:val="none"/>
              </w:rPr>
            </w:pPr>
            <w:r>
              <w:rPr>
                <w:rFonts w:hint="eastAsia" w:ascii="仿宋" w:hAnsi="仿宋" w:eastAsia="仿宋" w:cs="仿宋"/>
                <w:color w:val="auto"/>
                <w:spacing w:val="-3"/>
                <w:highlight w:val="none"/>
              </w:rPr>
              <w:t>投标响应内容</w:t>
            </w:r>
          </w:p>
        </w:tc>
        <w:tc>
          <w:tcPr>
            <w:tcW w:w="1368" w:type="dxa"/>
            <w:vAlign w:val="top"/>
          </w:tcPr>
          <w:p w14:paraId="100F97B2">
            <w:pPr>
              <w:spacing w:line="295" w:lineRule="auto"/>
              <w:rPr>
                <w:rFonts w:hint="eastAsia" w:ascii="仿宋" w:hAnsi="仿宋" w:eastAsia="仿宋" w:cs="仿宋"/>
                <w:color w:val="auto"/>
                <w:sz w:val="21"/>
                <w:highlight w:val="none"/>
              </w:rPr>
            </w:pPr>
          </w:p>
          <w:p w14:paraId="38E8DCA9">
            <w:pPr>
              <w:pStyle w:val="121"/>
              <w:spacing w:before="91" w:line="224" w:lineRule="auto"/>
              <w:ind w:left="142"/>
              <w:rPr>
                <w:rFonts w:hint="eastAsia" w:ascii="仿宋" w:hAnsi="仿宋" w:eastAsia="仿宋" w:cs="仿宋"/>
                <w:color w:val="auto"/>
                <w:highlight w:val="none"/>
              </w:rPr>
            </w:pPr>
            <w:r>
              <w:rPr>
                <w:rFonts w:hint="eastAsia" w:ascii="仿宋" w:hAnsi="仿宋" w:eastAsia="仿宋" w:cs="仿宋"/>
                <w:color w:val="auto"/>
                <w:spacing w:val="-5"/>
                <w:highlight w:val="none"/>
              </w:rPr>
              <w:t>是否响应</w:t>
            </w:r>
          </w:p>
        </w:tc>
        <w:tc>
          <w:tcPr>
            <w:tcW w:w="1983" w:type="dxa"/>
            <w:vAlign w:val="top"/>
          </w:tcPr>
          <w:p w14:paraId="736A7E9E">
            <w:pPr>
              <w:spacing w:line="295" w:lineRule="auto"/>
              <w:rPr>
                <w:rFonts w:hint="eastAsia" w:ascii="仿宋" w:hAnsi="仿宋" w:eastAsia="仿宋" w:cs="仿宋"/>
                <w:color w:val="auto"/>
                <w:sz w:val="21"/>
                <w:highlight w:val="none"/>
              </w:rPr>
            </w:pPr>
          </w:p>
          <w:p w14:paraId="26FCFD19">
            <w:pPr>
              <w:pStyle w:val="121"/>
              <w:spacing w:before="91" w:line="223" w:lineRule="auto"/>
              <w:ind w:left="449"/>
              <w:rPr>
                <w:rFonts w:hint="eastAsia" w:ascii="仿宋" w:hAnsi="仿宋" w:eastAsia="仿宋" w:cs="仿宋"/>
                <w:color w:val="auto"/>
                <w:highlight w:val="none"/>
              </w:rPr>
            </w:pPr>
            <w:r>
              <w:rPr>
                <w:rFonts w:hint="eastAsia" w:ascii="仿宋" w:hAnsi="仿宋" w:eastAsia="仿宋" w:cs="仿宋"/>
                <w:color w:val="auto"/>
                <w:spacing w:val="-5"/>
                <w:highlight w:val="none"/>
              </w:rPr>
              <w:t>偏离说明</w:t>
            </w:r>
          </w:p>
        </w:tc>
      </w:tr>
      <w:tr w14:paraId="0860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54" w:type="dxa"/>
            <w:vAlign w:val="top"/>
          </w:tcPr>
          <w:p w14:paraId="60527C2D">
            <w:pPr>
              <w:pStyle w:val="121"/>
              <w:spacing w:before="163" w:line="181" w:lineRule="auto"/>
              <w:ind w:left="484"/>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169" w:type="dxa"/>
            <w:vAlign w:val="top"/>
          </w:tcPr>
          <w:p w14:paraId="687CD420">
            <w:pPr>
              <w:rPr>
                <w:rFonts w:hint="eastAsia" w:ascii="仿宋" w:hAnsi="仿宋" w:eastAsia="仿宋" w:cs="仿宋"/>
                <w:color w:val="auto"/>
                <w:sz w:val="21"/>
                <w:highlight w:val="none"/>
              </w:rPr>
            </w:pPr>
          </w:p>
        </w:tc>
        <w:tc>
          <w:tcPr>
            <w:tcW w:w="2009" w:type="dxa"/>
            <w:vAlign w:val="top"/>
          </w:tcPr>
          <w:p w14:paraId="46117270">
            <w:pPr>
              <w:rPr>
                <w:rFonts w:hint="eastAsia" w:ascii="仿宋" w:hAnsi="仿宋" w:eastAsia="仿宋" w:cs="仿宋"/>
                <w:color w:val="auto"/>
                <w:sz w:val="21"/>
                <w:highlight w:val="none"/>
              </w:rPr>
            </w:pPr>
          </w:p>
        </w:tc>
        <w:tc>
          <w:tcPr>
            <w:tcW w:w="1368" w:type="dxa"/>
            <w:vAlign w:val="top"/>
          </w:tcPr>
          <w:p w14:paraId="7D031158">
            <w:pPr>
              <w:rPr>
                <w:rFonts w:hint="eastAsia" w:ascii="仿宋" w:hAnsi="仿宋" w:eastAsia="仿宋" w:cs="仿宋"/>
                <w:color w:val="auto"/>
                <w:sz w:val="21"/>
                <w:highlight w:val="none"/>
              </w:rPr>
            </w:pPr>
          </w:p>
        </w:tc>
        <w:tc>
          <w:tcPr>
            <w:tcW w:w="1983" w:type="dxa"/>
            <w:vAlign w:val="top"/>
          </w:tcPr>
          <w:p w14:paraId="443330FC">
            <w:pPr>
              <w:rPr>
                <w:rFonts w:hint="eastAsia" w:ascii="仿宋" w:hAnsi="仿宋" w:eastAsia="仿宋" w:cs="仿宋"/>
                <w:color w:val="auto"/>
                <w:sz w:val="21"/>
                <w:highlight w:val="none"/>
              </w:rPr>
            </w:pPr>
          </w:p>
        </w:tc>
      </w:tr>
      <w:tr w14:paraId="3980B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54" w:type="dxa"/>
            <w:vAlign w:val="top"/>
          </w:tcPr>
          <w:p w14:paraId="5A8339CB">
            <w:pPr>
              <w:pStyle w:val="121"/>
              <w:spacing w:before="163" w:line="181" w:lineRule="auto"/>
              <w:ind w:left="466"/>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169" w:type="dxa"/>
            <w:vAlign w:val="top"/>
          </w:tcPr>
          <w:p w14:paraId="2383D6A9">
            <w:pPr>
              <w:rPr>
                <w:rFonts w:hint="eastAsia" w:ascii="仿宋" w:hAnsi="仿宋" w:eastAsia="仿宋" w:cs="仿宋"/>
                <w:color w:val="auto"/>
                <w:sz w:val="21"/>
                <w:highlight w:val="none"/>
              </w:rPr>
            </w:pPr>
          </w:p>
        </w:tc>
        <w:tc>
          <w:tcPr>
            <w:tcW w:w="2009" w:type="dxa"/>
            <w:vAlign w:val="top"/>
          </w:tcPr>
          <w:p w14:paraId="4F2FA1EF">
            <w:pPr>
              <w:rPr>
                <w:rFonts w:hint="eastAsia" w:ascii="仿宋" w:hAnsi="仿宋" w:eastAsia="仿宋" w:cs="仿宋"/>
                <w:color w:val="auto"/>
                <w:sz w:val="21"/>
                <w:highlight w:val="none"/>
              </w:rPr>
            </w:pPr>
          </w:p>
        </w:tc>
        <w:tc>
          <w:tcPr>
            <w:tcW w:w="1368" w:type="dxa"/>
            <w:vAlign w:val="top"/>
          </w:tcPr>
          <w:p w14:paraId="1569AB8B">
            <w:pPr>
              <w:rPr>
                <w:rFonts w:hint="eastAsia" w:ascii="仿宋" w:hAnsi="仿宋" w:eastAsia="仿宋" w:cs="仿宋"/>
                <w:color w:val="auto"/>
                <w:sz w:val="21"/>
                <w:highlight w:val="none"/>
              </w:rPr>
            </w:pPr>
          </w:p>
        </w:tc>
        <w:tc>
          <w:tcPr>
            <w:tcW w:w="1983" w:type="dxa"/>
            <w:vAlign w:val="top"/>
          </w:tcPr>
          <w:p w14:paraId="30273271">
            <w:pPr>
              <w:rPr>
                <w:rFonts w:hint="eastAsia" w:ascii="仿宋" w:hAnsi="仿宋" w:eastAsia="仿宋" w:cs="仿宋"/>
                <w:color w:val="auto"/>
                <w:sz w:val="21"/>
                <w:highlight w:val="none"/>
              </w:rPr>
            </w:pPr>
          </w:p>
        </w:tc>
      </w:tr>
      <w:tr w14:paraId="112A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4" w:type="dxa"/>
            <w:vAlign w:val="top"/>
          </w:tcPr>
          <w:p w14:paraId="5C07C447">
            <w:pPr>
              <w:pStyle w:val="121"/>
              <w:spacing w:before="164" w:line="181" w:lineRule="auto"/>
              <w:ind w:left="469"/>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169" w:type="dxa"/>
            <w:vAlign w:val="top"/>
          </w:tcPr>
          <w:p w14:paraId="03C2E043">
            <w:pPr>
              <w:rPr>
                <w:rFonts w:hint="eastAsia" w:ascii="仿宋" w:hAnsi="仿宋" w:eastAsia="仿宋" w:cs="仿宋"/>
                <w:color w:val="auto"/>
                <w:sz w:val="21"/>
                <w:highlight w:val="none"/>
              </w:rPr>
            </w:pPr>
          </w:p>
        </w:tc>
        <w:tc>
          <w:tcPr>
            <w:tcW w:w="2009" w:type="dxa"/>
            <w:vAlign w:val="top"/>
          </w:tcPr>
          <w:p w14:paraId="24490C89">
            <w:pPr>
              <w:rPr>
                <w:rFonts w:hint="eastAsia" w:ascii="仿宋" w:hAnsi="仿宋" w:eastAsia="仿宋" w:cs="仿宋"/>
                <w:color w:val="auto"/>
                <w:sz w:val="21"/>
                <w:highlight w:val="none"/>
              </w:rPr>
            </w:pPr>
          </w:p>
        </w:tc>
        <w:tc>
          <w:tcPr>
            <w:tcW w:w="1368" w:type="dxa"/>
            <w:vAlign w:val="top"/>
          </w:tcPr>
          <w:p w14:paraId="368FEA33">
            <w:pPr>
              <w:rPr>
                <w:rFonts w:hint="eastAsia" w:ascii="仿宋" w:hAnsi="仿宋" w:eastAsia="仿宋" w:cs="仿宋"/>
                <w:color w:val="auto"/>
                <w:sz w:val="21"/>
                <w:highlight w:val="none"/>
              </w:rPr>
            </w:pPr>
          </w:p>
        </w:tc>
        <w:tc>
          <w:tcPr>
            <w:tcW w:w="1983" w:type="dxa"/>
            <w:vAlign w:val="top"/>
          </w:tcPr>
          <w:p w14:paraId="237448E7">
            <w:pPr>
              <w:rPr>
                <w:rFonts w:hint="eastAsia" w:ascii="仿宋" w:hAnsi="仿宋" w:eastAsia="仿宋" w:cs="仿宋"/>
                <w:color w:val="auto"/>
                <w:sz w:val="21"/>
                <w:highlight w:val="none"/>
              </w:rPr>
            </w:pPr>
          </w:p>
        </w:tc>
      </w:tr>
      <w:tr w14:paraId="4C4EB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54" w:type="dxa"/>
            <w:vAlign w:val="top"/>
          </w:tcPr>
          <w:p w14:paraId="23D3C735">
            <w:pPr>
              <w:pStyle w:val="121"/>
              <w:spacing w:before="330" w:line="109" w:lineRule="exact"/>
              <w:ind w:left="193"/>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2169" w:type="dxa"/>
            <w:vAlign w:val="top"/>
          </w:tcPr>
          <w:p w14:paraId="2EE1618F">
            <w:pPr>
              <w:rPr>
                <w:rFonts w:hint="eastAsia" w:ascii="仿宋" w:hAnsi="仿宋" w:eastAsia="仿宋" w:cs="仿宋"/>
                <w:color w:val="auto"/>
                <w:sz w:val="21"/>
                <w:highlight w:val="none"/>
              </w:rPr>
            </w:pPr>
          </w:p>
        </w:tc>
        <w:tc>
          <w:tcPr>
            <w:tcW w:w="2009" w:type="dxa"/>
            <w:vAlign w:val="top"/>
          </w:tcPr>
          <w:p w14:paraId="3D9772E8">
            <w:pPr>
              <w:rPr>
                <w:rFonts w:hint="eastAsia" w:ascii="仿宋" w:hAnsi="仿宋" w:eastAsia="仿宋" w:cs="仿宋"/>
                <w:color w:val="auto"/>
                <w:sz w:val="21"/>
                <w:highlight w:val="none"/>
              </w:rPr>
            </w:pPr>
          </w:p>
        </w:tc>
        <w:tc>
          <w:tcPr>
            <w:tcW w:w="1368" w:type="dxa"/>
            <w:vAlign w:val="top"/>
          </w:tcPr>
          <w:p w14:paraId="6B14C911">
            <w:pPr>
              <w:rPr>
                <w:rFonts w:hint="eastAsia" w:ascii="仿宋" w:hAnsi="仿宋" w:eastAsia="仿宋" w:cs="仿宋"/>
                <w:color w:val="auto"/>
                <w:sz w:val="21"/>
                <w:highlight w:val="none"/>
              </w:rPr>
            </w:pPr>
          </w:p>
        </w:tc>
        <w:tc>
          <w:tcPr>
            <w:tcW w:w="1983" w:type="dxa"/>
            <w:vAlign w:val="top"/>
          </w:tcPr>
          <w:p w14:paraId="110334BA">
            <w:pPr>
              <w:rPr>
                <w:rFonts w:hint="eastAsia" w:ascii="仿宋" w:hAnsi="仿宋" w:eastAsia="仿宋" w:cs="仿宋"/>
                <w:color w:val="auto"/>
                <w:sz w:val="21"/>
                <w:highlight w:val="none"/>
              </w:rPr>
            </w:pPr>
          </w:p>
        </w:tc>
      </w:tr>
    </w:tbl>
    <w:p w14:paraId="529A2A4E">
      <w:pPr>
        <w:spacing w:line="456" w:lineRule="auto"/>
        <w:rPr>
          <w:rFonts w:hint="eastAsia" w:ascii="仿宋" w:hAnsi="仿宋" w:eastAsia="仿宋" w:cs="仿宋"/>
          <w:color w:val="auto"/>
          <w:sz w:val="21"/>
          <w:highlight w:val="none"/>
        </w:rPr>
      </w:pPr>
    </w:p>
    <w:p w14:paraId="7BDA2B0B">
      <w:pPr>
        <w:pStyle w:val="16"/>
        <w:spacing w:before="91" w:line="222" w:lineRule="auto"/>
        <w:ind w:left="1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投标人名称：</w:t>
      </w:r>
      <w:r>
        <w:rPr>
          <w:rFonts w:hint="eastAsia" w:ascii="仿宋" w:hAnsi="仿宋" w:eastAsia="仿宋" w:cs="仿宋"/>
          <w:color w:val="auto"/>
          <w:sz w:val="28"/>
          <w:szCs w:val="28"/>
          <w:highlight w:val="none"/>
          <w:u w:val="single" w:color="auto"/>
        </w:rPr>
        <w:t xml:space="preserve">                        </w:t>
      </w:r>
    </w:p>
    <w:p w14:paraId="1068237E">
      <w:pPr>
        <w:pStyle w:val="16"/>
        <w:spacing w:before="106" w:line="223" w:lineRule="auto"/>
        <w:ind w:left="24"/>
        <w:rPr>
          <w:rFonts w:hint="eastAsia" w:ascii="仿宋" w:hAnsi="仿宋" w:eastAsia="仿宋" w:cs="仿宋"/>
          <w:color w:val="auto"/>
          <w:sz w:val="28"/>
          <w:szCs w:val="28"/>
          <w:highlight w:val="none"/>
        </w:rPr>
      </w:pPr>
      <w:r>
        <w:rPr>
          <w:rFonts w:hint="eastAsia" w:ascii="仿宋" w:hAnsi="仿宋" w:eastAsia="仿宋" w:cs="仿宋"/>
          <w:color w:val="auto"/>
          <w:spacing w:val="-29"/>
          <w:sz w:val="28"/>
          <w:szCs w:val="28"/>
          <w:highlight w:val="none"/>
        </w:rPr>
        <w:t>公</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29"/>
          <w:sz w:val="28"/>
          <w:szCs w:val="28"/>
          <w:highlight w:val="none"/>
        </w:rPr>
        <w:t>章</w:t>
      </w:r>
      <w:r>
        <w:rPr>
          <w:rFonts w:hint="eastAsia" w:ascii="仿宋" w:hAnsi="仿宋" w:eastAsia="仿宋" w:cs="仿宋"/>
          <w:color w:val="auto"/>
          <w:spacing w:val="-97"/>
          <w:sz w:val="28"/>
          <w:szCs w:val="28"/>
          <w:highlight w:val="none"/>
        </w:rPr>
        <w:t xml:space="preserve"> </w:t>
      </w:r>
      <w:r>
        <w:rPr>
          <w:rFonts w:hint="eastAsia" w:ascii="仿宋" w:hAnsi="仿宋" w:eastAsia="仿宋" w:cs="仿宋"/>
          <w:color w:val="auto"/>
          <w:spacing w:val="-29"/>
          <w:sz w:val="28"/>
          <w:szCs w:val="28"/>
          <w:highlight w:val="none"/>
        </w:rPr>
        <w:t>：</w:t>
      </w:r>
      <w:r>
        <w:rPr>
          <w:rFonts w:hint="eastAsia" w:ascii="仿宋" w:hAnsi="仿宋" w:eastAsia="仿宋" w:cs="仿宋"/>
          <w:color w:val="auto"/>
          <w:sz w:val="28"/>
          <w:szCs w:val="28"/>
          <w:highlight w:val="none"/>
          <w:u w:val="single" w:color="auto"/>
        </w:rPr>
        <w:t xml:space="preserve">                        </w:t>
      </w:r>
    </w:p>
    <w:p w14:paraId="321D0D00">
      <w:pPr>
        <w:pStyle w:val="102"/>
        <w:tabs>
          <w:tab w:val="left" w:pos="8786"/>
        </w:tabs>
        <w:spacing w:after="0" w:line="360" w:lineRule="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2"/>
          <w:sz w:val="28"/>
          <w:szCs w:val="28"/>
          <w:highlight w:val="none"/>
        </w:rPr>
        <w:t>法定代表人或被授权人签字或签章:</w:t>
      </w:r>
      <w:r>
        <w:rPr>
          <w:rFonts w:hint="eastAsia" w:ascii="仿宋" w:hAnsi="仿宋" w:eastAsia="仿宋" w:cs="仿宋"/>
          <w:color w:val="auto"/>
          <w:spacing w:val="7"/>
          <w:sz w:val="28"/>
          <w:szCs w:val="28"/>
          <w:highlight w:val="none"/>
          <w:u w:val="single" w:color="auto"/>
        </w:rPr>
        <w:t xml:space="preserve">                 </w:t>
      </w:r>
      <w:r>
        <w:rPr>
          <w:rFonts w:hint="eastAsia" w:ascii="仿宋" w:hAnsi="仿宋" w:eastAsia="仿宋" w:cs="仿宋"/>
          <w:color w:val="auto"/>
          <w:spacing w:val="4"/>
          <w:sz w:val="28"/>
          <w:szCs w:val="28"/>
          <w:highlight w:val="none"/>
        </w:rPr>
        <w:t xml:space="preserve"> </w:t>
      </w:r>
    </w:p>
    <w:p w14:paraId="278D37FC">
      <w:pPr>
        <w:pStyle w:val="102"/>
        <w:tabs>
          <w:tab w:val="left" w:pos="8786"/>
        </w:tabs>
        <w:spacing w:after="0" w:line="360" w:lineRule="auto"/>
        <w:rPr>
          <w:rFonts w:hint="eastAsia" w:ascii="仿宋" w:hAnsi="仿宋" w:eastAsia="仿宋" w:cs="仿宋"/>
          <w:b/>
          <w:color w:val="auto"/>
          <w:sz w:val="24"/>
          <w:highlight w:val="none"/>
        </w:rPr>
      </w:pPr>
      <w:r>
        <w:rPr>
          <w:rFonts w:hint="eastAsia" w:ascii="仿宋" w:hAnsi="仿宋" w:eastAsia="仿宋" w:cs="仿宋"/>
          <w:color w:val="auto"/>
          <w:spacing w:val="-26"/>
          <w:sz w:val="28"/>
          <w:szCs w:val="28"/>
          <w:highlight w:val="none"/>
        </w:rPr>
        <w:t>日期：</w:t>
      </w:r>
    </w:p>
    <w:p w14:paraId="60F957EA">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8584E49">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7.技术文件</w:t>
      </w:r>
    </w:p>
    <w:p w14:paraId="634B63D1">
      <w:pPr>
        <w:pStyle w:val="92"/>
        <w:spacing w:line="240" w:lineRule="auto"/>
        <w:ind w:left="0" w:right="0" w:firstLine="0" w:firstLineChars="0"/>
        <w:rPr>
          <w:rFonts w:hint="eastAsia" w:ascii="仿宋" w:hAnsi="仿宋" w:eastAsia="仿宋" w:cs="仿宋"/>
          <w:color w:val="auto"/>
          <w:highlight w:val="none"/>
        </w:rPr>
      </w:pPr>
    </w:p>
    <w:p w14:paraId="2713FB75">
      <w:pPr>
        <w:bidi w:val="0"/>
        <w:jc w:val="center"/>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lang w:val="en-US" w:eastAsia="zh-CN"/>
        </w:rPr>
        <w:t>（根据磋商文件要求编写，格式自拟）</w:t>
      </w:r>
    </w:p>
    <w:p w14:paraId="252B3D31">
      <w:pPr>
        <w:pStyle w:val="92"/>
        <w:spacing w:line="240" w:lineRule="auto"/>
        <w:ind w:left="0" w:right="0" w:firstLine="0" w:firstLineChars="0"/>
        <w:rPr>
          <w:rFonts w:hint="eastAsia" w:ascii="仿宋" w:hAnsi="仿宋" w:eastAsia="仿宋" w:cs="仿宋"/>
          <w:color w:val="auto"/>
          <w:highlight w:val="none"/>
        </w:rPr>
      </w:pPr>
    </w:p>
    <w:p w14:paraId="71525B24">
      <w:pPr>
        <w:pStyle w:val="92"/>
        <w:rPr>
          <w:rFonts w:hint="eastAsia" w:ascii="仿宋" w:hAnsi="仿宋" w:eastAsia="仿宋" w:cs="仿宋"/>
          <w:color w:val="auto"/>
          <w:highlight w:val="none"/>
        </w:rPr>
      </w:pPr>
    </w:p>
    <w:p w14:paraId="454FB11E">
      <w:pPr>
        <w:pStyle w:val="92"/>
        <w:rPr>
          <w:rFonts w:hint="eastAsia" w:ascii="仿宋" w:hAnsi="仿宋" w:eastAsia="仿宋" w:cs="仿宋"/>
          <w:color w:val="auto"/>
          <w:highlight w:val="none"/>
        </w:rPr>
      </w:pPr>
    </w:p>
    <w:p w14:paraId="1502B1DB">
      <w:pPr>
        <w:pStyle w:val="92"/>
        <w:rPr>
          <w:rFonts w:hint="eastAsia" w:ascii="仿宋" w:hAnsi="仿宋" w:eastAsia="仿宋" w:cs="仿宋"/>
          <w:color w:val="auto"/>
          <w:highlight w:val="none"/>
        </w:rPr>
      </w:pPr>
    </w:p>
    <w:p w14:paraId="093A893C">
      <w:pPr>
        <w:pStyle w:val="92"/>
        <w:rPr>
          <w:rFonts w:hint="eastAsia" w:ascii="仿宋" w:hAnsi="仿宋" w:eastAsia="仿宋" w:cs="仿宋"/>
          <w:color w:val="auto"/>
          <w:highlight w:val="none"/>
        </w:rPr>
      </w:pPr>
    </w:p>
    <w:p w14:paraId="55DB2555">
      <w:pPr>
        <w:pStyle w:val="92"/>
        <w:rPr>
          <w:rFonts w:hint="eastAsia" w:ascii="仿宋" w:hAnsi="仿宋" w:eastAsia="仿宋" w:cs="仿宋"/>
          <w:color w:val="auto"/>
          <w:highlight w:val="none"/>
        </w:rPr>
      </w:pPr>
    </w:p>
    <w:p w14:paraId="74C35E85">
      <w:pPr>
        <w:pStyle w:val="92"/>
        <w:rPr>
          <w:rFonts w:hint="eastAsia" w:ascii="仿宋" w:hAnsi="仿宋" w:eastAsia="仿宋" w:cs="仿宋"/>
          <w:color w:val="auto"/>
          <w:highlight w:val="none"/>
        </w:rPr>
      </w:pPr>
    </w:p>
    <w:p w14:paraId="79DD66E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196FB7F">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8.参与此项目人员配备表</w:t>
      </w:r>
    </w:p>
    <w:p w14:paraId="7466D0C4">
      <w:pPr>
        <w:pStyle w:val="16"/>
        <w:spacing w:before="282" w:line="222" w:lineRule="auto"/>
        <w:ind w:left="311"/>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lang w:eastAsia="zh-CN"/>
        </w:rPr>
        <w:t>标段名称</w:t>
      </w:r>
      <w:r>
        <w:rPr>
          <w:rFonts w:hint="eastAsia" w:ascii="仿宋" w:hAnsi="仿宋" w:eastAsia="仿宋" w:cs="仿宋"/>
          <w:b/>
          <w:bCs/>
          <w:color w:val="auto"/>
          <w:spacing w:val="-7"/>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b/>
          <w:bCs/>
          <w:color w:val="auto"/>
          <w:spacing w:val="-7"/>
          <w:sz w:val="28"/>
          <w:szCs w:val="28"/>
          <w:highlight w:val="none"/>
          <w:lang w:eastAsia="zh-CN"/>
        </w:rPr>
        <w:t>标段编号</w:t>
      </w:r>
      <w:r>
        <w:rPr>
          <w:rFonts w:hint="eastAsia" w:ascii="仿宋" w:hAnsi="仿宋" w:eastAsia="仿宋" w:cs="仿宋"/>
          <w:b/>
          <w:bCs/>
          <w:color w:val="auto"/>
          <w:spacing w:val="-7"/>
          <w:sz w:val="28"/>
          <w:szCs w:val="28"/>
          <w:highlight w:val="none"/>
        </w:rPr>
        <w:t>：</w:t>
      </w:r>
    </w:p>
    <w:p w14:paraId="787009F2">
      <w:pPr>
        <w:spacing w:line="117" w:lineRule="exact"/>
        <w:rPr>
          <w:rFonts w:hint="eastAsia" w:ascii="仿宋" w:hAnsi="仿宋" w:eastAsia="仿宋" w:cs="仿宋"/>
          <w:color w:val="auto"/>
          <w:highlight w:val="none"/>
        </w:rPr>
      </w:pPr>
    </w:p>
    <w:tbl>
      <w:tblPr>
        <w:tblStyle w:val="122"/>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956"/>
        <w:gridCol w:w="888"/>
        <w:gridCol w:w="763"/>
        <w:gridCol w:w="762"/>
        <w:gridCol w:w="775"/>
        <w:gridCol w:w="827"/>
        <w:gridCol w:w="742"/>
        <w:gridCol w:w="1010"/>
        <w:gridCol w:w="624"/>
        <w:gridCol w:w="701"/>
        <w:gridCol w:w="694"/>
      </w:tblGrid>
      <w:tr w14:paraId="0AEC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56" w:type="dxa"/>
            <w:vMerge w:val="restart"/>
            <w:tcBorders>
              <w:bottom w:val="nil"/>
            </w:tcBorders>
            <w:textDirection w:val="tbRlV"/>
            <w:vAlign w:val="top"/>
          </w:tcPr>
          <w:p w14:paraId="4D36DC96">
            <w:pPr>
              <w:pStyle w:val="121"/>
              <w:spacing w:before="262" w:line="201" w:lineRule="auto"/>
              <w:ind w:left="561"/>
              <w:rPr>
                <w:rFonts w:hint="eastAsia" w:ascii="仿宋" w:hAnsi="仿宋" w:eastAsia="仿宋" w:cs="仿宋"/>
                <w:color w:val="auto"/>
                <w:highlight w:val="none"/>
              </w:rPr>
            </w:pPr>
            <w:r>
              <w:rPr>
                <w:rFonts w:hint="eastAsia" w:ascii="仿宋" w:hAnsi="仿宋" w:eastAsia="仿宋" w:cs="仿宋"/>
                <w:color w:val="auto"/>
                <w:spacing w:val="7"/>
                <w:highlight w:val="none"/>
              </w:rPr>
              <w:t>类</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别</w:t>
            </w:r>
          </w:p>
        </w:tc>
        <w:tc>
          <w:tcPr>
            <w:tcW w:w="956" w:type="dxa"/>
            <w:vMerge w:val="restart"/>
            <w:tcBorders>
              <w:bottom w:val="nil"/>
            </w:tcBorders>
            <w:vAlign w:val="top"/>
          </w:tcPr>
          <w:p w14:paraId="4157B86D">
            <w:pPr>
              <w:spacing w:line="343" w:lineRule="auto"/>
              <w:rPr>
                <w:rFonts w:hint="eastAsia" w:ascii="仿宋" w:hAnsi="仿宋" w:eastAsia="仿宋" w:cs="仿宋"/>
                <w:color w:val="auto"/>
                <w:sz w:val="21"/>
                <w:highlight w:val="none"/>
              </w:rPr>
            </w:pPr>
          </w:p>
          <w:p w14:paraId="1C25F270">
            <w:pPr>
              <w:spacing w:line="344" w:lineRule="auto"/>
              <w:rPr>
                <w:rFonts w:hint="eastAsia" w:ascii="仿宋" w:hAnsi="仿宋" w:eastAsia="仿宋" w:cs="仿宋"/>
                <w:color w:val="auto"/>
                <w:sz w:val="21"/>
                <w:highlight w:val="none"/>
              </w:rPr>
            </w:pPr>
          </w:p>
          <w:p w14:paraId="4C04C50B">
            <w:pPr>
              <w:pStyle w:val="121"/>
              <w:spacing w:before="91" w:line="225" w:lineRule="auto"/>
              <w:ind w:left="122"/>
              <w:rPr>
                <w:rFonts w:hint="eastAsia" w:ascii="仿宋" w:hAnsi="仿宋" w:eastAsia="仿宋" w:cs="仿宋"/>
                <w:color w:val="auto"/>
                <w:highlight w:val="none"/>
              </w:rPr>
            </w:pPr>
            <w:r>
              <w:rPr>
                <w:rFonts w:hint="eastAsia" w:ascii="仿宋" w:hAnsi="仿宋" w:eastAsia="仿宋" w:cs="仿宋"/>
                <w:color w:val="auto"/>
                <w:spacing w:val="-9"/>
                <w:highlight w:val="none"/>
              </w:rPr>
              <w:t>姓名</w:t>
            </w:r>
          </w:p>
        </w:tc>
        <w:tc>
          <w:tcPr>
            <w:tcW w:w="888" w:type="dxa"/>
            <w:vMerge w:val="restart"/>
            <w:tcBorders>
              <w:bottom w:val="nil"/>
            </w:tcBorders>
            <w:vAlign w:val="top"/>
          </w:tcPr>
          <w:p w14:paraId="00A3A837">
            <w:pPr>
              <w:spacing w:line="343" w:lineRule="auto"/>
              <w:rPr>
                <w:rFonts w:hint="eastAsia" w:ascii="仿宋" w:hAnsi="仿宋" w:eastAsia="仿宋" w:cs="仿宋"/>
                <w:color w:val="auto"/>
                <w:sz w:val="21"/>
                <w:highlight w:val="none"/>
              </w:rPr>
            </w:pPr>
          </w:p>
          <w:p w14:paraId="3F8DE7A4">
            <w:pPr>
              <w:spacing w:line="343" w:lineRule="auto"/>
              <w:rPr>
                <w:rFonts w:hint="eastAsia" w:ascii="仿宋" w:hAnsi="仿宋" w:eastAsia="仿宋" w:cs="仿宋"/>
                <w:color w:val="auto"/>
                <w:sz w:val="21"/>
                <w:highlight w:val="none"/>
              </w:rPr>
            </w:pPr>
          </w:p>
          <w:p w14:paraId="4C367D77">
            <w:pPr>
              <w:pStyle w:val="121"/>
              <w:spacing w:before="91" w:line="224" w:lineRule="auto"/>
              <w:ind w:left="123"/>
              <w:rPr>
                <w:rFonts w:hint="eastAsia" w:ascii="仿宋" w:hAnsi="仿宋" w:eastAsia="仿宋" w:cs="仿宋"/>
                <w:color w:val="auto"/>
                <w:highlight w:val="none"/>
              </w:rPr>
            </w:pPr>
            <w:r>
              <w:rPr>
                <w:rFonts w:hint="eastAsia" w:ascii="仿宋" w:hAnsi="仿宋" w:eastAsia="仿宋" w:cs="仿宋"/>
                <w:color w:val="auto"/>
                <w:spacing w:val="-8"/>
                <w:highlight w:val="none"/>
              </w:rPr>
              <w:t>职务</w:t>
            </w:r>
          </w:p>
        </w:tc>
        <w:tc>
          <w:tcPr>
            <w:tcW w:w="763" w:type="dxa"/>
            <w:vMerge w:val="restart"/>
            <w:tcBorders>
              <w:bottom w:val="nil"/>
            </w:tcBorders>
            <w:textDirection w:val="tbRlV"/>
            <w:vAlign w:val="top"/>
          </w:tcPr>
          <w:p w14:paraId="74748CE8">
            <w:pPr>
              <w:spacing w:line="270" w:lineRule="auto"/>
              <w:rPr>
                <w:rFonts w:hint="eastAsia" w:ascii="仿宋" w:hAnsi="仿宋" w:eastAsia="仿宋" w:cs="仿宋"/>
                <w:color w:val="auto"/>
                <w:sz w:val="21"/>
                <w:highlight w:val="none"/>
              </w:rPr>
            </w:pPr>
          </w:p>
          <w:p w14:paraId="56548663">
            <w:pPr>
              <w:pStyle w:val="121"/>
              <w:spacing w:before="93" w:line="201" w:lineRule="auto"/>
              <w:ind w:left="561"/>
              <w:rPr>
                <w:rFonts w:hint="eastAsia" w:ascii="仿宋" w:hAnsi="仿宋" w:eastAsia="仿宋" w:cs="仿宋"/>
                <w:color w:val="auto"/>
                <w:highlight w:val="none"/>
              </w:rPr>
            </w:pPr>
            <w:r>
              <w:rPr>
                <w:rFonts w:hint="eastAsia" w:ascii="仿宋" w:hAnsi="仿宋" w:eastAsia="仿宋" w:cs="仿宋"/>
                <w:color w:val="auto"/>
                <w:spacing w:val="7"/>
                <w:highlight w:val="none"/>
              </w:rPr>
              <w:t>职</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称</w:t>
            </w:r>
          </w:p>
        </w:tc>
        <w:tc>
          <w:tcPr>
            <w:tcW w:w="762" w:type="dxa"/>
            <w:vMerge w:val="restart"/>
            <w:tcBorders>
              <w:bottom w:val="nil"/>
            </w:tcBorders>
            <w:vAlign w:val="top"/>
          </w:tcPr>
          <w:p w14:paraId="7D759846">
            <w:pPr>
              <w:pStyle w:val="121"/>
              <w:spacing w:before="122" w:line="224" w:lineRule="auto"/>
              <w:ind w:left="127"/>
              <w:rPr>
                <w:rFonts w:hint="eastAsia" w:ascii="仿宋" w:hAnsi="仿宋" w:eastAsia="仿宋" w:cs="仿宋"/>
                <w:color w:val="auto"/>
                <w:highlight w:val="none"/>
              </w:rPr>
            </w:pPr>
            <w:r>
              <w:rPr>
                <w:rFonts w:hint="eastAsia" w:ascii="仿宋" w:hAnsi="仿宋" w:eastAsia="仿宋" w:cs="仿宋"/>
                <w:color w:val="auto"/>
                <w:highlight w:val="none"/>
              </w:rPr>
              <w:t>专</w:t>
            </w:r>
          </w:p>
          <w:p w14:paraId="3AFFAAA2">
            <w:pPr>
              <w:pStyle w:val="121"/>
              <w:spacing w:before="99" w:line="275" w:lineRule="auto"/>
              <w:ind w:left="133" w:right="105" w:hanging="10"/>
              <w:rPr>
                <w:rFonts w:hint="eastAsia" w:ascii="仿宋" w:hAnsi="仿宋" w:eastAsia="仿宋" w:cs="仿宋"/>
                <w:color w:val="auto"/>
                <w:highlight w:val="none"/>
              </w:rPr>
            </w:pPr>
            <w:r>
              <w:rPr>
                <w:rFonts w:hint="eastAsia" w:ascii="仿宋" w:hAnsi="仿宋" w:eastAsia="仿宋" w:cs="仿宋"/>
                <w:color w:val="auto"/>
                <w:spacing w:val="-11"/>
                <w:highlight w:val="none"/>
              </w:rPr>
              <w:t>职 /</w:t>
            </w:r>
            <w:r>
              <w:rPr>
                <w:rFonts w:hint="eastAsia" w:ascii="仿宋" w:hAnsi="仿宋" w:eastAsia="仿宋" w:cs="仿宋"/>
                <w:color w:val="auto"/>
                <w:highlight w:val="none"/>
              </w:rPr>
              <w:t xml:space="preserve"> 兼</w:t>
            </w:r>
          </w:p>
          <w:p w14:paraId="4DC540ED">
            <w:pPr>
              <w:pStyle w:val="121"/>
              <w:spacing w:before="46" w:line="216" w:lineRule="auto"/>
              <w:ind w:left="123"/>
              <w:rPr>
                <w:rFonts w:hint="eastAsia" w:ascii="仿宋" w:hAnsi="仿宋" w:eastAsia="仿宋" w:cs="仿宋"/>
                <w:color w:val="auto"/>
                <w:highlight w:val="none"/>
              </w:rPr>
            </w:pPr>
            <w:r>
              <w:rPr>
                <w:rFonts w:hint="eastAsia" w:ascii="仿宋" w:hAnsi="仿宋" w:eastAsia="仿宋" w:cs="仿宋"/>
                <w:color w:val="auto"/>
                <w:highlight w:val="none"/>
              </w:rPr>
              <w:t>职</w:t>
            </w:r>
          </w:p>
        </w:tc>
        <w:tc>
          <w:tcPr>
            <w:tcW w:w="775" w:type="dxa"/>
            <w:vMerge w:val="restart"/>
            <w:tcBorders>
              <w:bottom w:val="nil"/>
            </w:tcBorders>
            <w:textDirection w:val="tbRlV"/>
            <w:vAlign w:val="top"/>
          </w:tcPr>
          <w:p w14:paraId="3BFA80A1">
            <w:pPr>
              <w:spacing w:line="279" w:lineRule="auto"/>
              <w:rPr>
                <w:rFonts w:hint="eastAsia" w:ascii="仿宋" w:hAnsi="仿宋" w:eastAsia="仿宋" w:cs="仿宋"/>
                <w:color w:val="auto"/>
                <w:sz w:val="21"/>
                <w:highlight w:val="none"/>
              </w:rPr>
            </w:pPr>
          </w:p>
          <w:p w14:paraId="0B3E02FE">
            <w:pPr>
              <w:pStyle w:val="121"/>
              <w:spacing w:before="93" w:line="196" w:lineRule="auto"/>
              <w:ind w:left="122"/>
              <w:rPr>
                <w:rFonts w:hint="eastAsia" w:ascii="仿宋" w:hAnsi="仿宋" w:eastAsia="仿宋" w:cs="仿宋"/>
                <w:color w:val="auto"/>
                <w:highlight w:val="none"/>
              </w:rPr>
            </w:pPr>
            <w:r>
              <w:rPr>
                <w:rFonts w:hint="eastAsia" w:ascii="仿宋" w:hAnsi="仿宋" w:eastAsia="仿宋" w:cs="仿宋"/>
                <w:color w:val="auto"/>
                <w:spacing w:val="8"/>
                <w:position w:val="1"/>
                <w:highlight w:val="none"/>
              </w:rPr>
              <w:t xml:space="preserve">岗 </w:t>
            </w:r>
            <w:r>
              <w:rPr>
                <w:rFonts w:hint="eastAsia" w:ascii="仿宋" w:hAnsi="仿宋" w:eastAsia="仿宋" w:cs="仿宋"/>
                <w:color w:val="auto"/>
                <w:spacing w:val="8"/>
                <w:highlight w:val="none"/>
              </w:rPr>
              <w:t>位</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8"/>
                <w:highlight w:val="none"/>
              </w:rPr>
              <w:t>职</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8"/>
                <w:highlight w:val="none"/>
              </w:rPr>
              <w:t>责</w:t>
            </w:r>
          </w:p>
        </w:tc>
        <w:tc>
          <w:tcPr>
            <w:tcW w:w="827" w:type="dxa"/>
            <w:vMerge w:val="restart"/>
            <w:tcBorders>
              <w:bottom w:val="nil"/>
            </w:tcBorders>
            <w:vAlign w:val="top"/>
          </w:tcPr>
          <w:p w14:paraId="514B652D">
            <w:pPr>
              <w:spacing w:line="466" w:lineRule="auto"/>
              <w:rPr>
                <w:rFonts w:hint="eastAsia" w:ascii="仿宋" w:hAnsi="仿宋" w:eastAsia="仿宋" w:cs="仿宋"/>
                <w:color w:val="auto"/>
                <w:sz w:val="21"/>
                <w:highlight w:val="none"/>
              </w:rPr>
            </w:pPr>
          </w:p>
          <w:p w14:paraId="02FC5D1C">
            <w:pPr>
              <w:pStyle w:val="121"/>
              <w:spacing w:before="91" w:line="277" w:lineRule="auto"/>
              <w:ind w:left="142" w:right="105" w:hanging="20"/>
              <w:rPr>
                <w:rFonts w:hint="eastAsia" w:ascii="仿宋" w:hAnsi="仿宋" w:eastAsia="仿宋" w:cs="仿宋"/>
                <w:color w:val="auto"/>
                <w:highlight w:val="none"/>
              </w:rPr>
            </w:pPr>
            <w:r>
              <w:rPr>
                <w:rFonts w:hint="eastAsia" w:ascii="仿宋" w:hAnsi="仿宋" w:eastAsia="仿宋" w:cs="仿宋"/>
                <w:color w:val="auto"/>
                <w:spacing w:val="17"/>
                <w:highlight w:val="none"/>
              </w:rPr>
              <w:t>从业</w:t>
            </w:r>
            <w:r>
              <w:rPr>
                <w:rFonts w:hint="eastAsia" w:ascii="仿宋" w:hAnsi="仿宋" w:eastAsia="仿宋" w:cs="仿宋"/>
                <w:color w:val="auto"/>
                <w:highlight w:val="none"/>
              </w:rPr>
              <w:t xml:space="preserve"> </w:t>
            </w:r>
            <w:r>
              <w:rPr>
                <w:rFonts w:hint="eastAsia" w:ascii="仿宋" w:hAnsi="仿宋" w:eastAsia="仿宋" w:cs="仿宋"/>
                <w:color w:val="auto"/>
                <w:spacing w:val="-19"/>
                <w:highlight w:val="none"/>
              </w:rPr>
              <w:t>时间</w:t>
            </w:r>
          </w:p>
        </w:tc>
        <w:tc>
          <w:tcPr>
            <w:tcW w:w="742" w:type="dxa"/>
            <w:vMerge w:val="restart"/>
            <w:tcBorders>
              <w:bottom w:val="nil"/>
            </w:tcBorders>
            <w:textDirection w:val="tbRlV"/>
            <w:vAlign w:val="top"/>
          </w:tcPr>
          <w:p w14:paraId="46A16ED7">
            <w:pPr>
              <w:spacing w:line="249" w:lineRule="auto"/>
              <w:rPr>
                <w:rFonts w:hint="eastAsia" w:ascii="仿宋" w:hAnsi="仿宋" w:eastAsia="仿宋" w:cs="仿宋"/>
                <w:color w:val="auto"/>
                <w:sz w:val="21"/>
                <w:highlight w:val="none"/>
              </w:rPr>
            </w:pPr>
          </w:p>
          <w:p w14:paraId="4E0612AC">
            <w:pPr>
              <w:pStyle w:val="121"/>
              <w:spacing w:before="94" w:line="191" w:lineRule="auto"/>
              <w:ind w:left="122"/>
              <w:rPr>
                <w:rFonts w:hint="eastAsia" w:ascii="仿宋" w:hAnsi="仿宋" w:eastAsia="仿宋" w:cs="仿宋"/>
                <w:color w:val="auto"/>
                <w:highlight w:val="none"/>
              </w:rPr>
            </w:pPr>
            <w:r>
              <w:rPr>
                <w:rFonts w:hint="eastAsia" w:ascii="仿宋" w:hAnsi="仿宋" w:eastAsia="仿宋" w:cs="仿宋"/>
                <w:color w:val="auto"/>
                <w:spacing w:val="8"/>
                <w:highlight w:val="none"/>
              </w:rPr>
              <w:t xml:space="preserve">项 </w:t>
            </w:r>
            <w:r>
              <w:rPr>
                <w:rFonts w:hint="eastAsia" w:ascii="仿宋" w:hAnsi="仿宋" w:eastAsia="仿宋" w:cs="仿宋"/>
                <w:color w:val="auto"/>
                <w:spacing w:val="8"/>
                <w:position w:val="2"/>
                <w:highlight w:val="none"/>
              </w:rPr>
              <w:t>目</w:t>
            </w:r>
            <w:r>
              <w:rPr>
                <w:rFonts w:hint="eastAsia" w:ascii="仿宋" w:hAnsi="仿宋" w:eastAsia="仿宋" w:cs="仿宋"/>
                <w:color w:val="auto"/>
                <w:spacing w:val="14"/>
                <w:position w:val="2"/>
                <w:highlight w:val="none"/>
              </w:rPr>
              <w:t xml:space="preserve"> </w:t>
            </w:r>
            <w:r>
              <w:rPr>
                <w:rFonts w:hint="eastAsia" w:ascii="仿宋" w:hAnsi="仿宋" w:eastAsia="仿宋" w:cs="仿宋"/>
                <w:color w:val="auto"/>
                <w:spacing w:val="8"/>
                <w:highlight w:val="none"/>
              </w:rPr>
              <w:t>经</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8"/>
                <w:highlight w:val="none"/>
              </w:rPr>
              <w:t>验</w:t>
            </w:r>
          </w:p>
        </w:tc>
        <w:tc>
          <w:tcPr>
            <w:tcW w:w="3029" w:type="dxa"/>
            <w:gridSpan w:val="4"/>
            <w:vAlign w:val="top"/>
          </w:tcPr>
          <w:p w14:paraId="3EFBC52C">
            <w:pPr>
              <w:pStyle w:val="121"/>
              <w:spacing w:before="191" w:line="223" w:lineRule="auto"/>
              <w:ind w:left="1225"/>
              <w:rPr>
                <w:rFonts w:hint="eastAsia" w:ascii="仿宋" w:hAnsi="仿宋" w:eastAsia="仿宋" w:cs="仿宋"/>
                <w:color w:val="auto"/>
                <w:highlight w:val="none"/>
              </w:rPr>
            </w:pPr>
            <w:r>
              <w:rPr>
                <w:rFonts w:hint="eastAsia" w:ascii="仿宋" w:hAnsi="仿宋" w:eastAsia="仿宋" w:cs="仿宋"/>
                <w:color w:val="auto"/>
                <w:spacing w:val="-8"/>
                <w:highlight w:val="none"/>
              </w:rPr>
              <w:t>资格证明</w:t>
            </w:r>
          </w:p>
        </w:tc>
      </w:tr>
      <w:tr w14:paraId="0610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656" w:type="dxa"/>
            <w:vMerge w:val="continue"/>
            <w:tcBorders>
              <w:top w:val="nil"/>
            </w:tcBorders>
            <w:textDirection w:val="tbRlV"/>
            <w:vAlign w:val="top"/>
          </w:tcPr>
          <w:p w14:paraId="3BEFF099">
            <w:pPr>
              <w:rPr>
                <w:rFonts w:hint="eastAsia" w:ascii="仿宋" w:hAnsi="仿宋" w:eastAsia="仿宋" w:cs="仿宋"/>
                <w:color w:val="auto"/>
                <w:sz w:val="21"/>
                <w:highlight w:val="none"/>
              </w:rPr>
            </w:pPr>
          </w:p>
        </w:tc>
        <w:tc>
          <w:tcPr>
            <w:tcW w:w="956" w:type="dxa"/>
            <w:vMerge w:val="continue"/>
            <w:tcBorders>
              <w:top w:val="nil"/>
            </w:tcBorders>
            <w:vAlign w:val="top"/>
          </w:tcPr>
          <w:p w14:paraId="5BB7136D">
            <w:pPr>
              <w:rPr>
                <w:rFonts w:hint="eastAsia" w:ascii="仿宋" w:hAnsi="仿宋" w:eastAsia="仿宋" w:cs="仿宋"/>
                <w:color w:val="auto"/>
                <w:sz w:val="21"/>
                <w:highlight w:val="none"/>
              </w:rPr>
            </w:pPr>
          </w:p>
        </w:tc>
        <w:tc>
          <w:tcPr>
            <w:tcW w:w="888" w:type="dxa"/>
            <w:vMerge w:val="continue"/>
            <w:tcBorders>
              <w:top w:val="nil"/>
            </w:tcBorders>
            <w:vAlign w:val="top"/>
          </w:tcPr>
          <w:p w14:paraId="708EE6E0">
            <w:pPr>
              <w:rPr>
                <w:rFonts w:hint="eastAsia" w:ascii="仿宋" w:hAnsi="仿宋" w:eastAsia="仿宋" w:cs="仿宋"/>
                <w:color w:val="auto"/>
                <w:sz w:val="21"/>
                <w:highlight w:val="none"/>
              </w:rPr>
            </w:pPr>
          </w:p>
        </w:tc>
        <w:tc>
          <w:tcPr>
            <w:tcW w:w="763" w:type="dxa"/>
            <w:vMerge w:val="continue"/>
            <w:tcBorders>
              <w:top w:val="nil"/>
            </w:tcBorders>
            <w:textDirection w:val="tbRlV"/>
            <w:vAlign w:val="top"/>
          </w:tcPr>
          <w:p w14:paraId="32207508">
            <w:pPr>
              <w:rPr>
                <w:rFonts w:hint="eastAsia" w:ascii="仿宋" w:hAnsi="仿宋" w:eastAsia="仿宋" w:cs="仿宋"/>
                <w:color w:val="auto"/>
                <w:sz w:val="21"/>
                <w:highlight w:val="none"/>
              </w:rPr>
            </w:pPr>
          </w:p>
        </w:tc>
        <w:tc>
          <w:tcPr>
            <w:tcW w:w="762" w:type="dxa"/>
            <w:vMerge w:val="continue"/>
            <w:tcBorders>
              <w:top w:val="nil"/>
            </w:tcBorders>
            <w:vAlign w:val="top"/>
          </w:tcPr>
          <w:p w14:paraId="2B7B9CBC">
            <w:pPr>
              <w:rPr>
                <w:rFonts w:hint="eastAsia" w:ascii="仿宋" w:hAnsi="仿宋" w:eastAsia="仿宋" w:cs="仿宋"/>
                <w:color w:val="auto"/>
                <w:sz w:val="21"/>
                <w:highlight w:val="none"/>
              </w:rPr>
            </w:pPr>
          </w:p>
        </w:tc>
        <w:tc>
          <w:tcPr>
            <w:tcW w:w="775" w:type="dxa"/>
            <w:vMerge w:val="continue"/>
            <w:tcBorders>
              <w:top w:val="nil"/>
            </w:tcBorders>
            <w:textDirection w:val="tbRlV"/>
            <w:vAlign w:val="top"/>
          </w:tcPr>
          <w:p w14:paraId="2442469F">
            <w:pPr>
              <w:rPr>
                <w:rFonts w:hint="eastAsia" w:ascii="仿宋" w:hAnsi="仿宋" w:eastAsia="仿宋" w:cs="仿宋"/>
                <w:color w:val="auto"/>
                <w:sz w:val="21"/>
                <w:highlight w:val="none"/>
              </w:rPr>
            </w:pPr>
          </w:p>
        </w:tc>
        <w:tc>
          <w:tcPr>
            <w:tcW w:w="827" w:type="dxa"/>
            <w:vMerge w:val="continue"/>
            <w:tcBorders>
              <w:top w:val="nil"/>
            </w:tcBorders>
            <w:vAlign w:val="top"/>
          </w:tcPr>
          <w:p w14:paraId="421E4136">
            <w:pPr>
              <w:rPr>
                <w:rFonts w:hint="eastAsia" w:ascii="仿宋" w:hAnsi="仿宋" w:eastAsia="仿宋" w:cs="仿宋"/>
                <w:color w:val="auto"/>
                <w:sz w:val="21"/>
                <w:highlight w:val="none"/>
              </w:rPr>
            </w:pPr>
          </w:p>
        </w:tc>
        <w:tc>
          <w:tcPr>
            <w:tcW w:w="742" w:type="dxa"/>
            <w:vMerge w:val="continue"/>
            <w:tcBorders>
              <w:top w:val="nil"/>
            </w:tcBorders>
            <w:textDirection w:val="tbRlV"/>
            <w:vAlign w:val="top"/>
          </w:tcPr>
          <w:p w14:paraId="66104345">
            <w:pPr>
              <w:rPr>
                <w:rFonts w:hint="eastAsia" w:ascii="仿宋" w:hAnsi="仿宋" w:eastAsia="仿宋" w:cs="仿宋"/>
                <w:color w:val="auto"/>
                <w:sz w:val="21"/>
                <w:highlight w:val="none"/>
              </w:rPr>
            </w:pPr>
          </w:p>
        </w:tc>
        <w:tc>
          <w:tcPr>
            <w:tcW w:w="1010" w:type="dxa"/>
            <w:vAlign w:val="top"/>
          </w:tcPr>
          <w:p w14:paraId="1E4B9A80">
            <w:pPr>
              <w:pStyle w:val="121"/>
              <w:spacing w:before="255" w:line="276" w:lineRule="auto"/>
              <w:ind w:left="126" w:right="100" w:hanging="1"/>
              <w:rPr>
                <w:rFonts w:hint="eastAsia" w:ascii="仿宋" w:hAnsi="仿宋" w:eastAsia="仿宋" w:cs="仿宋"/>
                <w:color w:val="auto"/>
                <w:highlight w:val="none"/>
              </w:rPr>
            </w:pPr>
            <w:r>
              <w:rPr>
                <w:rFonts w:hint="eastAsia" w:ascii="仿宋" w:hAnsi="仿宋" w:eastAsia="仿宋" w:cs="仿宋"/>
                <w:color w:val="auto"/>
                <w:spacing w:val="-24"/>
                <w:highlight w:val="none"/>
              </w:rPr>
              <w:t>证</w:t>
            </w:r>
            <w:r>
              <w:rPr>
                <w:rFonts w:hint="eastAsia" w:ascii="仿宋" w:hAnsi="仿宋" w:eastAsia="仿宋" w:cs="仿宋"/>
                <w:color w:val="auto"/>
                <w:spacing w:val="126"/>
                <w:highlight w:val="none"/>
              </w:rPr>
              <w:t xml:space="preserve"> </w:t>
            </w:r>
            <w:r>
              <w:rPr>
                <w:rFonts w:hint="eastAsia" w:ascii="仿宋" w:hAnsi="仿宋" w:eastAsia="仿宋" w:cs="仿宋"/>
                <w:color w:val="auto"/>
                <w:spacing w:val="-24"/>
                <w:highlight w:val="none"/>
              </w:rPr>
              <w:t>书</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名称</w:t>
            </w:r>
          </w:p>
        </w:tc>
        <w:tc>
          <w:tcPr>
            <w:tcW w:w="624" w:type="dxa"/>
            <w:textDirection w:val="tbRlV"/>
            <w:vAlign w:val="top"/>
          </w:tcPr>
          <w:p w14:paraId="5B851EBB">
            <w:pPr>
              <w:pStyle w:val="121"/>
              <w:spacing w:before="229" w:line="201" w:lineRule="auto"/>
              <w:ind w:left="256"/>
              <w:rPr>
                <w:rFonts w:hint="eastAsia" w:ascii="仿宋" w:hAnsi="仿宋" w:eastAsia="仿宋" w:cs="仿宋"/>
                <w:color w:val="auto"/>
                <w:highlight w:val="none"/>
              </w:rPr>
            </w:pPr>
            <w:r>
              <w:rPr>
                <w:rFonts w:hint="eastAsia" w:ascii="仿宋" w:hAnsi="仿宋" w:eastAsia="仿宋" w:cs="仿宋"/>
                <w:color w:val="auto"/>
                <w:spacing w:val="7"/>
                <w:highlight w:val="none"/>
              </w:rPr>
              <w:t>级</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别</w:t>
            </w:r>
          </w:p>
        </w:tc>
        <w:tc>
          <w:tcPr>
            <w:tcW w:w="701" w:type="dxa"/>
            <w:textDirection w:val="tbRlV"/>
            <w:vAlign w:val="top"/>
          </w:tcPr>
          <w:p w14:paraId="0D8CA831">
            <w:pPr>
              <w:pStyle w:val="121"/>
              <w:spacing w:before="307" w:line="204" w:lineRule="auto"/>
              <w:ind w:left="256"/>
              <w:rPr>
                <w:rFonts w:hint="eastAsia" w:ascii="仿宋" w:hAnsi="仿宋" w:eastAsia="仿宋" w:cs="仿宋"/>
                <w:color w:val="auto"/>
                <w:highlight w:val="none"/>
              </w:rPr>
            </w:pPr>
            <w:r>
              <w:rPr>
                <w:rFonts w:hint="eastAsia" w:ascii="仿宋" w:hAnsi="仿宋" w:eastAsia="仿宋" w:cs="仿宋"/>
                <w:color w:val="auto"/>
                <w:spacing w:val="7"/>
                <w:highlight w:val="none"/>
              </w:rPr>
              <w:t>证</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号</w:t>
            </w:r>
          </w:p>
        </w:tc>
        <w:tc>
          <w:tcPr>
            <w:tcW w:w="694" w:type="dxa"/>
            <w:textDirection w:val="tbRlV"/>
            <w:vAlign w:val="top"/>
          </w:tcPr>
          <w:p w14:paraId="2530E7B4">
            <w:pPr>
              <w:pStyle w:val="121"/>
              <w:spacing w:before="299" w:line="204" w:lineRule="auto"/>
              <w:ind w:left="256"/>
              <w:rPr>
                <w:rFonts w:hint="eastAsia" w:ascii="仿宋" w:hAnsi="仿宋" w:eastAsia="仿宋" w:cs="仿宋"/>
                <w:color w:val="auto"/>
                <w:highlight w:val="none"/>
              </w:rPr>
            </w:pPr>
            <w:r>
              <w:rPr>
                <w:rFonts w:hint="eastAsia" w:ascii="仿宋" w:hAnsi="仿宋" w:eastAsia="仿宋" w:cs="仿宋"/>
                <w:color w:val="auto"/>
                <w:spacing w:val="7"/>
                <w:highlight w:val="none"/>
              </w:rPr>
              <w:t>专</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业</w:t>
            </w:r>
          </w:p>
        </w:tc>
      </w:tr>
      <w:tr w14:paraId="3177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6" w:type="dxa"/>
            <w:vMerge w:val="restart"/>
            <w:tcBorders>
              <w:bottom w:val="nil"/>
            </w:tcBorders>
            <w:textDirection w:val="tbRlV"/>
            <w:vAlign w:val="top"/>
          </w:tcPr>
          <w:p w14:paraId="085002F6">
            <w:pPr>
              <w:pStyle w:val="121"/>
              <w:spacing w:before="263" w:line="196" w:lineRule="auto"/>
              <w:ind w:left="360"/>
              <w:rPr>
                <w:rFonts w:hint="eastAsia" w:ascii="仿宋" w:hAnsi="仿宋" w:eastAsia="仿宋" w:cs="仿宋"/>
                <w:color w:val="auto"/>
                <w:highlight w:val="none"/>
              </w:rPr>
            </w:pPr>
            <w:r>
              <w:rPr>
                <w:rFonts w:hint="eastAsia" w:ascii="仿宋" w:hAnsi="仿宋" w:eastAsia="仿宋" w:cs="仿宋"/>
                <w:color w:val="auto"/>
                <w:spacing w:val="8"/>
                <w:highlight w:val="none"/>
              </w:rPr>
              <w:t xml:space="preserve">项 </w:t>
            </w:r>
            <w:r>
              <w:rPr>
                <w:rFonts w:hint="eastAsia" w:ascii="仿宋" w:hAnsi="仿宋" w:eastAsia="仿宋" w:cs="仿宋"/>
                <w:color w:val="auto"/>
                <w:spacing w:val="8"/>
                <w:position w:val="1"/>
                <w:highlight w:val="none"/>
              </w:rPr>
              <w:t>目</w:t>
            </w:r>
            <w:r>
              <w:rPr>
                <w:rFonts w:hint="eastAsia" w:ascii="仿宋" w:hAnsi="仿宋" w:eastAsia="仿宋" w:cs="仿宋"/>
                <w:color w:val="auto"/>
                <w:spacing w:val="14"/>
                <w:position w:val="1"/>
                <w:highlight w:val="none"/>
              </w:rPr>
              <w:t xml:space="preserve"> </w:t>
            </w:r>
            <w:r>
              <w:rPr>
                <w:rFonts w:hint="eastAsia" w:ascii="仿宋" w:hAnsi="仿宋" w:eastAsia="仿宋" w:cs="仿宋"/>
                <w:color w:val="auto"/>
                <w:spacing w:val="8"/>
                <w:highlight w:val="none"/>
              </w:rPr>
              <w:t>负</w:t>
            </w:r>
            <w:r>
              <w:rPr>
                <w:rFonts w:hint="eastAsia" w:ascii="仿宋" w:hAnsi="仿宋" w:eastAsia="仿宋" w:cs="仿宋"/>
                <w:color w:val="auto"/>
                <w:spacing w:val="11"/>
                <w:highlight w:val="none"/>
              </w:rPr>
              <w:t xml:space="preserve"> </w:t>
            </w:r>
            <w:r>
              <w:rPr>
                <w:rFonts w:hint="eastAsia" w:ascii="仿宋" w:hAnsi="仿宋" w:eastAsia="仿宋" w:cs="仿宋"/>
                <w:color w:val="auto"/>
                <w:spacing w:val="8"/>
                <w:highlight w:val="none"/>
              </w:rPr>
              <w:t>责</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8"/>
                <w:highlight w:val="none"/>
              </w:rPr>
              <w:t>人</w:t>
            </w:r>
          </w:p>
        </w:tc>
        <w:tc>
          <w:tcPr>
            <w:tcW w:w="956" w:type="dxa"/>
            <w:vAlign w:val="top"/>
          </w:tcPr>
          <w:p w14:paraId="70B0D165">
            <w:pPr>
              <w:rPr>
                <w:rFonts w:hint="eastAsia" w:ascii="仿宋" w:hAnsi="仿宋" w:eastAsia="仿宋" w:cs="仿宋"/>
                <w:color w:val="auto"/>
                <w:sz w:val="21"/>
                <w:highlight w:val="none"/>
              </w:rPr>
            </w:pPr>
          </w:p>
        </w:tc>
        <w:tc>
          <w:tcPr>
            <w:tcW w:w="888" w:type="dxa"/>
            <w:vAlign w:val="top"/>
          </w:tcPr>
          <w:p w14:paraId="2AE36363">
            <w:pPr>
              <w:rPr>
                <w:rFonts w:hint="eastAsia" w:ascii="仿宋" w:hAnsi="仿宋" w:eastAsia="仿宋" w:cs="仿宋"/>
                <w:color w:val="auto"/>
                <w:sz w:val="21"/>
                <w:highlight w:val="none"/>
              </w:rPr>
            </w:pPr>
          </w:p>
        </w:tc>
        <w:tc>
          <w:tcPr>
            <w:tcW w:w="763" w:type="dxa"/>
            <w:vAlign w:val="top"/>
          </w:tcPr>
          <w:p w14:paraId="145F69C0">
            <w:pPr>
              <w:rPr>
                <w:rFonts w:hint="eastAsia" w:ascii="仿宋" w:hAnsi="仿宋" w:eastAsia="仿宋" w:cs="仿宋"/>
                <w:color w:val="auto"/>
                <w:sz w:val="21"/>
                <w:highlight w:val="none"/>
              </w:rPr>
            </w:pPr>
          </w:p>
        </w:tc>
        <w:tc>
          <w:tcPr>
            <w:tcW w:w="762" w:type="dxa"/>
            <w:vAlign w:val="top"/>
          </w:tcPr>
          <w:p w14:paraId="32B7CE8A">
            <w:pPr>
              <w:rPr>
                <w:rFonts w:hint="eastAsia" w:ascii="仿宋" w:hAnsi="仿宋" w:eastAsia="仿宋" w:cs="仿宋"/>
                <w:color w:val="auto"/>
                <w:sz w:val="21"/>
                <w:highlight w:val="none"/>
              </w:rPr>
            </w:pPr>
          </w:p>
        </w:tc>
        <w:tc>
          <w:tcPr>
            <w:tcW w:w="775" w:type="dxa"/>
            <w:vAlign w:val="top"/>
          </w:tcPr>
          <w:p w14:paraId="1B490452">
            <w:pPr>
              <w:rPr>
                <w:rFonts w:hint="eastAsia" w:ascii="仿宋" w:hAnsi="仿宋" w:eastAsia="仿宋" w:cs="仿宋"/>
                <w:color w:val="auto"/>
                <w:sz w:val="21"/>
                <w:highlight w:val="none"/>
              </w:rPr>
            </w:pPr>
          </w:p>
        </w:tc>
        <w:tc>
          <w:tcPr>
            <w:tcW w:w="827" w:type="dxa"/>
            <w:vAlign w:val="top"/>
          </w:tcPr>
          <w:p w14:paraId="107D78E9">
            <w:pPr>
              <w:rPr>
                <w:rFonts w:hint="eastAsia" w:ascii="仿宋" w:hAnsi="仿宋" w:eastAsia="仿宋" w:cs="仿宋"/>
                <w:color w:val="auto"/>
                <w:sz w:val="21"/>
                <w:highlight w:val="none"/>
              </w:rPr>
            </w:pPr>
          </w:p>
        </w:tc>
        <w:tc>
          <w:tcPr>
            <w:tcW w:w="742" w:type="dxa"/>
            <w:vAlign w:val="top"/>
          </w:tcPr>
          <w:p w14:paraId="64C734DF">
            <w:pPr>
              <w:rPr>
                <w:rFonts w:hint="eastAsia" w:ascii="仿宋" w:hAnsi="仿宋" w:eastAsia="仿宋" w:cs="仿宋"/>
                <w:color w:val="auto"/>
                <w:sz w:val="21"/>
                <w:highlight w:val="none"/>
              </w:rPr>
            </w:pPr>
          </w:p>
        </w:tc>
        <w:tc>
          <w:tcPr>
            <w:tcW w:w="1010" w:type="dxa"/>
            <w:vAlign w:val="top"/>
          </w:tcPr>
          <w:p w14:paraId="32EF55B8">
            <w:pPr>
              <w:rPr>
                <w:rFonts w:hint="eastAsia" w:ascii="仿宋" w:hAnsi="仿宋" w:eastAsia="仿宋" w:cs="仿宋"/>
                <w:color w:val="auto"/>
                <w:sz w:val="21"/>
                <w:highlight w:val="none"/>
              </w:rPr>
            </w:pPr>
          </w:p>
        </w:tc>
        <w:tc>
          <w:tcPr>
            <w:tcW w:w="624" w:type="dxa"/>
            <w:vAlign w:val="top"/>
          </w:tcPr>
          <w:p w14:paraId="195978E4">
            <w:pPr>
              <w:rPr>
                <w:rFonts w:hint="eastAsia" w:ascii="仿宋" w:hAnsi="仿宋" w:eastAsia="仿宋" w:cs="仿宋"/>
                <w:color w:val="auto"/>
                <w:sz w:val="21"/>
                <w:highlight w:val="none"/>
              </w:rPr>
            </w:pPr>
          </w:p>
        </w:tc>
        <w:tc>
          <w:tcPr>
            <w:tcW w:w="701" w:type="dxa"/>
            <w:vAlign w:val="top"/>
          </w:tcPr>
          <w:p w14:paraId="5C9661FC">
            <w:pPr>
              <w:rPr>
                <w:rFonts w:hint="eastAsia" w:ascii="仿宋" w:hAnsi="仿宋" w:eastAsia="仿宋" w:cs="仿宋"/>
                <w:color w:val="auto"/>
                <w:sz w:val="21"/>
                <w:highlight w:val="none"/>
              </w:rPr>
            </w:pPr>
          </w:p>
        </w:tc>
        <w:tc>
          <w:tcPr>
            <w:tcW w:w="694" w:type="dxa"/>
            <w:vAlign w:val="top"/>
          </w:tcPr>
          <w:p w14:paraId="27EC28B4">
            <w:pPr>
              <w:rPr>
                <w:rFonts w:hint="eastAsia" w:ascii="仿宋" w:hAnsi="仿宋" w:eastAsia="仿宋" w:cs="仿宋"/>
                <w:color w:val="auto"/>
                <w:sz w:val="21"/>
                <w:highlight w:val="none"/>
              </w:rPr>
            </w:pPr>
          </w:p>
        </w:tc>
      </w:tr>
      <w:tr w14:paraId="74964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6" w:type="dxa"/>
            <w:vMerge w:val="continue"/>
            <w:tcBorders>
              <w:top w:val="nil"/>
              <w:bottom w:val="nil"/>
            </w:tcBorders>
            <w:textDirection w:val="tbRlV"/>
            <w:vAlign w:val="top"/>
          </w:tcPr>
          <w:p w14:paraId="6C8FAB21">
            <w:pPr>
              <w:rPr>
                <w:rFonts w:hint="eastAsia" w:ascii="仿宋" w:hAnsi="仿宋" w:eastAsia="仿宋" w:cs="仿宋"/>
                <w:color w:val="auto"/>
                <w:sz w:val="21"/>
                <w:highlight w:val="none"/>
              </w:rPr>
            </w:pPr>
          </w:p>
        </w:tc>
        <w:tc>
          <w:tcPr>
            <w:tcW w:w="956" w:type="dxa"/>
            <w:vAlign w:val="top"/>
          </w:tcPr>
          <w:p w14:paraId="7FC93743">
            <w:pPr>
              <w:rPr>
                <w:rFonts w:hint="eastAsia" w:ascii="仿宋" w:hAnsi="仿宋" w:eastAsia="仿宋" w:cs="仿宋"/>
                <w:color w:val="auto"/>
                <w:sz w:val="21"/>
                <w:highlight w:val="none"/>
              </w:rPr>
            </w:pPr>
          </w:p>
        </w:tc>
        <w:tc>
          <w:tcPr>
            <w:tcW w:w="888" w:type="dxa"/>
            <w:vAlign w:val="top"/>
          </w:tcPr>
          <w:p w14:paraId="07E850F5">
            <w:pPr>
              <w:rPr>
                <w:rFonts w:hint="eastAsia" w:ascii="仿宋" w:hAnsi="仿宋" w:eastAsia="仿宋" w:cs="仿宋"/>
                <w:color w:val="auto"/>
                <w:sz w:val="21"/>
                <w:highlight w:val="none"/>
              </w:rPr>
            </w:pPr>
          </w:p>
        </w:tc>
        <w:tc>
          <w:tcPr>
            <w:tcW w:w="763" w:type="dxa"/>
            <w:vAlign w:val="top"/>
          </w:tcPr>
          <w:p w14:paraId="673EC478">
            <w:pPr>
              <w:rPr>
                <w:rFonts w:hint="eastAsia" w:ascii="仿宋" w:hAnsi="仿宋" w:eastAsia="仿宋" w:cs="仿宋"/>
                <w:color w:val="auto"/>
                <w:sz w:val="21"/>
                <w:highlight w:val="none"/>
              </w:rPr>
            </w:pPr>
          </w:p>
        </w:tc>
        <w:tc>
          <w:tcPr>
            <w:tcW w:w="762" w:type="dxa"/>
            <w:vAlign w:val="top"/>
          </w:tcPr>
          <w:p w14:paraId="67CDB641">
            <w:pPr>
              <w:rPr>
                <w:rFonts w:hint="eastAsia" w:ascii="仿宋" w:hAnsi="仿宋" w:eastAsia="仿宋" w:cs="仿宋"/>
                <w:color w:val="auto"/>
                <w:sz w:val="21"/>
                <w:highlight w:val="none"/>
              </w:rPr>
            </w:pPr>
          </w:p>
        </w:tc>
        <w:tc>
          <w:tcPr>
            <w:tcW w:w="775" w:type="dxa"/>
            <w:vAlign w:val="top"/>
          </w:tcPr>
          <w:p w14:paraId="76D2C2E6">
            <w:pPr>
              <w:rPr>
                <w:rFonts w:hint="eastAsia" w:ascii="仿宋" w:hAnsi="仿宋" w:eastAsia="仿宋" w:cs="仿宋"/>
                <w:color w:val="auto"/>
                <w:sz w:val="21"/>
                <w:highlight w:val="none"/>
              </w:rPr>
            </w:pPr>
          </w:p>
        </w:tc>
        <w:tc>
          <w:tcPr>
            <w:tcW w:w="827" w:type="dxa"/>
            <w:vAlign w:val="top"/>
          </w:tcPr>
          <w:p w14:paraId="625555DD">
            <w:pPr>
              <w:rPr>
                <w:rFonts w:hint="eastAsia" w:ascii="仿宋" w:hAnsi="仿宋" w:eastAsia="仿宋" w:cs="仿宋"/>
                <w:color w:val="auto"/>
                <w:sz w:val="21"/>
                <w:highlight w:val="none"/>
              </w:rPr>
            </w:pPr>
          </w:p>
        </w:tc>
        <w:tc>
          <w:tcPr>
            <w:tcW w:w="742" w:type="dxa"/>
            <w:vAlign w:val="top"/>
          </w:tcPr>
          <w:p w14:paraId="208AA40F">
            <w:pPr>
              <w:rPr>
                <w:rFonts w:hint="eastAsia" w:ascii="仿宋" w:hAnsi="仿宋" w:eastAsia="仿宋" w:cs="仿宋"/>
                <w:color w:val="auto"/>
                <w:sz w:val="21"/>
                <w:highlight w:val="none"/>
              </w:rPr>
            </w:pPr>
          </w:p>
        </w:tc>
        <w:tc>
          <w:tcPr>
            <w:tcW w:w="1010" w:type="dxa"/>
            <w:vAlign w:val="top"/>
          </w:tcPr>
          <w:p w14:paraId="64985FC2">
            <w:pPr>
              <w:rPr>
                <w:rFonts w:hint="eastAsia" w:ascii="仿宋" w:hAnsi="仿宋" w:eastAsia="仿宋" w:cs="仿宋"/>
                <w:color w:val="auto"/>
                <w:sz w:val="21"/>
                <w:highlight w:val="none"/>
              </w:rPr>
            </w:pPr>
          </w:p>
        </w:tc>
        <w:tc>
          <w:tcPr>
            <w:tcW w:w="624" w:type="dxa"/>
            <w:vAlign w:val="top"/>
          </w:tcPr>
          <w:p w14:paraId="4E7DAE15">
            <w:pPr>
              <w:rPr>
                <w:rFonts w:hint="eastAsia" w:ascii="仿宋" w:hAnsi="仿宋" w:eastAsia="仿宋" w:cs="仿宋"/>
                <w:color w:val="auto"/>
                <w:sz w:val="21"/>
                <w:highlight w:val="none"/>
              </w:rPr>
            </w:pPr>
          </w:p>
        </w:tc>
        <w:tc>
          <w:tcPr>
            <w:tcW w:w="701" w:type="dxa"/>
            <w:vAlign w:val="top"/>
          </w:tcPr>
          <w:p w14:paraId="07F42BB9">
            <w:pPr>
              <w:rPr>
                <w:rFonts w:hint="eastAsia" w:ascii="仿宋" w:hAnsi="仿宋" w:eastAsia="仿宋" w:cs="仿宋"/>
                <w:color w:val="auto"/>
                <w:sz w:val="21"/>
                <w:highlight w:val="none"/>
              </w:rPr>
            </w:pPr>
          </w:p>
        </w:tc>
        <w:tc>
          <w:tcPr>
            <w:tcW w:w="694" w:type="dxa"/>
            <w:vAlign w:val="top"/>
          </w:tcPr>
          <w:p w14:paraId="1E4E1960">
            <w:pPr>
              <w:rPr>
                <w:rFonts w:hint="eastAsia" w:ascii="仿宋" w:hAnsi="仿宋" w:eastAsia="仿宋" w:cs="仿宋"/>
                <w:color w:val="auto"/>
                <w:sz w:val="21"/>
                <w:highlight w:val="none"/>
              </w:rPr>
            </w:pPr>
          </w:p>
        </w:tc>
      </w:tr>
      <w:tr w14:paraId="63B2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656" w:type="dxa"/>
            <w:vMerge w:val="continue"/>
            <w:tcBorders>
              <w:top w:val="nil"/>
            </w:tcBorders>
            <w:textDirection w:val="tbRlV"/>
            <w:vAlign w:val="top"/>
          </w:tcPr>
          <w:p w14:paraId="39082BDA">
            <w:pPr>
              <w:rPr>
                <w:rFonts w:hint="eastAsia" w:ascii="仿宋" w:hAnsi="仿宋" w:eastAsia="仿宋" w:cs="仿宋"/>
                <w:color w:val="auto"/>
                <w:sz w:val="21"/>
                <w:highlight w:val="none"/>
              </w:rPr>
            </w:pPr>
          </w:p>
        </w:tc>
        <w:tc>
          <w:tcPr>
            <w:tcW w:w="956" w:type="dxa"/>
            <w:vAlign w:val="top"/>
          </w:tcPr>
          <w:p w14:paraId="08150033">
            <w:pPr>
              <w:rPr>
                <w:rFonts w:hint="eastAsia" w:ascii="仿宋" w:hAnsi="仿宋" w:eastAsia="仿宋" w:cs="仿宋"/>
                <w:color w:val="auto"/>
                <w:sz w:val="21"/>
                <w:highlight w:val="none"/>
              </w:rPr>
            </w:pPr>
          </w:p>
        </w:tc>
        <w:tc>
          <w:tcPr>
            <w:tcW w:w="888" w:type="dxa"/>
            <w:vAlign w:val="top"/>
          </w:tcPr>
          <w:p w14:paraId="70138B3A">
            <w:pPr>
              <w:rPr>
                <w:rFonts w:hint="eastAsia" w:ascii="仿宋" w:hAnsi="仿宋" w:eastAsia="仿宋" w:cs="仿宋"/>
                <w:color w:val="auto"/>
                <w:sz w:val="21"/>
                <w:highlight w:val="none"/>
              </w:rPr>
            </w:pPr>
          </w:p>
        </w:tc>
        <w:tc>
          <w:tcPr>
            <w:tcW w:w="763" w:type="dxa"/>
            <w:vAlign w:val="top"/>
          </w:tcPr>
          <w:p w14:paraId="234F57D9">
            <w:pPr>
              <w:rPr>
                <w:rFonts w:hint="eastAsia" w:ascii="仿宋" w:hAnsi="仿宋" w:eastAsia="仿宋" w:cs="仿宋"/>
                <w:color w:val="auto"/>
                <w:sz w:val="21"/>
                <w:highlight w:val="none"/>
              </w:rPr>
            </w:pPr>
          </w:p>
        </w:tc>
        <w:tc>
          <w:tcPr>
            <w:tcW w:w="762" w:type="dxa"/>
            <w:vAlign w:val="top"/>
          </w:tcPr>
          <w:p w14:paraId="078CC666">
            <w:pPr>
              <w:rPr>
                <w:rFonts w:hint="eastAsia" w:ascii="仿宋" w:hAnsi="仿宋" w:eastAsia="仿宋" w:cs="仿宋"/>
                <w:color w:val="auto"/>
                <w:sz w:val="21"/>
                <w:highlight w:val="none"/>
              </w:rPr>
            </w:pPr>
          </w:p>
        </w:tc>
        <w:tc>
          <w:tcPr>
            <w:tcW w:w="775" w:type="dxa"/>
            <w:vAlign w:val="top"/>
          </w:tcPr>
          <w:p w14:paraId="7BBBB36D">
            <w:pPr>
              <w:rPr>
                <w:rFonts w:hint="eastAsia" w:ascii="仿宋" w:hAnsi="仿宋" w:eastAsia="仿宋" w:cs="仿宋"/>
                <w:color w:val="auto"/>
                <w:sz w:val="21"/>
                <w:highlight w:val="none"/>
              </w:rPr>
            </w:pPr>
          </w:p>
        </w:tc>
        <w:tc>
          <w:tcPr>
            <w:tcW w:w="827" w:type="dxa"/>
            <w:vAlign w:val="top"/>
          </w:tcPr>
          <w:p w14:paraId="1B36A1A7">
            <w:pPr>
              <w:rPr>
                <w:rFonts w:hint="eastAsia" w:ascii="仿宋" w:hAnsi="仿宋" w:eastAsia="仿宋" w:cs="仿宋"/>
                <w:color w:val="auto"/>
                <w:sz w:val="21"/>
                <w:highlight w:val="none"/>
              </w:rPr>
            </w:pPr>
          </w:p>
        </w:tc>
        <w:tc>
          <w:tcPr>
            <w:tcW w:w="742" w:type="dxa"/>
            <w:vAlign w:val="top"/>
          </w:tcPr>
          <w:p w14:paraId="5D8E0C38">
            <w:pPr>
              <w:rPr>
                <w:rFonts w:hint="eastAsia" w:ascii="仿宋" w:hAnsi="仿宋" w:eastAsia="仿宋" w:cs="仿宋"/>
                <w:color w:val="auto"/>
                <w:sz w:val="21"/>
                <w:highlight w:val="none"/>
              </w:rPr>
            </w:pPr>
          </w:p>
        </w:tc>
        <w:tc>
          <w:tcPr>
            <w:tcW w:w="1010" w:type="dxa"/>
            <w:vAlign w:val="top"/>
          </w:tcPr>
          <w:p w14:paraId="641CB6C7">
            <w:pPr>
              <w:rPr>
                <w:rFonts w:hint="eastAsia" w:ascii="仿宋" w:hAnsi="仿宋" w:eastAsia="仿宋" w:cs="仿宋"/>
                <w:color w:val="auto"/>
                <w:sz w:val="21"/>
                <w:highlight w:val="none"/>
              </w:rPr>
            </w:pPr>
          </w:p>
        </w:tc>
        <w:tc>
          <w:tcPr>
            <w:tcW w:w="624" w:type="dxa"/>
            <w:vAlign w:val="top"/>
          </w:tcPr>
          <w:p w14:paraId="1B6526D9">
            <w:pPr>
              <w:rPr>
                <w:rFonts w:hint="eastAsia" w:ascii="仿宋" w:hAnsi="仿宋" w:eastAsia="仿宋" w:cs="仿宋"/>
                <w:color w:val="auto"/>
                <w:sz w:val="21"/>
                <w:highlight w:val="none"/>
              </w:rPr>
            </w:pPr>
          </w:p>
        </w:tc>
        <w:tc>
          <w:tcPr>
            <w:tcW w:w="701" w:type="dxa"/>
            <w:vAlign w:val="top"/>
          </w:tcPr>
          <w:p w14:paraId="3A2B0C4E">
            <w:pPr>
              <w:rPr>
                <w:rFonts w:hint="eastAsia" w:ascii="仿宋" w:hAnsi="仿宋" w:eastAsia="仿宋" w:cs="仿宋"/>
                <w:color w:val="auto"/>
                <w:sz w:val="21"/>
                <w:highlight w:val="none"/>
              </w:rPr>
            </w:pPr>
          </w:p>
        </w:tc>
        <w:tc>
          <w:tcPr>
            <w:tcW w:w="694" w:type="dxa"/>
            <w:vAlign w:val="top"/>
          </w:tcPr>
          <w:p w14:paraId="7F75DAEB">
            <w:pPr>
              <w:rPr>
                <w:rFonts w:hint="eastAsia" w:ascii="仿宋" w:hAnsi="仿宋" w:eastAsia="仿宋" w:cs="仿宋"/>
                <w:color w:val="auto"/>
                <w:sz w:val="21"/>
                <w:highlight w:val="none"/>
              </w:rPr>
            </w:pPr>
          </w:p>
        </w:tc>
      </w:tr>
      <w:tr w14:paraId="6BE5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56" w:type="dxa"/>
            <w:vMerge w:val="restart"/>
            <w:tcBorders>
              <w:bottom w:val="nil"/>
            </w:tcBorders>
            <w:textDirection w:val="tbRlV"/>
            <w:vAlign w:val="top"/>
          </w:tcPr>
          <w:p w14:paraId="4EE30A01">
            <w:pPr>
              <w:pStyle w:val="121"/>
              <w:spacing w:before="262" w:line="201" w:lineRule="auto"/>
              <w:ind w:left="545"/>
              <w:rPr>
                <w:rFonts w:hint="eastAsia" w:ascii="仿宋" w:hAnsi="仿宋" w:eastAsia="仿宋" w:cs="仿宋"/>
                <w:color w:val="auto"/>
                <w:highlight w:val="none"/>
              </w:rPr>
            </w:pPr>
            <w:r>
              <w:rPr>
                <w:rFonts w:hint="eastAsia" w:ascii="仿宋" w:hAnsi="仿宋" w:eastAsia="仿宋" w:cs="仿宋"/>
                <w:color w:val="auto"/>
                <w:spacing w:val="7"/>
                <w:highlight w:val="none"/>
              </w:rPr>
              <w:t>其</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他</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7"/>
                <w:highlight w:val="none"/>
              </w:rPr>
              <w:t>人</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7"/>
                <w:highlight w:val="none"/>
              </w:rPr>
              <w:t>员</w:t>
            </w:r>
          </w:p>
        </w:tc>
        <w:tc>
          <w:tcPr>
            <w:tcW w:w="956" w:type="dxa"/>
            <w:vAlign w:val="top"/>
          </w:tcPr>
          <w:p w14:paraId="14AF096A">
            <w:pPr>
              <w:rPr>
                <w:rFonts w:hint="eastAsia" w:ascii="仿宋" w:hAnsi="仿宋" w:eastAsia="仿宋" w:cs="仿宋"/>
                <w:color w:val="auto"/>
                <w:sz w:val="21"/>
                <w:highlight w:val="none"/>
              </w:rPr>
            </w:pPr>
          </w:p>
        </w:tc>
        <w:tc>
          <w:tcPr>
            <w:tcW w:w="888" w:type="dxa"/>
            <w:vAlign w:val="top"/>
          </w:tcPr>
          <w:p w14:paraId="45D91519">
            <w:pPr>
              <w:rPr>
                <w:rFonts w:hint="eastAsia" w:ascii="仿宋" w:hAnsi="仿宋" w:eastAsia="仿宋" w:cs="仿宋"/>
                <w:color w:val="auto"/>
                <w:sz w:val="21"/>
                <w:highlight w:val="none"/>
              </w:rPr>
            </w:pPr>
          </w:p>
        </w:tc>
        <w:tc>
          <w:tcPr>
            <w:tcW w:w="763" w:type="dxa"/>
            <w:vAlign w:val="top"/>
          </w:tcPr>
          <w:p w14:paraId="68A0B69C">
            <w:pPr>
              <w:rPr>
                <w:rFonts w:hint="eastAsia" w:ascii="仿宋" w:hAnsi="仿宋" w:eastAsia="仿宋" w:cs="仿宋"/>
                <w:color w:val="auto"/>
                <w:sz w:val="21"/>
                <w:highlight w:val="none"/>
              </w:rPr>
            </w:pPr>
          </w:p>
        </w:tc>
        <w:tc>
          <w:tcPr>
            <w:tcW w:w="762" w:type="dxa"/>
            <w:vAlign w:val="top"/>
          </w:tcPr>
          <w:p w14:paraId="449D7C04">
            <w:pPr>
              <w:rPr>
                <w:rFonts w:hint="eastAsia" w:ascii="仿宋" w:hAnsi="仿宋" w:eastAsia="仿宋" w:cs="仿宋"/>
                <w:color w:val="auto"/>
                <w:sz w:val="21"/>
                <w:highlight w:val="none"/>
              </w:rPr>
            </w:pPr>
          </w:p>
        </w:tc>
        <w:tc>
          <w:tcPr>
            <w:tcW w:w="775" w:type="dxa"/>
            <w:vAlign w:val="top"/>
          </w:tcPr>
          <w:p w14:paraId="6203161E">
            <w:pPr>
              <w:rPr>
                <w:rFonts w:hint="eastAsia" w:ascii="仿宋" w:hAnsi="仿宋" w:eastAsia="仿宋" w:cs="仿宋"/>
                <w:color w:val="auto"/>
                <w:sz w:val="21"/>
                <w:highlight w:val="none"/>
              </w:rPr>
            </w:pPr>
          </w:p>
        </w:tc>
        <w:tc>
          <w:tcPr>
            <w:tcW w:w="827" w:type="dxa"/>
            <w:vAlign w:val="top"/>
          </w:tcPr>
          <w:p w14:paraId="56A04C40">
            <w:pPr>
              <w:rPr>
                <w:rFonts w:hint="eastAsia" w:ascii="仿宋" w:hAnsi="仿宋" w:eastAsia="仿宋" w:cs="仿宋"/>
                <w:color w:val="auto"/>
                <w:sz w:val="21"/>
                <w:highlight w:val="none"/>
              </w:rPr>
            </w:pPr>
          </w:p>
        </w:tc>
        <w:tc>
          <w:tcPr>
            <w:tcW w:w="742" w:type="dxa"/>
            <w:vAlign w:val="top"/>
          </w:tcPr>
          <w:p w14:paraId="0329A8F7">
            <w:pPr>
              <w:rPr>
                <w:rFonts w:hint="eastAsia" w:ascii="仿宋" w:hAnsi="仿宋" w:eastAsia="仿宋" w:cs="仿宋"/>
                <w:color w:val="auto"/>
                <w:sz w:val="21"/>
                <w:highlight w:val="none"/>
              </w:rPr>
            </w:pPr>
          </w:p>
        </w:tc>
        <w:tc>
          <w:tcPr>
            <w:tcW w:w="1010" w:type="dxa"/>
            <w:vAlign w:val="top"/>
          </w:tcPr>
          <w:p w14:paraId="44A9FC12">
            <w:pPr>
              <w:rPr>
                <w:rFonts w:hint="eastAsia" w:ascii="仿宋" w:hAnsi="仿宋" w:eastAsia="仿宋" w:cs="仿宋"/>
                <w:color w:val="auto"/>
                <w:sz w:val="21"/>
                <w:highlight w:val="none"/>
              </w:rPr>
            </w:pPr>
          </w:p>
        </w:tc>
        <w:tc>
          <w:tcPr>
            <w:tcW w:w="624" w:type="dxa"/>
            <w:vAlign w:val="top"/>
          </w:tcPr>
          <w:p w14:paraId="3AEF7D69">
            <w:pPr>
              <w:rPr>
                <w:rFonts w:hint="eastAsia" w:ascii="仿宋" w:hAnsi="仿宋" w:eastAsia="仿宋" w:cs="仿宋"/>
                <w:color w:val="auto"/>
                <w:sz w:val="21"/>
                <w:highlight w:val="none"/>
              </w:rPr>
            </w:pPr>
          </w:p>
        </w:tc>
        <w:tc>
          <w:tcPr>
            <w:tcW w:w="701" w:type="dxa"/>
            <w:vAlign w:val="top"/>
          </w:tcPr>
          <w:p w14:paraId="2F4F7E80">
            <w:pPr>
              <w:rPr>
                <w:rFonts w:hint="eastAsia" w:ascii="仿宋" w:hAnsi="仿宋" w:eastAsia="仿宋" w:cs="仿宋"/>
                <w:color w:val="auto"/>
                <w:sz w:val="21"/>
                <w:highlight w:val="none"/>
              </w:rPr>
            </w:pPr>
          </w:p>
        </w:tc>
        <w:tc>
          <w:tcPr>
            <w:tcW w:w="694" w:type="dxa"/>
            <w:vAlign w:val="top"/>
          </w:tcPr>
          <w:p w14:paraId="228F746D">
            <w:pPr>
              <w:rPr>
                <w:rFonts w:hint="eastAsia" w:ascii="仿宋" w:hAnsi="仿宋" w:eastAsia="仿宋" w:cs="仿宋"/>
                <w:color w:val="auto"/>
                <w:sz w:val="21"/>
                <w:highlight w:val="none"/>
              </w:rPr>
            </w:pPr>
          </w:p>
        </w:tc>
      </w:tr>
      <w:tr w14:paraId="1DDFA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56" w:type="dxa"/>
            <w:vMerge w:val="continue"/>
            <w:tcBorders>
              <w:top w:val="nil"/>
              <w:bottom w:val="nil"/>
            </w:tcBorders>
            <w:textDirection w:val="tbRlV"/>
            <w:vAlign w:val="top"/>
          </w:tcPr>
          <w:p w14:paraId="4CEFFCD1">
            <w:pPr>
              <w:rPr>
                <w:rFonts w:hint="eastAsia" w:ascii="仿宋" w:hAnsi="仿宋" w:eastAsia="仿宋" w:cs="仿宋"/>
                <w:color w:val="auto"/>
                <w:sz w:val="21"/>
                <w:highlight w:val="none"/>
              </w:rPr>
            </w:pPr>
          </w:p>
        </w:tc>
        <w:tc>
          <w:tcPr>
            <w:tcW w:w="956" w:type="dxa"/>
            <w:vAlign w:val="top"/>
          </w:tcPr>
          <w:p w14:paraId="176F6AC5">
            <w:pPr>
              <w:rPr>
                <w:rFonts w:hint="eastAsia" w:ascii="仿宋" w:hAnsi="仿宋" w:eastAsia="仿宋" w:cs="仿宋"/>
                <w:color w:val="auto"/>
                <w:sz w:val="21"/>
                <w:highlight w:val="none"/>
              </w:rPr>
            </w:pPr>
          </w:p>
        </w:tc>
        <w:tc>
          <w:tcPr>
            <w:tcW w:w="888" w:type="dxa"/>
            <w:vAlign w:val="top"/>
          </w:tcPr>
          <w:p w14:paraId="304EFFA5">
            <w:pPr>
              <w:rPr>
                <w:rFonts w:hint="eastAsia" w:ascii="仿宋" w:hAnsi="仿宋" w:eastAsia="仿宋" w:cs="仿宋"/>
                <w:color w:val="auto"/>
                <w:sz w:val="21"/>
                <w:highlight w:val="none"/>
              </w:rPr>
            </w:pPr>
          </w:p>
        </w:tc>
        <w:tc>
          <w:tcPr>
            <w:tcW w:w="763" w:type="dxa"/>
            <w:vAlign w:val="top"/>
          </w:tcPr>
          <w:p w14:paraId="26623747">
            <w:pPr>
              <w:rPr>
                <w:rFonts w:hint="eastAsia" w:ascii="仿宋" w:hAnsi="仿宋" w:eastAsia="仿宋" w:cs="仿宋"/>
                <w:color w:val="auto"/>
                <w:sz w:val="21"/>
                <w:highlight w:val="none"/>
              </w:rPr>
            </w:pPr>
          </w:p>
        </w:tc>
        <w:tc>
          <w:tcPr>
            <w:tcW w:w="762" w:type="dxa"/>
            <w:vAlign w:val="top"/>
          </w:tcPr>
          <w:p w14:paraId="7E106C88">
            <w:pPr>
              <w:rPr>
                <w:rFonts w:hint="eastAsia" w:ascii="仿宋" w:hAnsi="仿宋" w:eastAsia="仿宋" w:cs="仿宋"/>
                <w:color w:val="auto"/>
                <w:sz w:val="21"/>
                <w:highlight w:val="none"/>
              </w:rPr>
            </w:pPr>
          </w:p>
        </w:tc>
        <w:tc>
          <w:tcPr>
            <w:tcW w:w="775" w:type="dxa"/>
            <w:vAlign w:val="top"/>
          </w:tcPr>
          <w:p w14:paraId="6B477C91">
            <w:pPr>
              <w:rPr>
                <w:rFonts w:hint="eastAsia" w:ascii="仿宋" w:hAnsi="仿宋" w:eastAsia="仿宋" w:cs="仿宋"/>
                <w:color w:val="auto"/>
                <w:sz w:val="21"/>
                <w:highlight w:val="none"/>
              </w:rPr>
            </w:pPr>
          </w:p>
        </w:tc>
        <w:tc>
          <w:tcPr>
            <w:tcW w:w="827" w:type="dxa"/>
            <w:vAlign w:val="top"/>
          </w:tcPr>
          <w:p w14:paraId="2408B480">
            <w:pPr>
              <w:rPr>
                <w:rFonts w:hint="eastAsia" w:ascii="仿宋" w:hAnsi="仿宋" w:eastAsia="仿宋" w:cs="仿宋"/>
                <w:color w:val="auto"/>
                <w:sz w:val="21"/>
                <w:highlight w:val="none"/>
              </w:rPr>
            </w:pPr>
          </w:p>
        </w:tc>
        <w:tc>
          <w:tcPr>
            <w:tcW w:w="742" w:type="dxa"/>
            <w:vAlign w:val="top"/>
          </w:tcPr>
          <w:p w14:paraId="097D7C60">
            <w:pPr>
              <w:rPr>
                <w:rFonts w:hint="eastAsia" w:ascii="仿宋" w:hAnsi="仿宋" w:eastAsia="仿宋" w:cs="仿宋"/>
                <w:color w:val="auto"/>
                <w:sz w:val="21"/>
                <w:highlight w:val="none"/>
              </w:rPr>
            </w:pPr>
          </w:p>
        </w:tc>
        <w:tc>
          <w:tcPr>
            <w:tcW w:w="1010" w:type="dxa"/>
            <w:vAlign w:val="top"/>
          </w:tcPr>
          <w:p w14:paraId="4C5D9D8B">
            <w:pPr>
              <w:rPr>
                <w:rFonts w:hint="eastAsia" w:ascii="仿宋" w:hAnsi="仿宋" w:eastAsia="仿宋" w:cs="仿宋"/>
                <w:color w:val="auto"/>
                <w:sz w:val="21"/>
                <w:highlight w:val="none"/>
              </w:rPr>
            </w:pPr>
          </w:p>
        </w:tc>
        <w:tc>
          <w:tcPr>
            <w:tcW w:w="624" w:type="dxa"/>
            <w:vAlign w:val="top"/>
          </w:tcPr>
          <w:p w14:paraId="36D052A0">
            <w:pPr>
              <w:rPr>
                <w:rFonts w:hint="eastAsia" w:ascii="仿宋" w:hAnsi="仿宋" w:eastAsia="仿宋" w:cs="仿宋"/>
                <w:color w:val="auto"/>
                <w:sz w:val="21"/>
                <w:highlight w:val="none"/>
              </w:rPr>
            </w:pPr>
          </w:p>
        </w:tc>
        <w:tc>
          <w:tcPr>
            <w:tcW w:w="701" w:type="dxa"/>
            <w:vAlign w:val="top"/>
          </w:tcPr>
          <w:p w14:paraId="21FDFC0E">
            <w:pPr>
              <w:rPr>
                <w:rFonts w:hint="eastAsia" w:ascii="仿宋" w:hAnsi="仿宋" w:eastAsia="仿宋" w:cs="仿宋"/>
                <w:color w:val="auto"/>
                <w:sz w:val="21"/>
                <w:highlight w:val="none"/>
              </w:rPr>
            </w:pPr>
          </w:p>
        </w:tc>
        <w:tc>
          <w:tcPr>
            <w:tcW w:w="694" w:type="dxa"/>
            <w:vAlign w:val="top"/>
          </w:tcPr>
          <w:p w14:paraId="1AF8C53B">
            <w:pPr>
              <w:rPr>
                <w:rFonts w:hint="eastAsia" w:ascii="仿宋" w:hAnsi="仿宋" w:eastAsia="仿宋" w:cs="仿宋"/>
                <w:color w:val="auto"/>
                <w:sz w:val="21"/>
                <w:highlight w:val="none"/>
              </w:rPr>
            </w:pPr>
          </w:p>
        </w:tc>
      </w:tr>
      <w:tr w14:paraId="1BA9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656" w:type="dxa"/>
            <w:vMerge w:val="continue"/>
            <w:tcBorders>
              <w:top w:val="nil"/>
            </w:tcBorders>
            <w:textDirection w:val="tbRlV"/>
            <w:vAlign w:val="top"/>
          </w:tcPr>
          <w:p w14:paraId="2B2FF2AA">
            <w:pPr>
              <w:rPr>
                <w:rFonts w:hint="eastAsia" w:ascii="仿宋" w:hAnsi="仿宋" w:eastAsia="仿宋" w:cs="仿宋"/>
                <w:color w:val="auto"/>
                <w:sz w:val="21"/>
                <w:highlight w:val="none"/>
              </w:rPr>
            </w:pPr>
          </w:p>
        </w:tc>
        <w:tc>
          <w:tcPr>
            <w:tcW w:w="956" w:type="dxa"/>
            <w:vAlign w:val="top"/>
          </w:tcPr>
          <w:p w14:paraId="445E6E97">
            <w:pPr>
              <w:rPr>
                <w:rFonts w:hint="eastAsia" w:ascii="仿宋" w:hAnsi="仿宋" w:eastAsia="仿宋" w:cs="仿宋"/>
                <w:color w:val="auto"/>
                <w:sz w:val="21"/>
                <w:highlight w:val="none"/>
              </w:rPr>
            </w:pPr>
          </w:p>
        </w:tc>
        <w:tc>
          <w:tcPr>
            <w:tcW w:w="888" w:type="dxa"/>
            <w:vAlign w:val="top"/>
          </w:tcPr>
          <w:p w14:paraId="1EFE1D5A">
            <w:pPr>
              <w:rPr>
                <w:rFonts w:hint="eastAsia" w:ascii="仿宋" w:hAnsi="仿宋" w:eastAsia="仿宋" w:cs="仿宋"/>
                <w:color w:val="auto"/>
                <w:sz w:val="21"/>
                <w:highlight w:val="none"/>
              </w:rPr>
            </w:pPr>
          </w:p>
        </w:tc>
        <w:tc>
          <w:tcPr>
            <w:tcW w:w="763" w:type="dxa"/>
            <w:vAlign w:val="top"/>
          </w:tcPr>
          <w:p w14:paraId="50ABD90A">
            <w:pPr>
              <w:rPr>
                <w:rFonts w:hint="eastAsia" w:ascii="仿宋" w:hAnsi="仿宋" w:eastAsia="仿宋" w:cs="仿宋"/>
                <w:color w:val="auto"/>
                <w:sz w:val="21"/>
                <w:highlight w:val="none"/>
              </w:rPr>
            </w:pPr>
          </w:p>
        </w:tc>
        <w:tc>
          <w:tcPr>
            <w:tcW w:w="762" w:type="dxa"/>
            <w:vAlign w:val="top"/>
          </w:tcPr>
          <w:p w14:paraId="75921544">
            <w:pPr>
              <w:rPr>
                <w:rFonts w:hint="eastAsia" w:ascii="仿宋" w:hAnsi="仿宋" w:eastAsia="仿宋" w:cs="仿宋"/>
                <w:color w:val="auto"/>
                <w:sz w:val="21"/>
                <w:highlight w:val="none"/>
              </w:rPr>
            </w:pPr>
          </w:p>
        </w:tc>
        <w:tc>
          <w:tcPr>
            <w:tcW w:w="775" w:type="dxa"/>
            <w:vAlign w:val="top"/>
          </w:tcPr>
          <w:p w14:paraId="41826D14">
            <w:pPr>
              <w:rPr>
                <w:rFonts w:hint="eastAsia" w:ascii="仿宋" w:hAnsi="仿宋" w:eastAsia="仿宋" w:cs="仿宋"/>
                <w:color w:val="auto"/>
                <w:sz w:val="21"/>
                <w:highlight w:val="none"/>
              </w:rPr>
            </w:pPr>
          </w:p>
        </w:tc>
        <w:tc>
          <w:tcPr>
            <w:tcW w:w="827" w:type="dxa"/>
            <w:vAlign w:val="top"/>
          </w:tcPr>
          <w:p w14:paraId="4D0B217B">
            <w:pPr>
              <w:rPr>
                <w:rFonts w:hint="eastAsia" w:ascii="仿宋" w:hAnsi="仿宋" w:eastAsia="仿宋" w:cs="仿宋"/>
                <w:color w:val="auto"/>
                <w:sz w:val="21"/>
                <w:highlight w:val="none"/>
              </w:rPr>
            </w:pPr>
          </w:p>
        </w:tc>
        <w:tc>
          <w:tcPr>
            <w:tcW w:w="742" w:type="dxa"/>
            <w:vAlign w:val="top"/>
          </w:tcPr>
          <w:p w14:paraId="0059B4F4">
            <w:pPr>
              <w:rPr>
                <w:rFonts w:hint="eastAsia" w:ascii="仿宋" w:hAnsi="仿宋" w:eastAsia="仿宋" w:cs="仿宋"/>
                <w:color w:val="auto"/>
                <w:sz w:val="21"/>
                <w:highlight w:val="none"/>
              </w:rPr>
            </w:pPr>
          </w:p>
        </w:tc>
        <w:tc>
          <w:tcPr>
            <w:tcW w:w="1010" w:type="dxa"/>
            <w:vAlign w:val="top"/>
          </w:tcPr>
          <w:p w14:paraId="6524F470">
            <w:pPr>
              <w:rPr>
                <w:rFonts w:hint="eastAsia" w:ascii="仿宋" w:hAnsi="仿宋" w:eastAsia="仿宋" w:cs="仿宋"/>
                <w:color w:val="auto"/>
                <w:sz w:val="21"/>
                <w:highlight w:val="none"/>
              </w:rPr>
            </w:pPr>
          </w:p>
        </w:tc>
        <w:tc>
          <w:tcPr>
            <w:tcW w:w="624" w:type="dxa"/>
            <w:vAlign w:val="top"/>
          </w:tcPr>
          <w:p w14:paraId="1B3A9FBF">
            <w:pPr>
              <w:rPr>
                <w:rFonts w:hint="eastAsia" w:ascii="仿宋" w:hAnsi="仿宋" w:eastAsia="仿宋" w:cs="仿宋"/>
                <w:color w:val="auto"/>
                <w:sz w:val="21"/>
                <w:highlight w:val="none"/>
              </w:rPr>
            </w:pPr>
          </w:p>
        </w:tc>
        <w:tc>
          <w:tcPr>
            <w:tcW w:w="701" w:type="dxa"/>
            <w:vAlign w:val="top"/>
          </w:tcPr>
          <w:p w14:paraId="28C9F750">
            <w:pPr>
              <w:rPr>
                <w:rFonts w:hint="eastAsia" w:ascii="仿宋" w:hAnsi="仿宋" w:eastAsia="仿宋" w:cs="仿宋"/>
                <w:color w:val="auto"/>
                <w:sz w:val="21"/>
                <w:highlight w:val="none"/>
              </w:rPr>
            </w:pPr>
          </w:p>
        </w:tc>
        <w:tc>
          <w:tcPr>
            <w:tcW w:w="694" w:type="dxa"/>
            <w:vAlign w:val="top"/>
          </w:tcPr>
          <w:p w14:paraId="0E1BED4C">
            <w:pPr>
              <w:rPr>
                <w:rFonts w:hint="eastAsia" w:ascii="仿宋" w:hAnsi="仿宋" w:eastAsia="仿宋" w:cs="仿宋"/>
                <w:color w:val="auto"/>
                <w:sz w:val="21"/>
                <w:highlight w:val="none"/>
              </w:rPr>
            </w:pPr>
          </w:p>
        </w:tc>
      </w:tr>
    </w:tbl>
    <w:p w14:paraId="5DE75DF7">
      <w:pPr>
        <w:pStyle w:val="16"/>
        <w:spacing w:before="111" w:line="275" w:lineRule="auto"/>
        <w:ind w:left="330" w:right="291" w:hanging="18"/>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备注：1.需提供拟投入人员身份证明材料、检验人员需提供检验相关证书</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3"/>
          <w:sz w:val="28"/>
          <w:szCs w:val="28"/>
          <w:highlight w:val="none"/>
        </w:rPr>
        <w:t>、提供近</w:t>
      </w:r>
      <w:r>
        <w:rPr>
          <w:rFonts w:hint="eastAsia" w:ascii="仿宋" w:hAnsi="仿宋" w:eastAsia="仿宋" w:cs="仿宋"/>
          <w:color w:val="auto"/>
          <w:spacing w:val="-3"/>
          <w:sz w:val="28"/>
          <w:szCs w:val="28"/>
          <w:highlight w:val="none"/>
          <w:lang w:val="en-US" w:eastAsia="zh-CN"/>
        </w:rPr>
        <w:t>半年内任意3个月</w:t>
      </w:r>
      <w:r>
        <w:rPr>
          <w:rFonts w:hint="eastAsia" w:ascii="仿宋" w:hAnsi="仿宋" w:eastAsia="仿宋" w:cs="仿宋"/>
          <w:color w:val="auto"/>
          <w:spacing w:val="-3"/>
          <w:sz w:val="28"/>
          <w:szCs w:val="28"/>
          <w:highlight w:val="none"/>
        </w:rPr>
        <w:t>社保证明材料。</w:t>
      </w:r>
    </w:p>
    <w:p w14:paraId="61BBCBEA">
      <w:pPr>
        <w:pStyle w:val="16"/>
        <w:spacing w:before="46" w:line="221" w:lineRule="auto"/>
        <w:ind w:left="1145"/>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2.按拟投入情况表所列顺序依次排列，证明材料须加盖投标人</w:t>
      </w:r>
      <w:r>
        <w:rPr>
          <w:rFonts w:hint="eastAsia" w:ascii="仿宋" w:hAnsi="仿宋" w:eastAsia="仿宋" w:cs="仿宋"/>
          <w:color w:val="auto"/>
          <w:spacing w:val="-6"/>
          <w:sz w:val="28"/>
          <w:szCs w:val="28"/>
          <w:highlight w:val="none"/>
        </w:rPr>
        <w:t>公章</w:t>
      </w:r>
      <w:r>
        <w:rPr>
          <w:rFonts w:hint="eastAsia" w:ascii="仿宋" w:hAnsi="仿宋" w:eastAsia="仿宋" w:cs="仿宋"/>
          <w:color w:val="auto"/>
          <w:position w:val="2"/>
          <w:sz w:val="28"/>
          <w:szCs w:val="28"/>
          <w:highlight w:val="none"/>
        </w:rPr>
        <w:t>。</w:t>
      </w:r>
    </w:p>
    <w:p w14:paraId="1D6CA928">
      <w:pPr>
        <w:pStyle w:val="16"/>
        <w:spacing w:before="119" w:line="223" w:lineRule="auto"/>
        <w:ind w:left="1147"/>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3.此表可向下延伸。</w:t>
      </w:r>
    </w:p>
    <w:p w14:paraId="210F26DB">
      <w:pPr>
        <w:pStyle w:val="16"/>
        <w:spacing w:before="101" w:line="222" w:lineRule="auto"/>
        <w:ind w:left="309"/>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投标人名称：</w:t>
      </w:r>
      <w:r>
        <w:rPr>
          <w:rFonts w:hint="eastAsia" w:ascii="仿宋" w:hAnsi="仿宋" w:eastAsia="仿宋" w:cs="仿宋"/>
          <w:color w:val="auto"/>
          <w:sz w:val="28"/>
          <w:szCs w:val="28"/>
          <w:highlight w:val="none"/>
          <w:u w:val="single" w:color="auto"/>
        </w:rPr>
        <w:t xml:space="preserve">                        </w:t>
      </w:r>
    </w:p>
    <w:p w14:paraId="5A0539EC">
      <w:pPr>
        <w:pStyle w:val="16"/>
        <w:spacing w:before="103" w:line="223" w:lineRule="auto"/>
        <w:ind w:left="316"/>
        <w:rPr>
          <w:rFonts w:hint="eastAsia" w:ascii="仿宋" w:hAnsi="仿宋" w:eastAsia="仿宋" w:cs="仿宋"/>
          <w:color w:val="auto"/>
          <w:sz w:val="28"/>
          <w:szCs w:val="28"/>
          <w:highlight w:val="none"/>
        </w:rPr>
      </w:pPr>
      <w:r>
        <w:rPr>
          <w:rFonts w:hint="eastAsia" w:ascii="仿宋" w:hAnsi="仿宋" w:eastAsia="仿宋" w:cs="仿宋"/>
          <w:color w:val="auto"/>
          <w:spacing w:val="-29"/>
          <w:sz w:val="28"/>
          <w:szCs w:val="28"/>
          <w:highlight w:val="none"/>
        </w:rPr>
        <w:t>公</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29"/>
          <w:sz w:val="28"/>
          <w:szCs w:val="28"/>
          <w:highlight w:val="none"/>
        </w:rPr>
        <w:t>章</w:t>
      </w:r>
      <w:r>
        <w:rPr>
          <w:rFonts w:hint="eastAsia" w:ascii="仿宋" w:hAnsi="仿宋" w:eastAsia="仿宋" w:cs="仿宋"/>
          <w:color w:val="auto"/>
          <w:spacing w:val="-97"/>
          <w:sz w:val="28"/>
          <w:szCs w:val="28"/>
          <w:highlight w:val="none"/>
        </w:rPr>
        <w:t xml:space="preserve"> </w:t>
      </w:r>
      <w:r>
        <w:rPr>
          <w:rFonts w:hint="eastAsia" w:ascii="仿宋" w:hAnsi="仿宋" w:eastAsia="仿宋" w:cs="仿宋"/>
          <w:color w:val="auto"/>
          <w:spacing w:val="-29"/>
          <w:sz w:val="28"/>
          <w:szCs w:val="28"/>
          <w:highlight w:val="none"/>
        </w:rPr>
        <w:t>：</w:t>
      </w:r>
      <w:r>
        <w:rPr>
          <w:rFonts w:hint="eastAsia" w:ascii="仿宋" w:hAnsi="仿宋" w:eastAsia="仿宋" w:cs="仿宋"/>
          <w:color w:val="auto"/>
          <w:sz w:val="28"/>
          <w:szCs w:val="28"/>
          <w:highlight w:val="none"/>
          <w:u w:val="single" w:color="auto"/>
        </w:rPr>
        <w:t xml:space="preserve">                        </w:t>
      </w:r>
    </w:p>
    <w:p w14:paraId="5564BDF9">
      <w:pPr>
        <w:pStyle w:val="92"/>
        <w:rPr>
          <w:rFonts w:hint="eastAsia" w:ascii="仿宋" w:hAnsi="仿宋" w:eastAsia="仿宋" w:cs="仿宋"/>
          <w:color w:val="auto"/>
          <w:spacing w:val="4"/>
          <w:sz w:val="28"/>
          <w:szCs w:val="28"/>
          <w:highlight w:val="none"/>
        </w:rPr>
      </w:pPr>
      <w:r>
        <w:rPr>
          <w:rFonts w:hint="eastAsia" w:ascii="仿宋" w:hAnsi="仿宋" w:eastAsia="仿宋" w:cs="仿宋"/>
          <w:color w:val="auto"/>
          <w:spacing w:val="-2"/>
          <w:sz w:val="28"/>
          <w:szCs w:val="28"/>
          <w:highlight w:val="none"/>
        </w:rPr>
        <w:t>法定代表人或被授权人签字或签章:</w:t>
      </w:r>
      <w:r>
        <w:rPr>
          <w:rFonts w:hint="eastAsia" w:ascii="仿宋" w:hAnsi="仿宋" w:eastAsia="仿宋" w:cs="仿宋"/>
          <w:color w:val="auto"/>
          <w:spacing w:val="7"/>
          <w:sz w:val="28"/>
          <w:szCs w:val="28"/>
          <w:highlight w:val="none"/>
          <w:u w:val="single" w:color="auto"/>
        </w:rPr>
        <w:t xml:space="preserve">                 </w:t>
      </w:r>
      <w:r>
        <w:rPr>
          <w:rFonts w:hint="eastAsia" w:ascii="仿宋" w:hAnsi="仿宋" w:eastAsia="仿宋" w:cs="仿宋"/>
          <w:color w:val="auto"/>
          <w:spacing w:val="4"/>
          <w:sz w:val="28"/>
          <w:szCs w:val="28"/>
          <w:highlight w:val="none"/>
        </w:rPr>
        <w:t xml:space="preserve"> </w:t>
      </w:r>
    </w:p>
    <w:p w14:paraId="57197E68">
      <w:pPr>
        <w:pStyle w:val="92"/>
        <w:rPr>
          <w:rFonts w:hint="eastAsia" w:ascii="仿宋" w:hAnsi="仿宋" w:eastAsia="仿宋" w:cs="仿宋"/>
          <w:color w:val="auto"/>
          <w:highlight w:val="none"/>
        </w:rPr>
      </w:pPr>
      <w:r>
        <w:rPr>
          <w:rFonts w:hint="eastAsia" w:ascii="仿宋" w:hAnsi="仿宋" w:eastAsia="仿宋" w:cs="仿宋"/>
          <w:color w:val="auto"/>
          <w:spacing w:val="-32"/>
          <w:sz w:val="28"/>
          <w:szCs w:val="28"/>
          <w:highlight w:val="none"/>
        </w:rPr>
        <w:t>日</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32"/>
          <w:sz w:val="28"/>
          <w:szCs w:val="28"/>
          <w:highlight w:val="none"/>
        </w:rPr>
        <w:t>期：</w:t>
      </w:r>
    </w:p>
    <w:p w14:paraId="12D8BFE9">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FB2A3DB">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9.类似业绩表</w:t>
      </w:r>
    </w:p>
    <w:p w14:paraId="17ECE054">
      <w:pPr>
        <w:spacing w:line="114" w:lineRule="exact"/>
        <w:rPr>
          <w:color w:val="auto"/>
          <w:highlight w:val="none"/>
        </w:rPr>
      </w:pPr>
    </w:p>
    <w:tbl>
      <w:tblPr>
        <w:tblStyle w:val="122"/>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2653"/>
        <w:gridCol w:w="1859"/>
        <w:gridCol w:w="1739"/>
        <w:gridCol w:w="1054"/>
      </w:tblGrid>
      <w:tr w14:paraId="6D6A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4562" w:type="dxa"/>
            <w:gridSpan w:val="2"/>
            <w:vAlign w:val="top"/>
          </w:tcPr>
          <w:p w14:paraId="44427DC1">
            <w:pPr>
              <w:pStyle w:val="121"/>
              <w:spacing w:before="315" w:line="222" w:lineRule="auto"/>
              <w:ind w:left="1791"/>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标段名称</w:t>
            </w:r>
          </w:p>
        </w:tc>
        <w:tc>
          <w:tcPr>
            <w:tcW w:w="4652" w:type="dxa"/>
            <w:gridSpan w:val="3"/>
            <w:vAlign w:val="top"/>
          </w:tcPr>
          <w:p w14:paraId="56F3CC24">
            <w:pPr>
              <w:rPr>
                <w:rFonts w:hint="eastAsia" w:ascii="仿宋" w:hAnsi="仿宋" w:eastAsia="仿宋" w:cs="仿宋"/>
                <w:color w:val="auto"/>
                <w:sz w:val="21"/>
                <w:highlight w:val="none"/>
              </w:rPr>
            </w:pPr>
          </w:p>
        </w:tc>
      </w:tr>
      <w:tr w14:paraId="2226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562" w:type="dxa"/>
            <w:gridSpan w:val="2"/>
            <w:vAlign w:val="top"/>
          </w:tcPr>
          <w:p w14:paraId="3FA3008C">
            <w:pPr>
              <w:pStyle w:val="121"/>
              <w:spacing w:before="313" w:line="224" w:lineRule="auto"/>
              <w:ind w:left="1791"/>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标段编号</w:t>
            </w:r>
          </w:p>
        </w:tc>
        <w:tc>
          <w:tcPr>
            <w:tcW w:w="4652" w:type="dxa"/>
            <w:gridSpan w:val="3"/>
            <w:vAlign w:val="top"/>
          </w:tcPr>
          <w:p w14:paraId="04AE01CE">
            <w:pPr>
              <w:rPr>
                <w:rFonts w:hint="eastAsia" w:ascii="仿宋" w:hAnsi="仿宋" w:eastAsia="仿宋" w:cs="仿宋"/>
                <w:color w:val="auto"/>
                <w:sz w:val="21"/>
                <w:highlight w:val="none"/>
              </w:rPr>
            </w:pPr>
          </w:p>
        </w:tc>
      </w:tr>
      <w:tr w14:paraId="1F575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909" w:type="dxa"/>
            <w:vAlign w:val="top"/>
          </w:tcPr>
          <w:p w14:paraId="4FF5FC86">
            <w:pPr>
              <w:spacing w:line="243" w:lineRule="auto"/>
              <w:rPr>
                <w:rFonts w:hint="eastAsia" w:ascii="仿宋" w:hAnsi="仿宋" w:eastAsia="仿宋" w:cs="仿宋"/>
                <w:color w:val="auto"/>
                <w:sz w:val="21"/>
                <w:highlight w:val="none"/>
              </w:rPr>
            </w:pPr>
          </w:p>
          <w:p w14:paraId="16CC5351">
            <w:pPr>
              <w:pStyle w:val="121"/>
              <w:spacing w:before="91" w:line="232" w:lineRule="auto"/>
              <w:ind w:left="411"/>
              <w:rPr>
                <w:rFonts w:hint="eastAsia" w:ascii="仿宋" w:hAnsi="仿宋" w:eastAsia="仿宋" w:cs="仿宋"/>
                <w:color w:val="auto"/>
                <w:highlight w:val="none"/>
              </w:rPr>
            </w:pPr>
            <w:r>
              <w:rPr>
                <w:rFonts w:hint="eastAsia" w:ascii="仿宋" w:hAnsi="仿宋" w:eastAsia="仿宋" w:cs="仿宋"/>
                <w:color w:val="auto"/>
                <w:spacing w:val="-10"/>
                <w:highlight w:val="none"/>
              </w:rPr>
              <w:t>地</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10"/>
                <w:highlight w:val="none"/>
              </w:rPr>
              <w:t>区</w:t>
            </w:r>
          </w:p>
        </w:tc>
        <w:tc>
          <w:tcPr>
            <w:tcW w:w="2653" w:type="dxa"/>
            <w:vAlign w:val="top"/>
          </w:tcPr>
          <w:p w14:paraId="293FD622">
            <w:pPr>
              <w:spacing w:line="242" w:lineRule="auto"/>
              <w:rPr>
                <w:rFonts w:hint="eastAsia" w:ascii="仿宋" w:hAnsi="仿宋" w:eastAsia="仿宋" w:cs="仿宋"/>
                <w:color w:val="auto"/>
                <w:sz w:val="21"/>
                <w:highlight w:val="none"/>
              </w:rPr>
            </w:pPr>
          </w:p>
          <w:p w14:paraId="7A8B4310">
            <w:pPr>
              <w:pStyle w:val="121"/>
              <w:spacing w:before="91" w:line="222" w:lineRule="auto"/>
              <w:ind w:left="835"/>
              <w:rPr>
                <w:rFonts w:hint="eastAsia" w:ascii="仿宋" w:hAnsi="仿宋" w:eastAsia="仿宋" w:cs="仿宋"/>
                <w:color w:val="auto"/>
                <w:highlight w:val="none"/>
              </w:rPr>
            </w:pPr>
            <w:r>
              <w:rPr>
                <w:rFonts w:hint="eastAsia" w:ascii="仿宋" w:hAnsi="仿宋" w:eastAsia="仿宋" w:cs="仿宋"/>
                <w:color w:val="auto"/>
                <w:spacing w:val="-5"/>
                <w:highlight w:val="none"/>
              </w:rPr>
              <w:t>项目名称</w:t>
            </w:r>
          </w:p>
        </w:tc>
        <w:tc>
          <w:tcPr>
            <w:tcW w:w="1859" w:type="dxa"/>
            <w:vAlign w:val="top"/>
          </w:tcPr>
          <w:p w14:paraId="34E6B1B5">
            <w:pPr>
              <w:pStyle w:val="121"/>
              <w:spacing w:before="115" w:line="250" w:lineRule="auto"/>
              <w:ind w:left="244" w:right="86" w:hanging="83"/>
              <w:rPr>
                <w:rFonts w:hint="eastAsia" w:ascii="仿宋" w:hAnsi="仿宋" w:eastAsia="仿宋" w:cs="仿宋"/>
                <w:color w:val="auto"/>
                <w:highlight w:val="none"/>
              </w:rPr>
            </w:pPr>
            <w:r>
              <w:rPr>
                <w:rFonts w:hint="eastAsia" w:ascii="仿宋" w:hAnsi="仿宋" w:eastAsia="仿宋" w:cs="仿宋"/>
                <w:color w:val="auto"/>
                <w:spacing w:val="-13"/>
                <w:highlight w:val="none"/>
              </w:rPr>
              <w:t>中标（成交）</w:t>
            </w:r>
            <w:r>
              <w:rPr>
                <w:rFonts w:hint="eastAsia" w:ascii="仿宋" w:hAnsi="仿宋" w:eastAsia="仿宋" w:cs="仿宋"/>
                <w:color w:val="auto"/>
                <w:spacing w:val="3"/>
                <w:highlight w:val="none"/>
              </w:rPr>
              <w:t xml:space="preserve"> </w:t>
            </w:r>
            <w:r>
              <w:rPr>
                <w:rFonts w:hint="eastAsia" w:ascii="仿宋" w:hAnsi="仿宋" w:eastAsia="仿宋" w:cs="仿宋"/>
                <w:color w:val="auto"/>
                <w:spacing w:val="-3"/>
                <w:highlight w:val="none"/>
              </w:rPr>
              <w:t>金额(万元)</w:t>
            </w:r>
          </w:p>
        </w:tc>
        <w:tc>
          <w:tcPr>
            <w:tcW w:w="1739" w:type="dxa"/>
            <w:vAlign w:val="top"/>
          </w:tcPr>
          <w:p w14:paraId="5097D9B3">
            <w:pPr>
              <w:spacing w:line="242" w:lineRule="auto"/>
              <w:rPr>
                <w:rFonts w:hint="eastAsia" w:ascii="仿宋" w:hAnsi="仿宋" w:eastAsia="仿宋" w:cs="仿宋"/>
                <w:color w:val="auto"/>
                <w:sz w:val="21"/>
                <w:highlight w:val="none"/>
              </w:rPr>
            </w:pPr>
          </w:p>
          <w:p w14:paraId="0F002D55">
            <w:pPr>
              <w:pStyle w:val="121"/>
              <w:spacing w:before="91" w:line="223" w:lineRule="auto"/>
              <w:ind w:left="326"/>
              <w:rPr>
                <w:rFonts w:hint="eastAsia" w:ascii="仿宋" w:hAnsi="仿宋" w:eastAsia="仿宋" w:cs="仿宋"/>
                <w:color w:val="auto"/>
                <w:highlight w:val="none"/>
              </w:rPr>
            </w:pPr>
            <w:r>
              <w:rPr>
                <w:rFonts w:hint="eastAsia" w:ascii="仿宋" w:hAnsi="仿宋" w:eastAsia="仿宋" w:cs="仿宋"/>
                <w:color w:val="auto"/>
                <w:spacing w:val="-5"/>
                <w:highlight w:val="none"/>
              </w:rPr>
              <w:t>验收结果</w:t>
            </w:r>
          </w:p>
        </w:tc>
        <w:tc>
          <w:tcPr>
            <w:tcW w:w="1054" w:type="dxa"/>
            <w:vAlign w:val="top"/>
          </w:tcPr>
          <w:p w14:paraId="7C9EB8DA">
            <w:pPr>
              <w:spacing w:line="243" w:lineRule="auto"/>
              <w:rPr>
                <w:rFonts w:hint="eastAsia" w:ascii="仿宋" w:hAnsi="仿宋" w:eastAsia="仿宋" w:cs="仿宋"/>
                <w:color w:val="auto"/>
                <w:sz w:val="21"/>
                <w:highlight w:val="none"/>
              </w:rPr>
            </w:pPr>
          </w:p>
          <w:p w14:paraId="73055DFA">
            <w:pPr>
              <w:pStyle w:val="121"/>
              <w:spacing w:before="91" w:line="225" w:lineRule="auto"/>
              <w:ind w:left="196"/>
              <w:rPr>
                <w:rFonts w:hint="eastAsia" w:ascii="仿宋" w:hAnsi="仿宋" w:eastAsia="仿宋" w:cs="仿宋"/>
                <w:color w:val="auto"/>
                <w:highlight w:val="none"/>
              </w:rPr>
            </w:pPr>
            <w:r>
              <w:rPr>
                <w:rFonts w:hint="eastAsia" w:ascii="仿宋" w:hAnsi="仿宋" w:eastAsia="仿宋" w:cs="仿宋"/>
                <w:color w:val="auto"/>
                <w:spacing w:val="-10"/>
                <w:highlight w:val="none"/>
              </w:rPr>
              <w:t>备</w:t>
            </w:r>
            <w:r>
              <w:rPr>
                <w:rFonts w:hint="eastAsia" w:ascii="仿宋" w:hAnsi="仿宋" w:eastAsia="仿宋" w:cs="仿宋"/>
                <w:color w:val="auto"/>
                <w:spacing w:val="25"/>
                <w:highlight w:val="none"/>
              </w:rPr>
              <w:t xml:space="preserve"> </w:t>
            </w:r>
            <w:r>
              <w:rPr>
                <w:rFonts w:hint="eastAsia" w:ascii="仿宋" w:hAnsi="仿宋" w:eastAsia="仿宋" w:cs="仿宋"/>
                <w:color w:val="auto"/>
                <w:spacing w:val="-10"/>
                <w:highlight w:val="none"/>
              </w:rPr>
              <w:t>注</w:t>
            </w:r>
          </w:p>
        </w:tc>
      </w:tr>
      <w:tr w14:paraId="5E42E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09" w:type="dxa"/>
            <w:vAlign w:val="top"/>
          </w:tcPr>
          <w:p w14:paraId="61CB5067">
            <w:pPr>
              <w:rPr>
                <w:rFonts w:hint="eastAsia" w:ascii="仿宋" w:hAnsi="仿宋" w:eastAsia="仿宋" w:cs="仿宋"/>
                <w:color w:val="auto"/>
                <w:sz w:val="21"/>
                <w:highlight w:val="none"/>
              </w:rPr>
            </w:pPr>
          </w:p>
        </w:tc>
        <w:tc>
          <w:tcPr>
            <w:tcW w:w="2653" w:type="dxa"/>
            <w:vAlign w:val="top"/>
          </w:tcPr>
          <w:p w14:paraId="7CB0276A">
            <w:pPr>
              <w:rPr>
                <w:rFonts w:hint="eastAsia" w:ascii="仿宋" w:hAnsi="仿宋" w:eastAsia="仿宋" w:cs="仿宋"/>
                <w:color w:val="auto"/>
                <w:sz w:val="21"/>
                <w:highlight w:val="none"/>
              </w:rPr>
            </w:pPr>
          </w:p>
        </w:tc>
        <w:tc>
          <w:tcPr>
            <w:tcW w:w="1859" w:type="dxa"/>
            <w:vAlign w:val="top"/>
          </w:tcPr>
          <w:p w14:paraId="652298DE">
            <w:pPr>
              <w:rPr>
                <w:rFonts w:hint="eastAsia" w:ascii="仿宋" w:hAnsi="仿宋" w:eastAsia="仿宋" w:cs="仿宋"/>
                <w:color w:val="auto"/>
                <w:sz w:val="21"/>
                <w:highlight w:val="none"/>
              </w:rPr>
            </w:pPr>
          </w:p>
        </w:tc>
        <w:tc>
          <w:tcPr>
            <w:tcW w:w="1739" w:type="dxa"/>
            <w:vAlign w:val="top"/>
          </w:tcPr>
          <w:p w14:paraId="6D1F12D7">
            <w:pPr>
              <w:rPr>
                <w:rFonts w:hint="eastAsia" w:ascii="仿宋" w:hAnsi="仿宋" w:eastAsia="仿宋" w:cs="仿宋"/>
                <w:color w:val="auto"/>
                <w:sz w:val="21"/>
                <w:highlight w:val="none"/>
              </w:rPr>
            </w:pPr>
          </w:p>
        </w:tc>
        <w:tc>
          <w:tcPr>
            <w:tcW w:w="1054" w:type="dxa"/>
            <w:vAlign w:val="top"/>
          </w:tcPr>
          <w:p w14:paraId="0FA094D3">
            <w:pPr>
              <w:rPr>
                <w:rFonts w:hint="eastAsia" w:ascii="仿宋" w:hAnsi="仿宋" w:eastAsia="仿宋" w:cs="仿宋"/>
                <w:color w:val="auto"/>
                <w:sz w:val="21"/>
                <w:highlight w:val="none"/>
              </w:rPr>
            </w:pPr>
          </w:p>
        </w:tc>
      </w:tr>
      <w:tr w14:paraId="68ED7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09" w:type="dxa"/>
            <w:vAlign w:val="top"/>
          </w:tcPr>
          <w:p w14:paraId="4D460FBE">
            <w:pPr>
              <w:pStyle w:val="121"/>
              <w:spacing w:before="115" w:line="213" w:lineRule="auto"/>
              <w:ind w:left="138"/>
              <w:rPr>
                <w:rFonts w:hint="eastAsia" w:ascii="仿宋" w:hAnsi="仿宋" w:eastAsia="仿宋" w:cs="仿宋"/>
                <w:color w:val="auto"/>
                <w:highlight w:val="none"/>
              </w:rPr>
            </w:pPr>
            <w:r>
              <w:rPr>
                <w:rFonts w:hint="eastAsia" w:ascii="仿宋" w:hAnsi="仿宋" w:eastAsia="仿宋" w:cs="仿宋"/>
                <w:color w:val="auto"/>
                <w:spacing w:val="-10"/>
                <w:highlight w:val="none"/>
              </w:rPr>
              <w:t>………</w:t>
            </w:r>
          </w:p>
        </w:tc>
        <w:tc>
          <w:tcPr>
            <w:tcW w:w="2653" w:type="dxa"/>
            <w:vAlign w:val="top"/>
          </w:tcPr>
          <w:p w14:paraId="4C521DB1">
            <w:pPr>
              <w:rPr>
                <w:rFonts w:hint="eastAsia" w:ascii="仿宋" w:hAnsi="仿宋" w:eastAsia="仿宋" w:cs="仿宋"/>
                <w:color w:val="auto"/>
                <w:sz w:val="21"/>
                <w:highlight w:val="none"/>
              </w:rPr>
            </w:pPr>
          </w:p>
        </w:tc>
        <w:tc>
          <w:tcPr>
            <w:tcW w:w="1859" w:type="dxa"/>
            <w:vAlign w:val="top"/>
          </w:tcPr>
          <w:p w14:paraId="6DD8BDE0">
            <w:pPr>
              <w:rPr>
                <w:rFonts w:hint="eastAsia" w:ascii="仿宋" w:hAnsi="仿宋" w:eastAsia="仿宋" w:cs="仿宋"/>
                <w:color w:val="auto"/>
                <w:sz w:val="21"/>
                <w:highlight w:val="none"/>
              </w:rPr>
            </w:pPr>
          </w:p>
        </w:tc>
        <w:tc>
          <w:tcPr>
            <w:tcW w:w="1739" w:type="dxa"/>
            <w:vAlign w:val="top"/>
          </w:tcPr>
          <w:p w14:paraId="01E4F744">
            <w:pPr>
              <w:rPr>
                <w:rFonts w:hint="eastAsia" w:ascii="仿宋" w:hAnsi="仿宋" w:eastAsia="仿宋" w:cs="仿宋"/>
                <w:color w:val="auto"/>
                <w:sz w:val="21"/>
                <w:highlight w:val="none"/>
              </w:rPr>
            </w:pPr>
          </w:p>
        </w:tc>
        <w:tc>
          <w:tcPr>
            <w:tcW w:w="1054" w:type="dxa"/>
            <w:vAlign w:val="top"/>
          </w:tcPr>
          <w:p w14:paraId="3CA84F62">
            <w:pPr>
              <w:rPr>
                <w:rFonts w:hint="eastAsia" w:ascii="仿宋" w:hAnsi="仿宋" w:eastAsia="仿宋" w:cs="仿宋"/>
                <w:color w:val="auto"/>
                <w:sz w:val="21"/>
                <w:highlight w:val="none"/>
              </w:rPr>
            </w:pPr>
          </w:p>
        </w:tc>
      </w:tr>
    </w:tbl>
    <w:p w14:paraId="77E30E22">
      <w:pPr>
        <w:pStyle w:val="16"/>
        <w:spacing w:before="64" w:line="223" w:lineRule="auto"/>
        <w:ind w:left="220"/>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此表可向下延伸。</w:t>
      </w:r>
    </w:p>
    <w:p w14:paraId="4113A604">
      <w:pPr>
        <w:pStyle w:val="16"/>
        <w:spacing w:before="88" w:line="222" w:lineRule="auto"/>
        <w:ind w:left="217"/>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投标人名称：</w:t>
      </w:r>
      <w:r>
        <w:rPr>
          <w:rFonts w:hint="eastAsia" w:ascii="仿宋" w:hAnsi="仿宋" w:eastAsia="仿宋" w:cs="仿宋"/>
          <w:color w:val="auto"/>
          <w:sz w:val="28"/>
          <w:szCs w:val="28"/>
          <w:highlight w:val="none"/>
          <w:u w:val="single" w:color="auto"/>
        </w:rPr>
        <w:t xml:space="preserve">                        </w:t>
      </w:r>
    </w:p>
    <w:p w14:paraId="59DA624E">
      <w:pPr>
        <w:pStyle w:val="16"/>
        <w:spacing w:before="103" w:line="223" w:lineRule="auto"/>
        <w:ind w:left="224"/>
        <w:rPr>
          <w:rFonts w:hint="eastAsia" w:ascii="仿宋" w:hAnsi="仿宋" w:eastAsia="仿宋" w:cs="仿宋"/>
          <w:color w:val="auto"/>
          <w:sz w:val="28"/>
          <w:szCs w:val="28"/>
          <w:highlight w:val="none"/>
        </w:rPr>
      </w:pPr>
      <w:r>
        <w:rPr>
          <w:rFonts w:hint="eastAsia" w:ascii="仿宋" w:hAnsi="仿宋" w:eastAsia="仿宋" w:cs="仿宋"/>
          <w:color w:val="auto"/>
          <w:spacing w:val="-29"/>
          <w:sz w:val="28"/>
          <w:szCs w:val="28"/>
          <w:highlight w:val="none"/>
        </w:rPr>
        <w:t>公</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29"/>
          <w:sz w:val="28"/>
          <w:szCs w:val="28"/>
          <w:highlight w:val="none"/>
        </w:rPr>
        <w:t>章</w:t>
      </w:r>
      <w:r>
        <w:rPr>
          <w:rFonts w:hint="eastAsia" w:ascii="仿宋" w:hAnsi="仿宋" w:eastAsia="仿宋" w:cs="仿宋"/>
          <w:color w:val="auto"/>
          <w:spacing w:val="-97"/>
          <w:sz w:val="28"/>
          <w:szCs w:val="28"/>
          <w:highlight w:val="none"/>
        </w:rPr>
        <w:t xml:space="preserve"> </w:t>
      </w:r>
      <w:r>
        <w:rPr>
          <w:rFonts w:hint="eastAsia" w:ascii="仿宋" w:hAnsi="仿宋" w:eastAsia="仿宋" w:cs="仿宋"/>
          <w:color w:val="auto"/>
          <w:spacing w:val="-29"/>
          <w:sz w:val="28"/>
          <w:szCs w:val="28"/>
          <w:highlight w:val="none"/>
        </w:rPr>
        <w:t>：</w:t>
      </w:r>
      <w:r>
        <w:rPr>
          <w:rFonts w:hint="eastAsia" w:ascii="仿宋" w:hAnsi="仿宋" w:eastAsia="仿宋" w:cs="仿宋"/>
          <w:color w:val="auto"/>
          <w:sz w:val="28"/>
          <w:szCs w:val="28"/>
          <w:highlight w:val="none"/>
          <w:u w:val="single" w:color="auto"/>
        </w:rPr>
        <w:t xml:space="preserve">                        </w:t>
      </w:r>
    </w:p>
    <w:p w14:paraId="3DA7D690">
      <w:pPr>
        <w:pStyle w:val="16"/>
        <w:spacing w:before="102" w:line="315" w:lineRule="auto"/>
        <w:ind w:left="277" w:right="2179" w:hanging="50"/>
        <w:rPr>
          <w:rFonts w:hint="eastAsia" w:ascii="仿宋" w:hAnsi="仿宋" w:eastAsia="仿宋" w:cs="仿宋"/>
          <w:color w:val="auto"/>
          <w:spacing w:val="4"/>
          <w:sz w:val="28"/>
          <w:szCs w:val="28"/>
          <w:highlight w:val="none"/>
        </w:rPr>
      </w:pPr>
      <w:r>
        <w:rPr>
          <w:rFonts w:hint="eastAsia" w:ascii="仿宋" w:hAnsi="仿宋" w:eastAsia="仿宋" w:cs="仿宋"/>
          <w:color w:val="auto"/>
          <w:spacing w:val="-2"/>
          <w:sz w:val="28"/>
          <w:szCs w:val="28"/>
          <w:highlight w:val="none"/>
        </w:rPr>
        <w:t>法定代表人或被授权人签字或签章:</w:t>
      </w:r>
      <w:r>
        <w:rPr>
          <w:rFonts w:hint="eastAsia" w:ascii="仿宋" w:hAnsi="仿宋" w:eastAsia="仿宋" w:cs="仿宋"/>
          <w:color w:val="auto"/>
          <w:spacing w:val="7"/>
          <w:sz w:val="28"/>
          <w:szCs w:val="28"/>
          <w:highlight w:val="none"/>
          <w:u w:val="single" w:color="auto"/>
        </w:rPr>
        <w:t xml:space="preserve">                 </w:t>
      </w:r>
      <w:r>
        <w:rPr>
          <w:rFonts w:hint="eastAsia" w:ascii="仿宋" w:hAnsi="仿宋" w:eastAsia="仿宋" w:cs="仿宋"/>
          <w:color w:val="auto"/>
          <w:spacing w:val="4"/>
          <w:sz w:val="28"/>
          <w:szCs w:val="28"/>
          <w:highlight w:val="none"/>
        </w:rPr>
        <w:t xml:space="preserve"> </w:t>
      </w:r>
    </w:p>
    <w:p w14:paraId="3139B207">
      <w:pPr>
        <w:pStyle w:val="16"/>
        <w:spacing w:before="102" w:line="315" w:lineRule="auto"/>
        <w:ind w:left="277" w:right="2179" w:hanging="50"/>
        <w:rPr>
          <w:rFonts w:hint="eastAsia" w:ascii="仿宋" w:hAnsi="仿宋" w:eastAsia="仿宋" w:cs="仿宋"/>
          <w:color w:val="auto"/>
          <w:sz w:val="28"/>
          <w:szCs w:val="28"/>
          <w:highlight w:val="none"/>
        </w:rPr>
      </w:pPr>
      <w:r>
        <w:rPr>
          <w:rFonts w:hint="eastAsia" w:ascii="仿宋" w:hAnsi="仿宋" w:eastAsia="仿宋" w:cs="仿宋"/>
          <w:color w:val="auto"/>
          <w:spacing w:val="-26"/>
          <w:sz w:val="28"/>
          <w:szCs w:val="28"/>
          <w:highlight w:val="none"/>
        </w:rPr>
        <w:t>日期：</w:t>
      </w:r>
    </w:p>
    <w:p w14:paraId="4B1D1ACF">
      <w:pPr>
        <w:pStyle w:val="16"/>
        <w:spacing w:before="61" w:line="222" w:lineRule="auto"/>
        <w:ind w:left="226"/>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注;</w:t>
      </w:r>
      <w:r>
        <w:rPr>
          <w:rFonts w:hint="eastAsia" w:ascii="仿宋" w:hAnsi="仿宋" w:eastAsia="仿宋" w:cs="仿宋"/>
          <w:color w:val="auto"/>
          <w:spacing w:val="-1"/>
          <w:sz w:val="28"/>
          <w:szCs w:val="28"/>
          <w:highlight w:val="none"/>
        </w:rPr>
        <w:t>（附合同或中标（或成交）通知书复印件加盖企</w:t>
      </w:r>
      <w:r>
        <w:rPr>
          <w:rFonts w:hint="eastAsia" w:ascii="仿宋" w:hAnsi="仿宋" w:eastAsia="仿宋" w:cs="仿宋"/>
          <w:color w:val="auto"/>
          <w:spacing w:val="-2"/>
          <w:sz w:val="28"/>
          <w:szCs w:val="28"/>
          <w:highlight w:val="none"/>
        </w:rPr>
        <w:t>业公章）</w:t>
      </w:r>
    </w:p>
    <w:p w14:paraId="6299D1C1">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E80747E">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10.无串通投标行为的承诺书</w:t>
      </w:r>
    </w:p>
    <w:p w14:paraId="5C66E98C">
      <w:pPr>
        <w:bidi w:val="0"/>
        <w:rPr>
          <w:rFonts w:hint="eastAsia"/>
          <w:color w:val="auto"/>
          <w:highlight w:val="none"/>
          <w:lang w:val="en-US" w:eastAsia="zh-CN"/>
        </w:rPr>
      </w:pPr>
    </w:p>
    <w:p w14:paraId="7CF56FA1">
      <w:pPr>
        <w:pStyle w:val="16"/>
        <w:spacing w:before="101" w:line="360" w:lineRule="auto"/>
        <w:jc w:val="both"/>
        <w:rPr>
          <w:rFonts w:hint="eastAsia" w:ascii="仿宋" w:hAnsi="仿宋" w:eastAsia="仿宋" w:cs="仿宋"/>
          <w:color w:val="auto"/>
          <w:spacing w:val="-2"/>
          <w:sz w:val="28"/>
          <w:szCs w:val="28"/>
          <w:highlight w:val="none"/>
          <w:u w:val="single" w:color="auto"/>
          <w:lang w:val="en-US" w:eastAsia="zh-CN"/>
        </w:rPr>
      </w:pPr>
      <w:r>
        <w:rPr>
          <w:rFonts w:hint="eastAsia"/>
          <w:color w:val="auto"/>
          <w:spacing w:val="-2"/>
          <w:sz w:val="28"/>
          <w:szCs w:val="28"/>
          <w:highlight w:val="none"/>
          <w:u w:val="single" w:color="auto"/>
          <w:lang w:val="en-US" w:eastAsia="zh-CN"/>
        </w:rPr>
        <w:t xml:space="preserve"> </w:t>
      </w:r>
      <w:r>
        <w:rPr>
          <w:rFonts w:hint="eastAsia" w:ascii="仿宋" w:hAnsi="仿宋" w:eastAsia="仿宋" w:cs="仿宋"/>
          <w:color w:val="auto"/>
          <w:spacing w:val="-2"/>
          <w:sz w:val="28"/>
          <w:szCs w:val="28"/>
          <w:highlight w:val="none"/>
          <w:u w:val="single" w:color="auto"/>
          <w:lang w:val="en-US" w:eastAsia="zh-CN"/>
        </w:rPr>
        <w:t xml:space="preserve">                  </w:t>
      </w:r>
    </w:p>
    <w:p w14:paraId="4F8AB392">
      <w:pPr>
        <w:pStyle w:val="16"/>
        <w:spacing w:before="101" w:line="360" w:lineRule="auto"/>
        <w:ind w:firstLine="569"/>
        <w:jc w:val="both"/>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我公司参与</w:t>
      </w:r>
      <w:r>
        <w:rPr>
          <w:rFonts w:hint="eastAsia" w:ascii="仿宋" w:hAnsi="仿宋" w:eastAsia="仿宋" w:cs="仿宋"/>
          <w:color w:val="auto"/>
          <w:spacing w:val="2"/>
          <w:sz w:val="28"/>
          <w:szCs w:val="28"/>
          <w:highlight w:val="none"/>
          <w:u w:val="single" w:color="auto"/>
          <w:lang w:eastAsia="zh-CN"/>
        </w:rPr>
        <w:t>标段名称</w:t>
      </w:r>
      <w:r>
        <w:rPr>
          <w:rFonts w:hint="eastAsia" w:ascii="仿宋" w:hAnsi="仿宋" w:eastAsia="仿宋" w:cs="仿宋"/>
          <w:color w:val="auto"/>
          <w:spacing w:val="2"/>
          <w:sz w:val="28"/>
          <w:szCs w:val="28"/>
          <w:highlight w:val="none"/>
        </w:rPr>
        <w:t>为</w:t>
      </w:r>
      <w:r>
        <w:rPr>
          <w:rFonts w:hint="eastAsia" w:ascii="仿宋" w:hAnsi="仿宋" w:eastAsia="仿宋" w:cs="仿宋"/>
          <w:color w:val="auto"/>
          <w:spacing w:val="2"/>
          <w:sz w:val="28"/>
          <w:szCs w:val="28"/>
          <w:highlight w:val="none"/>
          <w:u w:val="single" w:color="auto"/>
        </w:rPr>
        <w:t xml:space="preserve"> </w:t>
      </w:r>
      <w:r>
        <w:rPr>
          <w:rFonts w:hint="eastAsia" w:ascii="仿宋" w:hAnsi="仿宋" w:eastAsia="仿宋" w:cs="仿宋"/>
          <w:color w:val="auto"/>
          <w:spacing w:val="2"/>
          <w:sz w:val="28"/>
          <w:szCs w:val="28"/>
          <w:highlight w:val="none"/>
          <w:u w:val="single" w:color="auto"/>
          <w:lang w:eastAsia="zh-CN"/>
        </w:rPr>
        <w:t>标段编号</w:t>
      </w:r>
      <w:r>
        <w:rPr>
          <w:rFonts w:hint="eastAsia" w:ascii="仿宋" w:hAnsi="仿宋" w:eastAsia="仿宋" w:cs="仿宋"/>
          <w:color w:val="auto"/>
          <w:spacing w:val="53"/>
          <w:sz w:val="28"/>
          <w:szCs w:val="28"/>
          <w:highlight w:val="none"/>
          <w:u w:val="single" w:color="auto"/>
        </w:rPr>
        <w:t xml:space="preserve"> </w:t>
      </w:r>
      <w:r>
        <w:rPr>
          <w:rFonts w:hint="eastAsia" w:ascii="仿宋" w:hAnsi="仿宋" w:eastAsia="仿宋" w:cs="仿宋"/>
          <w:color w:val="auto"/>
          <w:spacing w:val="2"/>
          <w:sz w:val="28"/>
          <w:szCs w:val="28"/>
          <w:highlight w:val="none"/>
        </w:rPr>
        <w:t>的采购招标活动，我公司郑重声</w:t>
      </w:r>
      <w:r>
        <w:rPr>
          <w:rFonts w:hint="eastAsia" w:ascii="仿宋" w:hAnsi="仿宋" w:eastAsia="仿宋" w:cs="仿宋"/>
          <w:color w:val="auto"/>
          <w:spacing w:val="-5"/>
          <w:sz w:val="28"/>
          <w:szCs w:val="28"/>
          <w:highlight w:val="none"/>
        </w:rPr>
        <w:t>明：我公司不组织、不参与任何串通投标的行为，自觉遵守《中华人民共</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5"/>
          <w:sz w:val="28"/>
          <w:szCs w:val="28"/>
          <w:highlight w:val="none"/>
        </w:rPr>
        <w:t>和国政府采购法》和《中华人民共和国政府采购法实施条例》的规定。我</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公司对此声明负全部法律责任。</w:t>
      </w:r>
    </w:p>
    <w:p w14:paraId="598095E2">
      <w:pPr>
        <w:pStyle w:val="16"/>
        <w:spacing w:before="43" w:line="360" w:lineRule="auto"/>
        <w:ind w:left="69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特此声明。</w:t>
      </w:r>
    </w:p>
    <w:p w14:paraId="1BD086AC">
      <w:pPr>
        <w:pStyle w:val="16"/>
        <w:wordWrap w:val="0"/>
        <w:spacing w:after="0" w:line="240" w:lineRule="auto"/>
        <w:ind w:right="0"/>
        <w:jc w:val="right"/>
        <w:rPr>
          <w:rFonts w:hint="default" w:ascii="仿宋" w:hAnsi="仿宋" w:eastAsia="仿宋" w:cs="仿宋"/>
          <w:color w:val="auto"/>
          <w:spacing w:val="1"/>
          <w:sz w:val="28"/>
          <w:szCs w:val="28"/>
          <w:highlight w:val="none"/>
          <w:lang w:val="en-US" w:eastAsia="zh-CN"/>
        </w:rPr>
      </w:pPr>
      <w:r>
        <w:rPr>
          <w:rFonts w:hint="eastAsia" w:ascii="仿宋" w:hAnsi="仿宋" w:eastAsia="仿宋" w:cs="仿宋"/>
          <w:b/>
          <w:bCs/>
          <w:color w:val="auto"/>
          <w:spacing w:val="-16"/>
          <w:sz w:val="28"/>
          <w:szCs w:val="28"/>
          <w:highlight w:val="none"/>
        </w:rPr>
        <w:t>承诺单位：</w:t>
      </w:r>
      <w:r>
        <w:rPr>
          <w:rFonts w:hint="eastAsia" w:ascii="仿宋" w:hAnsi="仿宋" w:eastAsia="仿宋" w:cs="仿宋"/>
          <w:b/>
          <w:bCs/>
          <w:color w:val="auto"/>
          <w:spacing w:val="-16"/>
          <w:sz w:val="28"/>
          <w:szCs w:val="28"/>
          <w:highlight w:val="none"/>
          <w:lang w:val="en-US" w:eastAsia="zh-CN"/>
        </w:rPr>
        <w:t xml:space="preserve">                      </w:t>
      </w:r>
    </w:p>
    <w:p w14:paraId="4F1393FC">
      <w:pPr>
        <w:pStyle w:val="16"/>
        <w:wordWrap w:val="0"/>
        <w:spacing w:after="0" w:line="240" w:lineRule="auto"/>
        <w:ind w:right="0"/>
        <w:jc w:val="right"/>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pacing w:val="-39"/>
          <w:sz w:val="28"/>
          <w:szCs w:val="28"/>
          <w:highlight w:val="none"/>
        </w:rPr>
        <w:t>公</w:t>
      </w:r>
      <w:r>
        <w:rPr>
          <w:rFonts w:hint="eastAsia" w:ascii="仿宋" w:hAnsi="仿宋" w:eastAsia="仿宋" w:cs="仿宋"/>
          <w:b/>
          <w:bCs/>
          <w:color w:val="auto"/>
          <w:spacing w:val="-39"/>
          <w:sz w:val="28"/>
          <w:szCs w:val="28"/>
          <w:highlight w:val="none"/>
          <w:lang w:val="en-US" w:eastAsia="zh-CN"/>
        </w:rPr>
        <w:t xml:space="preserve">     </w:t>
      </w:r>
      <w:r>
        <w:rPr>
          <w:rFonts w:hint="eastAsia" w:ascii="仿宋" w:hAnsi="仿宋" w:eastAsia="仿宋" w:cs="仿宋"/>
          <w:b/>
          <w:bCs/>
          <w:color w:val="auto"/>
          <w:spacing w:val="-39"/>
          <w:sz w:val="28"/>
          <w:szCs w:val="28"/>
          <w:highlight w:val="none"/>
        </w:rPr>
        <w:t>章：</w:t>
      </w:r>
      <w:r>
        <w:rPr>
          <w:rFonts w:hint="eastAsia" w:ascii="仿宋" w:hAnsi="仿宋" w:eastAsia="仿宋" w:cs="仿宋"/>
          <w:b/>
          <w:bCs/>
          <w:color w:val="auto"/>
          <w:spacing w:val="-39"/>
          <w:sz w:val="28"/>
          <w:szCs w:val="28"/>
          <w:highlight w:val="none"/>
          <w:lang w:val="en-US" w:eastAsia="zh-CN"/>
        </w:rPr>
        <w:t xml:space="preserve">                                           </w:t>
      </w:r>
    </w:p>
    <w:p w14:paraId="008666F8">
      <w:pPr>
        <w:pStyle w:val="16"/>
        <w:wordWrap w:val="0"/>
        <w:spacing w:after="0" w:line="240" w:lineRule="auto"/>
        <w:ind w:right="0"/>
        <w:jc w:val="right"/>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pacing w:val="-3"/>
          <w:sz w:val="28"/>
          <w:szCs w:val="28"/>
          <w:highlight w:val="none"/>
        </w:rPr>
        <w:t>法定代表人</w:t>
      </w:r>
      <w:r>
        <w:rPr>
          <w:rFonts w:hint="eastAsia" w:ascii="仿宋" w:hAnsi="仿宋" w:eastAsia="仿宋" w:cs="仿宋"/>
          <w:b/>
          <w:bCs/>
          <w:color w:val="auto"/>
          <w:spacing w:val="-20"/>
          <w:sz w:val="28"/>
          <w:szCs w:val="28"/>
          <w:highlight w:val="none"/>
        </w:rPr>
        <w:t>：（</w:t>
      </w:r>
      <w:r>
        <w:rPr>
          <w:rFonts w:hint="eastAsia" w:ascii="仿宋" w:hAnsi="仿宋" w:eastAsia="仿宋" w:cs="仿宋"/>
          <w:b/>
          <w:bCs/>
          <w:color w:val="auto"/>
          <w:spacing w:val="-3"/>
          <w:sz w:val="28"/>
          <w:szCs w:val="28"/>
          <w:highlight w:val="none"/>
        </w:rPr>
        <w:t>签字或签章）</w:t>
      </w:r>
      <w:r>
        <w:rPr>
          <w:rFonts w:hint="eastAsia" w:ascii="仿宋" w:hAnsi="仿宋" w:eastAsia="仿宋" w:cs="仿宋"/>
          <w:b/>
          <w:bCs/>
          <w:color w:val="auto"/>
          <w:spacing w:val="-3"/>
          <w:sz w:val="28"/>
          <w:szCs w:val="28"/>
          <w:highlight w:val="none"/>
          <w:lang w:val="en-US" w:eastAsia="zh-CN"/>
        </w:rPr>
        <w:t xml:space="preserve"> </w:t>
      </w:r>
    </w:p>
    <w:p w14:paraId="74E28A8F">
      <w:pPr>
        <w:pStyle w:val="16"/>
        <w:wordWrap w:val="0"/>
        <w:spacing w:after="0" w:line="240" w:lineRule="auto"/>
        <w:ind w:right="0"/>
        <w:jc w:val="right"/>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pacing w:val="-12"/>
          <w:sz w:val="28"/>
          <w:szCs w:val="28"/>
          <w:highlight w:val="none"/>
        </w:rPr>
        <w:t>20</w:t>
      </w:r>
      <w:r>
        <w:rPr>
          <w:rFonts w:hint="eastAsia" w:ascii="仿宋" w:hAnsi="仿宋" w:eastAsia="仿宋" w:cs="仿宋"/>
          <w:b/>
          <w:bCs/>
          <w:color w:val="auto"/>
          <w:spacing w:val="-12"/>
          <w:sz w:val="28"/>
          <w:szCs w:val="28"/>
          <w:highlight w:val="none"/>
          <w:lang w:val="en-US" w:eastAsia="zh-CN"/>
        </w:rPr>
        <w:t>26</w:t>
      </w:r>
      <w:r>
        <w:rPr>
          <w:rFonts w:hint="eastAsia" w:ascii="仿宋" w:hAnsi="仿宋" w:eastAsia="仿宋" w:cs="仿宋"/>
          <w:b/>
          <w:bCs/>
          <w:color w:val="auto"/>
          <w:spacing w:val="-12"/>
          <w:sz w:val="28"/>
          <w:szCs w:val="28"/>
          <w:highlight w:val="none"/>
        </w:rPr>
        <w:t>年</w:t>
      </w:r>
      <w:r>
        <w:rPr>
          <w:rFonts w:hint="eastAsia" w:ascii="仿宋" w:hAnsi="仿宋" w:eastAsia="仿宋" w:cs="仿宋"/>
          <w:color w:val="auto"/>
          <w:spacing w:val="17"/>
          <w:sz w:val="28"/>
          <w:szCs w:val="28"/>
          <w:highlight w:val="none"/>
        </w:rPr>
        <w:t xml:space="preserve">  </w:t>
      </w:r>
      <w:r>
        <w:rPr>
          <w:rFonts w:hint="eastAsia" w:ascii="仿宋" w:hAnsi="仿宋" w:eastAsia="仿宋" w:cs="仿宋"/>
          <w:color w:val="auto"/>
          <w:spacing w:val="17"/>
          <w:sz w:val="28"/>
          <w:szCs w:val="28"/>
          <w:highlight w:val="none"/>
          <w:lang w:val="en-US" w:eastAsia="zh-CN"/>
        </w:rPr>
        <w:t xml:space="preserve">  </w:t>
      </w:r>
      <w:r>
        <w:rPr>
          <w:rFonts w:hint="eastAsia" w:ascii="仿宋" w:hAnsi="仿宋" w:eastAsia="仿宋" w:cs="仿宋"/>
          <w:b/>
          <w:bCs/>
          <w:color w:val="auto"/>
          <w:spacing w:val="-12"/>
          <w:sz w:val="28"/>
          <w:szCs w:val="28"/>
          <w:highlight w:val="none"/>
        </w:rPr>
        <w:t>月</w:t>
      </w:r>
      <w:r>
        <w:rPr>
          <w:rFonts w:hint="eastAsia" w:ascii="仿宋" w:hAnsi="仿宋" w:eastAsia="仿宋" w:cs="仿宋"/>
          <w:b/>
          <w:bCs/>
          <w:color w:val="auto"/>
          <w:spacing w:val="-12"/>
          <w:sz w:val="28"/>
          <w:szCs w:val="28"/>
          <w:highlight w:val="none"/>
          <w:lang w:val="en-US" w:eastAsia="zh-CN"/>
        </w:rPr>
        <w:t xml:space="preserve">       日</w:t>
      </w:r>
    </w:p>
    <w:p w14:paraId="2361086A">
      <w:pPr>
        <w:spacing w:line="240" w:lineRule="auto"/>
        <w:ind w:leftChars="0" w:right="0" w:firstLine="0" w:firstLineChars="0"/>
        <w:rPr>
          <w:rFonts w:ascii="Arial"/>
          <w:color w:val="auto"/>
          <w:sz w:val="21"/>
          <w:highlight w:val="none"/>
        </w:rPr>
      </w:pPr>
    </w:p>
    <w:p w14:paraId="54BB14DD">
      <w:pPr>
        <w:spacing w:line="240" w:lineRule="auto"/>
        <w:ind w:leftChars="0" w:right="0" w:firstLine="0" w:firstLineChars="0"/>
        <w:rPr>
          <w:rFonts w:ascii="Arial"/>
          <w:color w:val="auto"/>
          <w:sz w:val="21"/>
          <w:highlight w:val="none"/>
        </w:rPr>
      </w:pPr>
    </w:p>
    <w:p w14:paraId="072723CB">
      <w:pPr>
        <w:spacing w:line="240" w:lineRule="auto"/>
        <w:ind w:leftChars="0" w:right="0" w:firstLine="0" w:firstLineChars="0"/>
        <w:rPr>
          <w:rFonts w:ascii="Arial"/>
          <w:color w:val="auto"/>
          <w:sz w:val="21"/>
          <w:highlight w:val="none"/>
        </w:rPr>
      </w:pPr>
    </w:p>
    <w:p w14:paraId="37B6150D">
      <w:pPr>
        <w:spacing w:line="240" w:lineRule="auto"/>
        <w:ind w:leftChars="0" w:right="0" w:firstLine="0" w:firstLineChars="0"/>
        <w:rPr>
          <w:rFonts w:ascii="Arial"/>
          <w:color w:val="auto"/>
          <w:sz w:val="21"/>
          <w:highlight w:val="none"/>
        </w:rPr>
      </w:pPr>
    </w:p>
    <w:p w14:paraId="137ABBC5">
      <w:pPr>
        <w:spacing w:line="240" w:lineRule="auto"/>
        <w:ind w:leftChars="0" w:right="0" w:firstLine="0" w:firstLineChars="0"/>
        <w:rPr>
          <w:rFonts w:ascii="Arial"/>
          <w:color w:val="auto"/>
          <w:sz w:val="21"/>
          <w:highlight w:val="none"/>
        </w:rPr>
      </w:pPr>
    </w:p>
    <w:p w14:paraId="68645E7A">
      <w:pPr>
        <w:spacing w:line="240" w:lineRule="auto"/>
        <w:ind w:leftChars="0" w:right="0" w:firstLine="0" w:firstLineChars="0"/>
        <w:rPr>
          <w:rFonts w:ascii="Arial"/>
          <w:color w:val="auto"/>
          <w:sz w:val="21"/>
          <w:highlight w:val="none"/>
        </w:rPr>
      </w:pPr>
    </w:p>
    <w:p w14:paraId="69E31CF7">
      <w:pPr>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br w:type="page"/>
      </w:r>
    </w:p>
    <w:p w14:paraId="130E7C3F">
      <w:pPr>
        <w:pStyle w:val="16"/>
        <w:numPr>
          <w:ilvl w:val="0"/>
          <w:numId w:val="8"/>
        </w:numPr>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投标人认为有必要提供的其他资料</w:t>
      </w:r>
    </w:p>
    <w:p w14:paraId="627D522A">
      <w:pPr>
        <w:pStyle w:val="16"/>
        <w:numPr>
          <w:ilvl w:val="0"/>
          <w:numId w:val="0"/>
        </w:numPr>
        <w:spacing w:after="0" w:line="360" w:lineRule="auto"/>
        <w:ind w:left="0" w:leftChars="0" w:right="0" w:rightChars="0"/>
        <w:jc w:val="both"/>
        <w:outlineLvl w:val="2"/>
        <w:rPr>
          <w:rFonts w:hint="default"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highlight w:val="none"/>
          <w:lang w:val="en-US" w:eastAsia="zh-CN"/>
        </w:rPr>
        <w:t>如：投入的设备设施、企业经营场所等。</w:t>
      </w:r>
    </w:p>
    <w:p w14:paraId="0B95AC00">
      <w:pPr>
        <w:pStyle w:val="92"/>
        <w:rPr>
          <w:rFonts w:hint="eastAsia" w:ascii="仿宋" w:hAnsi="仿宋" w:eastAsia="仿宋" w:cs="仿宋"/>
          <w:color w:val="auto"/>
          <w:highlight w:val="none"/>
        </w:rPr>
      </w:pPr>
    </w:p>
    <w:p w14:paraId="674AABD4">
      <w:pPr>
        <w:pStyle w:val="92"/>
        <w:rPr>
          <w:rFonts w:hint="eastAsia" w:ascii="仿宋" w:hAnsi="仿宋" w:eastAsia="仿宋" w:cs="仿宋"/>
          <w:color w:val="auto"/>
          <w:highlight w:val="none"/>
        </w:rPr>
      </w:pPr>
    </w:p>
    <w:p w14:paraId="61B897C5">
      <w:pPr>
        <w:pStyle w:val="92"/>
        <w:rPr>
          <w:rFonts w:hint="eastAsia" w:ascii="仿宋" w:hAnsi="仿宋" w:eastAsia="仿宋" w:cs="仿宋"/>
          <w:color w:val="auto"/>
          <w:highlight w:val="none"/>
        </w:rPr>
      </w:pPr>
    </w:p>
    <w:p w14:paraId="1A1CBAF2">
      <w:pPr>
        <w:pStyle w:val="92"/>
        <w:rPr>
          <w:rFonts w:hint="eastAsia" w:ascii="仿宋" w:hAnsi="仿宋" w:eastAsia="仿宋" w:cs="仿宋"/>
          <w:color w:val="auto"/>
          <w:highlight w:val="none"/>
        </w:rPr>
      </w:pPr>
    </w:p>
    <w:p w14:paraId="43917409">
      <w:pPr>
        <w:pStyle w:val="92"/>
        <w:rPr>
          <w:rFonts w:hint="eastAsia" w:ascii="仿宋" w:hAnsi="仿宋" w:eastAsia="仿宋" w:cs="仿宋"/>
          <w:color w:val="auto"/>
          <w:highlight w:val="none"/>
        </w:rPr>
      </w:pPr>
    </w:p>
    <w:p w14:paraId="1A3E5705">
      <w:pPr>
        <w:pStyle w:val="92"/>
        <w:rPr>
          <w:rFonts w:hint="eastAsia" w:ascii="仿宋" w:hAnsi="仿宋" w:eastAsia="仿宋" w:cs="仿宋"/>
          <w:color w:val="auto"/>
          <w:highlight w:val="none"/>
        </w:rPr>
      </w:pPr>
    </w:p>
    <w:p w14:paraId="4223FE58">
      <w:pPr>
        <w:pStyle w:val="92"/>
        <w:rPr>
          <w:rFonts w:hint="eastAsia" w:ascii="仿宋" w:hAnsi="仿宋" w:eastAsia="仿宋" w:cs="仿宋"/>
          <w:color w:val="auto"/>
          <w:highlight w:val="none"/>
        </w:rPr>
      </w:pPr>
    </w:p>
    <w:p w14:paraId="387C10EB">
      <w:pPr>
        <w:pStyle w:val="92"/>
        <w:rPr>
          <w:rFonts w:hint="eastAsia" w:ascii="仿宋" w:hAnsi="仿宋" w:eastAsia="仿宋" w:cs="仿宋"/>
          <w:color w:val="auto"/>
          <w:highlight w:val="none"/>
        </w:rPr>
      </w:pPr>
    </w:p>
    <w:p w14:paraId="232D505C">
      <w:pPr>
        <w:pStyle w:val="92"/>
        <w:rPr>
          <w:rFonts w:hint="eastAsia" w:ascii="仿宋" w:hAnsi="仿宋" w:eastAsia="仿宋" w:cs="仿宋"/>
          <w:color w:val="auto"/>
          <w:highlight w:val="none"/>
        </w:rPr>
      </w:pPr>
    </w:p>
    <w:p w14:paraId="3BDA8551">
      <w:pPr>
        <w:pStyle w:val="92"/>
        <w:rPr>
          <w:rFonts w:hint="eastAsia" w:ascii="仿宋" w:hAnsi="仿宋" w:eastAsia="仿宋" w:cs="仿宋"/>
          <w:color w:val="auto"/>
          <w:highlight w:val="none"/>
        </w:rPr>
      </w:pPr>
    </w:p>
    <w:p w14:paraId="778D9DC2">
      <w:pPr>
        <w:pStyle w:val="92"/>
        <w:rPr>
          <w:rFonts w:hint="eastAsia" w:ascii="仿宋" w:hAnsi="仿宋" w:eastAsia="仿宋" w:cs="仿宋"/>
          <w:color w:val="auto"/>
          <w:highlight w:val="none"/>
        </w:rPr>
      </w:pPr>
    </w:p>
    <w:p w14:paraId="7F5BC458">
      <w:pPr>
        <w:pStyle w:val="92"/>
        <w:rPr>
          <w:rFonts w:hint="eastAsia" w:ascii="仿宋" w:hAnsi="仿宋" w:eastAsia="仿宋" w:cs="仿宋"/>
          <w:color w:val="auto"/>
          <w:highlight w:val="none"/>
        </w:rPr>
      </w:pPr>
    </w:p>
    <w:p w14:paraId="0660748C">
      <w:pPr>
        <w:pStyle w:val="92"/>
        <w:rPr>
          <w:rFonts w:hint="eastAsia" w:ascii="仿宋" w:hAnsi="仿宋" w:eastAsia="仿宋" w:cs="仿宋"/>
          <w:color w:val="auto"/>
          <w:highlight w:val="none"/>
        </w:rPr>
      </w:pPr>
    </w:p>
    <w:p w14:paraId="77217FC8">
      <w:pPr>
        <w:pStyle w:val="92"/>
        <w:rPr>
          <w:rFonts w:hint="eastAsia" w:ascii="仿宋" w:hAnsi="仿宋" w:eastAsia="仿宋" w:cs="仿宋"/>
          <w:color w:val="auto"/>
          <w:highlight w:val="none"/>
        </w:rPr>
      </w:pPr>
    </w:p>
    <w:p w14:paraId="30F159AF">
      <w:pPr>
        <w:pStyle w:val="92"/>
        <w:rPr>
          <w:rFonts w:hint="eastAsia" w:ascii="仿宋" w:hAnsi="仿宋" w:eastAsia="仿宋" w:cs="仿宋"/>
          <w:color w:val="auto"/>
          <w:highlight w:val="none"/>
        </w:rPr>
      </w:pPr>
    </w:p>
    <w:p w14:paraId="209C2754">
      <w:pPr>
        <w:pStyle w:val="92"/>
        <w:rPr>
          <w:rFonts w:hint="eastAsia" w:ascii="仿宋" w:hAnsi="仿宋" w:eastAsia="仿宋" w:cs="仿宋"/>
          <w:color w:val="auto"/>
          <w:highlight w:val="none"/>
        </w:rPr>
      </w:pPr>
    </w:p>
    <w:p w14:paraId="76370EC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AA8220E">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12.中小企业声明函</w:t>
      </w:r>
    </w:p>
    <w:p w14:paraId="1D97547B">
      <w:pPr>
        <w:bidi w:val="0"/>
        <w:outlineLvl w:val="9"/>
        <w:rPr>
          <w:rFonts w:hint="eastAsia"/>
          <w:color w:val="auto"/>
          <w:highlight w:val="none"/>
          <w:lang w:val="en-US" w:eastAsia="zh-CN"/>
        </w:rPr>
      </w:pPr>
    </w:p>
    <w:p w14:paraId="1E1B3E40">
      <w:pPr>
        <w:pStyle w:val="16"/>
        <w:spacing w:after="0" w:line="360" w:lineRule="auto"/>
        <w:ind w:left="0" w:right="0" w:firstLine="54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lang w:val="en-US" w:eastAsia="zh-CN"/>
        </w:rPr>
        <w:t>本公司（联合体）郑重声明，根据《政府采购促进中</w:t>
      </w:r>
      <w:r>
        <w:rPr>
          <w:rFonts w:hint="eastAsia" w:ascii="仿宋" w:hAnsi="仿宋" w:eastAsia="仿宋" w:cs="仿宋"/>
          <w:color w:val="auto"/>
          <w:spacing w:val="-5"/>
          <w:sz w:val="28"/>
          <w:szCs w:val="28"/>
          <w:highlight w:val="none"/>
        </w:rPr>
        <w:t>小企业发展管理办法》（财库〔2020〕46 号）的规定，本公司（联合体）参加</w:t>
      </w:r>
      <w:r>
        <w:rPr>
          <w:rFonts w:hint="eastAsia" w:ascii="仿宋" w:hAnsi="仿宋" w:eastAsia="仿宋" w:cs="仿宋"/>
          <w:color w:val="auto"/>
          <w:spacing w:val="-7"/>
          <w:sz w:val="28"/>
          <w:szCs w:val="28"/>
          <w:highlight w:val="none"/>
          <w:u w:val="single" w:color="auto"/>
        </w:rPr>
        <w:t>（单</w:t>
      </w:r>
      <w:r>
        <w:rPr>
          <w:rFonts w:hint="eastAsia" w:ascii="仿宋" w:hAnsi="仿宋" w:eastAsia="仿宋" w:cs="仿宋"/>
          <w:color w:val="auto"/>
          <w:spacing w:val="-5"/>
          <w:sz w:val="28"/>
          <w:szCs w:val="28"/>
          <w:highlight w:val="none"/>
          <w:u w:val="single" w:color="auto"/>
        </w:rPr>
        <w:t>位名称）</w:t>
      </w:r>
      <w:r>
        <w:rPr>
          <w:rFonts w:hint="eastAsia" w:ascii="仿宋" w:hAnsi="仿宋" w:eastAsia="仿宋" w:cs="仿宋"/>
          <w:color w:val="auto"/>
          <w:spacing w:val="-5"/>
          <w:sz w:val="28"/>
          <w:szCs w:val="28"/>
          <w:highlight w:val="none"/>
        </w:rPr>
        <w:t>的</w:t>
      </w:r>
      <w:r>
        <w:rPr>
          <w:rFonts w:hint="eastAsia" w:ascii="仿宋" w:hAnsi="仿宋" w:eastAsia="仿宋" w:cs="仿宋"/>
          <w:color w:val="auto"/>
          <w:spacing w:val="-5"/>
          <w:sz w:val="28"/>
          <w:szCs w:val="28"/>
          <w:highlight w:val="none"/>
          <w:u w:val="single" w:color="auto"/>
        </w:rPr>
        <w:t>（</w:t>
      </w:r>
      <w:r>
        <w:rPr>
          <w:rFonts w:hint="eastAsia" w:ascii="仿宋" w:hAnsi="仿宋" w:eastAsia="仿宋" w:cs="仿宋"/>
          <w:color w:val="auto"/>
          <w:spacing w:val="-5"/>
          <w:sz w:val="28"/>
          <w:szCs w:val="28"/>
          <w:highlight w:val="none"/>
          <w:u w:val="single" w:color="auto"/>
          <w:lang w:eastAsia="zh-CN"/>
        </w:rPr>
        <w:t>标段名称</w:t>
      </w:r>
      <w:r>
        <w:rPr>
          <w:rFonts w:hint="eastAsia" w:ascii="仿宋" w:hAnsi="仿宋" w:eastAsia="仿宋" w:cs="仿宋"/>
          <w:color w:val="auto"/>
          <w:spacing w:val="-5"/>
          <w:sz w:val="28"/>
          <w:szCs w:val="28"/>
          <w:highlight w:val="none"/>
          <w:u w:val="single" w:color="auto"/>
        </w:rPr>
        <w:t>）</w:t>
      </w:r>
      <w:r>
        <w:rPr>
          <w:rFonts w:hint="eastAsia" w:ascii="仿宋" w:hAnsi="仿宋" w:eastAsia="仿宋" w:cs="仿宋"/>
          <w:color w:val="auto"/>
          <w:spacing w:val="-5"/>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6"/>
          <w:sz w:val="28"/>
          <w:szCs w:val="28"/>
          <w:highlight w:val="none"/>
        </w:rPr>
        <w:t>如下：</w:t>
      </w:r>
    </w:p>
    <w:p w14:paraId="5FB4F20C">
      <w:pPr>
        <w:pStyle w:val="16"/>
        <w:spacing w:line="360" w:lineRule="auto"/>
        <w:ind w:left="0" w:right="0" w:firstLine="516"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1.</w:t>
      </w:r>
      <w:r>
        <w:rPr>
          <w:rFonts w:hint="eastAsia" w:ascii="仿宋" w:hAnsi="仿宋" w:eastAsia="仿宋" w:cs="仿宋"/>
          <w:color w:val="auto"/>
          <w:spacing w:val="-11"/>
          <w:sz w:val="28"/>
          <w:szCs w:val="28"/>
          <w:highlight w:val="none"/>
          <w:u w:val="single" w:color="auto"/>
        </w:rPr>
        <w:t>（标的名称</w:t>
      </w:r>
      <w:r>
        <w:rPr>
          <w:rFonts w:hint="eastAsia" w:ascii="仿宋" w:hAnsi="仿宋" w:eastAsia="仿宋" w:cs="仿宋"/>
          <w:color w:val="auto"/>
          <w:spacing w:val="-59"/>
          <w:sz w:val="28"/>
          <w:szCs w:val="28"/>
          <w:highlight w:val="none"/>
          <w:u w:val="single" w:color="auto"/>
        </w:rPr>
        <w:t>）</w:t>
      </w:r>
      <w:r>
        <w:rPr>
          <w:rFonts w:hint="eastAsia" w:ascii="仿宋" w:hAnsi="仿宋" w:eastAsia="仿宋" w:cs="仿宋"/>
          <w:color w:val="auto"/>
          <w:spacing w:val="-59"/>
          <w:sz w:val="28"/>
          <w:szCs w:val="28"/>
          <w:highlight w:val="none"/>
        </w:rPr>
        <w:t>，</w:t>
      </w:r>
      <w:r>
        <w:rPr>
          <w:rFonts w:hint="eastAsia" w:ascii="仿宋" w:hAnsi="仿宋" w:eastAsia="仿宋" w:cs="仿宋"/>
          <w:color w:val="auto"/>
          <w:spacing w:val="-11"/>
          <w:sz w:val="28"/>
          <w:szCs w:val="28"/>
          <w:highlight w:val="none"/>
        </w:rPr>
        <w:t>属于</w:t>
      </w:r>
      <w:r>
        <w:rPr>
          <w:rFonts w:hint="eastAsia" w:ascii="仿宋" w:hAnsi="仿宋" w:eastAsia="仿宋" w:cs="仿宋"/>
          <w:color w:val="auto"/>
          <w:spacing w:val="-11"/>
          <w:sz w:val="28"/>
          <w:szCs w:val="28"/>
          <w:highlight w:val="none"/>
          <w:u w:val="single" w:color="auto"/>
        </w:rPr>
        <w:t>（</w:t>
      </w:r>
      <w:r>
        <w:rPr>
          <w:rFonts w:hint="eastAsia" w:ascii="仿宋" w:hAnsi="仿宋" w:eastAsia="仿宋" w:cs="仿宋"/>
          <w:color w:val="auto"/>
          <w:spacing w:val="-11"/>
          <w:sz w:val="28"/>
          <w:szCs w:val="28"/>
          <w:highlight w:val="none"/>
          <w:u w:val="single" w:color="auto"/>
          <w:lang w:val="en-US" w:eastAsia="zh-CN"/>
        </w:rPr>
        <w:t>仓储业</w:t>
      </w:r>
      <w:r>
        <w:rPr>
          <w:rFonts w:hint="eastAsia" w:ascii="仿宋" w:hAnsi="仿宋" w:eastAsia="仿宋" w:cs="仿宋"/>
          <w:color w:val="auto"/>
          <w:spacing w:val="-59"/>
          <w:sz w:val="28"/>
          <w:szCs w:val="28"/>
          <w:highlight w:val="none"/>
          <w:u w:val="single" w:color="auto"/>
        </w:rPr>
        <w:t>）</w:t>
      </w:r>
      <w:r>
        <w:rPr>
          <w:rFonts w:hint="eastAsia" w:ascii="仿宋" w:hAnsi="仿宋" w:eastAsia="仿宋" w:cs="仿宋"/>
          <w:color w:val="auto"/>
          <w:spacing w:val="-59"/>
          <w:sz w:val="28"/>
          <w:szCs w:val="28"/>
          <w:highlight w:val="none"/>
        </w:rPr>
        <w:t>；</w:t>
      </w:r>
      <w:r>
        <w:rPr>
          <w:rFonts w:hint="eastAsia" w:ascii="仿宋" w:hAnsi="仿宋" w:eastAsia="仿宋" w:cs="仿宋"/>
          <w:color w:val="auto"/>
          <w:spacing w:val="-11"/>
          <w:sz w:val="28"/>
          <w:szCs w:val="28"/>
          <w:highlight w:val="none"/>
        </w:rPr>
        <w:t>承建（承接）企业为</w:t>
      </w:r>
      <w:r>
        <w:rPr>
          <w:rFonts w:hint="eastAsia" w:ascii="仿宋" w:hAnsi="仿宋" w:eastAsia="仿宋" w:cs="仿宋"/>
          <w:color w:val="auto"/>
          <w:spacing w:val="-11"/>
          <w:sz w:val="28"/>
          <w:szCs w:val="28"/>
          <w:highlight w:val="none"/>
          <w:u w:val="single" w:color="auto"/>
        </w:rPr>
        <w:t>（企业名称</w:t>
      </w:r>
      <w:r>
        <w:rPr>
          <w:rFonts w:hint="eastAsia" w:ascii="仿宋" w:hAnsi="仿宋" w:eastAsia="仿宋" w:cs="仿宋"/>
          <w:color w:val="auto"/>
          <w:spacing w:val="-59"/>
          <w:sz w:val="28"/>
          <w:szCs w:val="28"/>
          <w:highlight w:val="none"/>
          <w:u w:val="single" w:color="auto"/>
        </w:rPr>
        <w:t>）</w:t>
      </w:r>
      <w:r>
        <w:rPr>
          <w:rFonts w:hint="eastAsia" w:ascii="仿宋" w:hAnsi="仿宋" w:eastAsia="仿宋" w:cs="仿宋"/>
          <w:color w:val="auto"/>
          <w:spacing w:val="-59"/>
          <w:sz w:val="28"/>
          <w:szCs w:val="28"/>
          <w:highlight w:val="none"/>
        </w:rPr>
        <w:t>，</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4"/>
          <w:sz w:val="28"/>
          <w:szCs w:val="28"/>
          <w:highlight w:val="none"/>
        </w:rPr>
        <w:t>从业人员</w:t>
      </w:r>
      <w:r>
        <w:rPr>
          <w:rFonts w:hint="eastAsia" w:ascii="仿宋" w:hAnsi="仿宋" w:eastAsia="仿宋" w:cs="仿宋"/>
          <w:color w:val="auto"/>
          <w:spacing w:val="36"/>
          <w:sz w:val="28"/>
          <w:szCs w:val="28"/>
          <w:highlight w:val="none"/>
          <w:u w:val="single" w:color="auto"/>
        </w:rPr>
        <w:t xml:space="preserve"> </w:t>
      </w:r>
      <w:r>
        <w:rPr>
          <w:rFonts w:hint="eastAsia" w:ascii="仿宋" w:hAnsi="仿宋" w:eastAsia="仿宋" w:cs="仿宋"/>
          <w:color w:val="auto"/>
          <w:spacing w:val="-4"/>
          <w:sz w:val="28"/>
          <w:szCs w:val="28"/>
          <w:highlight w:val="none"/>
        </w:rPr>
        <w:t>人，营业收入为</w:t>
      </w:r>
      <w:r>
        <w:rPr>
          <w:rFonts w:hint="eastAsia" w:ascii="仿宋" w:hAnsi="仿宋" w:eastAsia="仿宋" w:cs="仿宋"/>
          <w:color w:val="auto"/>
          <w:spacing w:val="37"/>
          <w:sz w:val="28"/>
          <w:szCs w:val="28"/>
          <w:highlight w:val="none"/>
          <w:u w:val="single" w:color="auto"/>
        </w:rPr>
        <w:t xml:space="preserve"> </w:t>
      </w:r>
      <w:r>
        <w:rPr>
          <w:rFonts w:hint="eastAsia" w:ascii="仿宋" w:hAnsi="仿宋" w:eastAsia="仿宋" w:cs="仿宋"/>
          <w:color w:val="auto"/>
          <w:spacing w:val="-4"/>
          <w:sz w:val="28"/>
          <w:szCs w:val="28"/>
          <w:highlight w:val="none"/>
        </w:rPr>
        <w:t>万元，资产总额为</w:t>
      </w:r>
      <w:r>
        <w:rPr>
          <w:rFonts w:hint="eastAsia" w:ascii="仿宋" w:hAnsi="仿宋" w:eastAsia="仿宋" w:cs="仿宋"/>
          <w:color w:val="auto"/>
          <w:spacing w:val="34"/>
          <w:sz w:val="28"/>
          <w:szCs w:val="28"/>
          <w:highlight w:val="none"/>
          <w:u w:val="single" w:color="auto"/>
        </w:rPr>
        <w:t xml:space="preserve"> </w:t>
      </w:r>
      <w:r>
        <w:rPr>
          <w:rFonts w:hint="eastAsia" w:ascii="仿宋" w:hAnsi="仿宋" w:eastAsia="仿宋" w:cs="仿宋"/>
          <w:color w:val="auto"/>
          <w:spacing w:val="-4"/>
          <w:sz w:val="28"/>
          <w:szCs w:val="28"/>
          <w:highlight w:val="none"/>
        </w:rPr>
        <w:t>万元，属于</w:t>
      </w:r>
      <w:r>
        <w:rPr>
          <w:rFonts w:hint="eastAsia" w:ascii="仿宋" w:hAnsi="仿宋" w:eastAsia="仿宋" w:cs="仿宋"/>
          <w:color w:val="auto"/>
          <w:spacing w:val="-5"/>
          <w:sz w:val="28"/>
          <w:szCs w:val="28"/>
          <w:highlight w:val="none"/>
          <w:u w:val="single" w:color="auto"/>
        </w:rPr>
        <w:t>小型企业、微</w:t>
      </w:r>
      <w:r>
        <w:rPr>
          <w:rFonts w:hint="eastAsia" w:ascii="仿宋" w:hAnsi="仿宋" w:eastAsia="仿宋" w:cs="仿宋"/>
          <w:color w:val="auto"/>
          <w:spacing w:val="-6"/>
          <w:sz w:val="28"/>
          <w:szCs w:val="28"/>
          <w:highlight w:val="none"/>
          <w:u w:val="single" w:color="auto"/>
        </w:rPr>
        <w:t>型企业</w:t>
      </w:r>
      <w:r>
        <w:rPr>
          <w:rFonts w:hint="eastAsia" w:ascii="仿宋" w:hAnsi="仿宋" w:eastAsia="仿宋" w:cs="仿宋"/>
          <w:color w:val="auto"/>
          <w:sz w:val="28"/>
          <w:szCs w:val="28"/>
          <w:highlight w:val="none"/>
          <w:u w:val="single" w:color="auto"/>
        </w:rPr>
        <w:t>）</w:t>
      </w:r>
      <w:r>
        <w:rPr>
          <w:rFonts w:hint="eastAsia" w:ascii="仿宋" w:hAnsi="仿宋" w:eastAsia="仿宋" w:cs="仿宋"/>
          <w:color w:val="auto"/>
          <w:sz w:val="28"/>
          <w:szCs w:val="28"/>
          <w:highlight w:val="none"/>
        </w:rPr>
        <w:t>；</w:t>
      </w:r>
    </w:p>
    <w:p w14:paraId="197E9B56">
      <w:pPr>
        <w:pStyle w:val="16"/>
        <w:spacing w:line="360" w:lineRule="auto"/>
        <w:ind w:left="0" w:right="0" w:firstLine="504"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4"/>
          <w:position w:val="3"/>
          <w:sz w:val="28"/>
          <w:szCs w:val="28"/>
          <w:highlight w:val="none"/>
        </w:rPr>
        <w:t>……</w:t>
      </w:r>
    </w:p>
    <w:p w14:paraId="591B1A94">
      <w:pPr>
        <w:pStyle w:val="16"/>
        <w:spacing w:line="360" w:lineRule="auto"/>
        <w:ind w:left="0" w:right="0" w:firstLine="536"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以上企业，不属于大企业的分支机构，不存在控股</w:t>
      </w:r>
      <w:r>
        <w:rPr>
          <w:rFonts w:hint="eastAsia" w:ascii="仿宋" w:hAnsi="仿宋" w:eastAsia="仿宋" w:cs="仿宋"/>
          <w:color w:val="auto"/>
          <w:spacing w:val="-7"/>
          <w:sz w:val="28"/>
          <w:szCs w:val="28"/>
          <w:highlight w:val="none"/>
        </w:rPr>
        <w:t>股东为大企业的情</w:t>
      </w:r>
      <w:r>
        <w:rPr>
          <w:rFonts w:hint="eastAsia" w:ascii="仿宋" w:hAnsi="仿宋" w:eastAsia="仿宋" w:cs="仿宋"/>
          <w:color w:val="auto"/>
          <w:spacing w:val="-1"/>
          <w:sz w:val="28"/>
          <w:szCs w:val="28"/>
          <w:highlight w:val="none"/>
        </w:rPr>
        <w:t>形，也不存在与大企业的负责人为同一人的情形。</w:t>
      </w:r>
    </w:p>
    <w:p w14:paraId="4F18BE6B">
      <w:pPr>
        <w:pStyle w:val="16"/>
        <w:spacing w:line="360" w:lineRule="auto"/>
        <w:ind w:left="0" w:right="0" w:firstLine="54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本企业对上述声明内容的真实性负责。如有虚假，</w:t>
      </w:r>
      <w:r>
        <w:rPr>
          <w:rFonts w:hint="eastAsia" w:ascii="仿宋" w:hAnsi="仿宋" w:eastAsia="仿宋" w:cs="仿宋"/>
          <w:color w:val="auto"/>
          <w:spacing w:val="-6"/>
          <w:sz w:val="28"/>
          <w:szCs w:val="28"/>
          <w:highlight w:val="none"/>
        </w:rPr>
        <w:t>将依法承担相应责</w:t>
      </w:r>
      <w:r>
        <w:rPr>
          <w:rFonts w:hint="eastAsia" w:ascii="仿宋" w:hAnsi="仿宋" w:eastAsia="仿宋" w:cs="仿宋"/>
          <w:color w:val="auto"/>
          <w:spacing w:val="-9"/>
          <w:sz w:val="28"/>
          <w:szCs w:val="28"/>
          <w:highlight w:val="none"/>
        </w:rPr>
        <w:t>任。</w:t>
      </w:r>
    </w:p>
    <w:p w14:paraId="742AAEA3">
      <w:pPr>
        <w:pStyle w:val="16"/>
        <w:spacing w:line="360" w:lineRule="auto"/>
        <w:ind w:left="0" w:right="0" w:firstLine="548"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企业名称（盖章</w:t>
      </w:r>
      <w:r>
        <w:rPr>
          <w:rFonts w:hint="eastAsia" w:ascii="仿宋" w:hAnsi="仿宋" w:eastAsia="仿宋" w:cs="仿宋"/>
          <w:color w:val="auto"/>
          <w:spacing w:val="-32"/>
          <w:sz w:val="28"/>
          <w:szCs w:val="28"/>
          <w:highlight w:val="none"/>
        </w:rPr>
        <w:t>）：</w:t>
      </w:r>
      <w:r>
        <w:rPr>
          <w:rFonts w:hint="eastAsia" w:ascii="仿宋" w:hAnsi="仿宋" w:eastAsia="仿宋" w:cs="仿宋"/>
          <w:color w:val="auto"/>
          <w:spacing w:val="1"/>
          <w:sz w:val="28"/>
          <w:szCs w:val="28"/>
          <w:highlight w:val="none"/>
        </w:rPr>
        <w:t xml:space="preserve"> </w:t>
      </w:r>
      <w:r>
        <w:rPr>
          <w:rFonts w:hint="eastAsia" w:ascii="仿宋" w:hAnsi="仿宋" w:eastAsia="仿宋" w:cs="仿宋"/>
          <w:color w:val="auto"/>
          <w:spacing w:val="-26"/>
          <w:sz w:val="28"/>
          <w:szCs w:val="28"/>
          <w:highlight w:val="none"/>
        </w:rPr>
        <w:t>日期：</w:t>
      </w:r>
    </w:p>
    <w:p w14:paraId="74C41424">
      <w:pPr>
        <w:spacing w:line="360" w:lineRule="auto"/>
        <w:ind w:left="0" w:right="0" w:firstLine="0"/>
        <w:jc w:val="left"/>
        <w:rPr>
          <w:rFonts w:hint="eastAsia" w:ascii="仿宋" w:hAnsi="仿宋" w:eastAsia="仿宋" w:cs="仿宋"/>
          <w:color w:val="auto"/>
          <w:sz w:val="21"/>
          <w:highlight w:val="none"/>
        </w:rPr>
      </w:pPr>
    </w:p>
    <w:p w14:paraId="4AFF244C">
      <w:pPr>
        <w:spacing w:line="360" w:lineRule="auto"/>
        <w:ind w:left="0" w:right="0" w:firstLine="0"/>
        <w:jc w:val="left"/>
        <w:rPr>
          <w:rFonts w:hint="eastAsia" w:ascii="仿宋" w:hAnsi="仿宋" w:eastAsia="仿宋" w:cs="仿宋"/>
          <w:color w:val="auto"/>
          <w:sz w:val="21"/>
          <w:highlight w:val="none"/>
        </w:rPr>
      </w:pPr>
    </w:p>
    <w:p w14:paraId="1850B499">
      <w:pPr>
        <w:pStyle w:val="16"/>
        <w:spacing w:line="360" w:lineRule="auto"/>
        <w:ind w:left="0" w:right="0" w:firstLine="558" w:firstLineChars="200"/>
        <w:jc w:val="left"/>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备注：从业人员、营业收入、资产总额填报上一年度数据</w:t>
      </w:r>
      <w:r>
        <w:rPr>
          <w:rFonts w:hint="eastAsia" w:ascii="仿宋" w:hAnsi="仿宋" w:eastAsia="仿宋" w:cs="仿宋"/>
          <w:color w:val="auto"/>
          <w:spacing w:val="58"/>
          <w:sz w:val="28"/>
          <w:szCs w:val="28"/>
          <w:highlight w:val="none"/>
        </w:rPr>
        <w:t xml:space="preserve"> </w:t>
      </w:r>
      <w:r>
        <w:rPr>
          <w:rFonts w:hint="eastAsia" w:ascii="仿宋" w:hAnsi="仿宋" w:eastAsia="仿宋" w:cs="仿宋"/>
          <w:b/>
          <w:bCs/>
          <w:color w:val="auto"/>
          <w:spacing w:val="-1"/>
          <w:sz w:val="28"/>
          <w:szCs w:val="28"/>
          <w:highlight w:val="none"/>
        </w:rPr>
        <w:t>,无上一年度</w:t>
      </w:r>
      <w:r>
        <w:rPr>
          <w:rFonts w:hint="eastAsia" w:ascii="仿宋" w:hAnsi="仿宋" w:eastAsia="仿宋" w:cs="仿宋"/>
          <w:b/>
          <w:bCs/>
          <w:color w:val="auto"/>
          <w:spacing w:val="-4"/>
          <w:sz w:val="28"/>
          <w:szCs w:val="28"/>
          <w:highlight w:val="none"/>
        </w:rPr>
        <w:t>数据的新成立企业可不填报。</w:t>
      </w:r>
    </w:p>
    <w:p w14:paraId="1E3BCD3C">
      <w:pPr>
        <w:pStyle w:val="92"/>
        <w:spacing w:line="360" w:lineRule="auto"/>
        <w:ind w:left="0" w:right="0" w:firstLine="0"/>
        <w:jc w:val="left"/>
        <w:rPr>
          <w:rFonts w:hint="eastAsia" w:ascii="仿宋" w:hAnsi="仿宋" w:eastAsia="仿宋" w:cs="仿宋"/>
          <w:color w:val="auto"/>
          <w:highlight w:val="none"/>
        </w:rPr>
      </w:pPr>
    </w:p>
    <w:p w14:paraId="4CB71B6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E7BC572">
      <w:pPr>
        <w:pStyle w:val="16"/>
        <w:spacing w:after="0" w:line="360" w:lineRule="auto"/>
        <w:ind w:left="0" w:right="0" w:firstLine="0" w:firstLineChars="0"/>
        <w:jc w:val="center"/>
        <w:outlineLvl w:val="2"/>
        <w:rPr>
          <w:rFonts w:hint="eastAsia" w:ascii="仿宋" w:hAnsi="仿宋" w:eastAsia="仿宋" w:cs="仿宋"/>
          <w:b/>
          <w:bCs/>
          <w:color w:val="auto"/>
          <w:spacing w:val="-3"/>
          <w:sz w:val="35"/>
          <w:szCs w:val="35"/>
          <w:highlight w:val="none"/>
          <w:lang w:val="en-US" w:eastAsia="zh-CN"/>
        </w:rPr>
      </w:pPr>
      <w:r>
        <w:rPr>
          <w:rFonts w:hint="eastAsia" w:ascii="仿宋" w:hAnsi="仿宋" w:eastAsia="仿宋" w:cs="仿宋"/>
          <w:b/>
          <w:bCs/>
          <w:color w:val="auto"/>
          <w:spacing w:val="-3"/>
          <w:sz w:val="35"/>
          <w:szCs w:val="35"/>
          <w:highlight w:val="none"/>
          <w:lang w:val="en-US" w:eastAsia="zh-CN"/>
        </w:rPr>
        <w:t>13.其他附件</w:t>
      </w:r>
    </w:p>
    <w:p w14:paraId="4E850DFA">
      <w:pPr>
        <w:spacing w:before="121" w:line="220" w:lineRule="auto"/>
        <w:ind w:left="1246"/>
        <w:outlineLvl w:val="1"/>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在经营活动中没有重大违法记录的书面声明</w:t>
      </w:r>
    </w:p>
    <w:p w14:paraId="0C3F4194">
      <w:pPr>
        <w:pStyle w:val="16"/>
        <w:spacing w:line="258" w:lineRule="auto"/>
        <w:rPr>
          <w:color w:val="auto"/>
          <w:highlight w:val="none"/>
        </w:rPr>
      </w:pPr>
    </w:p>
    <w:p w14:paraId="05BA77D2">
      <w:pPr>
        <w:pStyle w:val="16"/>
        <w:spacing w:line="259" w:lineRule="auto"/>
        <w:rPr>
          <w:color w:val="auto"/>
          <w:highlight w:val="none"/>
        </w:rPr>
      </w:pPr>
    </w:p>
    <w:p w14:paraId="70E01F1D">
      <w:pPr>
        <w:pStyle w:val="16"/>
        <w:spacing w:line="259" w:lineRule="auto"/>
        <w:rPr>
          <w:color w:val="auto"/>
          <w:highlight w:val="none"/>
        </w:rPr>
      </w:pPr>
    </w:p>
    <w:p w14:paraId="22D6EEFE">
      <w:pPr>
        <w:spacing w:before="78" w:line="331" w:lineRule="auto"/>
        <w:ind w:left="29" w:right="13" w:firstLine="488"/>
        <w:jc w:val="both"/>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我方在参加</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eastAsia="zh-CN"/>
        </w:rPr>
        <w:t>标段名称</w:t>
      </w:r>
      <w:r>
        <w:rPr>
          <w:rFonts w:ascii="仿宋" w:hAnsi="仿宋" w:eastAsia="仿宋" w:cs="仿宋"/>
          <w:color w:val="auto"/>
          <w:spacing w:val="-4"/>
          <w:sz w:val="24"/>
          <w:szCs w:val="24"/>
          <w:highlight w:val="none"/>
        </w:rPr>
        <w:t>）政府采购活动前</w:t>
      </w:r>
      <w:r>
        <w:rPr>
          <w:rFonts w:ascii="仿宋" w:hAnsi="仿宋" w:eastAsia="仿宋" w:cs="仿宋"/>
          <w:color w:val="auto"/>
          <w:spacing w:val="-40"/>
          <w:sz w:val="24"/>
          <w:szCs w:val="24"/>
          <w:highlight w:val="none"/>
        </w:rPr>
        <w:t xml:space="preserve"> </w:t>
      </w:r>
      <w:r>
        <w:rPr>
          <w:rFonts w:ascii="仿宋" w:hAnsi="仿宋" w:eastAsia="仿宋" w:cs="仿宋"/>
          <w:color w:val="auto"/>
          <w:spacing w:val="-4"/>
          <w:sz w:val="24"/>
          <w:szCs w:val="24"/>
          <w:highlight w:val="none"/>
        </w:rPr>
        <w:t>3</w:t>
      </w:r>
      <w:r>
        <w:rPr>
          <w:rFonts w:ascii="仿宋" w:hAnsi="仿宋" w:eastAsia="仿宋" w:cs="仿宋"/>
          <w:color w:val="auto"/>
          <w:spacing w:val="-40"/>
          <w:sz w:val="24"/>
          <w:szCs w:val="24"/>
          <w:highlight w:val="none"/>
        </w:rPr>
        <w:t xml:space="preserve"> </w:t>
      </w:r>
      <w:r>
        <w:rPr>
          <w:rFonts w:ascii="仿宋" w:hAnsi="仿宋" w:eastAsia="仿宋" w:cs="仿宋"/>
          <w:color w:val="auto"/>
          <w:spacing w:val="-4"/>
          <w:sz w:val="24"/>
          <w:szCs w:val="24"/>
          <w:highlight w:val="none"/>
        </w:rPr>
        <w:t>年内，我方被公</w:t>
      </w:r>
      <w:r>
        <w:rPr>
          <w:rFonts w:ascii="仿宋" w:hAnsi="仿宋" w:eastAsia="仿宋" w:cs="仿宋"/>
          <w:color w:val="auto"/>
          <w:spacing w:val="-2"/>
          <w:sz w:val="24"/>
          <w:szCs w:val="24"/>
          <w:highlight w:val="none"/>
        </w:rPr>
        <w:t>开披露或查处的违法违规行为有</w:t>
      </w:r>
      <w:r>
        <w:rPr>
          <w:rFonts w:ascii="仿宋" w:hAnsi="仿宋" w:eastAsia="仿宋" w:cs="仿宋"/>
          <w:color w:val="auto"/>
          <w:spacing w:val="-3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6"/>
          <w:sz w:val="24"/>
          <w:szCs w:val="24"/>
          <w:highlight w:val="none"/>
        </w:rPr>
        <w:t>，</w:t>
      </w:r>
      <w:r>
        <w:rPr>
          <w:rFonts w:ascii="仿宋" w:hAnsi="仿宋" w:eastAsia="仿宋" w:cs="仿宋"/>
          <w:color w:val="auto"/>
          <w:spacing w:val="-2"/>
          <w:sz w:val="24"/>
          <w:szCs w:val="24"/>
          <w:highlight w:val="none"/>
        </w:rPr>
        <w:t>但在经营活动</w:t>
      </w:r>
      <w:r>
        <w:rPr>
          <w:rFonts w:ascii="仿宋" w:hAnsi="仿宋" w:eastAsia="仿宋" w:cs="仿宋"/>
          <w:color w:val="auto"/>
          <w:spacing w:val="-3"/>
          <w:sz w:val="24"/>
          <w:szCs w:val="24"/>
          <w:highlight w:val="none"/>
        </w:rPr>
        <w:t>中没有重大违法记录（重大违法记录指供应商因违法经营受到刑事</w:t>
      </w:r>
      <w:r>
        <w:rPr>
          <w:rFonts w:ascii="仿宋" w:hAnsi="仿宋" w:eastAsia="仿宋" w:cs="仿宋"/>
          <w:color w:val="auto"/>
          <w:spacing w:val="-4"/>
          <w:sz w:val="24"/>
          <w:szCs w:val="24"/>
          <w:highlight w:val="none"/>
        </w:rPr>
        <w:t>处罚或者责令</w:t>
      </w:r>
      <w:r>
        <w:rPr>
          <w:rFonts w:ascii="仿宋" w:hAnsi="仿宋" w:eastAsia="仿宋" w:cs="仿宋"/>
          <w:color w:val="auto"/>
          <w:spacing w:val="-3"/>
          <w:sz w:val="24"/>
          <w:szCs w:val="24"/>
          <w:highlight w:val="none"/>
        </w:rPr>
        <w:t>停产停业、</w:t>
      </w:r>
      <w:r>
        <w:rPr>
          <w:rFonts w:ascii="仿宋" w:hAnsi="仿宋" w:eastAsia="仿宋" w:cs="仿宋"/>
          <w:color w:val="auto"/>
          <w:spacing w:val="-53"/>
          <w:sz w:val="24"/>
          <w:szCs w:val="24"/>
          <w:highlight w:val="none"/>
        </w:rPr>
        <w:t xml:space="preserve"> </w:t>
      </w:r>
      <w:r>
        <w:rPr>
          <w:rFonts w:ascii="仿宋" w:hAnsi="仿宋" w:eastAsia="仿宋" w:cs="仿宋"/>
          <w:color w:val="auto"/>
          <w:spacing w:val="-3"/>
          <w:sz w:val="24"/>
          <w:szCs w:val="24"/>
          <w:highlight w:val="none"/>
        </w:rPr>
        <w:t>吊销许可证或者执照、较大数额罚款等行政处罚）。</w:t>
      </w:r>
    </w:p>
    <w:p w14:paraId="50D1156A">
      <w:pPr>
        <w:pStyle w:val="16"/>
        <w:spacing w:line="278" w:lineRule="auto"/>
        <w:rPr>
          <w:color w:val="auto"/>
          <w:highlight w:val="none"/>
        </w:rPr>
      </w:pPr>
    </w:p>
    <w:p w14:paraId="7A2C4C3D">
      <w:pPr>
        <w:pStyle w:val="16"/>
        <w:spacing w:line="279" w:lineRule="auto"/>
        <w:rPr>
          <w:color w:val="auto"/>
          <w:highlight w:val="none"/>
        </w:rPr>
      </w:pPr>
    </w:p>
    <w:p w14:paraId="6034E35C">
      <w:pPr>
        <w:pStyle w:val="16"/>
        <w:spacing w:line="279" w:lineRule="auto"/>
        <w:rPr>
          <w:color w:val="auto"/>
          <w:highlight w:val="none"/>
        </w:rPr>
      </w:pPr>
    </w:p>
    <w:p w14:paraId="6304E381">
      <w:pPr>
        <w:spacing w:before="78" w:line="221" w:lineRule="auto"/>
        <w:ind w:right="13"/>
        <w:jc w:val="right"/>
        <w:outlineLvl w:val="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供  应</w:t>
      </w:r>
      <w:r>
        <w:rPr>
          <w:rFonts w:ascii="仿宋" w:hAnsi="仿宋" w:eastAsia="仿宋" w:cs="仿宋"/>
          <w:color w:val="auto"/>
          <w:spacing w:val="13"/>
          <w:sz w:val="24"/>
          <w:szCs w:val="24"/>
          <w:highlight w:val="none"/>
        </w:rPr>
        <w:t xml:space="preserve">  </w:t>
      </w:r>
      <w:r>
        <w:rPr>
          <w:rFonts w:ascii="仿宋" w:hAnsi="仿宋" w:eastAsia="仿宋" w:cs="仿宋"/>
          <w:color w:val="auto"/>
          <w:spacing w:val="2"/>
          <w:sz w:val="24"/>
          <w:szCs w:val="24"/>
          <w:highlight w:val="none"/>
        </w:rPr>
        <w:t>商</w:t>
      </w:r>
      <w:r>
        <w:rPr>
          <w:rFonts w:ascii="仿宋" w:hAnsi="仿宋" w:eastAsia="仿宋" w:cs="仿宋"/>
          <w:color w:val="auto"/>
          <w:spacing w:val="-3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3"/>
          <w:sz w:val="24"/>
          <w:szCs w:val="24"/>
          <w:highlight w:val="none"/>
        </w:rPr>
        <w:t>（</w:t>
      </w:r>
      <w:r>
        <w:rPr>
          <w:rFonts w:ascii="仿宋" w:hAnsi="仿宋" w:eastAsia="仿宋" w:cs="仿宋"/>
          <w:color w:val="auto"/>
          <w:spacing w:val="2"/>
          <w:sz w:val="24"/>
          <w:szCs w:val="24"/>
          <w:highlight w:val="none"/>
        </w:rPr>
        <w:t>盖单位公章）</w:t>
      </w:r>
    </w:p>
    <w:p w14:paraId="585326B5">
      <w:pPr>
        <w:spacing w:before="152" w:line="222" w:lineRule="auto"/>
        <w:ind w:right="13"/>
        <w:jc w:val="right"/>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法定代表人</w:t>
      </w:r>
      <w:r>
        <w:rPr>
          <w:rFonts w:ascii="仿宋" w:hAnsi="仿宋" w:eastAsia="仿宋" w:cs="仿宋"/>
          <w:color w:val="auto"/>
          <w:spacing w:val="-1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8"/>
          <w:sz w:val="24"/>
          <w:szCs w:val="24"/>
          <w:highlight w:val="none"/>
        </w:rPr>
        <w:t>（</w:t>
      </w:r>
      <w:r>
        <w:rPr>
          <w:rFonts w:ascii="仿宋" w:hAnsi="仿宋" w:eastAsia="仿宋" w:cs="仿宋"/>
          <w:color w:val="auto"/>
          <w:spacing w:val="1"/>
          <w:sz w:val="24"/>
          <w:szCs w:val="24"/>
          <w:highlight w:val="none"/>
        </w:rPr>
        <w:t>签字或盖章）</w:t>
      </w:r>
    </w:p>
    <w:p w14:paraId="623B63AA">
      <w:pPr>
        <w:spacing w:before="153" w:line="222" w:lineRule="auto"/>
        <w:jc w:val="right"/>
        <w:rPr>
          <w:rFonts w:ascii="仿宋" w:hAnsi="仿宋" w:eastAsia="仿宋" w:cs="仿宋"/>
          <w:color w:val="auto"/>
          <w:sz w:val="24"/>
          <w:szCs w:val="24"/>
          <w:highlight w:val="none"/>
        </w:rPr>
      </w:pPr>
      <w:r>
        <w:rPr>
          <w:rFonts w:ascii="仿宋" w:hAnsi="仿宋" w:eastAsia="仿宋" w:cs="仿宋"/>
          <w:color w:val="auto"/>
          <w:spacing w:val="-22"/>
          <w:sz w:val="24"/>
          <w:szCs w:val="24"/>
          <w:highlight w:val="none"/>
        </w:rPr>
        <w:t>日       期：</w:t>
      </w:r>
      <w:r>
        <w:rPr>
          <w:rFonts w:ascii="仿宋" w:hAnsi="仿宋" w:eastAsia="仿宋" w:cs="仿宋"/>
          <w:color w:val="auto"/>
          <w:spacing w:val="-22"/>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22"/>
          <w:sz w:val="24"/>
          <w:szCs w:val="24"/>
          <w:highlight w:val="none"/>
        </w:rPr>
        <w:t>年</w:t>
      </w:r>
      <w:r>
        <w:rPr>
          <w:rFonts w:ascii="仿宋" w:hAnsi="仿宋" w:eastAsia="仿宋" w:cs="仿宋"/>
          <w:color w:val="auto"/>
          <w:spacing w:val="60"/>
          <w:sz w:val="24"/>
          <w:szCs w:val="24"/>
          <w:highlight w:val="none"/>
          <w:u w:val="single" w:color="auto"/>
        </w:rPr>
        <w:t xml:space="preserve">  </w:t>
      </w:r>
      <w:r>
        <w:rPr>
          <w:rFonts w:ascii="仿宋" w:hAnsi="仿宋" w:eastAsia="仿宋" w:cs="仿宋"/>
          <w:color w:val="auto"/>
          <w:spacing w:val="-92"/>
          <w:sz w:val="24"/>
          <w:szCs w:val="24"/>
          <w:highlight w:val="none"/>
        </w:rPr>
        <w:t xml:space="preserve"> </w:t>
      </w:r>
      <w:r>
        <w:rPr>
          <w:rFonts w:ascii="仿宋" w:hAnsi="仿宋" w:eastAsia="仿宋" w:cs="仿宋"/>
          <w:color w:val="auto"/>
          <w:spacing w:val="-22"/>
          <w:sz w:val="24"/>
          <w:szCs w:val="24"/>
          <w:highlight w:val="none"/>
        </w:rPr>
        <w:t>月</w:t>
      </w:r>
      <w:r>
        <w:rPr>
          <w:rFonts w:ascii="仿宋" w:hAnsi="仿宋" w:eastAsia="仿宋" w:cs="仿宋"/>
          <w:color w:val="auto"/>
          <w:spacing w:val="59"/>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22"/>
          <w:sz w:val="24"/>
          <w:szCs w:val="24"/>
          <w:highlight w:val="none"/>
        </w:rPr>
        <w:t>日</w:t>
      </w:r>
    </w:p>
    <w:p w14:paraId="0E4E417B">
      <w:pPr>
        <w:pStyle w:val="16"/>
        <w:spacing w:line="276" w:lineRule="auto"/>
        <w:rPr>
          <w:color w:val="auto"/>
          <w:highlight w:val="none"/>
        </w:rPr>
      </w:pPr>
    </w:p>
    <w:p w14:paraId="4714AF8B">
      <w:pPr>
        <w:pStyle w:val="16"/>
        <w:spacing w:line="276" w:lineRule="auto"/>
        <w:rPr>
          <w:color w:val="auto"/>
          <w:highlight w:val="none"/>
        </w:rPr>
      </w:pPr>
    </w:p>
    <w:p w14:paraId="48CA063F">
      <w:pPr>
        <w:pStyle w:val="16"/>
        <w:spacing w:line="277" w:lineRule="auto"/>
        <w:rPr>
          <w:color w:val="auto"/>
          <w:highlight w:val="none"/>
        </w:rPr>
      </w:pPr>
    </w:p>
    <w:p w14:paraId="26E5C339">
      <w:pPr>
        <w:pStyle w:val="16"/>
        <w:spacing w:line="277" w:lineRule="auto"/>
        <w:rPr>
          <w:color w:val="auto"/>
          <w:highlight w:val="none"/>
        </w:rPr>
      </w:pPr>
    </w:p>
    <w:p w14:paraId="327868B1">
      <w:pPr>
        <w:pStyle w:val="16"/>
        <w:spacing w:line="277" w:lineRule="auto"/>
        <w:rPr>
          <w:color w:val="auto"/>
          <w:highlight w:val="none"/>
        </w:rPr>
      </w:pPr>
    </w:p>
    <w:p w14:paraId="22B9C3E8">
      <w:pPr>
        <w:spacing w:before="78" w:line="221" w:lineRule="auto"/>
        <w:ind w:left="51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备注：供应商没有被公开披露或查处违法违规行为的，注明“无</w:t>
      </w:r>
      <w:r>
        <w:rPr>
          <w:rFonts w:ascii="仿宋" w:hAnsi="仿宋" w:eastAsia="仿宋" w:cs="仿宋"/>
          <w:color w:val="auto"/>
          <w:spacing w:val="-75"/>
          <w:sz w:val="24"/>
          <w:szCs w:val="24"/>
          <w:highlight w:val="none"/>
        </w:rPr>
        <w:t xml:space="preserve"> </w:t>
      </w:r>
      <w:r>
        <w:rPr>
          <w:rFonts w:ascii="仿宋" w:hAnsi="仿宋" w:eastAsia="仿宋" w:cs="仿宋"/>
          <w:color w:val="auto"/>
          <w:spacing w:val="-2"/>
          <w:sz w:val="24"/>
          <w:szCs w:val="24"/>
          <w:highlight w:val="none"/>
        </w:rPr>
        <w:t>”即可。</w:t>
      </w:r>
    </w:p>
    <w:p w14:paraId="262804BB">
      <w:pPr>
        <w:spacing w:line="221" w:lineRule="auto"/>
        <w:rPr>
          <w:rFonts w:ascii="仿宋" w:hAnsi="仿宋" w:eastAsia="仿宋" w:cs="仿宋"/>
          <w:color w:val="auto"/>
          <w:sz w:val="24"/>
          <w:szCs w:val="24"/>
          <w:highlight w:val="none"/>
        </w:rPr>
        <w:sectPr>
          <w:footerReference r:id="rId9" w:type="default"/>
          <w:pgSz w:w="11906" w:h="16839"/>
          <w:pgMar w:top="1431" w:right="1785" w:bottom="1180" w:left="1785" w:header="0" w:footer="1018" w:gutter="0"/>
          <w:pgNumType w:fmt="decimal"/>
          <w:cols w:space="720" w:num="1"/>
        </w:sectPr>
      </w:pPr>
    </w:p>
    <w:p w14:paraId="69A5EC45">
      <w:pPr>
        <w:spacing w:before="121" w:line="222" w:lineRule="auto"/>
        <w:ind w:left="2667"/>
        <w:outlineLvl w:val="1"/>
        <w:rPr>
          <w:rFonts w:ascii="仿宋" w:hAnsi="仿宋" w:eastAsia="仿宋" w:cs="仿宋"/>
          <w:color w:val="auto"/>
          <w:sz w:val="28"/>
          <w:szCs w:val="28"/>
          <w:highlight w:val="none"/>
        </w:rPr>
      </w:pPr>
      <w:bookmarkStart w:id="58" w:name="bookmark93"/>
      <w:bookmarkEnd w:id="58"/>
      <w:bookmarkStart w:id="59" w:name="bookmark94"/>
      <w:bookmarkEnd w:id="59"/>
      <w:r>
        <w:rPr>
          <w:rFonts w:ascii="仿宋" w:hAnsi="仿宋" w:eastAsia="仿宋" w:cs="仿宋"/>
          <w:color w:val="auto"/>
          <w:spacing w:val="-2"/>
          <w:sz w:val="28"/>
          <w:szCs w:val="28"/>
          <w:highlight w:val="none"/>
        </w:rPr>
        <w:t>政府采购诚信承诺书</w:t>
      </w:r>
    </w:p>
    <w:p w14:paraId="7C329664">
      <w:pPr>
        <w:spacing w:before="214" w:line="220" w:lineRule="auto"/>
        <w:ind w:left="3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本企业郑重承诺：</w:t>
      </w:r>
    </w:p>
    <w:p w14:paraId="3B3FD60E">
      <w:pPr>
        <w:spacing w:before="212" w:line="379" w:lineRule="auto"/>
        <w:ind w:left="29" w:right="13" w:firstLine="488"/>
        <w:jc w:val="both"/>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为了积极配合采购人组织的</w:t>
      </w:r>
      <w:r>
        <w:rPr>
          <w:rFonts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eastAsia="zh-CN"/>
        </w:rPr>
        <w:t>标段名称</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1"/>
          <w:sz w:val="24"/>
          <w:szCs w:val="24"/>
          <w:highlight w:val="none"/>
        </w:rPr>
        <w:t>的招标采购工作，有效遏制不公</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平竞争和违法违纪问题的发生，确保招标工作的公平、公正、公开</w:t>
      </w:r>
      <w:r>
        <w:rPr>
          <w:rFonts w:ascii="仿宋" w:hAnsi="仿宋" w:eastAsia="仿宋" w:cs="仿宋"/>
          <w:color w:val="auto"/>
          <w:spacing w:val="-4"/>
          <w:sz w:val="24"/>
          <w:szCs w:val="24"/>
          <w:highlight w:val="none"/>
        </w:rPr>
        <w:t>，我方保证认</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真贯彻《中华人民共和国政府采购法》、《政府采购货物和服务招</w:t>
      </w:r>
      <w:r>
        <w:rPr>
          <w:rFonts w:ascii="仿宋" w:hAnsi="仿宋" w:eastAsia="仿宋" w:cs="仿宋"/>
          <w:color w:val="auto"/>
          <w:spacing w:val="-4"/>
          <w:sz w:val="24"/>
          <w:szCs w:val="24"/>
          <w:highlight w:val="none"/>
        </w:rPr>
        <w:t>标投标管理办</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法》和《关于进一步规范政府采购活动的若干意见》等法律法规相</w:t>
      </w:r>
      <w:r>
        <w:rPr>
          <w:rFonts w:ascii="仿宋" w:hAnsi="仿宋" w:eastAsia="仿宋" w:cs="仿宋"/>
          <w:color w:val="auto"/>
          <w:spacing w:val="-4"/>
          <w:sz w:val="24"/>
          <w:szCs w:val="24"/>
          <w:highlight w:val="none"/>
        </w:rPr>
        <w:t>关规定以及有</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关要求，特承诺如下事项：</w:t>
      </w:r>
    </w:p>
    <w:p w14:paraId="15AF8794">
      <w:pPr>
        <w:spacing w:before="37" w:line="222" w:lineRule="auto"/>
        <w:ind w:left="3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一、遵循公开、公平、公正和诚实信用的原则参加本项目投标；</w:t>
      </w:r>
    </w:p>
    <w:p w14:paraId="6C1670A0">
      <w:pPr>
        <w:spacing w:before="213" w:line="220" w:lineRule="auto"/>
        <w:ind w:left="37"/>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二、所提供的一切材料都是真实、有效、合</w:t>
      </w:r>
      <w:r>
        <w:rPr>
          <w:rFonts w:ascii="仿宋" w:hAnsi="仿宋" w:eastAsia="仿宋" w:cs="仿宋"/>
          <w:color w:val="auto"/>
          <w:spacing w:val="-2"/>
          <w:sz w:val="24"/>
          <w:szCs w:val="24"/>
          <w:highlight w:val="none"/>
        </w:rPr>
        <w:t>法的；</w:t>
      </w:r>
    </w:p>
    <w:p w14:paraId="29C66A9E">
      <w:pPr>
        <w:spacing w:before="212" w:line="303" w:lineRule="auto"/>
        <w:ind w:left="517" w:right="13" w:hanging="48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三、不与其他投标人相互串通投标报价；不使用不</w:t>
      </w:r>
      <w:r>
        <w:rPr>
          <w:rFonts w:ascii="仿宋" w:hAnsi="仿宋" w:eastAsia="仿宋" w:cs="仿宋"/>
          <w:color w:val="auto"/>
          <w:spacing w:val="-4"/>
          <w:sz w:val="24"/>
          <w:szCs w:val="24"/>
          <w:highlight w:val="none"/>
        </w:rPr>
        <w:t>正当手段妨碍、排挤其它供应</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商的公平竞争，损害采购人、采购代理机构或其他投标人的合法权益；</w:t>
      </w:r>
    </w:p>
    <w:p w14:paraId="429D504E">
      <w:pPr>
        <w:spacing w:before="214" w:line="303" w:lineRule="auto"/>
        <w:ind w:left="513" w:right="13" w:hanging="45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四、不与采购人或采购代理机构串通投标，损害国家利益、社会公共利益或者他</w:t>
      </w:r>
      <w:r>
        <w:rPr>
          <w:rFonts w:ascii="仿宋" w:hAnsi="仿宋" w:eastAsia="仿宋" w:cs="仿宋"/>
          <w:color w:val="auto"/>
          <w:spacing w:val="1"/>
          <w:sz w:val="24"/>
          <w:szCs w:val="24"/>
          <w:highlight w:val="none"/>
        </w:rPr>
        <w:t xml:space="preserve"> </w:t>
      </w:r>
      <w:r>
        <w:rPr>
          <w:rFonts w:ascii="仿宋" w:hAnsi="仿宋" w:eastAsia="仿宋" w:cs="仿宋"/>
          <w:color w:val="auto"/>
          <w:spacing w:val="-3"/>
          <w:sz w:val="24"/>
          <w:szCs w:val="24"/>
          <w:highlight w:val="none"/>
        </w:rPr>
        <w:t>人的合法权益；</w:t>
      </w:r>
    </w:p>
    <w:p w14:paraId="4B2DBEEE">
      <w:pPr>
        <w:spacing w:before="210" w:line="221" w:lineRule="auto"/>
        <w:ind w:left="3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五、不向采购人、评标委员会成员或其他有关人员行贿以牟取中标；</w:t>
      </w:r>
    </w:p>
    <w:p w14:paraId="720B9F71">
      <w:pPr>
        <w:spacing w:before="215" w:line="220" w:lineRule="auto"/>
        <w:ind w:left="3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六、不以他人名义投标或者以其他方式弄虚作假，骗取中标；</w:t>
      </w:r>
    </w:p>
    <w:p w14:paraId="741D0A06">
      <w:pPr>
        <w:spacing w:before="212" w:line="222" w:lineRule="auto"/>
        <w:ind w:left="3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七、不出卖、出借资质，让他人挂靠投标；</w:t>
      </w:r>
    </w:p>
    <w:p w14:paraId="4075BFAD">
      <w:pPr>
        <w:spacing w:before="212" w:line="222" w:lineRule="auto"/>
        <w:ind w:left="2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八、不恶意压低或抬高投标报价；</w:t>
      </w:r>
    </w:p>
    <w:p w14:paraId="1E643676">
      <w:pPr>
        <w:spacing w:before="212" w:line="221" w:lineRule="auto"/>
        <w:ind w:left="38"/>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九、不向任何单位和个人分包此次项目；</w:t>
      </w:r>
    </w:p>
    <w:p w14:paraId="0202DA86">
      <w:pPr>
        <w:spacing w:before="213" w:line="219" w:lineRule="auto"/>
        <w:ind w:left="36"/>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十、不在开标后进行虚假恶意投诉；</w:t>
      </w:r>
    </w:p>
    <w:p w14:paraId="18AE8FEA">
      <w:pPr>
        <w:spacing w:before="214" w:line="304" w:lineRule="auto"/>
        <w:ind w:left="30" w:right="13" w:firstLine="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十一、开标后配合采购人对人员、车辆、经营场所</w:t>
      </w:r>
      <w:r>
        <w:rPr>
          <w:rFonts w:ascii="仿宋" w:hAnsi="仿宋" w:eastAsia="仿宋" w:cs="仿宋"/>
          <w:color w:val="auto"/>
          <w:spacing w:val="-4"/>
          <w:sz w:val="24"/>
          <w:szCs w:val="24"/>
          <w:highlight w:val="none"/>
        </w:rPr>
        <w:t>及实体配送中心等内容进行现</w:t>
      </w:r>
      <w:r>
        <w:rPr>
          <w:rFonts w:ascii="仿宋" w:hAnsi="仿宋" w:eastAsia="仿宋" w:cs="仿宋"/>
          <w:color w:val="auto"/>
          <w:sz w:val="24"/>
          <w:szCs w:val="24"/>
          <w:highlight w:val="none"/>
        </w:rPr>
        <w:t xml:space="preserve"> </w:t>
      </w:r>
      <w:r>
        <w:rPr>
          <w:rFonts w:ascii="仿宋" w:hAnsi="仿宋" w:eastAsia="仿宋" w:cs="仿宋"/>
          <w:color w:val="auto"/>
          <w:spacing w:val="-5"/>
          <w:sz w:val="24"/>
          <w:szCs w:val="24"/>
          <w:highlight w:val="none"/>
        </w:rPr>
        <w:t>场核实；</w:t>
      </w:r>
    </w:p>
    <w:p w14:paraId="3BACCC93">
      <w:pPr>
        <w:spacing w:before="211" w:line="368" w:lineRule="auto"/>
        <w:ind w:left="53" w:right="13" w:firstLine="457"/>
        <w:rPr>
          <w:color w:val="auto"/>
          <w:highlight w:val="none"/>
        </w:rPr>
      </w:pPr>
      <w:r>
        <w:rPr>
          <w:rFonts w:ascii="仿宋" w:hAnsi="仿宋" w:eastAsia="仿宋" w:cs="仿宋"/>
          <w:color w:val="auto"/>
          <w:spacing w:val="-3"/>
          <w:sz w:val="24"/>
          <w:szCs w:val="24"/>
          <w:highlight w:val="none"/>
        </w:rPr>
        <w:t>本公司若有违反本承诺书内容的行为，自愿取</w:t>
      </w:r>
      <w:r>
        <w:rPr>
          <w:rFonts w:ascii="仿宋" w:hAnsi="仿宋" w:eastAsia="仿宋" w:cs="仿宋"/>
          <w:color w:val="auto"/>
          <w:spacing w:val="-4"/>
          <w:sz w:val="24"/>
          <w:szCs w:val="24"/>
          <w:highlight w:val="none"/>
        </w:rPr>
        <w:t>消中标资格，接受行政主管部</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门作出的任何处罚，并愿意承担法律责任！</w:t>
      </w:r>
    </w:p>
    <w:p w14:paraId="23003A6C">
      <w:pPr>
        <w:spacing w:before="78" w:line="323" w:lineRule="auto"/>
        <w:ind w:left="3303" w:right="34" w:hanging="6"/>
        <w:rPr>
          <w:rFonts w:ascii="仿宋" w:hAnsi="仿宋" w:eastAsia="仿宋" w:cs="仿宋"/>
          <w:color w:val="auto"/>
          <w:sz w:val="24"/>
          <w:szCs w:val="24"/>
          <w:highlight w:val="none"/>
        </w:rPr>
      </w:pPr>
    </w:p>
    <w:p w14:paraId="37635185">
      <w:pPr>
        <w:spacing w:before="78" w:line="323" w:lineRule="auto"/>
        <w:ind w:left="3303" w:right="34" w:hanging="6"/>
        <w:rPr>
          <w:rFonts w:ascii="仿宋" w:hAnsi="仿宋" w:eastAsia="仿宋" w:cs="仿宋"/>
          <w:color w:val="auto"/>
          <w:spacing w:val="1"/>
          <w:sz w:val="24"/>
          <w:szCs w:val="24"/>
          <w:highlight w:val="none"/>
        </w:rPr>
      </w:pPr>
      <w:r>
        <w:rPr>
          <w:rFonts w:ascii="仿宋" w:hAnsi="仿宋" w:eastAsia="仿宋" w:cs="仿宋"/>
          <w:color w:val="auto"/>
          <w:sz w:val="24"/>
          <w:szCs w:val="24"/>
          <w:highlight w:val="none"/>
        </w:rPr>
        <w:t>供  应</w:t>
      </w:r>
      <w:r>
        <w:rPr>
          <w:rFonts w:ascii="仿宋" w:hAnsi="仿宋" w:eastAsia="仿宋" w:cs="仿宋"/>
          <w:color w:val="auto"/>
          <w:spacing w:val="12"/>
          <w:sz w:val="24"/>
          <w:szCs w:val="24"/>
          <w:highlight w:val="none"/>
        </w:rPr>
        <w:t xml:space="preserve">  </w:t>
      </w:r>
      <w:r>
        <w:rPr>
          <w:rFonts w:ascii="仿宋" w:hAnsi="仿宋" w:eastAsia="仿宋" w:cs="仿宋"/>
          <w:color w:val="auto"/>
          <w:sz w:val="24"/>
          <w:szCs w:val="24"/>
          <w:highlight w:val="none"/>
        </w:rPr>
        <w:t>商</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rPr>
        <w:t>盖单位公章）</w:t>
      </w:r>
      <w:r>
        <w:rPr>
          <w:rFonts w:ascii="仿宋" w:hAnsi="仿宋" w:eastAsia="仿宋" w:cs="仿宋"/>
          <w:color w:val="auto"/>
          <w:spacing w:val="1"/>
          <w:sz w:val="24"/>
          <w:szCs w:val="24"/>
          <w:highlight w:val="none"/>
        </w:rPr>
        <w:t xml:space="preserve"> </w:t>
      </w:r>
    </w:p>
    <w:p w14:paraId="54BF6EAB">
      <w:pPr>
        <w:spacing w:before="78" w:line="323" w:lineRule="auto"/>
        <w:ind w:left="3303" w:right="34" w:hanging="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法定代表人</w:t>
      </w:r>
      <w:r>
        <w:rPr>
          <w:rFonts w:ascii="仿宋" w:hAnsi="仿宋" w:eastAsia="仿宋" w:cs="仿宋"/>
          <w:color w:val="auto"/>
          <w:spacing w:val="-1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8"/>
          <w:sz w:val="24"/>
          <w:szCs w:val="24"/>
          <w:highlight w:val="none"/>
        </w:rPr>
        <w:t>（</w:t>
      </w:r>
      <w:r>
        <w:rPr>
          <w:rFonts w:ascii="仿宋" w:hAnsi="仿宋" w:eastAsia="仿宋" w:cs="仿宋"/>
          <w:color w:val="auto"/>
          <w:spacing w:val="-1"/>
          <w:sz w:val="24"/>
          <w:szCs w:val="24"/>
          <w:highlight w:val="none"/>
        </w:rPr>
        <w:t>签字或盖章）</w:t>
      </w:r>
    </w:p>
    <w:p w14:paraId="29F0D28B">
      <w:pPr>
        <w:pStyle w:val="33"/>
        <w:ind w:firstLine="0" w:firstLineChars="0"/>
        <w:jc w:val="center"/>
        <w:rPr>
          <w:color w:val="auto"/>
          <w:highlight w:val="none"/>
        </w:rPr>
      </w:pPr>
      <w:bookmarkStart w:id="60" w:name="bookmark96"/>
      <w:bookmarkEnd w:id="60"/>
      <w:r>
        <w:rPr>
          <w:rFonts w:ascii="仿宋" w:hAnsi="仿宋" w:eastAsia="仿宋" w:cs="仿宋"/>
          <w:color w:val="auto"/>
          <w:spacing w:val="-22"/>
          <w:sz w:val="24"/>
          <w:szCs w:val="24"/>
          <w:highlight w:val="none"/>
        </w:rPr>
        <w:t>日       期：</w:t>
      </w:r>
      <w:r>
        <w:rPr>
          <w:rFonts w:ascii="仿宋" w:hAnsi="仿宋" w:eastAsia="仿宋" w:cs="仿宋"/>
          <w:color w:val="auto"/>
          <w:spacing w:val="-22"/>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22"/>
          <w:sz w:val="24"/>
          <w:szCs w:val="24"/>
          <w:highlight w:val="none"/>
        </w:rPr>
        <w:t>年</w:t>
      </w:r>
      <w:r>
        <w:rPr>
          <w:rFonts w:ascii="仿宋" w:hAnsi="仿宋" w:eastAsia="仿宋" w:cs="仿宋"/>
          <w:color w:val="auto"/>
          <w:spacing w:val="60"/>
          <w:sz w:val="24"/>
          <w:szCs w:val="24"/>
          <w:highlight w:val="none"/>
          <w:u w:val="single" w:color="auto"/>
        </w:rPr>
        <w:t xml:space="preserve">  </w:t>
      </w:r>
      <w:r>
        <w:rPr>
          <w:rFonts w:ascii="仿宋" w:hAnsi="仿宋" w:eastAsia="仿宋" w:cs="仿宋"/>
          <w:color w:val="auto"/>
          <w:spacing w:val="-92"/>
          <w:sz w:val="24"/>
          <w:szCs w:val="24"/>
          <w:highlight w:val="none"/>
        </w:rPr>
        <w:t xml:space="preserve"> </w:t>
      </w:r>
      <w:r>
        <w:rPr>
          <w:rFonts w:ascii="仿宋" w:hAnsi="仿宋" w:eastAsia="仿宋" w:cs="仿宋"/>
          <w:color w:val="auto"/>
          <w:spacing w:val="-22"/>
          <w:sz w:val="24"/>
          <w:szCs w:val="24"/>
          <w:highlight w:val="none"/>
        </w:rPr>
        <w:t>月</w:t>
      </w:r>
      <w:r>
        <w:rPr>
          <w:rFonts w:ascii="仿宋" w:hAnsi="仿宋" w:eastAsia="仿宋" w:cs="仿宋"/>
          <w:color w:val="auto"/>
          <w:spacing w:val="59"/>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22"/>
          <w:sz w:val="24"/>
          <w:szCs w:val="24"/>
          <w:highlight w:val="none"/>
        </w:rPr>
        <w:t>日</w:t>
      </w:r>
      <w:bookmarkEnd w:id="57"/>
    </w:p>
    <w:sectPr>
      <w:footerReference r:id="rId10"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F51A3F-6CA8-4A21-A139-A28907FAAE9C}"/>
  </w:font>
  <w:font w:name="黑体">
    <w:panose1 w:val="02010609060101010101"/>
    <w:charset w:val="86"/>
    <w:family w:val="auto"/>
    <w:pitch w:val="default"/>
    <w:sig w:usb0="800002BF" w:usb1="38CF7CFA" w:usb2="00000016" w:usb3="00000000" w:csb0="00040001" w:csb1="00000000"/>
    <w:embedRegular r:id="rId2" w:fontKey="{14114590-53FB-4C36-8AA4-F89B05BA2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FBDCD41-1275-4172-8ED8-239574020BB2}"/>
  </w:font>
  <w:font w:name="仿宋_GB2312">
    <w:panose1 w:val="02010609030101010101"/>
    <w:charset w:val="86"/>
    <w:family w:val="auto"/>
    <w:pitch w:val="default"/>
    <w:sig w:usb0="00000001" w:usb1="080E0000" w:usb2="00000000" w:usb3="00000000" w:csb0="00040000" w:csb1="00000000"/>
    <w:embedRegular r:id="rId4" w:fontKey="{0C0D1352-9FAC-4A5D-B3CD-AFFF723F5358}"/>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E93E035E-9C5B-4215-B48B-B22EBBF0E419}"/>
  </w:font>
  <w:font w:name="方正小标宋简体">
    <w:panose1 w:val="00000600000000000000"/>
    <w:charset w:val="86"/>
    <w:family w:val="auto"/>
    <w:pitch w:val="default"/>
    <w:sig w:usb0="800002BF" w:usb1="184F6CF8" w:usb2="00000012" w:usb3="00000000" w:csb0="00160001" w:csb1="12030000"/>
    <w:embedRegular r:id="rId6" w:fontKey="{B0600D1B-30C3-48D1-9730-224C911065E7}"/>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embedRegular r:id="rId7" w:fontKey="{A1FFF491-0114-4612-A286-C30ABE413C94}"/>
  </w:font>
  <w:font w:name="WPSEMBED1">
    <w:panose1 w:val="02010609030101010101"/>
    <w:charset w:val="86"/>
    <w:family w:val="auto"/>
    <w:pitch w:val="default"/>
    <w:sig w:usb0="00000001" w:usb1="080E0000" w:usb2="00000000" w:usb3="00000000" w:csb0="00040000" w:csb1="00000000"/>
  </w:font>
  <w:font w:name="WPSEMBED2">
    <w:panose1 w:val="00000600000000000000"/>
    <w:charset w:val="86"/>
    <w:family w:val="auto"/>
    <w:pitch w:val="default"/>
    <w:sig w:usb0="800002BF" w:usb1="184F6CF8" w:usb2="00000012" w:usb3="00000000" w:csb0="00160001" w:csb1="1203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DD5E">
    <w:pPr>
      <w:tabs>
        <w:tab w:val="left" w:pos="4625"/>
      </w:tabs>
      <w:spacing w:line="196" w:lineRule="auto"/>
      <w:ind w:left="4826"/>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246A9">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082246A9">
                    <w:pPr>
                      <w:pStyle w:val="2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9432">
    <w:pPr>
      <w:pStyle w:val="2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C7830E">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o0XbDGAQAAjw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f2&#10;NtvTRSzp1GN8gClDCrPWvgGXv6SC9YOl56uluk9M0eZyvVqvC3JbUW1OCEc8XY+A6U4Hx3JQcaA3&#10;G6yUpw+YxqPzkdzN+rz6cGusHat5R2SaI7EcpX7fT2z3oT6TRJp4Am8DfOWso/euuKfx5szee7Iz&#10;j8YcwBzs50B6RRcrPvLC+P6YqP3ALTcbO0wc6J0GddNM5UH4Ox9OPf1H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ejRdsMYBAACPAwAADgAAAAAAAAABACAAAAAfAQAAZHJzL2Uyb0RvYy54&#10;bWxQSwUGAAAAAAYABgBZAQAAVwUAAAAA&#10;">
              <v:fill on="f" focussize="0,0"/>
              <v:stroke on="f"/>
              <v:imagedata o:title=""/>
              <o:lock v:ext="edit" aspectratio="f"/>
              <v:textbox inset="0mm,0mm,0mm,0mm" style="mso-fit-shape-to-text:t;">
                <w:txbxContent>
                  <w:p w14:paraId="10C7830E">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8F2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952AF">
                          <w:pPr>
                            <w:pStyle w:val="2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6952AF">
                    <w:pPr>
                      <w:pStyle w:val="2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0C17">
    <w:pPr>
      <w:spacing w:line="176"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6C0B9">
                          <w:pPr>
                            <w:pStyle w:val="2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56C0B9">
                    <w:pPr>
                      <w:pStyle w:val="2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0680">
    <w:pPr>
      <w:pStyle w:val="2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08AE72">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14:paraId="1408AE72">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E6CA">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CEA83">
                          <w:pPr>
                            <w:pStyle w:val="2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6CEA83">
                    <w:pPr>
                      <w:pStyle w:val="24"/>
                    </w:pPr>
                    <w:r>
                      <w:fldChar w:fldCharType="begin"/>
                    </w:r>
                    <w:r>
                      <w:instrText xml:space="preserve"> PAGE  \* MERGEFORMAT </w:instrText>
                    </w:r>
                    <w:r>
                      <w:fldChar w:fldCharType="separate"/>
                    </w:r>
                    <w:r>
                      <w:t>49</w:t>
                    </w:r>
                    <w:r>
                      <w:fldChar w:fldCharType="end"/>
                    </w:r>
                  </w:p>
                </w:txbxContent>
              </v:textbox>
            </v:shape>
          </w:pict>
        </mc:Fallback>
      </mc:AlternateContent>
    </w:r>
    <w:r>
      <w:rPr>
        <w:rFonts w:ascii="Times New Roman" w:hAnsi="Times New Roman" w:eastAsia="Times New Roman" w:cs="Times New Roman"/>
        <w:spacing w:val="-3"/>
        <w:sz w:val="18"/>
        <w:szCs w:val="18"/>
      </w:rPr>
      <w:t>78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17D35">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09947">
                          <w:pPr>
                            <w:pStyle w:val="2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209947">
                    <w:pPr>
                      <w:pStyle w:val="24"/>
                    </w:pPr>
                    <w:r>
                      <w:fldChar w:fldCharType="begin"/>
                    </w:r>
                    <w:r>
                      <w:instrText xml:space="preserve"> PAGE  \* MERGEFORMAT </w:instrText>
                    </w:r>
                    <w:r>
                      <w:fldChar w:fldCharType="separate"/>
                    </w:r>
                    <w:r>
                      <w:t>58</w:t>
                    </w:r>
                    <w:r>
                      <w:fldChar w:fldCharType="end"/>
                    </w:r>
                  </w:p>
                </w:txbxContent>
              </v:textbox>
            </v:shape>
          </w:pict>
        </mc:Fallback>
      </mc:AlternateContent>
    </w:r>
    <w:r>
      <w:rPr>
        <w:rFonts w:ascii="Times New Roman" w:hAnsi="Times New Roman" w:eastAsia="Times New Roman" w:cs="Times New Roman"/>
        <w:spacing w:val="-3"/>
        <w:sz w:val="18"/>
        <w:szCs w:val="18"/>
      </w:rPr>
      <w:t>79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724F">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179B4"/>
    <w:multiLevelType w:val="singleLevel"/>
    <w:tmpl w:val="81F179B4"/>
    <w:lvl w:ilvl="0" w:tentative="0">
      <w:start w:val="3"/>
      <w:numFmt w:val="chineseCounting"/>
      <w:suff w:val="space"/>
      <w:lvlText w:val="第%1章"/>
      <w:lvlJc w:val="left"/>
      <w:rPr>
        <w:rFonts w:hint="eastAsia"/>
      </w:rPr>
    </w:lvl>
  </w:abstractNum>
  <w:abstractNum w:abstractNumId="1">
    <w:nsid w:val="9777ED0A"/>
    <w:multiLevelType w:val="singleLevel"/>
    <w:tmpl w:val="9777ED0A"/>
    <w:lvl w:ilvl="0" w:tentative="0">
      <w:start w:val="11"/>
      <w:numFmt w:val="decimal"/>
      <w:lvlText w:val="%1."/>
      <w:lvlJc w:val="left"/>
      <w:pPr>
        <w:tabs>
          <w:tab w:val="left" w:pos="312"/>
        </w:tabs>
      </w:pPr>
    </w:lvl>
  </w:abstractNum>
  <w:abstractNum w:abstractNumId="2">
    <w:nsid w:val="D1390E6E"/>
    <w:multiLevelType w:val="singleLevel"/>
    <w:tmpl w:val="D1390E6E"/>
    <w:lvl w:ilvl="0" w:tentative="0">
      <w:start w:val="7"/>
      <w:numFmt w:val="decimal"/>
      <w:suff w:val="nothing"/>
      <w:lvlText w:val="（%1）"/>
      <w:lvlJc w:val="left"/>
    </w:lvl>
  </w:abstractNum>
  <w:abstractNum w:abstractNumId="3">
    <w:nsid w:val="FA323AA1"/>
    <w:multiLevelType w:val="singleLevel"/>
    <w:tmpl w:val="FA323AA1"/>
    <w:lvl w:ilvl="0" w:tentative="0">
      <w:start w:val="1"/>
      <w:numFmt w:val="decimal"/>
      <w:suff w:val="nothing"/>
      <w:lvlText w:val="（%1）"/>
      <w:lvlJc w:val="left"/>
    </w:lvl>
  </w:abstractNum>
  <w:abstractNum w:abstractNumId="4">
    <w:nsid w:val="22F67A71"/>
    <w:multiLevelType w:val="singleLevel"/>
    <w:tmpl w:val="22F67A71"/>
    <w:lvl w:ilvl="0" w:tentative="0">
      <w:start w:val="4"/>
      <w:numFmt w:val="decimal"/>
      <w:lvlText w:val="%1."/>
      <w:lvlJc w:val="left"/>
      <w:pPr>
        <w:tabs>
          <w:tab w:val="left" w:pos="312"/>
        </w:tabs>
      </w:pPr>
    </w:lvl>
  </w:abstractNum>
  <w:abstractNum w:abstractNumId="5">
    <w:nsid w:val="24E409BB"/>
    <w:multiLevelType w:val="multilevel"/>
    <w:tmpl w:val="24E409BB"/>
    <w:lvl w:ilvl="0" w:tentative="0">
      <w:start w:val="1"/>
      <w:numFmt w:val="decimal"/>
      <w:pStyle w:val="5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33EF918"/>
    <w:multiLevelType w:val="singleLevel"/>
    <w:tmpl w:val="533EF918"/>
    <w:lvl w:ilvl="0" w:tentative="0">
      <w:start w:val="1"/>
      <w:numFmt w:val="decimal"/>
      <w:lvlText w:val="%1."/>
      <w:lvlJc w:val="left"/>
      <w:pPr>
        <w:tabs>
          <w:tab w:val="left" w:pos="312"/>
        </w:tabs>
      </w:pPr>
    </w:lvl>
  </w:abstractNum>
  <w:abstractNum w:abstractNumId="7">
    <w:nsid w:val="7DAF65BF"/>
    <w:multiLevelType w:val="singleLevel"/>
    <w:tmpl w:val="7DAF65BF"/>
    <w:lvl w:ilvl="0" w:tentative="0">
      <w:start w:val="1"/>
      <w:numFmt w:val="chineseCounting"/>
      <w:suff w:val="space"/>
      <w:lvlText w:val="第%1章"/>
      <w:lvlJc w:val="left"/>
      <w:rPr>
        <w:rFonts w:hint="eastAsia"/>
      </w:rPr>
    </w:lvl>
  </w:abstractNum>
  <w:num w:numId="1">
    <w:abstractNumId w:val="5"/>
  </w:num>
  <w:num w:numId="2">
    <w:abstractNumId w:val="7"/>
  </w:num>
  <w:num w:numId="3">
    <w:abstractNumId w:val="6"/>
  </w:num>
  <w:num w:numId="4">
    <w:abstractNumId w:val="3"/>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MTZmNDZmNmI5YmYyM2I4NTg2N2E4MGI4MzI4MjEifQ=="/>
    <w:docVar w:name="KSO_WPS_MARK_KEY" w:val="706f236f-c9e0-42c9-864f-6fe414240368"/>
  </w:docVars>
  <w:rsids>
    <w:rsidRoot w:val="00004EAB"/>
    <w:rsid w:val="00004EAB"/>
    <w:rsid w:val="000C63CC"/>
    <w:rsid w:val="000D3615"/>
    <w:rsid w:val="00193979"/>
    <w:rsid w:val="002255D6"/>
    <w:rsid w:val="00266424"/>
    <w:rsid w:val="002930B9"/>
    <w:rsid w:val="00404991"/>
    <w:rsid w:val="004659AD"/>
    <w:rsid w:val="007756C4"/>
    <w:rsid w:val="00AE133E"/>
    <w:rsid w:val="00AF578A"/>
    <w:rsid w:val="00B2312A"/>
    <w:rsid w:val="00EB7958"/>
    <w:rsid w:val="00EC2636"/>
    <w:rsid w:val="00FA47DB"/>
    <w:rsid w:val="00FD3A1C"/>
    <w:rsid w:val="01587174"/>
    <w:rsid w:val="01D62811"/>
    <w:rsid w:val="01E4322D"/>
    <w:rsid w:val="02617EA9"/>
    <w:rsid w:val="02685C0C"/>
    <w:rsid w:val="02724F7F"/>
    <w:rsid w:val="02BF15A4"/>
    <w:rsid w:val="02CD6988"/>
    <w:rsid w:val="02EE6B93"/>
    <w:rsid w:val="03410DA9"/>
    <w:rsid w:val="038F4AD6"/>
    <w:rsid w:val="03912F41"/>
    <w:rsid w:val="03A74A9F"/>
    <w:rsid w:val="03BA365B"/>
    <w:rsid w:val="03BB7FBE"/>
    <w:rsid w:val="03BD4849"/>
    <w:rsid w:val="04223F6A"/>
    <w:rsid w:val="044839E1"/>
    <w:rsid w:val="045855D2"/>
    <w:rsid w:val="04B66D27"/>
    <w:rsid w:val="05034A33"/>
    <w:rsid w:val="050F05C1"/>
    <w:rsid w:val="057F56BE"/>
    <w:rsid w:val="05C570CE"/>
    <w:rsid w:val="06303851"/>
    <w:rsid w:val="06C4362D"/>
    <w:rsid w:val="076B2666"/>
    <w:rsid w:val="07C94C43"/>
    <w:rsid w:val="07F10C98"/>
    <w:rsid w:val="080F2686"/>
    <w:rsid w:val="08325983"/>
    <w:rsid w:val="0898190D"/>
    <w:rsid w:val="09090E6A"/>
    <w:rsid w:val="091D7025"/>
    <w:rsid w:val="093225B6"/>
    <w:rsid w:val="09A9323A"/>
    <w:rsid w:val="0A536229"/>
    <w:rsid w:val="0B3A2110"/>
    <w:rsid w:val="0B8C1BAE"/>
    <w:rsid w:val="0BBE2158"/>
    <w:rsid w:val="0BDD69FB"/>
    <w:rsid w:val="0C696B13"/>
    <w:rsid w:val="0C6E02C3"/>
    <w:rsid w:val="0C9A3726"/>
    <w:rsid w:val="0CAF268A"/>
    <w:rsid w:val="0D3A7CD7"/>
    <w:rsid w:val="0D3E3AC5"/>
    <w:rsid w:val="0D4E1EA3"/>
    <w:rsid w:val="0D5D6764"/>
    <w:rsid w:val="0DCD6663"/>
    <w:rsid w:val="0DD26630"/>
    <w:rsid w:val="0DF11DD7"/>
    <w:rsid w:val="0E8E5BB1"/>
    <w:rsid w:val="0EC62537"/>
    <w:rsid w:val="0EFD22FA"/>
    <w:rsid w:val="0FDF59F2"/>
    <w:rsid w:val="102D2243"/>
    <w:rsid w:val="1032785A"/>
    <w:rsid w:val="10543DD6"/>
    <w:rsid w:val="108D558D"/>
    <w:rsid w:val="10B72860"/>
    <w:rsid w:val="10D91F72"/>
    <w:rsid w:val="11C664AC"/>
    <w:rsid w:val="12C34799"/>
    <w:rsid w:val="138C5147"/>
    <w:rsid w:val="13936861"/>
    <w:rsid w:val="13A7230D"/>
    <w:rsid w:val="147379ED"/>
    <w:rsid w:val="14F50AF9"/>
    <w:rsid w:val="15155054"/>
    <w:rsid w:val="15676732"/>
    <w:rsid w:val="15F335E7"/>
    <w:rsid w:val="16D03928"/>
    <w:rsid w:val="17524246"/>
    <w:rsid w:val="18F03E0E"/>
    <w:rsid w:val="19550115"/>
    <w:rsid w:val="196A5249"/>
    <w:rsid w:val="19750E8E"/>
    <w:rsid w:val="198C7FDB"/>
    <w:rsid w:val="19D90D46"/>
    <w:rsid w:val="1A354C47"/>
    <w:rsid w:val="1A4B3B76"/>
    <w:rsid w:val="1A4C1F58"/>
    <w:rsid w:val="1AD4797A"/>
    <w:rsid w:val="1B217F1A"/>
    <w:rsid w:val="1BF9647B"/>
    <w:rsid w:val="1C051EDF"/>
    <w:rsid w:val="1C4112FA"/>
    <w:rsid w:val="1C5D4F5E"/>
    <w:rsid w:val="1C8431EB"/>
    <w:rsid w:val="1CBD494F"/>
    <w:rsid w:val="1CF30E08"/>
    <w:rsid w:val="1DE05EBF"/>
    <w:rsid w:val="1E765883"/>
    <w:rsid w:val="1E933BB9"/>
    <w:rsid w:val="1EDE4201"/>
    <w:rsid w:val="1F0440A7"/>
    <w:rsid w:val="1F122C07"/>
    <w:rsid w:val="1F3A5DE3"/>
    <w:rsid w:val="1F6A2B6C"/>
    <w:rsid w:val="1F9F6A20"/>
    <w:rsid w:val="201B048A"/>
    <w:rsid w:val="20366EB2"/>
    <w:rsid w:val="205C6A13"/>
    <w:rsid w:val="20AC0F62"/>
    <w:rsid w:val="210965B3"/>
    <w:rsid w:val="217A4BBD"/>
    <w:rsid w:val="217C0935"/>
    <w:rsid w:val="21C430D5"/>
    <w:rsid w:val="21FE1237"/>
    <w:rsid w:val="225449D0"/>
    <w:rsid w:val="22B26BDA"/>
    <w:rsid w:val="22CA56D0"/>
    <w:rsid w:val="22E6236B"/>
    <w:rsid w:val="24170DE9"/>
    <w:rsid w:val="248C4A68"/>
    <w:rsid w:val="24CC5886"/>
    <w:rsid w:val="25127D5A"/>
    <w:rsid w:val="25B742F8"/>
    <w:rsid w:val="261A4A43"/>
    <w:rsid w:val="26451C3D"/>
    <w:rsid w:val="26F45411"/>
    <w:rsid w:val="2786250D"/>
    <w:rsid w:val="2792735A"/>
    <w:rsid w:val="27BD6A49"/>
    <w:rsid w:val="28051AA5"/>
    <w:rsid w:val="2831659E"/>
    <w:rsid w:val="28436C23"/>
    <w:rsid w:val="28775DB0"/>
    <w:rsid w:val="28A42673"/>
    <w:rsid w:val="2A8061C1"/>
    <w:rsid w:val="2ACC504D"/>
    <w:rsid w:val="2B0E4FF8"/>
    <w:rsid w:val="2B21410A"/>
    <w:rsid w:val="2C3C2C1E"/>
    <w:rsid w:val="2C6C1F2F"/>
    <w:rsid w:val="2CC16F42"/>
    <w:rsid w:val="2D4A7B39"/>
    <w:rsid w:val="2DC63745"/>
    <w:rsid w:val="2DDD275B"/>
    <w:rsid w:val="2DDD41B4"/>
    <w:rsid w:val="2DDF3EBF"/>
    <w:rsid w:val="2E0A551A"/>
    <w:rsid w:val="2E8A6777"/>
    <w:rsid w:val="2EF266DA"/>
    <w:rsid w:val="2F520F27"/>
    <w:rsid w:val="2F6732BB"/>
    <w:rsid w:val="2F7C41F6"/>
    <w:rsid w:val="2F7F4434"/>
    <w:rsid w:val="2F8F3F29"/>
    <w:rsid w:val="2F927C10"/>
    <w:rsid w:val="2FA71273"/>
    <w:rsid w:val="30000983"/>
    <w:rsid w:val="30095E50"/>
    <w:rsid w:val="301C25D9"/>
    <w:rsid w:val="30943905"/>
    <w:rsid w:val="310F254C"/>
    <w:rsid w:val="312F168D"/>
    <w:rsid w:val="31913CD4"/>
    <w:rsid w:val="31A42DEB"/>
    <w:rsid w:val="31AA329C"/>
    <w:rsid w:val="31B1007E"/>
    <w:rsid w:val="31D644DB"/>
    <w:rsid w:val="31E415BC"/>
    <w:rsid w:val="321476AC"/>
    <w:rsid w:val="322F7D86"/>
    <w:rsid w:val="32664652"/>
    <w:rsid w:val="327B69E7"/>
    <w:rsid w:val="329A50BF"/>
    <w:rsid w:val="32FA5B5D"/>
    <w:rsid w:val="339D19AC"/>
    <w:rsid w:val="33D30288"/>
    <w:rsid w:val="34192013"/>
    <w:rsid w:val="34676FAD"/>
    <w:rsid w:val="34985971"/>
    <w:rsid w:val="34F82570"/>
    <w:rsid w:val="351E1D9C"/>
    <w:rsid w:val="358362DE"/>
    <w:rsid w:val="35F068E8"/>
    <w:rsid w:val="36633A19"/>
    <w:rsid w:val="36A52284"/>
    <w:rsid w:val="36E21696"/>
    <w:rsid w:val="36F40B16"/>
    <w:rsid w:val="376106A7"/>
    <w:rsid w:val="377B7D7B"/>
    <w:rsid w:val="3786114E"/>
    <w:rsid w:val="37DC1DA9"/>
    <w:rsid w:val="37F25055"/>
    <w:rsid w:val="385C4BC4"/>
    <w:rsid w:val="38992FE6"/>
    <w:rsid w:val="38C707BF"/>
    <w:rsid w:val="39356F98"/>
    <w:rsid w:val="397E474A"/>
    <w:rsid w:val="39B1553A"/>
    <w:rsid w:val="3A410516"/>
    <w:rsid w:val="3A563FC1"/>
    <w:rsid w:val="3A6330E9"/>
    <w:rsid w:val="3B761AB4"/>
    <w:rsid w:val="3B9B49A1"/>
    <w:rsid w:val="3C005F25"/>
    <w:rsid w:val="3C0417FB"/>
    <w:rsid w:val="3C16773E"/>
    <w:rsid w:val="3C263387"/>
    <w:rsid w:val="3C4165AB"/>
    <w:rsid w:val="3CC3647B"/>
    <w:rsid w:val="3D8F7168"/>
    <w:rsid w:val="3DB42DAD"/>
    <w:rsid w:val="3DFE5442"/>
    <w:rsid w:val="3E9450B8"/>
    <w:rsid w:val="3EB219E2"/>
    <w:rsid w:val="3ECD07D9"/>
    <w:rsid w:val="3EF20F5A"/>
    <w:rsid w:val="3F424B14"/>
    <w:rsid w:val="3F763472"/>
    <w:rsid w:val="3FB34387"/>
    <w:rsid w:val="3FB705CA"/>
    <w:rsid w:val="3FFC1167"/>
    <w:rsid w:val="40076296"/>
    <w:rsid w:val="402D57FD"/>
    <w:rsid w:val="40420002"/>
    <w:rsid w:val="407E7DCE"/>
    <w:rsid w:val="40BF3F42"/>
    <w:rsid w:val="40D43E92"/>
    <w:rsid w:val="417608C7"/>
    <w:rsid w:val="419D0727"/>
    <w:rsid w:val="424D16AB"/>
    <w:rsid w:val="42A861D3"/>
    <w:rsid w:val="43007CDD"/>
    <w:rsid w:val="43753A90"/>
    <w:rsid w:val="439742C9"/>
    <w:rsid w:val="43BB5369"/>
    <w:rsid w:val="43CF26EE"/>
    <w:rsid w:val="43D506EA"/>
    <w:rsid w:val="43E77C29"/>
    <w:rsid w:val="4494497F"/>
    <w:rsid w:val="44BA095B"/>
    <w:rsid w:val="44BA1438"/>
    <w:rsid w:val="44E471AC"/>
    <w:rsid w:val="44F774B5"/>
    <w:rsid w:val="44FE25DE"/>
    <w:rsid w:val="451524FA"/>
    <w:rsid w:val="45232CF2"/>
    <w:rsid w:val="45A73923"/>
    <w:rsid w:val="45BF3219"/>
    <w:rsid w:val="467C4DAF"/>
    <w:rsid w:val="46920B22"/>
    <w:rsid w:val="46BF4C9C"/>
    <w:rsid w:val="47082D26"/>
    <w:rsid w:val="476870E2"/>
    <w:rsid w:val="47A30DF1"/>
    <w:rsid w:val="47BD70A1"/>
    <w:rsid w:val="47EE421B"/>
    <w:rsid w:val="47FF58FC"/>
    <w:rsid w:val="481334F1"/>
    <w:rsid w:val="482E2096"/>
    <w:rsid w:val="48416436"/>
    <w:rsid w:val="48561630"/>
    <w:rsid w:val="48C42EAA"/>
    <w:rsid w:val="4922076D"/>
    <w:rsid w:val="49282FCC"/>
    <w:rsid w:val="4A080708"/>
    <w:rsid w:val="4B6C4B6D"/>
    <w:rsid w:val="4B7A73E4"/>
    <w:rsid w:val="4B8152DD"/>
    <w:rsid w:val="4B8E25EC"/>
    <w:rsid w:val="4C472F8C"/>
    <w:rsid w:val="4CA669B9"/>
    <w:rsid w:val="4CE03BBE"/>
    <w:rsid w:val="4CE14A0B"/>
    <w:rsid w:val="4CE4720A"/>
    <w:rsid w:val="4D0C050F"/>
    <w:rsid w:val="4D92505D"/>
    <w:rsid w:val="4D9D58FE"/>
    <w:rsid w:val="4DA150FB"/>
    <w:rsid w:val="4E29693C"/>
    <w:rsid w:val="4EFD0A57"/>
    <w:rsid w:val="4F0E4A13"/>
    <w:rsid w:val="4F1F6610"/>
    <w:rsid w:val="4F3B530E"/>
    <w:rsid w:val="4FA144ED"/>
    <w:rsid w:val="50135579"/>
    <w:rsid w:val="50265D8C"/>
    <w:rsid w:val="50305BB9"/>
    <w:rsid w:val="504D156B"/>
    <w:rsid w:val="506A18FA"/>
    <w:rsid w:val="50EF22D5"/>
    <w:rsid w:val="51651E4E"/>
    <w:rsid w:val="51AF5225"/>
    <w:rsid w:val="51F82ABC"/>
    <w:rsid w:val="51FD0D8F"/>
    <w:rsid w:val="525972A8"/>
    <w:rsid w:val="526B3F2A"/>
    <w:rsid w:val="5286443D"/>
    <w:rsid w:val="52D64AFD"/>
    <w:rsid w:val="53D37FD9"/>
    <w:rsid w:val="54577590"/>
    <w:rsid w:val="54612C01"/>
    <w:rsid w:val="54C03C11"/>
    <w:rsid w:val="54D83366"/>
    <w:rsid w:val="54FD1F7B"/>
    <w:rsid w:val="556C66AF"/>
    <w:rsid w:val="557A365B"/>
    <w:rsid w:val="55943798"/>
    <w:rsid w:val="55B04D2E"/>
    <w:rsid w:val="55D63C50"/>
    <w:rsid w:val="56143DCE"/>
    <w:rsid w:val="56171A28"/>
    <w:rsid w:val="56A54E4A"/>
    <w:rsid w:val="578316A3"/>
    <w:rsid w:val="57B63184"/>
    <w:rsid w:val="57DA843C"/>
    <w:rsid w:val="57DE6F4C"/>
    <w:rsid w:val="57EC1669"/>
    <w:rsid w:val="5842572D"/>
    <w:rsid w:val="588401A5"/>
    <w:rsid w:val="589271AE"/>
    <w:rsid w:val="589D10EF"/>
    <w:rsid w:val="58AD704A"/>
    <w:rsid w:val="58E255A6"/>
    <w:rsid w:val="58F05189"/>
    <w:rsid w:val="59AA358A"/>
    <w:rsid w:val="59AC08E0"/>
    <w:rsid w:val="5A9F2393"/>
    <w:rsid w:val="5B8228C3"/>
    <w:rsid w:val="5B9242D5"/>
    <w:rsid w:val="5C747665"/>
    <w:rsid w:val="5D414205"/>
    <w:rsid w:val="5D963863"/>
    <w:rsid w:val="5DC56BE4"/>
    <w:rsid w:val="5DD827D2"/>
    <w:rsid w:val="5DF93FFE"/>
    <w:rsid w:val="5E5142DE"/>
    <w:rsid w:val="5E902BEE"/>
    <w:rsid w:val="5ED157D7"/>
    <w:rsid w:val="5EEC01A1"/>
    <w:rsid w:val="5EED3918"/>
    <w:rsid w:val="5EFE237B"/>
    <w:rsid w:val="5F2A5B14"/>
    <w:rsid w:val="5F4D08C1"/>
    <w:rsid w:val="5FDA02E7"/>
    <w:rsid w:val="5FEF1270"/>
    <w:rsid w:val="600E7792"/>
    <w:rsid w:val="60854409"/>
    <w:rsid w:val="612260FC"/>
    <w:rsid w:val="61C14C60"/>
    <w:rsid w:val="62214605"/>
    <w:rsid w:val="62766769"/>
    <w:rsid w:val="632C14B3"/>
    <w:rsid w:val="63676048"/>
    <w:rsid w:val="637C69AE"/>
    <w:rsid w:val="63BD6555"/>
    <w:rsid w:val="64324CDF"/>
    <w:rsid w:val="64757DE4"/>
    <w:rsid w:val="648A61D9"/>
    <w:rsid w:val="64F8231B"/>
    <w:rsid w:val="64FB738F"/>
    <w:rsid w:val="657F3EDB"/>
    <w:rsid w:val="65A758D8"/>
    <w:rsid w:val="66771F16"/>
    <w:rsid w:val="669B527D"/>
    <w:rsid w:val="670818F0"/>
    <w:rsid w:val="670A0E4D"/>
    <w:rsid w:val="67753429"/>
    <w:rsid w:val="67955879"/>
    <w:rsid w:val="67B3745D"/>
    <w:rsid w:val="67F424B3"/>
    <w:rsid w:val="68085D5E"/>
    <w:rsid w:val="684D1E4C"/>
    <w:rsid w:val="684D72DF"/>
    <w:rsid w:val="68754E1D"/>
    <w:rsid w:val="690418A9"/>
    <w:rsid w:val="69110BCA"/>
    <w:rsid w:val="698F2D38"/>
    <w:rsid w:val="699D66D9"/>
    <w:rsid w:val="69B956F1"/>
    <w:rsid w:val="69C54F81"/>
    <w:rsid w:val="6A0F72D8"/>
    <w:rsid w:val="6A6205D6"/>
    <w:rsid w:val="6B1B42E7"/>
    <w:rsid w:val="6B451E4C"/>
    <w:rsid w:val="6B6411A6"/>
    <w:rsid w:val="6C116580"/>
    <w:rsid w:val="6C2D46F2"/>
    <w:rsid w:val="6C316E88"/>
    <w:rsid w:val="6C345099"/>
    <w:rsid w:val="6C374641"/>
    <w:rsid w:val="6CB0278D"/>
    <w:rsid w:val="6CC80508"/>
    <w:rsid w:val="6D033ED9"/>
    <w:rsid w:val="6D4B2536"/>
    <w:rsid w:val="6D6D06FE"/>
    <w:rsid w:val="6D817FBA"/>
    <w:rsid w:val="6E755ABD"/>
    <w:rsid w:val="6E857D70"/>
    <w:rsid w:val="6F06008C"/>
    <w:rsid w:val="6F392F8E"/>
    <w:rsid w:val="6F664223"/>
    <w:rsid w:val="6F8A37EA"/>
    <w:rsid w:val="6F936521"/>
    <w:rsid w:val="6FDC68E9"/>
    <w:rsid w:val="709E4ED2"/>
    <w:rsid w:val="70AF7522"/>
    <w:rsid w:val="70F1191F"/>
    <w:rsid w:val="70F3516F"/>
    <w:rsid w:val="71013B33"/>
    <w:rsid w:val="711E43CB"/>
    <w:rsid w:val="715562CA"/>
    <w:rsid w:val="71D748ED"/>
    <w:rsid w:val="71E273A2"/>
    <w:rsid w:val="72916C3D"/>
    <w:rsid w:val="72AE3C93"/>
    <w:rsid w:val="72B2510B"/>
    <w:rsid w:val="732662F1"/>
    <w:rsid w:val="73470251"/>
    <w:rsid w:val="737A449E"/>
    <w:rsid w:val="73B226C4"/>
    <w:rsid w:val="73F36A48"/>
    <w:rsid w:val="747C76EF"/>
    <w:rsid w:val="7496678D"/>
    <w:rsid w:val="74F1104E"/>
    <w:rsid w:val="755328D0"/>
    <w:rsid w:val="75B7234A"/>
    <w:rsid w:val="75CD4430"/>
    <w:rsid w:val="75DF26CA"/>
    <w:rsid w:val="768C0572"/>
    <w:rsid w:val="775F73BE"/>
    <w:rsid w:val="776D266A"/>
    <w:rsid w:val="77BE6726"/>
    <w:rsid w:val="77D870BC"/>
    <w:rsid w:val="780A3FA4"/>
    <w:rsid w:val="788D52FC"/>
    <w:rsid w:val="79336CA0"/>
    <w:rsid w:val="79943126"/>
    <w:rsid w:val="79996A9E"/>
    <w:rsid w:val="7A212F9C"/>
    <w:rsid w:val="7AA06E65"/>
    <w:rsid w:val="7AD87CB4"/>
    <w:rsid w:val="7AF91823"/>
    <w:rsid w:val="7B693689"/>
    <w:rsid w:val="7B868F97"/>
    <w:rsid w:val="7BBD4F47"/>
    <w:rsid w:val="7C916C49"/>
    <w:rsid w:val="7C9E08D4"/>
    <w:rsid w:val="7D11195B"/>
    <w:rsid w:val="7D537911"/>
    <w:rsid w:val="7D670A7C"/>
    <w:rsid w:val="7E23300C"/>
    <w:rsid w:val="7E284E6B"/>
    <w:rsid w:val="7EFD1148"/>
    <w:rsid w:val="7F523CFF"/>
    <w:rsid w:val="7F5A66D4"/>
    <w:rsid w:val="7F8101D9"/>
    <w:rsid w:val="7FA426A6"/>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61"/>
    <w:qFormat/>
    <w:uiPriority w:val="0"/>
    <w:pPr>
      <w:keepNext/>
      <w:keepLines/>
      <w:spacing w:before="260" w:after="260" w:line="500" w:lineRule="exact"/>
      <w:contextualSpacing/>
      <w:jc w:val="center"/>
      <w:outlineLvl w:val="1"/>
    </w:pPr>
    <w:rPr>
      <w:rFonts w:ascii="宋体" w:hAnsi="宋体"/>
      <w:sz w:val="32"/>
      <w:szCs w:val="28"/>
    </w:rPr>
  </w:style>
  <w:style w:type="paragraph" w:styleId="4">
    <w:name w:val="heading 3"/>
    <w:basedOn w:val="1"/>
    <w:next w:val="1"/>
    <w:link w:val="59"/>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0"/>
    <w:qFormat/>
    <w:uiPriority w:val="0"/>
    <w:pPr>
      <w:keepNext/>
      <w:keepLines/>
      <w:spacing w:before="280" w:after="290" w:line="376" w:lineRule="auto"/>
      <w:outlineLvl w:val="4"/>
    </w:pPr>
    <w:rPr>
      <w:b/>
      <w:bCs/>
      <w:sz w:val="28"/>
      <w:szCs w:val="28"/>
    </w:rPr>
  </w:style>
  <w:style w:type="paragraph" w:styleId="7">
    <w:name w:val="heading 6"/>
    <w:basedOn w:val="6"/>
    <w:next w:val="1"/>
    <w:link w:val="63"/>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64"/>
    <w:qFormat/>
    <w:uiPriority w:val="0"/>
    <w:pPr>
      <w:tabs>
        <w:tab w:val="clear" w:pos="1440"/>
      </w:tabs>
      <w:ind w:left="1276" w:hanging="1276"/>
      <w:outlineLvl w:val="6"/>
    </w:pPr>
  </w:style>
  <w:style w:type="paragraph" w:styleId="9">
    <w:name w:val="heading 8"/>
    <w:basedOn w:val="8"/>
    <w:next w:val="1"/>
    <w:link w:val="65"/>
    <w:qFormat/>
    <w:uiPriority w:val="0"/>
    <w:pPr>
      <w:ind w:left="1418" w:hanging="1418"/>
      <w:outlineLvl w:val="7"/>
    </w:pPr>
  </w:style>
  <w:style w:type="paragraph" w:styleId="10">
    <w:name w:val="heading 9"/>
    <w:basedOn w:val="9"/>
    <w:next w:val="1"/>
    <w:link w:val="66"/>
    <w:qFormat/>
    <w:uiPriority w:val="0"/>
    <w:pPr>
      <w:ind w:left="1559" w:hanging="1559"/>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73"/>
    <w:qFormat/>
    <w:uiPriority w:val="0"/>
    <w:pPr>
      <w:ind w:firstLine="420" w:firstLineChars="200"/>
    </w:pPr>
  </w:style>
  <w:style w:type="paragraph" w:styleId="12">
    <w:name w:val="Document Map"/>
    <w:basedOn w:val="1"/>
    <w:link w:val="78"/>
    <w:qFormat/>
    <w:uiPriority w:val="0"/>
    <w:rPr>
      <w:rFonts w:ascii="宋体"/>
      <w:sz w:val="18"/>
      <w:szCs w:val="18"/>
    </w:rPr>
  </w:style>
  <w:style w:type="paragraph" w:styleId="13">
    <w:name w:val="toa heading"/>
    <w:basedOn w:val="1"/>
    <w:next w:val="1"/>
    <w:semiHidden/>
    <w:qFormat/>
    <w:uiPriority w:val="99"/>
    <w:pPr>
      <w:spacing w:before="120"/>
    </w:pPr>
    <w:rPr>
      <w:rFonts w:ascii="Arial" w:hAnsi="Arial" w:cs="Arial"/>
      <w:sz w:val="24"/>
      <w:szCs w:val="24"/>
    </w:rPr>
  </w:style>
  <w:style w:type="paragraph" w:styleId="14">
    <w:name w:val="annotation text"/>
    <w:basedOn w:val="1"/>
    <w:link w:val="76"/>
    <w:qFormat/>
    <w:uiPriority w:val="0"/>
    <w:pPr>
      <w:jc w:val="left"/>
    </w:pPr>
  </w:style>
  <w:style w:type="paragraph" w:styleId="15">
    <w:name w:val="Body Text 3"/>
    <w:basedOn w:val="1"/>
    <w:next w:val="1"/>
    <w:qFormat/>
    <w:uiPriority w:val="0"/>
    <w:pPr>
      <w:adjustRightInd/>
      <w:spacing w:after="120" w:line="240" w:lineRule="auto"/>
      <w:jc w:val="both"/>
      <w:textAlignment w:val="auto"/>
    </w:pPr>
    <w:rPr>
      <w:kern w:val="2"/>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70"/>
    <w:qFormat/>
    <w:uiPriority w:val="0"/>
    <w:rPr>
      <w:rFonts w:ascii="宋体" w:hAnsi="Courier New"/>
      <w:szCs w:val="21"/>
    </w:rPr>
  </w:style>
  <w:style w:type="paragraph" w:styleId="21">
    <w:name w:val="toc 8"/>
    <w:basedOn w:val="1"/>
    <w:next w:val="1"/>
    <w:qFormat/>
    <w:uiPriority w:val="0"/>
    <w:pPr>
      <w:ind w:left="2100"/>
      <w:jc w:val="left"/>
    </w:pPr>
    <w:rPr>
      <w:rFonts w:ascii="Calibri" w:hAnsi="Calibri"/>
      <w:sz w:val="18"/>
      <w:szCs w:val="18"/>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22"/>
      </w:tabs>
      <w:spacing w:line="440" w:lineRule="exact"/>
      <w:ind w:right="231" w:rightChars="110"/>
    </w:pPr>
    <w:rPr>
      <w:sz w:val="28"/>
    </w:rPr>
  </w:style>
  <w:style w:type="paragraph" w:styleId="27">
    <w:name w:val="Body Text Indent 3"/>
    <w:basedOn w:val="1"/>
    <w:link w:val="85"/>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0">
    <w:name w:val="Title"/>
    <w:basedOn w:val="1"/>
    <w:next w:val="1"/>
    <w:link w:val="57"/>
    <w:qFormat/>
    <w:uiPriority w:val="0"/>
    <w:pPr>
      <w:jc w:val="both"/>
    </w:pPr>
    <w:rPr>
      <w:sz w:val="44"/>
    </w:rPr>
  </w:style>
  <w:style w:type="paragraph" w:styleId="31">
    <w:name w:val="annotation subject"/>
    <w:basedOn w:val="14"/>
    <w:next w:val="14"/>
    <w:link w:val="75"/>
    <w:qFormat/>
    <w:uiPriority w:val="99"/>
    <w:rPr>
      <w:rFonts w:ascii="Times New Roman" w:hAnsi="Times New Roman"/>
      <w:b/>
      <w:sz w:val="28"/>
      <w:szCs w:val="20"/>
    </w:rPr>
  </w:style>
  <w:style w:type="paragraph" w:styleId="32">
    <w:name w:val="Body Text First Indent"/>
    <w:basedOn w:val="16"/>
    <w:next w:val="1"/>
    <w:qFormat/>
    <w:uiPriority w:val="0"/>
    <w:pPr>
      <w:widowControl/>
      <w:ind w:firstLine="420" w:firstLineChars="100"/>
      <w:jc w:val="left"/>
    </w:pPr>
    <w:rPr>
      <w:rFonts w:ascii="Times New Roman" w:hAnsi="Times New Roman"/>
    </w:rPr>
  </w:style>
  <w:style w:type="paragraph" w:styleId="33">
    <w:name w:val="Body Text First Indent 2"/>
    <w:basedOn w:val="17"/>
    <w:next w:val="17"/>
    <w:qFormat/>
    <w:uiPriority w:val="0"/>
    <w:pPr>
      <w:ind w:firstLine="21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333333"/>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qFormat/>
    <w:uiPriority w:val="99"/>
    <w:rPr>
      <w:color w:val="0000FF"/>
      <w:u w:val="single"/>
    </w:rPr>
  </w:style>
  <w:style w:type="character" w:styleId="46">
    <w:name w:val="HTML Code"/>
    <w:basedOn w:val="36"/>
    <w:qFormat/>
    <w:uiPriority w:val="0"/>
    <w:rPr>
      <w:rFonts w:hint="default" w:ascii="monospace" w:hAnsi="monospace" w:eastAsia="monospace" w:cs="monospace"/>
      <w:sz w:val="20"/>
    </w:rPr>
  </w:style>
  <w:style w:type="character" w:styleId="47">
    <w:name w:val="annotation reference"/>
    <w:basedOn w:val="36"/>
    <w:qFormat/>
    <w:uiPriority w:val="0"/>
    <w:rPr>
      <w:sz w:val="21"/>
      <w:szCs w:val="21"/>
    </w:rPr>
  </w:style>
  <w:style w:type="character" w:styleId="48">
    <w:name w:val="HTML Cite"/>
    <w:basedOn w:val="36"/>
    <w:qFormat/>
    <w:uiPriority w:val="0"/>
  </w:style>
  <w:style w:type="character" w:styleId="49">
    <w:name w:val="HTML Keyboard"/>
    <w:basedOn w:val="36"/>
    <w:qFormat/>
    <w:uiPriority w:val="0"/>
    <w:rPr>
      <w:rFonts w:ascii="monospace" w:hAnsi="monospace" w:eastAsia="monospace" w:cs="monospace"/>
      <w:sz w:val="20"/>
    </w:rPr>
  </w:style>
  <w:style w:type="character" w:styleId="50">
    <w:name w:val="HTML Sample"/>
    <w:basedOn w:val="36"/>
    <w:qFormat/>
    <w:uiPriority w:val="0"/>
    <w:rPr>
      <w:rFonts w:hint="default" w:ascii="monospace" w:hAnsi="monospace" w:eastAsia="monospace" w:cs="monospace"/>
    </w:rPr>
  </w:style>
  <w:style w:type="paragraph" w:customStyle="1" w:styleId="51">
    <w:name w:val="Default"/>
    <w:basedOn w:val="30"/>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表名称"/>
    <w:basedOn w:val="11"/>
    <w:qFormat/>
    <w:uiPriority w:val="0"/>
    <w:pPr>
      <w:numPr>
        <w:ilvl w:val="0"/>
        <w:numId w:val="1"/>
      </w:numPr>
      <w:ind w:firstLine="0" w:firstLineChars="0"/>
      <w:jc w:val="center"/>
    </w:pPr>
  </w:style>
  <w:style w:type="paragraph" w:customStyle="1" w:styleId="54">
    <w:name w:val="Char"/>
    <w:basedOn w:val="1"/>
    <w:qFormat/>
    <w:uiPriority w:val="0"/>
  </w:style>
  <w:style w:type="paragraph" w:customStyle="1" w:styleId="55">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56">
    <w:name w:val="case31"/>
    <w:qFormat/>
    <w:uiPriority w:val="0"/>
    <w:rPr>
      <w:rFonts w:hint="default"/>
      <w:spacing w:val="390"/>
      <w:sz w:val="21"/>
      <w:szCs w:val="21"/>
    </w:rPr>
  </w:style>
  <w:style w:type="character" w:customStyle="1" w:styleId="57">
    <w:name w:val="标题 字符"/>
    <w:link w:val="30"/>
    <w:qFormat/>
    <w:uiPriority w:val="0"/>
    <w:rPr>
      <w:rFonts w:ascii="宋体" w:hAnsi="宋体" w:eastAsia="宋体"/>
      <w:b/>
      <w:kern w:val="2"/>
      <w:sz w:val="44"/>
      <w:szCs w:val="28"/>
    </w:rPr>
  </w:style>
  <w:style w:type="character" w:customStyle="1" w:styleId="58">
    <w:name w:val="标题 1 字符"/>
    <w:link w:val="2"/>
    <w:qFormat/>
    <w:uiPriority w:val="9"/>
    <w:rPr>
      <w:rFonts w:ascii="Calibri" w:hAnsi="Calibri"/>
      <w:b/>
      <w:bCs/>
      <w:kern w:val="44"/>
      <w:sz w:val="44"/>
      <w:szCs w:val="44"/>
    </w:rPr>
  </w:style>
  <w:style w:type="character" w:customStyle="1" w:styleId="59">
    <w:name w:val="标题 3 字符"/>
    <w:link w:val="4"/>
    <w:qFormat/>
    <w:uiPriority w:val="0"/>
    <w:rPr>
      <w:rFonts w:ascii="仿宋_GB2312" w:hAnsi="宋体" w:eastAsia="宋体"/>
      <w:b/>
      <w:kern w:val="2"/>
      <w:sz w:val="32"/>
      <w:szCs w:val="32"/>
    </w:rPr>
  </w:style>
  <w:style w:type="character" w:customStyle="1" w:styleId="60">
    <w:name w:val="标题 5 字符"/>
    <w:link w:val="6"/>
    <w:qFormat/>
    <w:uiPriority w:val="0"/>
    <w:rPr>
      <w:rFonts w:ascii="Calibri" w:hAnsi="Calibri"/>
      <w:b/>
      <w:bCs/>
      <w:kern w:val="2"/>
      <w:sz w:val="28"/>
      <w:szCs w:val="28"/>
    </w:rPr>
  </w:style>
  <w:style w:type="character" w:customStyle="1" w:styleId="61">
    <w:name w:val="标题 2 字符"/>
    <w:link w:val="3"/>
    <w:qFormat/>
    <w:uiPriority w:val="0"/>
    <w:rPr>
      <w:rFonts w:ascii="宋体" w:hAnsi="宋体" w:eastAsia="宋体"/>
      <w:b/>
      <w:kern w:val="2"/>
      <w:sz w:val="32"/>
      <w:szCs w:val="28"/>
    </w:rPr>
  </w:style>
  <w:style w:type="character" w:customStyle="1" w:styleId="62">
    <w:name w:val="标题 4 字符"/>
    <w:link w:val="5"/>
    <w:qFormat/>
    <w:uiPriority w:val="0"/>
    <w:rPr>
      <w:rFonts w:ascii="Arial" w:hAnsi="Arial" w:eastAsia="黑体"/>
      <w:b/>
      <w:bCs/>
      <w:kern w:val="2"/>
      <w:sz w:val="28"/>
      <w:szCs w:val="28"/>
    </w:rPr>
  </w:style>
  <w:style w:type="character" w:customStyle="1" w:styleId="63">
    <w:name w:val="标题 6 字符"/>
    <w:link w:val="7"/>
    <w:qFormat/>
    <w:uiPriority w:val="0"/>
    <w:rPr>
      <w:b/>
      <w:bCs/>
      <w:kern w:val="2"/>
      <w:sz w:val="30"/>
      <w:szCs w:val="18"/>
    </w:rPr>
  </w:style>
  <w:style w:type="character" w:customStyle="1" w:styleId="64">
    <w:name w:val="标题 7 字符"/>
    <w:link w:val="8"/>
    <w:qFormat/>
    <w:uiPriority w:val="0"/>
    <w:rPr>
      <w:b/>
      <w:bCs/>
      <w:kern w:val="2"/>
      <w:sz w:val="30"/>
      <w:szCs w:val="18"/>
    </w:rPr>
  </w:style>
  <w:style w:type="character" w:customStyle="1" w:styleId="65">
    <w:name w:val="标题 8 字符"/>
    <w:link w:val="9"/>
    <w:qFormat/>
    <w:uiPriority w:val="0"/>
    <w:rPr>
      <w:b/>
      <w:bCs/>
      <w:kern w:val="2"/>
      <w:sz w:val="30"/>
      <w:szCs w:val="18"/>
    </w:rPr>
  </w:style>
  <w:style w:type="character" w:customStyle="1" w:styleId="66">
    <w:name w:val="标题 9 字符"/>
    <w:link w:val="10"/>
    <w:qFormat/>
    <w:uiPriority w:val="0"/>
    <w:rPr>
      <w:b/>
      <w:bCs/>
      <w:kern w:val="2"/>
      <w:sz w:val="30"/>
      <w:szCs w:val="18"/>
    </w:rPr>
  </w:style>
  <w:style w:type="paragraph" w:customStyle="1" w:styleId="67">
    <w:name w:val="列出段落1"/>
    <w:basedOn w:val="1"/>
    <w:qFormat/>
    <w:uiPriority w:val="34"/>
    <w:pPr>
      <w:ind w:firstLine="420" w:firstLineChars="200"/>
    </w:pPr>
  </w:style>
  <w:style w:type="paragraph" w:customStyle="1" w:styleId="68">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9">
    <w:name w:val="页眉 字符"/>
    <w:link w:val="25"/>
    <w:qFormat/>
    <w:uiPriority w:val="99"/>
    <w:rPr>
      <w:rFonts w:ascii="Calibri" w:hAnsi="Calibri" w:eastAsia="宋体" w:cs="Times New Roman"/>
      <w:kern w:val="2"/>
      <w:sz w:val="18"/>
      <w:szCs w:val="18"/>
    </w:rPr>
  </w:style>
  <w:style w:type="character" w:customStyle="1" w:styleId="70">
    <w:name w:val="纯文本 字符"/>
    <w:link w:val="20"/>
    <w:qFormat/>
    <w:uiPriority w:val="0"/>
    <w:rPr>
      <w:rFonts w:ascii="宋体" w:hAnsi="Courier New" w:eastAsia="宋体" w:cs="Courier New"/>
      <w:kern w:val="2"/>
      <w:sz w:val="21"/>
      <w:szCs w:val="21"/>
    </w:rPr>
  </w:style>
  <w:style w:type="paragraph" w:customStyle="1" w:styleId="71">
    <w:name w:val="需求样式"/>
    <w:basedOn w:val="2"/>
    <w:link w:val="72"/>
    <w:qFormat/>
    <w:uiPriority w:val="0"/>
    <w:pPr>
      <w:spacing w:before="120" w:after="120" w:line="360" w:lineRule="auto"/>
      <w:ind w:left="425" w:hanging="425"/>
    </w:pPr>
    <w:rPr>
      <w:rFonts w:ascii="Times New Roman" w:hAnsi="Times New Roman"/>
      <w:sz w:val="32"/>
      <w:szCs w:val="28"/>
    </w:rPr>
  </w:style>
  <w:style w:type="character" w:customStyle="1" w:styleId="72">
    <w:name w:val="需求样式 Char"/>
    <w:link w:val="71"/>
    <w:qFormat/>
    <w:uiPriority w:val="0"/>
    <w:rPr>
      <w:b/>
      <w:bCs/>
      <w:kern w:val="44"/>
      <w:sz w:val="32"/>
      <w:szCs w:val="28"/>
    </w:rPr>
  </w:style>
  <w:style w:type="character" w:customStyle="1" w:styleId="73">
    <w:name w:val="正文缩进 字符"/>
    <w:link w:val="11"/>
    <w:qFormat/>
    <w:uiPriority w:val="0"/>
    <w:rPr>
      <w:rFonts w:ascii="Calibri" w:hAnsi="Calibri" w:eastAsia="宋体"/>
      <w:kern w:val="2"/>
      <w:sz w:val="21"/>
      <w:szCs w:val="22"/>
      <w:lang w:val="en-US" w:eastAsia="zh-CN" w:bidi="ar-SA"/>
    </w:rPr>
  </w:style>
  <w:style w:type="character" w:customStyle="1" w:styleId="74">
    <w:name w:val="普通文字 Char Char2"/>
    <w:qFormat/>
    <w:uiPriority w:val="0"/>
    <w:rPr>
      <w:rFonts w:ascii="宋体" w:hAnsi="Courier New" w:cs="Courier New"/>
      <w:kern w:val="2"/>
      <w:sz w:val="21"/>
      <w:szCs w:val="21"/>
    </w:rPr>
  </w:style>
  <w:style w:type="character" w:customStyle="1" w:styleId="75">
    <w:name w:val="批注主题 字符"/>
    <w:link w:val="31"/>
    <w:qFormat/>
    <w:uiPriority w:val="99"/>
    <w:rPr>
      <w:b/>
      <w:kern w:val="2"/>
      <w:sz w:val="28"/>
    </w:rPr>
  </w:style>
  <w:style w:type="character" w:customStyle="1" w:styleId="76">
    <w:name w:val="批注文字 字符"/>
    <w:basedOn w:val="36"/>
    <w:link w:val="14"/>
    <w:qFormat/>
    <w:uiPriority w:val="0"/>
    <w:rPr>
      <w:rFonts w:ascii="Calibri" w:hAnsi="Calibri"/>
      <w:kern w:val="2"/>
      <w:sz w:val="21"/>
      <w:szCs w:val="22"/>
    </w:rPr>
  </w:style>
  <w:style w:type="character" w:customStyle="1" w:styleId="77">
    <w:name w:val="批注主题 Char1"/>
    <w:basedOn w:val="76"/>
    <w:qFormat/>
    <w:uiPriority w:val="0"/>
    <w:rPr>
      <w:rFonts w:ascii="Calibri" w:hAnsi="Calibri"/>
      <w:b/>
      <w:bCs/>
      <w:kern w:val="2"/>
      <w:sz w:val="21"/>
      <w:szCs w:val="22"/>
    </w:rPr>
  </w:style>
  <w:style w:type="character" w:customStyle="1" w:styleId="78">
    <w:name w:val="文档结构图 字符"/>
    <w:basedOn w:val="36"/>
    <w:link w:val="12"/>
    <w:qFormat/>
    <w:uiPriority w:val="0"/>
    <w:rPr>
      <w:rFonts w:ascii="宋体" w:hAnsi="Calibri"/>
      <w:kern w:val="2"/>
      <w:sz w:val="18"/>
      <w:szCs w:val="18"/>
    </w:rPr>
  </w:style>
  <w:style w:type="paragraph" w:customStyle="1" w:styleId="79">
    <w:name w:val="修订1"/>
    <w:qFormat/>
    <w:uiPriority w:val="99"/>
    <w:rPr>
      <w:rFonts w:ascii="Calibri" w:hAnsi="Calibri" w:eastAsia="宋体" w:cs="Times New Roman"/>
      <w:kern w:val="2"/>
      <w:sz w:val="21"/>
      <w:szCs w:val="22"/>
      <w:lang w:val="en-US" w:eastAsia="zh-CN" w:bidi="ar-SA"/>
    </w:rPr>
  </w:style>
  <w:style w:type="paragraph" w:customStyle="1" w:styleId="80">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81">
    <w:name w:val="2册标题2 Char"/>
    <w:link w:val="82"/>
    <w:qFormat/>
    <w:uiPriority w:val="0"/>
    <w:rPr>
      <w:rFonts w:ascii="Arial" w:hAnsi="Arial" w:eastAsia="黑体"/>
      <w:kern w:val="2"/>
      <w:sz w:val="30"/>
    </w:rPr>
  </w:style>
  <w:style w:type="paragraph" w:customStyle="1" w:styleId="82">
    <w:name w:val="2册标题2"/>
    <w:basedOn w:val="1"/>
    <w:next w:val="1"/>
    <w:link w:val="81"/>
    <w:qFormat/>
    <w:uiPriority w:val="0"/>
    <w:pPr>
      <w:spacing w:beforeLines="50" w:afterLines="50" w:line="300" w:lineRule="auto"/>
      <w:outlineLvl w:val="1"/>
    </w:pPr>
    <w:rPr>
      <w:rFonts w:ascii="Arial" w:hAnsi="Arial" w:eastAsia="黑体"/>
      <w:sz w:val="30"/>
      <w:szCs w:val="20"/>
    </w:rPr>
  </w:style>
  <w:style w:type="paragraph" w:customStyle="1" w:styleId="83">
    <w:name w:val="List Paragraph_e28a4b39-ba7e-4c4d-9ad9-ba510228f6f3"/>
    <w:basedOn w:val="1"/>
    <w:qFormat/>
    <w:uiPriority w:val="99"/>
    <w:pPr>
      <w:ind w:firstLine="420" w:firstLineChars="200"/>
    </w:pPr>
  </w:style>
  <w:style w:type="paragraph" w:customStyle="1" w:styleId="84">
    <w:name w:val="TOC Heading_a7a6b347-0562-4c7f-a34a-37813bd4bbd7"/>
    <w:basedOn w:val="2"/>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85">
    <w:name w:val="正文文本缩进 3 字符"/>
    <w:basedOn w:val="36"/>
    <w:link w:val="27"/>
    <w:qFormat/>
    <w:uiPriority w:val="0"/>
    <w:rPr>
      <w:rFonts w:ascii="Calibri" w:hAnsi="Calibri"/>
      <w:kern w:val="2"/>
      <w:sz w:val="16"/>
      <w:szCs w:val="16"/>
    </w:rPr>
  </w:style>
  <w:style w:type="paragraph" w:customStyle="1" w:styleId="8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8">
    <w:name w:val="font21"/>
    <w:qFormat/>
    <w:uiPriority w:val="0"/>
    <w:rPr>
      <w:rFonts w:ascii="Arial" w:hAnsi="Arial" w:cs="Arial"/>
      <w:color w:val="FF0000"/>
      <w:sz w:val="20"/>
      <w:szCs w:val="20"/>
      <w:u w:val="none"/>
    </w:rPr>
  </w:style>
  <w:style w:type="character" w:customStyle="1" w:styleId="89">
    <w:name w:val="font31"/>
    <w:qFormat/>
    <w:uiPriority w:val="0"/>
    <w:rPr>
      <w:rFonts w:hint="eastAsia" w:ascii="宋体" w:hAnsi="宋体" w:eastAsia="宋体" w:cs="宋体"/>
      <w:color w:val="FF0000"/>
      <w:sz w:val="20"/>
      <w:szCs w:val="20"/>
      <w:u w:val="none"/>
    </w:rPr>
  </w:style>
  <w:style w:type="character" w:customStyle="1" w:styleId="90">
    <w:name w:val="font01"/>
    <w:qFormat/>
    <w:uiPriority w:val="0"/>
    <w:rPr>
      <w:rFonts w:hint="eastAsia" w:ascii="宋体" w:hAnsi="宋体" w:eastAsia="宋体" w:cs="宋体"/>
      <w:color w:val="FF0000"/>
      <w:sz w:val="20"/>
      <w:szCs w:val="20"/>
      <w:u w:val="single"/>
    </w:rPr>
  </w:style>
  <w:style w:type="character" w:customStyle="1" w:styleId="91">
    <w:name w:val="font11"/>
    <w:qFormat/>
    <w:uiPriority w:val="0"/>
    <w:rPr>
      <w:rFonts w:hint="default" w:ascii="Arial" w:hAnsi="Arial" w:cs="Arial"/>
      <w:color w:val="FF0000"/>
      <w:sz w:val="20"/>
      <w:szCs w:val="20"/>
      <w:u w:val="single"/>
    </w:rPr>
  </w:style>
  <w:style w:type="paragraph" w:customStyle="1" w:styleId="92">
    <w:name w:val="No Spacing_bfaa14c9-ecd9-40fd-81dd-7aba2c1c22b9"/>
    <w:basedOn w:val="1"/>
    <w:qFormat/>
    <w:uiPriority w:val="1"/>
    <w:rPr>
      <w:szCs w:val="24"/>
    </w:rPr>
  </w:style>
  <w:style w:type="paragraph" w:customStyle="1" w:styleId="9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9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5">
    <w:name w:val="标题 3_0_0"/>
    <w:basedOn w:val="96"/>
    <w:next w:val="94"/>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96">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97">
    <w:name w:val="正文文本缩进_1"/>
    <w:basedOn w:val="98"/>
    <w:qFormat/>
    <w:uiPriority w:val="0"/>
    <w:pPr>
      <w:spacing w:line="500" w:lineRule="exact"/>
      <w:ind w:left="1588" w:leftChars="832" w:firstLine="433" w:firstLineChars="196"/>
    </w:pPr>
    <w:rPr>
      <w:kern w:val="0"/>
      <w:sz w:val="24"/>
    </w:rPr>
  </w:style>
  <w:style w:type="paragraph" w:customStyle="1" w:styleId="98">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正文文本缩进_2"/>
    <w:basedOn w:val="100"/>
    <w:qFormat/>
    <w:uiPriority w:val="0"/>
    <w:pPr>
      <w:spacing w:line="500" w:lineRule="exact"/>
      <w:ind w:left="1588" w:leftChars="832" w:firstLine="433" w:firstLineChars="196"/>
    </w:pPr>
    <w:rPr>
      <w:kern w:val="0"/>
      <w:sz w:val="24"/>
    </w:rPr>
  </w:style>
  <w:style w:type="paragraph" w:customStyle="1" w:styleId="100">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Normal_11"/>
    <w:qFormat/>
    <w:uiPriority w:val="0"/>
    <w:rPr>
      <w:rFonts w:ascii="黑体" w:hAnsi="黑体" w:eastAsia="黑体" w:cs="Times New Roman"/>
      <w:b/>
      <w:sz w:val="32"/>
      <w:szCs w:val="24"/>
      <w:lang w:val="en-US" w:eastAsia="zh-CN" w:bidi="ar-SA"/>
    </w:rPr>
  </w:style>
  <w:style w:type="paragraph" w:customStyle="1" w:styleId="102">
    <w:name w:val="正文文本_1"/>
    <w:basedOn w:val="103"/>
    <w:qFormat/>
    <w:uiPriority w:val="0"/>
    <w:pPr>
      <w:spacing w:after="120"/>
    </w:pPr>
    <w:rPr>
      <w:kern w:val="0"/>
      <w:sz w:val="20"/>
    </w:rPr>
  </w:style>
  <w:style w:type="paragraph" w:customStyle="1" w:styleId="103">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105">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06">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107">
    <w:name w:val="Normal Indent1"/>
    <w:basedOn w:val="1"/>
    <w:qFormat/>
    <w:uiPriority w:val="0"/>
    <w:pPr>
      <w:ind w:firstLine="420" w:firstLineChars="200"/>
    </w:p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styleId="109">
    <w:name w:val="List Paragraph"/>
    <w:basedOn w:val="1"/>
    <w:qFormat/>
    <w:uiPriority w:val="99"/>
    <w:pPr>
      <w:ind w:firstLine="420" w:firstLineChars="200"/>
    </w:pPr>
  </w:style>
  <w:style w:type="paragraph" w:customStyle="1" w:styleId="110">
    <w:name w:val="Table Paragraph"/>
    <w:basedOn w:val="1"/>
    <w:qFormat/>
    <w:uiPriority w:val="1"/>
  </w:style>
  <w:style w:type="character" w:customStyle="1" w:styleId="111">
    <w:name w:val="NormalCharacter"/>
    <w:link w:val="1"/>
    <w:qFormat/>
    <w:uiPriority w:val="0"/>
    <w:rPr>
      <w:rFonts w:ascii="Calibri" w:hAnsi="Calibri" w:eastAsia="宋体" w:cs="Times New Roman"/>
      <w:kern w:val="2"/>
      <w:sz w:val="21"/>
      <w:szCs w:val="22"/>
      <w:lang w:val="en-US" w:eastAsia="zh-CN" w:bidi="ar-SA"/>
    </w:rPr>
  </w:style>
  <w:style w:type="paragraph" w:customStyle="1" w:styleId="112">
    <w:name w:val="PlainText"/>
    <w:basedOn w:val="1"/>
    <w:qFormat/>
    <w:uiPriority w:val="0"/>
    <w:pPr>
      <w:jc w:val="both"/>
      <w:textAlignment w:val="baseline"/>
    </w:pPr>
    <w:rPr>
      <w:rFonts w:ascii="宋体" w:hAnsi="Courier New"/>
      <w:kern w:val="0"/>
      <w:sz w:val="20"/>
      <w:szCs w:val="20"/>
      <w:lang w:val="en-US" w:eastAsia="zh-CN" w:bidi="ar-SA"/>
    </w:rPr>
  </w:style>
  <w:style w:type="paragraph" w:customStyle="1" w:styleId="113">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14">
    <w:name w:val="靠左"/>
    <w:basedOn w:val="115"/>
    <w:qFormat/>
    <w:uiPriority w:val="0"/>
    <w:pPr>
      <w:jc w:val="left"/>
    </w:pPr>
    <w:rPr>
      <w:sz w:val="28"/>
    </w:rPr>
  </w:style>
  <w:style w:type="paragraph" w:customStyle="1" w:styleId="115">
    <w:name w:val="居中"/>
    <w:basedOn w:val="1"/>
    <w:qFormat/>
    <w:uiPriority w:val="0"/>
    <w:pPr>
      <w:ind w:firstLine="0" w:firstLineChars="0"/>
      <w:jc w:val="center"/>
    </w:pPr>
  </w:style>
  <w:style w:type="character" w:customStyle="1" w:styleId="116">
    <w:name w:val="first-child"/>
    <w:basedOn w:val="36"/>
    <w:qFormat/>
    <w:uiPriority w:val="0"/>
  </w:style>
  <w:style w:type="character" w:customStyle="1" w:styleId="117">
    <w:name w:val="layui-layer-tabnow"/>
    <w:basedOn w:val="36"/>
    <w:qFormat/>
    <w:uiPriority w:val="0"/>
    <w:rPr>
      <w:bdr w:val="single" w:color="CCCCCC" w:sz="6" w:space="0"/>
      <w:shd w:val="clear" w:fill="FFFFFF"/>
    </w:rPr>
  </w:style>
  <w:style w:type="paragraph" w:customStyle="1" w:styleId="118">
    <w:name w:val="Normal_0"/>
    <w:qFormat/>
    <w:uiPriority w:val="0"/>
    <w:rPr>
      <w:rFonts w:ascii="Times New Roman" w:hAnsi="Times New Roman" w:eastAsia="Times New Roman" w:cs="Times New Roman"/>
      <w:sz w:val="24"/>
      <w:szCs w:val="24"/>
      <w:lang w:val="en-US" w:eastAsia="zh-CN" w:bidi="ar-SA"/>
    </w:rPr>
  </w:style>
  <w:style w:type="paragraph" w:customStyle="1" w:styleId="119">
    <w:name w:val="封面"/>
    <w:basedOn w:val="1"/>
    <w:qFormat/>
    <w:uiPriority w:val="0"/>
    <w:pPr>
      <w:spacing w:line="540" w:lineRule="exact"/>
      <w:jc w:val="center"/>
    </w:pPr>
    <w:rPr>
      <w:rFonts w:ascii="Times New Roman" w:hAnsi="Times New Roman" w:eastAsia="黑体" w:cs="Times New Roman"/>
      <w:b/>
      <w:sz w:val="36"/>
      <w:szCs w:val="36"/>
    </w:rPr>
  </w:style>
  <w:style w:type="paragraph" w:customStyle="1" w:styleId="120">
    <w:name w:val="二级条标题"/>
    <w:basedOn w:val="1"/>
    <w:next w:val="1"/>
    <w:qFormat/>
    <w:uiPriority w:val="0"/>
    <w:pPr>
      <w:widowControl/>
      <w:spacing w:beforeLines="50" w:afterLines="50"/>
      <w:jc w:val="left"/>
      <w:outlineLvl w:val="3"/>
    </w:pPr>
    <w:rPr>
      <w:rFonts w:ascii="黑体" w:hAnsi="Times New Roman" w:eastAsia="黑体" w:cs="Times New Roman"/>
      <w:kern w:val="0"/>
      <w:szCs w:val="21"/>
    </w:rPr>
  </w:style>
  <w:style w:type="paragraph" w:customStyle="1" w:styleId="121">
    <w:name w:val="Table Text"/>
    <w:basedOn w:val="1"/>
    <w:semiHidden/>
    <w:qFormat/>
    <w:uiPriority w:val="0"/>
    <w:rPr>
      <w:rFonts w:ascii="宋体" w:hAnsi="宋体" w:eastAsia="宋体" w:cs="宋体"/>
      <w:sz w:val="26"/>
      <w:szCs w:val="26"/>
      <w:lang w:val="en-US" w:eastAsia="en-US" w:bidi="ar-SA"/>
    </w:rPr>
  </w:style>
  <w:style w:type="table" w:customStyle="1" w:styleId="122">
    <w:name w:val="Table Normal"/>
    <w:semiHidden/>
    <w:unhideWhenUsed/>
    <w:qFormat/>
    <w:uiPriority w:val="0"/>
    <w:tblPr>
      <w:tblCellMar>
        <w:top w:w="0" w:type="dxa"/>
        <w:left w:w="0" w:type="dxa"/>
        <w:bottom w:w="0" w:type="dxa"/>
        <w:right w:w="0" w:type="dxa"/>
      </w:tblCellMar>
    </w:tblPr>
  </w:style>
  <w:style w:type="paragraph" w:customStyle="1" w:styleId="123">
    <w:name w:val="公文正文"/>
    <w:basedOn w:val="1"/>
    <w:qFormat/>
    <w:uiPriority w:val="0"/>
    <w:pPr>
      <w:spacing w:line="300" w:lineRule="auto"/>
      <w:ind w:left="240" w:leftChars="100" w:firstLine="640" w:firstLineChars="200"/>
    </w:pPr>
    <w:rPr>
      <w:rFonts w:ascii="Times New Roman" w:hAnsi="Times New Roman" w:eastAsia="仿宋_GB2312"/>
      <w:sz w:val="32"/>
      <w:lang w:eastAsia="zh-CN"/>
    </w:rPr>
  </w:style>
  <w:style w:type="paragraph" w:customStyle="1" w:styleId="124">
    <w:name w:val="表格文字2"/>
    <w:basedOn w:val="125"/>
    <w:qFormat/>
    <w:uiPriority w:val="99"/>
    <w:pPr>
      <w:spacing w:before="25" w:after="25"/>
      <w:jc w:val="left"/>
    </w:pPr>
    <w:rPr>
      <w:bCs/>
      <w:spacing w:val="10"/>
      <w:kern w:val="0"/>
    </w:rPr>
  </w:style>
  <w:style w:type="paragraph" w:customStyle="1" w:styleId="1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
    <w:name w:val="合同编号"/>
    <w:basedOn w:val="1"/>
    <w:qFormat/>
    <w:uiPriority w:val="0"/>
    <w:pPr>
      <w:wordWrap w:val="0"/>
      <w:spacing w:line="300" w:lineRule="auto"/>
      <w:ind w:right="960"/>
      <w:jc w:val="right"/>
    </w:pPr>
    <w:rPr>
      <w:rFonts w:ascii="黑体" w:hAnsi="Times New Roman" w:eastAsia="黑体"/>
      <w:sz w:val="32"/>
      <w:szCs w:val="32"/>
      <w:lang w:eastAsia="zh-CN"/>
    </w:rPr>
  </w:style>
  <w:style w:type="paragraph" w:customStyle="1" w:styleId="127">
    <w:name w:val="合同标题"/>
    <w:basedOn w:val="1"/>
    <w:qFormat/>
    <w:uiPriority w:val="0"/>
    <w:pPr>
      <w:spacing w:line="480" w:lineRule="auto"/>
      <w:jc w:val="center"/>
    </w:pPr>
    <w:rPr>
      <w:rFonts w:ascii="Times New Roman" w:hAnsi="Times New Roman" w:eastAsia="宋体"/>
      <w:b/>
      <w:sz w:val="52"/>
    </w:rPr>
  </w:style>
  <w:style w:type="paragraph" w:customStyle="1" w:styleId="128">
    <w:name w:val="合同要件"/>
    <w:basedOn w:val="1"/>
    <w:qFormat/>
    <w:uiPriority w:val="0"/>
    <w:pPr>
      <w:adjustRightInd w:val="0"/>
      <w:snapToGrid w:val="0"/>
      <w:spacing w:line="480" w:lineRule="auto"/>
      <w:ind w:firstLine="200" w:firstLineChars="200"/>
      <w:jc w:val="left"/>
    </w:pPr>
    <w:rPr>
      <w:rFonts w:ascii="Times New Roman" w:hAnsi="Times New Roman" w:eastAsia="黑体"/>
      <w:sz w:val="32"/>
      <w:lang w:eastAsia="zh-CN"/>
    </w:rPr>
  </w:style>
  <w:style w:type="paragraph" w:customStyle="1" w:styleId="129">
    <w:name w:val="合同制发"/>
    <w:basedOn w:val="1"/>
    <w:qFormat/>
    <w:uiPriority w:val="0"/>
    <w:pPr>
      <w:spacing w:line="480" w:lineRule="auto"/>
      <w:jc w:val="center"/>
    </w:pPr>
    <w:rPr>
      <w:rFonts w:ascii="Times New Roman" w:hAnsi="Times New Roman" w:eastAsia="宋体"/>
      <w:b/>
      <w:sz w:val="30"/>
    </w:rPr>
  </w:style>
  <w:style w:type="paragraph" w:customStyle="1" w:styleId="130">
    <w:name w:val="公文一级标题"/>
    <w:basedOn w:val="123"/>
    <w:qFormat/>
    <w:uiPriority w:val="0"/>
    <w:rPr>
      <w:rFonts w:eastAsia="黑体"/>
      <w:szCs w:val="32"/>
    </w:rPr>
  </w:style>
  <w:style w:type="paragraph" w:customStyle="1" w:styleId="131">
    <w:name w:val="共同条款"/>
    <w:basedOn w:val="1"/>
    <w:qFormat/>
    <w:uiPriority w:val="0"/>
    <w:pPr>
      <w:spacing w:line="360" w:lineRule="auto"/>
    </w:pPr>
    <w:rPr>
      <w:rFonts w:ascii="黑体" w:hAnsi="华文中宋" w:eastAsia="黑体"/>
      <w:sz w:val="32"/>
      <w:szCs w:val="32"/>
      <w:lang w:eastAsia="zh-CN"/>
    </w:rPr>
  </w:style>
  <w:style w:type="paragraph" w:customStyle="1" w:styleId="132">
    <w:name w:val="Other|1"/>
    <w:qFormat/>
    <w:uiPriority w:val="0"/>
    <w:pPr>
      <w:widowControl w:val="0"/>
      <w:shd w:val="clear" w:color="auto" w:fill="auto"/>
      <w:spacing w:line="552" w:lineRule="exact"/>
      <w:ind w:firstLine="240"/>
      <w:jc w:val="both"/>
    </w:pPr>
    <w:rPr>
      <w:rFonts w:ascii="宋体" w:hAnsi="宋体" w:eastAsia="宋体" w:cs="宋体"/>
      <w:kern w:val="2"/>
      <w:sz w:val="22"/>
      <w:szCs w:val="22"/>
      <w:u w:val="singl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78</Pages>
  <Words>13450</Words>
  <Characters>14671</Characters>
  <Lines>207</Lines>
  <Paragraphs>58</Paragraphs>
  <TotalTime>12</TotalTime>
  <ScaleCrop>false</ScaleCrop>
  <LinksUpToDate>false</LinksUpToDate>
  <CharactersWithSpaces>14904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随心自在</cp:lastModifiedBy>
  <cp:lastPrinted>2021-07-12T20:06:00Z</cp:lastPrinted>
  <dcterms:modified xsi:type="dcterms:W3CDTF">2026-05-21T12:31:32Z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C710D881030A495E964E75D8F0037E23_13</vt:lpwstr>
  </property>
  <property fmtid="{D5CDD505-2E9C-101B-9397-08002B2CF9AE}" pid="4" name="KSOTemplateDocerSaveRecord">
    <vt:lpwstr>eyJoZGlkIjoiZjcwMTAyMmFhMTc2Y2IzN2QxNDNhNDBmZTUyMzU1ZDQiLCJ1c2VySWQiOiIzNzE5NDU1MjAifQ==</vt:lpwstr>
  </property>
</Properties>
</file>