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89C1">
      <w:pPr>
        <w:keepNext w:val="0"/>
        <w:keepLines w:val="0"/>
        <w:pageBreakBefore w:val="0"/>
        <w:widowControl/>
        <w:kinsoku/>
        <w:wordWrap w:val="0"/>
        <w:overflowPunct/>
        <w:topLinePunct w:val="0"/>
        <w:bidi w:val="0"/>
        <w:spacing w:line="255" w:lineRule="auto"/>
        <w:ind w:left="0" w:leftChars="0" w:right="0"/>
        <w:jc w:val="center"/>
        <w:rPr>
          <w:rFonts w:hint="eastAsia" w:ascii="黑体" w:hAnsi="黑体" w:eastAsia="黑体" w:cs="黑体"/>
          <w:b/>
          <w:bCs/>
          <w:snapToGrid w:val="0"/>
          <w:color w:val="auto"/>
          <w:spacing w:val="4"/>
          <w:kern w:val="0"/>
          <w:sz w:val="52"/>
          <w:szCs w:val="52"/>
          <w:highlight w:val="none"/>
          <w:lang w:val="en-US" w:eastAsia="zh-CN" w:bidi="ar-SA"/>
        </w:rPr>
      </w:pPr>
    </w:p>
    <w:p w14:paraId="6E133997">
      <w:pPr>
        <w:pStyle w:val="18"/>
        <w:jc w:val="center"/>
        <w:rPr>
          <w:rFonts w:hint="eastAsia"/>
          <w:color w:val="auto"/>
          <w:sz w:val="40"/>
          <w:szCs w:val="40"/>
          <w:highlight w:val="none"/>
        </w:rPr>
      </w:pPr>
      <w:r>
        <w:rPr>
          <w:rFonts w:hint="eastAsia" w:ascii="黑体" w:hAnsi="黑体" w:eastAsia="黑体" w:cs="黑体"/>
          <w:b/>
          <w:bCs/>
          <w:color w:val="auto"/>
          <w:sz w:val="40"/>
          <w:szCs w:val="40"/>
          <w:highlight w:val="none"/>
          <w:lang w:eastAsia="zh-CN"/>
        </w:rPr>
        <w:t>疏勒县居民安防治理体系建设项目</w:t>
      </w:r>
    </w:p>
    <w:p w14:paraId="6900FD73">
      <w:pPr>
        <w:pStyle w:val="18"/>
        <w:rPr>
          <w:rFonts w:hint="eastAsia" w:ascii="宋体" w:hAnsi="宋体" w:eastAsia="宋体" w:cs="宋体"/>
          <w:color w:val="auto"/>
          <w:highlight w:val="none"/>
        </w:rPr>
      </w:pPr>
    </w:p>
    <w:p w14:paraId="5B96E07E">
      <w:pPr>
        <w:pStyle w:val="10"/>
        <w:tabs>
          <w:tab w:val="left" w:pos="567"/>
        </w:tabs>
        <w:rPr>
          <w:rFonts w:hint="eastAsia"/>
          <w:color w:val="auto"/>
          <w:highlight w:val="none"/>
        </w:rPr>
      </w:pPr>
    </w:p>
    <w:p w14:paraId="51BFAFC6">
      <w:pPr>
        <w:spacing w:line="240" w:lineRule="atLeast"/>
        <w:jc w:val="center"/>
        <w:rPr>
          <w:rFonts w:hint="eastAsia" w:ascii="宋体" w:hAnsi="宋体" w:eastAsia="宋体" w:cs="宋体"/>
          <w:b/>
          <w:color w:val="auto"/>
          <w:kern w:val="44"/>
          <w:sz w:val="32"/>
          <w:szCs w:val="20"/>
          <w:highlight w:val="none"/>
          <w:lang w:val="en-US" w:eastAsia="zh-CN" w:bidi="ar-SA"/>
        </w:rPr>
      </w:pPr>
    </w:p>
    <w:p w14:paraId="3A43D32A">
      <w:pPr>
        <w:spacing w:line="240" w:lineRule="atLeast"/>
        <w:jc w:val="center"/>
        <w:rPr>
          <w:rFonts w:hint="eastAsia" w:ascii="宋体" w:hAnsi="宋体" w:eastAsia="宋体" w:cs="宋体"/>
          <w:b/>
          <w:color w:val="auto"/>
          <w:kern w:val="44"/>
          <w:sz w:val="32"/>
          <w:szCs w:val="20"/>
          <w:highlight w:val="none"/>
          <w:lang w:val="en-US" w:eastAsia="zh-CN" w:bidi="ar-SA"/>
        </w:rPr>
      </w:pPr>
    </w:p>
    <w:p w14:paraId="17EDF3ED">
      <w:pPr>
        <w:spacing w:line="240" w:lineRule="atLeast"/>
        <w:jc w:val="center"/>
        <w:outlineLvl w:val="0"/>
        <w:rPr>
          <w:rFonts w:hint="default" w:ascii="黑体" w:hAnsi="黑体" w:eastAsia="黑体" w:cs="黑体"/>
          <w:b/>
          <w:color w:val="auto"/>
          <w:kern w:val="44"/>
          <w:sz w:val="36"/>
          <w:szCs w:val="21"/>
          <w:highlight w:val="none"/>
          <w:lang w:val="en-US" w:eastAsia="zh-CN" w:bidi="ar-SA"/>
        </w:rPr>
      </w:pPr>
      <w:bookmarkStart w:id="0" w:name="_Toc14051"/>
      <w:bookmarkStart w:id="1" w:name="_Toc27977"/>
      <w:bookmarkStart w:id="2" w:name="_Toc11974"/>
      <w:r>
        <w:rPr>
          <w:rFonts w:hint="eastAsia" w:ascii="黑体" w:hAnsi="黑体" w:eastAsia="黑体" w:cs="黑体"/>
          <w:b/>
          <w:color w:val="auto"/>
          <w:kern w:val="44"/>
          <w:sz w:val="36"/>
          <w:szCs w:val="21"/>
          <w:highlight w:val="none"/>
          <w:lang w:val="en-US" w:eastAsia="zh-CN" w:bidi="ar-SA"/>
        </w:rPr>
        <w:t>项目编号：</w:t>
      </w:r>
      <w:bookmarkEnd w:id="0"/>
      <w:bookmarkEnd w:id="1"/>
      <w:bookmarkEnd w:id="2"/>
      <w:r>
        <w:rPr>
          <w:rFonts w:hint="eastAsia" w:ascii="黑体" w:hAnsi="黑体" w:eastAsia="黑体" w:cs="黑体"/>
          <w:b/>
          <w:color w:val="auto"/>
          <w:kern w:val="44"/>
          <w:sz w:val="36"/>
          <w:szCs w:val="21"/>
          <w:highlight w:val="none"/>
          <w:lang w:val="en-US" w:eastAsia="zh-CN" w:bidi="ar-SA"/>
        </w:rPr>
        <w:t>ZBGJSLXZFCG（GK）2026-16</w:t>
      </w:r>
    </w:p>
    <w:p w14:paraId="56540FB2">
      <w:pPr>
        <w:spacing w:line="240" w:lineRule="atLeast"/>
        <w:jc w:val="center"/>
        <w:rPr>
          <w:rFonts w:hint="eastAsia" w:ascii="宋体" w:hAnsi="宋体" w:eastAsia="宋体" w:cs="宋体"/>
          <w:b/>
          <w:color w:val="auto"/>
          <w:sz w:val="44"/>
          <w:szCs w:val="44"/>
          <w:highlight w:val="none"/>
          <w:lang w:val="en-US" w:eastAsia="zh-CN"/>
        </w:rPr>
      </w:pPr>
    </w:p>
    <w:p w14:paraId="5E482286">
      <w:pPr>
        <w:pStyle w:val="18"/>
        <w:rPr>
          <w:rFonts w:hint="eastAsia" w:ascii="宋体" w:hAnsi="宋体" w:eastAsia="宋体" w:cs="宋体"/>
          <w:color w:val="auto"/>
          <w:highlight w:val="none"/>
          <w:lang w:val="en-US" w:eastAsia="zh-CN"/>
        </w:rPr>
      </w:pPr>
    </w:p>
    <w:p w14:paraId="0CE428BD">
      <w:pPr>
        <w:spacing w:line="240" w:lineRule="atLeast"/>
        <w:jc w:val="center"/>
        <w:rPr>
          <w:rFonts w:hint="eastAsia" w:ascii="宋体" w:hAnsi="宋体" w:eastAsia="宋体" w:cs="宋体"/>
          <w:b/>
          <w:color w:val="auto"/>
          <w:sz w:val="36"/>
          <w:szCs w:val="36"/>
          <w:highlight w:val="none"/>
          <w:lang w:val="en-US" w:eastAsia="zh-CN"/>
        </w:rPr>
      </w:pPr>
    </w:p>
    <w:p w14:paraId="5DEE7696">
      <w:pPr>
        <w:spacing w:line="240" w:lineRule="atLeast"/>
        <w:jc w:val="center"/>
        <w:rPr>
          <w:rFonts w:hint="eastAsia" w:ascii="宋体" w:hAnsi="宋体" w:eastAsia="宋体" w:cs="宋体"/>
          <w:b/>
          <w:color w:val="auto"/>
          <w:sz w:val="36"/>
          <w:szCs w:val="36"/>
          <w:highlight w:val="none"/>
          <w:lang w:val="en-US" w:eastAsia="zh-CN"/>
        </w:rPr>
      </w:pPr>
    </w:p>
    <w:p w14:paraId="2115D196">
      <w:pPr>
        <w:spacing w:line="240" w:lineRule="atLeast"/>
        <w:jc w:val="center"/>
        <w:outlineLvl w:val="0"/>
        <w:rPr>
          <w:rFonts w:hint="eastAsia" w:ascii="黑体" w:hAnsi="黑体" w:eastAsia="黑体" w:cs="黑体"/>
          <w:b/>
          <w:color w:val="auto"/>
          <w:sz w:val="36"/>
          <w:szCs w:val="36"/>
          <w:highlight w:val="none"/>
          <w:lang w:val="en-US" w:eastAsia="zh-CN"/>
        </w:rPr>
      </w:pPr>
      <w:bookmarkStart w:id="3" w:name="_Toc18220"/>
      <w:bookmarkStart w:id="4" w:name="_Toc32"/>
      <w:bookmarkStart w:id="5" w:name="_Toc7074"/>
      <w:r>
        <w:rPr>
          <w:rFonts w:hint="eastAsia" w:ascii="黑体" w:hAnsi="黑体" w:eastAsia="黑体" w:cs="黑体"/>
          <w:b/>
          <w:color w:val="auto"/>
          <w:sz w:val="36"/>
          <w:szCs w:val="36"/>
          <w:highlight w:val="none"/>
          <w:lang w:val="en-US" w:eastAsia="zh-CN"/>
        </w:rPr>
        <w:t>公开招标文件</w:t>
      </w:r>
      <w:bookmarkEnd w:id="3"/>
      <w:bookmarkEnd w:id="4"/>
      <w:bookmarkEnd w:id="5"/>
    </w:p>
    <w:p w14:paraId="6B37956D">
      <w:pPr>
        <w:pStyle w:val="18"/>
        <w:rPr>
          <w:rFonts w:hint="eastAsia" w:ascii="黑体" w:hAnsi="黑体" w:eastAsia="黑体" w:cs="黑体"/>
          <w:color w:val="auto"/>
          <w:highlight w:val="none"/>
          <w:lang w:val="en-US" w:eastAsia="zh-CN"/>
        </w:rPr>
      </w:pPr>
    </w:p>
    <w:p w14:paraId="3F8559C0">
      <w:pPr>
        <w:pStyle w:val="10"/>
        <w:tabs>
          <w:tab w:val="left" w:pos="567"/>
        </w:tabs>
        <w:rPr>
          <w:rFonts w:hint="eastAsia" w:ascii="黑体" w:hAnsi="黑体" w:eastAsia="黑体" w:cs="黑体"/>
          <w:color w:val="auto"/>
          <w:highlight w:val="none"/>
          <w:lang w:val="en-US" w:eastAsia="zh-CN"/>
        </w:rPr>
      </w:pPr>
    </w:p>
    <w:p w14:paraId="0337C2DF">
      <w:pPr>
        <w:keepNext w:val="0"/>
        <w:keepLines w:val="0"/>
        <w:pageBreakBefore w:val="0"/>
        <w:widowControl w:val="0"/>
        <w:kinsoku/>
        <w:wordWrap/>
        <w:overflowPunct/>
        <w:topLinePunct w:val="0"/>
        <w:bidi w:val="0"/>
        <w:spacing w:line="360" w:lineRule="auto"/>
        <w:ind w:left="0" w:leftChars="0" w:firstLine="422" w:firstLineChars="150"/>
        <w:jc w:val="left"/>
        <w:textAlignment w:val="auto"/>
        <w:rPr>
          <w:rFonts w:hint="eastAsia" w:ascii="黑体" w:hAnsi="黑体" w:eastAsia="黑体" w:cs="黑体"/>
          <w:b/>
          <w:bCs/>
          <w:color w:val="auto"/>
          <w:sz w:val="28"/>
          <w:szCs w:val="28"/>
          <w:highlight w:val="none"/>
          <w:u w:val="single"/>
          <w:lang w:val="en-US" w:eastAsia="zh-CN"/>
        </w:rPr>
      </w:pPr>
    </w:p>
    <w:p w14:paraId="4997DDC1">
      <w:pPr>
        <w:keepNext w:val="0"/>
        <w:keepLines w:val="0"/>
        <w:pageBreakBefore w:val="0"/>
        <w:widowControl w:val="0"/>
        <w:kinsoku/>
        <w:wordWrap/>
        <w:overflowPunct/>
        <w:topLinePunct w:val="0"/>
        <w:bidi w:val="0"/>
        <w:spacing w:line="360" w:lineRule="auto"/>
        <w:ind w:left="0" w:leftChars="0" w:firstLine="422" w:firstLineChars="150"/>
        <w:jc w:val="left"/>
        <w:textAlignment w:val="auto"/>
        <w:rPr>
          <w:rFonts w:hint="eastAsia" w:ascii="黑体" w:hAnsi="黑体" w:eastAsia="黑体" w:cs="黑体"/>
          <w:b/>
          <w:bCs/>
          <w:color w:val="auto"/>
          <w:sz w:val="28"/>
          <w:szCs w:val="28"/>
          <w:highlight w:val="none"/>
          <w:u w:val="single"/>
          <w:lang w:val="en-US" w:eastAsia="zh-CN"/>
        </w:rPr>
      </w:pPr>
    </w:p>
    <w:p w14:paraId="70885B29">
      <w:pPr>
        <w:keepNext w:val="0"/>
        <w:keepLines w:val="0"/>
        <w:pageBreakBefore w:val="0"/>
        <w:widowControl w:val="0"/>
        <w:kinsoku/>
        <w:wordWrap/>
        <w:overflowPunct/>
        <w:topLinePunct w:val="0"/>
        <w:bidi w:val="0"/>
        <w:spacing w:line="360" w:lineRule="auto"/>
        <w:ind w:left="0" w:leftChars="0" w:firstLine="422" w:firstLineChars="150"/>
        <w:jc w:val="left"/>
        <w:textAlignment w:val="auto"/>
        <w:rPr>
          <w:rFonts w:hint="eastAsia" w:ascii="黑体" w:hAnsi="黑体" w:eastAsia="黑体" w:cs="黑体"/>
          <w:b/>
          <w:bCs/>
          <w:color w:val="auto"/>
          <w:sz w:val="28"/>
          <w:szCs w:val="28"/>
          <w:highlight w:val="none"/>
          <w:u w:val="single"/>
          <w:lang w:val="en-US" w:eastAsia="zh-CN"/>
        </w:rPr>
      </w:pPr>
      <w:r>
        <w:rPr>
          <w:rFonts w:hint="eastAsia" w:ascii="黑体" w:hAnsi="黑体" w:eastAsia="黑体" w:cs="黑体"/>
          <w:b/>
          <w:bCs/>
          <w:color w:val="auto"/>
          <w:sz w:val="28"/>
          <w:szCs w:val="28"/>
          <w:highlight w:val="none"/>
          <w:u w:val="single"/>
          <w:lang w:val="en-US" w:eastAsia="zh-CN"/>
        </w:rPr>
        <w:t xml:space="preserve">                                                           </w:t>
      </w:r>
    </w:p>
    <w:p w14:paraId="7A6ECA98">
      <w:pPr>
        <w:pStyle w:val="7"/>
        <w:keepNext w:val="0"/>
        <w:keepLines w:val="0"/>
        <w:pageBreakBefore w:val="0"/>
        <w:widowControl w:val="0"/>
        <w:kinsoku/>
        <w:wordWrap/>
        <w:overflowPunct/>
        <w:topLinePunct w:val="0"/>
        <w:bidi w:val="0"/>
        <w:spacing w:line="360" w:lineRule="auto"/>
        <w:ind w:left="0" w:leftChars="0" w:firstLine="422" w:firstLineChars="150"/>
        <w:textAlignment w:val="auto"/>
        <w:outlineLvl w:val="0"/>
        <w:rPr>
          <w:rFonts w:hint="eastAsia" w:ascii="黑体" w:hAnsi="黑体" w:eastAsia="黑体" w:cs="黑体"/>
          <w:b/>
          <w:bCs/>
          <w:color w:val="auto"/>
          <w:sz w:val="28"/>
          <w:szCs w:val="28"/>
          <w:highlight w:val="none"/>
          <w:lang w:eastAsia="zh-CN"/>
        </w:rPr>
      </w:pPr>
      <w:bookmarkStart w:id="6" w:name="_Toc20690"/>
      <w:bookmarkStart w:id="7" w:name="_Toc29986"/>
      <w:bookmarkStart w:id="8" w:name="_Toc3666"/>
      <w:r>
        <w:rPr>
          <w:rFonts w:hint="eastAsia" w:ascii="黑体" w:hAnsi="黑体" w:eastAsia="黑体" w:cs="黑体"/>
          <w:b/>
          <w:bCs/>
          <w:color w:val="auto"/>
          <w:sz w:val="28"/>
          <w:szCs w:val="28"/>
          <w:highlight w:val="none"/>
          <w:lang w:val="en-US" w:eastAsia="zh-CN"/>
        </w:rPr>
        <w:t>采购</w:t>
      </w:r>
      <w:r>
        <w:rPr>
          <w:rFonts w:hint="eastAsia" w:ascii="黑体" w:hAnsi="黑体" w:eastAsia="黑体" w:cs="黑体"/>
          <w:b/>
          <w:bCs/>
          <w:color w:val="auto"/>
          <w:sz w:val="28"/>
          <w:szCs w:val="28"/>
          <w:highlight w:val="none"/>
        </w:rPr>
        <w:t>人：</w:t>
      </w:r>
      <w:bookmarkEnd w:id="6"/>
      <w:bookmarkEnd w:id="7"/>
      <w:bookmarkEnd w:id="8"/>
      <w:r>
        <w:rPr>
          <w:rFonts w:hint="eastAsia" w:ascii="黑体" w:hAnsi="黑体" w:eastAsia="黑体" w:cs="黑体"/>
          <w:b/>
          <w:bCs/>
          <w:color w:val="auto"/>
          <w:sz w:val="28"/>
          <w:szCs w:val="28"/>
          <w:highlight w:val="none"/>
          <w:lang w:eastAsia="zh-CN"/>
        </w:rPr>
        <w:t>疏勒县公安局</w:t>
      </w:r>
    </w:p>
    <w:p w14:paraId="58A813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150"/>
        <w:textAlignment w:val="auto"/>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eastAsia="zh-CN"/>
        </w:rPr>
        <w:t>地址：</w:t>
      </w:r>
      <w:r>
        <w:rPr>
          <w:rFonts w:hint="eastAsia" w:ascii="黑体" w:hAnsi="黑体" w:eastAsia="黑体" w:cs="黑体"/>
          <w:b/>
          <w:bCs/>
          <w:color w:val="auto"/>
          <w:sz w:val="28"/>
          <w:szCs w:val="28"/>
          <w:highlight w:val="none"/>
          <w:lang w:val="en-US" w:eastAsia="zh-CN"/>
        </w:rPr>
        <w:t>疏勒县巴仁乡克什拉克路2号院</w:t>
      </w:r>
    </w:p>
    <w:p w14:paraId="2028C38D">
      <w:pPr>
        <w:pStyle w:val="7"/>
        <w:keepNext w:val="0"/>
        <w:keepLines w:val="0"/>
        <w:pageBreakBefore w:val="0"/>
        <w:wordWrap/>
        <w:overflowPunct/>
        <w:topLinePunct w:val="0"/>
        <w:bidi w:val="0"/>
        <w:spacing w:line="360" w:lineRule="auto"/>
        <w:ind w:left="0" w:leftChars="0" w:firstLine="422" w:firstLineChars="150"/>
        <w:rPr>
          <w:rFonts w:hint="default" w:ascii="黑体" w:hAnsi="黑体" w:eastAsia="黑体" w:cs="黑体"/>
          <w:b/>
          <w:bCs/>
          <w:color w:val="auto"/>
          <w:sz w:val="28"/>
          <w:szCs w:val="28"/>
          <w:highlight w:val="none"/>
          <w:u w:val="none"/>
          <w:lang w:val="en-US"/>
        </w:rPr>
      </w:pPr>
      <w:r>
        <w:rPr>
          <w:rFonts w:hint="eastAsia" w:ascii="黑体" w:hAnsi="黑体" w:eastAsia="黑体" w:cs="黑体"/>
          <w:b/>
          <w:bCs/>
          <w:color w:val="auto"/>
          <w:sz w:val="28"/>
          <w:szCs w:val="28"/>
          <w:highlight w:val="none"/>
          <w:u w:val="none"/>
        </w:rPr>
        <w:t>联系人：</w:t>
      </w:r>
      <w:r>
        <w:rPr>
          <w:rFonts w:hint="eastAsia" w:ascii="黑体" w:hAnsi="黑体" w:eastAsia="黑体" w:cs="黑体"/>
          <w:b/>
          <w:bCs/>
          <w:color w:val="auto"/>
          <w:sz w:val="28"/>
          <w:szCs w:val="28"/>
          <w:highlight w:val="none"/>
          <w:u w:val="none"/>
          <w:lang w:val="en-US" w:eastAsia="zh-CN"/>
        </w:rPr>
        <w:t>邵先福</w:t>
      </w:r>
    </w:p>
    <w:p w14:paraId="18C98E8A">
      <w:pPr>
        <w:pStyle w:val="7"/>
        <w:keepNext w:val="0"/>
        <w:keepLines w:val="0"/>
        <w:pageBreakBefore w:val="0"/>
        <w:wordWrap/>
        <w:overflowPunct/>
        <w:topLinePunct w:val="0"/>
        <w:bidi w:val="0"/>
        <w:spacing w:line="360" w:lineRule="auto"/>
        <w:ind w:left="0" w:leftChars="0" w:firstLine="422" w:firstLineChars="150"/>
        <w:rPr>
          <w:rFonts w:hint="eastAsia" w:ascii="黑体" w:hAnsi="黑体" w:eastAsia="黑体" w:cs="黑体"/>
          <w:b/>
          <w:bCs/>
          <w:color w:val="auto"/>
          <w:sz w:val="28"/>
          <w:szCs w:val="28"/>
          <w:highlight w:val="none"/>
          <w:u w:val="none"/>
          <w:lang w:val="en-US" w:eastAsia="zh-CN"/>
        </w:rPr>
      </w:pPr>
      <w:r>
        <w:rPr>
          <w:rFonts w:hint="eastAsia" w:ascii="黑体" w:hAnsi="黑体" w:eastAsia="黑体" w:cs="黑体"/>
          <w:b/>
          <w:bCs/>
          <w:color w:val="auto"/>
          <w:sz w:val="28"/>
          <w:szCs w:val="28"/>
          <w:highlight w:val="none"/>
          <w:u w:val="none"/>
        </w:rPr>
        <w:t>联系电话：</w:t>
      </w:r>
      <w:r>
        <w:rPr>
          <w:rFonts w:hint="eastAsia" w:ascii="黑体" w:hAnsi="黑体" w:eastAsia="黑体" w:cs="黑体"/>
          <w:b/>
          <w:bCs/>
          <w:color w:val="auto"/>
          <w:sz w:val="28"/>
          <w:szCs w:val="28"/>
          <w:highlight w:val="none"/>
          <w:u w:val="none"/>
          <w:lang w:val="en-US" w:eastAsia="zh-CN"/>
        </w:rPr>
        <w:t>18999630789</w:t>
      </w:r>
    </w:p>
    <w:p w14:paraId="3CB675A9">
      <w:pPr>
        <w:pStyle w:val="7"/>
        <w:ind w:left="0" w:leftChars="0" w:firstLine="420" w:firstLineChars="150"/>
        <w:rPr>
          <w:rFonts w:hint="eastAsia" w:ascii="黑体" w:hAnsi="黑体" w:eastAsia="黑体" w:cs="黑体"/>
          <w:color w:val="auto"/>
          <w:sz w:val="28"/>
          <w:szCs w:val="28"/>
          <w:highlight w:val="none"/>
          <w:u w:val="single"/>
          <w:lang w:val="en-US" w:eastAsia="zh-CN"/>
        </w:rPr>
      </w:pPr>
      <w:r>
        <w:rPr>
          <w:rFonts w:hint="eastAsia" w:ascii="黑体" w:hAnsi="黑体" w:eastAsia="黑体" w:cs="黑体"/>
          <w:color w:val="auto"/>
          <w:sz w:val="28"/>
          <w:szCs w:val="28"/>
          <w:highlight w:val="none"/>
          <w:u w:val="single"/>
          <w:lang w:val="en-US" w:eastAsia="zh-CN"/>
        </w:rPr>
        <w:t xml:space="preserve">                                                                      </w:t>
      </w:r>
    </w:p>
    <w:p w14:paraId="5BCBECBA">
      <w:pPr>
        <w:keepNext w:val="0"/>
        <w:keepLines w:val="0"/>
        <w:pageBreakBefore w:val="0"/>
        <w:widowControl w:val="0"/>
        <w:kinsoku/>
        <w:wordWrap/>
        <w:overflowPunct/>
        <w:topLinePunct w:val="0"/>
        <w:bidi w:val="0"/>
        <w:spacing w:line="360" w:lineRule="auto"/>
        <w:ind w:left="0" w:leftChars="0" w:firstLine="422" w:firstLineChars="150"/>
        <w:textAlignment w:val="auto"/>
        <w:rPr>
          <w:rFonts w:hint="eastAsia" w:ascii="黑体" w:hAnsi="黑体" w:eastAsia="黑体" w:cs="黑体"/>
          <w:b/>
          <w:bCs/>
          <w:color w:val="auto"/>
          <w:sz w:val="28"/>
          <w:szCs w:val="28"/>
          <w:highlight w:val="none"/>
          <w:u w:val="none"/>
          <w:lang w:eastAsia="zh-CN"/>
        </w:rPr>
      </w:pPr>
      <w:r>
        <w:rPr>
          <w:rFonts w:hint="eastAsia" w:ascii="黑体" w:hAnsi="黑体" w:eastAsia="黑体" w:cs="黑体"/>
          <w:b/>
          <w:bCs/>
          <w:color w:val="auto"/>
          <w:sz w:val="28"/>
          <w:szCs w:val="28"/>
          <w:highlight w:val="none"/>
          <w:u w:val="none"/>
        </w:rPr>
        <w:t>代理机构：</w:t>
      </w:r>
      <w:r>
        <w:rPr>
          <w:rFonts w:hint="eastAsia" w:ascii="黑体" w:hAnsi="黑体" w:eastAsia="黑体" w:cs="黑体"/>
          <w:b/>
          <w:bCs/>
          <w:color w:val="auto"/>
          <w:sz w:val="28"/>
          <w:szCs w:val="28"/>
          <w:highlight w:val="none"/>
          <w:u w:val="none"/>
          <w:lang w:eastAsia="zh-CN"/>
        </w:rPr>
        <w:t>智博国际工程咨询有限公司</w:t>
      </w:r>
    </w:p>
    <w:p w14:paraId="1FD99254">
      <w:pPr>
        <w:keepNext w:val="0"/>
        <w:keepLines w:val="0"/>
        <w:pageBreakBefore w:val="0"/>
        <w:widowControl w:val="0"/>
        <w:kinsoku/>
        <w:wordWrap/>
        <w:overflowPunct/>
        <w:topLinePunct w:val="0"/>
        <w:bidi w:val="0"/>
        <w:spacing w:line="360" w:lineRule="auto"/>
        <w:ind w:left="0" w:leftChars="0" w:firstLine="422" w:firstLineChars="150"/>
        <w:textAlignment w:val="auto"/>
        <w:rPr>
          <w:rFonts w:hint="eastAsia" w:ascii="黑体" w:hAnsi="黑体" w:eastAsia="黑体" w:cs="黑体"/>
          <w:b/>
          <w:bCs/>
          <w:color w:val="auto"/>
          <w:sz w:val="28"/>
          <w:szCs w:val="28"/>
          <w:highlight w:val="none"/>
          <w:u w:val="none"/>
          <w:lang w:eastAsia="zh-CN"/>
        </w:rPr>
      </w:pPr>
      <w:r>
        <w:rPr>
          <w:rFonts w:hint="eastAsia" w:ascii="黑体" w:hAnsi="黑体" w:eastAsia="黑体" w:cs="黑体"/>
          <w:b/>
          <w:bCs/>
          <w:color w:val="auto"/>
          <w:sz w:val="28"/>
          <w:szCs w:val="28"/>
          <w:highlight w:val="none"/>
          <w:u w:val="none"/>
        </w:rPr>
        <w:t>地址：</w:t>
      </w:r>
      <w:r>
        <w:rPr>
          <w:rFonts w:hint="eastAsia" w:ascii="黑体" w:hAnsi="黑体" w:eastAsia="黑体" w:cs="黑体"/>
          <w:b/>
          <w:bCs/>
          <w:color w:val="auto"/>
          <w:sz w:val="28"/>
          <w:szCs w:val="28"/>
          <w:highlight w:val="none"/>
          <w:u w:val="none"/>
          <w:lang w:eastAsia="zh-CN"/>
        </w:rPr>
        <w:t>喀什市东湖街道多来提巴格社区青年南路192号</w:t>
      </w:r>
    </w:p>
    <w:p w14:paraId="4B6C7EAE">
      <w:pPr>
        <w:keepNext w:val="0"/>
        <w:keepLines w:val="0"/>
        <w:pageBreakBefore w:val="0"/>
        <w:widowControl w:val="0"/>
        <w:kinsoku/>
        <w:wordWrap/>
        <w:overflowPunct/>
        <w:topLinePunct w:val="0"/>
        <w:bidi w:val="0"/>
        <w:spacing w:line="360" w:lineRule="auto"/>
        <w:ind w:left="0" w:leftChars="0" w:firstLine="422" w:firstLineChars="150"/>
        <w:textAlignment w:val="auto"/>
        <w:rPr>
          <w:rFonts w:hint="default" w:ascii="黑体" w:hAnsi="黑体" w:eastAsia="黑体" w:cs="黑体"/>
          <w:b/>
          <w:bCs w:val="0"/>
          <w:color w:val="auto"/>
          <w:sz w:val="28"/>
          <w:szCs w:val="28"/>
          <w:highlight w:val="none"/>
          <w:u w:val="none"/>
          <w:lang w:val="en-US"/>
        </w:rPr>
      </w:pPr>
      <w:r>
        <w:rPr>
          <w:rFonts w:hint="eastAsia" w:ascii="黑体" w:hAnsi="黑体" w:eastAsia="黑体" w:cs="黑体"/>
          <w:b/>
          <w:bCs w:val="0"/>
          <w:color w:val="auto"/>
          <w:sz w:val="28"/>
          <w:szCs w:val="28"/>
          <w:highlight w:val="none"/>
          <w:u w:val="none"/>
        </w:rPr>
        <w:t>联系人：</w:t>
      </w:r>
      <w:r>
        <w:rPr>
          <w:rFonts w:hint="eastAsia" w:ascii="黑体" w:hAnsi="黑体" w:eastAsia="黑体" w:cs="黑体"/>
          <w:b/>
          <w:bCs w:val="0"/>
          <w:color w:val="auto"/>
          <w:sz w:val="28"/>
          <w:szCs w:val="28"/>
          <w:highlight w:val="none"/>
          <w:u w:val="none"/>
          <w:lang w:val="en-US" w:eastAsia="zh-CN"/>
        </w:rPr>
        <w:t>李博玺</w:t>
      </w:r>
    </w:p>
    <w:p w14:paraId="6E61D209">
      <w:pPr>
        <w:spacing w:line="360" w:lineRule="auto"/>
        <w:ind w:left="0" w:leftChars="0" w:firstLine="422" w:firstLineChars="150"/>
        <w:jc w:val="both"/>
        <w:rPr>
          <w:rFonts w:hint="eastAsia" w:ascii="黑体" w:hAnsi="黑体" w:eastAsia="黑体" w:cs="黑体"/>
          <w:b/>
          <w:bCs w:val="0"/>
          <w:color w:val="auto"/>
          <w:sz w:val="28"/>
          <w:szCs w:val="28"/>
          <w:highlight w:val="none"/>
          <w:u w:val="none"/>
          <w:lang w:val="en-US" w:eastAsia="zh-CN"/>
        </w:rPr>
      </w:pPr>
      <w:r>
        <w:rPr>
          <w:rFonts w:hint="eastAsia" w:ascii="黑体" w:hAnsi="黑体" w:eastAsia="黑体" w:cs="黑体"/>
          <w:b/>
          <w:bCs w:val="0"/>
          <w:color w:val="auto"/>
          <w:sz w:val="28"/>
          <w:szCs w:val="28"/>
          <w:highlight w:val="none"/>
          <w:u w:val="none"/>
        </w:rPr>
        <w:t>联系电话：</w:t>
      </w:r>
      <w:r>
        <w:rPr>
          <w:rFonts w:hint="eastAsia" w:ascii="黑体" w:hAnsi="黑体" w:eastAsia="黑体" w:cs="黑体"/>
          <w:b/>
          <w:bCs w:val="0"/>
          <w:color w:val="auto"/>
          <w:sz w:val="28"/>
          <w:szCs w:val="28"/>
          <w:highlight w:val="none"/>
          <w:u w:val="none"/>
          <w:lang w:val="en-US" w:eastAsia="zh-CN"/>
        </w:rPr>
        <w:t>18197668299</w:t>
      </w:r>
    </w:p>
    <w:p w14:paraId="3803D7DB">
      <w:pPr>
        <w:spacing w:line="360" w:lineRule="auto"/>
        <w:jc w:val="center"/>
        <w:rPr>
          <w:rFonts w:hint="eastAsia" w:ascii="黑体" w:hAnsi="黑体" w:eastAsia="黑体" w:cs="黑体"/>
          <w:b/>
          <w:bCs/>
          <w:color w:val="auto"/>
          <w:sz w:val="30"/>
          <w:szCs w:val="30"/>
          <w:highlight w:val="none"/>
          <w:u w:val="none"/>
          <w:lang w:val="en-US" w:eastAsia="zh-CN"/>
        </w:rPr>
      </w:pPr>
    </w:p>
    <w:p w14:paraId="4048493B">
      <w:pPr>
        <w:keepNext w:val="0"/>
        <w:keepLines w:val="0"/>
        <w:pageBreakBefore w:val="0"/>
        <w:widowControl/>
        <w:kinsoku/>
        <w:wordWrap w:val="0"/>
        <w:overflowPunct/>
        <w:topLinePunct w:val="0"/>
        <w:bidi w:val="0"/>
        <w:spacing w:after="0" w:line="240" w:lineRule="auto"/>
        <w:ind w:left="0" w:leftChars="0" w:right="0" w:rightChars="0" w:firstLine="0" w:firstLineChars="0"/>
        <w:jc w:val="both"/>
        <w:rPr>
          <w:rFonts w:hint="eastAsia" w:ascii="黑体" w:hAnsi="黑体" w:eastAsia="黑体" w:cs="黑体"/>
          <w:b/>
          <w:bCs/>
          <w:color w:val="auto"/>
          <w:sz w:val="30"/>
          <w:szCs w:val="30"/>
          <w:highlight w:val="none"/>
          <w:u w:val="none"/>
          <w:lang w:val="en-US" w:eastAsia="zh-CN"/>
        </w:rPr>
      </w:pPr>
    </w:p>
    <w:p w14:paraId="04C47663">
      <w:pPr>
        <w:keepNext w:val="0"/>
        <w:keepLines w:val="0"/>
        <w:pageBreakBefore w:val="0"/>
        <w:widowControl/>
        <w:kinsoku/>
        <w:wordWrap/>
        <w:overflowPunct/>
        <w:topLinePunct w:val="0"/>
        <w:bidi w:val="0"/>
        <w:spacing w:after="0" w:line="240" w:lineRule="auto"/>
        <w:ind w:left="0" w:leftChars="0" w:right="0" w:rightChars="0" w:firstLine="0" w:firstLineChars="0"/>
        <w:jc w:val="center"/>
        <w:rPr>
          <w:rFonts w:hint="eastAsia" w:ascii="宋体" w:hAnsi="宋体" w:eastAsia="宋体" w:cs="宋体"/>
          <w:b/>
          <w:bCs/>
          <w:color w:val="auto"/>
          <w:sz w:val="30"/>
          <w:szCs w:val="30"/>
          <w:highlight w:val="none"/>
          <w:u w:val="none"/>
          <w:lang w:val="en-US" w:eastAsia="zh-CN"/>
        </w:rPr>
      </w:pPr>
      <w:r>
        <w:rPr>
          <w:rFonts w:hint="eastAsia" w:ascii="黑体" w:hAnsi="黑体" w:eastAsia="黑体" w:cs="黑体"/>
          <w:b/>
          <w:bCs/>
          <w:color w:val="auto"/>
          <w:sz w:val="30"/>
          <w:szCs w:val="30"/>
          <w:highlight w:val="none"/>
          <w:u w:val="none"/>
          <w:lang w:val="en-US" w:eastAsia="zh-CN"/>
        </w:rPr>
        <w:t>2026年06月</w:t>
      </w:r>
    </w:p>
    <w:p w14:paraId="4610F390">
      <w:pPr>
        <w:rPr>
          <w:rFonts w:hint="eastAsia" w:ascii="黑体" w:hAnsi="黑体" w:eastAsia="黑体" w:cs="黑体"/>
          <w:snapToGrid w:val="0"/>
          <w:color w:val="auto"/>
          <w:kern w:val="0"/>
          <w:sz w:val="28"/>
          <w:szCs w:val="28"/>
          <w:highlight w:val="none"/>
          <w:lang w:val="en-US" w:eastAsia="en-US" w:bidi="ar-SA"/>
        </w:rPr>
      </w:pPr>
      <w:r>
        <w:rPr>
          <w:rFonts w:hint="eastAsia" w:ascii="黑体" w:hAnsi="黑体" w:eastAsia="黑体" w:cs="黑体"/>
          <w:snapToGrid w:val="0"/>
          <w:color w:val="auto"/>
          <w:kern w:val="0"/>
          <w:sz w:val="28"/>
          <w:szCs w:val="28"/>
          <w:highlight w:val="none"/>
          <w:lang w:val="en-US" w:eastAsia="en-US" w:bidi="ar-SA"/>
        </w:rPr>
        <w:br w:type="page"/>
      </w:r>
    </w:p>
    <w:sdt>
      <w:sdtPr>
        <w:rPr>
          <w:rFonts w:ascii="宋体" w:hAnsi="宋体" w:eastAsia="宋体" w:cs="Arial"/>
          <w:snapToGrid w:val="0"/>
          <w:color w:val="auto"/>
          <w:kern w:val="0"/>
          <w:sz w:val="21"/>
          <w:szCs w:val="21"/>
          <w:highlight w:val="none"/>
          <w:lang w:val="en-US" w:eastAsia="en-US" w:bidi="ar-SA"/>
        </w:rPr>
        <w:id w:val="147459081"/>
        <w15:color w:val="DBDBDB"/>
        <w:docPartObj>
          <w:docPartGallery w:val="Table of Contents"/>
          <w:docPartUnique/>
        </w:docPartObj>
      </w:sdtPr>
      <w:sdtEndPr>
        <w:rPr>
          <w:rFonts w:ascii="宋体" w:hAnsi="宋体" w:eastAsia="宋体" w:cs="Arial"/>
          <w:b/>
          <w:snapToGrid w:val="0"/>
          <w:color w:val="auto"/>
          <w:kern w:val="0"/>
          <w:sz w:val="24"/>
          <w:szCs w:val="24"/>
          <w:highlight w:val="none"/>
          <w:lang w:val="en-US" w:eastAsia="en-US" w:bidi="ar-SA"/>
        </w:rPr>
      </w:sdtEndPr>
      <w:sdtContent>
        <w:p w14:paraId="7A40A340">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目录</w:t>
          </w:r>
        </w:p>
        <w:p w14:paraId="4496DF66">
          <w:pPr>
            <w:pStyle w:val="15"/>
            <w:tabs>
              <w:tab w:val="right" w:leader="dot" w:pos="8641"/>
            </w:tabs>
            <w:rPr>
              <w:color w:val="auto"/>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TOC \o "1-2" \h \u </w:instrText>
          </w:r>
          <w:r>
            <w:rPr>
              <w:rFonts w:hint="eastAsia" w:ascii="黑体" w:hAnsi="黑体" w:eastAsia="黑体" w:cs="黑体"/>
              <w:color w:val="auto"/>
              <w:sz w:val="24"/>
              <w:szCs w:val="24"/>
              <w:highlight w:val="none"/>
            </w:rPr>
            <w:fldChar w:fldCharType="separate"/>
          </w:r>
        </w:p>
        <w:p w14:paraId="1B46F326">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_Toc5591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3"/>
              <w:sz w:val="24"/>
              <w:szCs w:val="36"/>
              <w:highlight w:val="none"/>
            </w:rPr>
            <w:t>第1章投标人须知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_Toc5591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7CB97C4C">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_Toc17338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14"/>
              <w:sz w:val="24"/>
              <w:szCs w:val="36"/>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_Toc17338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6B358240">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_Toc7292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4"/>
              <w:sz w:val="24"/>
              <w:szCs w:val="32"/>
              <w:highlight w:val="none"/>
            </w:rPr>
            <w:t>1.采购人、采购代理机构及投标人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_Toc7292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6F6664CA">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_Toc29607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4"/>
              <w:sz w:val="24"/>
              <w:szCs w:val="32"/>
              <w:highlight w:val="none"/>
            </w:rPr>
            <w:t>2.资金来源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_Toc29607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07017189">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_Toc28611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5"/>
              <w:sz w:val="24"/>
              <w:szCs w:val="32"/>
              <w:highlight w:val="none"/>
            </w:rPr>
            <w:t>3.投标费用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_Toc28611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59FFD6D6">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_Toc17606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4"/>
              <w:sz w:val="24"/>
              <w:szCs w:val="32"/>
              <w:highlight w:val="none"/>
            </w:rPr>
            <w:t>4.适用法律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_Toc17606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1D1F540B">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_Toc16169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8"/>
              <w:sz w:val="24"/>
              <w:szCs w:val="36"/>
              <w:highlight w:val="none"/>
            </w:rPr>
            <w:t>二招标文件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_Toc16169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311A741A">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_Toc9068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4"/>
              <w:sz w:val="24"/>
              <w:szCs w:val="32"/>
              <w:highlight w:val="none"/>
            </w:rPr>
            <w:t>5.招标文件构成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_Toc9068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14C71B05">
          <w:pPr>
            <w:pStyle w:val="15"/>
            <w:tabs>
              <w:tab w:val="right" w:leader="dot" w:pos="8641"/>
            </w:tabs>
            <w:spacing w:line="360" w:lineRule="auto"/>
            <w:ind w:firstLine="480" w:firstLineChars="200"/>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_Toc32079 </w:instrText>
          </w:r>
          <w:r>
            <w:rPr>
              <w:rFonts w:hint="eastAsia" w:ascii="黑体" w:hAnsi="黑体" w:eastAsia="黑体" w:cs="黑体"/>
              <w:color w:val="auto"/>
              <w:sz w:val="24"/>
              <w:szCs w:val="32"/>
              <w:highlight w:val="none"/>
            </w:rPr>
            <w:fldChar w:fldCharType="separate"/>
          </w:r>
          <w:r>
            <w:rPr>
              <w:rFonts w:hint="eastAsia" w:ascii="黑体" w:hAnsi="黑体" w:eastAsia="黑体" w:cs="黑体"/>
              <w:color w:val="auto"/>
              <w:spacing w:val="-3"/>
              <w:sz w:val="24"/>
              <w:szCs w:val="32"/>
              <w:highlight w:val="none"/>
            </w:rPr>
            <w:t>第一册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_Toc32079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6584E2AC">
          <w:pPr>
            <w:pStyle w:val="19"/>
            <w:tabs>
              <w:tab w:val="right" w:leader="dot" w:pos="8641"/>
            </w:tabs>
            <w:spacing w:line="360" w:lineRule="auto"/>
            <w:ind w:left="0" w:leftChars="0" w:firstLine="480" w:firstLineChars="200"/>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_Toc9126 </w:instrText>
          </w:r>
          <w:r>
            <w:rPr>
              <w:rFonts w:hint="eastAsia" w:ascii="黑体" w:hAnsi="黑体" w:eastAsia="黑体" w:cs="黑体"/>
              <w:color w:val="auto"/>
              <w:sz w:val="24"/>
              <w:szCs w:val="32"/>
              <w:highlight w:val="none"/>
            </w:rPr>
            <w:fldChar w:fldCharType="separate"/>
          </w:r>
          <w:r>
            <w:rPr>
              <w:rFonts w:hint="eastAsia" w:ascii="黑体" w:hAnsi="黑体" w:eastAsia="黑体" w:cs="黑体"/>
              <w:color w:val="auto"/>
              <w:spacing w:val="-3"/>
              <w:sz w:val="24"/>
              <w:szCs w:val="32"/>
              <w:highlight w:val="none"/>
            </w:rPr>
            <w:t>第二册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_Toc9126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547EF20E">
          <w:pPr>
            <w:pStyle w:val="15"/>
            <w:tabs>
              <w:tab w:val="right" w:leader="dot" w:pos="8641"/>
            </w:tabs>
            <w:spacing w:line="360" w:lineRule="auto"/>
            <w:ind w:firstLine="480" w:firstLineChars="200"/>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_Toc218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3"/>
              <w:sz w:val="24"/>
              <w:szCs w:val="36"/>
              <w:highlight w:val="none"/>
            </w:rPr>
            <w:t>三投标文件的编制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_Toc218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24D1E209">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_Toc26123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9"/>
              <w:sz w:val="24"/>
              <w:szCs w:val="36"/>
              <w:highlight w:val="none"/>
            </w:rPr>
            <w:t>四投标文件的递交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_Toc26123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7B4DED73">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_Toc28890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7"/>
              <w:sz w:val="24"/>
              <w:szCs w:val="36"/>
              <w:highlight w:val="none"/>
            </w:rPr>
            <w:t>五开标及评标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_Toc28890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7AB6EA94">
          <w:pPr>
            <w:pStyle w:val="15"/>
            <w:tabs>
              <w:tab w:val="right" w:leader="dot" w:pos="8641"/>
            </w:tabs>
            <w:spacing w:line="360" w:lineRule="auto"/>
            <w:ind w:firstLine="480" w:firstLineChars="200"/>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_Toc1597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7"/>
              <w:sz w:val="24"/>
              <w:szCs w:val="36"/>
              <w:highlight w:val="none"/>
            </w:rPr>
            <w:t>六确定中标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64AB782F">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_Toc17611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5"/>
              <w:sz w:val="24"/>
              <w:szCs w:val="36"/>
              <w:highlight w:val="none"/>
            </w:rPr>
            <w:t>第2章投标文件格式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_Toc17611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15FB0846">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_Toc1234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3"/>
              <w:sz w:val="24"/>
              <w:szCs w:val="36"/>
              <w:highlight w:val="none"/>
            </w:rPr>
            <w:t>第一部分开标一览表及资格证明文件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_Toc1234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22244B89">
          <w:pPr>
            <w:pStyle w:val="19"/>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_Toc20186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3"/>
              <w:sz w:val="24"/>
              <w:szCs w:val="24"/>
              <w:highlight w:val="none"/>
            </w:rPr>
            <w:t>第二部分商务及技术文件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_Toc20186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249E3A50">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_Toc17189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2"/>
              <w:sz w:val="24"/>
              <w:szCs w:val="36"/>
              <w:highlight w:val="none"/>
            </w:rPr>
            <w:t>第3章投标邀请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_Toc17189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428E42B4">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_Toc25543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6"/>
              <w:sz w:val="24"/>
              <w:szCs w:val="36"/>
              <w:highlight w:val="none"/>
            </w:rPr>
            <w:t>第4章投标人须知资料表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_Toc25543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438466F0">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_Toc27316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7"/>
              <w:sz w:val="24"/>
              <w:szCs w:val="36"/>
              <w:highlight w:val="none"/>
            </w:rPr>
            <w:t>第5章服务需求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_Toc27316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133F8BE5">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_Toc31565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pacing w:val="5"/>
              <w:sz w:val="24"/>
              <w:szCs w:val="36"/>
              <w:highlight w:val="none"/>
            </w:rPr>
            <w:t>第6章评标方法和标准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_Toc31565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4794F461">
          <w:pPr>
            <w:pStyle w:val="15"/>
            <w:tabs>
              <w:tab w:val="right" w:leader="dot" w:pos="8641"/>
            </w:tabs>
            <w:spacing w:line="360" w:lineRule="auto"/>
            <w:rPr>
              <w:color w:val="auto"/>
              <w:sz w:val="24"/>
              <w:szCs w:val="24"/>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_Toc25864 </w:instrText>
          </w:r>
          <w:r>
            <w:rPr>
              <w:rFonts w:hint="eastAsia" w:ascii="黑体" w:hAnsi="黑体" w:eastAsia="黑体" w:cs="黑体"/>
              <w:color w:val="auto"/>
              <w:sz w:val="24"/>
              <w:szCs w:val="32"/>
              <w:highlight w:val="none"/>
            </w:rPr>
            <w:fldChar w:fldCharType="separate"/>
          </w:r>
          <w:r>
            <w:rPr>
              <w:rFonts w:hint="eastAsia" w:ascii="黑体" w:hAnsi="黑体" w:eastAsia="黑体" w:cs="黑体"/>
              <w:bCs/>
              <w:color w:val="auto"/>
              <w:sz w:val="24"/>
              <w:szCs w:val="52"/>
              <w:highlight w:val="none"/>
              <w:lang w:eastAsia="zh-CN"/>
            </w:rPr>
            <w:t>疏勒县居民安防治理体系建设项目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_Toc25864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27D04697">
          <w:pPr>
            <w:pStyle w:val="15"/>
            <w:tabs>
              <w:tab w:val="right" w:leader="dot" w:pos="8641"/>
            </w:tabs>
            <w:spacing w:line="360" w:lineRule="auto"/>
            <w:rPr>
              <w:color w:val="auto"/>
              <w:highlight w:val="none"/>
            </w:rPr>
          </w:pPr>
          <w:r>
            <w:rPr>
              <w:rFonts w:hint="eastAsia" w:ascii="黑体" w:hAnsi="黑体" w:eastAsia="黑体" w:cs="黑体"/>
              <w:color w:val="auto"/>
              <w:sz w:val="24"/>
              <w:szCs w:val="32"/>
              <w:highlight w:val="none"/>
            </w:rPr>
            <w:fldChar w:fldCharType="begin"/>
          </w:r>
          <w:r>
            <w:rPr>
              <w:rFonts w:hint="eastAsia" w:ascii="黑体" w:hAnsi="黑体" w:eastAsia="黑体" w:cs="黑体"/>
              <w:color w:val="auto"/>
              <w:sz w:val="24"/>
              <w:szCs w:val="32"/>
              <w:highlight w:val="none"/>
            </w:rPr>
            <w:instrText xml:space="preserve"> HYPERLINK \l _Toc7755 </w:instrText>
          </w:r>
          <w:r>
            <w:rPr>
              <w:rFonts w:hint="eastAsia" w:ascii="黑体" w:hAnsi="黑体" w:eastAsia="黑体" w:cs="黑体"/>
              <w:color w:val="auto"/>
              <w:sz w:val="24"/>
              <w:szCs w:val="32"/>
              <w:highlight w:val="none"/>
            </w:rPr>
            <w:fldChar w:fldCharType="separate"/>
          </w:r>
          <w:r>
            <w:rPr>
              <w:rFonts w:hint="eastAsia" w:ascii="黑体" w:hAnsi="黑体" w:eastAsia="黑体" w:cs="黑体"/>
              <w:color w:val="auto"/>
              <w:sz w:val="24"/>
              <w:szCs w:val="24"/>
              <w:highlight w:val="none"/>
              <w:lang w:eastAsia="zh-CN"/>
            </w:rPr>
            <w:t>第七章</w:t>
          </w:r>
          <w:r>
            <w:rPr>
              <w:rFonts w:hint="eastAsia" w:ascii="黑体" w:hAnsi="黑体" w:eastAsia="黑体" w:cs="黑体"/>
              <w:color w:val="auto"/>
              <w:sz w:val="24"/>
              <w:szCs w:val="24"/>
              <w:highlight w:val="none"/>
            </w:rPr>
            <w:t xml:space="preserve"> 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_Toc7755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黑体" w:hAnsi="黑体" w:eastAsia="黑体" w:cs="黑体"/>
              <w:color w:val="auto"/>
              <w:sz w:val="24"/>
              <w:szCs w:val="32"/>
              <w:highlight w:val="none"/>
            </w:rPr>
            <w:fldChar w:fldCharType="end"/>
          </w:r>
        </w:p>
        <w:p w14:paraId="3B667F6C">
          <w:pPr>
            <w:pStyle w:val="30"/>
            <w:tabs>
              <w:tab w:val="right" w:leader="dot" w:pos="8641"/>
            </w:tabs>
            <w:spacing w:line="480" w:lineRule="auto"/>
            <w:rPr>
              <w:b/>
              <w:color w:val="auto"/>
              <w:sz w:val="24"/>
              <w:szCs w:val="24"/>
              <w:highlight w:val="none"/>
            </w:rPr>
          </w:pPr>
          <w:r>
            <w:rPr>
              <w:rFonts w:hint="eastAsia" w:ascii="黑体" w:hAnsi="黑体" w:eastAsia="黑体" w:cs="黑体"/>
              <w:color w:val="auto"/>
              <w:szCs w:val="24"/>
              <w:highlight w:val="none"/>
            </w:rPr>
            <w:fldChar w:fldCharType="end"/>
          </w:r>
        </w:p>
      </w:sdtContent>
    </w:sdt>
    <w:p w14:paraId="0F06EB66">
      <w:pPr>
        <w:rPr>
          <w:b/>
          <w:color w:val="auto"/>
          <w:highlight w:val="none"/>
        </w:rPr>
      </w:pPr>
    </w:p>
    <w:p w14:paraId="77E4BFB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0"/>
        <w:rPr>
          <w:rFonts w:hint="eastAsia" w:ascii="黑体" w:hAnsi="黑体" w:eastAsia="黑体" w:cs="黑体"/>
          <w:b/>
          <w:bCs/>
          <w:color w:val="auto"/>
          <w:spacing w:val="3"/>
          <w:sz w:val="24"/>
          <w:szCs w:val="24"/>
          <w:highlight w:val="none"/>
        </w:rPr>
        <w:sectPr>
          <w:headerReference r:id="rId5" w:type="default"/>
          <w:footerReference r:id="rId6" w:type="default"/>
          <w:pgSz w:w="11906" w:h="16840"/>
          <w:pgMar w:top="1431" w:right="1480" w:bottom="1128" w:left="1785" w:header="0" w:footer="914" w:gutter="0"/>
          <w:pgBorders>
            <w:top w:val="none" w:sz="0" w:space="0"/>
            <w:left w:val="none" w:sz="0" w:space="0"/>
            <w:bottom w:val="none" w:sz="0" w:space="0"/>
            <w:right w:val="none" w:sz="0" w:space="0"/>
          </w:pgBorders>
          <w:pgNumType w:fmt="decimal" w:start="1"/>
          <w:cols w:space="720" w:num="1"/>
        </w:sectPr>
      </w:pPr>
      <w:bookmarkStart w:id="9" w:name="bookmark1"/>
      <w:bookmarkEnd w:id="9"/>
      <w:bookmarkStart w:id="10" w:name="_Toc12283"/>
      <w:bookmarkStart w:id="11" w:name="_Toc1700"/>
    </w:p>
    <w:p w14:paraId="759B8D1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0"/>
        <w:rPr>
          <w:rFonts w:hint="eastAsia" w:ascii="黑体" w:hAnsi="黑体" w:eastAsia="黑体" w:cs="黑体"/>
          <w:color w:val="auto"/>
          <w:sz w:val="28"/>
          <w:szCs w:val="28"/>
          <w:highlight w:val="none"/>
        </w:rPr>
      </w:pPr>
      <w:bookmarkStart w:id="12" w:name="_Toc5591"/>
      <w:r>
        <w:rPr>
          <w:rFonts w:hint="eastAsia" w:ascii="黑体" w:hAnsi="黑体" w:eastAsia="黑体" w:cs="黑体"/>
          <w:b/>
          <w:bCs/>
          <w:color w:val="auto"/>
          <w:spacing w:val="3"/>
          <w:sz w:val="28"/>
          <w:szCs w:val="28"/>
          <w:highlight w:val="none"/>
        </w:rPr>
        <w:t>第1章投标人须知</w:t>
      </w:r>
      <w:bookmarkEnd w:id="10"/>
      <w:bookmarkEnd w:id="11"/>
      <w:bookmarkEnd w:id="12"/>
    </w:p>
    <w:p w14:paraId="691E750B">
      <w:pPr>
        <w:pStyle w:val="10"/>
        <w:keepNext w:val="0"/>
        <w:keepLines w:val="0"/>
        <w:pageBreakBefore w:val="0"/>
        <w:widowControl/>
        <w:kinsoku/>
        <w:wordWrap w:val="0"/>
        <w:overflowPunct/>
        <w:topLinePunct w:val="0"/>
        <w:autoSpaceDE/>
        <w:autoSpaceDN/>
        <w:bidi w:val="0"/>
        <w:adjustRightInd w:val="0"/>
        <w:snapToGrid w:val="0"/>
        <w:spacing w:line="360" w:lineRule="auto"/>
        <w:ind w:right="0"/>
        <w:jc w:val="center"/>
        <w:textAlignment w:val="baseline"/>
        <w:outlineLvl w:val="1"/>
        <w:rPr>
          <w:rFonts w:hint="eastAsia" w:ascii="黑体" w:hAnsi="黑体" w:eastAsia="黑体" w:cs="黑体"/>
          <w:color w:val="auto"/>
          <w:sz w:val="28"/>
          <w:szCs w:val="28"/>
          <w:highlight w:val="none"/>
        </w:rPr>
      </w:pPr>
      <w:bookmarkStart w:id="13" w:name="bookmark2"/>
      <w:bookmarkEnd w:id="13"/>
      <w:bookmarkStart w:id="14" w:name="_Toc3602"/>
      <w:bookmarkStart w:id="15" w:name="_Toc17338"/>
      <w:bookmarkStart w:id="16" w:name="_Toc25294"/>
      <w:r>
        <w:rPr>
          <w:rFonts w:hint="eastAsia" w:ascii="黑体" w:hAnsi="黑体" w:eastAsia="黑体" w:cs="黑体"/>
          <w:b/>
          <w:bCs/>
          <w:color w:val="auto"/>
          <w:spacing w:val="-14"/>
          <w:sz w:val="28"/>
          <w:szCs w:val="28"/>
          <w:highlight w:val="none"/>
        </w:rPr>
        <w:t>一总则</w:t>
      </w:r>
      <w:bookmarkEnd w:id="14"/>
      <w:bookmarkEnd w:id="15"/>
      <w:bookmarkEnd w:id="16"/>
    </w:p>
    <w:p w14:paraId="658FAF11">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outlineLvl w:val="1"/>
        <w:rPr>
          <w:rFonts w:hint="eastAsia" w:ascii="黑体" w:hAnsi="黑体" w:eastAsia="黑体" w:cs="黑体"/>
          <w:color w:val="auto"/>
          <w:sz w:val="24"/>
          <w:szCs w:val="24"/>
          <w:highlight w:val="none"/>
        </w:rPr>
      </w:pPr>
      <w:bookmarkStart w:id="17" w:name="_Toc7292"/>
      <w:r>
        <w:rPr>
          <w:rFonts w:hint="eastAsia" w:ascii="黑体" w:hAnsi="黑体" w:eastAsia="黑体" w:cs="黑体"/>
          <w:b/>
          <w:bCs/>
          <w:color w:val="auto"/>
          <w:spacing w:val="-4"/>
          <w:sz w:val="24"/>
          <w:szCs w:val="24"/>
          <w:highlight w:val="none"/>
        </w:rPr>
        <w:t>1.采购人、采购代理机构及投标人</w:t>
      </w:r>
      <w:bookmarkEnd w:id="17"/>
    </w:p>
    <w:p w14:paraId="3F09CF5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7"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1.1采购人：是指依法开展政府采购</w:t>
      </w:r>
      <w:r>
        <w:rPr>
          <w:rFonts w:hint="eastAsia" w:ascii="黑体" w:hAnsi="黑体" w:eastAsia="黑体" w:cs="黑体"/>
          <w:color w:val="auto"/>
          <w:spacing w:val="-8"/>
          <w:sz w:val="24"/>
          <w:szCs w:val="24"/>
          <w:highlight w:val="none"/>
        </w:rPr>
        <w:t>活动的国家机关、事业单位、团体组织。</w:t>
      </w:r>
      <w:r>
        <w:rPr>
          <w:rFonts w:hint="eastAsia" w:ascii="黑体" w:hAnsi="黑体" w:eastAsia="黑体" w:cs="黑体"/>
          <w:color w:val="auto"/>
          <w:spacing w:val="-1"/>
          <w:sz w:val="24"/>
          <w:szCs w:val="24"/>
          <w:highlight w:val="none"/>
        </w:rPr>
        <w:t>本项目的采购人见</w:t>
      </w:r>
      <w:r>
        <w:rPr>
          <w:rFonts w:hint="eastAsia" w:ascii="黑体" w:hAnsi="黑体" w:eastAsia="黑体" w:cs="黑体"/>
          <w:color w:val="auto"/>
          <w:spacing w:val="-1"/>
          <w:sz w:val="24"/>
          <w:szCs w:val="24"/>
          <w:highlight w:val="none"/>
          <w:u w:val="single" w:color="auto"/>
        </w:rPr>
        <w:t>投标人须知资料表</w:t>
      </w:r>
      <w:r>
        <w:rPr>
          <w:rFonts w:hint="eastAsia" w:ascii="黑体" w:hAnsi="黑体" w:eastAsia="黑体" w:cs="黑体"/>
          <w:color w:val="auto"/>
          <w:spacing w:val="-1"/>
          <w:sz w:val="24"/>
          <w:szCs w:val="24"/>
          <w:highlight w:val="none"/>
        </w:rPr>
        <w:t>。</w:t>
      </w:r>
    </w:p>
    <w:p w14:paraId="389A6A3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5"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1.2采购代理机构：是指集中采购机构或从事采购代理业务的社会中</w:t>
      </w:r>
      <w:r>
        <w:rPr>
          <w:rFonts w:hint="eastAsia" w:ascii="黑体" w:hAnsi="黑体" w:eastAsia="黑体" w:cs="黑体"/>
          <w:color w:val="auto"/>
          <w:spacing w:val="4"/>
          <w:sz w:val="24"/>
          <w:szCs w:val="24"/>
          <w:highlight w:val="none"/>
        </w:rPr>
        <w:t>介机</w:t>
      </w:r>
      <w:r>
        <w:rPr>
          <w:rFonts w:hint="eastAsia" w:ascii="黑体" w:hAnsi="黑体" w:eastAsia="黑体" w:cs="黑体"/>
          <w:color w:val="auto"/>
          <w:spacing w:val="-1"/>
          <w:sz w:val="24"/>
          <w:szCs w:val="24"/>
          <w:highlight w:val="none"/>
        </w:rPr>
        <w:t>构。本项目的采购代理机构见</w:t>
      </w:r>
      <w:r>
        <w:rPr>
          <w:rFonts w:hint="eastAsia" w:ascii="黑体" w:hAnsi="黑体" w:eastAsia="黑体" w:cs="黑体"/>
          <w:color w:val="auto"/>
          <w:spacing w:val="-1"/>
          <w:sz w:val="24"/>
          <w:szCs w:val="24"/>
          <w:highlight w:val="none"/>
          <w:u w:val="single" w:color="auto"/>
        </w:rPr>
        <w:t>投标人须知资料表</w:t>
      </w:r>
      <w:r>
        <w:rPr>
          <w:rFonts w:hint="eastAsia" w:ascii="黑体" w:hAnsi="黑体" w:eastAsia="黑体" w:cs="黑体"/>
          <w:color w:val="auto"/>
          <w:spacing w:val="-1"/>
          <w:sz w:val="24"/>
          <w:szCs w:val="24"/>
          <w:highlight w:val="none"/>
        </w:rPr>
        <w:t>。</w:t>
      </w:r>
    </w:p>
    <w:p w14:paraId="5BC27D7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63"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1.3投标人：是指向采购人提供货物、工程或者服务的法人、非法人组织或者自然人。本项目的投标人须满足以下条件：</w:t>
      </w:r>
    </w:p>
    <w:p w14:paraId="2B8D145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9"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1.3.1在中华人民共和国境内注册，能够独立承担民事责任，有生产或供应</w:t>
      </w:r>
      <w:r>
        <w:rPr>
          <w:rFonts w:hint="eastAsia" w:ascii="黑体" w:hAnsi="黑体" w:eastAsia="黑体" w:cs="黑体"/>
          <w:color w:val="auto"/>
          <w:spacing w:val="-3"/>
          <w:sz w:val="24"/>
          <w:szCs w:val="24"/>
          <w:highlight w:val="none"/>
        </w:rPr>
        <w:t>能力的本国投标人。</w:t>
      </w:r>
    </w:p>
    <w:p w14:paraId="7DC8C4F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9"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1.3.2具备《中华人民共和国政府采购法》第二十二条关于投标人条件的规</w:t>
      </w:r>
      <w:r>
        <w:rPr>
          <w:rFonts w:hint="eastAsia" w:ascii="黑体" w:hAnsi="黑体" w:eastAsia="黑体" w:cs="黑体"/>
          <w:color w:val="auto"/>
          <w:spacing w:val="-2"/>
          <w:sz w:val="24"/>
          <w:szCs w:val="24"/>
          <w:highlight w:val="none"/>
        </w:rPr>
        <w:t>定，遵守本项目采购人本级和上级财政部门政府采购的有关规定。</w:t>
      </w:r>
    </w:p>
    <w:p w14:paraId="5C9131F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1"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1.3.3以采购代理机构认可的方式获得了本项目的招标文件。</w:t>
      </w:r>
    </w:p>
    <w:p w14:paraId="3F7A927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1"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1.3.4符合</w:t>
      </w:r>
      <w:r>
        <w:rPr>
          <w:rFonts w:hint="eastAsia" w:ascii="黑体" w:hAnsi="黑体" w:eastAsia="黑体" w:cs="黑体"/>
          <w:color w:val="auto"/>
          <w:spacing w:val="-1"/>
          <w:sz w:val="24"/>
          <w:szCs w:val="24"/>
          <w:highlight w:val="none"/>
          <w:u w:val="single" w:color="auto"/>
        </w:rPr>
        <w:t>投标人须知资料表</w:t>
      </w:r>
      <w:r>
        <w:rPr>
          <w:rFonts w:hint="eastAsia" w:ascii="黑体" w:hAnsi="黑体" w:eastAsia="黑体" w:cs="黑体"/>
          <w:color w:val="auto"/>
          <w:spacing w:val="-1"/>
          <w:sz w:val="24"/>
          <w:szCs w:val="24"/>
          <w:highlight w:val="none"/>
        </w:rPr>
        <w:t>中规定的其他要</w:t>
      </w:r>
      <w:r>
        <w:rPr>
          <w:rFonts w:hint="eastAsia" w:ascii="黑体" w:hAnsi="黑体" w:eastAsia="黑体" w:cs="黑体"/>
          <w:color w:val="auto"/>
          <w:spacing w:val="-2"/>
          <w:sz w:val="24"/>
          <w:szCs w:val="24"/>
          <w:highlight w:val="none"/>
        </w:rPr>
        <w:t>求。</w:t>
      </w:r>
    </w:p>
    <w:p w14:paraId="1BE49B1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63" w:firstLineChars="198"/>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1.3.5若</w:t>
      </w:r>
      <w:r>
        <w:rPr>
          <w:rFonts w:hint="eastAsia" w:ascii="黑体" w:hAnsi="黑体" w:eastAsia="黑体" w:cs="黑体"/>
          <w:color w:val="auto"/>
          <w:spacing w:val="-3"/>
          <w:sz w:val="24"/>
          <w:szCs w:val="24"/>
          <w:highlight w:val="none"/>
          <w:u w:val="single" w:color="auto"/>
        </w:rPr>
        <w:t>投标人须知资料表</w:t>
      </w:r>
      <w:r>
        <w:rPr>
          <w:rFonts w:hint="eastAsia" w:ascii="黑体" w:hAnsi="黑体" w:eastAsia="黑体" w:cs="黑体"/>
          <w:color w:val="auto"/>
          <w:spacing w:val="-3"/>
          <w:sz w:val="24"/>
          <w:szCs w:val="24"/>
          <w:highlight w:val="none"/>
        </w:rPr>
        <w:t>中写明专门面向中小企业采购的，如投标人为非中小企业，其投标将被认定为</w:t>
      </w:r>
      <w:r>
        <w:rPr>
          <w:rFonts w:hint="eastAsia" w:ascii="黑体" w:hAnsi="黑体" w:eastAsia="黑体" w:cs="黑体"/>
          <w:b/>
          <w:bCs/>
          <w:color w:val="auto"/>
          <w:spacing w:val="-3"/>
          <w:sz w:val="24"/>
          <w:szCs w:val="24"/>
          <w:highlight w:val="none"/>
        </w:rPr>
        <w:t>投标无效</w:t>
      </w:r>
      <w:r>
        <w:rPr>
          <w:rFonts w:hint="eastAsia" w:ascii="黑体" w:hAnsi="黑体" w:eastAsia="黑体" w:cs="黑体"/>
          <w:color w:val="auto"/>
          <w:spacing w:val="-3"/>
          <w:sz w:val="24"/>
          <w:szCs w:val="24"/>
          <w:highlight w:val="none"/>
        </w:rPr>
        <w:t>。</w:t>
      </w:r>
    </w:p>
    <w:p w14:paraId="070B6EE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w:t>
      </w:r>
      <w:r>
        <w:rPr>
          <w:rFonts w:hint="eastAsia" w:ascii="黑体" w:hAnsi="黑体" w:eastAsia="黑体" w:cs="黑体"/>
          <w:color w:val="auto"/>
          <w:spacing w:val="1"/>
          <w:sz w:val="24"/>
          <w:szCs w:val="24"/>
          <w:highlight w:val="none"/>
          <w:lang w:val="en-US" w:eastAsia="zh-CN"/>
        </w:rPr>
        <w:t>4</w:t>
      </w:r>
      <w:r>
        <w:rPr>
          <w:rFonts w:hint="eastAsia" w:ascii="黑体" w:hAnsi="黑体" w:eastAsia="黑体" w:cs="黑体"/>
          <w:color w:val="auto"/>
          <w:spacing w:val="1"/>
          <w:sz w:val="24"/>
          <w:szCs w:val="24"/>
          <w:highlight w:val="none"/>
        </w:rPr>
        <w:t>单位负责人为同一人或者存在直接控股、管理关系</w:t>
      </w:r>
      <w:r>
        <w:rPr>
          <w:rFonts w:hint="eastAsia" w:ascii="黑体" w:hAnsi="黑体" w:eastAsia="黑体" w:cs="黑体"/>
          <w:color w:val="auto"/>
          <w:sz w:val="24"/>
          <w:szCs w:val="24"/>
          <w:highlight w:val="none"/>
        </w:rPr>
        <w:t>的不同投标人，其</w:t>
      </w:r>
      <w:r>
        <w:rPr>
          <w:rFonts w:hint="eastAsia" w:ascii="黑体" w:hAnsi="黑体" w:eastAsia="黑体" w:cs="黑体"/>
          <w:color w:val="auto"/>
          <w:spacing w:val="-2"/>
          <w:sz w:val="24"/>
          <w:szCs w:val="24"/>
          <w:highlight w:val="none"/>
        </w:rPr>
        <w:t>相关投标将被认定为</w:t>
      </w:r>
      <w:r>
        <w:rPr>
          <w:rFonts w:hint="eastAsia" w:ascii="黑体" w:hAnsi="黑体" w:eastAsia="黑体" w:cs="黑体"/>
          <w:b/>
          <w:bCs/>
          <w:color w:val="auto"/>
          <w:spacing w:val="-2"/>
          <w:sz w:val="24"/>
          <w:szCs w:val="24"/>
          <w:highlight w:val="none"/>
        </w:rPr>
        <w:t>投标无效</w:t>
      </w:r>
      <w:r>
        <w:rPr>
          <w:rFonts w:hint="eastAsia" w:ascii="黑体" w:hAnsi="黑体" w:eastAsia="黑体" w:cs="黑体"/>
          <w:color w:val="auto"/>
          <w:spacing w:val="-2"/>
          <w:sz w:val="24"/>
          <w:szCs w:val="24"/>
          <w:highlight w:val="none"/>
        </w:rPr>
        <w:t>。</w:t>
      </w:r>
    </w:p>
    <w:p w14:paraId="564F349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w:t>
      </w:r>
      <w:r>
        <w:rPr>
          <w:rFonts w:hint="eastAsia" w:ascii="黑体" w:hAnsi="黑体" w:eastAsia="黑体" w:cs="黑体"/>
          <w:color w:val="auto"/>
          <w:spacing w:val="1"/>
          <w:sz w:val="24"/>
          <w:szCs w:val="24"/>
          <w:highlight w:val="none"/>
          <w:lang w:val="en-US" w:eastAsia="zh-CN"/>
        </w:rPr>
        <w:t>5</w:t>
      </w:r>
      <w:r>
        <w:rPr>
          <w:rFonts w:hint="eastAsia" w:ascii="黑体" w:hAnsi="黑体" w:eastAsia="黑体" w:cs="黑体"/>
          <w:color w:val="auto"/>
          <w:spacing w:val="1"/>
          <w:sz w:val="24"/>
          <w:szCs w:val="24"/>
          <w:highlight w:val="none"/>
        </w:rPr>
        <w:t>为本项目提供过整体设计、规范编制或者项目管理、监理、检测等服</w:t>
      </w:r>
      <w:r>
        <w:rPr>
          <w:rFonts w:hint="eastAsia" w:ascii="黑体" w:hAnsi="黑体" w:eastAsia="黑体" w:cs="黑体"/>
          <w:color w:val="auto"/>
          <w:spacing w:val="-1"/>
          <w:sz w:val="24"/>
          <w:szCs w:val="24"/>
          <w:highlight w:val="none"/>
        </w:rPr>
        <w:t>务的投标人，不得再参加本项目上述服务以外的其他采购活动。</w:t>
      </w:r>
      <w:r>
        <w:rPr>
          <w:rFonts w:hint="eastAsia" w:ascii="黑体" w:hAnsi="黑体" w:eastAsia="黑体" w:cs="黑体"/>
          <w:color w:val="auto"/>
          <w:spacing w:val="-2"/>
          <w:sz w:val="24"/>
          <w:szCs w:val="24"/>
          <w:highlight w:val="none"/>
        </w:rPr>
        <w:t>否则其投标将被认定为</w:t>
      </w:r>
      <w:r>
        <w:rPr>
          <w:rFonts w:hint="eastAsia" w:ascii="黑体" w:hAnsi="黑体" w:eastAsia="黑体" w:cs="黑体"/>
          <w:b/>
          <w:bCs/>
          <w:color w:val="auto"/>
          <w:spacing w:val="-2"/>
          <w:sz w:val="24"/>
          <w:szCs w:val="24"/>
          <w:highlight w:val="none"/>
        </w:rPr>
        <w:t>投标无效</w:t>
      </w:r>
      <w:r>
        <w:rPr>
          <w:rFonts w:hint="eastAsia" w:ascii="黑体" w:hAnsi="黑体" w:eastAsia="黑体" w:cs="黑体"/>
          <w:color w:val="auto"/>
          <w:spacing w:val="-2"/>
          <w:sz w:val="24"/>
          <w:szCs w:val="24"/>
          <w:highlight w:val="none"/>
        </w:rPr>
        <w:t>。</w:t>
      </w:r>
    </w:p>
    <w:p w14:paraId="5773650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w:t>
      </w:r>
      <w:r>
        <w:rPr>
          <w:rFonts w:hint="eastAsia" w:ascii="黑体" w:hAnsi="黑体" w:eastAsia="黑体" w:cs="黑体"/>
          <w:color w:val="auto"/>
          <w:spacing w:val="-1"/>
          <w:sz w:val="24"/>
          <w:szCs w:val="24"/>
          <w:highlight w:val="none"/>
          <w:lang w:val="en-US" w:eastAsia="zh-CN"/>
        </w:rPr>
        <w:t>6</w:t>
      </w:r>
      <w:r>
        <w:rPr>
          <w:rFonts w:hint="eastAsia" w:ascii="黑体" w:hAnsi="黑体" w:eastAsia="黑体" w:cs="黑体"/>
          <w:color w:val="auto"/>
          <w:spacing w:val="-1"/>
          <w:sz w:val="24"/>
          <w:szCs w:val="24"/>
          <w:highlight w:val="none"/>
        </w:rPr>
        <w:t>投标人在投标过程中不得向采购人提供或给予影响</w:t>
      </w:r>
      <w:r>
        <w:rPr>
          <w:rFonts w:hint="eastAsia" w:ascii="黑体" w:hAnsi="黑体" w:eastAsia="黑体" w:cs="黑体"/>
          <w:color w:val="auto"/>
          <w:spacing w:val="-2"/>
          <w:sz w:val="24"/>
          <w:szCs w:val="24"/>
          <w:highlight w:val="none"/>
        </w:rPr>
        <w:t>其正常决策行为的</w:t>
      </w:r>
      <w:r>
        <w:rPr>
          <w:rFonts w:hint="eastAsia" w:ascii="黑体" w:hAnsi="黑体" w:eastAsia="黑体" w:cs="黑体"/>
          <w:color w:val="auto"/>
          <w:spacing w:val="-1"/>
          <w:sz w:val="24"/>
          <w:szCs w:val="24"/>
          <w:highlight w:val="none"/>
        </w:rPr>
        <w:t>任何有价值物品或服务</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rPr>
        <w:t>一经发现，其投标将被认定为</w:t>
      </w:r>
      <w:r>
        <w:rPr>
          <w:rFonts w:hint="eastAsia" w:ascii="黑体" w:hAnsi="黑体" w:eastAsia="黑体" w:cs="黑体"/>
          <w:b/>
          <w:bCs/>
          <w:color w:val="auto"/>
          <w:spacing w:val="-1"/>
          <w:sz w:val="24"/>
          <w:szCs w:val="24"/>
          <w:highlight w:val="none"/>
        </w:rPr>
        <w:t>投标无效</w:t>
      </w:r>
      <w:r>
        <w:rPr>
          <w:rFonts w:hint="eastAsia" w:ascii="黑体" w:hAnsi="黑体" w:eastAsia="黑体" w:cs="黑体"/>
          <w:color w:val="auto"/>
          <w:spacing w:val="-1"/>
          <w:sz w:val="24"/>
          <w:szCs w:val="24"/>
          <w:highlight w:val="none"/>
        </w:rPr>
        <w:t>。</w:t>
      </w:r>
    </w:p>
    <w:p w14:paraId="08A12945">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outlineLvl w:val="1"/>
        <w:rPr>
          <w:rFonts w:hint="eastAsia" w:ascii="黑体" w:hAnsi="黑体" w:eastAsia="黑体" w:cs="黑体"/>
          <w:color w:val="auto"/>
          <w:sz w:val="24"/>
          <w:szCs w:val="24"/>
          <w:highlight w:val="none"/>
        </w:rPr>
      </w:pPr>
      <w:bookmarkStart w:id="18" w:name="_Toc29607"/>
      <w:r>
        <w:rPr>
          <w:rFonts w:hint="eastAsia" w:ascii="黑体" w:hAnsi="黑体" w:eastAsia="黑体" w:cs="黑体"/>
          <w:b/>
          <w:bCs/>
          <w:color w:val="auto"/>
          <w:spacing w:val="-4"/>
          <w:sz w:val="24"/>
          <w:szCs w:val="24"/>
          <w:highlight w:val="none"/>
        </w:rPr>
        <w:t>2.资金来源</w:t>
      </w:r>
      <w:bookmarkEnd w:id="18"/>
    </w:p>
    <w:p w14:paraId="06AAEE0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pacing w:val="-10"/>
          <w:sz w:val="24"/>
          <w:szCs w:val="24"/>
          <w:highlight w:val="none"/>
        </w:rPr>
      </w:pPr>
      <w:r>
        <w:rPr>
          <w:rFonts w:hint="eastAsia" w:ascii="黑体" w:hAnsi="黑体" w:eastAsia="黑体" w:cs="黑体"/>
          <w:color w:val="auto"/>
          <w:spacing w:val="-1"/>
          <w:sz w:val="24"/>
          <w:szCs w:val="24"/>
          <w:highlight w:val="none"/>
        </w:rPr>
        <w:t>2.1本项目的采购人已获得足以支付本次招标后所签订的合同项下的资金</w:t>
      </w:r>
      <w:r>
        <w:rPr>
          <w:rFonts w:hint="eastAsia" w:ascii="黑体" w:hAnsi="黑体" w:eastAsia="黑体" w:cs="黑体"/>
          <w:color w:val="auto"/>
          <w:spacing w:val="-10"/>
          <w:sz w:val="24"/>
          <w:szCs w:val="24"/>
          <w:highlight w:val="none"/>
        </w:rPr>
        <w:t>。</w:t>
      </w:r>
    </w:p>
    <w:p w14:paraId="5132F6C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2.2项目预算金额和分项或分包最高限价</w:t>
      </w:r>
      <w:r>
        <w:rPr>
          <w:rFonts w:hint="eastAsia" w:ascii="黑体" w:hAnsi="黑体" w:eastAsia="黑体" w:cs="黑体"/>
          <w:color w:val="auto"/>
          <w:spacing w:val="-1"/>
          <w:sz w:val="24"/>
          <w:szCs w:val="24"/>
          <w:highlight w:val="none"/>
          <w:u w:val="single" w:color="auto"/>
        </w:rPr>
        <w:t>见投标人须知资料表</w:t>
      </w:r>
      <w:r>
        <w:rPr>
          <w:rFonts w:hint="eastAsia" w:ascii="黑体" w:hAnsi="黑体" w:eastAsia="黑体" w:cs="黑体"/>
          <w:color w:val="auto"/>
          <w:spacing w:val="-1"/>
          <w:sz w:val="24"/>
          <w:szCs w:val="24"/>
          <w:highlight w:val="none"/>
        </w:rPr>
        <w:t>。</w:t>
      </w:r>
    </w:p>
    <w:p w14:paraId="2039ED9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2.3投标人报价超过招标文件规定的预算金额或者分项、分包最高限价的，</w:t>
      </w:r>
      <w:r>
        <w:rPr>
          <w:rFonts w:hint="eastAsia" w:ascii="黑体" w:hAnsi="黑体" w:eastAsia="黑体" w:cs="黑体"/>
          <w:color w:val="auto"/>
          <w:spacing w:val="-2"/>
          <w:sz w:val="24"/>
          <w:szCs w:val="24"/>
          <w:highlight w:val="none"/>
        </w:rPr>
        <w:t>其投标将被认定为</w:t>
      </w:r>
      <w:r>
        <w:rPr>
          <w:rFonts w:hint="eastAsia" w:ascii="黑体" w:hAnsi="黑体" w:eastAsia="黑体" w:cs="黑体"/>
          <w:b/>
          <w:bCs/>
          <w:color w:val="auto"/>
          <w:spacing w:val="-2"/>
          <w:sz w:val="24"/>
          <w:szCs w:val="24"/>
          <w:highlight w:val="none"/>
        </w:rPr>
        <w:t>投标无效</w:t>
      </w:r>
      <w:r>
        <w:rPr>
          <w:rFonts w:hint="eastAsia" w:ascii="黑体" w:hAnsi="黑体" w:eastAsia="黑体" w:cs="黑体"/>
          <w:color w:val="auto"/>
          <w:spacing w:val="-2"/>
          <w:sz w:val="24"/>
          <w:szCs w:val="24"/>
          <w:highlight w:val="none"/>
        </w:rPr>
        <w:t>。</w:t>
      </w:r>
    </w:p>
    <w:p w14:paraId="5EBF949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1"/>
        <w:rPr>
          <w:rFonts w:hint="eastAsia" w:ascii="黑体" w:hAnsi="黑体" w:eastAsia="黑体" w:cs="黑体"/>
          <w:color w:val="auto"/>
          <w:sz w:val="24"/>
          <w:szCs w:val="24"/>
          <w:highlight w:val="none"/>
        </w:rPr>
      </w:pPr>
      <w:bookmarkStart w:id="19" w:name="_Toc28611"/>
      <w:r>
        <w:rPr>
          <w:rFonts w:hint="eastAsia" w:ascii="黑体" w:hAnsi="黑体" w:eastAsia="黑体" w:cs="黑体"/>
          <w:b/>
          <w:bCs/>
          <w:color w:val="auto"/>
          <w:spacing w:val="-5"/>
          <w:sz w:val="24"/>
          <w:szCs w:val="24"/>
          <w:highlight w:val="none"/>
        </w:rPr>
        <w:t>3.投标费用</w:t>
      </w:r>
      <w:bookmarkEnd w:id="19"/>
    </w:p>
    <w:p w14:paraId="6048B22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不论投标的结果如何，投标人应承担所有与准</w:t>
      </w:r>
      <w:r>
        <w:rPr>
          <w:rFonts w:hint="eastAsia" w:ascii="黑体" w:hAnsi="黑体" w:eastAsia="黑体" w:cs="黑体"/>
          <w:color w:val="auto"/>
          <w:spacing w:val="-1"/>
          <w:sz w:val="24"/>
          <w:szCs w:val="24"/>
          <w:highlight w:val="none"/>
        </w:rPr>
        <w:t>备和参加投标有关的费</w:t>
      </w:r>
      <w:r>
        <w:rPr>
          <w:rFonts w:hint="eastAsia" w:ascii="黑体" w:hAnsi="黑体" w:eastAsia="黑体" w:cs="黑体"/>
          <w:color w:val="auto"/>
          <w:spacing w:val="-14"/>
          <w:sz w:val="24"/>
          <w:szCs w:val="24"/>
          <w:highlight w:val="none"/>
        </w:rPr>
        <w:t>用。</w:t>
      </w:r>
    </w:p>
    <w:p w14:paraId="214C764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1"/>
        <w:rPr>
          <w:rFonts w:hint="eastAsia" w:ascii="黑体" w:hAnsi="黑体" w:eastAsia="黑体" w:cs="黑体"/>
          <w:color w:val="auto"/>
          <w:sz w:val="24"/>
          <w:szCs w:val="24"/>
          <w:highlight w:val="none"/>
        </w:rPr>
      </w:pPr>
      <w:bookmarkStart w:id="20" w:name="_Toc17606"/>
      <w:r>
        <w:rPr>
          <w:rFonts w:hint="eastAsia" w:ascii="黑体" w:hAnsi="黑体" w:eastAsia="黑体" w:cs="黑体"/>
          <w:b/>
          <w:bCs/>
          <w:color w:val="auto"/>
          <w:spacing w:val="-4"/>
          <w:sz w:val="24"/>
          <w:szCs w:val="24"/>
          <w:highlight w:val="none"/>
        </w:rPr>
        <w:t>4.适用法律</w:t>
      </w:r>
      <w:bookmarkEnd w:id="20"/>
    </w:p>
    <w:p w14:paraId="5AEFC88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本项目采购人、采购代理机构、投标人、评标委员会的相关行为均受《中</w:t>
      </w:r>
      <w:r>
        <w:rPr>
          <w:rFonts w:hint="eastAsia" w:ascii="黑体" w:hAnsi="黑体" w:eastAsia="黑体" w:cs="黑体"/>
          <w:color w:val="auto"/>
          <w:spacing w:val="-2"/>
          <w:sz w:val="24"/>
          <w:szCs w:val="24"/>
          <w:highlight w:val="none"/>
        </w:rPr>
        <w:t>华人民共和国政府采购法》、《中华人民共和国政</w:t>
      </w:r>
      <w:r>
        <w:rPr>
          <w:rFonts w:hint="eastAsia" w:ascii="黑体" w:hAnsi="黑体" w:eastAsia="黑体" w:cs="黑体"/>
          <w:color w:val="auto"/>
          <w:spacing w:val="-3"/>
          <w:sz w:val="24"/>
          <w:szCs w:val="24"/>
          <w:highlight w:val="none"/>
        </w:rPr>
        <w:t>府采购法实施条例》、中华</w:t>
      </w:r>
      <w:r>
        <w:rPr>
          <w:rFonts w:hint="eastAsia" w:ascii="黑体" w:hAnsi="黑体" w:eastAsia="黑体" w:cs="黑体"/>
          <w:color w:val="auto"/>
          <w:spacing w:val="-1"/>
          <w:sz w:val="24"/>
          <w:szCs w:val="24"/>
          <w:highlight w:val="none"/>
        </w:rPr>
        <w:t>人民共和国财政部令第87号《政府采购货物和服务招标投标管理办法</w:t>
      </w:r>
      <w:r>
        <w:rPr>
          <w:rFonts w:hint="eastAsia" w:ascii="黑体" w:hAnsi="黑体" w:eastAsia="黑体" w:cs="黑体"/>
          <w:color w:val="auto"/>
          <w:spacing w:val="-2"/>
          <w:sz w:val="24"/>
          <w:szCs w:val="24"/>
          <w:highlight w:val="none"/>
        </w:rPr>
        <w:t>》及本项目本级和上级财政部门政府采购有关规定的约束，其</w:t>
      </w:r>
      <w:r>
        <w:rPr>
          <w:rFonts w:hint="eastAsia" w:ascii="黑体" w:hAnsi="黑体" w:eastAsia="黑体" w:cs="黑体"/>
          <w:color w:val="auto"/>
          <w:spacing w:val="-3"/>
          <w:sz w:val="24"/>
          <w:szCs w:val="24"/>
          <w:highlight w:val="none"/>
        </w:rPr>
        <w:t>权利受到上述法律法规</w:t>
      </w:r>
      <w:r>
        <w:rPr>
          <w:rFonts w:hint="eastAsia" w:ascii="黑体" w:hAnsi="黑体" w:eastAsia="黑体" w:cs="黑体"/>
          <w:color w:val="auto"/>
          <w:spacing w:val="-8"/>
          <w:sz w:val="24"/>
          <w:szCs w:val="24"/>
          <w:highlight w:val="none"/>
        </w:rPr>
        <w:t>的保护。</w:t>
      </w:r>
    </w:p>
    <w:p w14:paraId="3339178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1"/>
        <w:rPr>
          <w:rFonts w:hint="eastAsia" w:ascii="黑体" w:hAnsi="黑体" w:eastAsia="黑体" w:cs="黑体"/>
          <w:color w:val="auto"/>
          <w:sz w:val="28"/>
          <w:szCs w:val="28"/>
          <w:highlight w:val="none"/>
        </w:rPr>
      </w:pPr>
      <w:bookmarkStart w:id="21" w:name="_Toc16169"/>
      <w:r>
        <w:rPr>
          <w:rFonts w:hint="eastAsia" w:ascii="黑体" w:hAnsi="黑体" w:eastAsia="黑体" w:cs="黑体"/>
          <w:b/>
          <w:bCs/>
          <w:color w:val="auto"/>
          <w:spacing w:val="-8"/>
          <w:sz w:val="28"/>
          <w:szCs w:val="28"/>
          <w:highlight w:val="none"/>
        </w:rPr>
        <w:t>二招标文件</w:t>
      </w:r>
      <w:bookmarkEnd w:id="21"/>
    </w:p>
    <w:p w14:paraId="5C8A83B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1"/>
        <w:rPr>
          <w:rFonts w:hint="eastAsia" w:ascii="黑体" w:hAnsi="黑体" w:eastAsia="黑体" w:cs="黑体"/>
          <w:color w:val="auto"/>
          <w:sz w:val="24"/>
          <w:szCs w:val="24"/>
          <w:highlight w:val="none"/>
        </w:rPr>
      </w:pPr>
      <w:bookmarkStart w:id="22" w:name="_Toc9068"/>
      <w:r>
        <w:rPr>
          <w:rFonts w:hint="eastAsia" w:ascii="黑体" w:hAnsi="黑体" w:eastAsia="黑体" w:cs="黑体"/>
          <w:b/>
          <w:bCs/>
          <w:color w:val="auto"/>
          <w:spacing w:val="-4"/>
          <w:sz w:val="24"/>
          <w:szCs w:val="24"/>
          <w:highlight w:val="none"/>
        </w:rPr>
        <w:t>5.招标文件构成</w:t>
      </w:r>
      <w:bookmarkEnd w:id="22"/>
    </w:p>
    <w:p w14:paraId="291E110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85"/>
        <w:textAlignment w:val="baseline"/>
        <w:rPr>
          <w:rFonts w:hint="eastAsia" w:ascii="黑体" w:hAnsi="黑体" w:eastAsia="黑体" w:cs="黑体"/>
          <w:color w:val="auto"/>
          <w:spacing w:val="-7"/>
          <w:sz w:val="24"/>
          <w:szCs w:val="24"/>
          <w:highlight w:val="none"/>
        </w:rPr>
      </w:pPr>
      <w:r>
        <w:rPr>
          <w:rFonts w:hint="eastAsia" w:ascii="黑体" w:hAnsi="黑体" w:eastAsia="黑体" w:cs="黑体"/>
          <w:color w:val="auto"/>
          <w:spacing w:val="-7"/>
          <w:sz w:val="24"/>
          <w:szCs w:val="24"/>
          <w:highlight w:val="none"/>
        </w:rPr>
        <w:t>5.1招标文件分为三册共7章，内容如下：</w:t>
      </w:r>
    </w:p>
    <w:p w14:paraId="4967F19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2" w:firstLineChars="185"/>
        <w:textAlignment w:val="baseline"/>
        <w:outlineLvl w:val="0"/>
        <w:rPr>
          <w:rFonts w:hint="eastAsia" w:ascii="黑体" w:hAnsi="黑体" w:eastAsia="黑体" w:cs="黑体"/>
          <w:color w:val="auto"/>
          <w:sz w:val="24"/>
          <w:szCs w:val="24"/>
          <w:highlight w:val="none"/>
        </w:rPr>
      </w:pPr>
      <w:bookmarkStart w:id="23" w:name="_Toc32079"/>
      <w:bookmarkStart w:id="24" w:name="_Toc13210"/>
      <w:r>
        <w:rPr>
          <w:rFonts w:hint="eastAsia" w:ascii="黑体" w:hAnsi="黑体" w:eastAsia="黑体" w:cs="黑体"/>
          <w:color w:val="auto"/>
          <w:spacing w:val="-3"/>
          <w:sz w:val="24"/>
          <w:szCs w:val="24"/>
          <w:highlight w:val="none"/>
        </w:rPr>
        <w:t>第一册</w:t>
      </w:r>
      <w:bookmarkEnd w:id="23"/>
      <w:bookmarkEnd w:id="24"/>
    </w:p>
    <w:p w14:paraId="6676553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2" w:firstLineChars="185"/>
        <w:textAlignment w:val="baseline"/>
        <w:outlineLvl w:val="0"/>
        <w:rPr>
          <w:rFonts w:hint="eastAsia" w:ascii="黑体" w:hAnsi="黑体" w:eastAsia="黑体" w:cs="黑体"/>
          <w:color w:val="auto"/>
          <w:sz w:val="24"/>
          <w:szCs w:val="24"/>
          <w:highlight w:val="none"/>
        </w:rPr>
      </w:pPr>
      <w:bookmarkStart w:id="25" w:name="_Toc14023"/>
      <w:bookmarkStart w:id="26" w:name="_Toc6352"/>
      <w:bookmarkStart w:id="27" w:name="_Toc19555"/>
      <w:r>
        <w:rPr>
          <w:rFonts w:hint="eastAsia" w:ascii="黑体" w:hAnsi="黑体" w:eastAsia="黑体" w:cs="黑体"/>
          <w:color w:val="auto"/>
          <w:spacing w:val="-3"/>
          <w:sz w:val="24"/>
          <w:szCs w:val="24"/>
          <w:highlight w:val="none"/>
        </w:rPr>
        <w:t>第1章投标人须知</w:t>
      </w:r>
      <w:bookmarkEnd w:id="25"/>
      <w:bookmarkEnd w:id="26"/>
      <w:bookmarkEnd w:id="27"/>
    </w:p>
    <w:p w14:paraId="5C1A754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0" w:firstLineChars="185"/>
        <w:textAlignment w:val="baseline"/>
        <w:outlineLvl w:val="0"/>
        <w:rPr>
          <w:rFonts w:hint="eastAsia" w:ascii="黑体" w:hAnsi="黑体" w:eastAsia="黑体" w:cs="黑体"/>
          <w:color w:val="auto"/>
          <w:sz w:val="24"/>
          <w:szCs w:val="24"/>
          <w:highlight w:val="none"/>
        </w:rPr>
      </w:pPr>
      <w:bookmarkStart w:id="28" w:name="_Toc11106"/>
      <w:bookmarkStart w:id="29" w:name="_Toc21318"/>
      <w:bookmarkStart w:id="30" w:name="_Toc7233"/>
      <w:r>
        <w:rPr>
          <w:rFonts w:hint="eastAsia" w:ascii="黑体" w:hAnsi="黑体" w:eastAsia="黑体" w:cs="黑体"/>
          <w:color w:val="auto"/>
          <w:spacing w:val="-9"/>
          <w:sz w:val="24"/>
          <w:szCs w:val="24"/>
          <w:highlight w:val="none"/>
        </w:rPr>
        <w:t>第</w:t>
      </w:r>
      <w:r>
        <w:rPr>
          <w:rFonts w:hint="eastAsia" w:ascii="黑体" w:hAnsi="黑体" w:eastAsia="黑体" w:cs="黑体"/>
          <w:color w:val="auto"/>
          <w:spacing w:val="-9"/>
          <w:sz w:val="24"/>
          <w:szCs w:val="24"/>
          <w:highlight w:val="none"/>
          <w:lang w:val="en-US" w:eastAsia="zh-CN"/>
        </w:rPr>
        <w:t>2</w:t>
      </w:r>
      <w:r>
        <w:rPr>
          <w:rFonts w:hint="eastAsia" w:ascii="黑体" w:hAnsi="黑体" w:eastAsia="黑体" w:cs="黑体"/>
          <w:color w:val="auto"/>
          <w:spacing w:val="-9"/>
          <w:sz w:val="24"/>
          <w:szCs w:val="24"/>
          <w:highlight w:val="none"/>
        </w:rPr>
        <w:t>章投标文件格式</w:t>
      </w:r>
      <w:bookmarkEnd w:id="28"/>
      <w:bookmarkEnd w:id="29"/>
      <w:bookmarkEnd w:id="30"/>
    </w:p>
    <w:p w14:paraId="586408A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2" w:firstLineChars="185"/>
        <w:textAlignment w:val="baseline"/>
        <w:outlineLvl w:val="1"/>
        <w:rPr>
          <w:rFonts w:hint="eastAsia" w:ascii="黑体" w:hAnsi="黑体" w:eastAsia="黑体" w:cs="黑体"/>
          <w:color w:val="auto"/>
          <w:sz w:val="24"/>
          <w:szCs w:val="24"/>
          <w:highlight w:val="none"/>
        </w:rPr>
      </w:pPr>
      <w:bookmarkStart w:id="31" w:name="_Toc22719"/>
      <w:bookmarkStart w:id="32" w:name="_Toc9126"/>
      <w:r>
        <w:rPr>
          <w:rFonts w:hint="eastAsia" w:ascii="黑体" w:hAnsi="黑体" w:eastAsia="黑体" w:cs="黑体"/>
          <w:color w:val="auto"/>
          <w:spacing w:val="-3"/>
          <w:sz w:val="24"/>
          <w:szCs w:val="24"/>
          <w:highlight w:val="none"/>
        </w:rPr>
        <w:t>第二册</w:t>
      </w:r>
      <w:bookmarkEnd w:id="31"/>
      <w:bookmarkEnd w:id="32"/>
    </w:p>
    <w:p w14:paraId="6936DCB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0"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第</w:t>
      </w:r>
      <w:r>
        <w:rPr>
          <w:rFonts w:hint="eastAsia" w:ascii="黑体" w:hAnsi="黑体" w:eastAsia="黑体" w:cs="黑体"/>
          <w:color w:val="auto"/>
          <w:spacing w:val="-9"/>
          <w:sz w:val="24"/>
          <w:szCs w:val="24"/>
          <w:highlight w:val="none"/>
          <w:lang w:val="en-US" w:eastAsia="zh-CN"/>
        </w:rPr>
        <w:t>3</w:t>
      </w:r>
      <w:r>
        <w:rPr>
          <w:rFonts w:hint="eastAsia" w:ascii="黑体" w:hAnsi="黑体" w:eastAsia="黑体" w:cs="黑体"/>
          <w:color w:val="auto"/>
          <w:spacing w:val="-9"/>
          <w:sz w:val="24"/>
          <w:szCs w:val="24"/>
          <w:highlight w:val="none"/>
        </w:rPr>
        <w:t>章投标邀请</w:t>
      </w:r>
    </w:p>
    <w:p w14:paraId="232861D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1"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第</w:t>
      </w:r>
      <w:r>
        <w:rPr>
          <w:rFonts w:hint="eastAsia" w:ascii="黑体" w:hAnsi="黑体" w:eastAsia="黑体" w:cs="黑体"/>
          <w:color w:val="auto"/>
          <w:spacing w:val="-6"/>
          <w:sz w:val="24"/>
          <w:szCs w:val="24"/>
          <w:highlight w:val="none"/>
          <w:lang w:val="en-US" w:eastAsia="zh-CN"/>
        </w:rPr>
        <w:t>4</w:t>
      </w:r>
      <w:r>
        <w:rPr>
          <w:rFonts w:hint="eastAsia" w:ascii="黑体" w:hAnsi="黑体" w:eastAsia="黑体" w:cs="黑体"/>
          <w:color w:val="auto"/>
          <w:spacing w:val="-6"/>
          <w:sz w:val="24"/>
          <w:szCs w:val="24"/>
          <w:highlight w:val="none"/>
        </w:rPr>
        <w:t>章投标人须知资料表</w:t>
      </w:r>
    </w:p>
    <w:p w14:paraId="0563859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第</w:t>
      </w:r>
      <w:r>
        <w:rPr>
          <w:rFonts w:hint="eastAsia" w:ascii="黑体" w:hAnsi="黑体" w:eastAsia="黑体" w:cs="黑体"/>
          <w:color w:val="auto"/>
          <w:spacing w:val="-7"/>
          <w:sz w:val="24"/>
          <w:szCs w:val="24"/>
          <w:highlight w:val="none"/>
          <w:lang w:val="en-US" w:eastAsia="zh-CN"/>
        </w:rPr>
        <w:t>5</w:t>
      </w:r>
      <w:r>
        <w:rPr>
          <w:rFonts w:hint="eastAsia" w:ascii="黑体" w:hAnsi="黑体" w:eastAsia="黑体" w:cs="黑体"/>
          <w:color w:val="auto"/>
          <w:spacing w:val="-7"/>
          <w:sz w:val="24"/>
          <w:szCs w:val="24"/>
          <w:highlight w:val="none"/>
        </w:rPr>
        <w:t>章服务需求</w:t>
      </w:r>
    </w:p>
    <w:p w14:paraId="7C76D22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1"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第</w:t>
      </w:r>
      <w:r>
        <w:rPr>
          <w:rFonts w:hint="eastAsia" w:ascii="黑体" w:hAnsi="黑体" w:eastAsia="黑体" w:cs="黑体"/>
          <w:color w:val="auto"/>
          <w:spacing w:val="-6"/>
          <w:sz w:val="24"/>
          <w:szCs w:val="24"/>
          <w:highlight w:val="none"/>
          <w:lang w:val="en-US" w:eastAsia="zh-CN"/>
        </w:rPr>
        <w:t>6</w:t>
      </w:r>
      <w:r>
        <w:rPr>
          <w:rFonts w:hint="eastAsia" w:ascii="黑体" w:hAnsi="黑体" w:eastAsia="黑体" w:cs="黑体"/>
          <w:color w:val="auto"/>
          <w:spacing w:val="-6"/>
          <w:sz w:val="24"/>
          <w:szCs w:val="24"/>
          <w:highlight w:val="none"/>
        </w:rPr>
        <w:t>章评标方法和标准</w:t>
      </w:r>
    </w:p>
    <w:p w14:paraId="2B0106E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2"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第三册</w:t>
      </w:r>
    </w:p>
    <w:p w14:paraId="0A68A8B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5" w:firstLineChars="185"/>
        <w:textAlignment w:val="baseline"/>
        <w:outlineLvl w:val="0"/>
        <w:rPr>
          <w:rFonts w:hint="eastAsia" w:ascii="黑体" w:hAnsi="黑体" w:eastAsia="黑体" w:cs="黑体"/>
          <w:color w:val="auto"/>
          <w:sz w:val="24"/>
          <w:szCs w:val="24"/>
          <w:highlight w:val="none"/>
        </w:rPr>
      </w:pPr>
      <w:bookmarkStart w:id="33" w:name="_Toc28612"/>
      <w:bookmarkStart w:id="34" w:name="_Toc5507"/>
      <w:bookmarkStart w:id="35" w:name="_Toc32560"/>
      <w:r>
        <w:rPr>
          <w:rFonts w:hint="eastAsia" w:ascii="黑体" w:hAnsi="黑体" w:eastAsia="黑体" w:cs="黑体"/>
          <w:color w:val="auto"/>
          <w:spacing w:val="-5"/>
          <w:sz w:val="24"/>
          <w:szCs w:val="24"/>
          <w:highlight w:val="none"/>
        </w:rPr>
        <w:t>第</w:t>
      </w:r>
      <w:r>
        <w:rPr>
          <w:rFonts w:hint="eastAsia" w:ascii="黑体" w:hAnsi="黑体" w:eastAsia="黑体" w:cs="黑体"/>
          <w:color w:val="auto"/>
          <w:spacing w:val="-5"/>
          <w:sz w:val="24"/>
          <w:szCs w:val="24"/>
          <w:highlight w:val="none"/>
          <w:lang w:val="en-US" w:eastAsia="zh-CN"/>
        </w:rPr>
        <w:t>7</w:t>
      </w:r>
      <w:r>
        <w:rPr>
          <w:rFonts w:hint="eastAsia" w:ascii="黑体" w:hAnsi="黑体" w:eastAsia="黑体" w:cs="黑体"/>
          <w:color w:val="auto"/>
          <w:spacing w:val="-5"/>
          <w:sz w:val="24"/>
          <w:szCs w:val="24"/>
          <w:highlight w:val="none"/>
        </w:rPr>
        <w:t>章政府采购合同格式</w:t>
      </w:r>
      <w:bookmarkEnd w:id="33"/>
      <w:bookmarkEnd w:id="34"/>
      <w:bookmarkEnd w:id="35"/>
    </w:p>
    <w:p w14:paraId="18AA669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outlineLvl w:val="1"/>
        <w:rPr>
          <w:rFonts w:hint="eastAsia" w:ascii="黑体" w:hAnsi="黑体" w:eastAsia="黑体" w:cs="黑体"/>
          <w:color w:val="auto"/>
          <w:sz w:val="24"/>
          <w:szCs w:val="24"/>
          <w:highlight w:val="none"/>
        </w:rPr>
      </w:pPr>
      <w:bookmarkStart w:id="36" w:name="_Toc24681"/>
      <w:bookmarkStart w:id="37" w:name="_Toc25285"/>
      <w:r>
        <w:rPr>
          <w:rFonts w:hint="eastAsia" w:ascii="黑体" w:hAnsi="黑体" w:eastAsia="黑体" w:cs="黑体"/>
          <w:color w:val="auto"/>
          <w:spacing w:val="-2"/>
          <w:sz w:val="24"/>
          <w:szCs w:val="24"/>
          <w:highlight w:val="none"/>
        </w:rPr>
        <w:t>5.2如本文件的前后内容不一致，以最后描述为准。</w:t>
      </w:r>
      <w:bookmarkEnd w:id="36"/>
      <w:bookmarkEnd w:id="37"/>
    </w:p>
    <w:p w14:paraId="56D016F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5.3投标人应认真阅读招标文件所有的事项、格式、条款和技术规范等。如投标人没有按照招标文件要求提交全部资料，或者</w:t>
      </w:r>
      <w:r>
        <w:rPr>
          <w:rFonts w:hint="eastAsia" w:ascii="黑体" w:hAnsi="黑体" w:eastAsia="黑体" w:cs="黑体"/>
          <w:color w:val="auto"/>
          <w:spacing w:val="-1"/>
          <w:sz w:val="24"/>
          <w:szCs w:val="24"/>
          <w:highlight w:val="none"/>
        </w:rPr>
        <w:t>投标文件没有对招标文件在各方面都做出实质性响应，可能导致其投标被认定为</w:t>
      </w:r>
      <w:r>
        <w:rPr>
          <w:rFonts w:hint="eastAsia" w:ascii="黑体" w:hAnsi="黑体" w:eastAsia="黑体" w:cs="黑体"/>
          <w:b/>
          <w:bCs/>
          <w:color w:val="auto"/>
          <w:spacing w:val="-1"/>
          <w:sz w:val="24"/>
          <w:szCs w:val="24"/>
          <w:highlight w:val="none"/>
        </w:rPr>
        <w:t>投标</w:t>
      </w:r>
      <w:r>
        <w:rPr>
          <w:rFonts w:hint="eastAsia" w:ascii="黑体" w:hAnsi="黑体" w:eastAsia="黑体" w:cs="黑体"/>
          <w:b/>
          <w:bCs/>
          <w:color w:val="auto"/>
          <w:spacing w:val="-6"/>
          <w:sz w:val="24"/>
          <w:szCs w:val="24"/>
          <w:highlight w:val="none"/>
        </w:rPr>
        <w:t>无效</w:t>
      </w:r>
      <w:r>
        <w:rPr>
          <w:rFonts w:hint="eastAsia" w:ascii="黑体" w:hAnsi="黑体" w:eastAsia="黑体" w:cs="黑体"/>
          <w:color w:val="auto"/>
          <w:spacing w:val="-6"/>
          <w:sz w:val="24"/>
          <w:szCs w:val="24"/>
          <w:highlight w:val="none"/>
        </w:rPr>
        <w:t>。</w:t>
      </w:r>
    </w:p>
    <w:p w14:paraId="14D3D2A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6.招标文件的澄清与修改</w:t>
      </w:r>
    </w:p>
    <w:p w14:paraId="6B0D706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2"/>
        <w:rPr>
          <w:rFonts w:hint="eastAsia" w:ascii="黑体" w:hAnsi="黑体" w:eastAsia="黑体" w:cs="黑体"/>
          <w:b w:val="0"/>
          <w:bCs w:val="0"/>
          <w:color w:val="auto"/>
          <w:spacing w:val="-4"/>
          <w:sz w:val="24"/>
          <w:szCs w:val="24"/>
          <w:highlight w:val="none"/>
        </w:rPr>
      </w:pPr>
      <w:r>
        <w:rPr>
          <w:rFonts w:hint="eastAsia" w:ascii="黑体" w:hAnsi="黑体" w:eastAsia="黑体" w:cs="黑体"/>
          <w:b w:val="0"/>
          <w:bCs w:val="0"/>
          <w:color w:val="auto"/>
          <w:spacing w:val="-4"/>
          <w:sz w:val="24"/>
          <w:szCs w:val="24"/>
          <w:highlight w:val="none"/>
        </w:rPr>
        <w:t>6.1提交首次</w:t>
      </w:r>
      <w:r>
        <w:rPr>
          <w:rFonts w:hint="eastAsia" w:ascii="黑体" w:hAnsi="黑体" w:eastAsia="黑体" w:cs="黑体"/>
          <w:b w:val="0"/>
          <w:bCs w:val="0"/>
          <w:color w:val="auto"/>
          <w:spacing w:val="-4"/>
          <w:sz w:val="24"/>
          <w:szCs w:val="24"/>
          <w:highlight w:val="none"/>
          <w:lang w:val="en-US" w:eastAsia="zh-CN"/>
        </w:rPr>
        <w:t>投标</w:t>
      </w:r>
      <w:r>
        <w:rPr>
          <w:rFonts w:hint="eastAsia" w:ascii="黑体" w:hAnsi="黑体" w:eastAsia="黑体" w:cs="黑体"/>
          <w:b w:val="0"/>
          <w:bCs w:val="0"/>
          <w:color w:val="auto"/>
          <w:spacing w:val="-4"/>
          <w:sz w:val="24"/>
          <w:szCs w:val="24"/>
          <w:highlight w:val="none"/>
        </w:rPr>
        <w:t>文件截止之日前，采购人、采购代理机构或者</w:t>
      </w:r>
      <w:r>
        <w:rPr>
          <w:rFonts w:hint="eastAsia" w:ascii="黑体" w:hAnsi="黑体" w:eastAsia="黑体" w:cs="黑体"/>
          <w:b w:val="0"/>
          <w:bCs w:val="0"/>
          <w:color w:val="auto"/>
          <w:spacing w:val="-4"/>
          <w:sz w:val="24"/>
          <w:szCs w:val="24"/>
          <w:highlight w:val="none"/>
          <w:lang w:val="en-US" w:eastAsia="zh-CN"/>
        </w:rPr>
        <w:t>评审</w:t>
      </w:r>
      <w:r>
        <w:rPr>
          <w:rFonts w:hint="eastAsia" w:ascii="黑体" w:hAnsi="黑体" w:eastAsia="黑体" w:cs="黑体"/>
          <w:b w:val="0"/>
          <w:bCs w:val="0"/>
          <w:color w:val="auto"/>
          <w:spacing w:val="-4"/>
          <w:sz w:val="24"/>
          <w:szCs w:val="24"/>
          <w:highlight w:val="none"/>
        </w:rPr>
        <w:t>小组可以对</w:t>
      </w:r>
      <w:r>
        <w:rPr>
          <w:rFonts w:hint="eastAsia" w:ascii="黑体" w:hAnsi="黑体" w:eastAsia="黑体" w:cs="黑体"/>
          <w:b w:val="0"/>
          <w:bCs w:val="0"/>
          <w:color w:val="auto"/>
          <w:spacing w:val="-4"/>
          <w:sz w:val="24"/>
          <w:szCs w:val="24"/>
          <w:highlight w:val="none"/>
          <w:lang w:val="en-US" w:eastAsia="zh-CN"/>
        </w:rPr>
        <w:t>已</w:t>
      </w:r>
      <w:r>
        <w:rPr>
          <w:rFonts w:hint="eastAsia" w:ascii="黑体" w:hAnsi="黑体" w:eastAsia="黑体" w:cs="黑体"/>
          <w:b w:val="0"/>
          <w:bCs w:val="0"/>
          <w:color w:val="auto"/>
          <w:spacing w:val="-4"/>
          <w:sz w:val="24"/>
          <w:szCs w:val="24"/>
          <w:highlight w:val="none"/>
        </w:rPr>
        <w:t>发出的</w:t>
      </w:r>
      <w:r>
        <w:rPr>
          <w:rFonts w:hint="eastAsia" w:ascii="黑体" w:hAnsi="黑体" w:eastAsia="黑体" w:cs="黑体"/>
          <w:b w:val="0"/>
          <w:bCs w:val="0"/>
          <w:color w:val="auto"/>
          <w:spacing w:val="-4"/>
          <w:sz w:val="24"/>
          <w:szCs w:val="24"/>
          <w:highlight w:val="none"/>
          <w:lang w:val="en-US" w:eastAsia="zh-CN"/>
        </w:rPr>
        <w:t>招标</w:t>
      </w:r>
      <w:r>
        <w:rPr>
          <w:rFonts w:hint="eastAsia" w:ascii="黑体" w:hAnsi="黑体" w:eastAsia="黑体" w:cs="黑体"/>
          <w:b w:val="0"/>
          <w:bCs w:val="0"/>
          <w:color w:val="auto"/>
          <w:spacing w:val="-4"/>
          <w:sz w:val="24"/>
          <w:szCs w:val="24"/>
          <w:highlight w:val="none"/>
        </w:rPr>
        <w:t>文件进行必要的澄清或者修改，澄清或者修改的内容作为</w:t>
      </w:r>
      <w:r>
        <w:rPr>
          <w:rFonts w:hint="eastAsia" w:ascii="黑体" w:hAnsi="黑体" w:eastAsia="黑体" w:cs="黑体"/>
          <w:b w:val="0"/>
          <w:bCs w:val="0"/>
          <w:color w:val="auto"/>
          <w:spacing w:val="-4"/>
          <w:sz w:val="24"/>
          <w:szCs w:val="24"/>
          <w:highlight w:val="none"/>
          <w:lang w:eastAsia="zh-CN"/>
        </w:rPr>
        <w:t>招标文件</w:t>
      </w:r>
      <w:r>
        <w:rPr>
          <w:rFonts w:hint="eastAsia" w:ascii="黑体" w:hAnsi="黑体" w:eastAsia="黑体" w:cs="黑体"/>
          <w:b w:val="0"/>
          <w:bCs w:val="0"/>
          <w:color w:val="auto"/>
          <w:spacing w:val="-4"/>
          <w:sz w:val="24"/>
          <w:szCs w:val="24"/>
          <w:highlight w:val="none"/>
        </w:rPr>
        <w:t>的组成部分。澄清或者修改的内容可能影响</w:t>
      </w:r>
      <w:r>
        <w:rPr>
          <w:rFonts w:hint="eastAsia" w:ascii="黑体" w:hAnsi="黑体" w:eastAsia="黑体" w:cs="黑体"/>
          <w:b w:val="0"/>
          <w:bCs w:val="0"/>
          <w:color w:val="auto"/>
          <w:spacing w:val="-4"/>
          <w:sz w:val="24"/>
          <w:szCs w:val="24"/>
          <w:highlight w:val="none"/>
          <w:lang w:val="en-US" w:eastAsia="zh-CN"/>
        </w:rPr>
        <w:t>投标</w:t>
      </w:r>
      <w:r>
        <w:rPr>
          <w:rFonts w:hint="eastAsia" w:ascii="黑体" w:hAnsi="黑体" w:eastAsia="黑体" w:cs="黑体"/>
          <w:b w:val="0"/>
          <w:bCs w:val="0"/>
          <w:color w:val="auto"/>
          <w:spacing w:val="-4"/>
          <w:sz w:val="24"/>
          <w:szCs w:val="24"/>
          <w:highlight w:val="none"/>
        </w:rPr>
        <w:t>文件编制的，采购人、采购代理机构应当在提交首次</w:t>
      </w:r>
      <w:r>
        <w:rPr>
          <w:rFonts w:hint="eastAsia" w:ascii="黑体" w:hAnsi="黑体" w:eastAsia="黑体" w:cs="黑体"/>
          <w:b w:val="0"/>
          <w:bCs w:val="0"/>
          <w:color w:val="auto"/>
          <w:spacing w:val="-4"/>
          <w:sz w:val="24"/>
          <w:szCs w:val="24"/>
          <w:highlight w:val="none"/>
          <w:lang w:val="en-US" w:eastAsia="zh-CN"/>
        </w:rPr>
        <w:t>投标</w:t>
      </w:r>
      <w:r>
        <w:rPr>
          <w:rFonts w:hint="eastAsia" w:ascii="黑体" w:hAnsi="黑体" w:eastAsia="黑体" w:cs="黑体"/>
          <w:b w:val="0"/>
          <w:bCs w:val="0"/>
          <w:color w:val="auto"/>
          <w:spacing w:val="-4"/>
          <w:sz w:val="24"/>
          <w:szCs w:val="24"/>
          <w:highlight w:val="none"/>
        </w:rPr>
        <w:t>文件截止时</w:t>
      </w:r>
      <w:r>
        <w:rPr>
          <w:rFonts w:hint="eastAsia" w:ascii="黑体" w:hAnsi="黑体" w:eastAsia="黑体" w:cs="黑体"/>
          <w:b w:val="0"/>
          <w:bCs w:val="0"/>
          <w:color w:val="auto"/>
          <w:spacing w:val="-4"/>
          <w:sz w:val="24"/>
          <w:szCs w:val="24"/>
          <w:highlight w:val="none"/>
          <w:lang w:eastAsia="zh-CN"/>
        </w:rPr>
        <w:t>间</w:t>
      </w:r>
      <w:r>
        <w:rPr>
          <w:rFonts w:hint="eastAsia" w:ascii="黑体" w:hAnsi="黑体" w:eastAsia="黑体" w:cs="黑体"/>
          <w:b w:val="0"/>
          <w:bCs w:val="0"/>
          <w:color w:val="auto"/>
          <w:spacing w:val="-4"/>
          <w:sz w:val="24"/>
          <w:szCs w:val="24"/>
          <w:highlight w:val="none"/>
        </w:rPr>
        <w:t>至少5日前，</w:t>
      </w:r>
      <w:r>
        <w:rPr>
          <w:rFonts w:hint="eastAsia" w:ascii="黑体" w:hAnsi="黑体" w:eastAsia="黑体" w:cs="黑体"/>
          <w:b w:val="0"/>
          <w:bCs w:val="0"/>
          <w:color w:val="auto"/>
          <w:spacing w:val="-4"/>
          <w:sz w:val="24"/>
          <w:szCs w:val="24"/>
          <w:highlight w:val="none"/>
          <w:lang w:val="en-US" w:eastAsia="zh-CN"/>
        </w:rPr>
        <w:t>采购代理机构将</w:t>
      </w:r>
      <w:r>
        <w:rPr>
          <w:rFonts w:hint="eastAsia" w:ascii="黑体" w:hAnsi="黑体" w:eastAsia="黑体" w:cs="黑体"/>
          <w:b w:val="0"/>
          <w:bCs w:val="0"/>
          <w:color w:val="auto"/>
          <w:spacing w:val="-4"/>
          <w:sz w:val="24"/>
          <w:szCs w:val="24"/>
          <w:highlight w:val="none"/>
        </w:rPr>
        <w:t>以</w:t>
      </w:r>
      <w:r>
        <w:rPr>
          <w:rFonts w:hint="eastAsia" w:ascii="黑体" w:hAnsi="黑体" w:eastAsia="黑体" w:cs="黑体"/>
          <w:b w:val="0"/>
          <w:bCs w:val="0"/>
          <w:color w:val="auto"/>
          <w:spacing w:val="-4"/>
          <w:sz w:val="24"/>
          <w:szCs w:val="24"/>
          <w:highlight w:val="none"/>
          <w:lang w:val="en-US" w:eastAsia="zh-CN"/>
        </w:rPr>
        <w:t>发布澄清（更正）公告的方式，澄清或修改招标文件</w:t>
      </w:r>
      <w:r>
        <w:rPr>
          <w:rFonts w:hint="eastAsia" w:ascii="黑体" w:hAnsi="黑体" w:eastAsia="黑体" w:cs="黑体"/>
          <w:b w:val="0"/>
          <w:bCs w:val="0"/>
          <w:color w:val="auto"/>
          <w:spacing w:val="-4"/>
          <w:sz w:val="24"/>
          <w:szCs w:val="24"/>
          <w:highlight w:val="none"/>
        </w:rPr>
        <w:t>；不足5日的，采购人</w:t>
      </w:r>
      <w:r>
        <w:rPr>
          <w:rFonts w:hint="eastAsia" w:ascii="黑体" w:hAnsi="黑体" w:eastAsia="黑体" w:cs="黑体"/>
          <w:b w:val="0"/>
          <w:bCs w:val="0"/>
          <w:color w:val="auto"/>
          <w:spacing w:val="-4"/>
          <w:sz w:val="24"/>
          <w:szCs w:val="24"/>
          <w:highlight w:val="none"/>
          <w:lang w:eastAsia="zh-CN"/>
        </w:rPr>
        <w:t>、</w:t>
      </w:r>
      <w:r>
        <w:rPr>
          <w:rFonts w:hint="eastAsia" w:ascii="黑体" w:hAnsi="黑体" w:eastAsia="黑体" w:cs="黑体"/>
          <w:b w:val="0"/>
          <w:bCs w:val="0"/>
          <w:color w:val="auto"/>
          <w:spacing w:val="-4"/>
          <w:sz w:val="24"/>
          <w:szCs w:val="24"/>
          <w:highlight w:val="none"/>
        </w:rPr>
        <w:t>采购代理机构应当顺延提交首次</w:t>
      </w:r>
      <w:r>
        <w:rPr>
          <w:rFonts w:hint="eastAsia" w:ascii="黑体" w:hAnsi="黑体" w:eastAsia="黑体" w:cs="黑体"/>
          <w:b w:val="0"/>
          <w:bCs w:val="0"/>
          <w:color w:val="auto"/>
          <w:spacing w:val="-4"/>
          <w:sz w:val="24"/>
          <w:szCs w:val="24"/>
          <w:highlight w:val="none"/>
          <w:lang w:val="en-US" w:eastAsia="zh-CN"/>
        </w:rPr>
        <w:t>投标</w:t>
      </w:r>
      <w:r>
        <w:rPr>
          <w:rFonts w:hint="eastAsia" w:ascii="黑体" w:hAnsi="黑体" w:eastAsia="黑体" w:cs="黑体"/>
          <w:b w:val="0"/>
          <w:bCs w:val="0"/>
          <w:color w:val="auto"/>
          <w:spacing w:val="-4"/>
          <w:sz w:val="24"/>
          <w:szCs w:val="24"/>
          <w:highlight w:val="none"/>
        </w:rPr>
        <w:t>文件截止时间。</w:t>
      </w:r>
    </w:p>
    <w:p w14:paraId="5C4077A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2"/>
        <w:rPr>
          <w:rFonts w:hint="eastAsia" w:ascii="黑体" w:hAnsi="黑体" w:eastAsia="黑体" w:cs="黑体"/>
          <w:b w:val="0"/>
          <w:bCs w:val="0"/>
          <w:color w:val="auto"/>
          <w:spacing w:val="-4"/>
          <w:sz w:val="24"/>
          <w:szCs w:val="24"/>
          <w:highlight w:val="none"/>
          <w:lang w:val="en-US" w:eastAsia="zh-CN"/>
        </w:rPr>
      </w:pPr>
      <w:r>
        <w:rPr>
          <w:rFonts w:hint="eastAsia" w:ascii="黑体" w:hAnsi="黑体" w:eastAsia="黑体" w:cs="黑体"/>
          <w:b w:val="0"/>
          <w:bCs w:val="0"/>
          <w:color w:val="auto"/>
          <w:spacing w:val="-4"/>
          <w:sz w:val="24"/>
          <w:szCs w:val="24"/>
          <w:highlight w:val="none"/>
        </w:rPr>
        <w:t>6.2</w:t>
      </w:r>
      <w:r>
        <w:rPr>
          <w:rFonts w:hint="eastAsia" w:ascii="黑体" w:hAnsi="黑体" w:eastAsia="黑体" w:cs="黑体"/>
          <w:b w:val="0"/>
          <w:bCs w:val="0"/>
          <w:color w:val="auto"/>
          <w:spacing w:val="-4"/>
          <w:sz w:val="24"/>
          <w:szCs w:val="24"/>
          <w:highlight w:val="none"/>
          <w:lang w:val="en-US" w:eastAsia="zh-CN"/>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2EF1C08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2"/>
        <w:rPr>
          <w:rFonts w:hint="eastAsia" w:ascii="黑体" w:hAnsi="黑体" w:eastAsia="黑体" w:cs="黑体"/>
          <w:b w:val="0"/>
          <w:bCs w:val="0"/>
          <w:color w:val="auto"/>
          <w:spacing w:val="-4"/>
          <w:sz w:val="24"/>
          <w:szCs w:val="24"/>
          <w:highlight w:val="none"/>
        </w:rPr>
      </w:pPr>
      <w:r>
        <w:rPr>
          <w:rFonts w:hint="eastAsia" w:ascii="黑体" w:hAnsi="黑体" w:eastAsia="黑体" w:cs="黑体"/>
          <w:b w:val="0"/>
          <w:bCs w:val="0"/>
          <w:color w:val="auto"/>
          <w:spacing w:val="-4"/>
          <w:sz w:val="24"/>
          <w:szCs w:val="24"/>
          <w:highlight w:val="none"/>
        </w:rPr>
        <w:t>6.3澄清或者修改的内容将在新疆政府采购网发布，一经发布视为潜在投标人已收到，不再进行确认。若因投标单位个人原因未及时查看，造成的一切后果需自行承担。</w:t>
      </w:r>
    </w:p>
    <w:p w14:paraId="4AEC6AB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7.投标截止时间的顺延</w:t>
      </w:r>
    </w:p>
    <w:p w14:paraId="55E1C2C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为使投标人准备投标时有足够的时间对招标文件</w:t>
      </w:r>
      <w:r>
        <w:rPr>
          <w:rFonts w:hint="eastAsia" w:ascii="黑体" w:hAnsi="黑体" w:eastAsia="黑体" w:cs="黑体"/>
          <w:color w:val="auto"/>
          <w:spacing w:val="-1"/>
          <w:sz w:val="24"/>
          <w:szCs w:val="24"/>
          <w:highlight w:val="none"/>
        </w:rPr>
        <w:t>的澄清或者修改部分</w:t>
      </w:r>
      <w:r>
        <w:rPr>
          <w:rFonts w:hint="eastAsia" w:ascii="黑体" w:hAnsi="黑体" w:eastAsia="黑体" w:cs="黑体"/>
          <w:color w:val="auto"/>
          <w:sz w:val="24"/>
          <w:szCs w:val="24"/>
          <w:highlight w:val="none"/>
        </w:rPr>
        <w:t>进行研究，采购人将依法决定是否顺延投标</w:t>
      </w:r>
      <w:r>
        <w:rPr>
          <w:rFonts w:hint="eastAsia" w:ascii="黑体" w:hAnsi="黑体" w:eastAsia="黑体" w:cs="黑体"/>
          <w:color w:val="auto"/>
          <w:spacing w:val="-1"/>
          <w:sz w:val="24"/>
          <w:szCs w:val="24"/>
          <w:highlight w:val="none"/>
        </w:rPr>
        <w:t>截止时间。</w:t>
      </w:r>
    </w:p>
    <w:p w14:paraId="4BB6ADB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0"/>
        <w:rPr>
          <w:rFonts w:hint="eastAsia" w:ascii="黑体" w:hAnsi="黑体" w:eastAsia="黑体" w:cs="黑体"/>
          <w:color w:val="auto"/>
          <w:sz w:val="28"/>
          <w:szCs w:val="28"/>
          <w:highlight w:val="none"/>
        </w:rPr>
      </w:pPr>
      <w:bookmarkStart w:id="38" w:name="bookmark6"/>
      <w:bookmarkEnd w:id="38"/>
      <w:bookmarkStart w:id="39" w:name="_Toc757"/>
      <w:bookmarkStart w:id="40" w:name="_Toc218"/>
      <w:bookmarkStart w:id="41" w:name="_Toc13975"/>
      <w:r>
        <w:rPr>
          <w:rFonts w:hint="eastAsia" w:ascii="黑体" w:hAnsi="黑体" w:eastAsia="黑体" w:cs="黑体"/>
          <w:b/>
          <w:bCs/>
          <w:color w:val="auto"/>
          <w:spacing w:val="-3"/>
          <w:sz w:val="28"/>
          <w:szCs w:val="28"/>
          <w:highlight w:val="none"/>
        </w:rPr>
        <w:t>三投标文件的编制</w:t>
      </w:r>
      <w:bookmarkEnd w:id="39"/>
      <w:bookmarkEnd w:id="40"/>
      <w:bookmarkEnd w:id="41"/>
    </w:p>
    <w:p w14:paraId="61330F2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8.投标范围及投标文件中标准和计量单位的</w:t>
      </w:r>
      <w:r>
        <w:rPr>
          <w:rFonts w:hint="eastAsia" w:ascii="黑体" w:hAnsi="黑体" w:eastAsia="黑体" w:cs="黑体"/>
          <w:b/>
          <w:bCs/>
          <w:color w:val="auto"/>
          <w:spacing w:val="-4"/>
          <w:sz w:val="24"/>
          <w:szCs w:val="24"/>
          <w:highlight w:val="none"/>
        </w:rPr>
        <w:t>使用</w:t>
      </w:r>
    </w:p>
    <w:p w14:paraId="39F5265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8.1项目有分包的，投标人可对招标文件其中一个或几个分包进行投标，</w:t>
      </w:r>
      <w:r>
        <w:rPr>
          <w:rFonts w:hint="eastAsia" w:ascii="黑体" w:hAnsi="黑体" w:eastAsia="黑体" w:cs="黑体"/>
          <w:color w:val="auto"/>
          <w:spacing w:val="-2"/>
          <w:sz w:val="24"/>
          <w:szCs w:val="24"/>
          <w:highlight w:val="none"/>
        </w:rPr>
        <w:t>除非在</w:t>
      </w:r>
      <w:r>
        <w:rPr>
          <w:rFonts w:hint="eastAsia" w:ascii="黑体" w:hAnsi="黑体" w:eastAsia="黑体" w:cs="黑体"/>
          <w:color w:val="auto"/>
          <w:spacing w:val="-2"/>
          <w:sz w:val="24"/>
          <w:szCs w:val="24"/>
          <w:highlight w:val="none"/>
          <w:u w:val="single" w:color="auto"/>
        </w:rPr>
        <w:t>投标人须知资料表</w:t>
      </w:r>
      <w:r>
        <w:rPr>
          <w:rFonts w:hint="eastAsia" w:ascii="黑体" w:hAnsi="黑体" w:eastAsia="黑体" w:cs="黑体"/>
          <w:color w:val="auto"/>
          <w:spacing w:val="-2"/>
          <w:sz w:val="24"/>
          <w:szCs w:val="24"/>
          <w:highlight w:val="none"/>
        </w:rPr>
        <w:t>中另有规定。</w:t>
      </w:r>
    </w:p>
    <w:p w14:paraId="1987387E">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33" w:firstLineChars="179"/>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8.2投标人应当对所投分包招标文件中“服</w:t>
      </w:r>
      <w:r>
        <w:rPr>
          <w:rFonts w:hint="eastAsia" w:ascii="黑体" w:hAnsi="黑体" w:eastAsia="黑体" w:cs="黑体"/>
          <w:color w:val="auto"/>
          <w:sz w:val="24"/>
          <w:szCs w:val="24"/>
          <w:highlight w:val="none"/>
        </w:rPr>
        <w:t>务需求”所列的所有服务内容</w:t>
      </w:r>
      <w:r>
        <w:rPr>
          <w:rFonts w:hint="eastAsia" w:ascii="黑体" w:hAnsi="黑体" w:eastAsia="黑体" w:cs="黑体"/>
          <w:color w:val="auto"/>
          <w:spacing w:val="-5"/>
          <w:sz w:val="24"/>
          <w:szCs w:val="24"/>
          <w:highlight w:val="none"/>
        </w:rPr>
        <w:t>进行投标，如仅响应分包中的部分内容，其投标将被</w:t>
      </w:r>
      <w:r>
        <w:rPr>
          <w:rFonts w:hint="eastAsia" w:ascii="黑体" w:hAnsi="黑体" w:eastAsia="黑体" w:cs="黑体"/>
          <w:color w:val="auto"/>
          <w:spacing w:val="-6"/>
          <w:sz w:val="24"/>
          <w:szCs w:val="24"/>
          <w:highlight w:val="none"/>
        </w:rPr>
        <w:t>认定为</w:t>
      </w:r>
      <w:r>
        <w:rPr>
          <w:rFonts w:hint="eastAsia" w:ascii="黑体" w:hAnsi="黑体" w:eastAsia="黑体" w:cs="黑体"/>
          <w:b/>
          <w:bCs/>
          <w:color w:val="auto"/>
          <w:spacing w:val="-6"/>
          <w:sz w:val="24"/>
          <w:szCs w:val="24"/>
          <w:highlight w:val="none"/>
        </w:rPr>
        <w:t>投标无效</w:t>
      </w:r>
      <w:r>
        <w:rPr>
          <w:rFonts w:hint="eastAsia" w:ascii="黑体" w:hAnsi="黑体" w:eastAsia="黑体" w:cs="黑体"/>
          <w:color w:val="auto"/>
          <w:spacing w:val="-6"/>
          <w:sz w:val="24"/>
          <w:szCs w:val="24"/>
          <w:highlight w:val="none"/>
        </w:rPr>
        <w:t>。</w:t>
      </w:r>
    </w:p>
    <w:p w14:paraId="79A3A26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8.3无论招标文件第5章服务需求中是否要求，投标人所投服务均应符合</w:t>
      </w:r>
      <w:r>
        <w:rPr>
          <w:rFonts w:hint="eastAsia" w:ascii="黑体" w:hAnsi="黑体" w:eastAsia="黑体" w:cs="黑体"/>
          <w:color w:val="auto"/>
          <w:spacing w:val="-8"/>
          <w:sz w:val="24"/>
          <w:szCs w:val="24"/>
          <w:highlight w:val="none"/>
        </w:rPr>
        <w:t>国家强制性标准。</w:t>
      </w:r>
    </w:p>
    <w:p w14:paraId="0D36ECB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8.4除招标文件中有特殊要求外，投标文件中所使用的计量单</w:t>
      </w:r>
      <w:r>
        <w:rPr>
          <w:rFonts w:hint="eastAsia" w:ascii="黑体" w:hAnsi="黑体" w:eastAsia="黑体" w:cs="黑体"/>
          <w:color w:val="auto"/>
          <w:spacing w:val="-3"/>
          <w:sz w:val="24"/>
          <w:szCs w:val="24"/>
          <w:highlight w:val="none"/>
        </w:rPr>
        <w:t>位，应采用</w:t>
      </w:r>
      <w:r>
        <w:rPr>
          <w:rFonts w:hint="eastAsia" w:ascii="黑体" w:hAnsi="黑体" w:eastAsia="黑体" w:cs="黑体"/>
          <w:color w:val="auto"/>
          <w:spacing w:val="-5"/>
          <w:sz w:val="24"/>
          <w:szCs w:val="24"/>
          <w:highlight w:val="none"/>
        </w:rPr>
        <w:t>中华人民共和国法定计量单位。</w:t>
      </w:r>
    </w:p>
    <w:p w14:paraId="44EF2E5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9.投标文件构成</w:t>
      </w:r>
    </w:p>
    <w:p w14:paraId="6332A6D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81"/>
        <w:textAlignment w:val="baseline"/>
        <w:outlineLvl w:val="2"/>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投</w:t>
      </w:r>
      <w:r>
        <w:rPr>
          <w:rFonts w:hint="eastAsia" w:ascii="黑体" w:hAnsi="黑体" w:eastAsia="黑体" w:cs="黑体"/>
          <w:b/>
          <w:bCs/>
          <w:color w:val="auto"/>
          <w:spacing w:val="-4"/>
          <w:sz w:val="24"/>
          <w:szCs w:val="24"/>
          <w:highlight w:val="none"/>
          <w:lang w:val="en-US" w:eastAsia="zh-CN"/>
        </w:rPr>
        <w:t>标人</w:t>
      </w:r>
      <w:r>
        <w:rPr>
          <w:rFonts w:hint="eastAsia" w:ascii="黑体" w:hAnsi="黑体" w:eastAsia="黑体" w:cs="黑体"/>
          <w:b/>
          <w:bCs/>
          <w:color w:val="auto"/>
          <w:spacing w:val="-4"/>
          <w:sz w:val="24"/>
          <w:szCs w:val="24"/>
          <w:highlight w:val="none"/>
        </w:rPr>
        <w:t>应完整地按</w:t>
      </w:r>
      <w:r>
        <w:rPr>
          <w:rFonts w:hint="eastAsia" w:ascii="黑体" w:hAnsi="黑体" w:eastAsia="黑体" w:cs="黑体"/>
          <w:b/>
          <w:bCs/>
          <w:color w:val="auto"/>
          <w:spacing w:val="-4"/>
          <w:sz w:val="24"/>
          <w:szCs w:val="24"/>
          <w:highlight w:val="none"/>
          <w:lang w:eastAsia="zh-CN"/>
        </w:rPr>
        <w:t>招标文件</w:t>
      </w:r>
      <w:r>
        <w:rPr>
          <w:rFonts w:hint="eastAsia" w:ascii="黑体" w:hAnsi="黑体" w:eastAsia="黑体" w:cs="黑体"/>
          <w:b/>
          <w:bCs/>
          <w:color w:val="auto"/>
          <w:spacing w:val="-4"/>
          <w:sz w:val="24"/>
          <w:szCs w:val="24"/>
          <w:highlight w:val="none"/>
        </w:rPr>
        <w:t>提供的</w:t>
      </w:r>
      <w:r>
        <w:rPr>
          <w:rFonts w:hint="eastAsia" w:ascii="黑体" w:hAnsi="黑体" w:eastAsia="黑体" w:cs="黑体"/>
          <w:b/>
          <w:bCs/>
          <w:color w:val="auto"/>
          <w:spacing w:val="-4"/>
          <w:sz w:val="24"/>
          <w:szCs w:val="24"/>
          <w:highlight w:val="none"/>
          <w:lang w:eastAsia="zh-CN"/>
        </w:rPr>
        <w:t>投标文件</w:t>
      </w:r>
      <w:r>
        <w:rPr>
          <w:rFonts w:hint="eastAsia" w:ascii="黑体" w:hAnsi="黑体" w:eastAsia="黑体" w:cs="黑体"/>
          <w:b/>
          <w:bCs/>
          <w:color w:val="auto"/>
          <w:spacing w:val="-4"/>
          <w:sz w:val="24"/>
          <w:szCs w:val="24"/>
          <w:highlight w:val="none"/>
        </w:rPr>
        <w:t>格式及要求编写</w:t>
      </w:r>
      <w:r>
        <w:rPr>
          <w:rFonts w:hint="eastAsia" w:ascii="黑体" w:hAnsi="黑体" w:eastAsia="黑体" w:cs="黑体"/>
          <w:b/>
          <w:bCs/>
          <w:color w:val="auto"/>
          <w:spacing w:val="-4"/>
          <w:sz w:val="24"/>
          <w:szCs w:val="24"/>
          <w:highlight w:val="none"/>
          <w:lang w:eastAsia="zh-CN"/>
        </w:rPr>
        <w:t>投标文件，</w:t>
      </w:r>
      <w:r>
        <w:rPr>
          <w:rFonts w:hint="eastAsia" w:ascii="黑体" w:hAnsi="黑体" w:eastAsia="黑体" w:cs="黑体"/>
          <w:b/>
          <w:bCs/>
          <w:color w:val="auto"/>
          <w:spacing w:val="-4"/>
          <w:sz w:val="24"/>
          <w:szCs w:val="24"/>
          <w:highlight w:val="none"/>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7CDA644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1"/>
        <w:rPr>
          <w:rFonts w:hint="eastAsia" w:ascii="黑体" w:hAnsi="黑体" w:eastAsia="黑体" w:cs="黑体"/>
          <w:b w:val="0"/>
          <w:bCs w:val="0"/>
          <w:color w:val="auto"/>
          <w:spacing w:val="-4"/>
          <w:sz w:val="24"/>
          <w:szCs w:val="24"/>
          <w:highlight w:val="none"/>
        </w:rPr>
      </w:pPr>
      <w:bookmarkStart w:id="42" w:name="_Toc2512"/>
      <w:bookmarkStart w:id="43" w:name="_Toc28518"/>
      <w:r>
        <w:rPr>
          <w:rFonts w:hint="eastAsia" w:ascii="黑体" w:hAnsi="黑体" w:eastAsia="黑体" w:cs="黑体"/>
          <w:b w:val="0"/>
          <w:bCs w:val="0"/>
          <w:color w:val="auto"/>
          <w:spacing w:val="-4"/>
          <w:sz w:val="24"/>
          <w:szCs w:val="24"/>
          <w:highlight w:val="none"/>
        </w:rPr>
        <w:t>9.</w:t>
      </w:r>
      <w:r>
        <w:rPr>
          <w:rFonts w:hint="eastAsia" w:ascii="黑体" w:hAnsi="黑体" w:eastAsia="黑体" w:cs="黑体"/>
          <w:b w:val="0"/>
          <w:bCs w:val="0"/>
          <w:color w:val="auto"/>
          <w:spacing w:val="-4"/>
          <w:sz w:val="24"/>
          <w:szCs w:val="24"/>
          <w:highlight w:val="none"/>
          <w:lang w:val="en-US" w:eastAsia="zh-CN"/>
        </w:rPr>
        <w:t>1</w:t>
      </w:r>
      <w:r>
        <w:rPr>
          <w:rFonts w:hint="eastAsia" w:ascii="黑体" w:hAnsi="黑体" w:eastAsia="黑体" w:cs="黑体"/>
          <w:b w:val="0"/>
          <w:bCs w:val="0"/>
          <w:color w:val="auto"/>
          <w:spacing w:val="-4"/>
          <w:sz w:val="24"/>
          <w:szCs w:val="24"/>
          <w:highlight w:val="none"/>
        </w:rPr>
        <w:t>上述文件应按照</w:t>
      </w:r>
      <w:r>
        <w:rPr>
          <w:rFonts w:hint="eastAsia" w:ascii="黑体" w:hAnsi="黑体" w:eastAsia="黑体" w:cs="黑体"/>
          <w:b w:val="0"/>
          <w:bCs w:val="0"/>
          <w:color w:val="auto"/>
          <w:spacing w:val="-4"/>
          <w:sz w:val="24"/>
          <w:szCs w:val="24"/>
          <w:highlight w:val="none"/>
          <w:lang w:eastAsia="zh-CN"/>
        </w:rPr>
        <w:t>招标文件</w:t>
      </w:r>
      <w:r>
        <w:rPr>
          <w:rFonts w:hint="eastAsia" w:ascii="黑体" w:hAnsi="黑体" w:eastAsia="黑体" w:cs="黑体"/>
          <w:b w:val="0"/>
          <w:bCs w:val="0"/>
          <w:color w:val="auto"/>
          <w:spacing w:val="-4"/>
          <w:sz w:val="24"/>
          <w:szCs w:val="24"/>
          <w:highlight w:val="none"/>
        </w:rPr>
        <w:t>规定的格式填写、签署和盖章。</w:t>
      </w:r>
      <w:bookmarkEnd w:id="42"/>
      <w:bookmarkEnd w:id="43"/>
    </w:p>
    <w:p w14:paraId="4502A8B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10.证明投标标的的合格性和符合招标文件规定的投标文件</w:t>
      </w:r>
    </w:p>
    <w:p w14:paraId="4EC682B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2"/>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10.1投标人应提交证明文件，证明其投标内容符合</w:t>
      </w:r>
      <w:r>
        <w:rPr>
          <w:rFonts w:hint="eastAsia" w:ascii="黑体" w:hAnsi="黑体" w:eastAsia="黑体" w:cs="黑体"/>
          <w:b w:val="0"/>
          <w:bCs w:val="0"/>
          <w:color w:val="auto"/>
          <w:spacing w:val="-6"/>
          <w:sz w:val="24"/>
          <w:szCs w:val="24"/>
          <w:highlight w:val="none"/>
          <w:lang w:val="en-US" w:eastAsia="zh-CN"/>
        </w:rPr>
        <w:t>招标</w:t>
      </w:r>
      <w:r>
        <w:rPr>
          <w:rFonts w:hint="eastAsia" w:ascii="黑体" w:hAnsi="黑体" w:eastAsia="黑体" w:cs="黑体"/>
          <w:b w:val="0"/>
          <w:bCs w:val="0"/>
          <w:color w:val="auto"/>
          <w:spacing w:val="-6"/>
          <w:sz w:val="24"/>
          <w:szCs w:val="24"/>
          <w:highlight w:val="none"/>
        </w:rPr>
        <w:t>文件规定。该证明文件是</w:t>
      </w:r>
      <w:r>
        <w:rPr>
          <w:rFonts w:hint="eastAsia" w:ascii="黑体" w:hAnsi="黑体" w:eastAsia="黑体" w:cs="黑体"/>
          <w:b w:val="0"/>
          <w:bCs w:val="0"/>
          <w:color w:val="auto"/>
          <w:spacing w:val="-6"/>
          <w:sz w:val="24"/>
          <w:szCs w:val="24"/>
          <w:highlight w:val="none"/>
          <w:lang w:val="en-US" w:eastAsia="zh-CN"/>
        </w:rPr>
        <w:t>投标</w:t>
      </w:r>
      <w:r>
        <w:rPr>
          <w:rFonts w:hint="eastAsia" w:ascii="黑体" w:hAnsi="黑体" w:eastAsia="黑体" w:cs="黑体"/>
          <w:b w:val="0"/>
          <w:bCs w:val="0"/>
          <w:color w:val="auto"/>
          <w:spacing w:val="-6"/>
          <w:sz w:val="24"/>
          <w:szCs w:val="24"/>
          <w:highlight w:val="none"/>
        </w:rPr>
        <w:t>文件的一部分。</w:t>
      </w:r>
    </w:p>
    <w:p w14:paraId="04159ED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1"/>
        <w:rPr>
          <w:rFonts w:hint="eastAsia" w:ascii="黑体" w:hAnsi="黑体" w:eastAsia="黑体" w:cs="黑体"/>
          <w:b w:val="0"/>
          <w:bCs w:val="0"/>
          <w:color w:val="auto"/>
          <w:spacing w:val="-6"/>
          <w:sz w:val="24"/>
          <w:szCs w:val="24"/>
          <w:highlight w:val="none"/>
        </w:rPr>
      </w:pPr>
      <w:bookmarkStart w:id="44" w:name="_Toc19519"/>
      <w:bookmarkStart w:id="45" w:name="_Toc31391"/>
      <w:r>
        <w:rPr>
          <w:rFonts w:hint="eastAsia" w:ascii="黑体" w:hAnsi="黑体" w:eastAsia="黑体" w:cs="黑体"/>
          <w:b w:val="0"/>
          <w:bCs w:val="0"/>
          <w:color w:val="auto"/>
          <w:spacing w:val="-6"/>
          <w:sz w:val="24"/>
          <w:szCs w:val="24"/>
          <w:highlight w:val="none"/>
        </w:rPr>
        <w:t>10.2上款所述的证明文件，可以是文字资料、图纸和数据，它包括：</w:t>
      </w:r>
      <w:bookmarkEnd w:id="44"/>
      <w:bookmarkEnd w:id="45"/>
    </w:p>
    <w:p w14:paraId="29D3997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2"/>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10.2.1服务主要内容和详细说明；</w:t>
      </w:r>
    </w:p>
    <w:p w14:paraId="70D6530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2"/>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10.2.2服务从开始至</w:t>
      </w:r>
      <w:r>
        <w:rPr>
          <w:rFonts w:hint="eastAsia" w:ascii="黑体" w:hAnsi="黑体" w:eastAsia="黑体" w:cs="黑体"/>
          <w:b w:val="0"/>
          <w:bCs w:val="0"/>
          <w:color w:val="auto"/>
          <w:spacing w:val="-6"/>
          <w:sz w:val="24"/>
          <w:szCs w:val="24"/>
          <w:highlight w:val="none"/>
          <w:lang w:val="en-US" w:eastAsia="zh-CN"/>
        </w:rPr>
        <w:t>招标</w:t>
      </w:r>
      <w:r>
        <w:rPr>
          <w:rFonts w:hint="eastAsia" w:ascii="黑体" w:hAnsi="黑体" w:eastAsia="黑体" w:cs="黑体"/>
          <w:b w:val="0"/>
          <w:bCs w:val="0"/>
          <w:color w:val="auto"/>
          <w:spacing w:val="-6"/>
          <w:sz w:val="24"/>
          <w:szCs w:val="24"/>
          <w:highlight w:val="none"/>
        </w:rPr>
        <w:t>文件规定的服务期限正常进行，具体内容详见第五章；</w:t>
      </w:r>
    </w:p>
    <w:p w14:paraId="66950F1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2"/>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10.2.3对照</w:t>
      </w:r>
      <w:r>
        <w:rPr>
          <w:rFonts w:hint="eastAsia" w:ascii="黑体" w:hAnsi="黑体" w:eastAsia="黑体" w:cs="黑体"/>
          <w:b w:val="0"/>
          <w:bCs w:val="0"/>
          <w:color w:val="auto"/>
          <w:spacing w:val="-6"/>
          <w:sz w:val="24"/>
          <w:szCs w:val="24"/>
          <w:highlight w:val="none"/>
          <w:lang w:val="en-US" w:eastAsia="zh-CN"/>
        </w:rPr>
        <w:t>招标</w:t>
      </w:r>
      <w:r>
        <w:rPr>
          <w:rFonts w:hint="eastAsia" w:ascii="黑体" w:hAnsi="黑体" w:eastAsia="黑体" w:cs="黑体"/>
          <w:b w:val="0"/>
          <w:bCs w:val="0"/>
          <w:color w:val="auto"/>
          <w:spacing w:val="-6"/>
          <w:sz w:val="24"/>
          <w:szCs w:val="24"/>
          <w:highlight w:val="none"/>
        </w:rPr>
        <w:t>文件技术规格，逐条说明所提供的服务对</w:t>
      </w:r>
      <w:r>
        <w:rPr>
          <w:rFonts w:hint="eastAsia" w:ascii="黑体" w:hAnsi="黑体" w:eastAsia="黑体" w:cs="黑体"/>
          <w:b w:val="0"/>
          <w:bCs w:val="0"/>
          <w:color w:val="auto"/>
          <w:spacing w:val="-6"/>
          <w:sz w:val="24"/>
          <w:szCs w:val="24"/>
          <w:highlight w:val="none"/>
          <w:lang w:val="en-US" w:eastAsia="zh-CN"/>
        </w:rPr>
        <w:t>招标</w:t>
      </w:r>
      <w:r>
        <w:rPr>
          <w:rFonts w:hint="eastAsia" w:ascii="黑体" w:hAnsi="黑体" w:eastAsia="黑体" w:cs="黑体"/>
          <w:b w:val="0"/>
          <w:bCs w:val="0"/>
          <w:color w:val="auto"/>
          <w:spacing w:val="-6"/>
          <w:sz w:val="24"/>
          <w:szCs w:val="24"/>
          <w:highlight w:val="none"/>
        </w:rPr>
        <w:t>文件的技术规格做出了实质性的响应，或申明与技术规格条文的偏差和例外。</w:t>
      </w:r>
    </w:p>
    <w:p w14:paraId="770805A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textAlignment w:val="baseline"/>
        <w:outlineLvl w:val="2"/>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10.3投标人应注意采购人采购需求及评分标准内容要求。采购人、采购代理机构承诺不以上述参照品牌型号或分类号作为评标时判定其投标是否有效的标准。</w:t>
      </w:r>
    </w:p>
    <w:p w14:paraId="45DDF15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11.投标报价</w:t>
      </w:r>
    </w:p>
    <w:p w14:paraId="0C934C3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11.1所有投标均以人民币报价。投标人的投标报价应遵守《中</w:t>
      </w:r>
      <w:r>
        <w:rPr>
          <w:rFonts w:hint="eastAsia" w:ascii="黑体" w:hAnsi="黑体" w:eastAsia="黑体" w:cs="黑体"/>
          <w:color w:val="auto"/>
          <w:spacing w:val="-2"/>
          <w:sz w:val="24"/>
          <w:szCs w:val="24"/>
          <w:highlight w:val="none"/>
        </w:rPr>
        <w:t>华人民共和</w:t>
      </w:r>
      <w:r>
        <w:rPr>
          <w:rFonts w:hint="eastAsia" w:ascii="黑体" w:hAnsi="黑体" w:eastAsia="黑体" w:cs="黑体"/>
          <w:color w:val="auto"/>
          <w:spacing w:val="-1"/>
          <w:sz w:val="24"/>
          <w:szCs w:val="24"/>
          <w:highlight w:val="none"/>
        </w:rPr>
        <w:t>国价格法》。同时，根据《中华人民共和国政府采购法》第二</w:t>
      </w:r>
      <w:r>
        <w:rPr>
          <w:rFonts w:hint="eastAsia" w:ascii="黑体" w:hAnsi="黑体" w:eastAsia="黑体" w:cs="黑体"/>
          <w:color w:val="auto"/>
          <w:spacing w:val="-2"/>
          <w:sz w:val="24"/>
          <w:szCs w:val="24"/>
          <w:highlight w:val="none"/>
        </w:rPr>
        <w:t>条的规</w:t>
      </w:r>
      <w:r>
        <w:rPr>
          <w:rFonts w:hint="eastAsia" w:ascii="黑体" w:hAnsi="黑体" w:eastAsia="黑体" w:cs="黑体"/>
          <w:color w:val="auto"/>
          <w:spacing w:val="-1"/>
          <w:sz w:val="24"/>
          <w:szCs w:val="24"/>
          <w:highlight w:val="none"/>
        </w:rPr>
        <w:t>定，为保证公平竞争，如有主体投标标的的赠与行为，其投标将被认</w:t>
      </w:r>
      <w:r>
        <w:rPr>
          <w:rFonts w:hint="eastAsia" w:ascii="黑体" w:hAnsi="黑体" w:eastAsia="黑体" w:cs="黑体"/>
          <w:color w:val="auto"/>
          <w:spacing w:val="-4"/>
          <w:sz w:val="24"/>
          <w:szCs w:val="24"/>
          <w:highlight w:val="none"/>
        </w:rPr>
        <w:t>定为</w:t>
      </w:r>
      <w:r>
        <w:rPr>
          <w:rFonts w:hint="eastAsia" w:ascii="黑体" w:hAnsi="黑体" w:eastAsia="黑体" w:cs="黑体"/>
          <w:b/>
          <w:bCs/>
          <w:color w:val="auto"/>
          <w:spacing w:val="-4"/>
          <w:sz w:val="24"/>
          <w:szCs w:val="24"/>
          <w:highlight w:val="none"/>
        </w:rPr>
        <w:t>投标无效</w:t>
      </w:r>
      <w:r>
        <w:rPr>
          <w:rFonts w:hint="eastAsia" w:ascii="黑体" w:hAnsi="黑体" w:eastAsia="黑体" w:cs="黑体"/>
          <w:color w:val="auto"/>
          <w:spacing w:val="-4"/>
          <w:sz w:val="24"/>
          <w:szCs w:val="24"/>
          <w:highlight w:val="none"/>
        </w:rPr>
        <w:t>。</w:t>
      </w:r>
    </w:p>
    <w:p w14:paraId="08B5CA5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11.2投标人应在投标分项报价表上标明分项服务的价格（如适用</w:t>
      </w:r>
      <w:r>
        <w:rPr>
          <w:rFonts w:hint="eastAsia" w:ascii="黑体" w:hAnsi="黑体" w:eastAsia="黑体" w:cs="黑体"/>
          <w:color w:val="auto"/>
          <w:sz w:val="24"/>
          <w:szCs w:val="24"/>
          <w:highlight w:val="none"/>
        </w:rPr>
        <w:t>），</w:t>
      </w:r>
      <w:r>
        <w:rPr>
          <w:rFonts w:hint="eastAsia" w:ascii="黑体" w:hAnsi="黑体" w:eastAsia="黑体" w:cs="黑体"/>
          <w:color w:val="auto"/>
          <w:spacing w:val="-2"/>
          <w:sz w:val="24"/>
          <w:szCs w:val="24"/>
          <w:highlight w:val="none"/>
        </w:rPr>
        <w:t>并由</w:t>
      </w:r>
      <w:r>
        <w:rPr>
          <w:rFonts w:hint="eastAsia" w:ascii="黑体" w:hAnsi="黑体" w:eastAsia="黑体" w:cs="黑体"/>
          <w:color w:val="auto"/>
          <w:spacing w:val="-1"/>
          <w:sz w:val="24"/>
          <w:szCs w:val="24"/>
          <w:highlight w:val="none"/>
        </w:rPr>
        <w:t>法定代表人或其委托代理人签署。</w:t>
      </w:r>
    </w:p>
    <w:p w14:paraId="267BA08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8" w:firstLineChars="176"/>
        <w:textAlignment w:val="baseline"/>
        <w:outlineLvl w:val="1"/>
        <w:rPr>
          <w:rFonts w:hint="eastAsia" w:ascii="黑体" w:hAnsi="黑体" w:eastAsia="黑体" w:cs="黑体"/>
          <w:color w:val="auto"/>
          <w:sz w:val="24"/>
          <w:szCs w:val="24"/>
          <w:highlight w:val="none"/>
        </w:rPr>
      </w:pPr>
      <w:bookmarkStart w:id="46" w:name="_Toc6192"/>
      <w:bookmarkStart w:id="47" w:name="_Toc16613"/>
      <w:r>
        <w:rPr>
          <w:rFonts w:hint="eastAsia" w:ascii="黑体" w:hAnsi="黑体" w:eastAsia="黑体" w:cs="黑体"/>
          <w:color w:val="auto"/>
          <w:spacing w:val="-4"/>
          <w:sz w:val="24"/>
          <w:szCs w:val="24"/>
          <w:highlight w:val="none"/>
        </w:rPr>
        <w:t>11.3采购人不接受具有附加条件的报价。</w:t>
      </w:r>
      <w:bookmarkEnd w:id="46"/>
      <w:bookmarkEnd w:id="47"/>
    </w:p>
    <w:p w14:paraId="12DCA1C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11.4投标人所报的各分项投标报价在合</w:t>
      </w:r>
      <w:r>
        <w:rPr>
          <w:rFonts w:hint="eastAsia" w:ascii="黑体" w:hAnsi="黑体" w:eastAsia="黑体" w:cs="黑体"/>
          <w:color w:val="auto"/>
          <w:spacing w:val="-2"/>
          <w:sz w:val="24"/>
          <w:szCs w:val="24"/>
          <w:highlight w:val="none"/>
        </w:rPr>
        <w:t>同履行过程中是固定不变的，不得以任何理由予以变更。任何包含价格调整要求的投标，将被认定为</w:t>
      </w:r>
      <w:r>
        <w:rPr>
          <w:rFonts w:hint="eastAsia" w:ascii="黑体" w:hAnsi="黑体" w:eastAsia="黑体" w:cs="黑体"/>
          <w:b/>
          <w:bCs/>
          <w:color w:val="auto"/>
          <w:spacing w:val="-2"/>
          <w:sz w:val="24"/>
          <w:szCs w:val="24"/>
          <w:highlight w:val="none"/>
        </w:rPr>
        <w:t>投</w:t>
      </w:r>
      <w:r>
        <w:rPr>
          <w:rFonts w:hint="eastAsia" w:ascii="黑体" w:hAnsi="黑体" w:eastAsia="黑体" w:cs="黑体"/>
          <w:b/>
          <w:bCs/>
          <w:color w:val="auto"/>
          <w:spacing w:val="-5"/>
          <w:sz w:val="24"/>
          <w:szCs w:val="24"/>
          <w:highlight w:val="none"/>
        </w:rPr>
        <w:t>标无效</w:t>
      </w:r>
      <w:r>
        <w:rPr>
          <w:rFonts w:hint="eastAsia" w:ascii="黑体" w:hAnsi="黑体" w:eastAsia="黑体" w:cs="黑体"/>
          <w:color w:val="auto"/>
          <w:spacing w:val="-5"/>
          <w:sz w:val="24"/>
          <w:szCs w:val="24"/>
          <w:highlight w:val="none"/>
        </w:rPr>
        <w:t>。</w:t>
      </w:r>
    </w:p>
    <w:p w14:paraId="66A0945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12.投标保证金</w:t>
      </w:r>
    </w:p>
    <w:p w14:paraId="365688D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bookmarkStart w:id="48" w:name="_Ref467306302"/>
      <w:r>
        <w:rPr>
          <w:rFonts w:hint="eastAsia" w:ascii="黑体" w:hAnsi="黑体" w:eastAsia="黑体" w:cs="黑体"/>
          <w:color w:val="auto"/>
          <w:sz w:val="24"/>
          <w:szCs w:val="24"/>
          <w:highlight w:val="none"/>
        </w:rPr>
        <w:t>12.1投标人应提交投标人须知资料表中规定的投标保证金</w:t>
      </w:r>
      <w:bookmarkEnd w:id="48"/>
      <w:r>
        <w:rPr>
          <w:rFonts w:hint="eastAsia" w:ascii="黑体" w:hAnsi="黑体" w:eastAsia="黑体" w:cs="黑体"/>
          <w:color w:val="auto"/>
          <w:sz w:val="24"/>
          <w:szCs w:val="24"/>
          <w:highlight w:val="none"/>
        </w:rPr>
        <w:t>，并作为其投标的一部分。</w:t>
      </w:r>
    </w:p>
    <w:p w14:paraId="5998510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outlineLvl w:val="1"/>
        <w:rPr>
          <w:rFonts w:hint="eastAsia" w:ascii="黑体" w:hAnsi="黑体" w:eastAsia="黑体" w:cs="黑体"/>
          <w:color w:val="auto"/>
          <w:sz w:val="24"/>
          <w:szCs w:val="24"/>
          <w:highlight w:val="none"/>
        </w:rPr>
      </w:pPr>
      <w:bookmarkStart w:id="49" w:name="_Toc12213"/>
      <w:bookmarkStart w:id="50" w:name="_Toc14614"/>
      <w:r>
        <w:rPr>
          <w:rFonts w:hint="eastAsia" w:ascii="黑体" w:hAnsi="黑体" w:eastAsia="黑体" w:cs="黑体"/>
          <w:color w:val="auto"/>
          <w:sz w:val="24"/>
          <w:szCs w:val="24"/>
          <w:highlight w:val="none"/>
        </w:rPr>
        <w:t>12.2投标人存在下列情形的，投标保证金不予退还：</w:t>
      </w:r>
      <w:bookmarkEnd w:id="49"/>
      <w:bookmarkEnd w:id="50"/>
    </w:p>
    <w:p w14:paraId="5D24A42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（1）在投标有效期内，撤销投标的；</w:t>
      </w:r>
    </w:p>
    <w:p w14:paraId="5668D49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（2）中标后不按本须知第30条的规定与采购人签订合同的；</w:t>
      </w:r>
    </w:p>
    <w:p w14:paraId="00B47EB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（3）中标后不按本须知第31条的规定提交履约保证金的；</w:t>
      </w:r>
    </w:p>
    <w:p w14:paraId="778C250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（4）中标后不按本须知第32条的规定缴纳中标服务费的；</w:t>
      </w:r>
    </w:p>
    <w:p w14:paraId="6A8508B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（5）存在其他违法违规行为的。</w:t>
      </w:r>
    </w:p>
    <w:p w14:paraId="67A396D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bookmarkStart w:id="51" w:name="_Ref467306336"/>
      <w:r>
        <w:rPr>
          <w:rFonts w:hint="eastAsia" w:ascii="黑体" w:hAnsi="黑体" w:eastAsia="黑体" w:cs="黑体"/>
          <w:color w:val="auto"/>
          <w:sz w:val="24"/>
          <w:szCs w:val="24"/>
          <w:highlight w:val="none"/>
        </w:rPr>
        <w:t>12.3</w:t>
      </w:r>
      <w:bookmarkEnd w:id="51"/>
      <w:r>
        <w:rPr>
          <w:rFonts w:hint="eastAsia" w:ascii="黑体" w:hAnsi="黑体" w:eastAsia="黑体" w:cs="黑体"/>
          <w:color w:val="auto"/>
          <w:sz w:val="24"/>
          <w:szCs w:val="24"/>
          <w:highlight w:val="none"/>
        </w:rPr>
        <w:t>政府采购信用担保试点范围内的项目，接受符合财政部门规定的政府采购投标担保函</w:t>
      </w:r>
      <w:r>
        <w:rPr>
          <w:rFonts w:hint="eastAsia" w:ascii="黑体" w:hAnsi="黑体" w:eastAsia="黑体" w:cs="黑体"/>
          <w:color w:val="auto"/>
          <w:sz w:val="24"/>
          <w:szCs w:val="24"/>
          <w:highlight w:val="none"/>
          <w:lang w:eastAsia="zh-CN"/>
        </w:rPr>
        <w:t>扫描</w:t>
      </w:r>
      <w:r>
        <w:rPr>
          <w:rFonts w:hint="eastAsia" w:ascii="黑体" w:hAnsi="黑体" w:eastAsia="黑体" w:cs="黑体"/>
          <w:color w:val="auto"/>
          <w:sz w:val="24"/>
          <w:szCs w:val="24"/>
          <w:highlight w:val="none"/>
        </w:rPr>
        <w:t>件。</w:t>
      </w:r>
    </w:p>
    <w:p w14:paraId="2C8A846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12.4投标人未按本须知第12.1和12.3条规定提交投标保证金的，其投标将被认定为投标无效。</w:t>
      </w:r>
    </w:p>
    <w:p w14:paraId="1A345D4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12.4.1采用电汇形式的，一般可以实时入账。</w:t>
      </w:r>
    </w:p>
    <w:p w14:paraId="2525287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12.4.2采用支票形式的，投标人则应充分考虑支票入账时间，以确保投标保证金能按时进入指定账户。根据银行信息交换和付款时间，支票从递交至实际入账一般需要4</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5个工作日。如投标人未及时提交支票或支票不符合银行委托收款要求（如污损、折叠、胶装等），导致投标保证金不能按时进入指定账户的，将按照</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的第22.2条相关规定处理。</w:t>
      </w:r>
    </w:p>
    <w:p w14:paraId="4AFDEDD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outlineLvl w:val="1"/>
        <w:rPr>
          <w:rFonts w:hint="eastAsia" w:ascii="黑体" w:hAnsi="黑体" w:eastAsia="黑体" w:cs="黑体"/>
          <w:color w:val="auto"/>
          <w:sz w:val="24"/>
          <w:szCs w:val="24"/>
          <w:highlight w:val="none"/>
        </w:rPr>
      </w:pPr>
      <w:bookmarkStart w:id="52" w:name="_Toc29201"/>
      <w:bookmarkStart w:id="53" w:name="_Toc19688"/>
      <w:r>
        <w:rPr>
          <w:rFonts w:hint="eastAsia" w:ascii="黑体" w:hAnsi="黑体" w:eastAsia="黑体" w:cs="黑体"/>
          <w:color w:val="auto"/>
          <w:sz w:val="24"/>
          <w:szCs w:val="24"/>
          <w:highlight w:val="none"/>
        </w:rPr>
        <w:t>12.6投标保证金的退还</w:t>
      </w:r>
      <w:bookmarkEnd w:id="52"/>
      <w:bookmarkEnd w:id="53"/>
    </w:p>
    <w:p w14:paraId="2C7638E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12.6.1中标人应在与采购人签订合同之日起5个工作日内，及时联系保证金收受机构办理投标保证金无息退还手续。</w:t>
      </w:r>
    </w:p>
    <w:p w14:paraId="3E8D80F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12.6.2未中标投标人的投标保证金将在中标通知书发出之日暨中标结果公告公布之日起5个工作日内无息退还。投标人应及时联系保证金收受机构办理退还投标保证金手续。</w:t>
      </w:r>
    </w:p>
    <w:p w14:paraId="662098D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12.6.3政府采购投标担保函不予退回。</w:t>
      </w:r>
    </w:p>
    <w:p w14:paraId="7EEC312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12.7因投标人自身原因导致无法及时退还的，采购人或采购代理机构将不承担相应责任。</w:t>
      </w:r>
    </w:p>
    <w:p w14:paraId="686B3F2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13.投标有效期</w:t>
      </w:r>
    </w:p>
    <w:p w14:paraId="541C38E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outlineLvl w:val="2"/>
        <w:rPr>
          <w:rFonts w:hint="eastAsia" w:ascii="黑体" w:hAnsi="黑体" w:eastAsia="黑体" w:cs="黑体"/>
          <w:b w:val="0"/>
          <w:bCs w:val="0"/>
          <w:color w:val="auto"/>
          <w:spacing w:val="-3"/>
          <w:sz w:val="24"/>
          <w:szCs w:val="24"/>
          <w:highlight w:val="none"/>
        </w:rPr>
      </w:pPr>
      <w:r>
        <w:rPr>
          <w:rFonts w:hint="eastAsia" w:ascii="黑体" w:hAnsi="黑体" w:eastAsia="黑体" w:cs="黑体"/>
          <w:b w:val="0"/>
          <w:bCs w:val="0"/>
          <w:color w:val="auto"/>
          <w:spacing w:val="-3"/>
          <w:sz w:val="24"/>
          <w:szCs w:val="24"/>
          <w:highlight w:val="none"/>
        </w:rPr>
        <w:t>13.1投标应在投标人须知资料表中规定时间内保持有效。投标有效期不满足要求的投标，其投标将被认定为</w:t>
      </w:r>
      <w:r>
        <w:rPr>
          <w:rFonts w:hint="eastAsia" w:ascii="黑体" w:hAnsi="黑体" w:eastAsia="黑体" w:cs="黑体"/>
          <w:b/>
          <w:bCs/>
          <w:color w:val="auto"/>
          <w:spacing w:val="-3"/>
          <w:sz w:val="24"/>
          <w:szCs w:val="24"/>
          <w:highlight w:val="none"/>
        </w:rPr>
        <w:t>投标无效</w:t>
      </w:r>
      <w:r>
        <w:rPr>
          <w:rFonts w:hint="eastAsia" w:ascii="黑体" w:hAnsi="黑体" w:eastAsia="黑体" w:cs="黑体"/>
          <w:b w:val="0"/>
          <w:bCs w:val="0"/>
          <w:color w:val="auto"/>
          <w:spacing w:val="-3"/>
          <w:sz w:val="24"/>
          <w:szCs w:val="24"/>
          <w:highlight w:val="none"/>
        </w:rPr>
        <w:t>。</w:t>
      </w:r>
    </w:p>
    <w:p w14:paraId="30D7B95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outlineLvl w:val="2"/>
        <w:rPr>
          <w:rFonts w:hint="eastAsia" w:ascii="黑体" w:hAnsi="黑体" w:eastAsia="黑体" w:cs="黑体"/>
          <w:b/>
          <w:bCs/>
          <w:color w:val="auto"/>
          <w:spacing w:val="-3"/>
          <w:sz w:val="24"/>
          <w:szCs w:val="24"/>
          <w:highlight w:val="none"/>
        </w:rPr>
      </w:pPr>
      <w:r>
        <w:rPr>
          <w:rFonts w:hint="eastAsia" w:ascii="黑体" w:hAnsi="黑体" w:eastAsia="黑体" w:cs="黑体"/>
          <w:b w:val="0"/>
          <w:bCs w:val="0"/>
          <w:color w:val="auto"/>
          <w:spacing w:val="-3"/>
          <w:sz w:val="24"/>
          <w:szCs w:val="24"/>
          <w:highlight w:val="none"/>
        </w:rPr>
        <w:t>13.2为保证有充分时间签订合同，采购人或采购代理机构可根据实际情况，在原投标有效期截止之前，要求投标人延长</w:t>
      </w:r>
      <w:r>
        <w:rPr>
          <w:rFonts w:hint="eastAsia" w:ascii="黑体" w:hAnsi="黑体" w:eastAsia="黑体" w:cs="黑体"/>
          <w:b w:val="0"/>
          <w:bCs w:val="0"/>
          <w:color w:val="auto"/>
          <w:spacing w:val="-3"/>
          <w:sz w:val="24"/>
          <w:szCs w:val="24"/>
          <w:highlight w:val="none"/>
          <w:lang w:val="en-US" w:eastAsia="zh-CN"/>
        </w:rPr>
        <w:t>投标</w:t>
      </w:r>
      <w:r>
        <w:rPr>
          <w:rFonts w:hint="eastAsia" w:ascii="黑体" w:hAnsi="黑体" w:eastAsia="黑体" w:cs="黑体"/>
          <w:b w:val="0"/>
          <w:bCs w:val="0"/>
          <w:color w:val="auto"/>
          <w:spacing w:val="-3"/>
          <w:sz w:val="24"/>
          <w:szCs w:val="24"/>
          <w:highlight w:val="none"/>
          <w:lang w:eastAsia="zh-CN"/>
        </w:rPr>
        <w:t>文件</w:t>
      </w:r>
      <w:r>
        <w:rPr>
          <w:rFonts w:hint="eastAsia" w:ascii="黑体" w:hAnsi="黑体" w:eastAsia="黑体" w:cs="黑体"/>
          <w:b w:val="0"/>
          <w:bCs w:val="0"/>
          <w:color w:val="auto"/>
          <w:spacing w:val="-3"/>
          <w:sz w:val="24"/>
          <w:szCs w:val="24"/>
          <w:highlight w:val="none"/>
        </w:rPr>
        <w:t>的有效期。接受该要求的投标人将不会被要求和允许修正其投标，且本须知中有关投标保证金的要求须在延长的有效期内继续有效。投标人可以拒绝延长投标有效期的要求，其投标保证金将及时无息退还。</w:t>
      </w:r>
    </w:p>
    <w:p w14:paraId="2824F64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14.投标文件的签署及规定（电子投标以政采云</w:t>
      </w:r>
      <w:r>
        <w:rPr>
          <w:rFonts w:hint="eastAsia" w:ascii="黑体" w:hAnsi="黑体" w:eastAsia="黑体" w:cs="黑体"/>
          <w:b/>
          <w:bCs/>
          <w:color w:val="auto"/>
          <w:spacing w:val="-4"/>
          <w:sz w:val="24"/>
          <w:szCs w:val="24"/>
          <w:highlight w:val="none"/>
        </w:rPr>
        <w:t>系统生成格式为准）</w:t>
      </w:r>
    </w:p>
    <w:p w14:paraId="288FBFA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14.1供应商应按供应商须知资料表中的规定，准备和递交（加密上传）电子投标文件。</w:t>
      </w:r>
    </w:p>
    <w:p w14:paraId="3AFCA61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14.2所有</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文件应按照招标文件规定的格式填写、签署和盖章。</w:t>
      </w:r>
    </w:p>
    <w:p w14:paraId="0464D4C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outlineLvl w:val="1"/>
        <w:rPr>
          <w:rFonts w:hint="eastAsia" w:ascii="黑体" w:hAnsi="黑体" w:eastAsia="黑体" w:cs="黑体"/>
          <w:color w:val="auto"/>
          <w:sz w:val="24"/>
          <w:szCs w:val="24"/>
          <w:highlight w:val="none"/>
        </w:rPr>
      </w:pPr>
      <w:bookmarkStart w:id="54" w:name="_Toc17286"/>
      <w:bookmarkStart w:id="55" w:name="_Toc24535"/>
      <w:r>
        <w:rPr>
          <w:rFonts w:hint="eastAsia" w:ascii="黑体" w:hAnsi="黑体" w:eastAsia="黑体" w:cs="黑体"/>
          <w:color w:val="auto"/>
          <w:sz w:val="24"/>
          <w:szCs w:val="24"/>
          <w:highlight w:val="none"/>
        </w:rPr>
        <w:t>14.3</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文件表达不清或未按照招标文件规定的格式填写、签署和盖章所引起的后果由供应商负责。</w:t>
      </w:r>
      <w:bookmarkEnd w:id="54"/>
      <w:bookmarkEnd w:id="55"/>
    </w:p>
    <w:p w14:paraId="1011970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1"/>
        <w:rPr>
          <w:rFonts w:hint="eastAsia" w:ascii="黑体" w:hAnsi="黑体" w:eastAsia="黑体" w:cs="黑体"/>
          <w:color w:val="auto"/>
          <w:sz w:val="28"/>
          <w:szCs w:val="28"/>
          <w:highlight w:val="none"/>
        </w:rPr>
      </w:pPr>
      <w:bookmarkStart w:id="56" w:name="_Toc26123"/>
      <w:bookmarkStart w:id="57" w:name="_Toc30393"/>
      <w:r>
        <w:rPr>
          <w:rFonts w:hint="eastAsia" w:ascii="黑体" w:hAnsi="黑体" w:eastAsia="黑体" w:cs="黑体"/>
          <w:b/>
          <w:bCs/>
          <w:color w:val="auto"/>
          <w:spacing w:val="-9"/>
          <w:sz w:val="28"/>
          <w:szCs w:val="28"/>
          <w:highlight w:val="none"/>
        </w:rPr>
        <w:t>四投标文件的递交</w:t>
      </w:r>
      <w:bookmarkEnd w:id="56"/>
      <w:bookmarkEnd w:id="57"/>
    </w:p>
    <w:p w14:paraId="21AEB9B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15.投标文件的密封和标记（电子投标以政采云系</w:t>
      </w:r>
      <w:r>
        <w:rPr>
          <w:rFonts w:hint="eastAsia" w:ascii="黑体" w:hAnsi="黑体" w:eastAsia="黑体" w:cs="黑体"/>
          <w:b/>
          <w:bCs/>
          <w:color w:val="auto"/>
          <w:spacing w:val="-4"/>
          <w:sz w:val="24"/>
          <w:szCs w:val="24"/>
          <w:highlight w:val="none"/>
        </w:rPr>
        <w:t>统生成格式为准）</w:t>
      </w:r>
    </w:p>
    <w:p w14:paraId="0F918589">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outlineLvl w:val="2"/>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15.1为方便评审及进行资格审查，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2B9AAF5D">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outlineLvl w:val="2"/>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16.投标截止</w:t>
      </w:r>
    </w:p>
    <w:p w14:paraId="220131A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1"/>
        <w:rPr>
          <w:rFonts w:hint="eastAsia" w:ascii="黑体" w:hAnsi="黑体" w:eastAsia="黑体" w:cs="黑体"/>
          <w:b w:val="0"/>
          <w:bCs w:val="0"/>
          <w:color w:val="auto"/>
          <w:spacing w:val="-4"/>
          <w:sz w:val="24"/>
          <w:szCs w:val="24"/>
          <w:highlight w:val="none"/>
        </w:rPr>
      </w:pPr>
      <w:bookmarkStart w:id="58" w:name="_Toc22490"/>
      <w:bookmarkStart w:id="59" w:name="_Toc21215"/>
      <w:r>
        <w:rPr>
          <w:rFonts w:hint="eastAsia" w:ascii="黑体" w:hAnsi="黑体" w:eastAsia="黑体" w:cs="黑体"/>
          <w:b w:val="0"/>
          <w:bCs w:val="0"/>
          <w:color w:val="auto"/>
          <w:spacing w:val="-4"/>
          <w:sz w:val="24"/>
          <w:szCs w:val="24"/>
          <w:highlight w:val="none"/>
        </w:rPr>
        <w:t>16.1投标人应在招标文件中规定的截止时间前，将电子投标文件上传到政采云平台。</w:t>
      </w:r>
      <w:bookmarkEnd w:id="58"/>
      <w:bookmarkEnd w:id="59"/>
    </w:p>
    <w:p w14:paraId="63178AA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outlineLvl w:val="2"/>
        <w:rPr>
          <w:rFonts w:hint="eastAsia" w:ascii="黑体" w:hAnsi="黑体" w:eastAsia="黑体" w:cs="黑体"/>
          <w:b w:val="0"/>
          <w:bCs w:val="0"/>
          <w:color w:val="auto"/>
          <w:spacing w:val="-4"/>
          <w:sz w:val="24"/>
          <w:szCs w:val="24"/>
          <w:highlight w:val="none"/>
        </w:rPr>
      </w:pPr>
      <w:r>
        <w:rPr>
          <w:rFonts w:hint="eastAsia" w:ascii="黑体" w:hAnsi="黑体" w:eastAsia="黑体" w:cs="黑体"/>
          <w:b w:val="0"/>
          <w:bCs w:val="0"/>
          <w:color w:val="auto"/>
          <w:spacing w:val="-4"/>
          <w:sz w:val="24"/>
          <w:szCs w:val="24"/>
          <w:highlight w:val="none"/>
        </w:rPr>
        <w:t>16.2采购人和采购代理机构有权按本须知的规定，延迟投标截止时间。在此情况下，采购人、采购代理机构和投标人受投标截止时间制约的所有权利和义务均应延长至新的截止时间。</w:t>
      </w:r>
    </w:p>
    <w:p w14:paraId="2893623B">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outlineLvl w:val="2"/>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17.投标文件的接收、修改与撤回</w:t>
      </w:r>
    </w:p>
    <w:p w14:paraId="2C05389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17.1</w:t>
      </w:r>
      <w:r>
        <w:rPr>
          <w:rFonts w:hint="eastAsia" w:ascii="黑体" w:hAnsi="黑体" w:eastAsia="黑体" w:cs="黑体"/>
          <w:color w:val="auto"/>
          <w:sz w:val="24"/>
          <w:szCs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7E6795B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17.2</w:t>
      </w:r>
      <w:r>
        <w:rPr>
          <w:rFonts w:hint="eastAsia" w:ascii="黑体" w:hAnsi="黑体" w:eastAsia="黑体" w:cs="黑体"/>
          <w:color w:val="auto"/>
          <w:sz w:val="24"/>
          <w:szCs w:val="24"/>
          <w:highlight w:val="none"/>
          <w:lang w:val="en-US" w:eastAsia="zh-CN"/>
        </w:rPr>
        <w:t>代理机构对因不可抗力事件造成的投标文件的损坏、丢失的，不承担责任。</w:t>
      </w:r>
    </w:p>
    <w:p w14:paraId="1535B90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17.3</w:t>
      </w:r>
      <w:r>
        <w:rPr>
          <w:rFonts w:hint="eastAsia" w:ascii="黑体" w:hAnsi="黑体" w:eastAsia="黑体" w:cs="黑体"/>
          <w:color w:val="auto"/>
          <w:sz w:val="24"/>
          <w:szCs w:val="24"/>
          <w:highlight w:val="none"/>
          <w:lang w:val="en-US" w:eastAsia="zh-CN"/>
        </w:rPr>
        <w:t>出现下述情形之一，属于未成功提交投标文件，按无效投标处理：</w:t>
      </w:r>
    </w:p>
    <w:p w14:paraId="234B917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（1）至提交投标文件截止时间，投标文件未完整上传的。</w:t>
      </w:r>
    </w:p>
    <w:p w14:paraId="1FF7AE4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（2）投标文件未按投标格式中注明需签字盖章的要求进行签名（含电子签名）和加盖电子印章，或签名（含电子签名）或电子印章不完整的。</w:t>
      </w:r>
    </w:p>
    <w:p w14:paraId="6E8E50A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（3）投标文件损坏或格式不正确的。</w:t>
      </w:r>
    </w:p>
    <w:p w14:paraId="7768B62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17.4</w:t>
      </w:r>
      <w:r>
        <w:rPr>
          <w:rFonts w:hint="eastAsia" w:ascii="黑体" w:hAnsi="黑体" w:eastAsia="黑体" w:cs="黑体"/>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441AB4D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17.5</w:t>
      </w:r>
      <w:r>
        <w:rPr>
          <w:rFonts w:hint="eastAsia" w:ascii="黑体" w:hAnsi="黑体" w:eastAsia="黑体" w:cs="黑体"/>
          <w:color w:val="auto"/>
          <w:sz w:val="24"/>
          <w:szCs w:val="24"/>
          <w:highlight w:val="none"/>
          <w:lang w:val="en-US" w:eastAsia="zh-CN"/>
        </w:rPr>
        <w:t>在提交投标文件截止时间后，投标人不得补充、修改和更换投标文件。</w:t>
      </w:r>
    </w:p>
    <w:p w14:paraId="7395511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17.6到达开标时间后，投标人需使用上传投标文件的同一数字证书解密，投标人须在采购代理机构规定的时间内完成投标文件解密，投标人因非系统原因导致的逾期未解密投标文件，将作无效投标处理。</w:t>
      </w:r>
    </w:p>
    <w:p w14:paraId="2ABA357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1"/>
        <w:rPr>
          <w:rFonts w:hint="eastAsia" w:ascii="黑体" w:hAnsi="黑体" w:eastAsia="黑体" w:cs="黑体"/>
          <w:color w:val="auto"/>
          <w:sz w:val="28"/>
          <w:szCs w:val="28"/>
          <w:highlight w:val="none"/>
        </w:rPr>
      </w:pPr>
      <w:bookmarkStart w:id="60" w:name="_Toc22494"/>
      <w:bookmarkStart w:id="61" w:name="_Toc28890"/>
      <w:r>
        <w:rPr>
          <w:rFonts w:hint="eastAsia" w:ascii="黑体" w:hAnsi="黑体" w:eastAsia="黑体" w:cs="黑体"/>
          <w:b/>
          <w:bCs/>
          <w:color w:val="auto"/>
          <w:spacing w:val="-7"/>
          <w:sz w:val="28"/>
          <w:szCs w:val="28"/>
          <w:highlight w:val="none"/>
        </w:rPr>
        <w:t>五开标及评标</w:t>
      </w:r>
      <w:bookmarkEnd w:id="60"/>
      <w:bookmarkEnd w:id="61"/>
    </w:p>
    <w:p w14:paraId="6AADE56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7"/>
          <w:sz w:val="24"/>
          <w:szCs w:val="24"/>
          <w:highlight w:val="none"/>
        </w:rPr>
        <w:t>18.开标</w:t>
      </w:r>
    </w:p>
    <w:p w14:paraId="7765DDE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18.1采购人和采购代理机构将按投标人须知资料表中规定的开标时间组织公开开</w:t>
      </w:r>
      <w:r>
        <w:rPr>
          <w:rFonts w:hint="eastAsia" w:ascii="黑体" w:hAnsi="黑体" w:eastAsia="黑体" w:cs="黑体"/>
          <w:color w:val="auto"/>
          <w:sz w:val="24"/>
          <w:szCs w:val="24"/>
          <w:highlight w:val="none"/>
          <w:lang w:val="en-US" w:eastAsia="zh-CN"/>
        </w:rPr>
        <w:t>评</w:t>
      </w:r>
      <w:r>
        <w:rPr>
          <w:rFonts w:hint="eastAsia" w:ascii="黑体" w:hAnsi="黑体" w:eastAsia="黑体" w:cs="黑体"/>
          <w:color w:val="auto"/>
          <w:sz w:val="24"/>
          <w:szCs w:val="24"/>
          <w:highlight w:val="none"/>
        </w:rPr>
        <w:t>标</w:t>
      </w:r>
      <w:r>
        <w:rPr>
          <w:rFonts w:hint="eastAsia" w:ascii="黑体" w:hAnsi="黑体" w:eastAsia="黑体" w:cs="黑体"/>
          <w:color w:val="auto"/>
          <w:sz w:val="24"/>
          <w:szCs w:val="24"/>
          <w:highlight w:val="none"/>
          <w:lang w:eastAsia="zh-CN"/>
        </w:rPr>
        <w:t>，投标人应当按照本采购文件载明的时间和模式等要求参加开标，</w:t>
      </w:r>
      <w:r>
        <w:rPr>
          <w:rFonts w:hint="eastAsia" w:ascii="黑体" w:hAnsi="黑体" w:eastAsia="黑体" w:cs="黑体"/>
          <w:color w:val="auto"/>
          <w:sz w:val="24"/>
          <w:szCs w:val="24"/>
          <w:highlight w:val="none"/>
        </w:rPr>
        <w:t>投标人不足3家的，不得开标。</w:t>
      </w:r>
    </w:p>
    <w:p w14:paraId="5438272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5"/>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18.2投标人应当按照本采购文件载明的时间和模式等要求参加开标。开标时，投标人应当使用上传本项目（采购包）电子</w:t>
      </w: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rPr>
        <w:t>文件时加密所用数字证书在开始解密后按照代理机构规定的时间内完成电子</w:t>
      </w: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rPr>
        <w:t>文件的解密，如遇不可抗力等其他特殊情况，采购代理机构可视情况延长解密时间。投标人未携带数字证书或其他非系统原因导致的在规定时间内未解密</w:t>
      </w: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rPr>
        <w:t>文件，将作无效投标处理。（采用不见面电子开标，各投标人在参加开标以前须自行对使用电脑的网络环境、驱动安装、客户端安装以及数字证书的有效性等进行检测，确保可以正常使用）。</w:t>
      </w:r>
    </w:p>
    <w:p w14:paraId="5CCBA54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18.3采购人或采购代理机构将对开标过程进行记录，由参加开标的相关工作人员签字确认，并存档备查。</w:t>
      </w:r>
    </w:p>
    <w:p w14:paraId="3D0BDF0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18.4投标人代表对开标过程和开标记录有疑义，以及认为采购人、采购代理机构相关工作人员有需要回避的情形的，应当场提出询问或者回避申请。</w:t>
      </w:r>
    </w:p>
    <w:p w14:paraId="0AEDA0C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19.资格审查及组建评标委员会</w:t>
      </w:r>
    </w:p>
    <w:p w14:paraId="5682D718">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175"/>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19.1采购人依据法律法规和采购文件中规定的内容，对投标人的资格进行审查。未通过资格审查的投标人不能进入评标；进入评标的投标人不足3家的，不得评标。</w:t>
      </w:r>
    </w:p>
    <w:p w14:paraId="2BB51276">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175"/>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19.2采购人或采购代理机构将在开标后1个小时内查询投标人的信用记录。投标人存在不良信用记录的，其投标将被认定为投标无效。</w:t>
      </w:r>
    </w:p>
    <w:p w14:paraId="63F9A72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19.2.1不良信用记录指：投标单位近三年内（</w:t>
      </w:r>
      <w:r>
        <w:rPr>
          <w:rFonts w:hint="eastAsia" w:ascii="黑体" w:hAnsi="黑体" w:eastAsia="黑体" w:cs="黑体"/>
          <w:color w:val="auto"/>
          <w:sz w:val="24"/>
          <w:szCs w:val="24"/>
          <w:highlight w:val="none"/>
          <w:lang w:eastAsia="zh-CN"/>
        </w:rPr>
        <w:t>2023年0</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lang w:eastAsia="zh-CN"/>
        </w:rPr>
        <w:t>月至今</w:t>
      </w:r>
      <w:r>
        <w:rPr>
          <w:rFonts w:hint="eastAsia" w:ascii="黑体" w:hAnsi="黑体" w:eastAsia="黑体" w:cs="黑体"/>
          <w:color w:val="auto"/>
          <w:sz w:val="24"/>
          <w:szCs w:val="24"/>
          <w:highlight w:val="none"/>
        </w:rPr>
        <w:t>）在“信用中国”（www.creditchina.gov.cn）和中国政府采购网（www.ccgp.gov.cn）网站上未列入重大税收违法失信主体、严重失信主体名单查询，中国政府采购网严重违法失信行为记录名单；以及存在《中华人民共和国政府采购法实施条例》第十九条规定的行政处罚记录。（以采购人或代理机构现场查询为准）</w:t>
      </w:r>
    </w:p>
    <w:p w14:paraId="1DA9ACF4">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175"/>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19.2.2查询及记录方式：采购人或采购代理机构经办人将查询网页打印并存档备查。投标人不良信用记录以采购人或采购代理机构查询结果为准。在本</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规定的查询时间之后，网站信息发生的任何变更均不再作为评标依据。</w:t>
      </w:r>
    </w:p>
    <w:p w14:paraId="257026E3">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175"/>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投标人自行提供的与网站信息不一致的其他证明材料亦不作为资格审查依据。</w:t>
      </w:r>
    </w:p>
    <w:p w14:paraId="5A64F0F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3" w:firstLineChars="175"/>
        <w:textAlignment w:val="baseline"/>
        <w:outlineLvl w:val="2"/>
        <w:rPr>
          <w:rFonts w:hint="eastAsia" w:ascii="黑体" w:hAnsi="黑体" w:eastAsia="黑体" w:cs="黑体"/>
          <w:color w:val="auto"/>
          <w:spacing w:val="-7"/>
          <w:sz w:val="24"/>
          <w:szCs w:val="24"/>
          <w:highlight w:val="none"/>
        </w:rPr>
      </w:pPr>
      <w:r>
        <w:rPr>
          <w:rFonts w:hint="eastAsia" w:ascii="黑体" w:hAnsi="黑体" w:eastAsia="黑体" w:cs="黑体"/>
          <w:color w:val="auto"/>
          <w:spacing w:val="1"/>
          <w:sz w:val="24"/>
          <w:szCs w:val="24"/>
          <w:highlight w:val="none"/>
        </w:rPr>
        <w:t>19.3按照《中华人民共和国政府采购法》、《中华人民共和国政府采购法</w:t>
      </w:r>
      <w:r>
        <w:rPr>
          <w:rFonts w:hint="eastAsia" w:ascii="黑体" w:hAnsi="黑体" w:eastAsia="黑体" w:cs="黑体"/>
          <w:color w:val="auto"/>
          <w:spacing w:val="-4"/>
          <w:sz w:val="24"/>
          <w:szCs w:val="24"/>
          <w:highlight w:val="none"/>
        </w:rPr>
        <w:t>实施条例》、中华人民共和国财政部令第87号《政府采购货物和服务</w:t>
      </w:r>
      <w:r>
        <w:rPr>
          <w:rFonts w:hint="eastAsia" w:ascii="黑体" w:hAnsi="黑体" w:eastAsia="黑体" w:cs="黑体"/>
          <w:color w:val="auto"/>
          <w:spacing w:val="2"/>
          <w:sz w:val="24"/>
          <w:szCs w:val="24"/>
          <w:highlight w:val="none"/>
        </w:rPr>
        <w:t>招标投标管理办法》及本项目本级和上级财政</w:t>
      </w:r>
      <w:r>
        <w:rPr>
          <w:rFonts w:hint="eastAsia" w:ascii="黑体" w:hAnsi="黑体" w:eastAsia="黑体" w:cs="黑体"/>
          <w:color w:val="auto"/>
          <w:spacing w:val="1"/>
          <w:sz w:val="24"/>
          <w:szCs w:val="24"/>
          <w:highlight w:val="none"/>
        </w:rPr>
        <w:t>部门的有关规定依法组</w:t>
      </w:r>
      <w:r>
        <w:rPr>
          <w:rFonts w:hint="eastAsia" w:ascii="黑体" w:hAnsi="黑体" w:eastAsia="黑体" w:cs="黑体"/>
          <w:color w:val="auto"/>
          <w:spacing w:val="-7"/>
          <w:sz w:val="24"/>
          <w:szCs w:val="24"/>
          <w:highlight w:val="none"/>
        </w:rPr>
        <w:t>建的评标委员会，负责本项目评标工作。</w:t>
      </w:r>
    </w:p>
    <w:p w14:paraId="089CF8F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7" w:firstLineChars="175"/>
        <w:textAlignment w:val="baseline"/>
        <w:outlineLvl w:val="2"/>
        <w:rPr>
          <w:rFonts w:hint="eastAsia" w:ascii="黑体" w:hAnsi="黑体" w:eastAsia="黑体" w:cs="黑体"/>
          <w:b/>
          <w:bCs/>
          <w:color w:val="auto"/>
          <w:spacing w:val="-7"/>
          <w:sz w:val="24"/>
          <w:szCs w:val="24"/>
          <w:highlight w:val="none"/>
        </w:rPr>
      </w:pPr>
      <w:r>
        <w:rPr>
          <w:rFonts w:hint="eastAsia" w:ascii="黑体" w:hAnsi="黑体" w:eastAsia="黑体" w:cs="黑体"/>
          <w:b/>
          <w:bCs/>
          <w:color w:val="auto"/>
          <w:spacing w:val="-7"/>
          <w:sz w:val="24"/>
          <w:szCs w:val="24"/>
          <w:highlight w:val="none"/>
        </w:rPr>
        <w:t>本项目评标委员会由</w:t>
      </w:r>
      <w:r>
        <w:rPr>
          <w:rFonts w:hint="eastAsia" w:ascii="黑体" w:hAnsi="黑体" w:eastAsia="黑体" w:cs="黑体"/>
          <w:b/>
          <w:bCs/>
          <w:color w:val="auto"/>
          <w:spacing w:val="-7"/>
          <w:sz w:val="24"/>
          <w:szCs w:val="24"/>
          <w:highlight w:val="none"/>
          <w:lang w:val="en-US" w:eastAsia="zh-CN"/>
        </w:rPr>
        <w:t>5</w:t>
      </w:r>
      <w:r>
        <w:rPr>
          <w:rFonts w:hint="eastAsia" w:ascii="黑体" w:hAnsi="黑体" w:eastAsia="黑体" w:cs="黑体"/>
          <w:b/>
          <w:bCs/>
          <w:color w:val="auto"/>
          <w:spacing w:val="-7"/>
          <w:sz w:val="24"/>
          <w:szCs w:val="24"/>
          <w:highlight w:val="none"/>
        </w:rPr>
        <w:t>人组成</w:t>
      </w:r>
      <w:r>
        <w:rPr>
          <w:rFonts w:hint="eastAsia" w:ascii="黑体" w:hAnsi="黑体" w:eastAsia="黑体" w:cs="黑体"/>
          <w:b/>
          <w:bCs/>
          <w:color w:val="auto"/>
          <w:spacing w:val="-7"/>
          <w:sz w:val="24"/>
          <w:szCs w:val="24"/>
          <w:highlight w:val="none"/>
          <w:lang w:eastAsia="zh-CN"/>
        </w:rPr>
        <w:t>，其中</w:t>
      </w:r>
      <w:r>
        <w:rPr>
          <w:rFonts w:hint="eastAsia" w:ascii="黑体" w:hAnsi="黑体" w:eastAsia="黑体" w:cs="黑体"/>
          <w:b/>
          <w:bCs/>
          <w:color w:val="auto"/>
          <w:spacing w:val="-7"/>
          <w:sz w:val="24"/>
          <w:szCs w:val="24"/>
          <w:highlight w:val="none"/>
          <w:lang w:val="en-US" w:eastAsia="zh-CN"/>
        </w:rPr>
        <w:t>采购人代表0</w:t>
      </w:r>
      <w:r>
        <w:rPr>
          <w:rFonts w:hint="eastAsia" w:ascii="黑体" w:hAnsi="黑体" w:eastAsia="黑体" w:cs="黑体"/>
          <w:b/>
          <w:bCs/>
          <w:color w:val="auto"/>
          <w:spacing w:val="-7"/>
          <w:sz w:val="24"/>
          <w:szCs w:val="24"/>
          <w:highlight w:val="none"/>
          <w:lang w:eastAsia="zh-CN"/>
        </w:rPr>
        <w:t>人，专家</w:t>
      </w:r>
      <w:r>
        <w:rPr>
          <w:rFonts w:hint="eastAsia" w:ascii="黑体" w:hAnsi="黑体" w:eastAsia="黑体" w:cs="黑体"/>
          <w:b/>
          <w:bCs/>
          <w:color w:val="auto"/>
          <w:spacing w:val="-7"/>
          <w:sz w:val="24"/>
          <w:szCs w:val="24"/>
          <w:highlight w:val="none"/>
          <w:lang w:val="en-US" w:eastAsia="zh-CN"/>
        </w:rPr>
        <w:t>5</w:t>
      </w:r>
      <w:r>
        <w:rPr>
          <w:rFonts w:hint="eastAsia" w:ascii="黑体" w:hAnsi="黑体" w:eastAsia="黑体" w:cs="黑体"/>
          <w:b/>
          <w:bCs/>
          <w:color w:val="auto"/>
          <w:spacing w:val="-7"/>
          <w:sz w:val="24"/>
          <w:szCs w:val="24"/>
          <w:highlight w:val="none"/>
          <w:lang w:eastAsia="zh-CN"/>
        </w:rPr>
        <w:t>人。</w:t>
      </w:r>
      <w:r>
        <w:rPr>
          <w:rFonts w:hint="eastAsia" w:ascii="黑体" w:hAnsi="黑体" w:eastAsia="黑体" w:cs="黑体"/>
          <w:b/>
          <w:bCs/>
          <w:color w:val="auto"/>
          <w:spacing w:val="-7"/>
          <w:sz w:val="24"/>
          <w:szCs w:val="24"/>
          <w:highlight w:val="none"/>
        </w:rPr>
        <w:t>（</w:t>
      </w:r>
      <w:r>
        <w:rPr>
          <w:rFonts w:hint="eastAsia" w:ascii="黑体" w:hAnsi="黑体" w:eastAsia="黑体" w:cs="黑体"/>
          <w:b/>
          <w:bCs/>
          <w:color w:val="auto"/>
          <w:spacing w:val="-7"/>
          <w:sz w:val="24"/>
          <w:szCs w:val="24"/>
          <w:highlight w:val="none"/>
          <w:lang w:eastAsia="zh-CN"/>
        </w:rPr>
        <w:t>政采云</w:t>
      </w:r>
      <w:r>
        <w:rPr>
          <w:rFonts w:hint="eastAsia" w:ascii="黑体" w:hAnsi="黑体" w:eastAsia="黑体" w:cs="黑体"/>
          <w:b/>
          <w:bCs/>
          <w:color w:val="auto"/>
          <w:spacing w:val="-7"/>
          <w:sz w:val="24"/>
          <w:szCs w:val="24"/>
          <w:highlight w:val="none"/>
          <w:lang w:val="en-US" w:eastAsia="zh-CN"/>
        </w:rPr>
        <w:t>平台</w:t>
      </w:r>
      <w:r>
        <w:rPr>
          <w:rFonts w:hint="eastAsia" w:ascii="黑体" w:hAnsi="黑体" w:eastAsia="黑体" w:cs="黑体"/>
          <w:b/>
          <w:bCs/>
          <w:color w:val="auto"/>
          <w:spacing w:val="-7"/>
          <w:sz w:val="24"/>
          <w:szCs w:val="24"/>
          <w:highlight w:val="none"/>
          <w:lang w:eastAsia="zh-CN"/>
        </w:rPr>
        <w:t>专家库</w:t>
      </w:r>
      <w:r>
        <w:rPr>
          <w:rFonts w:hint="eastAsia" w:ascii="黑体" w:hAnsi="黑体" w:eastAsia="黑体" w:cs="黑体"/>
          <w:b/>
          <w:bCs/>
          <w:color w:val="auto"/>
          <w:spacing w:val="-7"/>
          <w:sz w:val="24"/>
          <w:szCs w:val="24"/>
          <w:highlight w:val="none"/>
        </w:rPr>
        <w:t>随机抽取专家</w:t>
      </w:r>
      <w:r>
        <w:rPr>
          <w:rFonts w:hint="eastAsia" w:ascii="黑体" w:hAnsi="黑体" w:eastAsia="黑体" w:cs="黑体"/>
          <w:b/>
          <w:bCs/>
          <w:color w:val="auto"/>
          <w:spacing w:val="-7"/>
          <w:sz w:val="24"/>
          <w:szCs w:val="24"/>
          <w:highlight w:val="none"/>
          <w:lang w:val="en-US" w:eastAsia="zh-CN"/>
        </w:rPr>
        <w:t>5人</w:t>
      </w:r>
      <w:r>
        <w:rPr>
          <w:rFonts w:hint="eastAsia" w:ascii="黑体" w:hAnsi="黑体" w:eastAsia="黑体" w:cs="黑体"/>
          <w:b/>
          <w:bCs/>
          <w:color w:val="auto"/>
          <w:spacing w:val="-7"/>
          <w:sz w:val="24"/>
          <w:szCs w:val="24"/>
          <w:highlight w:val="none"/>
        </w:rPr>
        <w:t>）</w:t>
      </w:r>
    </w:p>
    <w:p w14:paraId="148F526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20.投标文件的符合性审查与澄清</w:t>
      </w:r>
    </w:p>
    <w:p w14:paraId="15818BD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72"/>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20.1符合性审查是指依据招标文件的规</w:t>
      </w:r>
      <w:r>
        <w:rPr>
          <w:rFonts w:hint="eastAsia" w:ascii="黑体" w:hAnsi="黑体" w:eastAsia="黑体" w:cs="黑体"/>
          <w:color w:val="auto"/>
          <w:spacing w:val="1"/>
          <w:sz w:val="24"/>
          <w:szCs w:val="24"/>
          <w:highlight w:val="none"/>
        </w:rPr>
        <w:t>定，从投标文件的有效性和完整性</w:t>
      </w:r>
      <w:r>
        <w:rPr>
          <w:rFonts w:hint="eastAsia" w:ascii="黑体" w:hAnsi="黑体" w:eastAsia="黑体" w:cs="黑体"/>
          <w:color w:val="auto"/>
          <w:sz w:val="24"/>
          <w:szCs w:val="24"/>
          <w:highlight w:val="none"/>
        </w:rPr>
        <w:t>对招标文件的响应程度进行审查，以确定是否对招标文件的</w:t>
      </w:r>
      <w:r>
        <w:rPr>
          <w:rFonts w:hint="eastAsia" w:ascii="黑体" w:hAnsi="黑体" w:eastAsia="黑体" w:cs="黑体"/>
          <w:color w:val="auto"/>
          <w:spacing w:val="-1"/>
          <w:sz w:val="24"/>
          <w:szCs w:val="24"/>
          <w:highlight w:val="none"/>
        </w:rPr>
        <w:t>实质性要</w:t>
      </w:r>
      <w:r>
        <w:rPr>
          <w:rFonts w:hint="eastAsia" w:ascii="黑体" w:hAnsi="黑体" w:eastAsia="黑体" w:cs="黑体"/>
          <w:color w:val="auto"/>
          <w:spacing w:val="-2"/>
          <w:sz w:val="24"/>
          <w:szCs w:val="24"/>
          <w:highlight w:val="none"/>
        </w:rPr>
        <w:t>求做出响应。</w:t>
      </w:r>
    </w:p>
    <w:p w14:paraId="630EEA1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2" w:firstLineChars="172"/>
        <w:textAlignment w:val="baseline"/>
        <w:outlineLvl w:val="1"/>
        <w:rPr>
          <w:rFonts w:hint="eastAsia" w:ascii="黑体" w:hAnsi="黑体" w:eastAsia="黑体" w:cs="黑体"/>
          <w:color w:val="auto"/>
          <w:sz w:val="24"/>
          <w:szCs w:val="24"/>
          <w:highlight w:val="none"/>
        </w:rPr>
      </w:pPr>
      <w:bookmarkStart w:id="62" w:name="_Toc10110"/>
      <w:bookmarkStart w:id="63" w:name="_Toc19577"/>
      <w:r>
        <w:rPr>
          <w:rFonts w:hint="eastAsia" w:ascii="黑体" w:hAnsi="黑体" w:eastAsia="黑体" w:cs="黑体"/>
          <w:color w:val="auto"/>
          <w:spacing w:val="-3"/>
          <w:sz w:val="24"/>
          <w:szCs w:val="24"/>
          <w:highlight w:val="none"/>
        </w:rPr>
        <w:t>20.2投标文件的澄清</w:t>
      </w:r>
      <w:bookmarkEnd w:id="62"/>
      <w:bookmarkEnd w:id="63"/>
    </w:p>
    <w:p w14:paraId="61B349B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4"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20.2.1在评标期间，评标委员会将</w:t>
      </w:r>
      <w:r>
        <w:rPr>
          <w:rFonts w:hint="eastAsia" w:ascii="黑体" w:hAnsi="黑体" w:eastAsia="黑体" w:cs="黑体"/>
          <w:color w:val="auto"/>
          <w:sz w:val="24"/>
          <w:szCs w:val="24"/>
          <w:highlight w:val="none"/>
          <w:lang w:eastAsia="zh-CN"/>
        </w:rPr>
        <w:t>在政采云评标系统以询标函的</w:t>
      </w:r>
      <w:r>
        <w:rPr>
          <w:rFonts w:hint="eastAsia" w:ascii="黑体" w:hAnsi="黑体" w:eastAsia="黑体" w:cs="黑体"/>
          <w:color w:val="auto"/>
          <w:sz w:val="24"/>
          <w:szCs w:val="24"/>
          <w:highlight w:val="none"/>
        </w:rPr>
        <w:t>方式要求投标人对其</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中含义不明确、对同类问题表述不一致或者有明显文字和计算错误的内容，以及评标委员会认为投标人的报价明显低于其他通过符合性检查投标人的报价，有可能影响履约的情况</w:t>
      </w:r>
      <w:r>
        <w:rPr>
          <w:rFonts w:hint="eastAsia" w:ascii="黑体" w:hAnsi="黑体" w:eastAsia="黑体" w:cs="黑体"/>
          <w:color w:val="auto"/>
          <w:sz w:val="24"/>
          <w:szCs w:val="24"/>
          <w:highlight w:val="none"/>
          <w:lang w:eastAsia="zh-CN"/>
        </w:rPr>
        <w:t>做</w:t>
      </w:r>
      <w:r>
        <w:rPr>
          <w:rFonts w:hint="eastAsia" w:ascii="黑体" w:hAnsi="黑体" w:eastAsia="黑体" w:cs="黑体"/>
          <w:color w:val="auto"/>
          <w:sz w:val="24"/>
          <w:szCs w:val="24"/>
          <w:highlight w:val="none"/>
        </w:rPr>
        <w:t>必要的澄清、说明或补正。投标人的澄清、说明或补正应在评标委员会规定的时间内</w:t>
      </w:r>
      <w:r>
        <w:rPr>
          <w:rFonts w:hint="eastAsia" w:ascii="黑体" w:hAnsi="黑体" w:eastAsia="黑体" w:cs="黑体"/>
          <w:color w:val="auto"/>
          <w:sz w:val="24"/>
          <w:szCs w:val="24"/>
          <w:highlight w:val="none"/>
          <w:lang w:eastAsia="zh-CN"/>
        </w:rPr>
        <w:t>在政采云评标系统</w:t>
      </w:r>
      <w:r>
        <w:rPr>
          <w:rFonts w:hint="eastAsia" w:ascii="黑体" w:hAnsi="黑体" w:eastAsia="黑体" w:cs="黑体"/>
          <w:color w:val="auto"/>
          <w:sz w:val="24"/>
          <w:szCs w:val="24"/>
          <w:highlight w:val="none"/>
        </w:rPr>
        <w:t>以</w:t>
      </w:r>
      <w:r>
        <w:rPr>
          <w:rFonts w:hint="eastAsia" w:ascii="黑体" w:hAnsi="黑体" w:eastAsia="黑体" w:cs="黑体"/>
          <w:color w:val="auto"/>
          <w:sz w:val="24"/>
          <w:szCs w:val="24"/>
          <w:highlight w:val="none"/>
          <w:lang w:eastAsia="zh-CN"/>
        </w:rPr>
        <w:t>回复函的</w:t>
      </w:r>
      <w:r>
        <w:rPr>
          <w:rFonts w:hint="eastAsia" w:ascii="黑体" w:hAnsi="黑体" w:eastAsia="黑体" w:cs="黑体"/>
          <w:color w:val="auto"/>
          <w:sz w:val="24"/>
          <w:szCs w:val="24"/>
          <w:highlight w:val="none"/>
        </w:rPr>
        <w:t>方式进行，并不得超出</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范围或者改变</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的实质性内容。</w:t>
      </w:r>
    </w:p>
    <w:p w14:paraId="35AC0AD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4" w:firstLineChars="177"/>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z w:val="24"/>
          <w:szCs w:val="24"/>
          <w:highlight w:val="none"/>
        </w:rPr>
        <w:t>20.2.2投标人的澄清、说明或补正将作</w:t>
      </w:r>
      <w:r>
        <w:rPr>
          <w:rFonts w:hint="eastAsia" w:ascii="黑体" w:hAnsi="黑体" w:eastAsia="黑体" w:cs="黑体"/>
          <w:color w:val="auto"/>
          <w:spacing w:val="-1"/>
          <w:sz w:val="24"/>
          <w:szCs w:val="24"/>
          <w:highlight w:val="none"/>
        </w:rPr>
        <w:t>为投标文件的一部分。</w:t>
      </w:r>
    </w:p>
    <w:p w14:paraId="29E8C42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4" w:firstLineChars="177"/>
        <w:textAlignment w:val="baseline"/>
        <w:outlineLvl w:val="1"/>
        <w:rPr>
          <w:rFonts w:hint="eastAsia" w:ascii="黑体" w:hAnsi="黑体" w:eastAsia="黑体" w:cs="黑体"/>
          <w:color w:val="auto"/>
          <w:sz w:val="24"/>
          <w:szCs w:val="24"/>
          <w:highlight w:val="none"/>
        </w:rPr>
      </w:pPr>
      <w:bookmarkStart w:id="64" w:name="_Toc13333"/>
      <w:bookmarkStart w:id="65" w:name="_Toc22484"/>
      <w:r>
        <w:rPr>
          <w:rFonts w:hint="eastAsia" w:ascii="黑体" w:hAnsi="黑体" w:eastAsia="黑体" w:cs="黑体"/>
          <w:color w:val="auto"/>
          <w:sz w:val="24"/>
          <w:szCs w:val="24"/>
          <w:highlight w:val="none"/>
        </w:rPr>
        <w:t>20.3投标文件报价出现前后不一致的，</w:t>
      </w:r>
      <w:r>
        <w:rPr>
          <w:rFonts w:hint="eastAsia" w:ascii="黑体" w:hAnsi="黑体" w:eastAsia="黑体" w:cs="黑体"/>
          <w:color w:val="auto"/>
          <w:spacing w:val="-1"/>
          <w:sz w:val="24"/>
          <w:szCs w:val="24"/>
          <w:highlight w:val="none"/>
        </w:rPr>
        <w:t>按照下列规定修正：</w:t>
      </w:r>
      <w:bookmarkEnd w:id="64"/>
      <w:bookmarkEnd w:id="65"/>
    </w:p>
    <w:p w14:paraId="4860141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8"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（一）投标文件中开标一览表（报价表）内容与投标文件中相应内容</w:t>
      </w:r>
      <w:r>
        <w:rPr>
          <w:rFonts w:hint="eastAsia" w:ascii="黑体" w:hAnsi="黑体" w:eastAsia="黑体" w:cs="黑体"/>
          <w:color w:val="auto"/>
          <w:spacing w:val="-3"/>
          <w:sz w:val="24"/>
          <w:szCs w:val="24"/>
          <w:highlight w:val="none"/>
        </w:rPr>
        <w:t>不一致的，以开标一览表（报价表）为准；</w:t>
      </w:r>
    </w:p>
    <w:p w14:paraId="0BCB9F3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（二）大写金额和小写金额不一致的，以大写金额为准；</w:t>
      </w:r>
    </w:p>
    <w:p w14:paraId="3034050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1"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（三）单价金额小数点或者百分比有明显错位的，以开标一览表的单价为准，并修改总价；</w:t>
      </w:r>
    </w:p>
    <w:p w14:paraId="01E71BC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（四）总价金额与按单价汇总金额不一致的，以单价金额计算结果为</w:t>
      </w:r>
      <w:r>
        <w:rPr>
          <w:rFonts w:hint="eastAsia" w:ascii="黑体" w:hAnsi="黑体" w:eastAsia="黑体" w:cs="黑体"/>
          <w:color w:val="auto"/>
          <w:spacing w:val="-14"/>
          <w:sz w:val="24"/>
          <w:szCs w:val="24"/>
          <w:highlight w:val="none"/>
        </w:rPr>
        <w:t>准。</w:t>
      </w:r>
    </w:p>
    <w:p w14:paraId="41F8F79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同时出现两种以上不一致的，按照前款规定的顺序修正。修正后的报</w:t>
      </w:r>
      <w:r>
        <w:rPr>
          <w:rFonts w:hint="eastAsia" w:ascii="黑体" w:hAnsi="黑体" w:eastAsia="黑体" w:cs="黑体"/>
          <w:color w:val="auto"/>
          <w:spacing w:val="3"/>
          <w:sz w:val="24"/>
          <w:szCs w:val="24"/>
          <w:highlight w:val="none"/>
        </w:rPr>
        <w:t>价按照第20.2条的规定经投标人确认后产生约束力，投标人不确认</w:t>
      </w:r>
      <w:r>
        <w:rPr>
          <w:rFonts w:hint="eastAsia" w:ascii="黑体" w:hAnsi="黑体" w:eastAsia="黑体" w:cs="黑体"/>
          <w:color w:val="auto"/>
          <w:spacing w:val="-2"/>
          <w:sz w:val="24"/>
          <w:szCs w:val="24"/>
          <w:highlight w:val="none"/>
        </w:rPr>
        <w:t>的，将被认定为</w:t>
      </w:r>
      <w:r>
        <w:rPr>
          <w:rFonts w:hint="eastAsia" w:ascii="黑体" w:hAnsi="黑体" w:eastAsia="黑体" w:cs="黑体"/>
          <w:b/>
          <w:bCs/>
          <w:color w:val="auto"/>
          <w:spacing w:val="-2"/>
          <w:sz w:val="24"/>
          <w:szCs w:val="24"/>
          <w:highlight w:val="none"/>
        </w:rPr>
        <w:t>投标无效</w:t>
      </w:r>
      <w:r>
        <w:rPr>
          <w:rFonts w:hint="eastAsia" w:ascii="黑体" w:hAnsi="黑体" w:eastAsia="黑体" w:cs="黑体"/>
          <w:color w:val="auto"/>
          <w:spacing w:val="-2"/>
          <w:sz w:val="24"/>
          <w:szCs w:val="24"/>
          <w:highlight w:val="none"/>
        </w:rPr>
        <w:t>。</w:t>
      </w:r>
    </w:p>
    <w:p w14:paraId="2C127EB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1"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对不同文字文本投标文件的解释发生异议的，以中文文本为准。</w:t>
      </w:r>
    </w:p>
    <w:p w14:paraId="42640CA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72"/>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20.4投标人为提供服务所伴随投标的产</w:t>
      </w:r>
      <w:r>
        <w:rPr>
          <w:rFonts w:hint="eastAsia" w:ascii="黑体" w:hAnsi="黑体" w:eastAsia="黑体" w:cs="黑体"/>
          <w:color w:val="auto"/>
          <w:spacing w:val="1"/>
          <w:sz w:val="24"/>
          <w:szCs w:val="24"/>
          <w:highlight w:val="none"/>
        </w:rPr>
        <w:t>品如被列入财政部与国家主管部门</w:t>
      </w:r>
      <w:r>
        <w:rPr>
          <w:rFonts w:hint="eastAsia" w:ascii="黑体" w:hAnsi="黑体" w:eastAsia="黑体" w:cs="黑体"/>
          <w:color w:val="auto"/>
          <w:sz w:val="24"/>
          <w:szCs w:val="24"/>
          <w:highlight w:val="none"/>
        </w:rPr>
        <w:t>颁发的节能产品目录或环境标志产品目录或无线局域网产</w:t>
      </w:r>
      <w:r>
        <w:rPr>
          <w:rFonts w:hint="eastAsia" w:ascii="黑体" w:hAnsi="黑体" w:eastAsia="黑体" w:cs="黑体"/>
          <w:color w:val="auto"/>
          <w:spacing w:val="-1"/>
          <w:sz w:val="24"/>
          <w:szCs w:val="24"/>
          <w:highlight w:val="none"/>
        </w:rPr>
        <w:t>品目录，应提供相关证明，在评标时予以优先采购，具体优</w:t>
      </w:r>
      <w:r>
        <w:rPr>
          <w:rFonts w:hint="eastAsia" w:ascii="黑体" w:hAnsi="黑体" w:eastAsia="黑体" w:cs="黑体"/>
          <w:color w:val="auto"/>
          <w:spacing w:val="-2"/>
          <w:sz w:val="24"/>
          <w:szCs w:val="24"/>
          <w:highlight w:val="none"/>
        </w:rPr>
        <w:t>先采购办法见第6章</w:t>
      </w:r>
      <w:r>
        <w:rPr>
          <w:rFonts w:hint="eastAsia" w:ascii="黑体" w:hAnsi="黑体" w:eastAsia="黑体" w:cs="黑体"/>
          <w:color w:val="auto"/>
          <w:spacing w:val="-5"/>
          <w:sz w:val="24"/>
          <w:szCs w:val="24"/>
          <w:highlight w:val="none"/>
        </w:rPr>
        <w:t>评标方法和标准。</w:t>
      </w:r>
    </w:p>
    <w:p w14:paraId="2224E40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21.投标偏离</w:t>
      </w:r>
    </w:p>
    <w:p w14:paraId="7D3B0CB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2" w:firstLineChars="200"/>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评标委员会可以接受投标文件中不构成实质性偏离的不正规或不一致。</w:t>
      </w:r>
    </w:p>
    <w:p w14:paraId="44652AB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22.投标无效</w:t>
      </w:r>
    </w:p>
    <w:p w14:paraId="49F6567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22.1在比较与评价之前，根据本须知的规定，评标委员会要审</w:t>
      </w:r>
      <w:r>
        <w:rPr>
          <w:rFonts w:hint="eastAsia" w:ascii="黑体" w:hAnsi="黑体" w:eastAsia="黑体" w:cs="黑体"/>
          <w:color w:val="auto"/>
          <w:spacing w:val="2"/>
          <w:sz w:val="24"/>
          <w:szCs w:val="24"/>
          <w:highlight w:val="none"/>
        </w:rPr>
        <w:t>查每份投标</w:t>
      </w:r>
      <w:r>
        <w:rPr>
          <w:rFonts w:hint="eastAsia" w:ascii="黑体" w:hAnsi="黑体" w:eastAsia="黑体" w:cs="黑体"/>
          <w:color w:val="auto"/>
          <w:spacing w:val="1"/>
          <w:sz w:val="24"/>
          <w:szCs w:val="24"/>
          <w:highlight w:val="none"/>
        </w:rPr>
        <w:t>文件是否实质上响应了招标文件的要求。实质上响应的投标应该是与</w:t>
      </w:r>
      <w:r>
        <w:rPr>
          <w:rFonts w:hint="eastAsia" w:ascii="黑体" w:hAnsi="黑体" w:eastAsia="黑体" w:cs="黑体"/>
          <w:color w:val="auto"/>
          <w:sz w:val="24"/>
          <w:szCs w:val="24"/>
          <w:highlight w:val="none"/>
        </w:rPr>
        <w:t>招标文件要求的全部条款、条件和规格相符，没有重大偏离的投标。</w:t>
      </w:r>
      <w:r>
        <w:rPr>
          <w:rFonts w:hint="eastAsia" w:ascii="黑体" w:hAnsi="黑体" w:eastAsia="黑体" w:cs="黑体"/>
          <w:color w:val="auto"/>
          <w:spacing w:val="1"/>
          <w:sz w:val="24"/>
          <w:szCs w:val="24"/>
          <w:highlight w:val="none"/>
        </w:rPr>
        <w:t>对关键条款的偏离，将被认定为</w:t>
      </w:r>
      <w:r>
        <w:rPr>
          <w:rFonts w:hint="eastAsia" w:ascii="黑体" w:hAnsi="黑体" w:eastAsia="黑体" w:cs="黑体"/>
          <w:b/>
          <w:bCs/>
          <w:color w:val="auto"/>
          <w:spacing w:val="1"/>
          <w:sz w:val="24"/>
          <w:szCs w:val="24"/>
          <w:highlight w:val="none"/>
        </w:rPr>
        <w:t>投标无效</w:t>
      </w:r>
      <w:r>
        <w:rPr>
          <w:rFonts w:hint="eastAsia" w:ascii="黑体" w:hAnsi="黑体" w:eastAsia="黑体" w:cs="黑体"/>
          <w:color w:val="auto"/>
          <w:spacing w:val="1"/>
          <w:sz w:val="24"/>
          <w:szCs w:val="24"/>
          <w:highlight w:val="none"/>
        </w:rPr>
        <w:t>。投标人不得通过修</w:t>
      </w:r>
      <w:r>
        <w:rPr>
          <w:rFonts w:hint="eastAsia" w:ascii="黑体" w:hAnsi="黑体" w:eastAsia="黑体" w:cs="黑体"/>
          <w:color w:val="auto"/>
          <w:sz w:val="24"/>
          <w:szCs w:val="24"/>
          <w:highlight w:val="none"/>
        </w:rPr>
        <w:t>正或撤</w:t>
      </w:r>
      <w:r>
        <w:rPr>
          <w:rFonts w:hint="eastAsia" w:ascii="黑体" w:hAnsi="黑体" w:eastAsia="黑体" w:cs="黑体"/>
          <w:color w:val="auto"/>
          <w:spacing w:val="-1"/>
          <w:sz w:val="24"/>
          <w:szCs w:val="24"/>
          <w:highlight w:val="none"/>
        </w:rPr>
        <w:t>销不符合要求的偏离从而使其投标成为实质</w:t>
      </w:r>
      <w:r>
        <w:rPr>
          <w:rFonts w:hint="eastAsia" w:ascii="黑体" w:hAnsi="黑体" w:eastAsia="黑体" w:cs="黑体"/>
          <w:color w:val="auto"/>
          <w:spacing w:val="-2"/>
          <w:sz w:val="24"/>
          <w:szCs w:val="24"/>
          <w:highlight w:val="none"/>
        </w:rPr>
        <w:t>上响应的投标。</w:t>
      </w:r>
    </w:p>
    <w:p w14:paraId="78C24F2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4" w:firstLineChars="17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评标委员会决定投标的响应性只根据招标文件要求、投标文件内容及财</w:t>
      </w:r>
      <w:r>
        <w:rPr>
          <w:rFonts w:hint="eastAsia" w:ascii="黑体" w:hAnsi="黑体" w:eastAsia="黑体" w:cs="黑体"/>
          <w:color w:val="auto"/>
          <w:spacing w:val="-2"/>
          <w:sz w:val="24"/>
          <w:szCs w:val="24"/>
          <w:highlight w:val="none"/>
        </w:rPr>
        <w:t>政主管部门指定相关信息发布媒体。</w:t>
      </w:r>
    </w:p>
    <w:p w14:paraId="5C1CB61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22.2如发现下列情况之一的，其投标将被认定为</w:t>
      </w:r>
      <w:r>
        <w:rPr>
          <w:rFonts w:hint="eastAsia" w:ascii="黑体" w:hAnsi="黑体" w:eastAsia="黑体" w:cs="黑体"/>
          <w:b/>
          <w:bCs/>
          <w:color w:val="auto"/>
          <w:spacing w:val="-1"/>
          <w:sz w:val="24"/>
          <w:szCs w:val="24"/>
          <w:highlight w:val="none"/>
        </w:rPr>
        <w:t>投标无效</w:t>
      </w:r>
      <w:r>
        <w:rPr>
          <w:rFonts w:hint="eastAsia" w:ascii="黑体" w:hAnsi="黑体" w:eastAsia="黑体" w:cs="黑体"/>
          <w:color w:val="auto"/>
          <w:spacing w:val="-12"/>
          <w:sz w:val="24"/>
          <w:szCs w:val="24"/>
          <w:highlight w:val="none"/>
        </w:rPr>
        <w:t>：（</w:t>
      </w:r>
      <w:r>
        <w:rPr>
          <w:rFonts w:hint="eastAsia" w:ascii="黑体" w:hAnsi="黑体" w:eastAsia="黑体" w:cs="黑体"/>
          <w:b/>
          <w:bCs/>
          <w:color w:val="auto"/>
          <w:spacing w:val="-1"/>
          <w:sz w:val="24"/>
          <w:szCs w:val="24"/>
          <w:highlight w:val="none"/>
        </w:rPr>
        <w:t>以下情形应</w:t>
      </w:r>
      <w:r>
        <w:rPr>
          <w:rFonts w:hint="eastAsia" w:ascii="黑体" w:hAnsi="黑体" w:eastAsia="黑体" w:cs="黑体"/>
          <w:b/>
          <w:bCs/>
          <w:color w:val="auto"/>
          <w:spacing w:val="-4"/>
          <w:sz w:val="24"/>
          <w:szCs w:val="24"/>
          <w:highlight w:val="none"/>
        </w:rPr>
        <w:t>当在招标文件中规定，并以醒目的方式标明</w:t>
      </w:r>
      <w:r>
        <w:rPr>
          <w:rFonts w:hint="eastAsia" w:ascii="黑体" w:hAnsi="黑体" w:eastAsia="黑体" w:cs="黑体"/>
          <w:color w:val="auto"/>
          <w:spacing w:val="-4"/>
          <w:sz w:val="24"/>
          <w:szCs w:val="24"/>
          <w:highlight w:val="none"/>
        </w:rPr>
        <w:t>）</w:t>
      </w:r>
    </w:p>
    <w:p w14:paraId="7648263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（1）未按招标文件规定的形式和金额提交投标保证金的；</w:t>
      </w:r>
    </w:p>
    <w:p w14:paraId="1416B35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7"/>
          <w:sz w:val="24"/>
          <w:szCs w:val="24"/>
          <w:highlight w:val="none"/>
        </w:rPr>
        <w:t>（2）未按照招标文件规定要求签署、盖章</w:t>
      </w:r>
      <w:r>
        <w:rPr>
          <w:rFonts w:hint="eastAsia" w:ascii="黑体" w:hAnsi="黑体" w:eastAsia="黑体" w:cs="黑体"/>
          <w:b/>
          <w:bCs/>
          <w:color w:val="auto"/>
          <w:spacing w:val="-8"/>
          <w:sz w:val="24"/>
          <w:szCs w:val="24"/>
          <w:highlight w:val="none"/>
        </w:rPr>
        <w:t>的；</w:t>
      </w:r>
    </w:p>
    <w:p w14:paraId="15388AC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8"/>
          <w:sz w:val="24"/>
          <w:szCs w:val="24"/>
          <w:highlight w:val="none"/>
        </w:rPr>
        <w:t>（3）未满足招标文件中技术条款的实质性要求；</w:t>
      </w:r>
    </w:p>
    <w:p w14:paraId="3B9A115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（4）与其他投标人串通投标，或者与采购人串通</w:t>
      </w:r>
      <w:r>
        <w:rPr>
          <w:rFonts w:hint="eastAsia" w:ascii="黑体" w:hAnsi="黑体" w:eastAsia="黑体" w:cs="黑体"/>
          <w:b/>
          <w:bCs/>
          <w:color w:val="auto"/>
          <w:spacing w:val="-5"/>
          <w:sz w:val="24"/>
          <w:szCs w:val="24"/>
          <w:highlight w:val="none"/>
        </w:rPr>
        <w:t>投标；</w:t>
      </w:r>
    </w:p>
    <w:p w14:paraId="22FE4B3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8"/>
          <w:sz w:val="24"/>
          <w:szCs w:val="24"/>
          <w:highlight w:val="none"/>
        </w:rPr>
        <w:t>（5）属于招标文件规定的其他投标无效情形；</w:t>
      </w:r>
    </w:p>
    <w:p w14:paraId="6D6496C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2"/>
          <w:sz w:val="24"/>
          <w:szCs w:val="24"/>
          <w:highlight w:val="none"/>
        </w:rPr>
        <w:t>（6）评标委员会认为投标人的报价明显低于其他通过符合性检查投</w:t>
      </w:r>
      <w:r>
        <w:rPr>
          <w:rFonts w:hint="eastAsia" w:ascii="黑体" w:hAnsi="黑体" w:eastAsia="黑体" w:cs="黑体"/>
          <w:b/>
          <w:bCs/>
          <w:color w:val="auto"/>
          <w:spacing w:val="-4"/>
          <w:sz w:val="24"/>
          <w:szCs w:val="24"/>
          <w:highlight w:val="none"/>
        </w:rPr>
        <w:t>标人的报价，有可能影响履约的，且投标人未按照规定</w:t>
      </w:r>
      <w:r>
        <w:rPr>
          <w:rFonts w:hint="eastAsia" w:ascii="黑体" w:hAnsi="黑体" w:eastAsia="黑体" w:cs="黑体"/>
          <w:b/>
          <w:bCs/>
          <w:color w:val="auto"/>
          <w:spacing w:val="-5"/>
          <w:sz w:val="24"/>
          <w:szCs w:val="24"/>
          <w:highlight w:val="none"/>
        </w:rPr>
        <w:t>证明其报价合</w:t>
      </w:r>
      <w:r>
        <w:rPr>
          <w:rFonts w:hint="eastAsia" w:ascii="黑体" w:hAnsi="黑体" w:eastAsia="黑体" w:cs="黑体"/>
          <w:b/>
          <w:bCs/>
          <w:color w:val="auto"/>
          <w:spacing w:val="-17"/>
          <w:sz w:val="24"/>
          <w:szCs w:val="24"/>
          <w:highlight w:val="none"/>
        </w:rPr>
        <w:t>理性的；</w:t>
      </w:r>
    </w:p>
    <w:p w14:paraId="5B5867E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7"/>
          <w:sz w:val="24"/>
          <w:szCs w:val="24"/>
          <w:highlight w:val="none"/>
        </w:rPr>
        <w:t>（7）投标文件含有采购人不能接受的附加条件的；</w:t>
      </w:r>
    </w:p>
    <w:p w14:paraId="2EAC402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5"/>
          <w:sz w:val="24"/>
          <w:szCs w:val="24"/>
          <w:highlight w:val="none"/>
        </w:rPr>
        <w:t>（8）不符合法规和招标文件中规定的其他实质性要求的。</w:t>
      </w:r>
    </w:p>
    <w:p w14:paraId="2D45D06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23.比较与评价</w:t>
      </w:r>
    </w:p>
    <w:p w14:paraId="55A5C08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23.1经符合性审查合格的投标文件，评标委员会将根据招标文件确定的评标方法和标准，对其技术部分和商务部分作进一步的</w:t>
      </w:r>
      <w:r>
        <w:rPr>
          <w:rFonts w:hint="eastAsia" w:ascii="黑体" w:hAnsi="黑体" w:eastAsia="黑体" w:cs="黑体"/>
          <w:color w:val="auto"/>
          <w:spacing w:val="-2"/>
          <w:sz w:val="24"/>
          <w:szCs w:val="24"/>
          <w:highlight w:val="none"/>
        </w:rPr>
        <w:t>比较和评价。</w:t>
      </w:r>
    </w:p>
    <w:p w14:paraId="7767FE6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9"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23.2评标严格按照招标文件的要求</w:t>
      </w:r>
      <w:r>
        <w:rPr>
          <w:rFonts w:hint="eastAsia" w:ascii="黑体" w:hAnsi="黑体" w:eastAsia="黑体" w:cs="黑体"/>
          <w:color w:val="auto"/>
          <w:spacing w:val="1"/>
          <w:sz w:val="24"/>
          <w:szCs w:val="24"/>
          <w:highlight w:val="none"/>
        </w:rPr>
        <w:t>和条件进行。根据实际情况，在</w:t>
      </w:r>
      <w:r>
        <w:rPr>
          <w:rFonts w:hint="eastAsia" w:ascii="黑体" w:hAnsi="黑体" w:eastAsia="黑体" w:cs="黑体"/>
          <w:color w:val="auto"/>
          <w:spacing w:val="1"/>
          <w:sz w:val="24"/>
          <w:szCs w:val="24"/>
          <w:highlight w:val="none"/>
          <w:u w:val="single" w:color="auto"/>
        </w:rPr>
        <w:t>投标人</w:t>
      </w:r>
      <w:r>
        <w:rPr>
          <w:rFonts w:hint="eastAsia" w:ascii="黑体" w:hAnsi="黑体" w:eastAsia="黑体" w:cs="黑体"/>
          <w:color w:val="auto"/>
          <w:spacing w:val="-1"/>
          <w:sz w:val="24"/>
          <w:szCs w:val="24"/>
          <w:highlight w:val="none"/>
          <w:u w:val="single" w:color="auto"/>
        </w:rPr>
        <w:t>须知资料表</w:t>
      </w:r>
      <w:r>
        <w:rPr>
          <w:rFonts w:hint="eastAsia" w:ascii="黑体" w:hAnsi="黑体" w:eastAsia="黑体" w:cs="黑体"/>
          <w:color w:val="auto"/>
          <w:spacing w:val="-1"/>
          <w:sz w:val="24"/>
          <w:szCs w:val="24"/>
          <w:highlight w:val="none"/>
        </w:rPr>
        <w:t>中规定采用下列一种评标方法，详细评标标准见招标文件</w:t>
      </w:r>
      <w:r>
        <w:rPr>
          <w:rFonts w:hint="eastAsia" w:ascii="黑体" w:hAnsi="黑体" w:eastAsia="黑体" w:cs="黑体"/>
          <w:color w:val="auto"/>
          <w:spacing w:val="-11"/>
          <w:sz w:val="24"/>
          <w:szCs w:val="24"/>
          <w:highlight w:val="none"/>
        </w:rPr>
        <w:t>第六章：</w:t>
      </w:r>
    </w:p>
    <w:p w14:paraId="59EC01C5">
      <w:pPr>
        <w:pStyle w:val="10"/>
        <w:keepNext w:val="0"/>
        <w:keepLines w:val="0"/>
        <w:pageBreakBefore w:val="0"/>
        <w:widowControl/>
        <w:numPr>
          <w:ilvl w:val="0"/>
          <w:numId w:val="1"/>
        </w:numPr>
        <w:kinsoku/>
        <w:wordWrap w:val="0"/>
        <w:overflowPunct/>
        <w:topLinePunct w:val="0"/>
        <w:autoSpaceDE/>
        <w:autoSpaceDN/>
        <w:bidi w:val="0"/>
        <w:adjustRightInd w:val="0"/>
        <w:snapToGrid w:val="0"/>
        <w:spacing w:line="360" w:lineRule="auto"/>
        <w:ind w:left="0" w:leftChars="0" w:right="0" w:firstLine="425" w:firstLineChars="176"/>
        <w:textAlignment w:val="baseline"/>
        <w:rPr>
          <w:rFonts w:hint="eastAsia" w:ascii="黑体" w:hAnsi="黑体" w:eastAsia="黑体" w:cs="黑体"/>
          <w:color w:val="auto"/>
          <w:spacing w:val="-2"/>
          <w:sz w:val="24"/>
          <w:szCs w:val="24"/>
          <w:highlight w:val="none"/>
        </w:rPr>
      </w:pPr>
      <w:r>
        <w:rPr>
          <w:rFonts w:hint="eastAsia" w:ascii="黑体" w:hAnsi="黑体" w:eastAsia="黑体" w:cs="黑体"/>
          <w:color w:val="auto"/>
          <w:spacing w:val="1"/>
          <w:sz w:val="24"/>
          <w:szCs w:val="24"/>
          <w:highlight w:val="none"/>
        </w:rPr>
        <w:t>最低评标价法，是指投标文件满足招标</w:t>
      </w:r>
      <w:r>
        <w:rPr>
          <w:rFonts w:hint="eastAsia" w:ascii="黑体" w:hAnsi="黑体" w:eastAsia="黑体" w:cs="黑体"/>
          <w:color w:val="auto"/>
          <w:sz w:val="24"/>
          <w:szCs w:val="24"/>
          <w:highlight w:val="none"/>
        </w:rPr>
        <w:t>文件全部实质性要求，且</w:t>
      </w:r>
      <w:r>
        <w:rPr>
          <w:rFonts w:hint="eastAsia" w:ascii="黑体" w:hAnsi="黑体" w:eastAsia="黑体" w:cs="黑体"/>
          <w:color w:val="auto"/>
          <w:spacing w:val="-2"/>
          <w:sz w:val="24"/>
          <w:szCs w:val="24"/>
          <w:highlight w:val="none"/>
        </w:rPr>
        <w:t>投标报价最低的投标人为中标候选人的评标方法。</w:t>
      </w:r>
    </w:p>
    <w:p w14:paraId="62876A9F">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right="0" w:rightChars="0" w:firstLine="417" w:firstLineChars="176"/>
        <w:textAlignment w:val="baseline"/>
        <w:rPr>
          <w:rFonts w:hint="eastAsia" w:ascii="黑体" w:hAnsi="黑体" w:eastAsia="黑体" w:cs="黑体"/>
          <w:color w:val="auto"/>
          <w:sz w:val="24"/>
          <w:szCs w:val="24"/>
          <w:highlight w:val="none"/>
          <w:u w:val="single" w:color="auto"/>
        </w:rPr>
      </w:pPr>
      <w:r>
        <w:rPr>
          <w:rFonts w:hint="eastAsia" w:ascii="黑体" w:hAnsi="黑体" w:eastAsia="黑体" w:cs="黑体"/>
          <w:b/>
          <w:bCs/>
          <w:color w:val="auto"/>
          <w:spacing w:val="-2"/>
          <w:sz w:val="24"/>
          <w:szCs w:val="24"/>
          <w:highlight w:val="none"/>
          <w:u w:val="none" w:color="auto"/>
        </w:rPr>
        <w:t>（2）综合评分法，是指投标文件满足招标文件全部实质性</w:t>
      </w:r>
      <w:r>
        <w:rPr>
          <w:rFonts w:hint="eastAsia" w:ascii="黑体" w:hAnsi="黑体" w:eastAsia="黑体" w:cs="黑体"/>
          <w:b/>
          <w:bCs/>
          <w:color w:val="auto"/>
          <w:spacing w:val="-3"/>
          <w:sz w:val="24"/>
          <w:szCs w:val="24"/>
          <w:highlight w:val="none"/>
          <w:u w:val="none" w:color="auto"/>
        </w:rPr>
        <w:t>要求，且按</w:t>
      </w:r>
      <w:r>
        <w:rPr>
          <w:rFonts w:hint="eastAsia" w:ascii="黑体" w:hAnsi="黑体" w:eastAsia="黑体" w:cs="黑体"/>
          <w:b/>
          <w:bCs/>
          <w:color w:val="auto"/>
          <w:spacing w:val="2"/>
          <w:sz w:val="24"/>
          <w:szCs w:val="24"/>
          <w:highlight w:val="none"/>
          <w:u w:val="none" w:color="auto"/>
        </w:rPr>
        <w:t>照评审因素的量化指标评审得分最高的投标人为中标候选人的评标方</w:t>
      </w:r>
      <w:r>
        <w:rPr>
          <w:rFonts w:hint="eastAsia" w:ascii="黑体" w:hAnsi="黑体" w:eastAsia="黑体" w:cs="黑体"/>
          <w:b/>
          <w:bCs/>
          <w:color w:val="auto"/>
          <w:spacing w:val="-6"/>
          <w:sz w:val="24"/>
          <w:szCs w:val="24"/>
          <w:highlight w:val="none"/>
          <w:u w:val="none" w:color="auto"/>
        </w:rPr>
        <w:t>法。</w:t>
      </w:r>
    </w:p>
    <w:p w14:paraId="72F8579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23.3根据《政府采购促进中小企业发展管理办法》（</w:t>
      </w:r>
      <w:r>
        <w:rPr>
          <w:rFonts w:hint="eastAsia" w:ascii="黑体" w:hAnsi="黑体" w:eastAsia="黑体" w:cs="黑体"/>
          <w:color w:val="auto"/>
          <w:spacing w:val="-1"/>
          <w:sz w:val="24"/>
          <w:szCs w:val="24"/>
          <w:highlight w:val="none"/>
        </w:rPr>
        <w:t>财库[2020]46号）、</w:t>
      </w:r>
      <w:r>
        <w:rPr>
          <w:rFonts w:hint="eastAsia" w:ascii="黑体" w:hAnsi="黑体" w:eastAsia="黑体" w:cs="黑体"/>
          <w:color w:val="auto"/>
          <w:spacing w:val="-9"/>
          <w:sz w:val="24"/>
          <w:szCs w:val="24"/>
          <w:highlight w:val="none"/>
        </w:rPr>
        <w:t>关于进一步加大政府采购支持中小企业力度的通知财库〔2022〕19号，</w:t>
      </w:r>
      <w:r>
        <w:rPr>
          <w:rFonts w:hint="eastAsia" w:ascii="黑体" w:hAnsi="黑体" w:eastAsia="黑体" w:cs="黑体"/>
          <w:color w:val="auto"/>
          <w:spacing w:val="4"/>
          <w:sz w:val="24"/>
          <w:szCs w:val="24"/>
          <w:highlight w:val="none"/>
        </w:rPr>
        <w:t>《财政部司法部关于政府采购支持监狱企业发展有关问题的通知》</w:t>
      </w:r>
      <w:r>
        <w:rPr>
          <w:rFonts w:hint="eastAsia" w:ascii="黑体" w:hAnsi="黑体" w:eastAsia="黑体" w:cs="黑体"/>
          <w:color w:val="auto"/>
          <w:spacing w:val="-5"/>
          <w:sz w:val="24"/>
          <w:szCs w:val="24"/>
          <w:highlight w:val="none"/>
        </w:rPr>
        <w:t>（财库〔2014〕68号）和《三部门联合发布关于促进残疾人就业政府</w:t>
      </w:r>
      <w:r>
        <w:rPr>
          <w:rFonts w:hint="eastAsia" w:ascii="黑体" w:hAnsi="黑体" w:eastAsia="黑体" w:cs="黑体"/>
          <w:color w:val="auto"/>
          <w:sz w:val="24"/>
          <w:szCs w:val="24"/>
          <w:highlight w:val="none"/>
        </w:rPr>
        <w:t>采购政策的通知》（财库〔2017〕141号）的规</w:t>
      </w:r>
      <w:r>
        <w:rPr>
          <w:rFonts w:hint="eastAsia" w:ascii="黑体" w:hAnsi="黑体" w:eastAsia="黑体" w:cs="黑体"/>
          <w:color w:val="auto"/>
          <w:spacing w:val="-1"/>
          <w:sz w:val="24"/>
          <w:szCs w:val="24"/>
          <w:highlight w:val="none"/>
        </w:rPr>
        <w:t>定，对满足价格扣除</w:t>
      </w:r>
      <w:r>
        <w:rPr>
          <w:rFonts w:hint="eastAsia" w:ascii="黑体" w:hAnsi="黑体" w:eastAsia="黑体" w:cs="黑体"/>
          <w:color w:val="auto"/>
          <w:sz w:val="24"/>
          <w:szCs w:val="24"/>
          <w:highlight w:val="none"/>
        </w:rPr>
        <w:t>条件且在</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文件中提交了《中小企业声明函》或省级以上</w:t>
      </w:r>
      <w:r>
        <w:rPr>
          <w:rFonts w:hint="eastAsia" w:ascii="黑体" w:hAnsi="黑体" w:eastAsia="黑体" w:cs="黑体"/>
          <w:color w:val="auto"/>
          <w:spacing w:val="-1"/>
          <w:sz w:val="24"/>
          <w:szCs w:val="24"/>
          <w:highlight w:val="none"/>
        </w:rPr>
        <w:t>监狱管理</w:t>
      </w:r>
      <w:r>
        <w:rPr>
          <w:rFonts w:hint="eastAsia" w:ascii="黑体" w:hAnsi="黑体" w:eastAsia="黑体" w:cs="黑体"/>
          <w:color w:val="auto"/>
          <w:sz w:val="24"/>
          <w:szCs w:val="24"/>
          <w:highlight w:val="none"/>
        </w:rPr>
        <w:t>局、戒毒管理局（含新疆生产建设兵团）出具的属于监狱企</w:t>
      </w:r>
      <w:r>
        <w:rPr>
          <w:rFonts w:hint="eastAsia" w:ascii="黑体" w:hAnsi="黑体" w:eastAsia="黑体" w:cs="黑体"/>
          <w:color w:val="auto"/>
          <w:spacing w:val="-1"/>
          <w:sz w:val="24"/>
          <w:szCs w:val="24"/>
          <w:highlight w:val="none"/>
        </w:rPr>
        <w:t>业的证明</w:t>
      </w:r>
      <w:r>
        <w:rPr>
          <w:rFonts w:hint="eastAsia" w:ascii="黑体" w:hAnsi="黑体" w:eastAsia="黑体" w:cs="黑体"/>
          <w:color w:val="auto"/>
          <w:spacing w:val="-5"/>
          <w:sz w:val="24"/>
          <w:szCs w:val="24"/>
          <w:highlight w:val="none"/>
        </w:rPr>
        <w:t>文件的投标人，其投标报价扣除</w:t>
      </w:r>
      <w:r>
        <w:rPr>
          <w:rFonts w:hint="eastAsia" w:ascii="黑体" w:hAnsi="黑体" w:eastAsia="黑体" w:cs="黑体"/>
          <w:color w:val="auto"/>
          <w:spacing w:val="-5"/>
          <w:sz w:val="24"/>
          <w:szCs w:val="24"/>
          <w:highlight w:val="none"/>
          <w:u w:val="single" w:color="auto"/>
        </w:rPr>
        <w:t>10%</w:t>
      </w:r>
      <w:r>
        <w:rPr>
          <w:rFonts w:hint="eastAsia" w:ascii="黑体" w:hAnsi="黑体" w:eastAsia="黑体" w:cs="黑体"/>
          <w:color w:val="auto"/>
          <w:spacing w:val="-5"/>
          <w:sz w:val="24"/>
          <w:szCs w:val="24"/>
          <w:highlight w:val="none"/>
        </w:rPr>
        <w:t>后参与评审。对于同时属于小</w:t>
      </w:r>
      <w:r>
        <w:rPr>
          <w:rFonts w:hint="eastAsia" w:ascii="黑体" w:hAnsi="黑体" w:eastAsia="黑体" w:cs="黑体"/>
          <w:color w:val="auto"/>
          <w:spacing w:val="-6"/>
          <w:sz w:val="24"/>
          <w:szCs w:val="24"/>
          <w:highlight w:val="none"/>
        </w:rPr>
        <w:t>微企业、监狱企业或残疾人福利性单位的，不重复进行投标</w:t>
      </w:r>
      <w:r>
        <w:rPr>
          <w:rFonts w:hint="eastAsia" w:ascii="黑体" w:hAnsi="黑体" w:eastAsia="黑体" w:cs="黑体"/>
          <w:color w:val="auto"/>
          <w:spacing w:val="-7"/>
          <w:sz w:val="24"/>
          <w:szCs w:val="24"/>
          <w:highlight w:val="none"/>
        </w:rPr>
        <w:t>报价扣除。</w:t>
      </w:r>
      <w:r>
        <w:rPr>
          <w:rFonts w:hint="eastAsia" w:ascii="黑体" w:hAnsi="黑体" w:eastAsia="黑体" w:cs="黑体"/>
          <w:color w:val="auto"/>
          <w:spacing w:val="-2"/>
          <w:sz w:val="24"/>
          <w:szCs w:val="24"/>
          <w:highlight w:val="none"/>
        </w:rPr>
        <w:t>具体办法详见招标文件第6章。</w:t>
      </w:r>
    </w:p>
    <w:p w14:paraId="1927EAB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5"/>
          <w:sz w:val="24"/>
          <w:szCs w:val="24"/>
          <w:highlight w:val="none"/>
        </w:rPr>
        <w:t>24.废标</w:t>
      </w:r>
    </w:p>
    <w:p w14:paraId="68C5345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7"/>
          <w:sz w:val="24"/>
          <w:szCs w:val="24"/>
          <w:highlight w:val="none"/>
        </w:rPr>
        <w:t>出现下列情形之一，将导致项目废标：</w:t>
      </w:r>
    </w:p>
    <w:p w14:paraId="416B987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2"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1"/>
          <w:sz w:val="24"/>
          <w:szCs w:val="24"/>
          <w:highlight w:val="none"/>
        </w:rPr>
        <w:t>（1）符合专业条件的投标人或者对招标文件做实质</w:t>
      </w:r>
      <w:r>
        <w:rPr>
          <w:rFonts w:hint="eastAsia" w:ascii="黑体" w:hAnsi="黑体" w:eastAsia="黑体" w:cs="黑体"/>
          <w:b/>
          <w:bCs/>
          <w:color w:val="auto"/>
          <w:spacing w:val="-2"/>
          <w:sz w:val="24"/>
          <w:szCs w:val="24"/>
          <w:highlight w:val="none"/>
        </w:rPr>
        <w:t>性响应的投标人不足</w:t>
      </w:r>
      <w:r>
        <w:rPr>
          <w:rFonts w:hint="eastAsia" w:ascii="黑体" w:hAnsi="黑体" w:eastAsia="黑体" w:cs="黑体"/>
          <w:b/>
          <w:bCs/>
          <w:color w:val="auto"/>
          <w:spacing w:val="-20"/>
          <w:sz w:val="24"/>
          <w:szCs w:val="24"/>
          <w:highlight w:val="none"/>
        </w:rPr>
        <w:t>三家；</w:t>
      </w:r>
    </w:p>
    <w:p w14:paraId="3911856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4"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（2）出现影响采购公正的违法、违规行为的；</w:t>
      </w:r>
    </w:p>
    <w:p w14:paraId="0DD0543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7"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5"/>
          <w:sz w:val="24"/>
          <w:szCs w:val="24"/>
          <w:highlight w:val="none"/>
        </w:rPr>
        <w:t>（3）投标人的报价均超过了采购预算，采购人不能支付的；</w:t>
      </w:r>
    </w:p>
    <w:p w14:paraId="49AA67F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7" w:firstLineChars="185"/>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5"/>
          <w:sz w:val="24"/>
          <w:szCs w:val="24"/>
          <w:highlight w:val="none"/>
        </w:rPr>
        <w:t>（4）因重大变故，采购任务取消的。</w:t>
      </w:r>
    </w:p>
    <w:p w14:paraId="263FB96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25.保密原则</w:t>
      </w:r>
    </w:p>
    <w:p w14:paraId="25375DD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outlineLvl w:val="1"/>
        <w:rPr>
          <w:rFonts w:hint="eastAsia" w:ascii="黑体" w:hAnsi="黑体" w:eastAsia="黑体" w:cs="黑体"/>
          <w:color w:val="auto"/>
          <w:sz w:val="24"/>
          <w:szCs w:val="24"/>
          <w:highlight w:val="none"/>
        </w:rPr>
      </w:pPr>
      <w:bookmarkStart w:id="66" w:name="_Toc31849"/>
      <w:bookmarkStart w:id="67" w:name="_Toc32379"/>
      <w:r>
        <w:rPr>
          <w:rFonts w:hint="eastAsia" w:ascii="黑体" w:hAnsi="黑体" w:eastAsia="黑体" w:cs="黑体"/>
          <w:color w:val="auto"/>
          <w:spacing w:val="-2"/>
          <w:sz w:val="24"/>
          <w:szCs w:val="24"/>
          <w:highlight w:val="none"/>
        </w:rPr>
        <w:t>25.1评标将在严格保密的情况下进行。</w:t>
      </w:r>
      <w:bookmarkEnd w:id="66"/>
      <w:bookmarkEnd w:id="67"/>
    </w:p>
    <w:p w14:paraId="6F42366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8"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25.2政府采购评审专家应当遵守评审工作纪律，不得泄露评审文件、评审</w:t>
      </w:r>
      <w:r>
        <w:rPr>
          <w:rFonts w:hint="eastAsia" w:ascii="黑体" w:hAnsi="黑体" w:eastAsia="黑体" w:cs="黑体"/>
          <w:color w:val="auto"/>
          <w:spacing w:val="-3"/>
          <w:sz w:val="24"/>
          <w:szCs w:val="24"/>
          <w:highlight w:val="none"/>
        </w:rPr>
        <w:t>情况和评审中获悉的商业秘密。</w:t>
      </w:r>
    </w:p>
    <w:p w14:paraId="337ACE80">
      <w:pPr>
        <w:bidi w:val="0"/>
        <w:rPr>
          <w:rFonts w:hint="eastAsia"/>
          <w:color w:val="auto"/>
          <w:highlight w:val="none"/>
        </w:rPr>
      </w:pPr>
      <w:bookmarkStart w:id="68" w:name="bookmark12"/>
      <w:bookmarkEnd w:id="68"/>
      <w:bookmarkStart w:id="69" w:name="_Toc13202"/>
      <w:bookmarkStart w:id="70" w:name="_Toc30330"/>
    </w:p>
    <w:p w14:paraId="39340CD9">
      <w:pPr>
        <w:bidi w:val="0"/>
        <w:rPr>
          <w:rFonts w:hint="eastAsia"/>
          <w:color w:val="auto"/>
          <w:highlight w:val="none"/>
        </w:rPr>
      </w:pPr>
    </w:p>
    <w:p w14:paraId="64AE14FE">
      <w:pPr>
        <w:rPr>
          <w:rFonts w:hint="eastAsia" w:ascii="黑体" w:hAnsi="黑体" w:eastAsia="黑体" w:cs="黑体"/>
          <w:b/>
          <w:bCs/>
          <w:color w:val="auto"/>
          <w:spacing w:val="-7"/>
          <w:sz w:val="28"/>
          <w:szCs w:val="28"/>
          <w:highlight w:val="none"/>
        </w:rPr>
      </w:pPr>
      <w:bookmarkStart w:id="71" w:name="_Toc1597"/>
      <w:r>
        <w:rPr>
          <w:rFonts w:hint="eastAsia" w:ascii="黑体" w:hAnsi="黑体" w:eastAsia="黑体" w:cs="黑体"/>
          <w:b/>
          <w:bCs/>
          <w:color w:val="auto"/>
          <w:spacing w:val="-7"/>
          <w:sz w:val="28"/>
          <w:szCs w:val="28"/>
          <w:highlight w:val="none"/>
        </w:rPr>
        <w:br w:type="page"/>
      </w:r>
    </w:p>
    <w:p w14:paraId="3B8B3DD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textAlignment w:val="baseline"/>
        <w:outlineLvl w:val="0"/>
        <w:rPr>
          <w:rFonts w:hint="eastAsia" w:ascii="黑体" w:hAnsi="黑体" w:eastAsia="黑体" w:cs="黑体"/>
          <w:color w:val="auto"/>
          <w:sz w:val="28"/>
          <w:szCs w:val="28"/>
          <w:highlight w:val="none"/>
        </w:rPr>
      </w:pPr>
      <w:r>
        <w:rPr>
          <w:rFonts w:hint="eastAsia" w:ascii="黑体" w:hAnsi="黑体" w:eastAsia="黑体" w:cs="黑体"/>
          <w:b/>
          <w:bCs/>
          <w:color w:val="auto"/>
          <w:spacing w:val="-7"/>
          <w:sz w:val="28"/>
          <w:szCs w:val="28"/>
          <w:highlight w:val="none"/>
        </w:rPr>
        <w:t>六确定中标</w:t>
      </w:r>
      <w:bookmarkEnd w:id="69"/>
      <w:bookmarkEnd w:id="70"/>
      <w:bookmarkEnd w:id="71"/>
    </w:p>
    <w:p w14:paraId="5C2B9A8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26.中标候选人的确定原则及标准</w:t>
      </w:r>
    </w:p>
    <w:p w14:paraId="1B76591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4"/>
        <w:jc w:val="both"/>
        <w:textAlignment w:val="baseline"/>
        <w:rPr>
          <w:rFonts w:hint="eastAsia" w:ascii="黑体" w:hAnsi="黑体" w:eastAsia="黑体" w:cs="黑体"/>
          <w:color w:val="auto"/>
          <w:spacing w:val="-7"/>
          <w:sz w:val="24"/>
          <w:szCs w:val="24"/>
          <w:highlight w:val="none"/>
        </w:rPr>
      </w:pPr>
      <w:r>
        <w:rPr>
          <w:rFonts w:hint="eastAsia" w:ascii="黑体" w:hAnsi="黑体" w:eastAsia="黑体" w:cs="黑体"/>
          <w:color w:val="auto"/>
          <w:spacing w:val="-6"/>
          <w:sz w:val="24"/>
          <w:szCs w:val="24"/>
          <w:highlight w:val="none"/>
        </w:rPr>
        <w:t>除第28条规定外，对实质上响应招标文件的投标人按下列方法进行排序，</w:t>
      </w:r>
      <w:r>
        <w:rPr>
          <w:rFonts w:hint="eastAsia" w:ascii="黑体" w:hAnsi="黑体" w:eastAsia="黑体" w:cs="黑体"/>
          <w:color w:val="auto"/>
          <w:spacing w:val="-7"/>
          <w:sz w:val="24"/>
          <w:szCs w:val="24"/>
          <w:highlight w:val="none"/>
        </w:rPr>
        <w:t>确定中标候选人：</w:t>
      </w:r>
    </w:p>
    <w:p w14:paraId="56B15EE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8" w:firstLineChars="184"/>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（1）采用最低评标价法的，除了算术修正和</w:t>
      </w:r>
      <w:r>
        <w:rPr>
          <w:rFonts w:hint="eastAsia" w:ascii="黑体" w:hAnsi="黑体" w:eastAsia="黑体" w:cs="黑体"/>
          <w:color w:val="auto"/>
          <w:spacing w:val="1"/>
          <w:sz w:val="24"/>
          <w:szCs w:val="24"/>
          <w:highlight w:val="none"/>
        </w:rPr>
        <w:t>落实政府采购政策需进行的</w:t>
      </w:r>
      <w:r>
        <w:rPr>
          <w:rFonts w:hint="eastAsia" w:ascii="黑体" w:hAnsi="黑体" w:eastAsia="黑体" w:cs="黑体"/>
          <w:color w:val="auto"/>
          <w:spacing w:val="-2"/>
          <w:sz w:val="24"/>
          <w:szCs w:val="24"/>
          <w:highlight w:val="none"/>
        </w:rPr>
        <w:t>价格扣除外，不对投标人的投标价格进行任何调整。评</w:t>
      </w:r>
      <w:r>
        <w:rPr>
          <w:rFonts w:hint="eastAsia" w:ascii="黑体" w:hAnsi="黑体" w:eastAsia="黑体" w:cs="黑体"/>
          <w:color w:val="auto"/>
          <w:spacing w:val="-3"/>
          <w:sz w:val="24"/>
          <w:szCs w:val="24"/>
          <w:highlight w:val="none"/>
        </w:rPr>
        <w:t>标结果按修正和扣除后</w:t>
      </w:r>
      <w:r>
        <w:rPr>
          <w:rFonts w:hint="eastAsia" w:ascii="黑体" w:hAnsi="黑体" w:eastAsia="黑体" w:cs="黑体"/>
          <w:color w:val="auto"/>
          <w:spacing w:val="-2"/>
          <w:sz w:val="24"/>
          <w:szCs w:val="24"/>
          <w:highlight w:val="none"/>
        </w:rPr>
        <w:t>的投标报价由低到高顺序排列。报价相同的处理方式详见招标文件第6章。</w:t>
      </w:r>
    </w:p>
    <w:p w14:paraId="27C7684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0" w:firstLineChars="184"/>
        <w:jc w:val="both"/>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1"/>
          <w:sz w:val="24"/>
          <w:szCs w:val="24"/>
          <w:highlight w:val="none"/>
        </w:rPr>
        <w:t>（2）采用综合评分法的，评标结果按评审后得分由</w:t>
      </w:r>
      <w:r>
        <w:rPr>
          <w:rFonts w:hint="eastAsia" w:ascii="黑体" w:hAnsi="黑体" w:eastAsia="黑体" w:cs="黑体"/>
          <w:b/>
          <w:bCs/>
          <w:color w:val="auto"/>
          <w:spacing w:val="-2"/>
          <w:sz w:val="24"/>
          <w:szCs w:val="24"/>
          <w:highlight w:val="none"/>
        </w:rPr>
        <w:t>高到低顺序排列。得</w:t>
      </w:r>
      <w:r>
        <w:rPr>
          <w:rFonts w:hint="eastAsia" w:ascii="黑体" w:hAnsi="黑体" w:eastAsia="黑体" w:cs="黑体"/>
          <w:b/>
          <w:bCs/>
          <w:color w:val="auto"/>
          <w:spacing w:val="-5"/>
          <w:sz w:val="24"/>
          <w:szCs w:val="24"/>
          <w:highlight w:val="none"/>
        </w:rPr>
        <w:t>分相同的，按修正和扣除后的投标报价由低到高顺序排列。</w:t>
      </w:r>
      <w:r>
        <w:rPr>
          <w:rFonts w:hint="eastAsia" w:ascii="黑体" w:hAnsi="黑体" w:eastAsia="黑体" w:cs="黑体"/>
          <w:b/>
          <w:bCs/>
          <w:color w:val="auto"/>
          <w:spacing w:val="-6"/>
          <w:sz w:val="24"/>
          <w:szCs w:val="24"/>
          <w:highlight w:val="none"/>
        </w:rPr>
        <w:t>得分与投标报价均相同的处理方式详见招标文件第6章。</w:t>
      </w:r>
    </w:p>
    <w:p w14:paraId="380F8AE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27.确定中标候选人和中标人</w:t>
      </w:r>
    </w:p>
    <w:p w14:paraId="7CCA1E9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评标委员会将根据评标标准，按投标人须知资料表中规定数量推荐中标</w:t>
      </w:r>
      <w:r>
        <w:rPr>
          <w:rFonts w:hint="eastAsia" w:ascii="黑体" w:hAnsi="黑体" w:eastAsia="黑体" w:cs="黑体"/>
          <w:color w:val="auto"/>
          <w:spacing w:val="-2"/>
          <w:sz w:val="24"/>
          <w:szCs w:val="24"/>
          <w:highlight w:val="none"/>
        </w:rPr>
        <w:t>候选人；或根据采购人的委托，直接确定中标人。</w:t>
      </w:r>
    </w:p>
    <w:p w14:paraId="54375B0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28.采购任务取消</w:t>
      </w:r>
    </w:p>
    <w:p w14:paraId="6EF66FF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因重大变故采购任务取消时，采购人有权拒绝任</w:t>
      </w:r>
      <w:r>
        <w:rPr>
          <w:rFonts w:hint="eastAsia" w:ascii="黑体" w:hAnsi="黑体" w:eastAsia="黑体" w:cs="黑体"/>
          <w:color w:val="auto"/>
          <w:spacing w:val="-2"/>
          <w:sz w:val="24"/>
          <w:szCs w:val="24"/>
          <w:highlight w:val="none"/>
        </w:rPr>
        <w:t>何投标人中标，且对</w:t>
      </w:r>
      <w:r>
        <w:rPr>
          <w:rFonts w:hint="eastAsia" w:ascii="黑体" w:hAnsi="黑体" w:eastAsia="黑体" w:cs="黑体"/>
          <w:color w:val="auto"/>
          <w:spacing w:val="-1"/>
          <w:sz w:val="24"/>
          <w:szCs w:val="24"/>
          <w:highlight w:val="none"/>
        </w:rPr>
        <w:t>受影响的投标人不承担任何责任。</w:t>
      </w:r>
    </w:p>
    <w:p w14:paraId="541D9B8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29.中标通知书和招标结果通知书</w:t>
      </w:r>
    </w:p>
    <w:p w14:paraId="52F4768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72"/>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29.1在投标有效期内，中标人确定后，采购人</w:t>
      </w:r>
      <w:r>
        <w:rPr>
          <w:rFonts w:hint="eastAsia" w:ascii="黑体" w:hAnsi="黑体" w:eastAsia="黑体" w:cs="黑体"/>
          <w:color w:val="auto"/>
          <w:spacing w:val="1"/>
          <w:sz w:val="24"/>
          <w:szCs w:val="24"/>
          <w:highlight w:val="none"/>
        </w:rPr>
        <w:t>或者采购代理机构发布中标</w:t>
      </w:r>
      <w:r>
        <w:rPr>
          <w:rFonts w:hint="eastAsia" w:ascii="黑体" w:hAnsi="黑体" w:eastAsia="黑体" w:cs="黑体"/>
          <w:color w:val="auto"/>
          <w:spacing w:val="-3"/>
          <w:sz w:val="24"/>
          <w:szCs w:val="24"/>
          <w:highlight w:val="none"/>
        </w:rPr>
        <w:t>公告，同时以书面形式向中标人发出中标通知书；</w:t>
      </w:r>
    </w:p>
    <w:p w14:paraId="66FA2E7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2" w:firstLineChars="172"/>
        <w:textAlignment w:val="baseline"/>
        <w:outlineLvl w:val="1"/>
        <w:rPr>
          <w:rFonts w:hint="eastAsia" w:ascii="黑体" w:hAnsi="黑体" w:eastAsia="黑体" w:cs="黑体"/>
          <w:color w:val="auto"/>
          <w:sz w:val="24"/>
          <w:szCs w:val="24"/>
          <w:highlight w:val="none"/>
        </w:rPr>
      </w:pPr>
      <w:bookmarkStart w:id="72" w:name="_Toc21566"/>
      <w:bookmarkStart w:id="73" w:name="_Toc21448"/>
      <w:r>
        <w:rPr>
          <w:rFonts w:hint="eastAsia" w:ascii="黑体" w:hAnsi="黑体" w:eastAsia="黑体" w:cs="黑体"/>
          <w:color w:val="auto"/>
          <w:spacing w:val="-6"/>
          <w:sz w:val="24"/>
          <w:szCs w:val="24"/>
          <w:highlight w:val="none"/>
        </w:rPr>
        <w:t>29.2中标通知书是合同的组成部分；</w:t>
      </w:r>
      <w:bookmarkEnd w:id="72"/>
      <w:bookmarkEnd w:id="73"/>
    </w:p>
    <w:p w14:paraId="60AE69A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5"/>
          <w:sz w:val="24"/>
          <w:szCs w:val="24"/>
          <w:highlight w:val="none"/>
        </w:rPr>
        <w:t>30.签订合同</w:t>
      </w:r>
    </w:p>
    <w:p w14:paraId="79DAA21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30.1中标人应当自发出中标通知书之日起30日内，与采购人签订合同。</w:t>
      </w:r>
    </w:p>
    <w:p w14:paraId="5DBCD82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2" w:firstLineChars="181"/>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30.2招标文件、中标人的投标文件及其澄清文件等，均为签订合同的依据。</w:t>
      </w:r>
    </w:p>
    <w:p w14:paraId="10380C3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1" w:firstLineChars="181"/>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30.3中标人拒绝与采购人签订合</w:t>
      </w:r>
      <w:r>
        <w:rPr>
          <w:rFonts w:hint="eastAsia" w:ascii="黑体" w:hAnsi="黑体" w:eastAsia="黑体" w:cs="黑体"/>
          <w:color w:val="auto"/>
          <w:spacing w:val="1"/>
          <w:sz w:val="24"/>
          <w:szCs w:val="24"/>
          <w:highlight w:val="none"/>
        </w:rPr>
        <w:t>同的，采购人可以按照评审报告推荐的中</w:t>
      </w:r>
      <w:r>
        <w:rPr>
          <w:rFonts w:hint="eastAsia" w:ascii="黑体" w:hAnsi="黑体" w:eastAsia="黑体" w:cs="黑体"/>
          <w:color w:val="auto"/>
          <w:sz w:val="24"/>
          <w:szCs w:val="24"/>
          <w:highlight w:val="none"/>
        </w:rPr>
        <w:t>标候选人名单排序，确定下一中标候选人为中标人，</w:t>
      </w:r>
      <w:r>
        <w:rPr>
          <w:rFonts w:hint="eastAsia" w:ascii="黑体" w:hAnsi="黑体" w:eastAsia="黑体" w:cs="黑体"/>
          <w:color w:val="auto"/>
          <w:spacing w:val="-1"/>
          <w:sz w:val="24"/>
          <w:szCs w:val="24"/>
          <w:highlight w:val="none"/>
        </w:rPr>
        <w:t>也可以重新开展</w:t>
      </w:r>
      <w:r>
        <w:rPr>
          <w:rFonts w:hint="eastAsia" w:ascii="黑体" w:hAnsi="黑体" w:eastAsia="黑体" w:cs="黑体"/>
          <w:color w:val="auto"/>
          <w:spacing w:val="-5"/>
          <w:sz w:val="24"/>
          <w:szCs w:val="24"/>
          <w:highlight w:val="none"/>
        </w:rPr>
        <w:t>政府采购活动。</w:t>
      </w:r>
    </w:p>
    <w:p w14:paraId="68E94B1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8" w:firstLineChars="181"/>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30.4当出现法规规定的</w:t>
      </w:r>
      <w:r>
        <w:rPr>
          <w:rFonts w:hint="eastAsia" w:ascii="黑体" w:hAnsi="黑体" w:eastAsia="黑体" w:cs="黑体"/>
          <w:b/>
          <w:bCs/>
          <w:color w:val="auto"/>
          <w:spacing w:val="1"/>
          <w:sz w:val="24"/>
          <w:szCs w:val="24"/>
          <w:highlight w:val="none"/>
        </w:rPr>
        <w:t>中标无效或中标结果无</w:t>
      </w:r>
      <w:r>
        <w:rPr>
          <w:rFonts w:hint="eastAsia" w:ascii="黑体" w:hAnsi="黑体" w:eastAsia="黑体" w:cs="黑体"/>
          <w:b/>
          <w:bCs/>
          <w:color w:val="auto"/>
          <w:sz w:val="24"/>
          <w:szCs w:val="24"/>
          <w:highlight w:val="none"/>
        </w:rPr>
        <w:t>效</w:t>
      </w:r>
      <w:r>
        <w:rPr>
          <w:rFonts w:hint="eastAsia" w:ascii="黑体" w:hAnsi="黑体" w:eastAsia="黑体" w:cs="黑体"/>
          <w:color w:val="auto"/>
          <w:sz w:val="24"/>
          <w:szCs w:val="24"/>
          <w:highlight w:val="none"/>
        </w:rPr>
        <w:t>情形时，采购人可与排名</w:t>
      </w:r>
      <w:r>
        <w:rPr>
          <w:rFonts w:hint="eastAsia" w:ascii="黑体" w:hAnsi="黑体" w:eastAsia="黑体" w:cs="黑体"/>
          <w:color w:val="auto"/>
          <w:spacing w:val="-1"/>
          <w:sz w:val="24"/>
          <w:szCs w:val="24"/>
          <w:highlight w:val="none"/>
        </w:rPr>
        <w:t>下一位的中标候选人另行签订合同，或依法重</w:t>
      </w:r>
      <w:r>
        <w:rPr>
          <w:rFonts w:hint="eastAsia" w:ascii="黑体" w:hAnsi="黑体" w:eastAsia="黑体" w:cs="黑体"/>
          <w:color w:val="auto"/>
          <w:spacing w:val="-2"/>
          <w:sz w:val="24"/>
          <w:szCs w:val="24"/>
          <w:highlight w:val="none"/>
        </w:rPr>
        <w:t>新开展采购活动。</w:t>
      </w:r>
    </w:p>
    <w:p w14:paraId="25C9768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31.履约保证金</w:t>
      </w:r>
    </w:p>
    <w:p w14:paraId="0255044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31.1中标人应按照</w:t>
      </w:r>
      <w:r>
        <w:rPr>
          <w:rFonts w:hint="eastAsia" w:ascii="黑体" w:hAnsi="黑体" w:eastAsia="黑体" w:cs="黑体"/>
          <w:color w:val="auto"/>
          <w:spacing w:val="-2"/>
          <w:sz w:val="24"/>
          <w:szCs w:val="24"/>
          <w:highlight w:val="none"/>
          <w:u w:val="single" w:color="auto"/>
        </w:rPr>
        <w:t>投标人须知资料表</w:t>
      </w:r>
      <w:r>
        <w:rPr>
          <w:rFonts w:hint="eastAsia" w:ascii="黑体" w:hAnsi="黑体" w:eastAsia="黑体" w:cs="黑体"/>
          <w:color w:val="auto"/>
          <w:spacing w:val="-2"/>
          <w:sz w:val="24"/>
          <w:szCs w:val="24"/>
          <w:highlight w:val="none"/>
        </w:rPr>
        <w:t>规定向采购人缴纳履约保证金（如采</w:t>
      </w:r>
      <w:r>
        <w:rPr>
          <w:rFonts w:hint="eastAsia" w:ascii="黑体" w:hAnsi="黑体" w:eastAsia="黑体" w:cs="黑体"/>
          <w:color w:val="auto"/>
          <w:spacing w:val="-4"/>
          <w:sz w:val="24"/>
          <w:szCs w:val="24"/>
          <w:highlight w:val="none"/>
        </w:rPr>
        <w:t>用保函形式，格式见本章附件1）。</w:t>
      </w:r>
    </w:p>
    <w:p w14:paraId="2CC7E01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7"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31.2政府采购利用担保试点范围内的项目</w:t>
      </w:r>
      <w:r>
        <w:rPr>
          <w:rFonts w:hint="eastAsia" w:ascii="黑体" w:hAnsi="黑体" w:eastAsia="黑体" w:cs="黑体"/>
          <w:color w:val="auto"/>
          <w:spacing w:val="-6"/>
          <w:sz w:val="24"/>
          <w:szCs w:val="24"/>
          <w:highlight w:val="none"/>
        </w:rPr>
        <w:t>，除31.1规定的情形外，中标人</w:t>
      </w:r>
      <w:r>
        <w:rPr>
          <w:rFonts w:hint="eastAsia" w:ascii="黑体" w:hAnsi="黑体" w:eastAsia="黑体" w:cs="黑体"/>
          <w:color w:val="auto"/>
          <w:spacing w:val="-1"/>
          <w:sz w:val="24"/>
          <w:szCs w:val="24"/>
          <w:highlight w:val="none"/>
        </w:rPr>
        <w:t>也可以按照财政部门的规定，向采购人提供合格的履约担保函（格式</w:t>
      </w:r>
      <w:r>
        <w:rPr>
          <w:rFonts w:hint="eastAsia" w:ascii="黑体" w:hAnsi="黑体" w:eastAsia="黑体" w:cs="黑体"/>
          <w:color w:val="auto"/>
          <w:spacing w:val="-6"/>
          <w:sz w:val="24"/>
          <w:szCs w:val="24"/>
          <w:highlight w:val="none"/>
        </w:rPr>
        <w:t>见本章附件2）。</w:t>
      </w:r>
    </w:p>
    <w:p w14:paraId="22B8781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1"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31.3如果中标人没有按照上述履</w:t>
      </w:r>
      <w:r>
        <w:rPr>
          <w:rFonts w:hint="eastAsia" w:ascii="黑体" w:hAnsi="黑体" w:eastAsia="黑体" w:cs="黑体"/>
          <w:color w:val="auto"/>
          <w:spacing w:val="1"/>
          <w:sz w:val="24"/>
          <w:szCs w:val="24"/>
          <w:highlight w:val="none"/>
        </w:rPr>
        <w:t>约保证金的规定执行，将视为放弃中标资</w:t>
      </w:r>
      <w:r>
        <w:rPr>
          <w:rFonts w:hint="eastAsia" w:ascii="黑体" w:hAnsi="黑体" w:eastAsia="黑体" w:cs="黑体"/>
          <w:color w:val="auto"/>
          <w:sz w:val="24"/>
          <w:szCs w:val="24"/>
          <w:highlight w:val="none"/>
        </w:rPr>
        <w:t>格，中标人的投标保证金将不予退还。在此情况下，采购</w:t>
      </w:r>
      <w:r>
        <w:rPr>
          <w:rFonts w:hint="eastAsia" w:ascii="黑体" w:hAnsi="黑体" w:eastAsia="黑体" w:cs="黑体"/>
          <w:color w:val="auto"/>
          <w:spacing w:val="-1"/>
          <w:sz w:val="24"/>
          <w:szCs w:val="24"/>
          <w:highlight w:val="none"/>
        </w:rPr>
        <w:t>人可确定下一候选人为中标人，也可以重新开展采购活动。</w:t>
      </w:r>
    </w:p>
    <w:p w14:paraId="476D08E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3"/>
          <w:sz w:val="24"/>
          <w:szCs w:val="24"/>
          <w:highlight w:val="none"/>
        </w:rPr>
        <w:t>32.中标服务费</w:t>
      </w:r>
    </w:p>
    <w:p w14:paraId="688877A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中标人须按照</w:t>
      </w:r>
      <w:r>
        <w:rPr>
          <w:rFonts w:hint="eastAsia" w:ascii="黑体" w:hAnsi="黑体" w:eastAsia="黑体" w:cs="黑体"/>
          <w:color w:val="auto"/>
          <w:spacing w:val="-3"/>
          <w:sz w:val="24"/>
          <w:szCs w:val="24"/>
          <w:highlight w:val="none"/>
          <w:u w:val="single" w:color="auto"/>
        </w:rPr>
        <w:t>投标须知资料表</w:t>
      </w:r>
      <w:r>
        <w:rPr>
          <w:rFonts w:hint="eastAsia" w:ascii="黑体" w:hAnsi="黑体" w:eastAsia="黑体" w:cs="黑体"/>
          <w:color w:val="auto"/>
          <w:spacing w:val="-3"/>
          <w:sz w:val="24"/>
          <w:szCs w:val="24"/>
          <w:highlight w:val="none"/>
        </w:rPr>
        <w:t>规定，向采购代理机构支付中标服务费。</w:t>
      </w:r>
    </w:p>
    <w:p w14:paraId="380A537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33.政府采购信用担保</w:t>
      </w:r>
    </w:p>
    <w:p w14:paraId="3051DB1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outlineLvl w:val="1"/>
        <w:rPr>
          <w:rFonts w:hint="eastAsia" w:ascii="黑体" w:hAnsi="黑体" w:eastAsia="黑体" w:cs="黑体"/>
          <w:color w:val="auto"/>
          <w:sz w:val="24"/>
          <w:szCs w:val="24"/>
          <w:highlight w:val="none"/>
        </w:rPr>
      </w:pPr>
      <w:bookmarkStart w:id="74" w:name="_Toc12984"/>
      <w:bookmarkStart w:id="75" w:name="_Toc29924"/>
      <w:r>
        <w:rPr>
          <w:rFonts w:hint="eastAsia" w:ascii="黑体" w:hAnsi="黑体" w:eastAsia="黑体" w:cs="黑体"/>
          <w:color w:val="auto"/>
          <w:spacing w:val="-1"/>
          <w:sz w:val="24"/>
          <w:szCs w:val="24"/>
          <w:highlight w:val="none"/>
        </w:rPr>
        <w:t>33.1本项目是否属于信用担保试点范围见</w:t>
      </w:r>
      <w:r>
        <w:rPr>
          <w:rFonts w:hint="eastAsia" w:ascii="黑体" w:hAnsi="黑体" w:eastAsia="黑体" w:cs="黑体"/>
          <w:color w:val="auto"/>
          <w:spacing w:val="-1"/>
          <w:sz w:val="24"/>
          <w:szCs w:val="24"/>
          <w:highlight w:val="none"/>
          <w:u w:val="single" w:color="auto"/>
        </w:rPr>
        <w:t>投标人须知资料表</w:t>
      </w:r>
      <w:r>
        <w:rPr>
          <w:rFonts w:hint="eastAsia" w:ascii="黑体" w:hAnsi="黑体" w:eastAsia="黑体" w:cs="黑体"/>
          <w:color w:val="auto"/>
          <w:spacing w:val="-1"/>
          <w:sz w:val="24"/>
          <w:szCs w:val="24"/>
          <w:highlight w:val="none"/>
        </w:rPr>
        <w:t>。</w:t>
      </w:r>
      <w:bookmarkEnd w:id="74"/>
      <w:bookmarkEnd w:id="75"/>
    </w:p>
    <w:p w14:paraId="153EE66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9"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33.2如属于政府采购信用担保试</w:t>
      </w:r>
      <w:r>
        <w:rPr>
          <w:rFonts w:hint="eastAsia" w:ascii="黑体" w:hAnsi="黑体" w:eastAsia="黑体" w:cs="黑体"/>
          <w:color w:val="auto"/>
          <w:spacing w:val="1"/>
          <w:sz w:val="24"/>
          <w:szCs w:val="24"/>
          <w:highlight w:val="none"/>
        </w:rPr>
        <w:t>点范围内，中小型企业投标人可以自由按</w:t>
      </w:r>
      <w:r>
        <w:rPr>
          <w:rFonts w:hint="eastAsia" w:ascii="黑体" w:hAnsi="黑体" w:eastAsia="黑体" w:cs="黑体"/>
          <w:color w:val="auto"/>
          <w:spacing w:val="-2"/>
          <w:sz w:val="24"/>
          <w:szCs w:val="24"/>
          <w:highlight w:val="none"/>
        </w:rPr>
        <w:t>照财政部门的规定，采用投标担保、履约担保和融资担保。</w:t>
      </w:r>
    </w:p>
    <w:p w14:paraId="7001FC6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pacing w:val="-2"/>
          <w:sz w:val="24"/>
          <w:szCs w:val="24"/>
          <w:highlight w:val="none"/>
        </w:rPr>
      </w:pPr>
      <w:r>
        <w:rPr>
          <w:rFonts w:hint="eastAsia" w:ascii="黑体" w:hAnsi="黑体" w:eastAsia="黑体" w:cs="黑体"/>
          <w:color w:val="auto"/>
          <w:spacing w:val="-1"/>
          <w:sz w:val="24"/>
          <w:szCs w:val="24"/>
          <w:highlight w:val="none"/>
        </w:rPr>
        <w:t>33.2.1投标人递交的投标担保函和履</w:t>
      </w:r>
      <w:r>
        <w:rPr>
          <w:rFonts w:hint="eastAsia" w:ascii="黑体" w:hAnsi="黑体" w:eastAsia="黑体" w:cs="黑体"/>
          <w:color w:val="auto"/>
          <w:spacing w:val="-2"/>
          <w:sz w:val="24"/>
          <w:szCs w:val="24"/>
          <w:highlight w:val="none"/>
        </w:rPr>
        <w:t>约担保函应符合本招标文件的规定。</w:t>
      </w:r>
    </w:p>
    <w:p w14:paraId="56755D8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33.2.2中标人可以采取融资担保的形式为政府采购项目履约进行</w:t>
      </w:r>
      <w:r>
        <w:rPr>
          <w:rFonts w:hint="eastAsia" w:ascii="黑体" w:hAnsi="黑体" w:eastAsia="黑体" w:cs="黑体"/>
          <w:color w:val="auto"/>
          <w:spacing w:val="-3"/>
          <w:sz w:val="24"/>
          <w:szCs w:val="24"/>
          <w:highlight w:val="none"/>
        </w:rPr>
        <w:t>融资。</w:t>
      </w:r>
    </w:p>
    <w:p w14:paraId="5245367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33.2.3合格的政府采购专业信用担保机构见</w:t>
      </w:r>
      <w:r>
        <w:rPr>
          <w:rFonts w:hint="eastAsia" w:ascii="黑体" w:hAnsi="黑体" w:eastAsia="黑体" w:cs="黑体"/>
          <w:color w:val="auto"/>
          <w:spacing w:val="-1"/>
          <w:sz w:val="24"/>
          <w:szCs w:val="24"/>
          <w:highlight w:val="none"/>
          <w:u w:val="single" w:color="auto"/>
        </w:rPr>
        <w:t>投标人须知资料表</w:t>
      </w:r>
      <w:r>
        <w:rPr>
          <w:rFonts w:hint="eastAsia" w:ascii="黑体" w:hAnsi="黑体" w:eastAsia="黑体" w:cs="黑体"/>
          <w:color w:val="auto"/>
          <w:spacing w:val="-1"/>
          <w:sz w:val="24"/>
          <w:szCs w:val="24"/>
          <w:highlight w:val="none"/>
        </w:rPr>
        <w:t>。</w:t>
      </w:r>
    </w:p>
    <w:p w14:paraId="2679B64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34.廉洁自律规定</w:t>
      </w:r>
    </w:p>
    <w:p w14:paraId="7898EF3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34.1采购代理机构工作人员不得以不正当手段获取政府采购代理业务，不</w:t>
      </w:r>
      <w:r>
        <w:rPr>
          <w:rFonts w:hint="eastAsia" w:ascii="黑体" w:hAnsi="黑体" w:eastAsia="黑体" w:cs="黑体"/>
          <w:color w:val="auto"/>
          <w:spacing w:val="-2"/>
          <w:sz w:val="24"/>
          <w:szCs w:val="24"/>
          <w:highlight w:val="none"/>
        </w:rPr>
        <w:t>得与采购人、投标人恶意串通操纵政府采购活动。</w:t>
      </w:r>
    </w:p>
    <w:p w14:paraId="5B9734D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4" w:firstLineChars="173"/>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34.2采购代理机构工作人员不得接受采购人或者</w:t>
      </w:r>
      <w:r>
        <w:rPr>
          <w:rFonts w:hint="eastAsia" w:ascii="黑体" w:hAnsi="黑体" w:eastAsia="黑体" w:cs="黑体"/>
          <w:color w:val="auto"/>
          <w:spacing w:val="-4"/>
          <w:sz w:val="24"/>
          <w:szCs w:val="24"/>
          <w:highlight w:val="none"/>
        </w:rPr>
        <w:t>投标人组织的宴请、旅游、</w:t>
      </w:r>
      <w:r>
        <w:rPr>
          <w:rFonts w:hint="eastAsia" w:ascii="黑体" w:hAnsi="黑体" w:eastAsia="黑体" w:cs="黑体"/>
          <w:color w:val="auto"/>
          <w:sz w:val="24"/>
          <w:szCs w:val="24"/>
          <w:highlight w:val="none"/>
        </w:rPr>
        <w:t>娱乐，不得收受礼品、现金、有价证券等，不得向采购人</w:t>
      </w:r>
      <w:r>
        <w:rPr>
          <w:rFonts w:hint="eastAsia" w:ascii="黑体" w:hAnsi="黑体" w:eastAsia="黑体" w:cs="黑体"/>
          <w:color w:val="auto"/>
          <w:spacing w:val="-1"/>
          <w:sz w:val="24"/>
          <w:szCs w:val="24"/>
          <w:highlight w:val="none"/>
        </w:rPr>
        <w:t>或者投标人</w:t>
      </w:r>
      <w:r>
        <w:rPr>
          <w:rFonts w:hint="eastAsia" w:ascii="黑体" w:hAnsi="黑体" w:eastAsia="黑体" w:cs="黑体"/>
          <w:color w:val="auto"/>
          <w:spacing w:val="-3"/>
          <w:sz w:val="24"/>
          <w:szCs w:val="24"/>
          <w:highlight w:val="none"/>
        </w:rPr>
        <w:t>报销应当由个人承担的费用。</w:t>
      </w:r>
    </w:p>
    <w:p w14:paraId="512036E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34.3为强化采购代理机构内部监</w:t>
      </w:r>
      <w:r>
        <w:rPr>
          <w:rFonts w:hint="eastAsia" w:ascii="黑体" w:hAnsi="黑体" w:eastAsia="黑体" w:cs="黑体"/>
          <w:color w:val="auto"/>
          <w:spacing w:val="1"/>
          <w:sz w:val="24"/>
          <w:szCs w:val="24"/>
          <w:highlight w:val="none"/>
        </w:rPr>
        <w:t>督机制，投标人可按</w:t>
      </w:r>
      <w:r>
        <w:rPr>
          <w:rFonts w:hint="eastAsia" w:ascii="黑体" w:hAnsi="黑体" w:eastAsia="黑体" w:cs="黑体"/>
          <w:color w:val="auto"/>
          <w:spacing w:val="1"/>
          <w:sz w:val="24"/>
          <w:szCs w:val="24"/>
          <w:highlight w:val="none"/>
          <w:u w:val="single" w:color="auto"/>
        </w:rPr>
        <w:t>投标人须知资料表中</w:t>
      </w:r>
      <w:r>
        <w:rPr>
          <w:rFonts w:hint="eastAsia" w:ascii="黑体" w:hAnsi="黑体" w:eastAsia="黑体" w:cs="黑体"/>
          <w:color w:val="auto"/>
          <w:spacing w:val="-2"/>
          <w:sz w:val="24"/>
          <w:szCs w:val="24"/>
          <w:highlight w:val="none"/>
          <w:u w:val="single" w:color="auto"/>
        </w:rPr>
        <w:t>的</w:t>
      </w:r>
      <w:r>
        <w:rPr>
          <w:rFonts w:hint="eastAsia" w:ascii="黑体" w:hAnsi="黑体" w:eastAsia="黑体" w:cs="黑体"/>
          <w:color w:val="auto"/>
          <w:spacing w:val="-2"/>
          <w:sz w:val="24"/>
          <w:szCs w:val="24"/>
          <w:highlight w:val="none"/>
        </w:rPr>
        <w:t>监督电话和信箱，反映采购代理机构的廉洁自律等问题。</w:t>
      </w:r>
    </w:p>
    <w:p w14:paraId="5F8A699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35.人员回避</w:t>
      </w:r>
    </w:p>
    <w:p w14:paraId="7F7ECDB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0"/>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投标人认为采购人员及其相关人员有法律法规所列与其他投标人有利</w:t>
      </w:r>
      <w:r>
        <w:rPr>
          <w:rFonts w:hint="eastAsia" w:ascii="黑体" w:hAnsi="黑体" w:eastAsia="黑体" w:cs="黑体"/>
          <w:color w:val="auto"/>
          <w:sz w:val="24"/>
          <w:szCs w:val="24"/>
          <w:highlight w:val="none"/>
        </w:rPr>
        <w:t>害关系的，可以向采购人或采购代理机构书面提</w:t>
      </w:r>
      <w:r>
        <w:rPr>
          <w:rFonts w:hint="eastAsia" w:ascii="黑体" w:hAnsi="黑体" w:eastAsia="黑体" w:cs="黑体"/>
          <w:color w:val="auto"/>
          <w:spacing w:val="-1"/>
          <w:sz w:val="24"/>
          <w:szCs w:val="24"/>
          <w:highlight w:val="none"/>
        </w:rPr>
        <w:t>出回避申请，并说明</w:t>
      </w:r>
      <w:r>
        <w:rPr>
          <w:rFonts w:hint="eastAsia" w:ascii="黑体" w:hAnsi="黑体" w:eastAsia="黑体" w:cs="黑体"/>
          <w:color w:val="auto"/>
          <w:spacing w:val="-5"/>
          <w:sz w:val="24"/>
          <w:szCs w:val="24"/>
          <w:highlight w:val="none"/>
        </w:rPr>
        <w:t>理由。</w:t>
      </w:r>
    </w:p>
    <w:p w14:paraId="42A03B6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2"/>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36.质疑与接收</w:t>
      </w:r>
    </w:p>
    <w:p w14:paraId="5F8E4A7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36.1投标人认为招标文件、招标过程和中标</w:t>
      </w:r>
      <w:r>
        <w:rPr>
          <w:rFonts w:hint="eastAsia" w:ascii="黑体" w:hAnsi="黑体" w:eastAsia="黑体" w:cs="黑体"/>
          <w:color w:val="auto"/>
          <w:spacing w:val="-1"/>
          <w:sz w:val="24"/>
          <w:szCs w:val="24"/>
          <w:highlight w:val="none"/>
        </w:rPr>
        <w:t>结果使自己的权益受到损害的，</w:t>
      </w:r>
      <w:r>
        <w:rPr>
          <w:rFonts w:hint="eastAsia" w:ascii="黑体" w:hAnsi="黑体" w:eastAsia="黑体" w:cs="黑体"/>
          <w:color w:val="auto"/>
          <w:spacing w:val="-3"/>
          <w:sz w:val="24"/>
          <w:szCs w:val="24"/>
          <w:highlight w:val="none"/>
        </w:rPr>
        <w:t>可以根据《中华人民共和国政府采购法》、《中华人民共和国政府采购法实施条例》和《政府采购质疑和投诉办法》的有关规定，依法向采购人或其委托的采购代理机构提出质疑。</w:t>
      </w:r>
    </w:p>
    <w:p w14:paraId="54B836A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36.2质疑投标人应按照财政部制定的《政府采购质</w:t>
      </w:r>
      <w:r>
        <w:rPr>
          <w:rFonts w:hint="eastAsia" w:ascii="黑体" w:hAnsi="黑体" w:eastAsia="黑体" w:cs="黑体"/>
          <w:color w:val="auto"/>
          <w:spacing w:val="-3"/>
          <w:sz w:val="24"/>
          <w:szCs w:val="24"/>
          <w:highlight w:val="none"/>
        </w:rPr>
        <w:t>疑函范本》格式（可从财政部官方网站下载）和《政府采购质疑和投诉办法》的要求，在法定质疑期内以纸质形式提出质疑，针对同一采购程序环节的质疑应一次性提</w:t>
      </w:r>
      <w:r>
        <w:rPr>
          <w:rFonts w:hint="eastAsia" w:ascii="黑体" w:hAnsi="黑体" w:eastAsia="黑体" w:cs="黑体"/>
          <w:color w:val="auto"/>
          <w:spacing w:val="-14"/>
          <w:sz w:val="24"/>
          <w:szCs w:val="24"/>
          <w:highlight w:val="none"/>
        </w:rPr>
        <w:t>出。</w:t>
      </w:r>
    </w:p>
    <w:p w14:paraId="50ABEFA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9" w:firstLineChars="175"/>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3"/>
          <w:sz w:val="24"/>
          <w:szCs w:val="24"/>
          <w:highlight w:val="none"/>
        </w:rPr>
        <w:t>超出法定质疑期的、重复提出的、分次提出的或内容、形式不符合《政</w:t>
      </w:r>
      <w:r>
        <w:rPr>
          <w:rFonts w:hint="eastAsia" w:ascii="黑体" w:hAnsi="黑体" w:eastAsia="黑体" w:cs="黑体"/>
          <w:color w:val="auto"/>
          <w:spacing w:val="-1"/>
          <w:sz w:val="24"/>
          <w:szCs w:val="24"/>
          <w:highlight w:val="none"/>
        </w:rPr>
        <w:t>府采购质疑和投诉办法》的，质疑投标人将依法承担不利后果。</w:t>
      </w:r>
    </w:p>
    <w:p w14:paraId="1F34F59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textAlignment w:val="baseline"/>
        <w:rPr>
          <w:rFonts w:hint="eastAsia" w:ascii="黑体" w:hAnsi="黑体" w:eastAsia="黑体" w:cs="黑体"/>
          <w:b/>
          <w:bCs/>
          <w:color w:val="auto"/>
          <w:sz w:val="24"/>
          <w:szCs w:val="24"/>
          <w:highlight w:val="none"/>
        </w:rPr>
      </w:pPr>
      <w:r>
        <w:rPr>
          <w:rFonts w:hint="eastAsia" w:ascii="黑体" w:hAnsi="黑体" w:eastAsia="黑体" w:cs="黑体"/>
          <w:color w:val="auto"/>
          <w:spacing w:val="-2"/>
          <w:sz w:val="24"/>
          <w:szCs w:val="24"/>
          <w:highlight w:val="none"/>
        </w:rPr>
        <w:t>36.3采购代理机构质疑函接收部门、联系电话和通讯地</w:t>
      </w:r>
      <w:r>
        <w:rPr>
          <w:rFonts w:hint="eastAsia" w:ascii="黑体" w:hAnsi="黑体" w:eastAsia="黑体" w:cs="黑体"/>
          <w:color w:val="auto"/>
          <w:spacing w:val="-3"/>
          <w:sz w:val="24"/>
          <w:szCs w:val="24"/>
          <w:highlight w:val="none"/>
        </w:rPr>
        <w:t>址,见</w:t>
      </w:r>
      <w:r>
        <w:rPr>
          <w:rFonts w:hint="eastAsia" w:ascii="黑体" w:hAnsi="黑体" w:eastAsia="黑体" w:cs="黑体"/>
          <w:b/>
          <w:bCs/>
          <w:color w:val="auto"/>
          <w:spacing w:val="-3"/>
          <w:sz w:val="24"/>
          <w:szCs w:val="24"/>
          <w:highlight w:val="none"/>
          <w:u w:val="single" w:color="auto"/>
        </w:rPr>
        <w:t>投标人须知资料表。</w:t>
      </w:r>
    </w:p>
    <w:p w14:paraId="24AD2B8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textAlignment w:val="baseline"/>
        <w:outlineLvl w:val="1"/>
        <w:rPr>
          <w:rFonts w:hint="eastAsia" w:ascii="黑体" w:hAnsi="黑体" w:eastAsia="黑体" w:cs="黑体"/>
          <w:color w:val="auto"/>
          <w:sz w:val="24"/>
          <w:szCs w:val="24"/>
          <w:highlight w:val="none"/>
        </w:rPr>
      </w:pPr>
      <w:bookmarkStart w:id="76" w:name="_Toc3012"/>
      <w:bookmarkStart w:id="77" w:name="_Toc26157"/>
      <w:r>
        <w:rPr>
          <w:rFonts w:hint="eastAsia" w:ascii="黑体" w:hAnsi="黑体" w:eastAsia="黑体" w:cs="黑体"/>
          <w:color w:val="auto"/>
          <w:spacing w:val="-2"/>
          <w:sz w:val="24"/>
          <w:szCs w:val="24"/>
          <w:highlight w:val="none"/>
        </w:rPr>
        <w:t>36.4质疑的提出</w:t>
      </w:r>
      <w:bookmarkEnd w:id="76"/>
      <w:bookmarkEnd w:id="77"/>
    </w:p>
    <w:p w14:paraId="0D336D8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36.5本采购文件中所称质疑及答复，是指参加本次采购活</w:t>
      </w:r>
      <w:r>
        <w:rPr>
          <w:rFonts w:hint="eastAsia" w:ascii="黑体" w:hAnsi="黑体" w:eastAsia="黑体" w:cs="黑体"/>
          <w:color w:val="auto"/>
          <w:spacing w:val="-3"/>
          <w:sz w:val="24"/>
          <w:szCs w:val="24"/>
          <w:highlight w:val="none"/>
        </w:rPr>
        <w:t>动的投标人对政府采购活动中的采购文件、采购过程和成交结果向采购方提出质疑，采购</w:t>
      </w:r>
      <w:r>
        <w:rPr>
          <w:rFonts w:hint="eastAsia" w:ascii="黑体" w:hAnsi="黑体" w:eastAsia="黑体" w:cs="黑体"/>
          <w:color w:val="auto"/>
          <w:spacing w:val="-2"/>
          <w:sz w:val="24"/>
          <w:szCs w:val="24"/>
          <w:highlight w:val="none"/>
        </w:rPr>
        <w:t>方答复质疑的行为。</w:t>
      </w:r>
    </w:p>
    <w:p w14:paraId="3B18923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36.6投标人认为采购文件、采购过程和成交结果使自己的权益</w:t>
      </w:r>
      <w:r>
        <w:rPr>
          <w:rFonts w:hint="eastAsia" w:ascii="黑体" w:hAnsi="黑体" w:eastAsia="黑体" w:cs="黑体"/>
          <w:color w:val="auto"/>
          <w:spacing w:val="-3"/>
          <w:sz w:val="24"/>
          <w:szCs w:val="24"/>
          <w:highlight w:val="none"/>
        </w:rPr>
        <w:t>受到损害的，</w:t>
      </w:r>
      <w:r>
        <w:rPr>
          <w:rFonts w:hint="eastAsia" w:ascii="黑体" w:hAnsi="黑体" w:eastAsia="黑体" w:cs="黑体"/>
          <w:color w:val="auto"/>
          <w:spacing w:val="-4"/>
          <w:sz w:val="24"/>
          <w:szCs w:val="24"/>
          <w:highlight w:val="none"/>
        </w:rPr>
        <w:t>可以在知道或者应知其权益受到损害之日起7个工作日内，以书面形式</w:t>
      </w:r>
      <w:r>
        <w:rPr>
          <w:rFonts w:hint="eastAsia" w:ascii="黑体" w:hAnsi="黑体" w:eastAsia="黑体" w:cs="黑体"/>
          <w:color w:val="auto"/>
          <w:spacing w:val="-2"/>
          <w:sz w:val="24"/>
          <w:szCs w:val="24"/>
          <w:highlight w:val="none"/>
        </w:rPr>
        <w:t>向采购方提出质疑。投标人应知其权益受到损害之日，是指：</w:t>
      </w:r>
    </w:p>
    <w:p w14:paraId="4AA1CCE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（一）对可以质疑的采购文件提出质疑的，为收到采购文件之日或者采</w:t>
      </w:r>
      <w:r>
        <w:rPr>
          <w:rFonts w:hint="eastAsia" w:ascii="黑体" w:hAnsi="黑体" w:eastAsia="黑体" w:cs="黑体"/>
          <w:color w:val="auto"/>
          <w:spacing w:val="-1"/>
          <w:sz w:val="24"/>
          <w:szCs w:val="24"/>
          <w:highlight w:val="none"/>
        </w:rPr>
        <w:t>购文件公告期限届满之日；</w:t>
      </w:r>
    </w:p>
    <w:p w14:paraId="25D3D17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6"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（二）对采购过程提出质疑的，为各采购程序环节结束之日；</w:t>
      </w:r>
    </w:p>
    <w:p w14:paraId="62AF162D">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6"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（三）对成交结果提出质疑的，为成交结果公</w:t>
      </w:r>
      <w:r>
        <w:rPr>
          <w:rFonts w:hint="eastAsia" w:ascii="黑体" w:hAnsi="黑体" w:eastAsia="黑体" w:cs="黑体"/>
          <w:color w:val="auto"/>
          <w:spacing w:val="-2"/>
          <w:sz w:val="24"/>
          <w:szCs w:val="24"/>
          <w:highlight w:val="none"/>
        </w:rPr>
        <w:t>告期限届满之日。</w:t>
      </w:r>
    </w:p>
    <w:p w14:paraId="6B4BDCC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36.7对可以质疑的采购文件提出质疑的，质疑人为参与</w:t>
      </w:r>
      <w:r>
        <w:rPr>
          <w:rFonts w:hint="eastAsia" w:ascii="黑体" w:hAnsi="黑体" w:eastAsia="黑体" w:cs="黑体"/>
          <w:color w:val="auto"/>
          <w:spacing w:val="-3"/>
          <w:sz w:val="24"/>
          <w:szCs w:val="24"/>
          <w:highlight w:val="none"/>
        </w:rPr>
        <w:t>本项目的报价方或潜在报价方。可质疑的文件为采购公告以及采购文件（包括属于其组成部</w:t>
      </w:r>
      <w:r>
        <w:rPr>
          <w:rFonts w:hint="eastAsia" w:ascii="黑体" w:hAnsi="黑体" w:eastAsia="黑体" w:cs="黑体"/>
          <w:color w:val="auto"/>
          <w:spacing w:val="-2"/>
          <w:sz w:val="24"/>
          <w:szCs w:val="24"/>
          <w:highlight w:val="none"/>
        </w:rPr>
        <w:t>分的澄清、修改、补充文件和评审标准、合同文本等）。</w:t>
      </w:r>
    </w:p>
    <w:p w14:paraId="55E164C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42"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36.8对采购过程和成交结果提出质疑的，质疑人为直接参与本项目的报价</w:t>
      </w:r>
      <w:r>
        <w:rPr>
          <w:rFonts w:hint="eastAsia" w:ascii="黑体" w:hAnsi="黑体" w:eastAsia="黑体" w:cs="黑体"/>
          <w:color w:val="auto"/>
          <w:spacing w:val="2"/>
          <w:sz w:val="24"/>
          <w:szCs w:val="24"/>
          <w:highlight w:val="none"/>
        </w:rPr>
        <w:t>方。采购过程,即从采购项目信息公告发布起到成交结果公告止，</w:t>
      </w:r>
      <w:r>
        <w:rPr>
          <w:rFonts w:hint="eastAsia" w:ascii="黑体" w:hAnsi="黑体" w:eastAsia="黑体" w:cs="黑体"/>
          <w:color w:val="auto"/>
          <w:spacing w:val="1"/>
          <w:sz w:val="24"/>
          <w:szCs w:val="24"/>
          <w:highlight w:val="none"/>
        </w:rPr>
        <w:t>包括</w:t>
      </w:r>
      <w:r>
        <w:rPr>
          <w:rFonts w:hint="eastAsia" w:ascii="黑体" w:hAnsi="黑体" w:eastAsia="黑体" w:cs="黑体"/>
          <w:color w:val="auto"/>
          <w:spacing w:val="-3"/>
          <w:sz w:val="24"/>
          <w:szCs w:val="24"/>
          <w:highlight w:val="none"/>
        </w:rPr>
        <w:t>采购文件的发出、提交投标文件、投标文件开启、评审等各个采购程序环节。</w:t>
      </w:r>
    </w:p>
    <w:p w14:paraId="5DC953B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outlineLvl w:val="1"/>
        <w:rPr>
          <w:rFonts w:hint="eastAsia" w:ascii="黑体" w:hAnsi="黑体" w:eastAsia="黑体" w:cs="黑体"/>
          <w:color w:val="auto"/>
          <w:sz w:val="24"/>
          <w:szCs w:val="24"/>
          <w:highlight w:val="none"/>
        </w:rPr>
      </w:pPr>
      <w:bookmarkStart w:id="78" w:name="_Toc21053"/>
      <w:bookmarkStart w:id="79" w:name="_Toc26833"/>
      <w:r>
        <w:rPr>
          <w:rFonts w:hint="eastAsia" w:ascii="黑体" w:hAnsi="黑体" w:eastAsia="黑体" w:cs="黑体"/>
          <w:color w:val="auto"/>
          <w:spacing w:val="-3"/>
          <w:sz w:val="24"/>
          <w:szCs w:val="24"/>
          <w:highlight w:val="none"/>
        </w:rPr>
        <w:t>36.9提出质疑应当符合下列条件：</w:t>
      </w:r>
      <w:bookmarkEnd w:id="78"/>
      <w:bookmarkEnd w:id="79"/>
    </w:p>
    <w:p w14:paraId="51983ED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（一）质疑主体应当符合有关规定；</w:t>
      </w:r>
    </w:p>
    <w:p w14:paraId="195BE5E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9"/>
        <w:textAlignment w:val="baseline"/>
        <w:rPr>
          <w:rFonts w:hint="eastAsia" w:ascii="黑体" w:hAnsi="黑体" w:eastAsia="黑体" w:cs="黑体"/>
          <w:color w:val="auto"/>
          <w:spacing w:val="-5"/>
          <w:sz w:val="24"/>
          <w:szCs w:val="24"/>
          <w:highlight w:val="none"/>
        </w:rPr>
      </w:pPr>
      <w:r>
        <w:rPr>
          <w:rFonts w:hint="eastAsia" w:ascii="黑体" w:hAnsi="黑体" w:eastAsia="黑体" w:cs="黑体"/>
          <w:color w:val="auto"/>
          <w:spacing w:val="-5"/>
          <w:sz w:val="24"/>
          <w:szCs w:val="24"/>
          <w:highlight w:val="none"/>
        </w:rPr>
        <w:t>（二）在质疑法定期限内提出；</w:t>
      </w:r>
    </w:p>
    <w:p w14:paraId="344E8D0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（三）属于可以提出质疑的政府采购事项受理范围和本项目采购人</w:t>
      </w:r>
      <w:r>
        <w:rPr>
          <w:rFonts w:hint="eastAsia" w:ascii="黑体" w:hAnsi="黑体" w:eastAsia="黑体" w:cs="黑体"/>
          <w:color w:val="auto"/>
          <w:spacing w:val="-4"/>
          <w:sz w:val="24"/>
          <w:szCs w:val="24"/>
          <w:highlight w:val="none"/>
        </w:rPr>
        <w:t>的管</w:t>
      </w:r>
      <w:r>
        <w:rPr>
          <w:rFonts w:hint="eastAsia" w:ascii="黑体" w:hAnsi="黑体" w:eastAsia="黑体" w:cs="黑体"/>
          <w:color w:val="auto"/>
          <w:spacing w:val="-11"/>
          <w:sz w:val="24"/>
          <w:szCs w:val="24"/>
          <w:highlight w:val="none"/>
        </w:rPr>
        <w:t>辖权范围；</w:t>
      </w:r>
    </w:p>
    <w:p w14:paraId="240A43F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（四）政府采购法律、法规、规章规定的其他条件。</w:t>
      </w:r>
    </w:p>
    <w:p w14:paraId="27B0AAD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72"/>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40提出质疑应当具有明确的请求和提供必要的证明材料。明确的请求,即</w:t>
      </w:r>
      <w:r>
        <w:rPr>
          <w:rFonts w:hint="eastAsia" w:ascii="黑体" w:hAnsi="黑体" w:eastAsia="黑体" w:cs="黑体"/>
          <w:color w:val="auto"/>
          <w:spacing w:val="-3"/>
          <w:sz w:val="24"/>
          <w:szCs w:val="24"/>
          <w:highlight w:val="none"/>
        </w:rPr>
        <w:t>质疑人在质疑函中提出的，要求采购方对其予以支持的主张。必要的证</w:t>
      </w:r>
      <w:r>
        <w:rPr>
          <w:rFonts w:hint="eastAsia" w:ascii="黑体" w:hAnsi="黑体" w:eastAsia="黑体" w:cs="黑体"/>
          <w:color w:val="auto"/>
          <w:spacing w:val="-4"/>
          <w:sz w:val="24"/>
          <w:szCs w:val="24"/>
          <w:highlight w:val="none"/>
        </w:rPr>
        <w:t>明材料,即能够证明质疑人的质疑请求成立的必要材料，包括相关证据、依据和其他有关材料。</w:t>
      </w:r>
    </w:p>
    <w:p w14:paraId="431005F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5" w:firstLineChars="172"/>
        <w:textAlignment w:val="baseline"/>
        <w:rPr>
          <w:rFonts w:hint="eastAsia" w:ascii="黑体" w:hAnsi="黑体" w:eastAsia="黑体" w:cs="黑体"/>
          <w:color w:val="auto"/>
          <w:spacing w:val="-2"/>
          <w:sz w:val="24"/>
          <w:szCs w:val="24"/>
          <w:highlight w:val="none"/>
        </w:rPr>
      </w:pPr>
      <w:r>
        <w:rPr>
          <w:rFonts w:hint="eastAsia" w:ascii="黑体" w:hAnsi="黑体" w:eastAsia="黑体" w:cs="黑体"/>
          <w:color w:val="auto"/>
          <w:spacing w:val="-2"/>
          <w:sz w:val="24"/>
          <w:szCs w:val="24"/>
          <w:highlight w:val="none"/>
        </w:rPr>
        <w:t>40.1质疑人所提供的证明材料应当具有真实性、合法性以及与质疑事</w:t>
      </w:r>
      <w:r>
        <w:rPr>
          <w:rFonts w:hint="eastAsia" w:ascii="黑体" w:hAnsi="黑体" w:eastAsia="黑体" w:cs="黑体"/>
          <w:color w:val="auto"/>
          <w:spacing w:val="-3"/>
          <w:sz w:val="24"/>
          <w:szCs w:val="24"/>
          <w:highlight w:val="none"/>
        </w:rPr>
        <w:t>项的关</w:t>
      </w:r>
      <w:r>
        <w:rPr>
          <w:rFonts w:hint="eastAsia" w:ascii="黑体" w:hAnsi="黑体" w:eastAsia="黑体" w:cs="黑体"/>
          <w:color w:val="auto"/>
          <w:spacing w:val="-2"/>
          <w:sz w:val="24"/>
          <w:szCs w:val="24"/>
          <w:highlight w:val="none"/>
        </w:rPr>
        <w:t>联性和证明力，否则不能作为认定该质疑事项成立的依据。</w:t>
      </w:r>
    </w:p>
    <w:p w14:paraId="63B553D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5" w:firstLineChars="172"/>
        <w:textAlignment w:val="baseline"/>
        <w:outlineLvl w:val="1"/>
        <w:rPr>
          <w:rFonts w:hint="eastAsia" w:ascii="黑体" w:hAnsi="黑体" w:eastAsia="黑体" w:cs="黑体"/>
          <w:color w:val="auto"/>
          <w:sz w:val="24"/>
          <w:szCs w:val="24"/>
          <w:highlight w:val="none"/>
        </w:rPr>
      </w:pPr>
      <w:bookmarkStart w:id="80" w:name="_Toc9151"/>
      <w:bookmarkStart w:id="81" w:name="_Toc12409"/>
      <w:r>
        <w:rPr>
          <w:rFonts w:hint="eastAsia" w:ascii="黑体" w:hAnsi="黑体" w:eastAsia="黑体" w:cs="黑体"/>
          <w:color w:val="auto"/>
          <w:spacing w:val="-2"/>
          <w:sz w:val="24"/>
          <w:szCs w:val="24"/>
          <w:highlight w:val="none"/>
        </w:rPr>
        <w:t>40.2质疑人提出质疑时应当提交质疑函。质疑函包括下列内容：</w:t>
      </w:r>
      <w:bookmarkEnd w:id="80"/>
      <w:bookmarkEnd w:id="81"/>
    </w:p>
    <w:p w14:paraId="2D9B8DB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（一）提出质疑的质疑人的名称、地址、邮编、联系人及联系电话等；</w:t>
      </w:r>
    </w:p>
    <w:p w14:paraId="1BEB74D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1"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（二）质疑项目的名称、编号；</w:t>
      </w:r>
    </w:p>
    <w:p w14:paraId="5860382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0"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（三）质疑事项；</w:t>
      </w:r>
    </w:p>
    <w:p w14:paraId="46F8189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（四）事实依据和证明材料；</w:t>
      </w:r>
    </w:p>
    <w:p w14:paraId="3E02811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0"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（五）法律依据；</w:t>
      </w:r>
    </w:p>
    <w:p w14:paraId="3D1CADD0">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8"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（六）提出质疑的日期。</w:t>
      </w:r>
    </w:p>
    <w:p w14:paraId="21F5750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质疑函采用实名制。质疑人为自然人的应当由本人签字，并附有效身份证明文件；质疑人为法人或者非法人组织的应当由法定代表人或者负责</w:t>
      </w:r>
      <w:r>
        <w:rPr>
          <w:rFonts w:hint="eastAsia" w:ascii="黑体" w:hAnsi="黑体" w:eastAsia="黑体" w:cs="黑体"/>
          <w:color w:val="auto"/>
          <w:spacing w:val="-2"/>
          <w:sz w:val="24"/>
          <w:szCs w:val="24"/>
          <w:highlight w:val="none"/>
        </w:rPr>
        <w:t>人签字并加盖公章，并附有效身份证明文件。</w:t>
      </w:r>
    </w:p>
    <w:p w14:paraId="1E7C841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40.3质疑人可以委托代理人进行质疑。代理人应当提交授权委托书</w:t>
      </w:r>
      <w:r>
        <w:rPr>
          <w:rFonts w:hint="eastAsia" w:ascii="黑体" w:hAnsi="黑体" w:eastAsia="黑体" w:cs="黑体"/>
          <w:color w:val="auto"/>
          <w:spacing w:val="-3"/>
          <w:sz w:val="24"/>
          <w:szCs w:val="24"/>
          <w:highlight w:val="none"/>
        </w:rPr>
        <w:t>。授权委</w:t>
      </w:r>
      <w:r>
        <w:rPr>
          <w:rFonts w:hint="eastAsia" w:ascii="黑体" w:hAnsi="黑体" w:eastAsia="黑体" w:cs="黑体"/>
          <w:color w:val="auto"/>
          <w:spacing w:val="-1"/>
          <w:sz w:val="24"/>
          <w:szCs w:val="24"/>
          <w:highlight w:val="none"/>
        </w:rPr>
        <w:t>托书应当载明委托代理的具体权限、期限和相关事项。</w:t>
      </w:r>
    </w:p>
    <w:p w14:paraId="3D16F38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1" w:firstLineChars="177"/>
        <w:textAlignment w:val="baseline"/>
        <w:outlineLvl w:val="1"/>
        <w:rPr>
          <w:rFonts w:hint="eastAsia" w:ascii="黑体" w:hAnsi="黑体" w:eastAsia="黑体" w:cs="黑体"/>
          <w:color w:val="auto"/>
          <w:sz w:val="24"/>
          <w:szCs w:val="24"/>
          <w:highlight w:val="none"/>
        </w:rPr>
      </w:pPr>
      <w:bookmarkStart w:id="82" w:name="_Toc18429"/>
      <w:bookmarkStart w:id="83" w:name="_Toc4054"/>
      <w:r>
        <w:rPr>
          <w:rFonts w:hint="eastAsia" w:ascii="黑体" w:hAnsi="黑体" w:eastAsia="黑体" w:cs="黑体"/>
          <w:color w:val="auto"/>
          <w:spacing w:val="-1"/>
          <w:sz w:val="24"/>
          <w:szCs w:val="24"/>
          <w:highlight w:val="none"/>
        </w:rPr>
        <w:t>40.4质疑的审查和受理</w:t>
      </w:r>
      <w:bookmarkEnd w:id="82"/>
      <w:bookmarkEnd w:id="83"/>
    </w:p>
    <w:p w14:paraId="24020FD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4"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采购方在收到质疑函后应当及时审查是否符合质疑受理条件，对符合质疑受理条件的，及时予以受理。</w:t>
      </w:r>
    </w:p>
    <w:p w14:paraId="76C31F4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4" w:firstLineChars="177"/>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40.5对不符合质疑受理条件的，分别按照下列不同情</w:t>
      </w:r>
      <w:r>
        <w:rPr>
          <w:rFonts w:hint="eastAsia" w:ascii="黑体" w:hAnsi="黑体" w:eastAsia="黑体" w:cs="黑体"/>
          <w:color w:val="auto"/>
          <w:spacing w:val="-1"/>
          <w:sz w:val="24"/>
          <w:szCs w:val="24"/>
          <w:highlight w:val="none"/>
        </w:rPr>
        <w:t>形予以处理：</w:t>
      </w:r>
    </w:p>
    <w:p w14:paraId="7511F88C">
      <w:pPr>
        <w:pStyle w:val="10"/>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0"/>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9"/>
          <w:sz w:val="24"/>
          <w:szCs w:val="24"/>
          <w:highlight w:val="none"/>
        </w:rPr>
        <w:t>（一）质疑函内容不符合规定的，告知质疑人进行修改并重新提出质疑。</w:t>
      </w:r>
      <w:r>
        <w:rPr>
          <w:rFonts w:hint="eastAsia" w:ascii="黑体" w:hAnsi="黑体" w:eastAsia="黑体" w:cs="黑体"/>
          <w:color w:val="auto"/>
          <w:spacing w:val="-3"/>
          <w:sz w:val="24"/>
          <w:szCs w:val="24"/>
          <w:highlight w:val="none"/>
        </w:rPr>
        <w:t>修改后质疑事项仍不具体、不明确或者最终递交质疑函的时间超过质疑</w:t>
      </w:r>
      <w:r>
        <w:rPr>
          <w:rFonts w:hint="eastAsia" w:ascii="黑体" w:hAnsi="黑体" w:eastAsia="黑体" w:cs="黑体"/>
          <w:color w:val="auto"/>
          <w:spacing w:val="-6"/>
          <w:sz w:val="24"/>
          <w:szCs w:val="24"/>
          <w:highlight w:val="none"/>
        </w:rPr>
        <w:t>法定期限的，不予受理</w:t>
      </w:r>
      <w:r>
        <w:rPr>
          <w:rFonts w:hint="eastAsia" w:ascii="黑体" w:hAnsi="黑体" w:eastAsia="黑体" w:cs="黑体"/>
          <w:color w:val="auto"/>
          <w:spacing w:val="-6"/>
          <w:sz w:val="24"/>
          <w:szCs w:val="24"/>
          <w:highlight w:val="none"/>
          <w:lang w:eastAsia="zh-CN"/>
        </w:rPr>
        <w:t>；</w:t>
      </w:r>
    </w:p>
    <w:p w14:paraId="22251E3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（二）质疑主体不符合有关规定的，告知质</w:t>
      </w:r>
      <w:r>
        <w:rPr>
          <w:rFonts w:hint="eastAsia" w:ascii="黑体" w:hAnsi="黑体" w:eastAsia="黑体" w:cs="黑体"/>
          <w:color w:val="auto"/>
          <w:spacing w:val="-3"/>
          <w:sz w:val="24"/>
          <w:szCs w:val="24"/>
          <w:highlight w:val="none"/>
        </w:rPr>
        <w:t>疑人不予受理；</w:t>
      </w:r>
    </w:p>
    <w:p w14:paraId="6328A87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（三）超过质疑法定期限提出质疑的，告知质疑人不予受理；</w:t>
      </w:r>
    </w:p>
    <w:p w14:paraId="6E3A286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（四）对不属于可以提出质疑的政府采购事项提出质疑的，</w:t>
      </w:r>
      <w:r>
        <w:rPr>
          <w:rFonts w:hint="eastAsia" w:ascii="黑体" w:hAnsi="黑体" w:eastAsia="黑体" w:cs="黑体"/>
          <w:color w:val="auto"/>
          <w:spacing w:val="-4"/>
          <w:sz w:val="24"/>
          <w:szCs w:val="24"/>
          <w:highlight w:val="none"/>
        </w:rPr>
        <w:t>告知质疑人</w:t>
      </w:r>
      <w:r>
        <w:rPr>
          <w:rFonts w:hint="eastAsia" w:ascii="黑体" w:hAnsi="黑体" w:eastAsia="黑体" w:cs="黑体"/>
          <w:color w:val="auto"/>
          <w:spacing w:val="-12"/>
          <w:sz w:val="24"/>
          <w:szCs w:val="24"/>
          <w:highlight w:val="none"/>
        </w:rPr>
        <w:t>不予受理；</w:t>
      </w:r>
    </w:p>
    <w:p w14:paraId="6E9FFA1E">
      <w:pPr>
        <w:pStyle w:val="10"/>
        <w:keepNext w:val="0"/>
        <w:keepLines w:val="0"/>
        <w:pageBreakBefore w:val="0"/>
        <w:widowControl/>
        <w:kinsoku w:val="0"/>
        <w:wordWrap w:val="0"/>
        <w:overflowPunct/>
        <w:topLinePunct/>
        <w:autoSpaceDE/>
        <w:autoSpaceDN/>
        <w:bidi w:val="0"/>
        <w:adjustRightInd w:val="0"/>
        <w:snapToGrid w:val="0"/>
        <w:spacing w:line="360" w:lineRule="auto"/>
        <w:ind w:left="0" w:leftChars="0" w:right="0" w:firstLine="6"/>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3"/>
          <w:sz w:val="24"/>
          <w:szCs w:val="24"/>
          <w:highlight w:val="none"/>
        </w:rPr>
        <w:t>（五）质疑不属于本项目采购方管辖的，告知质疑人向有管辖</w:t>
      </w:r>
      <w:r>
        <w:rPr>
          <w:rFonts w:hint="eastAsia" w:ascii="黑体" w:hAnsi="黑体" w:eastAsia="黑体" w:cs="黑体"/>
          <w:color w:val="auto"/>
          <w:spacing w:val="-4"/>
          <w:sz w:val="24"/>
          <w:szCs w:val="24"/>
          <w:highlight w:val="none"/>
        </w:rPr>
        <w:t>权的采购</w:t>
      </w:r>
      <w:r>
        <w:rPr>
          <w:rFonts w:hint="eastAsia" w:ascii="黑体" w:hAnsi="黑体" w:eastAsia="黑体" w:cs="黑体"/>
          <w:color w:val="auto"/>
          <w:spacing w:val="-2"/>
          <w:sz w:val="24"/>
          <w:szCs w:val="24"/>
          <w:highlight w:val="none"/>
        </w:rPr>
        <w:t>人提出质疑</w:t>
      </w:r>
      <w:r>
        <w:rPr>
          <w:rFonts w:hint="eastAsia" w:ascii="黑体" w:hAnsi="黑体" w:eastAsia="黑体" w:cs="黑体"/>
          <w:color w:val="auto"/>
          <w:spacing w:val="-2"/>
          <w:sz w:val="24"/>
          <w:szCs w:val="24"/>
          <w:highlight w:val="none"/>
          <w:lang w:eastAsia="zh-CN"/>
        </w:rPr>
        <w:t>；</w:t>
      </w:r>
    </w:p>
    <w:p w14:paraId="5E15811A">
      <w:pPr>
        <w:pStyle w:val="10"/>
        <w:keepNext w:val="0"/>
        <w:keepLines w:val="0"/>
        <w:pageBreakBefore w:val="0"/>
        <w:widowControl/>
        <w:kinsoku/>
        <w:wordWrap w:val="0"/>
        <w:overflowPunct/>
        <w:topLinePunct w:val="0"/>
        <w:autoSpaceDE/>
        <w:autoSpaceDN/>
        <w:bidi w:val="0"/>
        <w:adjustRightInd w:val="0"/>
        <w:snapToGrid w:val="0"/>
        <w:spacing w:line="360" w:lineRule="auto"/>
        <w:ind w:right="0"/>
        <w:textAlignment w:val="baseline"/>
        <w:rPr>
          <w:rFonts w:hint="eastAsia" w:ascii="黑体" w:hAnsi="黑体" w:eastAsia="黑体" w:cs="黑体"/>
          <w:color w:val="auto"/>
          <w:spacing w:val="-3"/>
          <w:sz w:val="24"/>
          <w:szCs w:val="24"/>
          <w:highlight w:val="none"/>
        </w:rPr>
      </w:pPr>
      <w:r>
        <w:rPr>
          <w:rFonts w:hint="eastAsia" w:ascii="黑体" w:hAnsi="黑体" w:eastAsia="黑体" w:cs="黑体"/>
          <w:color w:val="auto"/>
          <w:spacing w:val="-3"/>
          <w:sz w:val="24"/>
          <w:szCs w:val="24"/>
          <w:highlight w:val="none"/>
        </w:rPr>
        <w:t>（六）质疑不符合其他条件的，告知质疑人不予受理。</w:t>
      </w:r>
    </w:p>
    <w:p w14:paraId="72DF057A">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outlineLvl w:val="1"/>
        <w:rPr>
          <w:rFonts w:hint="eastAsia" w:ascii="黑体" w:hAnsi="黑体" w:eastAsia="黑体" w:cs="黑体"/>
          <w:color w:val="auto"/>
          <w:sz w:val="24"/>
          <w:szCs w:val="24"/>
          <w:highlight w:val="none"/>
        </w:rPr>
      </w:pPr>
      <w:bookmarkStart w:id="84" w:name="_Toc1183"/>
      <w:bookmarkStart w:id="85" w:name="_Toc21818"/>
      <w:r>
        <w:rPr>
          <w:rFonts w:hint="eastAsia" w:ascii="黑体" w:hAnsi="黑体" w:eastAsia="黑体" w:cs="黑体"/>
          <w:color w:val="auto"/>
          <w:spacing w:val="-1"/>
          <w:sz w:val="24"/>
          <w:szCs w:val="24"/>
          <w:highlight w:val="none"/>
        </w:rPr>
        <w:t>40.6质疑的处理和答复</w:t>
      </w:r>
      <w:bookmarkEnd w:id="84"/>
      <w:bookmarkEnd w:id="85"/>
    </w:p>
    <w:p w14:paraId="7D300C4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40.7采购方受理质疑后，将及时把质疑函发送给被质疑人，并要求其</w:t>
      </w:r>
      <w:r>
        <w:rPr>
          <w:rFonts w:hint="eastAsia" w:ascii="黑体" w:hAnsi="黑体" w:eastAsia="黑体" w:cs="黑体"/>
          <w:color w:val="auto"/>
          <w:spacing w:val="-3"/>
          <w:sz w:val="24"/>
          <w:szCs w:val="24"/>
          <w:highlight w:val="none"/>
        </w:rPr>
        <w:t>在一定</w:t>
      </w:r>
      <w:r>
        <w:rPr>
          <w:rFonts w:hint="eastAsia" w:ascii="黑体" w:hAnsi="黑体" w:eastAsia="黑体" w:cs="黑体"/>
          <w:color w:val="auto"/>
          <w:spacing w:val="-1"/>
          <w:sz w:val="24"/>
          <w:szCs w:val="24"/>
          <w:highlight w:val="none"/>
        </w:rPr>
        <w:t>限期人提交书面答复，同时提供有关证据、依据和相关材料。</w:t>
      </w:r>
    </w:p>
    <w:p w14:paraId="35A06D0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7" w:firstLineChars="17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40.8对于质疑事项中涉及的问题较多、情况比较复杂的，为了全面查清事实、</w:t>
      </w:r>
      <w:r>
        <w:rPr>
          <w:rFonts w:hint="eastAsia" w:ascii="黑体" w:hAnsi="黑体" w:eastAsia="黑体" w:cs="黑体"/>
          <w:color w:val="auto"/>
          <w:spacing w:val="-3"/>
          <w:sz w:val="24"/>
          <w:szCs w:val="24"/>
          <w:highlight w:val="none"/>
        </w:rPr>
        <w:t>取得充分的证据，采购方认为有必要时，可以进行调查取证或者组织质</w:t>
      </w:r>
      <w:r>
        <w:rPr>
          <w:rFonts w:hint="eastAsia" w:ascii="黑体" w:hAnsi="黑体" w:eastAsia="黑体" w:cs="黑体"/>
          <w:color w:val="auto"/>
          <w:spacing w:val="-13"/>
          <w:sz w:val="24"/>
          <w:szCs w:val="24"/>
          <w:highlight w:val="none"/>
        </w:rPr>
        <w:t>证。</w:t>
      </w:r>
    </w:p>
    <w:p w14:paraId="557569E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40.9对评审过程、成交结果提出质疑的，采购方可以组织原评审委员会协助</w:t>
      </w:r>
      <w:r>
        <w:rPr>
          <w:rFonts w:hint="eastAsia" w:ascii="黑体" w:hAnsi="黑体" w:eastAsia="黑体" w:cs="黑体"/>
          <w:color w:val="auto"/>
          <w:spacing w:val="-8"/>
          <w:sz w:val="24"/>
          <w:szCs w:val="24"/>
          <w:highlight w:val="none"/>
        </w:rPr>
        <w:t>答复质疑。</w:t>
      </w:r>
    </w:p>
    <w:p w14:paraId="30E4C4F3">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pacing w:val="-2"/>
          <w:sz w:val="24"/>
          <w:szCs w:val="24"/>
          <w:highlight w:val="none"/>
        </w:rPr>
      </w:pPr>
      <w:r>
        <w:rPr>
          <w:rFonts w:hint="eastAsia" w:ascii="黑体" w:hAnsi="黑体" w:eastAsia="黑体" w:cs="黑体"/>
          <w:color w:val="auto"/>
          <w:spacing w:val="-1"/>
          <w:sz w:val="24"/>
          <w:szCs w:val="24"/>
          <w:highlight w:val="none"/>
        </w:rPr>
        <w:t>41质疑处理过程中，质疑人书面申请撤</w:t>
      </w:r>
      <w:r>
        <w:rPr>
          <w:rFonts w:hint="eastAsia" w:ascii="黑体" w:hAnsi="黑体" w:eastAsia="黑体" w:cs="黑体"/>
          <w:color w:val="auto"/>
          <w:spacing w:val="-2"/>
          <w:sz w:val="24"/>
          <w:szCs w:val="24"/>
          <w:highlight w:val="none"/>
        </w:rPr>
        <w:t>回质疑的，将终止质疑处理程序。</w:t>
      </w:r>
    </w:p>
    <w:p w14:paraId="6000B2D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41.1质疑人拒绝配合采购方依法对质疑进行调查处理的，采购方将按</w:t>
      </w:r>
      <w:r>
        <w:rPr>
          <w:rFonts w:hint="eastAsia" w:ascii="黑体" w:hAnsi="黑体" w:eastAsia="黑体" w:cs="黑体"/>
          <w:color w:val="auto"/>
          <w:spacing w:val="-3"/>
          <w:sz w:val="24"/>
          <w:szCs w:val="24"/>
          <w:highlight w:val="none"/>
        </w:rPr>
        <w:t>质疑人</w:t>
      </w:r>
      <w:r>
        <w:rPr>
          <w:rFonts w:hint="eastAsia" w:ascii="黑体" w:hAnsi="黑体" w:eastAsia="黑体" w:cs="黑体"/>
          <w:color w:val="auto"/>
          <w:spacing w:val="-4"/>
          <w:sz w:val="24"/>
          <w:szCs w:val="24"/>
          <w:highlight w:val="none"/>
        </w:rPr>
        <w:t>自动撤回质疑处理；被质疑人拒绝配合采购方依法对质疑进行调查处理的，采购方将视同其认可质疑事项。</w:t>
      </w:r>
    </w:p>
    <w:p w14:paraId="34C1DB0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41.2采购方将在正式受理质疑后7个工作日内作出答复，但处理质疑需要进行调查取证、组织专家评审、质疑人及被质疑人提交或补正材料等所需</w:t>
      </w:r>
      <w:r>
        <w:rPr>
          <w:rFonts w:hint="eastAsia" w:ascii="黑体" w:hAnsi="黑体" w:eastAsia="黑体" w:cs="黑体"/>
          <w:color w:val="auto"/>
          <w:spacing w:val="-2"/>
          <w:sz w:val="24"/>
          <w:szCs w:val="24"/>
          <w:highlight w:val="none"/>
        </w:rPr>
        <w:t>时间，不计算在质疑处理期限内。</w:t>
      </w:r>
    </w:p>
    <w:p w14:paraId="6F45A2D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7" w:firstLineChars="17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41.3采购方经调查、论证、核实，认定质</w:t>
      </w:r>
      <w:r>
        <w:rPr>
          <w:rFonts w:hint="eastAsia" w:ascii="黑体" w:hAnsi="黑体" w:eastAsia="黑体" w:cs="黑体"/>
          <w:color w:val="auto"/>
          <w:spacing w:val="-8"/>
          <w:sz w:val="24"/>
          <w:szCs w:val="24"/>
          <w:highlight w:val="none"/>
        </w:rPr>
        <w:t>疑不能成立的，继续开展采购活动；</w:t>
      </w:r>
      <w:r>
        <w:rPr>
          <w:rFonts w:hint="eastAsia" w:ascii="黑体" w:hAnsi="黑体" w:eastAsia="黑体" w:cs="黑体"/>
          <w:color w:val="auto"/>
          <w:spacing w:val="-3"/>
          <w:sz w:val="24"/>
          <w:szCs w:val="24"/>
          <w:highlight w:val="none"/>
        </w:rPr>
        <w:t>认定质疑成立的，按照以下情况处理：</w:t>
      </w:r>
    </w:p>
    <w:p w14:paraId="1A1C62C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（一）对采购文件提出的质疑未对成交结果构成影响</w:t>
      </w:r>
      <w:r>
        <w:rPr>
          <w:rFonts w:hint="eastAsia" w:ascii="黑体" w:hAnsi="黑体" w:eastAsia="黑体" w:cs="黑体"/>
          <w:color w:val="auto"/>
          <w:spacing w:val="-4"/>
          <w:sz w:val="24"/>
          <w:szCs w:val="24"/>
          <w:highlight w:val="none"/>
        </w:rPr>
        <w:t>的，继续开展采购</w:t>
      </w:r>
      <w:r>
        <w:rPr>
          <w:rFonts w:hint="eastAsia" w:ascii="黑体" w:hAnsi="黑体" w:eastAsia="黑体" w:cs="黑体"/>
          <w:color w:val="auto"/>
          <w:spacing w:val="-3"/>
          <w:sz w:val="24"/>
          <w:szCs w:val="24"/>
          <w:highlight w:val="none"/>
        </w:rPr>
        <w:t>活动；对成交结果构成影响但依法通过澄清或者修改可以继续开展采购活动的，澄清或者修改采购文件后继续开展采购活动，否则应当修改采购文件后重新开展采购活动。</w:t>
      </w:r>
    </w:p>
    <w:p w14:paraId="1B58C4D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（二）对采购过程、成交结果提出的质疑未对成交结果构</w:t>
      </w:r>
      <w:r>
        <w:rPr>
          <w:rFonts w:hint="eastAsia" w:ascii="黑体" w:hAnsi="黑体" w:eastAsia="黑体" w:cs="黑体"/>
          <w:color w:val="auto"/>
          <w:spacing w:val="-4"/>
          <w:sz w:val="24"/>
          <w:szCs w:val="24"/>
          <w:highlight w:val="none"/>
        </w:rPr>
        <w:t>成影响的，继</w:t>
      </w:r>
      <w:r>
        <w:rPr>
          <w:rFonts w:hint="eastAsia" w:ascii="黑体" w:hAnsi="黑体" w:eastAsia="黑体" w:cs="黑体"/>
          <w:color w:val="auto"/>
          <w:spacing w:val="-3"/>
          <w:sz w:val="24"/>
          <w:szCs w:val="24"/>
          <w:highlight w:val="none"/>
        </w:rPr>
        <w:t>续开展采购活动；对成交结果构成影响但合格报</w:t>
      </w:r>
      <w:r>
        <w:rPr>
          <w:rFonts w:hint="eastAsia" w:ascii="黑体" w:hAnsi="黑体" w:eastAsia="黑体" w:cs="黑体"/>
          <w:color w:val="auto"/>
          <w:spacing w:val="-4"/>
          <w:sz w:val="24"/>
          <w:szCs w:val="24"/>
          <w:highlight w:val="none"/>
        </w:rPr>
        <w:t>价方仍不少于3家时，</w:t>
      </w:r>
      <w:r>
        <w:rPr>
          <w:rFonts w:hint="eastAsia" w:ascii="黑体" w:hAnsi="黑体" w:eastAsia="黑体" w:cs="黑体"/>
          <w:color w:val="auto"/>
          <w:spacing w:val="-3"/>
          <w:sz w:val="24"/>
          <w:szCs w:val="24"/>
          <w:highlight w:val="none"/>
        </w:rPr>
        <w:t>依法从合格的成交候选人中另行确定成交报价方，否则将重新开展采购</w:t>
      </w:r>
      <w:r>
        <w:rPr>
          <w:rFonts w:hint="eastAsia" w:ascii="黑体" w:hAnsi="黑体" w:eastAsia="黑体" w:cs="黑体"/>
          <w:color w:val="auto"/>
          <w:spacing w:val="-4"/>
          <w:sz w:val="24"/>
          <w:szCs w:val="24"/>
          <w:highlight w:val="none"/>
        </w:rPr>
        <w:t>活动。</w:t>
      </w:r>
    </w:p>
    <w:p w14:paraId="5730261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1"/>
        <w:rPr>
          <w:rFonts w:hint="eastAsia" w:ascii="黑体" w:hAnsi="黑体" w:eastAsia="黑体" w:cs="黑体"/>
          <w:color w:val="auto"/>
          <w:spacing w:val="-2"/>
          <w:sz w:val="24"/>
          <w:szCs w:val="24"/>
          <w:highlight w:val="none"/>
        </w:rPr>
      </w:pPr>
      <w:bookmarkStart w:id="86" w:name="_Toc20922"/>
      <w:bookmarkStart w:id="87" w:name="_Toc13016"/>
      <w:r>
        <w:rPr>
          <w:rFonts w:hint="eastAsia" w:ascii="黑体" w:hAnsi="黑体" w:eastAsia="黑体" w:cs="黑体"/>
          <w:color w:val="auto"/>
          <w:spacing w:val="-2"/>
          <w:sz w:val="24"/>
          <w:szCs w:val="24"/>
          <w:highlight w:val="none"/>
        </w:rPr>
        <w:t>41.4采购方将书面答复质疑，质疑答复包括下列内容：</w:t>
      </w:r>
      <w:bookmarkEnd w:id="86"/>
      <w:bookmarkEnd w:id="87"/>
    </w:p>
    <w:p w14:paraId="30381D8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lang w:eastAsia="zh-CN"/>
        </w:rPr>
        <w:t>（</w:t>
      </w:r>
      <w:r>
        <w:rPr>
          <w:rFonts w:hint="eastAsia" w:ascii="黑体" w:hAnsi="黑体" w:eastAsia="黑体" w:cs="黑体"/>
          <w:color w:val="auto"/>
          <w:spacing w:val="-2"/>
          <w:sz w:val="24"/>
          <w:szCs w:val="24"/>
          <w:highlight w:val="none"/>
          <w:lang w:val="en-US" w:eastAsia="zh-CN"/>
        </w:rPr>
        <w:t>一</w:t>
      </w:r>
      <w:r>
        <w:rPr>
          <w:rFonts w:hint="eastAsia" w:ascii="黑体" w:hAnsi="黑体" w:eastAsia="黑体" w:cs="黑体"/>
          <w:color w:val="auto"/>
          <w:spacing w:val="-2"/>
          <w:sz w:val="24"/>
          <w:szCs w:val="24"/>
          <w:highlight w:val="none"/>
          <w:lang w:eastAsia="zh-CN"/>
        </w:rPr>
        <w:t>）</w:t>
      </w:r>
      <w:r>
        <w:rPr>
          <w:rFonts w:hint="eastAsia" w:ascii="黑体" w:hAnsi="黑体" w:eastAsia="黑体" w:cs="黑体"/>
          <w:color w:val="auto"/>
          <w:spacing w:val="-2"/>
          <w:sz w:val="24"/>
          <w:szCs w:val="24"/>
          <w:highlight w:val="none"/>
        </w:rPr>
        <w:t>质疑人名称；</w:t>
      </w:r>
    </w:p>
    <w:p w14:paraId="225BFF5E">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lang w:val="en-US" w:eastAsia="zh-CN"/>
        </w:rPr>
        <w:t>二</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rPr>
        <w:t>收到质疑函的日期、质疑项目名称及编号;</w:t>
      </w:r>
    </w:p>
    <w:p w14:paraId="5F68897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lang w:eastAsia="zh-CN"/>
        </w:rPr>
        <w:t>（</w:t>
      </w:r>
      <w:r>
        <w:rPr>
          <w:rFonts w:hint="eastAsia" w:ascii="黑体" w:hAnsi="黑体" w:eastAsia="黑体" w:cs="黑体"/>
          <w:color w:val="auto"/>
          <w:spacing w:val="-3"/>
          <w:sz w:val="24"/>
          <w:szCs w:val="24"/>
          <w:highlight w:val="none"/>
          <w:lang w:val="en-US" w:eastAsia="zh-CN"/>
        </w:rPr>
        <w:t>三</w:t>
      </w:r>
      <w:r>
        <w:rPr>
          <w:rFonts w:hint="eastAsia" w:ascii="黑体" w:hAnsi="黑体" w:eastAsia="黑体" w:cs="黑体"/>
          <w:color w:val="auto"/>
          <w:spacing w:val="-3"/>
          <w:sz w:val="24"/>
          <w:szCs w:val="24"/>
          <w:highlight w:val="none"/>
          <w:lang w:eastAsia="zh-CN"/>
        </w:rPr>
        <w:t>）</w:t>
      </w:r>
      <w:r>
        <w:rPr>
          <w:rFonts w:hint="eastAsia" w:ascii="黑体" w:hAnsi="黑体" w:eastAsia="黑体" w:cs="黑体"/>
          <w:color w:val="auto"/>
          <w:spacing w:val="-3"/>
          <w:sz w:val="24"/>
          <w:szCs w:val="24"/>
          <w:highlight w:val="none"/>
        </w:rPr>
        <w:t>质疑事项、质疑答复的具体内容、事实依</w:t>
      </w:r>
      <w:r>
        <w:rPr>
          <w:rFonts w:hint="eastAsia" w:ascii="黑体" w:hAnsi="黑体" w:eastAsia="黑体" w:cs="黑体"/>
          <w:color w:val="auto"/>
          <w:spacing w:val="-4"/>
          <w:sz w:val="24"/>
          <w:szCs w:val="24"/>
          <w:highlight w:val="none"/>
        </w:rPr>
        <w:t>据和法律依据；</w:t>
      </w:r>
    </w:p>
    <w:p w14:paraId="012B788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lang w:val="en-US" w:eastAsia="zh-CN"/>
        </w:rPr>
        <w:t>四</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rPr>
        <w:t>告知质疑人依法投诉的权利；</w:t>
      </w:r>
    </w:p>
    <w:p w14:paraId="61EEBB9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lang w:eastAsia="zh-CN"/>
        </w:rPr>
        <w:t>（</w:t>
      </w:r>
      <w:r>
        <w:rPr>
          <w:rFonts w:hint="eastAsia" w:ascii="黑体" w:hAnsi="黑体" w:eastAsia="黑体" w:cs="黑体"/>
          <w:color w:val="auto"/>
          <w:spacing w:val="-4"/>
          <w:sz w:val="24"/>
          <w:szCs w:val="24"/>
          <w:highlight w:val="none"/>
          <w:lang w:val="en-US" w:eastAsia="zh-CN"/>
        </w:rPr>
        <w:t>六</w:t>
      </w:r>
      <w:r>
        <w:rPr>
          <w:rFonts w:hint="eastAsia" w:ascii="黑体" w:hAnsi="黑体" w:eastAsia="黑体" w:cs="黑体"/>
          <w:color w:val="auto"/>
          <w:spacing w:val="-4"/>
          <w:sz w:val="24"/>
          <w:szCs w:val="24"/>
          <w:highlight w:val="none"/>
          <w:lang w:eastAsia="zh-CN"/>
        </w:rPr>
        <w:t>）</w:t>
      </w:r>
      <w:r>
        <w:rPr>
          <w:rFonts w:hint="eastAsia" w:ascii="黑体" w:hAnsi="黑体" w:eastAsia="黑体" w:cs="黑体"/>
          <w:color w:val="auto"/>
          <w:spacing w:val="-4"/>
          <w:sz w:val="24"/>
          <w:szCs w:val="24"/>
          <w:highlight w:val="none"/>
        </w:rPr>
        <w:t>质疑答复日期。</w:t>
      </w:r>
    </w:p>
    <w:p w14:paraId="6BC4D1A6">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41.5质疑人有下列行为之一的，属于虚假、恶意质疑，将由采购方建</w:t>
      </w:r>
      <w:r>
        <w:rPr>
          <w:rFonts w:hint="eastAsia" w:ascii="黑体" w:hAnsi="黑体" w:eastAsia="黑体" w:cs="黑体"/>
          <w:color w:val="auto"/>
          <w:spacing w:val="-3"/>
          <w:sz w:val="24"/>
          <w:szCs w:val="24"/>
          <w:highlight w:val="none"/>
        </w:rPr>
        <w:t>议财政</w:t>
      </w:r>
      <w:r>
        <w:rPr>
          <w:rFonts w:hint="eastAsia" w:ascii="黑体" w:hAnsi="黑体" w:eastAsia="黑体" w:cs="黑体"/>
          <w:color w:val="auto"/>
          <w:spacing w:val="-9"/>
          <w:sz w:val="24"/>
          <w:szCs w:val="24"/>
          <w:highlight w:val="none"/>
        </w:rPr>
        <w:t>部门将其列入不良行为记录名单，禁止其1至3年内参加政府采购活</w:t>
      </w:r>
      <w:r>
        <w:rPr>
          <w:rFonts w:hint="eastAsia" w:ascii="黑体" w:hAnsi="黑体" w:eastAsia="黑体" w:cs="黑体"/>
          <w:color w:val="auto"/>
          <w:spacing w:val="-10"/>
          <w:sz w:val="24"/>
          <w:szCs w:val="24"/>
          <w:highlight w:val="none"/>
        </w:rPr>
        <w:t>动：</w:t>
      </w:r>
    </w:p>
    <w:p w14:paraId="5AF51CE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（一）捏造事实；</w:t>
      </w:r>
    </w:p>
    <w:p w14:paraId="6010D284">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outlineLvl w:val="1"/>
        <w:rPr>
          <w:rFonts w:hint="eastAsia" w:ascii="黑体" w:hAnsi="黑体" w:eastAsia="黑体" w:cs="黑体"/>
          <w:color w:val="auto"/>
          <w:sz w:val="24"/>
          <w:szCs w:val="24"/>
          <w:highlight w:val="none"/>
        </w:rPr>
      </w:pPr>
      <w:bookmarkStart w:id="88" w:name="_Toc18410"/>
      <w:bookmarkStart w:id="89" w:name="_Toc1357"/>
      <w:r>
        <w:rPr>
          <w:rFonts w:hint="eastAsia" w:ascii="黑体" w:hAnsi="黑体" w:eastAsia="黑体" w:cs="黑体"/>
          <w:color w:val="auto"/>
          <w:spacing w:val="-5"/>
          <w:sz w:val="24"/>
          <w:szCs w:val="24"/>
          <w:highlight w:val="none"/>
        </w:rPr>
        <w:t>（二）提供虚假材料；</w:t>
      </w:r>
      <w:bookmarkEnd w:id="88"/>
      <w:bookmarkEnd w:id="89"/>
    </w:p>
    <w:p w14:paraId="3B4A2DA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（三）以非法手段取得证明材料或者无法提供证据的合法来源；</w:t>
      </w:r>
    </w:p>
    <w:p w14:paraId="18EB0C57">
      <w:pPr>
        <w:keepNext w:val="0"/>
        <w:keepLines w:val="0"/>
        <w:pageBreakBefore w:val="0"/>
        <w:widowControl/>
        <w:kinsoku/>
        <w:wordWrap w:val="0"/>
        <w:overflowPunct/>
        <w:topLinePunct w:val="0"/>
        <w:bidi w:val="0"/>
        <w:spacing w:line="244" w:lineRule="auto"/>
        <w:ind w:left="0" w:leftChars="0" w:right="0"/>
        <w:rPr>
          <w:rFonts w:hint="eastAsia" w:ascii="黑体" w:hAnsi="黑体" w:eastAsia="黑体" w:cs="黑体"/>
          <w:color w:val="auto"/>
          <w:sz w:val="21"/>
          <w:highlight w:val="none"/>
        </w:rPr>
      </w:pPr>
      <w:r>
        <w:rPr>
          <w:rFonts w:hint="eastAsia" w:ascii="黑体" w:hAnsi="黑体" w:eastAsia="黑体" w:cs="黑体"/>
          <w:color w:val="auto"/>
          <w:spacing w:val="-3"/>
          <w:sz w:val="24"/>
          <w:szCs w:val="24"/>
          <w:highlight w:val="none"/>
        </w:rPr>
        <w:t>（四）法律法规规定的其他违法情形。</w:t>
      </w:r>
    </w:p>
    <w:p w14:paraId="582C88BD">
      <w:pPr>
        <w:keepNext w:val="0"/>
        <w:keepLines w:val="0"/>
        <w:pageBreakBefore w:val="0"/>
        <w:widowControl/>
        <w:kinsoku/>
        <w:wordWrap w:val="0"/>
        <w:overflowPunct/>
        <w:topLinePunct w:val="0"/>
        <w:bidi w:val="0"/>
        <w:spacing w:line="244" w:lineRule="auto"/>
        <w:ind w:left="0" w:leftChars="0" w:right="0"/>
        <w:rPr>
          <w:rFonts w:hint="eastAsia" w:ascii="黑体" w:hAnsi="黑体" w:eastAsia="黑体" w:cs="黑体"/>
          <w:color w:val="auto"/>
          <w:sz w:val="21"/>
          <w:highlight w:val="none"/>
        </w:rPr>
      </w:pPr>
    </w:p>
    <w:p w14:paraId="7C305598">
      <w:pPr>
        <w:keepNext w:val="0"/>
        <w:keepLines w:val="0"/>
        <w:pageBreakBefore w:val="0"/>
        <w:widowControl/>
        <w:kinsoku/>
        <w:wordWrap w:val="0"/>
        <w:overflowPunct/>
        <w:topLinePunct w:val="0"/>
        <w:bidi w:val="0"/>
        <w:spacing w:line="244" w:lineRule="auto"/>
        <w:ind w:left="0" w:leftChars="0" w:right="0"/>
        <w:jc w:val="center"/>
        <w:rPr>
          <w:rFonts w:hint="eastAsia" w:ascii="黑体" w:hAnsi="黑体" w:eastAsia="黑体" w:cs="黑体"/>
          <w:color w:val="auto"/>
          <w:sz w:val="21"/>
          <w:highlight w:val="none"/>
        </w:rPr>
      </w:pPr>
    </w:p>
    <w:p w14:paraId="3F85810A">
      <w:pPr>
        <w:rPr>
          <w:rFonts w:hint="eastAsia" w:ascii="黑体" w:hAnsi="黑体" w:eastAsia="黑体" w:cs="黑体"/>
          <w:b/>
          <w:bCs/>
          <w:color w:val="auto"/>
          <w:spacing w:val="-7"/>
          <w:sz w:val="28"/>
          <w:szCs w:val="28"/>
          <w:highlight w:val="none"/>
        </w:rPr>
      </w:pPr>
      <w:r>
        <w:rPr>
          <w:rFonts w:hint="eastAsia" w:ascii="黑体" w:hAnsi="黑体" w:eastAsia="黑体" w:cs="黑体"/>
          <w:b/>
          <w:bCs/>
          <w:color w:val="auto"/>
          <w:spacing w:val="-7"/>
          <w:sz w:val="28"/>
          <w:szCs w:val="28"/>
          <w:highlight w:val="none"/>
        </w:rPr>
        <w:br w:type="page"/>
      </w:r>
    </w:p>
    <w:p w14:paraId="077347F1">
      <w:pPr>
        <w:keepNext w:val="0"/>
        <w:keepLines w:val="0"/>
        <w:pageBreakBefore w:val="0"/>
        <w:widowControl w:val="0"/>
        <w:kinsoku/>
        <w:wordWrap/>
        <w:overflowPunct/>
        <w:topLinePunct w:val="0"/>
        <w:autoSpaceDE/>
        <w:autoSpaceDN/>
        <w:bidi w:val="0"/>
        <w:adjustRightInd/>
        <w:snapToGrid/>
        <w:spacing w:line="400" w:lineRule="exact"/>
        <w:ind w:left="0" w:leftChars="0" w:right="0" w:firstLine="467" w:firstLineChars="175"/>
        <w:jc w:val="center"/>
        <w:textAlignment w:val="auto"/>
        <w:rPr>
          <w:rFonts w:hint="eastAsia" w:ascii="黑体" w:hAnsi="黑体" w:eastAsia="黑体" w:cs="黑体"/>
          <w:color w:val="auto"/>
          <w:sz w:val="28"/>
          <w:szCs w:val="28"/>
          <w:highlight w:val="none"/>
        </w:rPr>
      </w:pPr>
      <w:r>
        <w:rPr>
          <w:rFonts w:hint="eastAsia" w:ascii="黑体" w:hAnsi="黑体" w:eastAsia="黑体" w:cs="黑体"/>
          <w:b/>
          <w:bCs/>
          <w:color w:val="auto"/>
          <w:spacing w:val="-7"/>
          <w:sz w:val="28"/>
          <w:szCs w:val="28"/>
          <w:highlight w:val="none"/>
        </w:rPr>
        <w:t>质疑函范本</w:t>
      </w:r>
    </w:p>
    <w:p w14:paraId="7D96BB69">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一、质疑供应商基本信息</w:t>
      </w:r>
    </w:p>
    <w:p w14:paraId="57902DC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u w:val="single" w:color="auto"/>
        </w:rPr>
      </w:pPr>
      <w:r>
        <w:rPr>
          <w:rFonts w:hint="eastAsia" w:ascii="黑体" w:hAnsi="黑体" w:eastAsia="黑体" w:cs="黑体"/>
          <w:color w:val="auto"/>
          <w:spacing w:val="-8"/>
          <w:sz w:val="24"/>
          <w:szCs w:val="24"/>
          <w:highlight w:val="none"/>
        </w:rPr>
        <w:t>质疑供应商：</w:t>
      </w:r>
      <w:r>
        <w:rPr>
          <w:rFonts w:hint="eastAsia" w:ascii="黑体" w:hAnsi="黑体" w:eastAsia="黑体" w:cs="黑体"/>
          <w:color w:val="auto"/>
          <w:sz w:val="24"/>
          <w:szCs w:val="24"/>
          <w:highlight w:val="none"/>
          <w:u w:val="single" w:color="auto"/>
        </w:rPr>
        <w:t xml:space="preserve">                                                        </w:t>
      </w:r>
    </w:p>
    <w:p w14:paraId="29EF8713">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0" w:leftChars="0" w:right="0" w:hanging="50" w:hangingChars="22"/>
        <w:jc w:val="left"/>
        <w:textAlignment w:val="baseline"/>
        <w:rPr>
          <w:rFonts w:hint="eastAsia" w:ascii="黑体" w:hAnsi="黑体" w:eastAsia="黑体" w:cs="黑体"/>
          <w:color w:val="auto"/>
          <w:spacing w:val="3"/>
          <w:sz w:val="24"/>
          <w:szCs w:val="24"/>
          <w:highlight w:val="none"/>
          <w:u w:val="single" w:color="auto"/>
        </w:rPr>
      </w:pPr>
      <w:r>
        <w:rPr>
          <w:rFonts w:hint="eastAsia" w:ascii="黑体" w:hAnsi="黑体" w:eastAsia="黑体" w:cs="黑体"/>
          <w:color w:val="auto"/>
          <w:spacing w:val="-6"/>
          <w:sz w:val="24"/>
          <w:szCs w:val="24"/>
          <w:highlight w:val="none"/>
        </w:rPr>
        <w:t>地址：</w:t>
      </w:r>
      <w:r>
        <w:rPr>
          <w:rFonts w:hint="eastAsia" w:ascii="黑体" w:hAnsi="黑体" w:eastAsia="黑体" w:cs="黑体"/>
          <w:color w:val="auto"/>
          <w:spacing w:val="-6"/>
          <w:sz w:val="24"/>
          <w:szCs w:val="24"/>
          <w:highlight w:val="none"/>
          <w:u w:val="single" w:color="auto"/>
        </w:rPr>
        <w:t xml:space="preserve">                     </w:t>
      </w:r>
      <w:r>
        <w:rPr>
          <w:rFonts w:hint="eastAsia" w:ascii="黑体" w:hAnsi="黑体" w:eastAsia="黑体" w:cs="黑体"/>
          <w:color w:val="auto"/>
          <w:spacing w:val="-7"/>
          <w:sz w:val="24"/>
          <w:szCs w:val="24"/>
          <w:highlight w:val="none"/>
          <w:u w:val="single" w:color="auto"/>
        </w:rPr>
        <w:t xml:space="preserve">    </w:t>
      </w:r>
      <w:r>
        <w:rPr>
          <w:rFonts w:hint="eastAsia" w:ascii="黑体" w:hAnsi="黑体" w:eastAsia="黑体" w:cs="黑体"/>
          <w:color w:val="auto"/>
          <w:spacing w:val="-53"/>
          <w:sz w:val="24"/>
          <w:szCs w:val="24"/>
          <w:highlight w:val="none"/>
        </w:rPr>
        <w:t xml:space="preserve"> </w:t>
      </w:r>
      <w:r>
        <w:rPr>
          <w:rFonts w:hint="eastAsia" w:ascii="黑体" w:hAnsi="黑体" w:eastAsia="黑体" w:cs="黑体"/>
          <w:color w:val="auto"/>
          <w:spacing w:val="-7"/>
          <w:sz w:val="24"/>
          <w:szCs w:val="24"/>
          <w:highlight w:val="none"/>
        </w:rPr>
        <w:t>邮编：</w:t>
      </w:r>
      <w:r>
        <w:rPr>
          <w:rFonts w:hint="eastAsia" w:ascii="黑体" w:hAnsi="黑体" w:eastAsia="黑体" w:cs="黑体"/>
          <w:color w:val="auto"/>
          <w:spacing w:val="3"/>
          <w:sz w:val="24"/>
          <w:szCs w:val="24"/>
          <w:highlight w:val="none"/>
          <w:u w:val="single" w:color="auto"/>
        </w:rPr>
        <w:t xml:space="preserve">                               </w:t>
      </w:r>
    </w:p>
    <w:p w14:paraId="6CE41489">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2"/>
          <w:sz w:val="24"/>
          <w:szCs w:val="24"/>
          <w:highlight w:val="none"/>
        </w:rPr>
        <w:t>联系人：</w:t>
      </w:r>
      <w:r>
        <w:rPr>
          <w:rFonts w:hint="eastAsia" w:ascii="黑体" w:hAnsi="黑体" w:eastAsia="黑体" w:cs="黑体"/>
          <w:color w:val="auto"/>
          <w:spacing w:val="-2"/>
          <w:sz w:val="24"/>
          <w:szCs w:val="24"/>
          <w:highlight w:val="none"/>
          <w:u w:val="single" w:color="auto"/>
        </w:rPr>
        <w:t xml:space="preserve">        </w:t>
      </w:r>
      <w:r>
        <w:rPr>
          <w:rFonts w:hint="eastAsia" w:ascii="黑体" w:hAnsi="黑体" w:eastAsia="黑体" w:cs="黑体"/>
          <w:color w:val="auto"/>
          <w:spacing w:val="-2"/>
          <w:sz w:val="24"/>
          <w:szCs w:val="24"/>
          <w:highlight w:val="none"/>
          <w:u w:val="single" w:color="auto"/>
          <w:lang w:val="en-US" w:eastAsia="zh-CN"/>
        </w:rPr>
        <w:t xml:space="preserve">         </w:t>
      </w:r>
      <w:r>
        <w:rPr>
          <w:rFonts w:hint="eastAsia" w:ascii="黑体" w:hAnsi="黑体" w:eastAsia="黑体" w:cs="黑体"/>
          <w:color w:val="auto"/>
          <w:spacing w:val="-88"/>
          <w:sz w:val="24"/>
          <w:szCs w:val="24"/>
          <w:highlight w:val="none"/>
        </w:rPr>
        <w:t xml:space="preserve"> </w:t>
      </w:r>
      <w:r>
        <w:rPr>
          <w:rFonts w:hint="eastAsia" w:ascii="黑体" w:hAnsi="黑体" w:eastAsia="黑体" w:cs="黑体"/>
          <w:color w:val="auto"/>
          <w:spacing w:val="-2"/>
          <w:sz w:val="24"/>
          <w:szCs w:val="24"/>
          <w:highlight w:val="none"/>
        </w:rPr>
        <w:t>联系电话：</w:t>
      </w:r>
      <w:r>
        <w:rPr>
          <w:rFonts w:hint="eastAsia" w:ascii="黑体" w:hAnsi="黑体" w:eastAsia="黑体" w:cs="黑体"/>
          <w:color w:val="auto"/>
          <w:spacing w:val="1"/>
          <w:sz w:val="24"/>
          <w:szCs w:val="24"/>
          <w:highlight w:val="none"/>
          <w:u w:val="single" w:color="auto"/>
        </w:rPr>
        <w:t xml:space="preserve">                       </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pacing w:val="1"/>
          <w:sz w:val="24"/>
          <w:szCs w:val="24"/>
          <w:highlight w:val="none"/>
        </w:rPr>
        <w:t xml:space="preserve"> </w:t>
      </w:r>
    </w:p>
    <w:p w14:paraId="50E544B1">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pacing w:val="3"/>
          <w:sz w:val="24"/>
          <w:szCs w:val="24"/>
          <w:highlight w:val="none"/>
          <w:u w:val="single" w:color="auto"/>
        </w:rPr>
      </w:pPr>
      <w:r>
        <w:rPr>
          <w:rFonts w:hint="eastAsia" w:ascii="黑体" w:hAnsi="黑体" w:eastAsia="黑体" w:cs="黑体"/>
          <w:color w:val="auto"/>
          <w:spacing w:val="-2"/>
          <w:sz w:val="24"/>
          <w:szCs w:val="24"/>
          <w:highlight w:val="none"/>
        </w:rPr>
        <w:t>授权代表：</w:t>
      </w:r>
      <w:r>
        <w:rPr>
          <w:rFonts w:hint="eastAsia" w:ascii="黑体" w:hAnsi="黑体" w:eastAsia="黑体" w:cs="黑体"/>
          <w:color w:val="auto"/>
          <w:spacing w:val="-2"/>
          <w:sz w:val="24"/>
          <w:szCs w:val="24"/>
          <w:highlight w:val="none"/>
          <w:u w:val="single" w:color="auto"/>
        </w:rPr>
        <w:t xml:space="preserve">              </w:t>
      </w:r>
      <w:r>
        <w:rPr>
          <w:rFonts w:hint="eastAsia" w:ascii="黑体" w:hAnsi="黑体" w:eastAsia="黑体" w:cs="黑体"/>
          <w:color w:val="auto"/>
          <w:spacing w:val="4"/>
          <w:sz w:val="24"/>
          <w:szCs w:val="24"/>
          <w:highlight w:val="none"/>
        </w:rPr>
        <w:t xml:space="preserve"> </w:t>
      </w:r>
      <w:r>
        <w:rPr>
          <w:rFonts w:hint="eastAsia" w:ascii="黑体" w:hAnsi="黑体" w:eastAsia="黑体" w:cs="黑体"/>
          <w:color w:val="auto"/>
          <w:spacing w:val="-2"/>
          <w:sz w:val="24"/>
          <w:szCs w:val="24"/>
          <w:highlight w:val="none"/>
        </w:rPr>
        <w:t>联系电话：</w:t>
      </w:r>
      <w:r>
        <w:rPr>
          <w:rFonts w:hint="eastAsia" w:ascii="黑体" w:hAnsi="黑体" w:eastAsia="黑体" w:cs="黑体"/>
          <w:color w:val="auto"/>
          <w:spacing w:val="-2"/>
          <w:sz w:val="24"/>
          <w:szCs w:val="24"/>
          <w:highlight w:val="none"/>
          <w:u w:val="single" w:color="auto"/>
        </w:rPr>
        <w:t xml:space="preserve">                                        </w:t>
      </w:r>
      <w:r>
        <w:rPr>
          <w:rFonts w:hint="eastAsia" w:ascii="黑体" w:hAnsi="黑体" w:eastAsia="黑体" w:cs="黑体"/>
          <w:color w:val="auto"/>
          <w:spacing w:val="-3"/>
          <w:sz w:val="24"/>
          <w:szCs w:val="24"/>
          <w:highlight w:val="none"/>
          <w:u w:val="single" w:color="auto"/>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pacing w:val="-6"/>
          <w:sz w:val="24"/>
          <w:szCs w:val="24"/>
          <w:highlight w:val="none"/>
        </w:rPr>
        <w:t>地址：</w:t>
      </w:r>
      <w:r>
        <w:rPr>
          <w:rFonts w:hint="eastAsia" w:ascii="黑体" w:hAnsi="黑体" w:eastAsia="黑体" w:cs="黑体"/>
          <w:color w:val="auto"/>
          <w:spacing w:val="-6"/>
          <w:sz w:val="24"/>
          <w:szCs w:val="24"/>
          <w:highlight w:val="none"/>
          <w:u w:val="single" w:color="auto"/>
        </w:rPr>
        <w:t xml:space="preserve">                         </w:t>
      </w:r>
      <w:r>
        <w:rPr>
          <w:rFonts w:hint="eastAsia" w:ascii="黑体" w:hAnsi="黑体" w:eastAsia="黑体" w:cs="黑体"/>
          <w:color w:val="auto"/>
          <w:spacing w:val="-6"/>
          <w:sz w:val="24"/>
          <w:szCs w:val="24"/>
          <w:highlight w:val="none"/>
          <w:u w:val="single" w:color="auto"/>
          <w:lang w:val="en-US" w:eastAsia="zh-CN"/>
        </w:rPr>
        <w:t xml:space="preserve"> </w:t>
      </w:r>
      <w:r>
        <w:rPr>
          <w:rFonts w:hint="eastAsia" w:ascii="黑体" w:hAnsi="黑体" w:eastAsia="黑体" w:cs="黑体"/>
          <w:color w:val="auto"/>
          <w:spacing w:val="-53"/>
          <w:sz w:val="24"/>
          <w:szCs w:val="24"/>
          <w:highlight w:val="none"/>
        </w:rPr>
        <w:t xml:space="preserve"> </w:t>
      </w:r>
      <w:r>
        <w:rPr>
          <w:rFonts w:hint="eastAsia" w:ascii="黑体" w:hAnsi="黑体" w:eastAsia="黑体" w:cs="黑体"/>
          <w:color w:val="auto"/>
          <w:spacing w:val="-6"/>
          <w:sz w:val="24"/>
          <w:szCs w:val="24"/>
          <w:highlight w:val="none"/>
        </w:rPr>
        <w:t>邮编：</w:t>
      </w:r>
      <w:r>
        <w:rPr>
          <w:rFonts w:hint="eastAsia" w:ascii="黑体" w:hAnsi="黑体" w:eastAsia="黑体" w:cs="黑体"/>
          <w:color w:val="auto"/>
          <w:spacing w:val="3"/>
          <w:sz w:val="24"/>
          <w:szCs w:val="24"/>
          <w:highlight w:val="none"/>
          <w:u w:val="single" w:color="auto"/>
        </w:rPr>
        <w:t xml:space="preserve">                              </w:t>
      </w:r>
    </w:p>
    <w:p w14:paraId="051ADE98">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二、质疑项目基本情况</w:t>
      </w:r>
    </w:p>
    <w:p w14:paraId="68C6B6FF">
      <w:pPr>
        <w:pStyle w:val="10"/>
        <w:keepNext w:val="0"/>
        <w:keepLines w:val="0"/>
        <w:pageBreakBefore w:val="0"/>
        <w:widowControl/>
        <w:tabs>
          <w:tab w:val="left" w:pos="8294"/>
          <w:tab w:val="left" w:pos="8317"/>
        </w:tabs>
        <w:kinsoku w:val="0"/>
        <w:wordWrap/>
        <w:overflowPunct/>
        <w:topLinePunct w:val="0"/>
        <w:autoSpaceDE w:val="0"/>
        <w:autoSpaceDN w:val="0"/>
        <w:bidi w:val="0"/>
        <w:adjustRightInd w:val="0"/>
        <w:snapToGrid w:val="0"/>
        <w:spacing w:line="400" w:lineRule="exact"/>
        <w:ind w:left="50" w:leftChars="0" w:right="0" w:hanging="50" w:hangingChars="22"/>
        <w:jc w:val="left"/>
        <w:textAlignment w:val="baseline"/>
        <w:rPr>
          <w:rFonts w:hint="eastAsia" w:ascii="黑体" w:hAnsi="黑体" w:eastAsia="黑体" w:cs="黑体"/>
          <w:color w:val="auto"/>
          <w:sz w:val="24"/>
          <w:szCs w:val="24"/>
          <w:highlight w:val="none"/>
          <w:u w:val="single" w:color="auto"/>
        </w:rPr>
      </w:pPr>
      <w:r>
        <w:rPr>
          <w:rFonts w:hint="eastAsia" w:ascii="黑体" w:hAnsi="黑体" w:eastAsia="黑体" w:cs="黑体"/>
          <w:color w:val="auto"/>
          <w:spacing w:val="-6"/>
          <w:sz w:val="24"/>
          <w:szCs w:val="24"/>
          <w:highlight w:val="none"/>
        </w:rPr>
        <w:t>质疑项目的名称：</w:t>
      </w:r>
      <w:r>
        <w:rPr>
          <w:rFonts w:hint="eastAsia" w:ascii="黑体" w:hAnsi="黑体" w:eastAsia="黑体" w:cs="黑体"/>
          <w:color w:val="auto"/>
          <w:sz w:val="24"/>
          <w:szCs w:val="24"/>
          <w:highlight w:val="none"/>
          <w:u w:val="single" w:color="auto"/>
        </w:rPr>
        <w:tab/>
      </w:r>
    </w:p>
    <w:p w14:paraId="4E33D744">
      <w:pPr>
        <w:pStyle w:val="10"/>
        <w:keepNext w:val="0"/>
        <w:keepLines w:val="0"/>
        <w:pageBreakBefore w:val="0"/>
        <w:widowControl/>
        <w:tabs>
          <w:tab w:val="left" w:pos="8294"/>
          <w:tab w:val="left" w:pos="8317"/>
        </w:tabs>
        <w:kinsoku w:val="0"/>
        <w:wordWrap/>
        <w:overflowPunct/>
        <w:topLinePunct w:val="0"/>
        <w:autoSpaceDE w:val="0"/>
        <w:autoSpaceDN w:val="0"/>
        <w:bidi w:val="0"/>
        <w:adjustRightInd w:val="0"/>
        <w:snapToGrid w:val="0"/>
        <w:spacing w:line="400" w:lineRule="exact"/>
        <w:ind w:left="52" w:leftChars="0" w:right="0" w:hanging="52"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pacing w:val="-4"/>
          <w:sz w:val="24"/>
          <w:szCs w:val="24"/>
          <w:highlight w:val="none"/>
        </w:rPr>
        <w:t>质疑项目的编号：</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55"/>
          <w:sz w:val="24"/>
          <w:szCs w:val="24"/>
          <w:highlight w:val="none"/>
        </w:rPr>
        <w:t xml:space="preserve"> </w:t>
      </w:r>
      <w:r>
        <w:rPr>
          <w:rFonts w:hint="eastAsia" w:ascii="黑体" w:hAnsi="黑体" w:eastAsia="黑体" w:cs="黑体"/>
          <w:color w:val="auto"/>
          <w:spacing w:val="-4"/>
          <w:sz w:val="24"/>
          <w:szCs w:val="24"/>
          <w:highlight w:val="none"/>
        </w:rPr>
        <w:t>包号：</w:t>
      </w:r>
      <w:r>
        <w:rPr>
          <w:rFonts w:hint="eastAsia" w:ascii="黑体" w:hAnsi="黑体" w:eastAsia="黑体" w:cs="黑体"/>
          <w:color w:val="auto"/>
          <w:sz w:val="24"/>
          <w:szCs w:val="24"/>
          <w:highlight w:val="none"/>
          <w:u w:val="single" w:color="auto"/>
        </w:rPr>
        <w:tab/>
      </w:r>
      <w:r>
        <w:rPr>
          <w:rFonts w:hint="eastAsia" w:ascii="黑体" w:hAnsi="黑体" w:eastAsia="黑体" w:cs="黑体"/>
          <w:color w:val="auto"/>
          <w:sz w:val="24"/>
          <w:szCs w:val="24"/>
          <w:highlight w:val="none"/>
          <w:u w:val="single" w:color="auto"/>
        </w:rPr>
        <w:tab/>
      </w:r>
      <w:r>
        <w:rPr>
          <w:rFonts w:hint="eastAsia" w:ascii="黑体" w:hAnsi="黑体" w:eastAsia="黑体" w:cs="黑体"/>
          <w:color w:val="auto"/>
          <w:sz w:val="24"/>
          <w:szCs w:val="24"/>
          <w:highlight w:val="none"/>
        </w:rPr>
        <w:t xml:space="preserve"> </w:t>
      </w:r>
    </w:p>
    <w:p w14:paraId="539661EE">
      <w:pPr>
        <w:pStyle w:val="10"/>
        <w:keepNext w:val="0"/>
        <w:keepLines w:val="0"/>
        <w:pageBreakBefore w:val="0"/>
        <w:widowControl/>
        <w:tabs>
          <w:tab w:val="left" w:pos="8294"/>
          <w:tab w:val="left" w:pos="831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采购人名称：</w:t>
      </w:r>
      <w:r>
        <w:rPr>
          <w:rFonts w:hint="eastAsia" w:ascii="黑体" w:hAnsi="黑体" w:eastAsia="黑体" w:cs="黑体"/>
          <w:color w:val="auto"/>
          <w:sz w:val="24"/>
          <w:szCs w:val="24"/>
          <w:highlight w:val="none"/>
          <w:u w:val="single" w:color="auto"/>
        </w:rPr>
        <w:tab/>
      </w:r>
      <w:r>
        <w:rPr>
          <w:rFonts w:hint="eastAsia" w:ascii="黑体" w:hAnsi="黑体" w:eastAsia="黑体" w:cs="黑体"/>
          <w:color w:val="auto"/>
          <w:sz w:val="24"/>
          <w:szCs w:val="24"/>
          <w:highlight w:val="none"/>
        </w:rPr>
        <w:t xml:space="preserve"> </w:t>
      </w:r>
    </w:p>
    <w:p w14:paraId="04F1D20C">
      <w:pPr>
        <w:pStyle w:val="10"/>
        <w:keepNext w:val="0"/>
        <w:keepLines w:val="0"/>
        <w:pageBreakBefore w:val="0"/>
        <w:widowControl/>
        <w:tabs>
          <w:tab w:val="left" w:pos="8294"/>
          <w:tab w:val="left" w:pos="8317"/>
        </w:tabs>
        <w:kinsoku w:val="0"/>
        <w:wordWrap/>
        <w:overflowPunct/>
        <w:topLinePunct w:val="0"/>
        <w:autoSpaceDE w:val="0"/>
        <w:autoSpaceDN w:val="0"/>
        <w:bidi w:val="0"/>
        <w:adjustRightInd w:val="0"/>
        <w:snapToGrid w:val="0"/>
        <w:spacing w:line="400" w:lineRule="exact"/>
        <w:ind w:left="50" w:leftChars="0" w:right="0" w:hanging="50"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采购文件获取日期：</w:t>
      </w:r>
      <w:r>
        <w:rPr>
          <w:rFonts w:hint="eastAsia" w:ascii="黑体" w:hAnsi="黑体" w:eastAsia="黑体" w:cs="黑体"/>
          <w:color w:val="auto"/>
          <w:sz w:val="24"/>
          <w:szCs w:val="24"/>
          <w:highlight w:val="none"/>
          <w:u w:val="single" w:color="auto"/>
        </w:rPr>
        <w:tab/>
      </w:r>
      <w:r>
        <w:rPr>
          <w:rFonts w:hint="eastAsia" w:ascii="黑体" w:hAnsi="黑体" w:eastAsia="黑体" w:cs="黑体"/>
          <w:color w:val="auto"/>
          <w:sz w:val="24"/>
          <w:szCs w:val="24"/>
          <w:highlight w:val="none"/>
          <w:u w:val="single" w:color="auto"/>
        </w:rPr>
        <w:tab/>
      </w:r>
      <w:r>
        <w:rPr>
          <w:rFonts w:hint="eastAsia" w:ascii="黑体" w:hAnsi="黑体" w:eastAsia="黑体" w:cs="黑体"/>
          <w:color w:val="auto"/>
          <w:sz w:val="24"/>
          <w:szCs w:val="24"/>
          <w:highlight w:val="none"/>
        </w:rPr>
        <w:t xml:space="preserve"> </w:t>
      </w:r>
      <w:r>
        <w:rPr>
          <w:rFonts w:hint="eastAsia" w:ascii="黑体" w:hAnsi="黑体" w:eastAsia="黑体" w:cs="黑体"/>
          <w:color w:val="auto"/>
          <w:spacing w:val="-4"/>
          <w:sz w:val="24"/>
          <w:szCs w:val="24"/>
          <w:highlight w:val="none"/>
        </w:rPr>
        <w:t>三、质疑事项具体内容</w:t>
      </w:r>
    </w:p>
    <w:p w14:paraId="044114D0">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7" w:leftChars="0" w:right="0" w:hanging="47" w:hangingChars="22"/>
        <w:jc w:val="left"/>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12"/>
          <w:sz w:val="24"/>
          <w:szCs w:val="24"/>
          <w:highlight w:val="none"/>
        </w:rPr>
        <w:t>质疑事项 1：</w:t>
      </w:r>
      <w:r>
        <w:rPr>
          <w:rFonts w:hint="eastAsia" w:ascii="黑体" w:hAnsi="黑体" w:eastAsia="黑体" w:cs="黑体"/>
          <w:color w:val="auto"/>
          <w:spacing w:val="2"/>
          <w:sz w:val="24"/>
          <w:szCs w:val="24"/>
          <w:highlight w:val="none"/>
          <w:u w:val="single" w:color="auto"/>
        </w:rPr>
        <w:t xml:space="preserve">                                        </w:t>
      </w:r>
      <w:r>
        <w:rPr>
          <w:rFonts w:hint="eastAsia" w:ascii="黑体" w:hAnsi="黑体" w:eastAsia="黑体" w:cs="黑体"/>
          <w:color w:val="auto"/>
          <w:spacing w:val="1"/>
          <w:sz w:val="24"/>
          <w:szCs w:val="24"/>
          <w:highlight w:val="none"/>
          <w:u w:val="single" w:color="auto"/>
        </w:rPr>
        <w:t xml:space="preserve">                </w:t>
      </w:r>
      <w:r>
        <w:rPr>
          <w:rFonts w:hint="eastAsia" w:ascii="黑体" w:hAnsi="黑体" w:eastAsia="黑体" w:cs="黑体"/>
          <w:color w:val="auto"/>
          <w:spacing w:val="1"/>
          <w:sz w:val="24"/>
          <w:szCs w:val="24"/>
          <w:highlight w:val="none"/>
        </w:rPr>
        <w:t xml:space="preserve"> </w:t>
      </w:r>
    </w:p>
    <w:p w14:paraId="381CD53C">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0" w:leftChars="0" w:right="0" w:hanging="50"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事实依据：</w:t>
      </w:r>
      <w:r>
        <w:rPr>
          <w:rFonts w:hint="eastAsia" w:ascii="黑体" w:hAnsi="黑体" w:eastAsia="黑体" w:cs="黑体"/>
          <w:color w:val="auto"/>
          <w:sz w:val="24"/>
          <w:szCs w:val="24"/>
          <w:highlight w:val="none"/>
          <w:u w:val="single" w:color="auto"/>
        </w:rPr>
        <w:t xml:space="preserve">                                                           </w:t>
      </w:r>
    </w:p>
    <w:p w14:paraId="1EB47EB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8" w:leftChars="0" w:right="0" w:hanging="48"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法律依据：</w:t>
      </w:r>
      <w:r>
        <w:rPr>
          <w:rFonts w:hint="eastAsia" w:ascii="黑体" w:hAnsi="黑体" w:eastAsia="黑体" w:cs="黑体"/>
          <w:color w:val="auto"/>
          <w:sz w:val="24"/>
          <w:szCs w:val="24"/>
          <w:highlight w:val="none"/>
          <w:u w:val="single" w:color="auto"/>
        </w:rPr>
        <w:t xml:space="preserve">                                                            </w:t>
      </w:r>
    </w:p>
    <w:p w14:paraId="316D9046">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质疑事项</w:t>
      </w:r>
      <w:r>
        <w:rPr>
          <w:rFonts w:hint="eastAsia" w:ascii="黑体" w:hAnsi="黑体" w:eastAsia="黑体" w:cs="黑体"/>
          <w:color w:val="auto"/>
          <w:spacing w:val="-39"/>
          <w:sz w:val="24"/>
          <w:szCs w:val="24"/>
          <w:highlight w:val="none"/>
        </w:rPr>
        <w:t xml:space="preserve"> </w:t>
      </w:r>
      <w:r>
        <w:rPr>
          <w:rFonts w:hint="eastAsia" w:ascii="黑体" w:hAnsi="黑体" w:eastAsia="黑体" w:cs="黑体"/>
          <w:color w:val="auto"/>
          <w:spacing w:val="-8"/>
          <w:sz w:val="24"/>
          <w:szCs w:val="24"/>
          <w:highlight w:val="none"/>
        </w:rPr>
        <w:t>2</w:t>
      </w:r>
    </w:p>
    <w:p w14:paraId="4C5EB8B0">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7" w:leftChars="0" w:right="0" w:hanging="47"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3"/>
          <w:position w:val="1"/>
          <w:sz w:val="24"/>
          <w:szCs w:val="24"/>
          <w:highlight w:val="none"/>
        </w:rPr>
        <w:t>……</w:t>
      </w:r>
    </w:p>
    <w:p w14:paraId="417C5E53">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四、与质疑事项相关的质疑请求</w:t>
      </w:r>
    </w:p>
    <w:p w14:paraId="7846E347">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u w:val="single" w:color="auto"/>
        </w:rPr>
      </w:pPr>
      <w:r>
        <w:rPr>
          <w:rFonts w:hint="eastAsia" w:ascii="黑体" w:hAnsi="黑体" w:eastAsia="黑体" w:cs="黑体"/>
          <w:color w:val="auto"/>
          <w:spacing w:val="-7"/>
          <w:sz w:val="24"/>
          <w:szCs w:val="24"/>
          <w:highlight w:val="none"/>
        </w:rPr>
        <w:t>请求：</w:t>
      </w:r>
      <w:r>
        <w:rPr>
          <w:rFonts w:hint="eastAsia" w:ascii="黑体" w:hAnsi="黑体" w:eastAsia="黑体" w:cs="黑体"/>
          <w:color w:val="auto"/>
          <w:sz w:val="24"/>
          <w:szCs w:val="24"/>
          <w:highlight w:val="none"/>
          <w:u w:val="single" w:color="auto"/>
        </w:rPr>
        <w:t xml:space="preserve">                                                               </w:t>
      </w:r>
    </w:p>
    <w:p w14:paraId="208407B0">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7"/>
          <w:sz w:val="24"/>
          <w:szCs w:val="24"/>
          <w:highlight w:val="none"/>
        </w:rPr>
        <w:t>签字</w:t>
      </w:r>
      <w:r>
        <w:rPr>
          <w:rFonts w:hint="eastAsia" w:ascii="黑体" w:hAnsi="黑体" w:eastAsia="黑体" w:cs="黑体"/>
          <w:color w:val="auto"/>
          <w:spacing w:val="-7"/>
          <w:sz w:val="24"/>
          <w:szCs w:val="24"/>
          <w:highlight w:val="none"/>
          <w:lang w:eastAsia="zh-CN"/>
        </w:rPr>
        <w:t>（</w:t>
      </w:r>
      <w:r>
        <w:rPr>
          <w:rFonts w:hint="eastAsia" w:ascii="黑体" w:hAnsi="黑体" w:eastAsia="黑体" w:cs="黑体"/>
          <w:color w:val="auto"/>
          <w:spacing w:val="-7"/>
          <w:sz w:val="24"/>
          <w:szCs w:val="24"/>
          <w:highlight w:val="none"/>
        </w:rPr>
        <w:t>签/章</w:t>
      </w:r>
      <w:r>
        <w:rPr>
          <w:rFonts w:hint="eastAsia" w:ascii="黑体" w:hAnsi="黑体" w:eastAsia="黑体" w:cs="黑体"/>
          <w:color w:val="auto"/>
          <w:spacing w:val="-7"/>
          <w:sz w:val="24"/>
          <w:szCs w:val="24"/>
          <w:highlight w:val="none"/>
          <w:lang w:eastAsia="zh-CN"/>
        </w:rPr>
        <w:t>）</w:t>
      </w:r>
      <w:r>
        <w:rPr>
          <w:rFonts w:hint="eastAsia" w:ascii="黑体" w:hAnsi="黑体" w:eastAsia="黑体" w:cs="黑体"/>
          <w:color w:val="auto"/>
          <w:spacing w:val="-7"/>
          <w:sz w:val="24"/>
          <w:szCs w:val="24"/>
          <w:highlight w:val="none"/>
        </w:rPr>
        <w:t>：</w:t>
      </w:r>
      <w:r>
        <w:rPr>
          <w:rFonts w:hint="eastAsia" w:ascii="黑体" w:hAnsi="黑体" w:eastAsia="黑体" w:cs="黑体"/>
          <w:color w:val="auto"/>
          <w:spacing w:val="1"/>
          <w:sz w:val="24"/>
          <w:szCs w:val="24"/>
          <w:highlight w:val="none"/>
        </w:rPr>
        <w:t xml:space="preserve">                   </w:t>
      </w:r>
    </w:p>
    <w:p w14:paraId="57C10E9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pacing w:val="-7"/>
          <w:sz w:val="24"/>
          <w:szCs w:val="24"/>
          <w:highlight w:val="none"/>
        </w:rPr>
      </w:pPr>
      <w:r>
        <w:rPr>
          <w:rFonts w:hint="eastAsia" w:ascii="黑体" w:hAnsi="黑体" w:eastAsia="黑体" w:cs="黑体"/>
          <w:color w:val="auto"/>
          <w:spacing w:val="-7"/>
          <w:sz w:val="24"/>
          <w:szCs w:val="24"/>
          <w:highlight w:val="none"/>
          <w:lang w:eastAsia="zh-CN"/>
        </w:rPr>
        <w:t>加盖</w:t>
      </w:r>
      <w:r>
        <w:rPr>
          <w:rFonts w:hint="eastAsia" w:ascii="黑体" w:hAnsi="黑体" w:eastAsia="黑体" w:cs="黑体"/>
          <w:color w:val="auto"/>
          <w:spacing w:val="-7"/>
          <w:sz w:val="24"/>
          <w:szCs w:val="24"/>
          <w:highlight w:val="none"/>
        </w:rPr>
        <w:t>公章：</w:t>
      </w:r>
    </w:p>
    <w:p w14:paraId="60404AEE">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pacing w:val="-7"/>
          <w:sz w:val="24"/>
          <w:szCs w:val="24"/>
          <w:highlight w:val="none"/>
          <w:lang w:val="en-US" w:eastAsia="zh-CN"/>
        </w:rPr>
        <w:t>日期：</w:t>
      </w:r>
    </w:p>
    <w:p w14:paraId="2954DADD">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49" w:leftChars="0" w:right="0" w:hanging="49"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9"/>
          <w:sz w:val="24"/>
          <w:szCs w:val="24"/>
          <w:highlight w:val="none"/>
        </w:rPr>
        <w:t>质疑函制作说明：</w:t>
      </w:r>
    </w:p>
    <w:p w14:paraId="220680F3">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1.供应商提出质疑时，应提交质疑函和必要的证明材料。</w:t>
      </w:r>
      <w:r>
        <w:rPr>
          <w:rFonts w:hint="eastAsia" w:ascii="黑体" w:hAnsi="黑体" w:eastAsia="黑体" w:cs="黑体"/>
          <w:color w:val="auto"/>
          <w:spacing w:val="4"/>
          <w:sz w:val="24"/>
          <w:szCs w:val="24"/>
          <w:highlight w:val="none"/>
        </w:rPr>
        <w:t>2.质疑供应商若委托代理人进行质疑的，质疑函应按要求列明“授权</w:t>
      </w:r>
      <w:r>
        <w:rPr>
          <w:rFonts w:hint="eastAsia" w:ascii="黑体" w:hAnsi="黑体" w:eastAsia="黑体" w:cs="黑体"/>
          <w:color w:val="auto"/>
          <w:spacing w:val="3"/>
          <w:sz w:val="24"/>
          <w:szCs w:val="24"/>
          <w:highlight w:val="none"/>
        </w:rPr>
        <w:t>代表”</w:t>
      </w:r>
      <w:r>
        <w:rPr>
          <w:rFonts w:hint="eastAsia" w:ascii="黑体" w:hAnsi="黑体" w:eastAsia="黑体" w:cs="黑体"/>
          <w:color w:val="auto"/>
          <w:spacing w:val="-5"/>
          <w:sz w:val="24"/>
          <w:szCs w:val="24"/>
          <w:highlight w:val="none"/>
        </w:rPr>
        <w:t>的有关内容，并在附件中提交由质疑供应商签署的授权委托书。授权委托书应载</w:t>
      </w:r>
      <w:r>
        <w:rPr>
          <w:rFonts w:hint="eastAsia" w:ascii="黑体" w:hAnsi="黑体" w:eastAsia="黑体" w:cs="黑体"/>
          <w:color w:val="auto"/>
          <w:spacing w:val="-2"/>
          <w:sz w:val="24"/>
          <w:szCs w:val="24"/>
          <w:highlight w:val="none"/>
        </w:rPr>
        <w:t>明代理人的姓名或者名称、代理事项、具体权限、期限和相关事项。</w:t>
      </w:r>
    </w:p>
    <w:p w14:paraId="10592E7C">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2" w:leftChars="0" w:right="0" w:hanging="52"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3.质疑供应商若对项目的某一分包进行质疑，质疑函中应列明具体分包号。</w:t>
      </w:r>
    </w:p>
    <w:p w14:paraId="54B0912C">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4.质疑函的质疑事项应具体、明确，并有必要的</w:t>
      </w:r>
      <w:r>
        <w:rPr>
          <w:rFonts w:hint="eastAsia" w:ascii="黑体" w:hAnsi="黑体" w:eastAsia="黑体" w:cs="黑体"/>
          <w:color w:val="auto"/>
          <w:spacing w:val="-4"/>
          <w:sz w:val="24"/>
          <w:szCs w:val="24"/>
          <w:highlight w:val="none"/>
        </w:rPr>
        <w:t>事实依据和法律依据。</w:t>
      </w:r>
    </w:p>
    <w:p w14:paraId="5F58291C">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1" w:leftChars="0" w:right="0" w:hanging="51"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5.质疑函的质疑请求应与质疑事项相关。</w:t>
      </w:r>
    </w:p>
    <w:p w14:paraId="3189D921">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52" w:leftChars="0" w:right="0" w:hanging="52" w:hangingChars="22"/>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6.质疑供应商为自然人的，质疑函应由本人签字；质疑</w:t>
      </w:r>
      <w:r>
        <w:rPr>
          <w:rFonts w:hint="eastAsia" w:ascii="黑体" w:hAnsi="黑体" w:eastAsia="黑体" w:cs="黑体"/>
          <w:color w:val="auto"/>
          <w:spacing w:val="-2"/>
          <w:sz w:val="24"/>
          <w:szCs w:val="24"/>
          <w:highlight w:val="none"/>
        </w:rPr>
        <w:t>供应商为法人或者其</w:t>
      </w:r>
      <w:r>
        <w:rPr>
          <w:rFonts w:hint="eastAsia" w:ascii="黑体" w:hAnsi="黑体" w:eastAsia="黑体" w:cs="黑体"/>
          <w:color w:val="auto"/>
          <w:spacing w:val="-8"/>
          <w:sz w:val="24"/>
          <w:szCs w:val="24"/>
          <w:highlight w:val="none"/>
        </w:rPr>
        <w:t>他组织的，质疑函应由法定代表人、主要负责人，或者其授权</w:t>
      </w:r>
      <w:r>
        <w:rPr>
          <w:rFonts w:hint="eastAsia" w:ascii="黑体" w:hAnsi="黑体" w:eastAsia="黑体" w:cs="黑体"/>
          <w:color w:val="auto"/>
          <w:spacing w:val="-9"/>
          <w:sz w:val="24"/>
          <w:szCs w:val="24"/>
          <w:highlight w:val="none"/>
        </w:rPr>
        <w:t>代表签字或者盖章，</w:t>
      </w:r>
      <w:r>
        <w:rPr>
          <w:rFonts w:hint="eastAsia" w:ascii="黑体" w:hAnsi="黑体" w:eastAsia="黑体" w:cs="黑体"/>
          <w:color w:val="auto"/>
          <w:spacing w:val="-5"/>
          <w:sz w:val="24"/>
          <w:szCs w:val="24"/>
          <w:highlight w:val="none"/>
        </w:rPr>
        <w:t>并加盖公章。</w:t>
      </w:r>
    </w:p>
    <w:p w14:paraId="0A4F053F">
      <w:pPr>
        <w:keepNext w:val="0"/>
        <w:keepLines w:val="0"/>
        <w:pageBreakBefore w:val="0"/>
        <w:widowControl/>
        <w:kinsoku w:val="0"/>
        <w:wordWrap/>
        <w:overflowPunct/>
        <w:topLinePunct w:val="0"/>
        <w:autoSpaceDE w:val="0"/>
        <w:autoSpaceDN w:val="0"/>
        <w:bidi w:val="0"/>
        <w:adjustRightInd w:val="0"/>
        <w:snapToGrid w:val="0"/>
        <w:spacing w:line="400" w:lineRule="exact"/>
        <w:ind w:left="52" w:leftChars="0" w:right="0" w:hanging="52" w:hangingChars="22"/>
        <w:jc w:val="left"/>
        <w:textAlignment w:val="baseline"/>
        <w:rPr>
          <w:rFonts w:hint="eastAsia" w:ascii="宋体" w:hAnsi="宋体" w:eastAsia="宋体" w:cs="宋体"/>
          <w:color w:val="auto"/>
          <w:sz w:val="24"/>
          <w:szCs w:val="24"/>
          <w:highlight w:val="none"/>
        </w:rPr>
        <w:sectPr>
          <w:footerReference r:id="rId7" w:type="default"/>
          <w:pgSz w:w="11906" w:h="16840"/>
          <w:pgMar w:top="1431" w:right="1480" w:bottom="1128" w:left="1785" w:header="0" w:footer="914" w:gutter="0"/>
          <w:pgBorders>
            <w:top w:val="none" w:sz="0" w:space="0"/>
            <w:left w:val="none" w:sz="0" w:space="0"/>
            <w:bottom w:val="none" w:sz="0" w:space="0"/>
            <w:right w:val="none" w:sz="0" w:space="0"/>
          </w:pgBorders>
          <w:pgNumType w:fmt="decimal" w:start="1"/>
          <w:cols w:space="720" w:num="1"/>
        </w:sectPr>
      </w:pPr>
    </w:p>
    <w:p w14:paraId="1B6E5853">
      <w:pPr>
        <w:pStyle w:val="10"/>
        <w:keepNext w:val="0"/>
        <w:keepLines w:val="0"/>
        <w:pageBreakBefore w:val="0"/>
        <w:widowControl/>
        <w:kinsoku/>
        <w:wordWrap w:val="0"/>
        <w:overflowPunct/>
        <w:topLinePunct w:val="0"/>
        <w:bidi w:val="0"/>
        <w:spacing w:line="219"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b/>
          <w:bCs/>
          <w:color w:val="auto"/>
          <w:spacing w:val="-6"/>
          <w:sz w:val="24"/>
          <w:szCs w:val="24"/>
          <w:highlight w:val="none"/>
        </w:rPr>
        <w:t>附件1：履约保证金保函（格式）</w:t>
      </w:r>
    </w:p>
    <w:p w14:paraId="70468846">
      <w:pPr>
        <w:keepNext w:val="0"/>
        <w:keepLines w:val="0"/>
        <w:pageBreakBefore w:val="0"/>
        <w:widowControl/>
        <w:kinsoku/>
        <w:wordWrap w:val="0"/>
        <w:overflowPunct/>
        <w:topLinePunct w:val="0"/>
        <w:bidi w:val="0"/>
        <w:spacing w:line="391" w:lineRule="exact"/>
        <w:ind w:left="0" w:leftChars="0" w:right="0"/>
        <w:jc w:val="center"/>
        <w:outlineLvl w:val="1"/>
        <w:rPr>
          <w:rFonts w:hint="eastAsia" w:ascii="黑体" w:hAnsi="黑体" w:eastAsia="黑体" w:cs="黑体"/>
          <w:color w:val="auto"/>
          <w:sz w:val="24"/>
          <w:szCs w:val="24"/>
          <w:highlight w:val="none"/>
        </w:rPr>
      </w:pPr>
      <w:bookmarkStart w:id="90" w:name="_Toc21306"/>
      <w:bookmarkStart w:id="91" w:name="_Toc1314"/>
      <w:r>
        <w:rPr>
          <w:rFonts w:hint="eastAsia" w:ascii="黑体" w:hAnsi="黑体" w:eastAsia="黑体" w:cs="黑体"/>
          <w:b/>
          <w:bCs/>
          <w:color w:val="auto"/>
          <w:spacing w:val="-5"/>
          <w:position w:val="3"/>
          <w:sz w:val="24"/>
          <w:szCs w:val="24"/>
          <w:highlight w:val="none"/>
        </w:rPr>
        <w:t>(中标后开具）</w:t>
      </w:r>
      <w:bookmarkEnd w:id="90"/>
      <w:bookmarkEnd w:id="91"/>
    </w:p>
    <w:p w14:paraId="1EB223C2">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pacing w:val="-3"/>
          <w:sz w:val="24"/>
          <w:szCs w:val="24"/>
          <w:highlight w:val="none"/>
        </w:rPr>
      </w:pPr>
      <w:r>
        <w:rPr>
          <w:rFonts w:hint="eastAsia" w:ascii="黑体" w:hAnsi="黑体" w:eastAsia="黑体" w:cs="黑体"/>
          <w:color w:val="auto"/>
          <w:spacing w:val="-3"/>
          <w:sz w:val="24"/>
          <w:szCs w:val="24"/>
          <w:highlight w:val="none"/>
        </w:rPr>
        <w:t>致:(</w:t>
      </w:r>
      <w:r>
        <w:rPr>
          <w:rFonts w:hint="eastAsia" w:ascii="黑体" w:hAnsi="黑体" w:eastAsia="黑体" w:cs="黑体"/>
          <w:i/>
          <w:iCs/>
          <w:color w:val="auto"/>
          <w:spacing w:val="-3"/>
          <w:sz w:val="24"/>
          <w:szCs w:val="24"/>
          <w:highlight w:val="none"/>
          <w:u w:val="single" w:color="auto"/>
        </w:rPr>
        <w:t>买方名称</w:t>
      </w:r>
      <w:r>
        <w:rPr>
          <w:rFonts w:hint="eastAsia" w:ascii="黑体" w:hAnsi="黑体" w:eastAsia="黑体" w:cs="黑体"/>
          <w:color w:val="auto"/>
          <w:spacing w:val="-3"/>
          <w:sz w:val="24"/>
          <w:szCs w:val="24"/>
          <w:highlight w:val="none"/>
        </w:rPr>
        <w:t>)</w:t>
      </w:r>
    </w:p>
    <w:p w14:paraId="4601456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u w:val="single"/>
          <w:lang w:val="en-US" w:eastAsia="zh-CN"/>
        </w:rPr>
        <w:t xml:space="preserve">                 </w:t>
      </w:r>
      <w:r>
        <w:rPr>
          <w:rFonts w:hint="eastAsia" w:ascii="黑体" w:hAnsi="黑体" w:eastAsia="黑体" w:cs="黑体"/>
          <w:color w:val="auto"/>
          <w:spacing w:val="-3"/>
          <w:sz w:val="24"/>
          <w:szCs w:val="24"/>
          <w:highlight w:val="none"/>
        </w:rPr>
        <w:t>号合同履约保函</w:t>
      </w:r>
    </w:p>
    <w:p w14:paraId="726C302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701"/>
        <w:jc w:val="both"/>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15"/>
          <w:sz w:val="24"/>
          <w:szCs w:val="24"/>
          <w:highlight w:val="none"/>
        </w:rPr>
        <w:t>本保函作为贵方与(</w:t>
      </w:r>
      <w:r>
        <w:rPr>
          <w:rFonts w:hint="eastAsia" w:ascii="黑体" w:hAnsi="黑体" w:eastAsia="黑体" w:cs="黑体"/>
          <w:i/>
          <w:iCs/>
          <w:color w:val="auto"/>
          <w:spacing w:val="15"/>
          <w:sz w:val="24"/>
          <w:szCs w:val="24"/>
          <w:highlight w:val="none"/>
          <w:u w:val="single" w:color="auto"/>
        </w:rPr>
        <w:t>卖方名称</w:t>
      </w:r>
      <w:r>
        <w:rPr>
          <w:rFonts w:hint="eastAsia" w:ascii="黑体" w:hAnsi="黑体" w:eastAsia="黑体" w:cs="黑体"/>
          <w:color w:val="auto"/>
          <w:spacing w:val="15"/>
          <w:sz w:val="24"/>
          <w:szCs w:val="24"/>
          <w:highlight w:val="none"/>
        </w:rPr>
        <w:t>)(以下简称卖方)于年月</w:t>
      </w:r>
      <w:r>
        <w:rPr>
          <w:rFonts w:hint="eastAsia" w:ascii="黑体" w:hAnsi="黑体" w:eastAsia="黑体" w:cs="黑体"/>
          <w:color w:val="auto"/>
          <w:spacing w:val="-2"/>
          <w:sz w:val="24"/>
          <w:szCs w:val="24"/>
          <w:highlight w:val="none"/>
        </w:rPr>
        <w:t>日就项目(以下简称项目)项下提供(</w:t>
      </w:r>
      <w:r>
        <w:rPr>
          <w:rFonts w:hint="eastAsia" w:ascii="黑体" w:hAnsi="黑体" w:eastAsia="黑体" w:cs="黑体"/>
          <w:i/>
          <w:iCs/>
          <w:color w:val="auto"/>
          <w:spacing w:val="-2"/>
          <w:sz w:val="24"/>
          <w:szCs w:val="24"/>
          <w:highlight w:val="none"/>
          <w:u w:val="single" w:color="auto"/>
        </w:rPr>
        <w:t>服务名称</w:t>
      </w:r>
      <w:r>
        <w:rPr>
          <w:rFonts w:hint="eastAsia" w:ascii="黑体" w:hAnsi="黑体" w:eastAsia="黑体" w:cs="黑体"/>
          <w:color w:val="auto"/>
          <w:spacing w:val="-2"/>
          <w:sz w:val="24"/>
          <w:szCs w:val="24"/>
          <w:highlight w:val="none"/>
        </w:rPr>
        <w:t>)(以下简称</w:t>
      </w:r>
      <w:r>
        <w:rPr>
          <w:rFonts w:hint="eastAsia" w:ascii="黑体" w:hAnsi="黑体" w:eastAsia="黑体" w:cs="黑体"/>
          <w:color w:val="auto"/>
          <w:spacing w:val="-1"/>
          <w:sz w:val="24"/>
          <w:szCs w:val="24"/>
          <w:highlight w:val="none"/>
        </w:rPr>
        <w:t>服务)签订的(</w:t>
      </w:r>
      <w:r>
        <w:rPr>
          <w:rFonts w:hint="eastAsia" w:ascii="黑体" w:hAnsi="黑体" w:eastAsia="黑体" w:cs="黑体"/>
          <w:i/>
          <w:iCs/>
          <w:color w:val="auto"/>
          <w:spacing w:val="-1"/>
          <w:sz w:val="24"/>
          <w:szCs w:val="24"/>
          <w:highlight w:val="none"/>
          <w:u w:val="single" w:color="auto"/>
        </w:rPr>
        <w:t>合同号</w:t>
      </w:r>
      <w:r>
        <w:rPr>
          <w:rFonts w:hint="eastAsia" w:ascii="黑体" w:hAnsi="黑体" w:eastAsia="黑体" w:cs="黑体"/>
          <w:color w:val="auto"/>
          <w:spacing w:val="-1"/>
          <w:sz w:val="24"/>
          <w:szCs w:val="24"/>
          <w:highlight w:val="none"/>
        </w:rPr>
        <w:t>)号合同的履约保函。</w:t>
      </w:r>
    </w:p>
    <w:p w14:paraId="0C11231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701"/>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w:t>
      </w:r>
      <w:r>
        <w:rPr>
          <w:rFonts w:hint="eastAsia" w:ascii="黑体" w:hAnsi="黑体" w:eastAsia="黑体" w:cs="黑体"/>
          <w:i/>
          <w:iCs/>
          <w:color w:val="auto"/>
          <w:spacing w:val="-6"/>
          <w:sz w:val="24"/>
          <w:szCs w:val="24"/>
          <w:highlight w:val="none"/>
          <w:u w:val="single" w:color="auto"/>
        </w:rPr>
        <w:t>出具保函的银行名称</w:t>
      </w:r>
      <w:r>
        <w:rPr>
          <w:rFonts w:hint="eastAsia" w:ascii="黑体" w:hAnsi="黑体" w:eastAsia="黑体" w:cs="黑体"/>
          <w:color w:val="auto"/>
          <w:spacing w:val="-6"/>
          <w:sz w:val="24"/>
          <w:szCs w:val="24"/>
          <w:highlight w:val="none"/>
        </w:rPr>
        <w:t>)(以下简称银行)无条件地、不可撤销地具结保证本</w:t>
      </w:r>
      <w:r>
        <w:rPr>
          <w:rFonts w:hint="eastAsia" w:ascii="黑体" w:hAnsi="黑体" w:eastAsia="黑体" w:cs="黑体"/>
          <w:color w:val="auto"/>
          <w:spacing w:val="3"/>
          <w:sz w:val="24"/>
          <w:szCs w:val="24"/>
          <w:highlight w:val="none"/>
        </w:rPr>
        <w:t>行、其继承人和受让人无追索地向贵方以(</w:t>
      </w:r>
      <w:r>
        <w:rPr>
          <w:rFonts w:hint="eastAsia" w:ascii="黑体" w:hAnsi="黑体" w:eastAsia="黑体" w:cs="黑体"/>
          <w:i/>
          <w:iCs/>
          <w:color w:val="auto"/>
          <w:spacing w:val="3"/>
          <w:sz w:val="24"/>
          <w:szCs w:val="24"/>
          <w:highlight w:val="none"/>
          <w:u w:val="single" w:color="auto"/>
        </w:rPr>
        <w:t>货币名称</w:t>
      </w:r>
      <w:r>
        <w:rPr>
          <w:rFonts w:hint="eastAsia" w:ascii="黑体" w:hAnsi="黑体" w:eastAsia="黑体" w:cs="黑体"/>
          <w:color w:val="auto"/>
          <w:spacing w:val="3"/>
          <w:sz w:val="24"/>
          <w:szCs w:val="24"/>
          <w:highlight w:val="none"/>
        </w:rPr>
        <w:t>)支付总额不超过(</w:t>
      </w:r>
      <w:r>
        <w:rPr>
          <w:rFonts w:hint="eastAsia" w:ascii="黑体" w:hAnsi="黑体" w:eastAsia="黑体" w:cs="黑体"/>
          <w:i/>
          <w:iCs/>
          <w:color w:val="auto"/>
          <w:spacing w:val="3"/>
          <w:sz w:val="24"/>
          <w:szCs w:val="24"/>
          <w:highlight w:val="none"/>
          <w:u w:val="single" w:color="auto"/>
        </w:rPr>
        <w:t>货币数</w:t>
      </w:r>
      <w:r>
        <w:rPr>
          <w:rFonts w:hint="eastAsia" w:ascii="黑体" w:hAnsi="黑体" w:eastAsia="黑体" w:cs="黑体"/>
          <w:i/>
          <w:iCs/>
          <w:color w:val="auto"/>
          <w:spacing w:val="2"/>
          <w:sz w:val="24"/>
          <w:szCs w:val="24"/>
          <w:highlight w:val="none"/>
          <w:u w:val="single" w:color="auto"/>
        </w:rPr>
        <w:t>量</w:t>
      </w:r>
      <w:r>
        <w:rPr>
          <w:rFonts w:hint="eastAsia" w:ascii="黑体" w:hAnsi="黑体" w:eastAsia="黑体" w:cs="黑体"/>
          <w:color w:val="auto"/>
          <w:spacing w:val="2"/>
          <w:sz w:val="24"/>
          <w:szCs w:val="24"/>
          <w:highlight w:val="none"/>
        </w:rPr>
        <w:t>),即相当于合同价格的%,并以此约定如下:</w:t>
      </w:r>
    </w:p>
    <w:p w14:paraId="1A170507">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6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1.只要贵方确定卖方未能忠实地履行所有合同文件的规定和双方此后一</w:t>
      </w:r>
      <w:r>
        <w:rPr>
          <w:rFonts w:hint="eastAsia" w:ascii="黑体" w:hAnsi="黑体" w:eastAsia="黑体" w:cs="黑体"/>
          <w:color w:val="auto"/>
          <w:spacing w:val="1"/>
          <w:sz w:val="24"/>
          <w:szCs w:val="24"/>
          <w:highlight w:val="none"/>
        </w:rPr>
        <w:t>致同意的修改、补充和变动,包括更改和/或修补贵方认为有缺陷的服务</w:t>
      </w:r>
      <w:r>
        <w:rPr>
          <w:rFonts w:hint="eastAsia" w:ascii="黑体" w:hAnsi="黑体" w:eastAsia="黑体" w:cs="黑体"/>
          <w:color w:val="auto"/>
          <w:spacing w:val="7"/>
          <w:sz w:val="24"/>
          <w:szCs w:val="24"/>
          <w:highlight w:val="none"/>
        </w:rPr>
        <w:t>(以下简称违约),无论卖方有任何反对,本行将凭贵</w:t>
      </w:r>
      <w:r>
        <w:rPr>
          <w:rFonts w:hint="eastAsia" w:ascii="黑体" w:hAnsi="黑体" w:eastAsia="黑体" w:cs="黑体"/>
          <w:color w:val="auto"/>
          <w:spacing w:val="6"/>
          <w:sz w:val="24"/>
          <w:szCs w:val="24"/>
          <w:highlight w:val="none"/>
        </w:rPr>
        <w:t>方关于卖方违约说明</w:t>
      </w:r>
      <w:r>
        <w:rPr>
          <w:rFonts w:hint="eastAsia" w:ascii="黑体" w:hAnsi="黑体" w:eastAsia="黑体" w:cs="黑体"/>
          <w:color w:val="auto"/>
          <w:spacing w:val="2"/>
          <w:sz w:val="24"/>
          <w:szCs w:val="24"/>
          <w:highlight w:val="none"/>
        </w:rPr>
        <w:t>的书面通知,立即按贵方提出的累计总额不超过上述金额的款项和按贵方</w:t>
      </w:r>
      <w:r>
        <w:rPr>
          <w:rFonts w:hint="eastAsia" w:ascii="黑体" w:hAnsi="黑体" w:eastAsia="黑体" w:cs="黑体"/>
          <w:color w:val="auto"/>
          <w:spacing w:val="-1"/>
          <w:sz w:val="24"/>
          <w:szCs w:val="24"/>
          <w:highlight w:val="none"/>
        </w:rPr>
        <w:t>通知规定的方式付给贵方。</w:t>
      </w:r>
    </w:p>
    <w:p w14:paraId="57BEAD61">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75" w:firstLineChars="166"/>
        <w:jc w:val="both"/>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2.本保函项下的任何支付应为免税和净值。对于现有或将来的</w:t>
      </w:r>
      <w:r>
        <w:rPr>
          <w:rFonts w:hint="eastAsia" w:ascii="黑体" w:hAnsi="黑体" w:eastAsia="黑体" w:cs="黑体"/>
          <w:color w:val="auto"/>
          <w:spacing w:val="-8"/>
          <w:sz w:val="24"/>
          <w:szCs w:val="24"/>
          <w:highlight w:val="none"/>
        </w:rPr>
        <w:t>税收、关税、</w:t>
      </w:r>
      <w:r>
        <w:rPr>
          <w:rFonts w:hint="eastAsia" w:ascii="黑体" w:hAnsi="黑体" w:eastAsia="黑体" w:cs="黑体"/>
          <w:color w:val="auto"/>
          <w:spacing w:val="-2"/>
          <w:sz w:val="24"/>
          <w:szCs w:val="24"/>
          <w:highlight w:val="none"/>
        </w:rPr>
        <w:t>收费、费用扣减或预提税款，不论这些款项是何种性质和由谁征收，都不</w:t>
      </w:r>
      <w:r>
        <w:rPr>
          <w:rFonts w:hint="eastAsia" w:ascii="黑体" w:hAnsi="黑体" w:eastAsia="黑体" w:cs="黑体"/>
          <w:color w:val="auto"/>
          <w:spacing w:val="-3"/>
          <w:sz w:val="24"/>
          <w:szCs w:val="24"/>
          <w:highlight w:val="none"/>
        </w:rPr>
        <w:t>应从本保函项下的支付中扣除。</w:t>
      </w:r>
    </w:p>
    <w:p w14:paraId="4C0B2BC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1" w:firstLineChars="166"/>
        <w:textAlignment w:val="baseline"/>
        <w:outlineLvl w:val="1"/>
        <w:rPr>
          <w:rFonts w:hint="eastAsia" w:ascii="黑体" w:hAnsi="黑体" w:eastAsia="黑体" w:cs="黑体"/>
          <w:color w:val="auto"/>
          <w:sz w:val="24"/>
          <w:szCs w:val="24"/>
          <w:highlight w:val="none"/>
        </w:rPr>
      </w:pPr>
      <w:bookmarkStart w:id="92" w:name="_Toc2929"/>
      <w:bookmarkStart w:id="93" w:name="_Toc1444"/>
      <w:r>
        <w:rPr>
          <w:rFonts w:hint="eastAsia" w:ascii="黑体" w:hAnsi="黑体" w:eastAsia="黑体" w:cs="黑体"/>
          <w:color w:val="auto"/>
          <w:spacing w:val="-2"/>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rFonts w:hint="eastAsia" w:ascii="黑体" w:hAnsi="黑体" w:eastAsia="黑体" w:cs="黑体"/>
          <w:color w:val="auto"/>
          <w:spacing w:val="-9"/>
          <w:sz w:val="24"/>
          <w:szCs w:val="24"/>
          <w:highlight w:val="none"/>
        </w:rPr>
        <w:t>下的责任。</w:t>
      </w:r>
      <w:bookmarkEnd w:id="92"/>
      <w:bookmarkEnd w:id="93"/>
    </w:p>
    <w:p w14:paraId="1CB117C8">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5" w:firstLineChars="166"/>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4.本保函在本合同规定的保证期期满前完全有效。</w:t>
      </w:r>
    </w:p>
    <w:p w14:paraId="66773DC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谨启</w:t>
      </w:r>
    </w:p>
    <w:p w14:paraId="3FDBF9F9">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24"/>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出具保函银行名称：</w:t>
      </w:r>
    </w:p>
    <w:p w14:paraId="448410B5">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24"/>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签字人姓名和职务：</w:t>
      </w:r>
    </w:p>
    <w:p w14:paraId="7070905F">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24"/>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签字人签名：</w:t>
      </w:r>
    </w:p>
    <w:p w14:paraId="51A5261C">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24"/>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公章：</w:t>
      </w:r>
    </w:p>
    <w:p w14:paraId="0372EEF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highlight w:val="none"/>
        </w:rPr>
        <w:sectPr>
          <w:footerReference r:id="rId8" w:type="default"/>
          <w:pgSz w:w="11906" w:h="16838"/>
          <w:pgMar w:top="400" w:right="1785" w:bottom="1171" w:left="1682" w:header="0" w:footer="996" w:gutter="0"/>
          <w:pgBorders>
            <w:top w:val="none" w:sz="0" w:space="0"/>
            <w:left w:val="none" w:sz="0" w:space="0"/>
            <w:bottom w:val="none" w:sz="0" w:space="0"/>
            <w:right w:val="none" w:sz="0" w:space="0"/>
          </w:pgBorders>
          <w:pgNumType w:fmt="decimal"/>
          <w:cols w:space="720" w:num="1"/>
        </w:sectPr>
      </w:pPr>
    </w:p>
    <w:p w14:paraId="78A33EE6">
      <w:pPr>
        <w:pStyle w:val="4"/>
        <w:spacing w:before="0" w:line="360" w:lineRule="auto"/>
        <w:jc w:val="center"/>
        <w:rPr>
          <w:rFonts w:hint="eastAsia" w:ascii="黑体" w:hAnsi="黑体" w:eastAsia="黑体" w:cs="黑体"/>
          <w:color w:val="auto"/>
          <w:sz w:val="24"/>
          <w:szCs w:val="24"/>
          <w:highlight w:val="none"/>
        </w:rPr>
      </w:pPr>
      <w:bookmarkStart w:id="94" w:name="_Toc4942"/>
      <w:bookmarkStart w:id="95" w:name="_Toc18673"/>
      <w:bookmarkStart w:id="96" w:name="_Toc22508"/>
      <w:bookmarkStart w:id="97" w:name="_Toc10501"/>
      <w:r>
        <w:rPr>
          <w:rFonts w:hint="eastAsia" w:ascii="黑体" w:hAnsi="黑体" w:eastAsia="黑体" w:cs="黑体"/>
          <w:color w:val="auto"/>
          <w:sz w:val="24"/>
          <w:szCs w:val="24"/>
          <w:highlight w:val="none"/>
        </w:rPr>
        <w:t>附件2：履约担保函格式</w:t>
      </w:r>
      <w:bookmarkEnd w:id="94"/>
      <w:bookmarkEnd w:id="95"/>
      <w:bookmarkEnd w:id="96"/>
      <w:bookmarkEnd w:id="97"/>
    </w:p>
    <w:p w14:paraId="13614A1E">
      <w:pPr>
        <w:pStyle w:val="4"/>
        <w:spacing w:before="0" w:line="360" w:lineRule="auto"/>
        <w:ind w:left="1080" w:leftChars="257" w:hanging="540"/>
        <w:rPr>
          <w:rFonts w:hint="eastAsia" w:ascii="黑体" w:hAnsi="黑体" w:eastAsia="黑体" w:cs="黑体"/>
          <w:color w:val="auto"/>
          <w:sz w:val="24"/>
          <w:szCs w:val="24"/>
          <w:highlight w:val="none"/>
          <w:lang w:eastAsia="zh-CN"/>
        </w:rPr>
      </w:pPr>
      <w:bookmarkStart w:id="98" w:name="_Toc162"/>
      <w:bookmarkStart w:id="99" w:name="_Toc16607"/>
      <w:bookmarkStart w:id="100" w:name="_Toc515647801"/>
      <w:bookmarkStart w:id="101" w:name="_Toc13962"/>
      <w:bookmarkStart w:id="102" w:name="_Toc22956"/>
      <w:bookmarkStart w:id="103" w:name="_Toc10377"/>
      <w:bookmarkStart w:id="104" w:name="_Toc22820"/>
      <w:bookmarkStart w:id="105" w:name="_Toc10268"/>
      <w:bookmarkStart w:id="106" w:name="_Toc28401"/>
      <w:bookmarkStart w:id="107" w:name="_Toc32380"/>
      <w:bookmarkStart w:id="108" w:name="_Toc21934"/>
      <w:bookmarkStart w:id="109" w:name="_Toc14608"/>
      <w:r>
        <w:rPr>
          <w:rFonts w:hint="eastAsia" w:ascii="黑体" w:hAnsi="黑体" w:eastAsia="黑体" w:cs="黑体"/>
          <w:color w:val="auto"/>
          <w:sz w:val="24"/>
          <w:szCs w:val="24"/>
          <w:highlight w:val="none"/>
        </w:rPr>
        <w:t>（采用政府采购信用担保形式时使用</w:t>
      </w:r>
      <w:bookmarkEnd w:id="98"/>
      <w:bookmarkEnd w:id="99"/>
      <w:bookmarkEnd w:id="100"/>
      <w:bookmarkEnd w:id="101"/>
      <w:r>
        <w:rPr>
          <w:rFonts w:hint="eastAsia" w:ascii="黑体" w:hAnsi="黑体" w:eastAsia="黑体" w:cs="黑体"/>
          <w:color w:val="auto"/>
          <w:sz w:val="24"/>
          <w:szCs w:val="24"/>
          <w:highlight w:val="none"/>
          <w:lang w:eastAsia="zh-CN"/>
        </w:rPr>
        <w:t>）</w:t>
      </w:r>
      <w:bookmarkEnd w:id="102"/>
      <w:bookmarkEnd w:id="103"/>
      <w:bookmarkEnd w:id="104"/>
      <w:bookmarkEnd w:id="105"/>
      <w:bookmarkEnd w:id="106"/>
      <w:bookmarkEnd w:id="107"/>
      <w:bookmarkEnd w:id="108"/>
      <w:bookmarkEnd w:id="109"/>
    </w:p>
    <w:p w14:paraId="10843349">
      <w:pPr>
        <w:spacing w:line="360" w:lineRule="auto"/>
        <w:jc w:val="center"/>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政府采购履约担保函</w:t>
      </w:r>
      <w:r>
        <w:rPr>
          <w:rFonts w:hint="eastAsia" w:ascii="黑体" w:hAnsi="黑体" w:eastAsia="黑体" w:cs="黑体"/>
          <w:b/>
          <w:color w:val="auto"/>
          <w:sz w:val="24"/>
          <w:szCs w:val="24"/>
          <w:highlight w:val="none"/>
        </w:rPr>
        <w:t>（本项目适用）</w:t>
      </w:r>
    </w:p>
    <w:p w14:paraId="44C24516">
      <w:pPr>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编号：</w:t>
      </w:r>
      <w:r>
        <w:rPr>
          <w:rFonts w:hint="eastAsia" w:ascii="黑体" w:hAnsi="黑体" w:eastAsia="黑体" w:cs="黑体"/>
          <w:color w:val="auto"/>
          <w:sz w:val="24"/>
          <w:szCs w:val="24"/>
          <w:highlight w:val="none"/>
          <w:u w:val="single"/>
        </w:rPr>
        <w:t xml:space="preserve">                  </w:t>
      </w:r>
    </w:p>
    <w:p w14:paraId="244E7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（采购人）：</w:t>
      </w:r>
    </w:p>
    <w:p w14:paraId="4C0B8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鉴于你方与</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（以下简称供应商）于</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日签</w:t>
      </w:r>
      <w:r>
        <w:rPr>
          <w:rFonts w:hint="eastAsia" w:ascii="黑体" w:hAnsi="黑体" w:eastAsia="黑体" w:cs="黑体"/>
          <w:color w:val="auto"/>
          <w:sz w:val="24"/>
          <w:szCs w:val="24"/>
          <w:highlight w:val="none"/>
          <w:lang w:eastAsia="zh-CN"/>
        </w:rPr>
        <w:t>订</w:t>
      </w:r>
      <w:r>
        <w:rPr>
          <w:rFonts w:hint="eastAsia" w:ascii="黑体" w:hAnsi="黑体" w:eastAsia="黑体" w:cs="黑体"/>
          <w:color w:val="auto"/>
          <w:sz w:val="24"/>
          <w:szCs w:val="24"/>
          <w:highlight w:val="none"/>
        </w:rPr>
        <w:t>编号为</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的《</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政府采购合同》（以下简称主合同），且依据该合同的约定，供应商应在</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日前向你方交纳履约保证金，且可以履约担保函的形式交纳履约保证金。应供应商的申请，我方以保证的方式向你方提供如下履约保证金担保：</w:t>
      </w:r>
    </w:p>
    <w:p w14:paraId="413DF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一、保证责任的情形及保证金额</w:t>
      </w:r>
    </w:p>
    <w:p w14:paraId="7B9E8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（一）在供应商出现下列情形之一时，我方承担保证责任：</w:t>
      </w:r>
    </w:p>
    <w:p w14:paraId="4A9CD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1．将中标项目转让给他人，或者在</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中未说明，且未经采购人同意，将中标项目分包给他人的；</w:t>
      </w:r>
    </w:p>
    <w:p w14:paraId="1B103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2．主合同约定的应当缴纳履约保证金的情形</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p>
    <w:p w14:paraId="3E3B9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（1）未按主合同约定的质量、数量和期限供应货物/提供服务/完成工程的；</w:t>
      </w:r>
    </w:p>
    <w:p w14:paraId="2C03D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DD6E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（二）我方的保证范围是主合同约定的合同价款总额的</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数额为</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），币种为</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。（即主合同履约保证金金额）</w:t>
      </w:r>
    </w:p>
    <w:p w14:paraId="1DD1E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二、保证的方式及保证期间</w:t>
      </w:r>
    </w:p>
    <w:p w14:paraId="70F2F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我方保证的方式为：连带责任保证。</w:t>
      </w:r>
    </w:p>
    <w:p w14:paraId="43F33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我方保证的期间为：自本合同生效之日起至供应商按照主合同约定的供货/完工期限届满后</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日内。</w:t>
      </w:r>
    </w:p>
    <w:p w14:paraId="63BC1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如果供应商未按主合同约定向贵方供应货物/提供服务/完成工程的，由我方在保证金额内向你方支付上述款项。</w:t>
      </w:r>
    </w:p>
    <w:p w14:paraId="0CA6F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三、承担保证责任的程序</w:t>
      </w:r>
    </w:p>
    <w:p w14:paraId="6A68D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1．你方要求我方承担保证责任的，应在本保函保证期间内向我方发出书面索赔通知。索赔通知应写明要求索赔的金额，支付款项应到达</w:t>
      </w:r>
      <w:r>
        <w:rPr>
          <w:rFonts w:hint="eastAsia" w:ascii="黑体" w:hAnsi="黑体" w:eastAsia="黑体" w:cs="黑体"/>
          <w:color w:val="auto"/>
          <w:sz w:val="24"/>
          <w:szCs w:val="24"/>
          <w:highlight w:val="none"/>
          <w:lang w:eastAsia="zh-CN"/>
        </w:rPr>
        <w:t>的账号</w:t>
      </w:r>
      <w:r>
        <w:rPr>
          <w:rFonts w:hint="eastAsia" w:ascii="黑体" w:hAnsi="黑体" w:eastAsia="黑体" w:cs="黑体"/>
          <w:color w:val="auto"/>
          <w:sz w:val="24"/>
          <w:szCs w:val="24"/>
          <w:highlight w:val="none"/>
        </w:rPr>
        <w:t>。并附有证明供应商违约事实的证明材料。</w:t>
      </w:r>
    </w:p>
    <w:p w14:paraId="2E124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如果你方与供应商因</w:t>
      </w:r>
      <w:r>
        <w:rPr>
          <w:rFonts w:hint="eastAsia" w:ascii="黑体" w:hAnsi="黑体" w:eastAsia="黑体" w:cs="黑体"/>
          <w:color w:val="auto"/>
          <w:sz w:val="24"/>
          <w:szCs w:val="24"/>
          <w:highlight w:val="none"/>
          <w:lang w:eastAsia="zh-CN"/>
        </w:rPr>
        <w:t>服务</w:t>
      </w:r>
      <w:r>
        <w:rPr>
          <w:rFonts w:hint="eastAsia" w:ascii="黑体" w:hAnsi="黑体" w:eastAsia="黑体" w:cs="黑体"/>
          <w:color w:val="auto"/>
          <w:sz w:val="24"/>
          <w:szCs w:val="24"/>
          <w:highlight w:val="none"/>
        </w:rPr>
        <w:t>质量问题产生争议，你方还需同时提供</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部门出具的质量检测报告，或经诉讼（仲裁）程序裁决后的裁决书、调解书，本保证人即按照检测结果或裁决书、调解书决定是否承担保证责任。</w:t>
      </w:r>
    </w:p>
    <w:p w14:paraId="03DBF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 我方收到你方的书面索赔通知及相应证明材料，在</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工作日内进行核定后按照本保函的承诺承担保证责任。</w:t>
      </w:r>
    </w:p>
    <w:p w14:paraId="690B1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四、保证责任的终止</w:t>
      </w:r>
    </w:p>
    <w:p w14:paraId="56FF7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DC83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2．我方按照本保函向你方履行了保证责任后，自我方向你方支付款项（支付款项从我方账户划出）之日起，保证责任即终止。</w:t>
      </w:r>
    </w:p>
    <w:p w14:paraId="2ED6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3．按照法律法规的规定或出现应终止我方保证责任</w:t>
      </w:r>
      <w:r>
        <w:rPr>
          <w:rFonts w:hint="eastAsia" w:ascii="黑体" w:hAnsi="黑体" w:eastAsia="黑体" w:cs="黑体"/>
          <w:color w:val="auto"/>
          <w:sz w:val="24"/>
          <w:szCs w:val="24"/>
          <w:highlight w:val="none"/>
          <w:lang w:eastAsia="zh-CN"/>
        </w:rPr>
        <w:t>的其他情形</w:t>
      </w:r>
      <w:r>
        <w:rPr>
          <w:rFonts w:hint="eastAsia" w:ascii="黑体" w:hAnsi="黑体" w:eastAsia="黑体" w:cs="黑体"/>
          <w:color w:val="auto"/>
          <w:sz w:val="24"/>
          <w:szCs w:val="24"/>
          <w:highlight w:val="none"/>
        </w:rPr>
        <w:t>的，我方在本保函项下的保证责任亦终止。</w:t>
      </w:r>
    </w:p>
    <w:p w14:paraId="56F34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345F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五、免责条款</w:t>
      </w:r>
    </w:p>
    <w:p w14:paraId="6A7E0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1．因你方违反主合同约定致使供应商不能履行义务的，我方不承担保证责任。</w:t>
      </w:r>
    </w:p>
    <w:p w14:paraId="093B2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2．依照法律法规的规定或你方与供应商的另行约定，全部或者部分免除供应商应缴纳的保证金义务的，我方亦免除相应的保证责任。</w:t>
      </w:r>
    </w:p>
    <w:p w14:paraId="72916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3．因不可抗力造成供应商不能履行供货义务的，我方不承担保证责任。</w:t>
      </w:r>
    </w:p>
    <w:p w14:paraId="462E9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六、争议的解决</w:t>
      </w:r>
    </w:p>
    <w:p w14:paraId="46E89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因本保函发生的纠纷，由你我双方协商解决，协商不成的，通过诉讼程序解决，诉讼管辖地法院为</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法院。</w:t>
      </w:r>
      <w:r>
        <w:rPr>
          <w:rFonts w:hint="eastAsia" w:ascii="黑体" w:hAnsi="黑体" w:eastAsia="黑体" w:cs="黑体"/>
          <w:color w:val="auto"/>
          <w:sz w:val="24"/>
          <w:szCs w:val="24"/>
          <w:highlight w:val="none"/>
          <w:lang w:val="en-US" w:eastAsia="zh-CN"/>
        </w:rPr>
        <w:t xml:space="preserve"> </w:t>
      </w:r>
    </w:p>
    <w:p w14:paraId="54848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七、保函的生效</w:t>
      </w:r>
    </w:p>
    <w:p w14:paraId="252B8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本保函自我方加盖公章之日起生效。</w:t>
      </w:r>
    </w:p>
    <w:p w14:paraId="5E834394">
      <w:pPr>
        <w:tabs>
          <w:tab w:val="left" w:pos="5164"/>
        </w:tabs>
        <w:spacing w:line="360" w:lineRule="auto"/>
        <w:ind w:firstLine="5400" w:firstLineChars="22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 xml:space="preserve">   </w:t>
      </w:r>
    </w:p>
    <w:p w14:paraId="6DB5CC35">
      <w:pPr>
        <w:tabs>
          <w:tab w:val="left" w:pos="5164"/>
        </w:tabs>
        <w:spacing w:line="360" w:lineRule="auto"/>
        <w:ind w:firstLine="5400" w:firstLineChars="2250"/>
        <w:rPr>
          <w:rFonts w:hint="eastAsia" w:ascii="黑体" w:hAnsi="黑体" w:eastAsia="黑体" w:cs="黑体"/>
          <w:color w:val="auto"/>
          <w:sz w:val="24"/>
          <w:szCs w:val="24"/>
          <w:highlight w:val="none"/>
        </w:rPr>
      </w:pPr>
    </w:p>
    <w:p w14:paraId="02A473CA">
      <w:pPr>
        <w:tabs>
          <w:tab w:val="left" w:pos="5164"/>
        </w:tabs>
        <w:spacing w:line="360" w:lineRule="auto"/>
        <w:ind w:firstLine="5400" w:firstLineChars="2250"/>
        <w:outlineLvl w:val="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bookmarkStart w:id="110" w:name="_Toc23625"/>
      <w:bookmarkStart w:id="111" w:name="_Toc12392"/>
      <w:bookmarkStart w:id="112" w:name="_Toc16811"/>
      <w:r>
        <w:rPr>
          <w:rFonts w:hint="eastAsia" w:ascii="黑体" w:hAnsi="黑体" w:eastAsia="黑体" w:cs="黑体"/>
          <w:color w:val="auto"/>
          <w:sz w:val="24"/>
          <w:szCs w:val="24"/>
          <w:highlight w:val="none"/>
        </w:rPr>
        <w:t>保证人：（</w:t>
      </w:r>
      <w:r>
        <w:rPr>
          <w:rFonts w:hint="eastAsia" w:ascii="黑体" w:hAnsi="黑体" w:eastAsia="黑体" w:cs="黑体"/>
          <w:color w:val="auto"/>
          <w:sz w:val="24"/>
          <w:szCs w:val="24"/>
          <w:highlight w:val="none"/>
          <w:lang w:eastAsia="zh-CN"/>
        </w:rPr>
        <w:t>加盖</w:t>
      </w:r>
      <w:r>
        <w:rPr>
          <w:rFonts w:hint="eastAsia" w:ascii="黑体" w:hAnsi="黑体" w:eastAsia="黑体" w:cs="黑体"/>
          <w:color w:val="auto"/>
          <w:sz w:val="24"/>
          <w:szCs w:val="24"/>
          <w:highlight w:val="none"/>
        </w:rPr>
        <w:t>公章）</w:t>
      </w:r>
      <w:bookmarkEnd w:id="110"/>
      <w:bookmarkEnd w:id="111"/>
      <w:bookmarkEnd w:id="112"/>
    </w:p>
    <w:p w14:paraId="606E6AEF">
      <w:pPr>
        <w:keepNext w:val="0"/>
        <w:keepLines w:val="0"/>
        <w:pageBreakBefore w:val="0"/>
        <w:widowControl/>
        <w:kinsoku/>
        <w:wordWrap w:val="0"/>
        <w:overflowPunct/>
        <w:topLinePunct w:val="0"/>
        <w:bidi w:val="0"/>
        <w:spacing w:line="398" w:lineRule="auto"/>
        <w:ind w:left="0" w:leftChars="0" w:right="0"/>
        <w:rPr>
          <w:rFonts w:hint="eastAsia" w:ascii="黑体" w:hAnsi="黑体" w:eastAsia="黑体" w:cs="黑体"/>
          <w:color w:val="auto"/>
          <w:sz w:val="24"/>
          <w:szCs w:val="24"/>
          <w:highlight w:val="none"/>
        </w:rPr>
        <w:sectPr>
          <w:footerReference r:id="rId9" w:type="default"/>
          <w:pgSz w:w="11906" w:h="16838"/>
          <w:pgMar w:top="400" w:right="1316" w:bottom="1172" w:left="1142" w:header="0" w:footer="996" w:gutter="0"/>
          <w:pgBorders>
            <w:top w:val="none" w:sz="0" w:space="0"/>
            <w:left w:val="none" w:sz="0" w:space="0"/>
            <w:bottom w:val="none" w:sz="0" w:space="0"/>
            <w:right w:val="none" w:sz="0" w:space="0"/>
          </w:pgBorders>
          <w:pgNumType w:fmt="decimal"/>
          <w:cols w:space="720" w:num="1"/>
        </w:sectPr>
      </w:pPr>
      <w:r>
        <w:rPr>
          <w:rFonts w:hint="eastAsia" w:ascii="黑体" w:hAnsi="黑体" w:eastAsia="黑体" w:cs="黑体"/>
          <w:color w:val="auto"/>
          <w:sz w:val="24"/>
          <w:szCs w:val="24"/>
          <w:highlight w:val="none"/>
        </w:rPr>
        <w:t xml:space="preserve">                                                    年     月      日</w:t>
      </w:r>
    </w:p>
    <w:p w14:paraId="1E8CF1D6">
      <w:pPr>
        <w:keepNext w:val="0"/>
        <w:keepLines w:val="0"/>
        <w:pageBreakBefore w:val="0"/>
        <w:widowControl/>
        <w:kinsoku/>
        <w:wordWrap w:val="0"/>
        <w:overflowPunct/>
        <w:topLinePunct w:val="0"/>
        <w:bidi w:val="0"/>
        <w:spacing w:line="353" w:lineRule="auto"/>
        <w:ind w:left="0" w:leftChars="0" w:right="0"/>
        <w:rPr>
          <w:rFonts w:hint="eastAsia" w:ascii="黑体" w:hAnsi="黑体" w:eastAsia="黑体" w:cs="黑体"/>
          <w:color w:val="auto"/>
          <w:sz w:val="21"/>
          <w:highlight w:val="none"/>
        </w:rPr>
      </w:pPr>
    </w:p>
    <w:p w14:paraId="65540991">
      <w:pPr>
        <w:keepNext w:val="0"/>
        <w:keepLines w:val="0"/>
        <w:pageBreakBefore w:val="0"/>
        <w:widowControl/>
        <w:kinsoku/>
        <w:wordWrap w:val="0"/>
        <w:overflowPunct/>
        <w:topLinePunct w:val="0"/>
        <w:bidi w:val="0"/>
        <w:spacing w:line="353" w:lineRule="auto"/>
        <w:ind w:left="0" w:leftChars="0" w:right="0"/>
        <w:rPr>
          <w:rFonts w:hint="eastAsia" w:ascii="黑体" w:hAnsi="黑体" w:eastAsia="黑体" w:cs="黑体"/>
          <w:color w:val="auto"/>
          <w:sz w:val="21"/>
          <w:highlight w:val="none"/>
        </w:rPr>
      </w:pPr>
    </w:p>
    <w:p w14:paraId="23B78D6C">
      <w:pPr>
        <w:pStyle w:val="10"/>
        <w:keepNext w:val="0"/>
        <w:keepLines w:val="0"/>
        <w:pageBreakBefore w:val="0"/>
        <w:widowControl/>
        <w:kinsoku/>
        <w:wordWrap w:val="0"/>
        <w:overflowPunct/>
        <w:topLinePunct w:val="0"/>
        <w:bidi w:val="0"/>
        <w:spacing w:line="360" w:lineRule="auto"/>
        <w:ind w:left="0" w:leftChars="0" w:right="0"/>
        <w:jc w:val="center"/>
        <w:outlineLvl w:val="0"/>
        <w:rPr>
          <w:rFonts w:hint="eastAsia" w:ascii="黑体" w:hAnsi="黑体" w:eastAsia="黑体" w:cs="黑体"/>
          <w:color w:val="auto"/>
          <w:sz w:val="28"/>
          <w:szCs w:val="28"/>
          <w:highlight w:val="none"/>
        </w:rPr>
      </w:pPr>
      <w:bookmarkStart w:id="113" w:name="_Toc12746"/>
      <w:bookmarkStart w:id="114" w:name="_Toc402"/>
      <w:bookmarkStart w:id="115" w:name="_Toc17611"/>
      <w:r>
        <w:rPr>
          <w:rFonts w:hint="eastAsia" w:ascii="黑体" w:hAnsi="黑体" w:eastAsia="黑体" w:cs="黑体"/>
          <w:b/>
          <w:bCs/>
          <w:color w:val="auto"/>
          <w:spacing w:val="5"/>
          <w:sz w:val="28"/>
          <w:szCs w:val="28"/>
          <w:highlight w:val="none"/>
        </w:rPr>
        <w:t>第2章投标文件格式</w:t>
      </w:r>
      <w:bookmarkEnd w:id="113"/>
      <w:bookmarkEnd w:id="114"/>
      <w:bookmarkEnd w:id="115"/>
    </w:p>
    <w:p w14:paraId="0DE6FF2E">
      <w:pPr>
        <w:pStyle w:val="10"/>
        <w:keepNext w:val="0"/>
        <w:keepLines w:val="0"/>
        <w:pageBreakBefore w:val="0"/>
        <w:widowControl/>
        <w:kinsoku/>
        <w:wordWrap w:val="0"/>
        <w:overflowPunct/>
        <w:topLinePunct w:val="0"/>
        <w:bidi w:val="0"/>
        <w:spacing w:line="360" w:lineRule="auto"/>
        <w:ind w:left="0" w:leftChars="0" w:right="0"/>
        <w:jc w:val="center"/>
        <w:outlineLvl w:val="1"/>
        <w:rPr>
          <w:rFonts w:hint="eastAsia" w:ascii="黑体" w:hAnsi="黑体" w:eastAsia="黑体" w:cs="黑体"/>
          <w:color w:val="auto"/>
          <w:sz w:val="28"/>
          <w:szCs w:val="28"/>
          <w:highlight w:val="none"/>
        </w:rPr>
      </w:pPr>
      <w:bookmarkStart w:id="116" w:name="_Toc1234"/>
      <w:bookmarkStart w:id="117" w:name="_Toc6742"/>
      <w:r>
        <w:rPr>
          <w:rFonts w:hint="eastAsia" w:ascii="黑体" w:hAnsi="黑体" w:eastAsia="黑体" w:cs="黑体"/>
          <w:b/>
          <w:bCs/>
          <w:color w:val="auto"/>
          <w:spacing w:val="-3"/>
          <w:sz w:val="28"/>
          <w:szCs w:val="28"/>
          <w:highlight w:val="none"/>
        </w:rPr>
        <w:t>第一部分开标一览表及资格证明文件</w:t>
      </w:r>
      <w:bookmarkEnd w:id="116"/>
      <w:bookmarkEnd w:id="117"/>
    </w:p>
    <w:p w14:paraId="40866792">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1、开标一览表；</w:t>
      </w:r>
    </w:p>
    <w:p w14:paraId="347A6043">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2、具有有效的三证合一营业执照或事业单位法人证书扫描件；</w:t>
      </w:r>
    </w:p>
    <w:p w14:paraId="04ABB4F6">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3、法定代表人身份证明及身份证或法定代表人授权委托书和委托代理人身份证；</w:t>
      </w:r>
    </w:p>
    <w:p w14:paraId="38F5AB38">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4、提供本单位缴纳的近六个月任意一个月社保缴纳证明；</w:t>
      </w:r>
    </w:p>
    <w:p w14:paraId="0D60F22F">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5、提供2024年度或2025年度财务审计报告（新成立未满一年的公司提供有效银行资信证明）；</w:t>
      </w:r>
    </w:p>
    <w:p w14:paraId="3B526A99">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6、提供本单位近六个月任意一个月税务局开具的完税证明；（完税证明或税务部门出具的其他证明，非社会保险类）；</w:t>
      </w:r>
    </w:p>
    <w:p w14:paraId="4449E10C">
      <w:pPr>
        <w:pStyle w:val="18"/>
        <w:keepNext w:val="0"/>
        <w:keepLines w:val="0"/>
        <w:pageBreakBefore w:val="0"/>
        <w:widowControl w:val="0"/>
        <w:kinsoku/>
        <w:wordWrap w:val="0"/>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7、投标单位近三年内（2023年06月至今）在“信用中国”（www.creditchina.gov.cn）和中国政府采购网（www.ccgp.gov.cn）网站上未列入重大税收违法失信主体、严重失信主体名单查询，中国政府采购网严重违法失信行为记录名单；（以采购人或代理机构现场查询为准）</w:t>
      </w:r>
    </w:p>
    <w:p w14:paraId="33732F12">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8、投标人提供针对本次项目《反商业贿赂承诺书》；（格式自拟）</w:t>
      </w:r>
    </w:p>
    <w:p w14:paraId="54BD53DE">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9、投标人参加政府采购活动前（2023年06月至今）在经营活动中没有重大违法违规记录的书面声明；（格式自拟）</w:t>
      </w:r>
    </w:p>
    <w:p w14:paraId="3FCDA089">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10、缴纳投标保证金的有效凭证；</w:t>
      </w:r>
    </w:p>
    <w:p w14:paraId="41C19274">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11、提供中小企业声明函；（如有）</w:t>
      </w:r>
    </w:p>
    <w:p w14:paraId="0440A104">
      <w:pPr>
        <w:pStyle w:val="10"/>
        <w:tabs>
          <w:tab w:val="left" w:pos="567"/>
        </w:tabs>
        <w:spacing w:line="360" w:lineRule="auto"/>
        <w:ind w:firstLine="480" w:firstLineChars="200"/>
        <w:jc w:val="both"/>
        <w:rPr>
          <w:rFonts w:hint="eastAsia" w:ascii="黑体" w:hAnsi="黑体" w:eastAsia="黑体" w:cs="黑体"/>
          <w:b w:val="0"/>
          <w:bCs w:val="0"/>
          <w:color w:val="auto"/>
          <w:kern w:val="0"/>
          <w:sz w:val="24"/>
          <w:szCs w:val="24"/>
          <w:highlight w:val="none"/>
          <w:u w:val="none"/>
          <w:lang w:val="en-US" w:eastAsia="zh-CN" w:bidi="ar-SA"/>
        </w:rPr>
      </w:pPr>
      <w:r>
        <w:rPr>
          <w:rFonts w:hint="eastAsia" w:ascii="黑体" w:hAnsi="黑体" w:eastAsia="黑体" w:cs="黑体"/>
          <w:b w:val="0"/>
          <w:bCs w:val="0"/>
          <w:color w:val="auto"/>
          <w:kern w:val="0"/>
          <w:sz w:val="24"/>
          <w:szCs w:val="24"/>
          <w:highlight w:val="none"/>
          <w:u w:val="none"/>
          <w:lang w:val="en-US" w:eastAsia="zh-CN" w:bidi="ar-SA"/>
        </w:rPr>
        <w:t>12、投标人关联单位的说明；</w:t>
      </w:r>
    </w:p>
    <w:p w14:paraId="3F5DBE0D">
      <w:pPr>
        <w:pStyle w:val="7"/>
        <w:keepNext w:val="0"/>
        <w:keepLines w:val="0"/>
        <w:pageBreakBefore w:val="0"/>
        <w:kinsoku/>
        <w:overflowPunct/>
        <w:topLinePunct w:val="0"/>
        <w:bidi w:val="0"/>
        <w:spacing w:line="360" w:lineRule="auto"/>
        <w:ind w:left="0" w:leftChars="0" w:firstLine="480" w:firstLineChars="200"/>
        <w:jc w:val="both"/>
        <w:textAlignment w:val="auto"/>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val="en-US" w:eastAsia="zh-CN"/>
        </w:rPr>
        <w:t>13、</w:t>
      </w:r>
      <w:r>
        <w:rPr>
          <w:rFonts w:hint="eastAsia" w:ascii="黑体" w:hAnsi="黑体" w:eastAsia="黑体" w:cs="黑体"/>
          <w:b w:val="0"/>
          <w:bCs w:val="0"/>
          <w:color w:val="auto"/>
          <w:sz w:val="24"/>
          <w:szCs w:val="24"/>
          <w:highlight w:val="none"/>
          <w:u w:val="none"/>
        </w:rPr>
        <w:t>投标人须知资料表要求的其他资格证明文件</w:t>
      </w:r>
      <w:r>
        <w:rPr>
          <w:rFonts w:hint="eastAsia" w:ascii="黑体" w:hAnsi="黑体" w:eastAsia="黑体" w:cs="黑体"/>
          <w:b w:val="0"/>
          <w:bCs w:val="0"/>
          <w:color w:val="auto"/>
          <w:sz w:val="24"/>
          <w:szCs w:val="24"/>
          <w:highlight w:val="none"/>
          <w:u w:val="none"/>
          <w:lang w:eastAsia="zh-CN"/>
        </w:rPr>
        <w:t>。</w:t>
      </w:r>
    </w:p>
    <w:p w14:paraId="32BA57B3">
      <w:pPr>
        <w:pStyle w:val="4"/>
        <w:spacing w:before="0" w:line="360" w:lineRule="auto"/>
        <w:jc w:val="center"/>
        <w:rPr>
          <w:rFonts w:hint="eastAsia" w:ascii="黑体" w:hAnsi="黑体" w:eastAsia="黑体" w:cs="黑体"/>
          <w:color w:val="auto"/>
          <w:sz w:val="28"/>
          <w:szCs w:val="28"/>
          <w:highlight w:val="none"/>
        </w:rPr>
      </w:pPr>
      <w:bookmarkStart w:id="118" w:name="_Hlt520356241"/>
      <w:bookmarkEnd w:id="118"/>
      <w:r>
        <w:rPr>
          <w:rFonts w:hint="eastAsia" w:ascii="黑体" w:hAnsi="黑体" w:eastAsia="黑体" w:cs="黑体"/>
          <w:color w:val="auto"/>
          <w:sz w:val="24"/>
          <w:szCs w:val="24"/>
          <w:highlight w:val="none"/>
          <w:lang w:val="en-US" w:eastAsia="zh-CN"/>
        </w:rPr>
        <w:br w:type="page"/>
      </w:r>
      <w:bookmarkStart w:id="119" w:name="_Toc17859"/>
      <w:bookmarkStart w:id="120" w:name="_Toc23243"/>
      <w:bookmarkStart w:id="121" w:name="_Toc20130"/>
      <w:bookmarkStart w:id="122" w:name="_Toc19572"/>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rPr>
        <w:t>开标一览表</w:t>
      </w:r>
      <w:bookmarkEnd w:id="119"/>
      <w:bookmarkEnd w:id="120"/>
      <w:bookmarkEnd w:id="121"/>
      <w:bookmarkEnd w:id="122"/>
      <w:bookmarkStart w:id="123" w:name="_Toc494296984"/>
    </w:p>
    <w:p w14:paraId="4FDC50D3">
      <w:pPr>
        <w:pStyle w:val="4"/>
        <w:spacing w:before="0" w:line="360" w:lineRule="auto"/>
        <w:jc w:val="center"/>
        <w:rPr>
          <w:rFonts w:hint="eastAsia" w:ascii="黑体" w:hAnsi="黑体" w:eastAsia="黑体" w:cs="黑体"/>
          <w:b/>
          <w:color w:val="auto"/>
          <w:sz w:val="28"/>
          <w:szCs w:val="28"/>
          <w:highlight w:val="none"/>
        </w:rPr>
      </w:pPr>
      <w:bookmarkStart w:id="124" w:name="_Toc19282"/>
      <w:bookmarkStart w:id="125" w:name="_Toc29336"/>
      <w:r>
        <w:rPr>
          <w:rFonts w:hint="eastAsia" w:ascii="黑体" w:hAnsi="黑体" w:eastAsia="黑体" w:cs="黑体"/>
          <w:b/>
          <w:color w:val="auto"/>
          <w:sz w:val="28"/>
          <w:szCs w:val="28"/>
          <w:highlight w:val="none"/>
        </w:rPr>
        <w:t>开标一览表</w:t>
      </w:r>
      <w:bookmarkEnd w:id="123"/>
      <w:bookmarkEnd w:id="124"/>
      <w:bookmarkEnd w:id="125"/>
    </w:p>
    <w:p w14:paraId="5DE7BA5D">
      <w:pPr>
        <w:pStyle w:val="8"/>
        <w:rPr>
          <w:rFonts w:hint="eastAsia" w:ascii="黑体" w:hAnsi="黑体" w:eastAsia="黑体" w:cs="黑体"/>
          <w:color w:val="auto"/>
          <w:sz w:val="24"/>
          <w:szCs w:val="24"/>
          <w:highlight w:val="none"/>
        </w:rPr>
      </w:pPr>
    </w:p>
    <w:p w14:paraId="37A5CE52">
      <w:pPr>
        <w:tabs>
          <w:tab w:val="left" w:pos="1800"/>
          <w:tab w:val="left" w:pos="5580"/>
        </w:tabs>
        <w:spacing w:line="360" w:lineRule="auto"/>
        <w:ind w:right="-867" w:rightChars="-413"/>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项目名称：　                 </w:t>
      </w:r>
      <w:r>
        <w:rPr>
          <w:rFonts w:hint="eastAsia" w:ascii="黑体" w:hAnsi="黑体" w:eastAsia="黑体" w:cs="黑体"/>
          <w:color w:val="auto"/>
          <w:sz w:val="24"/>
          <w:szCs w:val="24"/>
          <w:highlight w:val="none"/>
          <w:lang w:val="en-US" w:eastAsia="zh-CN"/>
        </w:rPr>
        <w:t xml:space="preserve">                      项目</w:t>
      </w:r>
      <w:r>
        <w:rPr>
          <w:rFonts w:hint="eastAsia" w:ascii="黑体" w:hAnsi="黑体" w:eastAsia="黑体" w:cs="黑体"/>
          <w:color w:val="auto"/>
          <w:sz w:val="24"/>
          <w:szCs w:val="24"/>
          <w:highlight w:val="none"/>
        </w:rPr>
        <w:t xml:space="preserve">编号：                       </w:t>
      </w:r>
    </w:p>
    <w:p w14:paraId="62A9D350">
      <w:pPr>
        <w:tabs>
          <w:tab w:val="left" w:pos="1800"/>
          <w:tab w:val="left" w:pos="5580"/>
        </w:tabs>
        <w:spacing w:line="360" w:lineRule="auto"/>
        <w:ind w:right="-867" w:rightChars="-413"/>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报价单位：人民币</w:t>
      </w:r>
      <w:r>
        <w:rPr>
          <w:rFonts w:hint="eastAsia" w:ascii="黑体" w:hAnsi="黑体" w:eastAsia="黑体" w:cs="黑体"/>
          <w:b/>
          <w:color w:val="auto"/>
          <w:sz w:val="24"/>
          <w:szCs w:val="24"/>
          <w:highlight w:val="none"/>
        </w:rPr>
        <w:t>元</w:t>
      </w:r>
    </w:p>
    <w:tbl>
      <w:tblPr>
        <w:tblStyle w:val="24"/>
        <w:tblW w:w="9768" w:type="dxa"/>
        <w:tblInd w:w="-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75"/>
        <w:gridCol w:w="2489"/>
        <w:gridCol w:w="1755"/>
        <w:gridCol w:w="1851"/>
        <w:gridCol w:w="1413"/>
        <w:gridCol w:w="685"/>
      </w:tblGrid>
      <w:tr w14:paraId="70DD9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7" w:hRule="atLeast"/>
        </w:trPr>
        <w:tc>
          <w:tcPr>
            <w:tcW w:w="1575" w:type="dxa"/>
            <w:noWrap w:val="0"/>
            <w:vAlign w:val="center"/>
          </w:tcPr>
          <w:p w14:paraId="6C4F61D9">
            <w:pPr>
              <w:keepNext w:val="0"/>
              <w:keepLines w:val="0"/>
              <w:widowControl/>
              <w:suppressLineNumbers w:val="0"/>
              <w:tabs>
                <w:tab w:val="left" w:pos="5580"/>
              </w:tabs>
              <w:spacing w:before="0" w:beforeAutospacing="0" w:after="0" w:afterAutospacing="0" w:line="240" w:lineRule="atLeast"/>
              <w:ind w:left="0" w:right="-199"/>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项目名称</w:t>
            </w:r>
          </w:p>
        </w:tc>
        <w:tc>
          <w:tcPr>
            <w:tcW w:w="2489" w:type="dxa"/>
            <w:noWrap w:val="0"/>
            <w:vAlign w:val="center"/>
          </w:tcPr>
          <w:p w14:paraId="507676A7">
            <w:pPr>
              <w:keepNext w:val="0"/>
              <w:keepLines w:val="0"/>
              <w:widowControl/>
              <w:suppressLineNumbers w:val="0"/>
              <w:tabs>
                <w:tab w:val="left" w:pos="5580"/>
              </w:tabs>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w:t>
            </w:r>
            <w:r>
              <w:rPr>
                <w:rFonts w:hint="eastAsia" w:ascii="黑体" w:hAnsi="黑体" w:eastAsia="黑体" w:cs="黑体"/>
                <w:color w:val="auto"/>
                <w:sz w:val="24"/>
                <w:szCs w:val="24"/>
                <w:highlight w:val="none"/>
                <w:lang w:eastAsia="zh-CN"/>
              </w:rPr>
              <w:t>报</w:t>
            </w:r>
            <w:r>
              <w:rPr>
                <w:rFonts w:hint="eastAsia" w:ascii="黑体" w:hAnsi="黑体" w:eastAsia="黑体" w:cs="黑体"/>
                <w:color w:val="auto"/>
                <w:sz w:val="24"/>
                <w:szCs w:val="24"/>
                <w:highlight w:val="none"/>
              </w:rPr>
              <w:t>价</w:t>
            </w:r>
          </w:p>
        </w:tc>
        <w:tc>
          <w:tcPr>
            <w:tcW w:w="1755" w:type="dxa"/>
            <w:noWrap w:val="0"/>
            <w:vAlign w:val="center"/>
          </w:tcPr>
          <w:p w14:paraId="36E3EC3F">
            <w:pPr>
              <w:keepNext w:val="0"/>
              <w:keepLines w:val="0"/>
              <w:widowControl/>
              <w:suppressLineNumbers w:val="0"/>
              <w:tabs>
                <w:tab w:val="left" w:pos="5580"/>
              </w:tabs>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w:t>
            </w:r>
          </w:p>
        </w:tc>
        <w:tc>
          <w:tcPr>
            <w:tcW w:w="1851" w:type="dxa"/>
            <w:noWrap w:val="0"/>
            <w:vAlign w:val="center"/>
          </w:tcPr>
          <w:p w14:paraId="1A577989">
            <w:pPr>
              <w:keepNext w:val="0"/>
              <w:keepLines w:val="0"/>
              <w:widowControl/>
              <w:suppressLineNumbers w:val="0"/>
              <w:tabs>
                <w:tab w:val="left" w:pos="5580"/>
              </w:tabs>
              <w:spacing w:before="0" w:beforeAutospacing="0" w:after="0" w:afterAutospacing="0" w:line="240" w:lineRule="atLeast"/>
              <w:ind w:left="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服务</w:t>
            </w:r>
            <w:r>
              <w:rPr>
                <w:rFonts w:hint="eastAsia" w:ascii="黑体" w:hAnsi="黑体" w:eastAsia="黑体" w:cs="黑体"/>
                <w:color w:val="auto"/>
                <w:sz w:val="24"/>
                <w:szCs w:val="24"/>
                <w:highlight w:val="none"/>
              </w:rPr>
              <w:t>期</w:t>
            </w:r>
            <w:r>
              <w:rPr>
                <w:rFonts w:hint="eastAsia" w:ascii="黑体" w:hAnsi="黑体" w:eastAsia="黑体" w:cs="黑体"/>
                <w:color w:val="auto"/>
                <w:sz w:val="24"/>
                <w:szCs w:val="24"/>
                <w:highlight w:val="none"/>
                <w:lang w:eastAsia="zh-CN"/>
              </w:rPr>
              <w:t>限</w:t>
            </w:r>
          </w:p>
        </w:tc>
        <w:tc>
          <w:tcPr>
            <w:tcW w:w="1413" w:type="dxa"/>
            <w:noWrap w:val="0"/>
            <w:vAlign w:val="center"/>
          </w:tcPr>
          <w:p w14:paraId="1E9411C9">
            <w:pPr>
              <w:keepNext w:val="0"/>
              <w:keepLines w:val="0"/>
              <w:widowControl/>
              <w:suppressLineNumbers w:val="0"/>
              <w:tabs>
                <w:tab w:val="left" w:pos="5580"/>
              </w:tabs>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服务</w:t>
            </w:r>
            <w:r>
              <w:rPr>
                <w:rFonts w:hint="eastAsia" w:ascii="黑体" w:hAnsi="黑体" w:eastAsia="黑体" w:cs="黑体"/>
                <w:color w:val="auto"/>
                <w:sz w:val="24"/>
                <w:szCs w:val="24"/>
                <w:highlight w:val="none"/>
              </w:rPr>
              <w:t>地点</w:t>
            </w:r>
          </w:p>
        </w:tc>
        <w:tc>
          <w:tcPr>
            <w:tcW w:w="685" w:type="dxa"/>
            <w:noWrap w:val="0"/>
            <w:vAlign w:val="center"/>
          </w:tcPr>
          <w:p w14:paraId="6551511A">
            <w:pPr>
              <w:keepNext w:val="0"/>
              <w:keepLines w:val="0"/>
              <w:widowControl/>
              <w:suppressLineNumbers w:val="0"/>
              <w:tabs>
                <w:tab w:val="left" w:pos="5580"/>
              </w:tabs>
              <w:spacing w:before="0" w:beforeAutospacing="0" w:after="0" w:afterAutospacing="0" w:line="240" w:lineRule="atLeast"/>
              <w:ind w:left="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备注</w:t>
            </w:r>
          </w:p>
        </w:tc>
      </w:tr>
      <w:tr w14:paraId="35599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24" w:hRule="atLeast"/>
        </w:trPr>
        <w:tc>
          <w:tcPr>
            <w:tcW w:w="1575" w:type="dxa"/>
            <w:noWrap w:val="0"/>
            <w:vAlign w:val="center"/>
          </w:tcPr>
          <w:p w14:paraId="00472126">
            <w:pPr>
              <w:keepNext w:val="0"/>
              <w:keepLines w:val="0"/>
              <w:widowControl/>
              <w:suppressLineNumbers w:val="0"/>
              <w:tabs>
                <w:tab w:val="left" w:pos="5580"/>
              </w:tabs>
              <w:spacing w:before="0" w:beforeAutospacing="0" w:after="0" w:afterAutospacing="0" w:line="240" w:lineRule="atLeast"/>
              <w:ind w:left="0" w:right="0"/>
              <w:jc w:val="both"/>
              <w:rPr>
                <w:rFonts w:hint="eastAsia" w:ascii="黑体" w:hAnsi="黑体" w:eastAsia="黑体" w:cs="黑体"/>
                <w:color w:val="auto"/>
                <w:sz w:val="24"/>
                <w:szCs w:val="24"/>
                <w:highlight w:val="none"/>
                <w:lang w:eastAsia="zh-CN"/>
              </w:rPr>
            </w:pPr>
          </w:p>
        </w:tc>
        <w:tc>
          <w:tcPr>
            <w:tcW w:w="2489" w:type="dxa"/>
            <w:noWrap w:val="0"/>
            <w:vAlign w:val="center"/>
          </w:tcPr>
          <w:p w14:paraId="1455DE6C">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16238E4B">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大写：</w:t>
            </w:r>
          </w:p>
          <w:p w14:paraId="7BAC70E6">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43D7CBB1">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759B26C0">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77DA1278">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2C57DE8C">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p>
          <w:p w14:paraId="43AFD1F7">
            <w:pPr>
              <w:keepNext w:val="0"/>
              <w:keepLines w:val="0"/>
              <w:widowControl/>
              <w:suppressLineNumbers w:val="0"/>
              <w:tabs>
                <w:tab w:val="left" w:pos="5580"/>
              </w:tabs>
              <w:spacing w:before="0" w:beforeAutospacing="0" w:after="0" w:afterAutospacing="0" w:line="240" w:lineRule="atLeast"/>
              <w:ind w:left="0" w:right="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小写：</w:t>
            </w:r>
          </w:p>
        </w:tc>
        <w:tc>
          <w:tcPr>
            <w:tcW w:w="1755" w:type="dxa"/>
            <w:noWrap w:val="0"/>
            <w:vAlign w:val="center"/>
          </w:tcPr>
          <w:p w14:paraId="41B0013C">
            <w:pPr>
              <w:keepNext w:val="0"/>
              <w:keepLines w:val="0"/>
              <w:widowControl/>
              <w:suppressLineNumbers w:val="0"/>
              <w:tabs>
                <w:tab w:val="left" w:pos="5580"/>
              </w:tabs>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c>
          <w:tcPr>
            <w:tcW w:w="1851" w:type="dxa"/>
            <w:noWrap w:val="0"/>
            <w:vAlign w:val="center"/>
          </w:tcPr>
          <w:p w14:paraId="7128A836">
            <w:pPr>
              <w:keepNext w:val="0"/>
              <w:keepLines w:val="0"/>
              <w:widowControl/>
              <w:suppressLineNumbers w:val="0"/>
              <w:tabs>
                <w:tab w:val="left" w:pos="5580"/>
              </w:tabs>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c>
          <w:tcPr>
            <w:tcW w:w="1413" w:type="dxa"/>
            <w:noWrap w:val="0"/>
            <w:vAlign w:val="center"/>
          </w:tcPr>
          <w:p w14:paraId="68C14063">
            <w:pPr>
              <w:keepNext w:val="0"/>
              <w:keepLines w:val="0"/>
              <w:widowControl/>
              <w:suppressLineNumbers w:val="0"/>
              <w:tabs>
                <w:tab w:val="left" w:pos="5580"/>
              </w:tabs>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c>
          <w:tcPr>
            <w:tcW w:w="685" w:type="dxa"/>
            <w:noWrap w:val="0"/>
            <w:vAlign w:val="center"/>
          </w:tcPr>
          <w:p w14:paraId="6511DAC8">
            <w:pPr>
              <w:keepNext w:val="0"/>
              <w:keepLines w:val="0"/>
              <w:widowControl/>
              <w:suppressLineNumbers w:val="0"/>
              <w:tabs>
                <w:tab w:val="left" w:pos="5580"/>
              </w:tabs>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r>
    </w:tbl>
    <w:p w14:paraId="0DBD043E">
      <w:pPr>
        <w:pStyle w:val="12"/>
        <w:tabs>
          <w:tab w:val="left" w:pos="5580"/>
        </w:tabs>
        <w:spacing w:line="240" w:lineRule="atLeast"/>
        <w:rPr>
          <w:rFonts w:hint="eastAsia" w:ascii="黑体" w:hAnsi="黑体" w:eastAsia="黑体" w:cs="黑体"/>
          <w:color w:val="auto"/>
          <w:sz w:val="24"/>
          <w:szCs w:val="24"/>
          <w:highlight w:val="none"/>
          <w:u w:val="single"/>
        </w:rPr>
      </w:pPr>
    </w:p>
    <w:p w14:paraId="2DCF5F53">
      <w:pPr>
        <w:pStyle w:val="12"/>
        <w:tabs>
          <w:tab w:val="left" w:pos="5580"/>
        </w:tabs>
        <w:spacing w:line="360" w:lineRule="auto"/>
        <w:ind w:left="-1" w:leftChars="0" w:firstLine="0" w:firstLineChars="0"/>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rPr>
        <w:t>投标人名称（</w:t>
      </w:r>
      <w:r>
        <w:rPr>
          <w:rFonts w:hint="eastAsia" w:ascii="黑体" w:hAnsi="黑体" w:eastAsia="黑体" w:cs="黑体"/>
          <w:color w:val="auto"/>
          <w:sz w:val="24"/>
          <w:szCs w:val="24"/>
          <w:highlight w:val="none"/>
          <w:lang w:eastAsia="zh-CN"/>
        </w:rPr>
        <w:t>加</w:t>
      </w:r>
      <w:r>
        <w:rPr>
          <w:rFonts w:hint="eastAsia" w:ascii="黑体" w:hAnsi="黑体" w:eastAsia="黑体" w:cs="黑体"/>
          <w:color w:val="auto"/>
          <w:sz w:val="24"/>
          <w:szCs w:val="24"/>
          <w:highlight w:val="none"/>
        </w:rPr>
        <w:t>盖</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14:paraId="68622852">
      <w:pPr>
        <w:pStyle w:val="12"/>
        <w:tabs>
          <w:tab w:val="left" w:pos="5580"/>
        </w:tabs>
        <w:spacing w:line="360" w:lineRule="auto"/>
        <w:ind w:left="-1" w:leftChars="0" w:firstLine="0" w:firstLineChars="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法定代表人或委托代</w:t>
      </w:r>
      <w:r>
        <w:rPr>
          <w:rFonts w:hint="eastAsia" w:ascii="黑体" w:hAnsi="黑体" w:eastAsia="黑体" w:cs="黑体"/>
          <w:color w:val="auto"/>
          <w:sz w:val="24"/>
          <w:szCs w:val="24"/>
          <w:highlight w:val="none"/>
          <w:lang w:eastAsia="zh-CN"/>
        </w:rPr>
        <w:t>理人（</w:t>
      </w:r>
      <w:r>
        <w:rPr>
          <w:rFonts w:hint="eastAsia" w:ascii="黑体" w:hAnsi="黑体" w:eastAsia="黑体" w:cs="黑体"/>
          <w:color w:val="auto"/>
          <w:sz w:val="24"/>
          <w:szCs w:val="24"/>
          <w:highlight w:val="none"/>
        </w:rPr>
        <w:t>签字或盖</w:t>
      </w:r>
      <w:r>
        <w:rPr>
          <w:rFonts w:hint="eastAsia" w:ascii="黑体" w:hAnsi="黑体" w:eastAsia="黑体" w:cs="黑体"/>
          <w:color w:val="auto"/>
          <w:sz w:val="24"/>
          <w:szCs w:val="24"/>
          <w:highlight w:val="none"/>
          <w:lang w:eastAsia="zh-CN"/>
        </w:rPr>
        <w:t>法人</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p>
    <w:p w14:paraId="182F8254">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1" w:leftChars="0" w:firstLine="0" w:firstLineChars="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1、此表应按投标人须知的规定</w:t>
      </w:r>
      <w:r>
        <w:rPr>
          <w:rFonts w:hint="eastAsia" w:ascii="黑体" w:hAnsi="黑体" w:eastAsia="黑体" w:cs="黑体"/>
          <w:color w:val="auto"/>
          <w:sz w:val="24"/>
          <w:szCs w:val="24"/>
          <w:highlight w:val="none"/>
          <w:lang w:eastAsia="zh-CN"/>
        </w:rPr>
        <w:t>加密上传</w:t>
      </w:r>
      <w:r>
        <w:rPr>
          <w:rFonts w:hint="eastAsia" w:ascii="黑体" w:hAnsi="黑体" w:eastAsia="黑体" w:cs="黑体"/>
          <w:color w:val="auto"/>
          <w:sz w:val="24"/>
          <w:szCs w:val="24"/>
          <w:highlight w:val="none"/>
        </w:rPr>
        <w:t>。</w:t>
      </w:r>
    </w:p>
    <w:p w14:paraId="6CF5BED2">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1" w:leftChars="0" w:firstLine="0" w:firstLineChars="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2、此表中，每包的投标总价应和投标分项报价表的总价相一致。</w:t>
      </w:r>
    </w:p>
    <w:p w14:paraId="6C75BCDB">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1" w:leftChars="0" w:firstLine="0" w:firstLineChars="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3</w:t>
      </w:r>
      <w:r>
        <w:rPr>
          <w:rFonts w:hint="eastAsia" w:ascii="黑体" w:hAnsi="黑体" w:eastAsia="黑体" w:cs="黑体"/>
          <w:b w:val="0"/>
          <w:bCs w:val="0"/>
          <w:color w:val="auto"/>
          <w:sz w:val="24"/>
          <w:szCs w:val="24"/>
          <w:highlight w:val="none"/>
        </w:rPr>
        <w:t>、此报价</w:t>
      </w:r>
      <w:r>
        <w:rPr>
          <w:rFonts w:hint="eastAsia" w:ascii="黑体" w:hAnsi="黑体" w:eastAsia="黑体" w:cs="黑体"/>
          <w:b w:val="0"/>
          <w:bCs w:val="0"/>
          <w:color w:val="auto"/>
          <w:sz w:val="24"/>
          <w:szCs w:val="24"/>
          <w:highlight w:val="none"/>
          <w:lang w:eastAsia="zh-CN"/>
        </w:rPr>
        <w:t>包括</w:t>
      </w:r>
      <w:r>
        <w:rPr>
          <w:rFonts w:hint="eastAsia" w:ascii="黑体" w:hAnsi="黑体" w:eastAsia="黑体" w:cs="黑体"/>
          <w:b w:val="0"/>
          <w:bCs w:val="0"/>
          <w:color w:val="auto"/>
          <w:sz w:val="24"/>
          <w:szCs w:val="24"/>
          <w:highlight w:val="none"/>
          <w:lang w:val="en-US" w:eastAsia="zh-CN"/>
        </w:rPr>
        <w:t>本次服务</w:t>
      </w:r>
      <w:r>
        <w:rPr>
          <w:rFonts w:hint="eastAsia" w:ascii="黑体" w:hAnsi="黑体" w:eastAsia="黑体" w:cs="黑体"/>
          <w:b w:val="0"/>
          <w:bCs w:val="0"/>
          <w:color w:val="auto"/>
          <w:kern w:val="2"/>
          <w:sz w:val="24"/>
          <w:szCs w:val="24"/>
          <w:highlight w:val="none"/>
          <w:lang w:val="en-US" w:eastAsia="zh-CN" w:bidi="ar-SA"/>
        </w:rPr>
        <w:t>的</w:t>
      </w:r>
      <w:r>
        <w:rPr>
          <w:rFonts w:hint="eastAsia" w:ascii="黑体" w:hAnsi="黑体" w:eastAsia="黑体" w:cs="黑体"/>
          <w:b w:val="0"/>
          <w:bCs w:val="0"/>
          <w:color w:val="auto"/>
          <w:sz w:val="24"/>
          <w:szCs w:val="24"/>
          <w:highlight w:val="none"/>
          <w:lang w:eastAsia="zh-CN"/>
        </w:rPr>
        <w:t>全部费用</w:t>
      </w:r>
      <w:r>
        <w:rPr>
          <w:rFonts w:hint="eastAsia" w:ascii="黑体" w:hAnsi="黑体" w:eastAsia="黑体" w:cs="黑体"/>
          <w:b w:val="0"/>
          <w:bCs w:val="0"/>
          <w:color w:val="auto"/>
          <w:sz w:val="24"/>
          <w:szCs w:val="24"/>
          <w:highlight w:val="none"/>
        </w:rPr>
        <w:t>。</w:t>
      </w:r>
    </w:p>
    <w:p w14:paraId="2BE0BE48">
      <w:pPr>
        <w:pStyle w:val="18"/>
        <w:spacing w:line="360" w:lineRule="auto"/>
        <w:ind w:left="-1"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符合《政府采购促进中小企业发展</w:t>
      </w:r>
      <w:r>
        <w:rPr>
          <w:rFonts w:hint="eastAsia" w:ascii="黑体" w:hAnsi="黑体" w:eastAsia="黑体" w:cs="黑体"/>
          <w:color w:val="auto"/>
          <w:sz w:val="24"/>
          <w:szCs w:val="24"/>
          <w:highlight w:val="none"/>
          <w:lang w:eastAsia="zh-CN"/>
        </w:rPr>
        <w:t>管理</w:t>
      </w:r>
      <w:r>
        <w:rPr>
          <w:rFonts w:hint="eastAsia" w:ascii="黑体" w:hAnsi="黑体" w:eastAsia="黑体" w:cs="黑体"/>
          <w:color w:val="auto"/>
          <w:sz w:val="24"/>
          <w:szCs w:val="24"/>
          <w:highlight w:val="none"/>
        </w:rPr>
        <w:t>办法</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关于政府采购支持监狱企业发展有关问题的通知》和《三部门联合发布关于促进残疾人就业政府采购政策的通知》价格扣减条件的投标人须提交）</w:t>
      </w:r>
      <w:r>
        <w:rPr>
          <w:rFonts w:hint="eastAsia" w:ascii="黑体" w:hAnsi="黑体" w:eastAsia="黑体" w:cs="黑体"/>
          <w:color w:val="auto"/>
          <w:sz w:val="24"/>
          <w:szCs w:val="24"/>
          <w:highlight w:val="none"/>
          <w:lang w:eastAsia="zh-CN"/>
        </w:rPr>
        <w:t>。</w:t>
      </w:r>
    </w:p>
    <w:p w14:paraId="61FFE4F3">
      <w:pPr>
        <w:pStyle w:val="18"/>
        <w:rPr>
          <w:rFonts w:hint="eastAsia" w:ascii="黑体" w:hAnsi="黑体" w:eastAsia="黑体" w:cs="黑体"/>
          <w:color w:val="auto"/>
          <w:sz w:val="24"/>
          <w:szCs w:val="24"/>
          <w:highlight w:val="none"/>
        </w:rPr>
      </w:pPr>
    </w:p>
    <w:p w14:paraId="56F9ECB4">
      <w:pPr>
        <w:pStyle w:val="18"/>
        <w:rPr>
          <w:rFonts w:hint="eastAsia" w:ascii="黑体" w:hAnsi="黑体" w:eastAsia="黑体" w:cs="黑体"/>
          <w:color w:val="auto"/>
          <w:sz w:val="24"/>
          <w:szCs w:val="24"/>
          <w:highlight w:val="none"/>
        </w:rPr>
      </w:pPr>
    </w:p>
    <w:p w14:paraId="59E6CE4A">
      <w:pPr>
        <w:pStyle w:val="18"/>
        <w:rPr>
          <w:rFonts w:hint="eastAsia" w:ascii="黑体" w:hAnsi="黑体" w:eastAsia="黑体" w:cs="黑体"/>
          <w:color w:val="auto"/>
          <w:sz w:val="24"/>
          <w:szCs w:val="24"/>
          <w:highlight w:val="none"/>
        </w:rPr>
      </w:pPr>
    </w:p>
    <w:p w14:paraId="7783C9E7">
      <w:pPr>
        <w:pStyle w:val="18"/>
        <w:rPr>
          <w:rFonts w:hint="eastAsia" w:ascii="黑体" w:hAnsi="黑体" w:eastAsia="黑体" w:cs="黑体"/>
          <w:color w:val="auto"/>
          <w:sz w:val="24"/>
          <w:szCs w:val="24"/>
          <w:highlight w:val="none"/>
        </w:rPr>
      </w:pPr>
    </w:p>
    <w:p w14:paraId="3D083C3B">
      <w:pPr>
        <w:pStyle w:val="18"/>
        <w:rPr>
          <w:rFonts w:hint="eastAsia" w:ascii="黑体" w:hAnsi="黑体" w:eastAsia="黑体" w:cs="黑体"/>
          <w:color w:val="auto"/>
          <w:sz w:val="24"/>
          <w:szCs w:val="24"/>
          <w:highlight w:val="none"/>
        </w:rPr>
      </w:pPr>
    </w:p>
    <w:p w14:paraId="3D31B7E1">
      <w:pPr>
        <w:pStyle w:val="18"/>
        <w:rPr>
          <w:rFonts w:hint="eastAsia" w:ascii="黑体" w:hAnsi="黑体" w:eastAsia="黑体" w:cs="黑体"/>
          <w:color w:val="auto"/>
          <w:sz w:val="24"/>
          <w:szCs w:val="24"/>
          <w:highlight w:val="none"/>
        </w:rPr>
      </w:pPr>
    </w:p>
    <w:p w14:paraId="0124B506">
      <w:pPr>
        <w:pStyle w:val="4"/>
        <w:bidi w:val="0"/>
        <w:jc w:val="both"/>
        <w:outlineLvl w:val="9"/>
        <w:rPr>
          <w:rFonts w:hint="eastAsia" w:ascii="黑体" w:hAnsi="黑体" w:eastAsia="黑体" w:cs="黑体"/>
          <w:b/>
          <w:bCs/>
          <w:color w:val="auto"/>
          <w:sz w:val="24"/>
          <w:szCs w:val="24"/>
          <w:highlight w:val="none"/>
          <w:lang w:val="en-US" w:eastAsia="zh-CN"/>
        </w:rPr>
      </w:pPr>
      <w:bookmarkStart w:id="126" w:name="_Toc29899"/>
      <w:bookmarkStart w:id="127" w:name="_Toc17577"/>
      <w:bookmarkStart w:id="128" w:name="_Toc515647805"/>
      <w:bookmarkStart w:id="129" w:name="_Toc12187"/>
    </w:p>
    <w:p w14:paraId="73A11EB5">
      <w:pPr>
        <w:rPr>
          <w:rFonts w:hint="eastAsia" w:ascii="黑体" w:hAnsi="黑体" w:eastAsia="黑体" w:cs="黑体"/>
          <w:color w:val="auto"/>
          <w:sz w:val="24"/>
          <w:szCs w:val="24"/>
          <w:highlight w:val="none"/>
          <w:lang w:val="en-US" w:eastAsia="zh-CN"/>
        </w:rPr>
      </w:pPr>
    </w:p>
    <w:p w14:paraId="0752B891">
      <w:pPr>
        <w:pStyle w:val="7"/>
        <w:rPr>
          <w:rFonts w:hint="eastAsia" w:ascii="黑体" w:hAnsi="黑体" w:eastAsia="黑体" w:cs="黑体"/>
          <w:color w:val="auto"/>
          <w:sz w:val="24"/>
          <w:szCs w:val="24"/>
          <w:highlight w:val="none"/>
          <w:lang w:val="en-US" w:eastAsia="zh-CN"/>
        </w:rPr>
      </w:pPr>
    </w:p>
    <w:p w14:paraId="24DA6C39">
      <w:pPr>
        <w:pStyle w:val="8"/>
        <w:rPr>
          <w:rFonts w:hint="eastAsia" w:ascii="黑体" w:hAnsi="黑体" w:eastAsia="黑体" w:cs="黑体"/>
          <w:color w:val="auto"/>
          <w:sz w:val="24"/>
          <w:szCs w:val="24"/>
          <w:highlight w:val="none"/>
          <w:lang w:val="en-US" w:eastAsia="zh-CN"/>
        </w:rPr>
      </w:pPr>
    </w:p>
    <w:p w14:paraId="51E76DA0">
      <w:pPr>
        <w:pStyle w:val="4"/>
        <w:bidi w:val="0"/>
        <w:jc w:val="center"/>
        <w:rPr>
          <w:rFonts w:hint="eastAsia" w:ascii="黑体" w:hAnsi="黑体" w:eastAsia="黑体" w:cs="黑体"/>
          <w:b/>
          <w:bCs/>
          <w:color w:val="auto"/>
          <w:sz w:val="24"/>
          <w:szCs w:val="24"/>
          <w:highlight w:val="none"/>
          <w:u w:val="none"/>
        </w:rPr>
      </w:pPr>
      <w:bookmarkStart w:id="130" w:name="_Toc12171"/>
      <w:bookmarkStart w:id="131" w:name="_Toc15965"/>
      <w:r>
        <w:rPr>
          <w:rFonts w:hint="eastAsia" w:ascii="黑体" w:hAnsi="黑体" w:eastAsia="黑体" w:cs="黑体"/>
          <w:b/>
          <w:bCs/>
          <w:color w:val="auto"/>
          <w:sz w:val="24"/>
          <w:szCs w:val="24"/>
          <w:highlight w:val="none"/>
        </w:rPr>
        <w:br w:type="page"/>
      </w:r>
      <w:bookmarkStart w:id="132" w:name="_Toc13173"/>
      <w:bookmarkStart w:id="133" w:name="_Toc9717"/>
      <w:bookmarkStart w:id="134" w:name="_Toc30859"/>
      <w:bookmarkStart w:id="135" w:name="_Toc3199"/>
      <w:r>
        <w:rPr>
          <w:rFonts w:hint="eastAsia" w:ascii="黑体" w:hAnsi="黑体" w:eastAsia="黑体" w:cs="黑体"/>
          <w:b/>
          <w:bCs/>
          <w:color w:val="auto"/>
          <w:sz w:val="28"/>
          <w:szCs w:val="28"/>
          <w:highlight w:val="none"/>
        </w:rPr>
        <w:t xml:space="preserve">2 </w:t>
      </w:r>
      <w:r>
        <w:rPr>
          <w:rFonts w:hint="eastAsia" w:ascii="黑体" w:hAnsi="黑体" w:eastAsia="黑体" w:cs="黑体"/>
          <w:b/>
          <w:bCs/>
          <w:color w:val="auto"/>
          <w:sz w:val="28"/>
          <w:szCs w:val="28"/>
          <w:highlight w:val="none"/>
          <w:lang w:eastAsia="zh-CN"/>
        </w:rPr>
        <w:t>、</w:t>
      </w:r>
      <w:bookmarkEnd w:id="126"/>
      <w:bookmarkEnd w:id="127"/>
      <w:bookmarkEnd w:id="128"/>
      <w:bookmarkEnd w:id="129"/>
      <w:bookmarkEnd w:id="130"/>
      <w:bookmarkEnd w:id="131"/>
      <w:bookmarkEnd w:id="132"/>
      <w:bookmarkEnd w:id="133"/>
      <w:bookmarkEnd w:id="134"/>
      <w:r>
        <w:rPr>
          <w:rFonts w:hint="eastAsia" w:ascii="黑体" w:hAnsi="黑体" w:cs="黑体"/>
          <w:b/>
          <w:bCs/>
          <w:color w:val="auto"/>
          <w:sz w:val="28"/>
          <w:szCs w:val="28"/>
          <w:highlight w:val="none"/>
          <w:lang w:val="zh-CN" w:eastAsia="zh-CN"/>
        </w:rPr>
        <w:t>具有有效的三证合一营业执照或事业单位法人证书扫描件</w:t>
      </w:r>
      <w:bookmarkEnd w:id="135"/>
    </w:p>
    <w:p w14:paraId="2D380DE1">
      <w:pPr>
        <w:pStyle w:val="12"/>
        <w:tabs>
          <w:tab w:val="left" w:pos="5580"/>
        </w:tabs>
        <w:spacing w:line="240" w:lineRule="atLeast"/>
        <w:ind w:left="1080" w:leftChars="257" w:hanging="540"/>
        <w:rPr>
          <w:rFonts w:hint="eastAsia" w:ascii="黑体" w:hAnsi="黑体" w:eastAsia="黑体" w:cs="黑体"/>
          <w:b/>
          <w:color w:val="auto"/>
          <w:sz w:val="24"/>
          <w:szCs w:val="24"/>
          <w:highlight w:val="none"/>
        </w:rPr>
      </w:pPr>
    </w:p>
    <w:p w14:paraId="68698412">
      <w:pPr>
        <w:keepNext w:val="0"/>
        <w:keepLines w:val="0"/>
        <w:pageBreakBefore w:val="0"/>
        <w:widowControl w:val="0"/>
        <w:numPr>
          <w:ilvl w:val="0"/>
          <w:numId w:val="0"/>
        </w:numPr>
        <w:tabs>
          <w:tab w:val="left" w:pos="5580"/>
        </w:tabs>
        <w:kinsoku/>
        <w:wordWrap/>
        <w:overflowPunct/>
        <w:topLinePunct w:val="0"/>
        <w:bidi w:val="0"/>
        <w:snapToGrid/>
        <w:spacing w:line="400" w:lineRule="exact"/>
        <w:ind w:leftChars="200"/>
        <w:jc w:val="left"/>
        <w:textAlignment w:val="auto"/>
        <w:outlineLvl w:val="9"/>
        <w:rPr>
          <w:rFonts w:hint="eastAsia" w:ascii="黑体" w:hAnsi="黑体" w:eastAsia="黑体" w:cs="黑体"/>
          <w:color w:val="auto"/>
          <w:sz w:val="24"/>
          <w:szCs w:val="24"/>
          <w:highlight w:val="none"/>
          <w:shd w:val="clear" w:color="auto" w:fill="auto"/>
        </w:rPr>
      </w:pPr>
      <w:r>
        <w:rPr>
          <w:rFonts w:hint="eastAsia" w:ascii="黑体" w:hAnsi="黑体" w:eastAsia="黑体" w:cs="黑体"/>
          <w:color w:val="auto"/>
          <w:sz w:val="24"/>
          <w:szCs w:val="24"/>
          <w:highlight w:val="none"/>
        </w:rPr>
        <w:t>说明：具有有效的三证合一营业执照或事业单位法人证书扫描件，</w:t>
      </w:r>
      <w:r>
        <w:rPr>
          <w:rFonts w:hint="eastAsia" w:ascii="黑体" w:hAnsi="黑体" w:eastAsia="黑体" w:cs="黑体"/>
          <w:color w:val="auto"/>
          <w:sz w:val="24"/>
          <w:szCs w:val="24"/>
          <w:highlight w:val="none"/>
          <w:shd w:val="clear" w:color="auto" w:fill="auto"/>
          <w:lang w:eastAsia="zh-CN"/>
        </w:rPr>
        <w:t>扫描</w:t>
      </w:r>
      <w:r>
        <w:rPr>
          <w:rFonts w:hint="eastAsia" w:ascii="黑体" w:hAnsi="黑体" w:eastAsia="黑体" w:cs="黑体"/>
          <w:color w:val="auto"/>
          <w:sz w:val="24"/>
          <w:szCs w:val="24"/>
          <w:highlight w:val="none"/>
          <w:shd w:val="clear" w:color="auto" w:fill="auto"/>
        </w:rPr>
        <w:t>件上应加盖本单位</w:t>
      </w:r>
      <w:r>
        <w:rPr>
          <w:rFonts w:hint="eastAsia" w:ascii="黑体" w:hAnsi="黑体" w:eastAsia="黑体" w:cs="黑体"/>
          <w:color w:val="auto"/>
          <w:sz w:val="24"/>
          <w:szCs w:val="24"/>
          <w:highlight w:val="none"/>
          <w:shd w:val="clear" w:color="auto" w:fill="auto"/>
          <w:lang w:eastAsia="zh-CN"/>
        </w:rPr>
        <w:t>公</w:t>
      </w:r>
      <w:r>
        <w:rPr>
          <w:rFonts w:hint="eastAsia" w:ascii="黑体" w:hAnsi="黑体" w:eastAsia="黑体" w:cs="黑体"/>
          <w:color w:val="auto"/>
          <w:sz w:val="24"/>
          <w:szCs w:val="24"/>
          <w:highlight w:val="none"/>
          <w:shd w:val="clear" w:color="auto" w:fill="auto"/>
        </w:rPr>
        <w:t>章。</w:t>
      </w:r>
    </w:p>
    <w:p w14:paraId="6E95740C">
      <w:pPr>
        <w:pStyle w:val="12"/>
        <w:tabs>
          <w:tab w:val="left" w:pos="5580"/>
        </w:tabs>
        <w:spacing w:line="240" w:lineRule="atLeast"/>
        <w:ind w:left="1080" w:leftChars="257" w:hanging="54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p>
    <w:p w14:paraId="6941DE65">
      <w:pPr>
        <w:pStyle w:val="18"/>
        <w:keepNext w:val="0"/>
        <w:keepLines w:val="0"/>
        <w:pageBreakBefore w:val="0"/>
        <w:widowControl w:val="0"/>
        <w:kinsoku/>
        <w:wordWrap/>
        <w:overflowPunct/>
        <w:topLinePunct w:val="0"/>
        <w:autoSpaceDE/>
        <w:autoSpaceDN/>
        <w:bidi w:val="0"/>
        <w:adjustRightInd/>
        <w:snapToGrid w:val="0"/>
        <w:ind w:firstLine="482" w:firstLineChars="200"/>
        <w:textAlignment w:val="auto"/>
        <w:rPr>
          <w:rFonts w:hint="eastAsia" w:ascii="黑体" w:hAnsi="黑体" w:eastAsia="黑体" w:cs="黑体"/>
          <w:b/>
          <w:bCs/>
          <w:i w:val="0"/>
          <w:iCs w:val="0"/>
          <w:color w:val="auto"/>
          <w:kern w:val="2"/>
          <w:sz w:val="24"/>
          <w:szCs w:val="24"/>
          <w:highlight w:val="none"/>
          <w:u w:val="single"/>
          <w:lang w:val="en-US" w:eastAsia="zh-CN" w:bidi="ar-SA"/>
        </w:rPr>
      </w:pPr>
    </w:p>
    <w:p w14:paraId="6495BD2A">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0CB08DB8">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538D746B">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267E116D">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60274EFF">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5CAF6B4B">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71F0F21E">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5E61330D">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666B36D2">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5D1418E9">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59ECF00">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633ECFA3">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77340EE6">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5809215">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4A4B2765">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6FF60512">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039F3B88">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48E56C51">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3F20C092">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05BBC222">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192429D">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D3BA476">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33ACB4CA">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32F6AE6C">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0293E833">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55D58AF9">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CB50626">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2D56DF69">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6B37822A">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7BC823C5">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285D4C8A">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122BB955">
      <w:pPr>
        <w:pStyle w:val="12"/>
        <w:tabs>
          <w:tab w:val="left" w:pos="5580"/>
        </w:tabs>
        <w:spacing w:line="240" w:lineRule="atLeast"/>
        <w:jc w:val="both"/>
        <w:rPr>
          <w:rFonts w:hint="eastAsia" w:ascii="黑体" w:hAnsi="黑体" w:eastAsia="黑体" w:cs="黑体"/>
          <w:b/>
          <w:color w:val="auto"/>
          <w:kern w:val="0"/>
          <w:sz w:val="24"/>
          <w:szCs w:val="24"/>
          <w:highlight w:val="none"/>
        </w:rPr>
      </w:pPr>
    </w:p>
    <w:p w14:paraId="788774CE">
      <w:pPr>
        <w:pStyle w:val="4"/>
        <w:bidi w:val="0"/>
        <w:rPr>
          <w:rFonts w:hint="eastAsia" w:ascii="黑体" w:hAnsi="黑体" w:eastAsia="黑体" w:cs="黑体"/>
          <w:color w:val="auto"/>
          <w:szCs w:val="28"/>
          <w:highlight w:val="none"/>
        </w:rPr>
      </w:pPr>
      <w:bookmarkStart w:id="136" w:name="_Toc1083"/>
      <w:bookmarkStart w:id="137" w:name="_Toc28315"/>
      <w:bookmarkStart w:id="138" w:name="_Toc12846"/>
      <w:bookmarkStart w:id="139" w:name="_Toc22472"/>
      <w:bookmarkStart w:id="140" w:name="_Toc10664"/>
      <w:bookmarkStart w:id="141" w:name="_Toc515647807"/>
      <w:bookmarkStart w:id="142" w:name="_Toc32312"/>
      <w:bookmarkStart w:id="143" w:name="_Toc4108"/>
      <w:r>
        <w:rPr>
          <w:rFonts w:hint="eastAsia" w:ascii="黑体" w:hAnsi="黑体" w:eastAsia="黑体" w:cs="黑体"/>
          <w:b/>
          <w:bCs/>
          <w:color w:val="auto"/>
          <w:szCs w:val="24"/>
          <w:highlight w:val="none"/>
        </w:rPr>
        <w:br w:type="page"/>
      </w:r>
      <w:r>
        <w:rPr>
          <w:rFonts w:hint="eastAsia"/>
          <w:color w:val="auto"/>
          <w:highlight w:val="none"/>
        </w:rPr>
        <w:t>3</w:t>
      </w:r>
      <w:bookmarkEnd w:id="136"/>
      <w:bookmarkEnd w:id="137"/>
      <w:bookmarkEnd w:id="138"/>
      <w:bookmarkEnd w:id="139"/>
      <w:bookmarkEnd w:id="140"/>
      <w:bookmarkEnd w:id="141"/>
      <w:bookmarkEnd w:id="142"/>
      <w:bookmarkEnd w:id="143"/>
      <w:r>
        <w:rPr>
          <w:rFonts w:hint="eastAsia"/>
          <w:color w:val="auto"/>
          <w:highlight w:val="none"/>
          <w:lang w:eastAsia="zh-CN"/>
        </w:rPr>
        <w:t>、</w:t>
      </w:r>
      <w:r>
        <w:rPr>
          <w:rFonts w:hint="eastAsia"/>
          <w:color w:val="auto"/>
          <w:highlight w:val="none"/>
          <w:lang w:val="en-US" w:eastAsia="zh-CN"/>
        </w:rPr>
        <w:t>法定代表人身份证明及身份证或法定代表人授权委托书和委托代理人身份证</w:t>
      </w:r>
    </w:p>
    <w:p w14:paraId="596F5C80">
      <w:pPr>
        <w:pStyle w:val="12"/>
        <w:tabs>
          <w:tab w:val="left" w:pos="5580"/>
        </w:tabs>
        <w:spacing w:line="360" w:lineRule="auto"/>
        <w:jc w:val="center"/>
        <w:rPr>
          <w:rFonts w:hint="eastAsia"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sz w:val="28"/>
          <w:szCs w:val="28"/>
          <w:highlight w:val="none"/>
          <w:lang w:val="en-US" w:eastAsia="zh-CN"/>
        </w:rPr>
        <w:t>3.1</w:t>
      </w:r>
      <w:r>
        <w:rPr>
          <w:rFonts w:hint="eastAsia" w:ascii="黑体" w:hAnsi="黑体" w:eastAsia="黑体" w:cs="黑体"/>
          <w:b/>
          <w:bCs/>
          <w:color w:val="auto"/>
          <w:kern w:val="0"/>
          <w:sz w:val="28"/>
          <w:szCs w:val="28"/>
          <w:highlight w:val="none"/>
          <w:lang w:val="en-US" w:eastAsia="zh-CN" w:bidi="ar-SA"/>
        </w:rPr>
        <w:t>法定代表人身份证明</w:t>
      </w:r>
    </w:p>
    <w:p w14:paraId="2A1CCBB8">
      <w:pPr>
        <w:rPr>
          <w:rFonts w:hint="eastAsia" w:ascii="黑体" w:hAnsi="黑体" w:eastAsia="黑体" w:cs="黑体"/>
          <w:color w:val="auto"/>
          <w:sz w:val="24"/>
          <w:szCs w:val="24"/>
          <w:highlight w:val="none"/>
          <w:lang w:val="en-US" w:eastAsia="zh-CN"/>
        </w:rPr>
      </w:pPr>
    </w:p>
    <w:p w14:paraId="0115444C">
      <w:pPr>
        <w:pStyle w:val="12"/>
        <w:tabs>
          <w:tab w:val="left" w:pos="5580"/>
        </w:tabs>
        <w:spacing w:line="360" w:lineRule="auto"/>
        <w:ind w:left="840" w:leftChars="400" w:firstLine="0" w:firstLineChars="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投标人名称：</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p>
    <w:p w14:paraId="2766797E">
      <w:pPr>
        <w:spacing w:line="360" w:lineRule="auto"/>
        <w:ind w:left="840" w:leftChars="400" w:firstLine="0" w:firstLineChars="0"/>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rPr>
        <w:t>姓名：</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rPr>
        <w:t>性别：</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年龄：</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rPr>
        <w:t>职务：</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p>
    <w:p w14:paraId="15BE2629">
      <w:pPr>
        <w:spacing w:line="360" w:lineRule="auto"/>
        <w:ind w:left="840" w:leftChars="40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系</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（投标人名称）的法定代表人（单位负责人）。</w:t>
      </w:r>
    </w:p>
    <w:p w14:paraId="0651FC48">
      <w:pPr>
        <w:spacing w:line="360" w:lineRule="auto"/>
        <w:ind w:left="840" w:leftChars="40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特此证明。</w:t>
      </w:r>
    </w:p>
    <w:p w14:paraId="21502DCF">
      <w:pPr>
        <w:spacing w:line="360" w:lineRule="auto"/>
        <w:ind w:left="840" w:leftChars="40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附：法定代表人（单位负责人）身份证正反面</w:t>
      </w:r>
      <w:r>
        <w:rPr>
          <w:rFonts w:hint="eastAsia" w:ascii="黑体" w:hAnsi="黑体" w:eastAsia="黑体" w:cs="黑体"/>
          <w:color w:val="auto"/>
          <w:sz w:val="24"/>
          <w:szCs w:val="24"/>
          <w:highlight w:val="none"/>
          <w:lang w:eastAsia="zh-CN"/>
        </w:rPr>
        <w:t>扫描件</w:t>
      </w:r>
      <w:r>
        <w:rPr>
          <w:rFonts w:hint="eastAsia" w:ascii="黑体" w:hAnsi="黑体" w:eastAsia="黑体" w:cs="黑体"/>
          <w:color w:val="auto"/>
          <w:sz w:val="24"/>
          <w:szCs w:val="24"/>
          <w:highlight w:val="none"/>
        </w:rPr>
        <w:t xml:space="preserve">。 </w:t>
      </w:r>
    </w:p>
    <w:p w14:paraId="38CB33A6">
      <w:pPr>
        <w:spacing w:line="360" w:lineRule="auto"/>
        <w:ind w:left="840" w:leftChars="40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注：本身份证明需由投标人加盖单位公章。</w:t>
      </w:r>
    </w:p>
    <w:tbl>
      <w:tblPr>
        <w:tblStyle w:val="25"/>
        <w:tblW w:w="0" w:type="auto"/>
        <w:tblInd w:w="9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108" w:type="dxa"/>
          <w:bottom w:w="0" w:type="dxa"/>
          <w:right w:w="108" w:type="dxa"/>
        </w:tblCellMar>
      </w:tblPr>
      <w:tblGrid>
        <w:gridCol w:w="4500"/>
        <w:gridCol w:w="4439"/>
      </w:tblGrid>
      <w:tr w14:paraId="7BF35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186" w:hRule="atLeast"/>
        </w:trPr>
        <w:tc>
          <w:tcPr>
            <w:tcW w:w="4500" w:type="dxa"/>
            <w:shd w:val="clear" w:color="auto" w:fill="FFFFFF" w:themeFill="background1"/>
            <w:vAlign w:val="center"/>
          </w:tcPr>
          <w:p w14:paraId="14CD49E7">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c>
          <w:tcPr>
            <w:tcW w:w="4439" w:type="dxa"/>
            <w:shd w:val="clear" w:color="auto" w:fill="FFFFFF" w:themeFill="background1"/>
            <w:vAlign w:val="center"/>
          </w:tcPr>
          <w:p w14:paraId="4B2C2696">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r>
    </w:tbl>
    <w:p w14:paraId="613664AE">
      <w:pPr>
        <w:spacing w:line="360" w:lineRule="auto"/>
        <w:ind w:left="840" w:leftChars="400" w:firstLine="0" w:firstLineChars="0"/>
        <w:jc w:val="left"/>
        <w:rPr>
          <w:rFonts w:hint="eastAsia" w:ascii="黑体" w:hAnsi="黑体" w:eastAsia="黑体" w:cs="黑体"/>
          <w:color w:val="auto"/>
          <w:sz w:val="24"/>
          <w:szCs w:val="24"/>
          <w:highlight w:val="none"/>
        </w:rPr>
      </w:pPr>
    </w:p>
    <w:p w14:paraId="5293F5DC">
      <w:pPr>
        <w:spacing w:line="360" w:lineRule="auto"/>
        <w:ind w:left="840" w:leftChars="400" w:firstLine="0" w:firstLineChars="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w:t>
      </w:r>
      <w:r>
        <w:rPr>
          <w:rFonts w:hint="eastAsia" w:ascii="黑体" w:hAnsi="黑体" w:eastAsia="黑体" w:cs="黑体"/>
          <w:color w:val="auto"/>
          <w:sz w:val="24"/>
          <w:szCs w:val="24"/>
          <w:highlight w:val="none"/>
          <w:lang w:eastAsia="zh-CN"/>
        </w:rPr>
        <w:t>加</w:t>
      </w:r>
      <w:r>
        <w:rPr>
          <w:rFonts w:hint="eastAsia" w:ascii="黑体" w:hAnsi="黑体" w:eastAsia="黑体" w:cs="黑体"/>
          <w:color w:val="auto"/>
          <w:sz w:val="24"/>
          <w:szCs w:val="24"/>
          <w:highlight w:val="none"/>
        </w:rPr>
        <w:t>盖</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rPr>
        <w:tab/>
      </w:r>
    </w:p>
    <w:p w14:paraId="021BD6FE">
      <w:pPr>
        <w:spacing w:line="360" w:lineRule="auto"/>
        <w:ind w:left="840" w:leftChars="400" w:firstLine="0" w:firstLineChars="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法定代表人（签字）：</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14:paraId="2CBD2223">
      <w:pPr>
        <w:spacing w:line="360" w:lineRule="auto"/>
        <w:ind w:left="840" w:leftChars="400" w:firstLine="0" w:firstLineChars="0"/>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日</w:t>
      </w:r>
      <w:r>
        <w:rPr>
          <w:rFonts w:hint="eastAsia" w:ascii="黑体" w:hAnsi="黑体" w:eastAsia="黑体" w:cs="黑体"/>
          <w:color w:val="auto"/>
          <w:sz w:val="24"/>
          <w:szCs w:val="24"/>
          <w:highlight w:val="none"/>
          <w:lang w:val="en-US" w:eastAsia="zh-CN"/>
        </w:rPr>
        <w:t xml:space="preserve"> </w:t>
      </w:r>
    </w:p>
    <w:p w14:paraId="5CD91AAF">
      <w:pPr>
        <w:pStyle w:val="12"/>
        <w:tabs>
          <w:tab w:val="left" w:pos="5580"/>
        </w:tabs>
        <w:spacing w:line="240" w:lineRule="atLeast"/>
        <w:jc w:val="both"/>
        <w:rPr>
          <w:rFonts w:hint="eastAsia" w:ascii="黑体" w:hAnsi="黑体" w:eastAsia="黑体" w:cs="黑体"/>
          <w:b/>
          <w:bCs/>
          <w:color w:val="auto"/>
          <w:sz w:val="24"/>
          <w:szCs w:val="24"/>
          <w:highlight w:val="none"/>
        </w:rPr>
      </w:pPr>
    </w:p>
    <w:p w14:paraId="650C0ADC">
      <w:pPr>
        <w:pStyle w:val="12"/>
        <w:tabs>
          <w:tab w:val="left" w:pos="5580"/>
        </w:tabs>
        <w:spacing w:line="240" w:lineRule="atLeast"/>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br w:type="page"/>
      </w:r>
      <w:r>
        <w:rPr>
          <w:rFonts w:hint="eastAsia" w:ascii="黑体" w:hAnsi="黑体" w:eastAsia="黑体" w:cs="黑体"/>
          <w:b/>
          <w:bCs/>
          <w:color w:val="auto"/>
          <w:sz w:val="28"/>
          <w:szCs w:val="28"/>
          <w:highlight w:val="none"/>
          <w:lang w:val="en-US" w:eastAsia="zh-CN"/>
        </w:rPr>
        <w:t xml:space="preserve">3.2 </w:t>
      </w:r>
      <w:r>
        <w:rPr>
          <w:rFonts w:hint="eastAsia" w:ascii="黑体" w:hAnsi="黑体" w:eastAsia="黑体" w:cs="黑体"/>
          <w:b/>
          <w:bCs/>
          <w:color w:val="auto"/>
          <w:sz w:val="28"/>
          <w:szCs w:val="28"/>
          <w:highlight w:val="none"/>
        </w:rPr>
        <w:t>法定代表人授权委托书</w:t>
      </w:r>
    </w:p>
    <w:p w14:paraId="76989D8E">
      <w:pPr>
        <w:pStyle w:val="12"/>
        <w:tabs>
          <w:tab w:val="left" w:pos="5580"/>
        </w:tabs>
        <w:spacing w:line="240" w:lineRule="atLeast"/>
        <w:jc w:val="center"/>
        <w:rPr>
          <w:rFonts w:hint="eastAsia" w:ascii="黑体" w:hAnsi="黑体" w:eastAsia="黑体" w:cs="黑体"/>
          <w:b/>
          <w:bCs/>
          <w:strike w:val="0"/>
          <w:dstrike w:val="0"/>
          <w:color w:val="auto"/>
          <w:sz w:val="24"/>
          <w:szCs w:val="24"/>
          <w:highlight w:val="none"/>
          <w:lang w:eastAsia="zh-CN"/>
        </w:rPr>
      </w:pPr>
    </w:p>
    <w:p w14:paraId="2ADE56A1">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highlight w:val="none"/>
          <w:lang w:eastAsia="zh-CN"/>
        </w:rPr>
      </w:pPr>
      <w:bookmarkStart w:id="144" w:name="_Toc24132"/>
      <w:bookmarkStart w:id="145" w:name="_Toc515647808"/>
      <w:bookmarkStart w:id="146" w:name="_Toc32520"/>
      <w:bookmarkStart w:id="147" w:name="_Toc7039"/>
      <w:r>
        <w:rPr>
          <w:rFonts w:hint="eastAsia" w:ascii="黑体" w:hAnsi="黑体" w:eastAsia="黑体" w:cs="黑体"/>
          <w:i w:val="0"/>
          <w:iCs w:val="0"/>
          <w:color w:val="auto"/>
          <w:sz w:val="24"/>
          <w:szCs w:val="24"/>
          <w:highlight w:val="none"/>
        </w:rPr>
        <w:t xml:space="preserve"> </w:t>
      </w:r>
      <w:r>
        <w:rPr>
          <w:rFonts w:hint="eastAsia" w:ascii="黑体" w:hAnsi="黑体" w:eastAsia="黑体" w:cs="黑体"/>
          <w:i w:val="0"/>
          <w:iCs w:val="0"/>
          <w:color w:val="auto"/>
          <w:sz w:val="24"/>
          <w:szCs w:val="24"/>
          <w:highlight w:val="none"/>
          <w:lang w:val="en-US" w:eastAsia="zh-CN"/>
        </w:rPr>
        <w:t xml:space="preserve">  </w:t>
      </w:r>
      <w:r>
        <w:rPr>
          <w:rFonts w:hint="eastAsia" w:ascii="黑体" w:hAnsi="黑体" w:eastAsia="黑体" w:cs="黑体"/>
          <w:i w:val="0"/>
          <w:iCs w:val="0"/>
          <w:color w:val="auto"/>
          <w:sz w:val="24"/>
          <w:szCs w:val="24"/>
          <w:highlight w:val="none"/>
        </w:rPr>
        <w:t>本授权书声明：注册于</w:t>
      </w:r>
      <w:r>
        <w:rPr>
          <w:rFonts w:hint="eastAsia" w:ascii="黑体" w:hAnsi="黑体" w:eastAsia="黑体" w:cs="黑体"/>
          <w:i w:val="0"/>
          <w:iCs w:val="0"/>
          <w:color w:val="auto"/>
          <w:sz w:val="24"/>
          <w:szCs w:val="24"/>
          <w:highlight w:val="none"/>
          <w:u w:val="single"/>
        </w:rPr>
        <w:t>（国家或地区的名称）</w:t>
      </w:r>
      <w:r>
        <w:rPr>
          <w:rFonts w:hint="eastAsia" w:ascii="黑体" w:hAnsi="黑体" w:eastAsia="黑体" w:cs="黑体"/>
          <w:i w:val="0"/>
          <w:iCs w:val="0"/>
          <w:color w:val="auto"/>
          <w:sz w:val="24"/>
          <w:szCs w:val="24"/>
          <w:highlight w:val="none"/>
        </w:rPr>
        <w:t>的（</w:t>
      </w:r>
      <w:r>
        <w:rPr>
          <w:rFonts w:hint="eastAsia" w:ascii="黑体" w:hAnsi="黑体" w:eastAsia="黑体" w:cs="黑体"/>
          <w:i w:val="0"/>
          <w:iCs w:val="0"/>
          <w:color w:val="auto"/>
          <w:sz w:val="24"/>
          <w:szCs w:val="24"/>
          <w:highlight w:val="none"/>
          <w:u w:val="single"/>
        </w:rPr>
        <w:t>供应商</w:t>
      </w:r>
      <w:r>
        <w:rPr>
          <w:rFonts w:hint="eastAsia" w:ascii="黑体" w:hAnsi="黑体" w:eastAsia="黑体" w:cs="黑体"/>
          <w:i w:val="0"/>
          <w:iCs w:val="0"/>
          <w:color w:val="auto"/>
          <w:sz w:val="24"/>
          <w:szCs w:val="24"/>
          <w:highlight w:val="none"/>
        </w:rPr>
        <w:t>）的在下面签字的（</w:t>
      </w:r>
      <w:r>
        <w:rPr>
          <w:rFonts w:hint="eastAsia" w:ascii="黑体" w:hAnsi="黑体" w:eastAsia="黑体" w:cs="黑体"/>
          <w:i w:val="0"/>
          <w:iCs w:val="0"/>
          <w:color w:val="auto"/>
          <w:sz w:val="24"/>
          <w:szCs w:val="24"/>
          <w:highlight w:val="none"/>
          <w:u w:val="single"/>
        </w:rPr>
        <w:t>法人代表姓名、职务</w:t>
      </w:r>
      <w:r>
        <w:rPr>
          <w:rFonts w:hint="eastAsia" w:ascii="黑体" w:hAnsi="黑体" w:eastAsia="黑体" w:cs="黑体"/>
          <w:i w:val="0"/>
          <w:iCs w:val="0"/>
          <w:color w:val="auto"/>
          <w:sz w:val="24"/>
          <w:szCs w:val="24"/>
          <w:highlight w:val="none"/>
        </w:rPr>
        <w:t>）代表我单位授权（</w:t>
      </w:r>
      <w:r>
        <w:rPr>
          <w:rFonts w:hint="eastAsia" w:ascii="黑体" w:hAnsi="黑体" w:eastAsia="黑体" w:cs="黑体"/>
          <w:i w:val="0"/>
          <w:iCs w:val="0"/>
          <w:color w:val="auto"/>
          <w:sz w:val="24"/>
          <w:szCs w:val="24"/>
          <w:highlight w:val="none"/>
          <w:u w:val="single"/>
        </w:rPr>
        <w:t>单位名称</w:t>
      </w:r>
      <w:r>
        <w:rPr>
          <w:rFonts w:hint="eastAsia" w:ascii="黑体" w:hAnsi="黑体" w:eastAsia="黑体" w:cs="黑体"/>
          <w:i w:val="0"/>
          <w:iCs w:val="0"/>
          <w:color w:val="auto"/>
          <w:sz w:val="24"/>
          <w:szCs w:val="24"/>
          <w:highlight w:val="none"/>
        </w:rPr>
        <w:t>）的在下面签字的（</w:t>
      </w:r>
      <w:r>
        <w:rPr>
          <w:rFonts w:hint="eastAsia" w:ascii="黑体" w:hAnsi="黑体" w:eastAsia="黑体" w:cs="黑体"/>
          <w:i w:val="0"/>
          <w:iCs w:val="0"/>
          <w:color w:val="auto"/>
          <w:sz w:val="24"/>
          <w:szCs w:val="24"/>
          <w:highlight w:val="none"/>
          <w:u w:val="single"/>
        </w:rPr>
        <w:t>被授权人的姓名、职务</w:t>
      </w:r>
      <w:r>
        <w:rPr>
          <w:rFonts w:hint="eastAsia" w:ascii="黑体" w:hAnsi="黑体" w:eastAsia="黑体" w:cs="黑体"/>
          <w:i w:val="0"/>
          <w:iCs w:val="0"/>
          <w:color w:val="auto"/>
          <w:sz w:val="24"/>
          <w:szCs w:val="24"/>
          <w:highlight w:val="none"/>
        </w:rPr>
        <w:t>）为我单位的合法代理人，就</w:t>
      </w:r>
      <w:r>
        <w:rPr>
          <w:rFonts w:hint="eastAsia" w:ascii="黑体" w:hAnsi="黑体" w:eastAsia="黑体" w:cs="黑体"/>
          <w:i w:val="0"/>
          <w:iCs w:val="0"/>
          <w:color w:val="auto"/>
          <w:sz w:val="24"/>
          <w:szCs w:val="24"/>
          <w:highlight w:val="none"/>
          <w:u w:val="single"/>
        </w:rPr>
        <w:t>项目名称</w:t>
      </w:r>
      <w:r>
        <w:rPr>
          <w:rFonts w:hint="eastAsia" w:ascii="黑体" w:hAnsi="黑体" w:eastAsia="黑体" w:cs="黑体"/>
          <w:i w:val="0"/>
          <w:iCs w:val="0"/>
          <w:color w:val="auto"/>
          <w:sz w:val="24"/>
          <w:szCs w:val="24"/>
          <w:highlight w:val="none"/>
          <w:lang w:eastAsia="zh-CN"/>
        </w:rPr>
        <w:t>项目编号</w:t>
      </w:r>
      <w:r>
        <w:rPr>
          <w:rFonts w:hint="eastAsia" w:ascii="黑体" w:hAnsi="黑体" w:eastAsia="黑体" w:cs="黑体"/>
          <w:i w:val="0"/>
          <w:iCs w:val="0"/>
          <w:color w:val="auto"/>
          <w:sz w:val="24"/>
          <w:szCs w:val="24"/>
          <w:highlight w:val="none"/>
        </w:rPr>
        <w:t>（</w:t>
      </w:r>
      <w:r>
        <w:rPr>
          <w:rFonts w:hint="eastAsia" w:ascii="黑体" w:hAnsi="黑体" w:eastAsia="黑体" w:cs="黑体"/>
          <w:i w:val="0"/>
          <w:iCs w:val="0"/>
          <w:color w:val="auto"/>
          <w:sz w:val="24"/>
          <w:szCs w:val="24"/>
          <w:highlight w:val="none"/>
          <w:u w:val="single"/>
          <w:lang w:eastAsia="zh-CN"/>
        </w:rPr>
        <w:t>编号</w:t>
      </w:r>
      <w:r>
        <w:rPr>
          <w:rFonts w:hint="eastAsia" w:ascii="黑体" w:hAnsi="黑体" w:eastAsia="黑体" w:cs="黑体"/>
          <w:i w:val="0"/>
          <w:iCs w:val="0"/>
          <w:color w:val="auto"/>
          <w:sz w:val="24"/>
          <w:szCs w:val="24"/>
          <w:highlight w:val="none"/>
          <w:u w:val="single"/>
        </w:rPr>
        <w:t>名称</w:t>
      </w:r>
      <w:r>
        <w:rPr>
          <w:rFonts w:hint="eastAsia" w:ascii="黑体" w:hAnsi="黑体" w:eastAsia="黑体" w:cs="黑体"/>
          <w:i w:val="0"/>
          <w:iCs w:val="0"/>
          <w:color w:val="auto"/>
          <w:sz w:val="24"/>
          <w:szCs w:val="24"/>
          <w:highlight w:val="none"/>
        </w:rPr>
        <w:t>）</w:t>
      </w:r>
      <w:r>
        <w:rPr>
          <w:rFonts w:hint="eastAsia" w:ascii="黑体" w:hAnsi="黑体" w:eastAsia="黑体" w:cs="黑体"/>
          <w:i w:val="0"/>
          <w:iCs w:val="0"/>
          <w:color w:val="auto"/>
          <w:sz w:val="24"/>
          <w:szCs w:val="24"/>
          <w:highlight w:val="none"/>
          <w:lang w:val="en-US" w:eastAsia="zh-CN"/>
        </w:rPr>
        <w:t>投标</w:t>
      </w:r>
      <w:r>
        <w:rPr>
          <w:rFonts w:hint="eastAsia" w:ascii="黑体" w:hAnsi="黑体" w:eastAsia="黑体" w:cs="黑体"/>
          <w:i w:val="0"/>
          <w:iCs w:val="0"/>
          <w:color w:val="auto"/>
          <w:sz w:val="24"/>
          <w:szCs w:val="24"/>
          <w:highlight w:val="none"/>
        </w:rPr>
        <w:t>，以我单位名义处理一切与之有关的事务。</w:t>
      </w:r>
      <w:r>
        <w:rPr>
          <w:rFonts w:hint="eastAsia" w:ascii="黑体" w:hAnsi="黑体" w:eastAsia="黑体" w:cs="黑体"/>
          <w:i w:val="0"/>
          <w:iCs w:val="0"/>
          <w:color w:val="auto"/>
          <w:sz w:val="24"/>
          <w:szCs w:val="24"/>
          <w:highlight w:val="none"/>
        </w:rPr>
        <w:cr/>
      </w:r>
      <w:r>
        <w:rPr>
          <w:rFonts w:hint="eastAsia" w:ascii="黑体" w:hAnsi="黑体" w:eastAsia="黑体" w:cs="黑体"/>
          <w:color w:val="auto"/>
          <w:sz w:val="24"/>
          <w:szCs w:val="24"/>
          <w:highlight w:val="none"/>
        </w:rPr>
        <w:t>　　本授权书于</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日签字生效</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特此声明。</w:t>
      </w:r>
      <w:r>
        <w:rPr>
          <w:rFonts w:hint="eastAsia" w:ascii="黑体" w:hAnsi="黑体" w:eastAsia="黑体" w:cs="黑体"/>
          <w:color w:val="auto"/>
          <w:sz w:val="24"/>
          <w:szCs w:val="24"/>
          <w:highlight w:val="none"/>
        </w:rPr>
        <w:cr/>
      </w:r>
      <w:r>
        <w:rPr>
          <w:rFonts w:hint="eastAsia" w:ascii="黑体" w:hAnsi="黑体" w:eastAsia="黑体" w:cs="黑体"/>
          <w:color w:val="auto"/>
          <w:kern w:val="2"/>
          <w:sz w:val="24"/>
          <w:szCs w:val="24"/>
          <w:highlight w:val="none"/>
          <w:lang w:val="en-US" w:eastAsia="zh-CN" w:bidi="ar-SA"/>
        </w:rPr>
        <w:t>附：法定代表人和授权委托人身份证扫描件正反面</w:t>
      </w:r>
    </w:p>
    <w:tbl>
      <w:tblPr>
        <w:tblStyle w:val="25"/>
        <w:tblW w:w="0" w:type="auto"/>
        <w:tblInd w:w="1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108" w:type="dxa"/>
          <w:bottom w:w="0" w:type="dxa"/>
          <w:right w:w="108" w:type="dxa"/>
        </w:tblCellMar>
      </w:tblPr>
      <w:tblGrid>
        <w:gridCol w:w="4695"/>
        <w:gridCol w:w="5040"/>
      </w:tblGrid>
      <w:tr w14:paraId="26E7F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2551" w:hRule="atLeast"/>
        </w:trPr>
        <w:tc>
          <w:tcPr>
            <w:tcW w:w="4695" w:type="dxa"/>
            <w:shd w:val="clear" w:color="auto" w:fill="FFFFFF" w:themeFill="background1"/>
            <w:vAlign w:val="center"/>
          </w:tcPr>
          <w:p w14:paraId="0C1474DD">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c>
          <w:tcPr>
            <w:tcW w:w="5040" w:type="dxa"/>
            <w:shd w:val="clear" w:color="auto" w:fill="FFFFFF" w:themeFill="background1"/>
            <w:vAlign w:val="center"/>
          </w:tcPr>
          <w:p w14:paraId="5387A3AF">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r>
      <w:tr w14:paraId="4A5A9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51" w:hRule="atLeast"/>
        </w:trPr>
        <w:tc>
          <w:tcPr>
            <w:tcW w:w="4695" w:type="dxa"/>
            <w:shd w:val="clear" w:color="auto" w:fill="FFFFFF" w:themeFill="background1"/>
            <w:vAlign w:val="center"/>
          </w:tcPr>
          <w:p w14:paraId="2C0B1344">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c>
          <w:tcPr>
            <w:tcW w:w="5040" w:type="dxa"/>
            <w:shd w:val="clear" w:color="auto" w:fill="FFFFFF" w:themeFill="background1"/>
            <w:vAlign w:val="center"/>
          </w:tcPr>
          <w:p w14:paraId="48A3DF67">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rPr>
              <w:t>身份证</w:t>
            </w:r>
            <w:r>
              <w:rPr>
                <w:rFonts w:hint="eastAsia" w:ascii="黑体" w:hAnsi="黑体" w:eastAsia="黑体" w:cs="黑体"/>
                <w:color w:val="auto"/>
                <w:sz w:val="24"/>
                <w:szCs w:val="24"/>
                <w:highlight w:val="none"/>
                <w:lang w:eastAsia="zh-CN"/>
              </w:rPr>
              <w:t>扫描件</w:t>
            </w:r>
          </w:p>
        </w:tc>
      </w:tr>
    </w:tbl>
    <w:p w14:paraId="4234B018">
      <w:pPr>
        <w:pStyle w:val="12"/>
        <w:tabs>
          <w:tab w:val="left" w:pos="5580"/>
        </w:tabs>
        <w:spacing w:line="240" w:lineRule="atLeast"/>
        <w:ind w:firstLine="480" w:firstLineChars="200"/>
        <w:rPr>
          <w:rFonts w:hint="eastAsia" w:ascii="黑体" w:hAnsi="黑体" w:eastAsia="黑体" w:cs="黑体"/>
          <w:color w:val="auto"/>
          <w:sz w:val="24"/>
          <w:szCs w:val="24"/>
          <w:highlight w:val="none"/>
          <w:lang w:eastAsia="zh-CN"/>
        </w:rPr>
      </w:pPr>
    </w:p>
    <w:p w14:paraId="31E5A56B">
      <w:pPr>
        <w:pStyle w:val="12"/>
        <w:tabs>
          <w:tab w:val="left" w:pos="5580"/>
        </w:tabs>
        <w:spacing w:line="360" w:lineRule="auto"/>
        <w:ind w:firstLine="480" w:firstLineChars="200"/>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lang w:eastAsia="zh-CN"/>
        </w:rPr>
        <w:t>投标人</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加</w:t>
      </w:r>
      <w:r>
        <w:rPr>
          <w:rFonts w:hint="eastAsia" w:ascii="黑体" w:hAnsi="黑体" w:eastAsia="黑体" w:cs="黑体"/>
          <w:color w:val="auto"/>
          <w:sz w:val="24"/>
          <w:szCs w:val="24"/>
          <w:highlight w:val="none"/>
        </w:rPr>
        <w:t>盖</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14:paraId="248FE68B">
      <w:pPr>
        <w:pStyle w:val="12"/>
        <w:tabs>
          <w:tab w:val="left" w:pos="5580"/>
        </w:tabs>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法定代表人（签字或签章）：</w:t>
      </w:r>
      <w:r>
        <w:rPr>
          <w:rFonts w:hint="eastAsia" w:ascii="黑体" w:hAnsi="黑体" w:eastAsia="黑体" w:cs="黑体"/>
          <w:color w:val="auto"/>
          <w:sz w:val="24"/>
          <w:szCs w:val="24"/>
          <w:highlight w:val="none"/>
          <w:u w:val="single"/>
        </w:rPr>
        <w:t xml:space="preserve">                     </w:t>
      </w:r>
    </w:p>
    <w:p w14:paraId="289FD7A0">
      <w:pPr>
        <w:pStyle w:val="12"/>
        <w:tabs>
          <w:tab w:val="left" w:pos="5580"/>
        </w:tabs>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u w:val="none" w:color="auto"/>
        </w:rPr>
        <w:t>身份证号码：</w:t>
      </w:r>
      <w:r>
        <w:rPr>
          <w:rFonts w:hint="eastAsia" w:ascii="黑体" w:hAnsi="黑体" w:eastAsia="黑体" w:cs="黑体"/>
          <w:color w:val="auto"/>
          <w:sz w:val="24"/>
          <w:szCs w:val="24"/>
          <w:highlight w:val="none"/>
        </w:rPr>
        <w:t xml:space="preserve">_________________________________ </w:t>
      </w:r>
    </w:p>
    <w:p w14:paraId="54913FBD">
      <w:pPr>
        <w:pStyle w:val="12"/>
        <w:tabs>
          <w:tab w:val="left" w:pos="5580"/>
        </w:tabs>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委托代理人：</w:t>
      </w:r>
      <w:r>
        <w:rPr>
          <w:rFonts w:hint="eastAsia" w:ascii="黑体" w:hAnsi="黑体" w:eastAsia="黑体" w:cs="黑体"/>
          <w:color w:val="auto"/>
          <w:sz w:val="24"/>
          <w:szCs w:val="24"/>
          <w:highlight w:val="none"/>
          <w:u w:val="single"/>
        </w:rPr>
        <w:t xml:space="preserve">                                   </w:t>
      </w:r>
    </w:p>
    <w:p w14:paraId="3A3AF764">
      <w:pPr>
        <w:pStyle w:val="12"/>
        <w:tabs>
          <w:tab w:val="left" w:pos="5580"/>
        </w:tabs>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身份证号码：</w:t>
      </w:r>
      <w:r>
        <w:rPr>
          <w:rFonts w:hint="eastAsia" w:ascii="黑体" w:hAnsi="黑体" w:eastAsia="黑体" w:cs="黑体"/>
          <w:color w:val="auto"/>
          <w:sz w:val="24"/>
          <w:szCs w:val="24"/>
          <w:highlight w:val="none"/>
          <w:u w:val="single"/>
        </w:rPr>
        <w:t xml:space="preserve">                                   </w:t>
      </w:r>
    </w:p>
    <w:p w14:paraId="0ABEDAC4">
      <w:pPr>
        <w:pStyle w:val="12"/>
        <w:tabs>
          <w:tab w:val="left" w:pos="5580"/>
        </w:tabs>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详细通讯地址：</w:t>
      </w:r>
      <w:r>
        <w:rPr>
          <w:rFonts w:hint="eastAsia" w:ascii="黑体" w:hAnsi="黑体" w:eastAsia="黑体" w:cs="黑体"/>
          <w:color w:val="auto"/>
          <w:sz w:val="24"/>
          <w:szCs w:val="24"/>
          <w:highlight w:val="none"/>
          <w:u w:val="single"/>
        </w:rPr>
        <w:t xml:space="preserve">                                 </w:t>
      </w:r>
    </w:p>
    <w:p w14:paraId="63333204">
      <w:pPr>
        <w:pStyle w:val="12"/>
        <w:tabs>
          <w:tab w:val="left" w:pos="5580"/>
        </w:tabs>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邮 政 编 码 ：</w:t>
      </w:r>
      <w:r>
        <w:rPr>
          <w:rFonts w:hint="eastAsia" w:ascii="黑体" w:hAnsi="黑体" w:eastAsia="黑体" w:cs="黑体"/>
          <w:color w:val="auto"/>
          <w:sz w:val="24"/>
          <w:szCs w:val="24"/>
          <w:highlight w:val="none"/>
          <w:u w:val="single"/>
        </w:rPr>
        <w:t xml:space="preserve">                                 </w:t>
      </w:r>
    </w:p>
    <w:p w14:paraId="2E7E2F6F">
      <w:pPr>
        <w:pStyle w:val="12"/>
        <w:tabs>
          <w:tab w:val="left" w:pos="5580"/>
        </w:tabs>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传　　　　真：</w:t>
      </w:r>
      <w:r>
        <w:rPr>
          <w:rFonts w:hint="eastAsia" w:ascii="黑体" w:hAnsi="黑体" w:eastAsia="黑体" w:cs="黑体"/>
          <w:color w:val="auto"/>
          <w:sz w:val="24"/>
          <w:szCs w:val="24"/>
          <w:highlight w:val="none"/>
          <w:u w:val="single"/>
        </w:rPr>
        <w:t xml:space="preserve">                                 </w:t>
      </w:r>
    </w:p>
    <w:p w14:paraId="65F36798">
      <w:pPr>
        <w:pStyle w:val="12"/>
        <w:tabs>
          <w:tab w:val="left" w:pos="5580"/>
        </w:tabs>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　　　　话：</w:t>
      </w:r>
      <w:r>
        <w:rPr>
          <w:rFonts w:hint="eastAsia" w:ascii="黑体" w:hAnsi="黑体" w:eastAsia="黑体" w:cs="黑体"/>
          <w:color w:val="auto"/>
          <w:sz w:val="24"/>
          <w:szCs w:val="24"/>
          <w:highlight w:val="none"/>
          <w:u w:val="single"/>
        </w:rPr>
        <w:t xml:space="preserve">                                 </w:t>
      </w:r>
    </w:p>
    <w:p w14:paraId="6B2CFD68">
      <w:pPr>
        <w:pStyle w:val="4"/>
        <w:bidi w:val="0"/>
        <w:rPr>
          <w:rFonts w:hint="eastAsia" w:ascii="黑体" w:hAnsi="黑体" w:eastAsia="黑体" w:cs="黑体"/>
          <w:b/>
          <w:bCs/>
          <w:i w:val="0"/>
          <w:iCs w:val="0"/>
          <w:color w:val="auto"/>
          <w:kern w:val="2"/>
          <w:szCs w:val="24"/>
          <w:highlight w:val="none"/>
          <w:u w:val="none"/>
          <w:lang w:val="en-US" w:eastAsia="zh-CN" w:bidi="ar-SA"/>
        </w:rPr>
      </w:pPr>
      <w:r>
        <w:rPr>
          <w:rFonts w:hint="eastAsia" w:ascii="黑体" w:hAnsi="黑体" w:eastAsia="黑体" w:cs="黑体"/>
          <w:b/>
          <w:bCs/>
          <w:i w:val="0"/>
          <w:iCs w:val="0"/>
          <w:color w:val="auto"/>
          <w:kern w:val="2"/>
          <w:szCs w:val="24"/>
          <w:highlight w:val="none"/>
          <w:u w:val="none"/>
          <w:lang w:val="en-US" w:eastAsia="zh-CN" w:bidi="ar-SA"/>
        </w:rPr>
        <w:br w:type="page"/>
      </w:r>
      <w:r>
        <w:rPr>
          <w:rFonts w:hint="eastAsia"/>
          <w:color w:val="auto"/>
          <w:highlight w:val="none"/>
          <w:lang w:val="en-US" w:eastAsia="zh-CN"/>
        </w:rPr>
        <w:t>4、提供本单位缴纳的近六个月任意一个月社保缴纳证明；</w:t>
      </w:r>
    </w:p>
    <w:p w14:paraId="0EC423EF">
      <w:pPr>
        <w:pStyle w:val="7"/>
        <w:numPr>
          <w:ilvl w:val="0"/>
          <w:numId w:val="0"/>
        </w:numPr>
        <w:jc w:val="both"/>
        <w:rPr>
          <w:rFonts w:hint="eastAsia" w:ascii="黑体" w:hAnsi="黑体" w:eastAsia="黑体" w:cs="黑体"/>
          <w:b/>
          <w:bCs/>
          <w:i w:val="0"/>
          <w:iCs w:val="0"/>
          <w:color w:val="auto"/>
          <w:kern w:val="2"/>
          <w:sz w:val="24"/>
          <w:szCs w:val="24"/>
          <w:highlight w:val="none"/>
          <w:u w:val="none"/>
          <w:lang w:val="en-US" w:eastAsia="zh-CN" w:bidi="ar-SA"/>
        </w:rPr>
      </w:pPr>
    </w:p>
    <w:p w14:paraId="35FFD9B5">
      <w:pPr>
        <w:pStyle w:val="8"/>
        <w:rPr>
          <w:rFonts w:hint="eastAsia" w:ascii="黑体" w:hAnsi="黑体" w:eastAsia="黑体" w:cs="黑体"/>
          <w:color w:val="auto"/>
          <w:sz w:val="24"/>
          <w:szCs w:val="24"/>
          <w:highlight w:val="none"/>
          <w:lang w:val="en-US" w:eastAsia="zh-CN"/>
        </w:rPr>
      </w:pPr>
    </w:p>
    <w:p w14:paraId="4A625727">
      <w:pPr>
        <w:pStyle w:val="7"/>
        <w:numPr>
          <w:ilvl w:val="0"/>
          <w:numId w:val="0"/>
        </w:numPr>
        <w:jc w:val="center"/>
        <w:rPr>
          <w:rFonts w:hint="eastAsia" w:ascii="黑体" w:hAnsi="黑体" w:eastAsia="黑体" w:cs="黑体"/>
          <w:b/>
          <w:bCs/>
          <w:i w:val="0"/>
          <w:iCs w:val="0"/>
          <w:color w:val="auto"/>
          <w:kern w:val="2"/>
          <w:sz w:val="24"/>
          <w:szCs w:val="24"/>
          <w:highlight w:val="none"/>
          <w:u w:val="none"/>
          <w:lang w:val="en-US" w:eastAsia="zh-CN" w:bidi="ar-SA"/>
        </w:rPr>
      </w:pPr>
    </w:p>
    <w:p w14:paraId="54E89F99">
      <w:pPr>
        <w:pStyle w:val="7"/>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jc w:val="center"/>
        <w:textAlignment w:val="baseline"/>
        <w:rPr>
          <w:rFonts w:hint="eastAsia" w:ascii="黑体" w:hAnsi="黑体" w:eastAsia="黑体" w:cs="黑体"/>
          <w:color w:val="auto"/>
          <w:sz w:val="28"/>
          <w:szCs w:val="28"/>
          <w:highlight w:val="none"/>
          <w:lang w:val="en-US" w:eastAsia="zh-CN"/>
        </w:rPr>
      </w:pPr>
      <w:r>
        <w:rPr>
          <w:rStyle w:val="44"/>
          <w:rFonts w:hint="eastAsia"/>
          <w:color w:val="auto"/>
          <w:highlight w:val="none"/>
          <w:lang w:val="en-US" w:eastAsia="zh-CN"/>
        </w:rPr>
        <w:t>5、提供2024年度或2025年度财务审计报告（新成立未满一年的公司提供有效银行资信证明）</w:t>
      </w:r>
      <w:r>
        <w:rPr>
          <w:rFonts w:hint="eastAsia" w:ascii="黑体" w:hAnsi="黑体" w:eastAsia="黑体" w:cs="黑体"/>
          <w:b/>
          <w:color w:val="auto"/>
          <w:kern w:val="0"/>
          <w:sz w:val="28"/>
          <w:szCs w:val="28"/>
          <w:highlight w:val="none"/>
          <w:lang w:val="en-US" w:eastAsia="zh-CN" w:bidi="ar-SA"/>
        </w:rPr>
        <w:t>；</w:t>
      </w:r>
    </w:p>
    <w:p w14:paraId="52C42E82">
      <w:pPr>
        <w:tabs>
          <w:tab w:val="left" w:pos="5580"/>
        </w:tabs>
        <w:spacing w:line="360" w:lineRule="auto"/>
        <w:rPr>
          <w:rFonts w:hint="eastAsia" w:ascii="黑体" w:hAnsi="黑体" w:eastAsia="黑体" w:cs="黑体"/>
          <w:b w:val="0"/>
          <w:bCs/>
          <w:color w:val="auto"/>
          <w:sz w:val="24"/>
          <w:szCs w:val="24"/>
          <w:highlight w:val="none"/>
          <w:lang w:eastAsia="zh-CN"/>
        </w:rPr>
      </w:pPr>
      <w:r>
        <w:rPr>
          <w:rFonts w:hint="eastAsia" w:ascii="黑体" w:hAnsi="黑体" w:eastAsia="黑体" w:cs="黑体"/>
          <w:color w:val="auto"/>
          <w:sz w:val="24"/>
          <w:szCs w:val="24"/>
          <w:highlight w:val="none"/>
        </w:rPr>
        <w:t>说明：</w:t>
      </w:r>
      <w:bookmarkStart w:id="148" w:name="_Toc8736"/>
      <w:r>
        <w:rPr>
          <w:rFonts w:hint="eastAsia" w:ascii="黑体" w:hAnsi="黑体" w:eastAsia="黑体" w:cs="黑体"/>
          <w:b w:val="0"/>
          <w:bCs w:val="0"/>
          <w:color w:val="auto"/>
          <w:kern w:val="0"/>
          <w:sz w:val="24"/>
          <w:szCs w:val="24"/>
          <w:highlight w:val="none"/>
          <w:u w:val="none"/>
          <w:lang w:val="en-US" w:eastAsia="zh-CN" w:bidi="ar-SA"/>
        </w:rPr>
        <w:t>提供2024年度或2025年度财务审计报告（新成立未满一年的公司提供有效银行资信证明）</w:t>
      </w:r>
      <w:r>
        <w:rPr>
          <w:rFonts w:hint="eastAsia" w:ascii="黑体" w:hAnsi="黑体" w:eastAsia="黑体" w:cs="黑体"/>
          <w:b w:val="0"/>
          <w:bCs/>
          <w:color w:val="auto"/>
          <w:sz w:val="24"/>
          <w:szCs w:val="24"/>
          <w:highlight w:val="none"/>
          <w:lang w:eastAsia="zh-CN"/>
        </w:rPr>
        <w:t>扫描件，扫描件</w:t>
      </w:r>
      <w:r>
        <w:rPr>
          <w:rFonts w:hint="eastAsia" w:ascii="黑体" w:hAnsi="黑体" w:eastAsia="黑体" w:cs="黑体"/>
          <w:b w:val="0"/>
          <w:bCs/>
          <w:color w:val="auto"/>
          <w:sz w:val="24"/>
          <w:szCs w:val="24"/>
          <w:highlight w:val="none"/>
        </w:rPr>
        <w:t>上应加盖本单位</w:t>
      </w:r>
      <w:r>
        <w:rPr>
          <w:rFonts w:hint="eastAsia" w:ascii="黑体" w:hAnsi="黑体" w:eastAsia="黑体" w:cs="黑体"/>
          <w:b w:val="0"/>
          <w:bCs/>
          <w:color w:val="auto"/>
          <w:sz w:val="24"/>
          <w:szCs w:val="24"/>
          <w:highlight w:val="none"/>
          <w:lang w:eastAsia="zh-CN"/>
        </w:rPr>
        <w:t>公</w:t>
      </w:r>
      <w:r>
        <w:rPr>
          <w:rFonts w:hint="eastAsia" w:ascii="黑体" w:hAnsi="黑体" w:eastAsia="黑体" w:cs="黑体"/>
          <w:b w:val="0"/>
          <w:bCs/>
          <w:color w:val="auto"/>
          <w:sz w:val="24"/>
          <w:szCs w:val="24"/>
          <w:highlight w:val="none"/>
        </w:rPr>
        <w:t>章</w:t>
      </w:r>
      <w:r>
        <w:rPr>
          <w:rFonts w:hint="eastAsia" w:ascii="黑体" w:hAnsi="黑体" w:eastAsia="黑体" w:cs="黑体"/>
          <w:b w:val="0"/>
          <w:bCs/>
          <w:color w:val="auto"/>
          <w:sz w:val="24"/>
          <w:szCs w:val="24"/>
          <w:highlight w:val="none"/>
          <w:lang w:eastAsia="zh-CN"/>
        </w:rPr>
        <w:t>。</w:t>
      </w:r>
      <w:bookmarkEnd w:id="148"/>
    </w:p>
    <w:p w14:paraId="085B34B6">
      <w:pPr>
        <w:pStyle w:val="4"/>
        <w:spacing w:before="0" w:line="240" w:lineRule="atLeast"/>
        <w:ind w:left="1080" w:leftChars="257" w:hanging="540"/>
        <w:jc w:val="left"/>
        <w:outlineLvl w:val="9"/>
        <w:rPr>
          <w:rFonts w:hint="eastAsia" w:ascii="黑体" w:hAnsi="黑体" w:eastAsia="黑体" w:cs="黑体"/>
          <w:color w:val="auto"/>
          <w:sz w:val="24"/>
          <w:szCs w:val="24"/>
          <w:highlight w:val="none"/>
        </w:rPr>
      </w:pPr>
    </w:p>
    <w:p w14:paraId="1A69A9F0">
      <w:pPr>
        <w:rPr>
          <w:rFonts w:hint="eastAsia" w:ascii="黑体" w:hAnsi="黑体" w:eastAsia="黑体" w:cs="黑体"/>
          <w:color w:val="auto"/>
          <w:sz w:val="24"/>
          <w:szCs w:val="24"/>
          <w:highlight w:val="none"/>
        </w:rPr>
      </w:pPr>
    </w:p>
    <w:p w14:paraId="31F68288">
      <w:pPr>
        <w:pStyle w:val="18"/>
        <w:rPr>
          <w:rFonts w:hint="eastAsia" w:ascii="黑体" w:hAnsi="黑体" w:eastAsia="黑体" w:cs="黑体"/>
          <w:color w:val="auto"/>
          <w:sz w:val="24"/>
          <w:szCs w:val="24"/>
          <w:highlight w:val="none"/>
        </w:rPr>
      </w:pPr>
    </w:p>
    <w:p w14:paraId="5206DA0E">
      <w:pPr>
        <w:pStyle w:val="7"/>
        <w:rPr>
          <w:rFonts w:hint="eastAsia" w:ascii="黑体" w:hAnsi="黑体" w:eastAsia="黑体" w:cs="黑体"/>
          <w:color w:val="auto"/>
          <w:sz w:val="24"/>
          <w:szCs w:val="24"/>
          <w:highlight w:val="none"/>
        </w:rPr>
      </w:pPr>
    </w:p>
    <w:p w14:paraId="16ADB3EE">
      <w:pPr>
        <w:pStyle w:val="4"/>
        <w:bidi w:val="0"/>
        <w:rPr>
          <w:rFonts w:hint="eastAsia"/>
          <w:color w:val="auto"/>
          <w:highlight w:val="none"/>
        </w:rPr>
      </w:pPr>
      <w:bookmarkStart w:id="149" w:name="_Toc14825"/>
      <w:bookmarkStart w:id="150" w:name="_Toc18311"/>
      <w:bookmarkStart w:id="151" w:name="_Toc19348"/>
      <w:bookmarkStart w:id="152" w:name="_Toc28204"/>
      <w:bookmarkStart w:id="153" w:name="_Toc17484"/>
      <w:bookmarkStart w:id="154" w:name="_Toc550"/>
      <w:bookmarkStart w:id="155" w:name="_Toc19017"/>
      <w:bookmarkStart w:id="156" w:name="_Toc20358"/>
      <w:bookmarkStart w:id="157" w:name="_Toc2962"/>
      <w:r>
        <w:rPr>
          <w:rFonts w:hint="eastAsia"/>
          <w:color w:val="auto"/>
          <w:highlight w:val="none"/>
          <w:lang w:val="en-US" w:eastAsia="zh-CN"/>
        </w:rPr>
        <w:t>6</w:t>
      </w:r>
      <w:r>
        <w:rPr>
          <w:rFonts w:hint="eastAsia"/>
          <w:color w:val="auto"/>
          <w:highlight w:val="none"/>
        </w:rPr>
        <w:t xml:space="preserve"> </w:t>
      </w:r>
      <w:bookmarkEnd w:id="144"/>
      <w:bookmarkEnd w:id="145"/>
      <w:bookmarkEnd w:id="146"/>
      <w:bookmarkEnd w:id="147"/>
      <w:bookmarkEnd w:id="149"/>
      <w:bookmarkEnd w:id="150"/>
      <w:bookmarkEnd w:id="151"/>
      <w:bookmarkEnd w:id="152"/>
      <w:r>
        <w:rPr>
          <w:rFonts w:hint="eastAsia"/>
          <w:color w:val="auto"/>
          <w:highlight w:val="none"/>
          <w:lang w:eastAsia="zh-CN"/>
        </w:rPr>
        <w:t>、</w:t>
      </w:r>
      <w:bookmarkEnd w:id="153"/>
      <w:bookmarkEnd w:id="154"/>
      <w:bookmarkEnd w:id="155"/>
      <w:r>
        <w:rPr>
          <w:rFonts w:hint="eastAsia"/>
          <w:color w:val="auto"/>
          <w:highlight w:val="none"/>
          <w:lang w:val="en-US" w:eastAsia="zh-CN"/>
        </w:rPr>
        <w:t>提供本单位近六个月任意一个月税务局开具的完税证明；（完税证明或税务部门出具的其他证明，非社会保险类）；</w:t>
      </w:r>
      <w:bookmarkEnd w:id="156"/>
      <w:bookmarkEnd w:id="157"/>
    </w:p>
    <w:p w14:paraId="3D3FEFF9">
      <w:pPr>
        <w:tabs>
          <w:tab w:val="left" w:pos="5580"/>
        </w:tabs>
        <w:spacing w:line="360" w:lineRule="auto"/>
        <w:rPr>
          <w:rFonts w:hint="eastAsia" w:ascii="黑体" w:hAnsi="黑体" w:eastAsia="黑体" w:cs="黑体"/>
          <w:b w:val="0"/>
          <w:bCs/>
          <w:color w:val="auto"/>
          <w:sz w:val="24"/>
          <w:szCs w:val="24"/>
          <w:highlight w:val="none"/>
          <w:lang w:eastAsia="zh-CN"/>
        </w:rPr>
      </w:pPr>
      <w:r>
        <w:rPr>
          <w:rFonts w:hint="eastAsia" w:ascii="黑体" w:hAnsi="黑体" w:eastAsia="黑体" w:cs="黑体"/>
          <w:color w:val="auto"/>
          <w:sz w:val="24"/>
          <w:szCs w:val="24"/>
          <w:highlight w:val="none"/>
        </w:rPr>
        <w:t>说明：</w:t>
      </w:r>
      <w:bookmarkStart w:id="158" w:name="_Toc14000"/>
      <w:bookmarkStart w:id="159" w:name="_Toc2064"/>
      <w:bookmarkStart w:id="160" w:name="_Toc6149"/>
      <w:bookmarkStart w:id="161" w:name="_Toc19356"/>
      <w:r>
        <w:rPr>
          <w:rFonts w:hint="eastAsia" w:ascii="黑体" w:hAnsi="黑体" w:eastAsia="黑体" w:cs="黑体"/>
          <w:b w:val="0"/>
          <w:bCs/>
          <w:color w:val="auto"/>
          <w:sz w:val="24"/>
          <w:szCs w:val="24"/>
          <w:highlight w:val="none"/>
          <w:lang w:val="en-US" w:eastAsia="zh-CN"/>
        </w:rPr>
        <w:t>提供本单位近六个月任意一个月税务局开具的完税证明；（完税证明或税务部门出具的其他证明，非社会保险类）</w:t>
      </w:r>
      <w:r>
        <w:rPr>
          <w:rFonts w:hint="eastAsia" w:ascii="黑体" w:hAnsi="黑体" w:eastAsia="黑体" w:cs="黑体"/>
          <w:b w:val="0"/>
          <w:bCs/>
          <w:color w:val="auto"/>
          <w:sz w:val="24"/>
          <w:szCs w:val="24"/>
          <w:highlight w:val="none"/>
          <w:lang w:eastAsia="zh-CN"/>
        </w:rPr>
        <w:t>扫描件，扫描</w:t>
      </w:r>
      <w:r>
        <w:rPr>
          <w:rFonts w:hint="eastAsia" w:ascii="黑体" w:hAnsi="黑体" w:eastAsia="黑体" w:cs="黑体"/>
          <w:b w:val="0"/>
          <w:bCs/>
          <w:color w:val="auto"/>
          <w:sz w:val="24"/>
          <w:szCs w:val="24"/>
          <w:highlight w:val="none"/>
        </w:rPr>
        <w:t>件上应加盖本单位</w:t>
      </w:r>
      <w:r>
        <w:rPr>
          <w:rFonts w:hint="eastAsia" w:ascii="黑体" w:hAnsi="黑体" w:eastAsia="黑体" w:cs="黑体"/>
          <w:b w:val="0"/>
          <w:bCs/>
          <w:color w:val="auto"/>
          <w:sz w:val="24"/>
          <w:szCs w:val="24"/>
          <w:highlight w:val="none"/>
          <w:lang w:eastAsia="zh-CN"/>
        </w:rPr>
        <w:t>公</w:t>
      </w:r>
      <w:r>
        <w:rPr>
          <w:rFonts w:hint="eastAsia" w:ascii="黑体" w:hAnsi="黑体" w:eastAsia="黑体" w:cs="黑体"/>
          <w:b w:val="0"/>
          <w:bCs/>
          <w:color w:val="auto"/>
          <w:sz w:val="24"/>
          <w:szCs w:val="24"/>
          <w:highlight w:val="none"/>
        </w:rPr>
        <w:t>章</w:t>
      </w:r>
      <w:r>
        <w:rPr>
          <w:rFonts w:hint="eastAsia" w:ascii="黑体" w:hAnsi="黑体" w:eastAsia="黑体" w:cs="黑体"/>
          <w:b w:val="0"/>
          <w:bCs/>
          <w:color w:val="auto"/>
          <w:sz w:val="24"/>
          <w:szCs w:val="24"/>
          <w:highlight w:val="none"/>
          <w:lang w:eastAsia="zh-CN"/>
        </w:rPr>
        <w:t>。</w:t>
      </w:r>
      <w:bookmarkEnd w:id="158"/>
      <w:bookmarkEnd w:id="159"/>
      <w:bookmarkEnd w:id="160"/>
      <w:bookmarkEnd w:id="161"/>
    </w:p>
    <w:p w14:paraId="2D0BAC5A">
      <w:pPr>
        <w:tabs>
          <w:tab w:val="left" w:pos="5580"/>
        </w:tabs>
        <w:spacing w:line="240" w:lineRule="atLeast"/>
        <w:ind w:left="1080" w:leftChars="257" w:hanging="540"/>
        <w:rPr>
          <w:rFonts w:hint="eastAsia" w:ascii="黑体" w:hAnsi="黑体" w:eastAsia="黑体" w:cs="黑体"/>
          <w:color w:val="auto"/>
          <w:sz w:val="24"/>
          <w:szCs w:val="24"/>
          <w:highlight w:val="none"/>
        </w:rPr>
      </w:pPr>
    </w:p>
    <w:p w14:paraId="2AA2AF47">
      <w:pPr>
        <w:pStyle w:val="4"/>
        <w:spacing w:before="0" w:line="240" w:lineRule="atLeast"/>
        <w:jc w:val="both"/>
        <w:outlineLvl w:val="9"/>
        <w:rPr>
          <w:rFonts w:hint="eastAsia" w:ascii="黑体" w:hAnsi="黑体" w:eastAsia="黑体" w:cs="黑体"/>
          <w:b/>
          <w:bCs/>
          <w:color w:val="auto"/>
          <w:sz w:val="24"/>
          <w:szCs w:val="24"/>
          <w:highlight w:val="none"/>
          <w:lang w:val="en-US" w:eastAsia="zh-CN"/>
        </w:rPr>
      </w:pPr>
      <w:bookmarkStart w:id="162" w:name="_Toc11047"/>
      <w:bookmarkStart w:id="163" w:name="_Toc28445"/>
      <w:bookmarkStart w:id="164" w:name="_Toc515647809"/>
      <w:bookmarkStart w:id="165" w:name="_Toc16548"/>
      <w:bookmarkStart w:id="166" w:name="_Toc20618"/>
      <w:bookmarkStart w:id="167" w:name="_Toc28828"/>
      <w:bookmarkStart w:id="168" w:name="_Toc15037"/>
      <w:bookmarkStart w:id="169" w:name="_Toc24072"/>
      <w:bookmarkStart w:id="170" w:name="_Toc31773"/>
    </w:p>
    <w:p w14:paraId="704B6EEE">
      <w:pPr>
        <w:pStyle w:val="4"/>
        <w:spacing w:before="0" w:line="240" w:lineRule="atLeast"/>
        <w:jc w:val="both"/>
        <w:outlineLvl w:val="9"/>
        <w:rPr>
          <w:rFonts w:hint="eastAsia" w:ascii="黑体" w:hAnsi="黑体" w:eastAsia="黑体" w:cs="黑体"/>
          <w:b/>
          <w:bCs/>
          <w:color w:val="auto"/>
          <w:sz w:val="24"/>
          <w:szCs w:val="24"/>
          <w:highlight w:val="none"/>
          <w:lang w:val="en-US" w:eastAsia="zh-CN"/>
        </w:rPr>
      </w:pPr>
    </w:p>
    <w:p w14:paraId="5F3E9194">
      <w:pPr>
        <w:pStyle w:val="4"/>
        <w:bidi w:val="0"/>
        <w:rPr>
          <w:rFonts w:hint="eastAsia"/>
          <w:color w:val="auto"/>
          <w:highlight w:val="none"/>
          <w:lang w:val="en-US" w:eastAsia="zh-CN"/>
        </w:rPr>
      </w:pPr>
      <w:bookmarkStart w:id="171" w:name="_Toc29487"/>
      <w:bookmarkStart w:id="172" w:name="_Toc1169"/>
      <w:bookmarkStart w:id="173" w:name="_Toc23147"/>
      <w:bookmarkStart w:id="174" w:name="_Toc3886"/>
      <w:r>
        <w:rPr>
          <w:rFonts w:hint="eastAsia"/>
          <w:color w:val="auto"/>
          <w:highlight w:val="none"/>
          <w:lang w:val="en-US" w:eastAsia="zh-CN"/>
        </w:rPr>
        <w:t>7、</w:t>
      </w:r>
      <w:bookmarkEnd w:id="162"/>
      <w:bookmarkEnd w:id="163"/>
      <w:bookmarkEnd w:id="164"/>
      <w:bookmarkEnd w:id="165"/>
      <w:r>
        <w:rPr>
          <w:rFonts w:hint="eastAsia"/>
          <w:color w:val="auto"/>
          <w:highlight w:val="none"/>
          <w:lang w:val="en-US" w:eastAsia="zh-CN"/>
        </w:rPr>
        <w:t>投标单位近三年内（2023年06月至今）在“信用中国”（www.creditchina.gov.cn）和中国政府采购网（www.ccgp.gov.cn）网站上未列入重大税收违法失信主体、严重失信主体名单查询，中国政府采购网严重违法失信行为记录名单；（以采购人或代理机构现场查询为准）</w:t>
      </w:r>
      <w:bookmarkEnd w:id="171"/>
      <w:bookmarkEnd w:id="172"/>
    </w:p>
    <w:p w14:paraId="0DF0A99E">
      <w:pPr>
        <w:pStyle w:val="4"/>
        <w:keepNext/>
        <w:keepLines/>
        <w:pageBreakBefore w:val="0"/>
        <w:widowControl w:val="0"/>
        <w:numPr>
          <w:ilvl w:val="0"/>
          <w:numId w:val="0"/>
        </w:numPr>
        <w:kinsoku/>
        <w:overflowPunct/>
        <w:topLinePunct w:val="0"/>
        <w:autoSpaceDE/>
        <w:autoSpaceDN/>
        <w:bidi w:val="0"/>
        <w:adjustRightInd w:val="0"/>
        <w:snapToGrid/>
        <w:spacing w:before="0" w:line="240" w:lineRule="atLeast"/>
        <w:jc w:val="both"/>
        <w:textAlignment w:val="auto"/>
        <w:outlineLvl w:val="9"/>
        <w:rPr>
          <w:rFonts w:hint="eastAsia" w:ascii="黑体" w:hAnsi="黑体" w:eastAsia="黑体" w:cs="黑体"/>
          <w:b/>
          <w:bCs/>
          <w:color w:val="auto"/>
          <w:sz w:val="24"/>
          <w:szCs w:val="24"/>
          <w:highlight w:val="none"/>
          <w:lang w:val="en-US" w:eastAsia="zh-CN"/>
        </w:rPr>
      </w:pPr>
    </w:p>
    <w:p w14:paraId="353E3EEE">
      <w:pPr>
        <w:pStyle w:val="4"/>
        <w:numPr>
          <w:ilvl w:val="0"/>
          <w:numId w:val="0"/>
        </w:numPr>
        <w:shd w:val="clear" w:color="auto" w:fill="auto"/>
        <w:spacing w:before="0" w:line="360" w:lineRule="auto"/>
        <w:jc w:val="cente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br w:type="page"/>
      </w:r>
      <w:bookmarkStart w:id="175" w:name="_Toc9510"/>
      <w:bookmarkStart w:id="176" w:name="_Toc19306"/>
      <w:r>
        <w:rPr>
          <w:rFonts w:hint="eastAsia" w:ascii="黑体" w:hAnsi="黑体" w:eastAsia="黑体" w:cs="黑体"/>
          <w:b/>
          <w:bCs/>
          <w:color w:val="auto"/>
          <w:sz w:val="28"/>
          <w:szCs w:val="28"/>
          <w:highlight w:val="none"/>
          <w:lang w:val="en-US" w:eastAsia="zh-CN"/>
        </w:rPr>
        <w:t>8、</w:t>
      </w:r>
      <w:r>
        <w:rPr>
          <w:rFonts w:hint="eastAsia" w:ascii="黑体" w:hAnsi="黑体" w:eastAsia="黑体" w:cs="黑体"/>
          <w:b/>
          <w:bCs/>
          <w:i w:val="0"/>
          <w:iCs w:val="0"/>
          <w:color w:val="auto"/>
          <w:kern w:val="2"/>
          <w:sz w:val="28"/>
          <w:szCs w:val="28"/>
          <w:highlight w:val="none"/>
          <w:u w:val="none"/>
          <w:lang w:val="en-US" w:eastAsia="zh-CN" w:bidi="ar-SA"/>
        </w:rPr>
        <w:t>投标单位（供应商）针对本次项目《反商业贿赂承诺书》；</w:t>
      </w:r>
      <w:r>
        <w:rPr>
          <w:rFonts w:hint="eastAsia" w:ascii="黑体" w:hAnsi="黑体" w:eastAsia="黑体" w:cs="黑体"/>
          <w:b/>
          <w:bCs/>
          <w:color w:val="auto"/>
          <w:sz w:val="28"/>
          <w:szCs w:val="28"/>
          <w:highlight w:val="none"/>
          <w:lang w:val="en-US" w:eastAsia="zh-CN"/>
        </w:rPr>
        <w:t>（格式自拟）</w:t>
      </w:r>
      <w:bookmarkEnd w:id="175"/>
      <w:bookmarkEnd w:id="176"/>
    </w:p>
    <w:p w14:paraId="3B8005FD">
      <w:pPr>
        <w:pStyle w:val="12"/>
        <w:keepNext w:val="0"/>
        <w:keepLines w:val="0"/>
        <w:pageBreakBefore w:val="0"/>
        <w:widowControl w:val="0"/>
        <w:shd w:val="clear" w:color="auto" w:fill="auto"/>
        <w:tabs>
          <w:tab w:val="left" w:pos="5580"/>
        </w:tabs>
        <w:kinsoku/>
        <w:wordWrap/>
        <w:overflowPunct/>
        <w:topLinePunct w:val="0"/>
        <w:bidi w:val="0"/>
        <w:snapToGrid/>
        <w:spacing w:line="360" w:lineRule="auto"/>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说明：1.投标人应按照相关法规规定如实作出说明。</w:t>
      </w:r>
    </w:p>
    <w:p w14:paraId="3155AEC0">
      <w:pPr>
        <w:pStyle w:val="12"/>
        <w:keepNext w:val="0"/>
        <w:keepLines w:val="0"/>
        <w:pageBreakBefore w:val="0"/>
        <w:widowControl w:val="0"/>
        <w:shd w:val="clear" w:color="auto" w:fill="auto"/>
        <w:tabs>
          <w:tab w:val="left" w:pos="5580"/>
        </w:tabs>
        <w:kinsoku/>
        <w:wordWrap/>
        <w:overflowPunct/>
        <w:topLinePunct w:val="0"/>
        <w:bidi w:val="0"/>
        <w:snapToGrid/>
        <w:spacing w:line="360" w:lineRule="auto"/>
        <w:ind w:firstLine="720" w:firstLineChars="30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按照</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的规定加盖单位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p>
    <w:p w14:paraId="70110BA0">
      <w:pPr>
        <w:rPr>
          <w:rFonts w:hint="eastAsia" w:ascii="黑体" w:hAnsi="黑体" w:eastAsia="黑体" w:cs="黑体"/>
          <w:color w:val="auto"/>
          <w:sz w:val="24"/>
          <w:szCs w:val="24"/>
          <w:highlight w:val="none"/>
        </w:rPr>
      </w:pPr>
    </w:p>
    <w:p w14:paraId="6EED0056">
      <w:pPr>
        <w:pStyle w:val="18"/>
        <w:rPr>
          <w:rFonts w:hint="eastAsia" w:ascii="黑体" w:hAnsi="黑体" w:eastAsia="黑体" w:cs="黑体"/>
          <w:color w:val="auto"/>
          <w:sz w:val="24"/>
          <w:szCs w:val="24"/>
          <w:highlight w:val="none"/>
        </w:rPr>
      </w:pPr>
    </w:p>
    <w:p w14:paraId="050C9794">
      <w:pPr>
        <w:pStyle w:val="10"/>
        <w:tabs>
          <w:tab w:val="left" w:pos="567"/>
        </w:tabs>
        <w:rPr>
          <w:rFonts w:hint="eastAsia" w:ascii="黑体" w:hAnsi="黑体" w:eastAsia="黑体" w:cs="黑体"/>
          <w:color w:val="auto"/>
          <w:sz w:val="24"/>
          <w:szCs w:val="24"/>
          <w:highlight w:val="none"/>
        </w:rPr>
      </w:pPr>
    </w:p>
    <w:p w14:paraId="21146ADB">
      <w:pPr>
        <w:pStyle w:val="22"/>
        <w:rPr>
          <w:rFonts w:hint="eastAsia" w:ascii="黑体" w:hAnsi="黑体" w:eastAsia="黑体" w:cs="黑体"/>
          <w:color w:val="auto"/>
          <w:sz w:val="24"/>
          <w:szCs w:val="24"/>
          <w:highlight w:val="none"/>
        </w:rPr>
      </w:pPr>
    </w:p>
    <w:p w14:paraId="5F715A3D">
      <w:pPr>
        <w:rPr>
          <w:rFonts w:hint="eastAsia" w:ascii="黑体" w:hAnsi="黑体" w:eastAsia="黑体" w:cs="黑体"/>
          <w:color w:val="auto"/>
          <w:sz w:val="24"/>
          <w:szCs w:val="24"/>
          <w:highlight w:val="none"/>
        </w:rPr>
      </w:pPr>
    </w:p>
    <w:p w14:paraId="531C2F67">
      <w:pPr>
        <w:pStyle w:val="18"/>
        <w:rPr>
          <w:rFonts w:hint="eastAsia" w:ascii="黑体" w:hAnsi="黑体" w:eastAsia="黑体" w:cs="黑体"/>
          <w:color w:val="auto"/>
          <w:sz w:val="24"/>
          <w:szCs w:val="24"/>
          <w:highlight w:val="none"/>
        </w:rPr>
      </w:pPr>
    </w:p>
    <w:p w14:paraId="223DA2FB">
      <w:pPr>
        <w:pStyle w:val="10"/>
        <w:tabs>
          <w:tab w:val="left" w:pos="567"/>
        </w:tabs>
        <w:rPr>
          <w:rFonts w:hint="eastAsia" w:ascii="黑体" w:hAnsi="黑体" w:eastAsia="黑体" w:cs="黑体"/>
          <w:color w:val="auto"/>
          <w:sz w:val="24"/>
          <w:szCs w:val="24"/>
          <w:highlight w:val="none"/>
        </w:rPr>
      </w:pPr>
    </w:p>
    <w:p w14:paraId="2435B8C7">
      <w:pPr>
        <w:pStyle w:val="22"/>
        <w:rPr>
          <w:rFonts w:hint="eastAsia" w:ascii="黑体" w:hAnsi="黑体" w:eastAsia="黑体" w:cs="黑体"/>
          <w:color w:val="auto"/>
          <w:sz w:val="24"/>
          <w:szCs w:val="24"/>
          <w:highlight w:val="none"/>
        </w:rPr>
      </w:pPr>
    </w:p>
    <w:p w14:paraId="6BA36970">
      <w:pPr>
        <w:pStyle w:val="4"/>
        <w:bidi w:val="0"/>
        <w:rPr>
          <w:rFonts w:hint="eastAsia"/>
          <w:color w:val="auto"/>
          <w:highlight w:val="none"/>
          <w:lang w:val="en-US" w:eastAsia="zh-CN"/>
        </w:rPr>
      </w:pPr>
      <w:r>
        <w:rPr>
          <w:rFonts w:hint="eastAsia"/>
          <w:color w:val="auto"/>
          <w:highlight w:val="none"/>
          <w:lang w:val="en-US" w:eastAsia="zh-CN"/>
        </w:rPr>
        <w:t>9、投标人参加政府采购活动前（2023年06月至今）在经营活动中没有重大违法违规记录的书面声明；（格式自拟）</w:t>
      </w:r>
    </w:p>
    <w:p w14:paraId="1E3DF5CD">
      <w:pPr>
        <w:pStyle w:val="12"/>
        <w:keepNext w:val="0"/>
        <w:keepLines w:val="0"/>
        <w:pageBreakBefore w:val="0"/>
        <w:widowControl w:val="0"/>
        <w:numPr>
          <w:ilvl w:val="0"/>
          <w:numId w:val="0"/>
        </w:numPr>
        <w:tabs>
          <w:tab w:val="left" w:pos="5580"/>
        </w:tabs>
        <w:kinsoku/>
        <w:wordWrap/>
        <w:overflowPunct/>
        <w:topLinePunct w:val="0"/>
        <w:bidi w:val="0"/>
        <w:snapToGrid/>
        <w:spacing w:line="360" w:lineRule="auto"/>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说明：1.投标人应按照相关法规规定如实作出说明。</w:t>
      </w:r>
    </w:p>
    <w:p w14:paraId="5E3BE9A8">
      <w:pPr>
        <w:pStyle w:val="12"/>
        <w:keepNext w:val="0"/>
        <w:keepLines w:val="0"/>
        <w:pageBreakBefore w:val="0"/>
        <w:widowControl w:val="0"/>
        <w:tabs>
          <w:tab w:val="left" w:pos="5580"/>
        </w:tabs>
        <w:kinsoku/>
        <w:wordWrap/>
        <w:overflowPunct/>
        <w:topLinePunct w:val="0"/>
        <w:bidi w:val="0"/>
        <w:snapToGrid/>
        <w:spacing w:line="360" w:lineRule="auto"/>
        <w:ind w:firstLine="720" w:firstLineChars="300"/>
        <w:jc w:val="left"/>
        <w:textAlignment w:val="auto"/>
        <w:rPr>
          <w:rFonts w:hint="eastAsia" w:ascii="黑体" w:hAnsi="黑体" w:eastAsia="黑体" w:cs="黑体"/>
          <w:i/>
          <w:iCs/>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rPr>
        <w:t>按照</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的规定加盖单位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p>
    <w:bookmarkEnd w:id="166"/>
    <w:bookmarkEnd w:id="167"/>
    <w:bookmarkEnd w:id="168"/>
    <w:bookmarkEnd w:id="169"/>
    <w:bookmarkEnd w:id="170"/>
    <w:bookmarkEnd w:id="173"/>
    <w:bookmarkEnd w:id="174"/>
    <w:p w14:paraId="159D91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4"/>
          <w:szCs w:val="24"/>
          <w:highlight w:val="none"/>
          <w:lang w:val="en-US" w:eastAsia="zh-CN" w:bidi="ar-SA"/>
        </w:rPr>
      </w:pPr>
      <w:bookmarkStart w:id="177" w:name="_Toc12631"/>
    </w:p>
    <w:p w14:paraId="3AB6394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4"/>
          <w:szCs w:val="24"/>
          <w:highlight w:val="none"/>
          <w:lang w:val="en-US" w:eastAsia="zh-CN" w:bidi="ar-SA"/>
        </w:rPr>
      </w:pPr>
    </w:p>
    <w:p w14:paraId="10417A5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4"/>
          <w:szCs w:val="24"/>
          <w:highlight w:val="none"/>
          <w:lang w:val="en-US" w:eastAsia="zh-CN" w:bidi="ar-SA"/>
        </w:rPr>
      </w:pPr>
    </w:p>
    <w:p w14:paraId="5FF9365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4"/>
          <w:szCs w:val="24"/>
          <w:highlight w:val="none"/>
          <w:lang w:val="en-US" w:eastAsia="zh-CN" w:bidi="ar-SA"/>
        </w:rPr>
      </w:pPr>
    </w:p>
    <w:p w14:paraId="163A6A4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4"/>
          <w:szCs w:val="24"/>
          <w:highlight w:val="none"/>
          <w:lang w:val="en-US" w:eastAsia="zh-CN" w:bidi="ar-SA"/>
        </w:rPr>
      </w:pPr>
      <w:r>
        <w:rPr>
          <w:rFonts w:hint="eastAsia" w:ascii="黑体" w:hAnsi="黑体" w:eastAsia="黑体" w:cs="黑体"/>
          <w:b/>
          <w:bCs/>
          <w:color w:val="auto"/>
          <w:kern w:val="2"/>
          <w:sz w:val="24"/>
          <w:szCs w:val="24"/>
          <w:highlight w:val="none"/>
          <w:lang w:val="en-US" w:eastAsia="zh-CN" w:bidi="ar-SA"/>
        </w:rPr>
        <w:br w:type="page"/>
      </w:r>
    </w:p>
    <w:p w14:paraId="0BBD773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黑体" w:hAnsi="黑体" w:eastAsia="黑体" w:cs="黑体"/>
          <w:b/>
          <w:bCs/>
          <w:color w:val="auto"/>
          <w:kern w:val="2"/>
          <w:sz w:val="28"/>
          <w:szCs w:val="28"/>
          <w:highlight w:val="none"/>
          <w:lang w:val="en-US" w:eastAsia="zh-CN" w:bidi="ar-SA"/>
        </w:rPr>
      </w:pPr>
    </w:p>
    <w:p w14:paraId="41D3F4DC">
      <w:pPr>
        <w:pStyle w:val="4"/>
        <w:bidi w:val="0"/>
        <w:rPr>
          <w:rFonts w:hint="eastAsia"/>
          <w:color w:val="auto"/>
          <w:highlight w:val="none"/>
          <w:lang w:val="en-US" w:eastAsia="zh-CN"/>
        </w:rPr>
      </w:pPr>
      <w:r>
        <w:rPr>
          <w:rFonts w:hint="eastAsia"/>
          <w:color w:val="auto"/>
          <w:highlight w:val="none"/>
          <w:lang w:val="en-US" w:eastAsia="zh-CN"/>
        </w:rPr>
        <w:t>10、缴纳投标保证金的有效凭证；</w:t>
      </w:r>
    </w:p>
    <w:p w14:paraId="2122B04B">
      <w:pPr>
        <w:pStyle w:val="12"/>
        <w:pageBreakBefore w:val="0"/>
        <w:numPr>
          <w:ilvl w:val="0"/>
          <w:numId w:val="0"/>
        </w:numPr>
        <w:tabs>
          <w:tab w:val="left" w:pos="5580"/>
        </w:tabs>
        <w:kinsoku/>
        <w:wordWrap/>
        <w:overflowPunct/>
        <w:topLinePunct w:val="0"/>
        <w:bidi w:val="0"/>
        <w:spacing w:line="360" w:lineRule="auto"/>
        <w:ind w:leftChars="201" w:firstLine="480" w:firstLineChars="200"/>
        <w:textAlignment w:val="auto"/>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sz w:val="24"/>
          <w:szCs w:val="24"/>
          <w:highlight w:val="none"/>
          <w:u w:val="none"/>
        </w:rPr>
        <w:t>投标人可将本项目投标保证金支付的汇款凭证</w:t>
      </w:r>
      <w:r>
        <w:rPr>
          <w:rFonts w:hint="eastAsia" w:ascii="黑体" w:hAnsi="黑体" w:eastAsia="黑体" w:cs="黑体"/>
          <w:i w:val="0"/>
          <w:iCs w:val="0"/>
          <w:color w:val="auto"/>
          <w:sz w:val="24"/>
          <w:szCs w:val="24"/>
          <w:highlight w:val="none"/>
          <w:u w:val="none"/>
          <w:lang w:eastAsia="zh-CN"/>
        </w:rPr>
        <w:t>或</w:t>
      </w:r>
      <w:r>
        <w:rPr>
          <w:rFonts w:hint="eastAsia" w:ascii="黑体" w:hAnsi="黑体" w:eastAsia="黑体" w:cs="黑体"/>
          <w:i w:val="0"/>
          <w:iCs w:val="0"/>
          <w:color w:val="auto"/>
          <w:sz w:val="24"/>
          <w:szCs w:val="24"/>
          <w:highlight w:val="none"/>
          <w:u w:val="none"/>
        </w:rPr>
        <w:t>汇票的</w:t>
      </w:r>
      <w:r>
        <w:rPr>
          <w:rFonts w:hint="eastAsia" w:ascii="黑体" w:hAnsi="黑体" w:eastAsia="黑体" w:cs="黑体"/>
          <w:i w:val="0"/>
          <w:iCs w:val="0"/>
          <w:color w:val="auto"/>
          <w:sz w:val="24"/>
          <w:szCs w:val="24"/>
          <w:highlight w:val="none"/>
          <w:u w:val="none"/>
          <w:lang w:eastAsia="zh-CN"/>
        </w:rPr>
        <w:t>扫描件</w:t>
      </w:r>
      <w:r>
        <w:rPr>
          <w:rFonts w:hint="eastAsia" w:ascii="黑体" w:hAnsi="黑体" w:eastAsia="黑体" w:cs="黑体"/>
          <w:i w:val="0"/>
          <w:iCs w:val="0"/>
          <w:color w:val="auto"/>
          <w:sz w:val="24"/>
          <w:szCs w:val="24"/>
          <w:highlight w:val="none"/>
          <w:u w:val="none"/>
        </w:rPr>
        <w:t>作为缴纳凭证</w:t>
      </w:r>
      <w:r>
        <w:rPr>
          <w:rFonts w:hint="eastAsia" w:ascii="黑体" w:hAnsi="黑体" w:eastAsia="黑体" w:cs="黑体"/>
          <w:i w:val="0"/>
          <w:iCs w:val="0"/>
          <w:color w:val="auto"/>
          <w:sz w:val="24"/>
          <w:szCs w:val="24"/>
          <w:highlight w:val="none"/>
          <w:u w:val="none"/>
          <w:lang w:val="en-US" w:eastAsia="zh-CN"/>
        </w:rPr>
        <w:t>上传</w:t>
      </w:r>
      <w:r>
        <w:rPr>
          <w:rFonts w:hint="eastAsia" w:ascii="黑体" w:hAnsi="黑体" w:eastAsia="黑体" w:cs="黑体"/>
          <w:i w:val="0"/>
          <w:iCs w:val="0"/>
          <w:color w:val="auto"/>
          <w:sz w:val="24"/>
          <w:szCs w:val="24"/>
          <w:highlight w:val="none"/>
          <w:u w:val="none"/>
        </w:rPr>
        <w:t>在本部分，</w:t>
      </w:r>
      <w:r>
        <w:rPr>
          <w:rFonts w:hint="eastAsia" w:ascii="黑体" w:hAnsi="黑体" w:eastAsia="黑体" w:cs="黑体"/>
          <w:i w:val="0"/>
          <w:iCs w:val="0"/>
          <w:color w:val="auto"/>
          <w:sz w:val="24"/>
          <w:szCs w:val="24"/>
          <w:highlight w:val="none"/>
          <w:u w:val="none"/>
          <w:lang w:eastAsia="zh-CN"/>
        </w:rPr>
        <w:t>扫描件</w:t>
      </w:r>
      <w:r>
        <w:rPr>
          <w:rFonts w:hint="eastAsia" w:ascii="黑体" w:hAnsi="黑体" w:eastAsia="黑体" w:cs="黑体"/>
          <w:i w:val="0"/>
          <w:iCs w:val="0"/>
          <w:color w:val="auto"/>
          <w:sz w:val="24"/>
          <w:szCs w:val="24"/>
          <w:highlight w:val="none"/>
          <w:u w:val="none"/>
        </w:rPr>
        <w:t>上应加盖本单位章；使用银行保函等其他投标担保函的，应将担保函，</w:t>
      </w:r>
      <w:r>
        <w:rPr>
          <w:rFonts w:hint="eastAsia" w:ascii="黑体" w:hAnsi="黑体" w:eastAsia="黑体" w:cs="黑体"/>
          <w:i w:val="0"/>
          <w:iCs w:val="0"/>
          <w:color w:val="auto"/>
          <w:sz w:val="24"/>
          <w:szCs w:val="24"/>
          <w:highlight w:val="none"/>
          <w:u w:val="none"/>
          <w:lang w:val="en-US" w:eastAsia="zh-CN"/>
        </w:rPr>
        <w:t>上传</w:t>
      </w:r>
      <w:r>
        <w:rPr>
          <w:rFonts w:hint="eastAsia" w:ascii="黑体" w:hAnsi="黑体" w:eastAsia="黑体" w:cs="黑体"/>
          <w:i w:val="0"/>
          <w:iCs w:val="0"/>
          <w:color w:val="auto"/>
          <w:sz w:val="24"/>
          <w:szCs w:val="24"/>
          <w:highlight w:val="none"/>
          <w:u w:val="none"/>
        </w:rPr>
        <w:t>在本部分中；如采用政府采购信用担保形式的，应使用政府采购投标担保函（投标文件格式六）</w:t>
      </w:r>
      <w:r>
        <w:rPr>
          <w:rFonts w:hint="eastAsia" w:ascii="黑体" w:hAnsi="黑体" w:eastAsia="黑体" w:cs="黑体"/>
          <w:i w:val="0"/>
          <w:iCs w:val="0"/>
          <w:color w:val="auto"/>
          <w:sz w:val="24"/>
          <w:szCs w:val="24"/>
          <w:highlight w:val="none"/>
          <w:u w:val="none"/>
          <w:lang w:eastAsia="zh-CN"/>
        </w:rPr>
        <w:t>，</w:t>
      </w:r>
      <w:r>
        <w:rPr>
          <w:rFonts w:hint="eastAsia" w:ascii="黑体" w:hAnsi="黑体" w:eastAsia="黑体" w:cs="黑体"/>
          <w:i w:val="0"/>
          <w:iCs w:val="0"/>
          <w:color w:val="auto"/>
          <w:sz w:val="24"/>
          <w:szCs w:val="24"/>
          <w:highlight w:val="none"/>
          <w:u w:val="none"/>
          <w:lang w:val="en-US" w:eastAsia="zh-CN"/>
        </w:rPr>
        <w:t>上传</w:t>
      </w:r>
      <w:r>
        <w:rPr>
          <w:rFonts w:hint="eastAsia" w:ascii="黑体" w:hAnsi="黑体" w:eastAsia="黑体" w:cs="黑体"/>
          <w:i w:val="0"/>
          <w:iCs w:val="0"/>
          <w:color w:val="auto"/>
          <w:sz w:val="24"/>
          <w:szCs w:val="24"/>
          <w:highlight w:val="none"/>
          <w:u w:val="none"/>
        </w:rPr>
        <w:t>在本部分中。</w:t>
      </w:r>
    </w:p>
    <w:p w14:paraId="2EC3EC9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bCs/>
          <w:color w:val="auto"/>
          <w:kern w:val="2"/>
          <w:sz w:val="24"/>
          <w:szCs w:val="24"/>
          <w:highlight w:val="none"/>
          <w:lang w:val="en-US" w:eastAsia="zh-CN" w:bidi="ar-SA"/>
        </w:rPr>
      </w:pPr>
    </w:p>
    <w:bookmarkEnd w:id="177"/>
    <w:p w14:paraId="352616B4">
      <w:pPr>
        <w:spacing w:before="120" w:line="184" w:lineRule="auto"/>
        <w:ind w:left="3528"/>
        <w:rPr>
          <w:rFonts w:hint="eastAsia" w:ascii="黑体" w:hAnsi="黑体" w:eastAsia="黑体" w:cs="黑体"/>
          <w:b/>
          <w:bCs w:val="0"/>
          <w:color w:val="auto"/>
          <w:sz w:val="24"/>
          <w:szCs w:val="24"/>
          <w:highlight w:val="none"/>
          <w:u w:val="none"/>
          <w:lang w:val="en-US" w:eastAsia="zh-CN"/>
        </w:rPr>
      </w:pPr>
      <w:bookmarkStart w:id="178" w:name="_Toc19261"/>
      <w:bookmarkStart w:id="179" w:name="_Toc3841"/>
      <w:bookmarkStart w:id="180" w:name="_Toc515647813"/>
      <w:bookmarkStart w:id="181" w:name="_Toc12925"/>
      <w:bookmarkStart w:id="182" w:name="_Toc20799"/>
      <w:bookmarkStart w:id="183" w:name="_Toc5924"/>
      <w:bookmarkStart w:id="184" w:name="_Toc29703"/>
      <w:bookmarkStart w:id="185" w:name="_Toc22209"/>
      <w:bookmarkStart w:id="186" w:name="_Toc17207"/>
    </w:p>
    <w:p w14:paraId="2EAB6179">
      <w:pPr>
        <w:spacing w:before="120" w:line="184" w:lineRule="auto"/>
        <w:ind w:left="3528"/>
        <w:rPr>
          <w:rFonts w:hint="eastAsia" w:ascii="黑体" w:hAnsi="黑体" w:eastAsia="黑体" w:cs="黑体"/>
          <w:b/>
          <w:bCs w:val="0"/>
          <w:color w:val="auto"/>
          <w:sz w:val="24"/>
          <w:szCs w:val="24"/>
          <w:highlight w:val="none"/>
          <w:u w:val="none"/>
          <w:lang w:val="en-US" w:eastAsia="zh-CN"/>
        </w:rPr>
      </w:pPr>
    </w:p>
    <w:p w14:paraId="5257CB1A">
      <w:pPr>
        <w:rPr>
          <w:rFonts w:hint="eastAsia" w:ascii="黑体" w:hAnsi="黑体" w:eastAsia="黑体" w:cs="黑体"/>
          <w:b/>
          <w:bCs w:val="0"/>
          <w:color w:val="auto"/>
          <w:sz w:val="24"/>
          <w:szCs w:val="24"/>
          <w:highlight w:val="none"/>
          <w:u w:val="none"/>
          <w:lang w:val="en-US" w:eastAsia="zh-CN"/>
        </w:rPr>
      </w:pPr>
      <w:r>
        <w:rPr>
          <w:rFonts w:hint="eastAsia" w:ascii="黑体" w:hAnsi="黑体" w:eastAsia="黑体" w:cs="黑体"/>
          <w:b/>
          <w:bCs w:val="0"/>
          <w:color w:val="auto"/>
          <w:sz w:val="24"/>
          <w:szCs w:val="24"/>
          <w:highlight w:val="none"/>
          <w:u w:val="none"/>
          <w:lang w:val="en-US" w:eastAsia="zh-CN"/>
        </w:rPr>
        <w:br w:type="page"/>
      </w:r>
    </w:p>
    <w:p w14:paraId="3DC8C1A7">
      <w:pPr>
        <w:pStyle w:val="4"/>
        <w:bidi w:val="0"/>
        <w:rPr>
          <w:rFonts w:hint="eastAsia"/>
          <w:color w:val="auto"/>
          <w:highlight w:val="none"/>
          <w:lang w:val="en-US" w:eastAsia="zh-CN"/>
        </w:rPr>
      </w:pPr>
      <w:r>
        <w:rPr>
          <w:rFonts w:hint="eastAsia"/>
          <w:color w:val="auto"/>
          <w:highlight w:val="none"/>
          <w:lang w:val="en-US" w:eastAsia="zh-CN"/>
        </w:rPr>
        <w:t>11、提供中小企业声明函；（如有）</w:t>
      </w:r>
    </w:p>
    <w:p w14:paraId="1EA3A53E">
      <w:pPr>
        <w:bidi w:val="0"/>
        <w:rPr>
          <w:rFonts w:hint="eastAsia"/>
          <w:color w:val="auto"/>
          <w:highlight w:val="none"/>
        </w:rPr>
      </w:pPr>
    </w:p>
    <w:p w14:paraId="473D47E6">
      <w:pPr>
        <w:bidi w:val="0"/>
        <w:jc w:val="center"/>
        <w:rPr>
          <w:rFonts w:hint="eastAsia"/>
          <w:b/>
          <w:bCs/>
          <w:color w:val="auto"/>
          <w:highlight w:val="none"/>
        </w:rPr>
      </w:pPr>
      <w:r>
        <w:rPr>
          <w:rFonts w:hint="eastAsia"/>
          <w:b/>
          <w:bCs/>
          <w:color w:val="auto"/>
          <w:highlight w:val="none"/>
        </w:rPr>
        <w:t>中小企业声明函（</w:t>
      </w:r>
      <w:r>
        <w:rPr>
          <w:rFonts w:hint="eastAsia"/>
          <w:b/>
          <w:bCs/>
          <w:color w:val="auto"/>
          <w:highlight w:val="none"/>
          <w:lang w:eastAsia="zh-CN"/>
        </w:rPr>
        <w:t>服务）</w:t>
      </w:r>
    </w:p>
    <w:p w14:paraId="08176455">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本公司（</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rPr>
        <w:t>）郑重声明，根据《政府采购促进中小企业发展管理办法》（财库[2020]46号）的规定，本公司（</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rPr>
        <w:t>）参加（单位名称）的（项目名称）采购活动，</w:t>
      </w:r>
      <w:r>
        <w:rPr>
          <w:rFonts w:hint="eastAsia" w:ascii="黑体" w:hAnsi="黑体" w:eastAsia="黑体" w:cs="黑体"/>
          <w:i w:val="0"/>
          <w:iCs w:val="0"/>
          <w:caps w:val="0"/>
          <w:color w:val="auto"/>
          <w:spacing w:val="0"/>
          <w:sz w:val="24"/>
          <w:szCs w:val="24"/>
          <w:highlight w:val="none"/>
          <w:lang w:eastAsia="zh-CN"/>
        </w:rPr>
        <w:t>服务全部由符合政策的中小企业承接</w:t>
      </w:r>
      <w:r>
        <w:rPr>
          <w:rFonts w:hint="eastAsia" w:ascii="黑体" w:hAnsi="黑体" w:eastAsia="黑体" w:cs="黑体"/>
          <w:i w:val="0"/>
          <w:iCs w:val="0"/>
          <w:caps w:val="0"/>
          <w:color w:val="auto"/>
          <w:spacing w:val="0"/>
          <w:sz w:val="24"/>
          <w:szCs w:val="24"/>
          <w:highlight w:val="none"/>
        </w:rPr>
        <w:t>。相关企业的具体情况如下：</w:t>
      </w:r>
    </w:p>
    <w:p w14:paraId="1C7D0FA1">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1.</w:t>
      </w:r>
      <w:r>
        <w:rPr>
          <w:rFonts w:hint="eastAsia" w:ascii="黑体" w:hAnsi="黑体" w:eastAsia="黑体" w:cs="黑体"/>
          <w:i w:val="0"/>
          <w:iCs w:val="0"/>
          <w:caps w:val="0"/>
          <w:color w:val="auto"/>
          <w:spacing w:val="0"/>
          <w:sz w:val="24"/>
          <w:szCs w:val="24"/>
          <w:highlight w:val="none"/>
          <w:u w:val="single"/>
        </w:rPr>
        <w:t>（标的名称），</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rPr>
        <w:t>（采购文件中明确的所属行业）</w:t>
      </w:r>
      <w:r>
        <w:rPr>
          <w:rFonts w:hint="eastAsia" w:ascii="黑体" w:hAnsi="黑体" w:eastAsia="黑体" w:cs="黑体"/>
          <w:i w:val="0"/>
          <w:iCs w:val="0"/>
          <w:caps w:val="0"/>
          <w:color w:val="auto"/>
          <w:spacing w:val="0"/>
          <w:sz w:val="24"/>
          <w:szCs w:val="24"/>
          <w:highlight w:val="none"/>
        </w:rPr>
        <w:t>；</w:t>
      </w:r>
      <w:r>
        <w:rPr>
          <w:rFonts w:hint="eastAsia" w:ascii="黑体" w:hAnsi="黑体" w:eastAsia="黑体" w:cs="黑体"/>
          <w:i w:val="0"/>
          <w:iCs w:val="0"/>
          <w:caps w:val="0"/>
          <w:color w:val="auto"/>
          <w:spacing w:val="0"/>
          <w:sz w:val="24"/>
          <w:szCs w:val="24"/>
          <w:highlight w:val="none"/>
          <w:lang w:eastAsia="zh-CN"/>
        </w:rPr>
        <w:t>承接企业（</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lang w:eastAsia="zh-CN"/>
        </w:rPr>
        <w:t>）为</w:t>
      </w:r>
      <w:r>
        <w:rPr>
          <w:rFonts w:hint="eastAsia" w:ascii="黑体" w:hAnsi="黑体" w:eastAsia="黑体" w:cs="黑体"/>
          <w:i w:val="0"/>
          <w:iCs w:val="0"/>
          <w:caps w:val="0"/>
          <w:color w:val="auto"/>
          <w:spacing w:val="0"/>
          <w:sz w:val="24"/>
          <w:szCs w:val="24"/>
          <w:highlight w:val="none"/>
          <w:u w:val="single"/>
        </w:rPr>
        <w:t>（名称）</w:t>
      </w:r>
      <w:r>
        <w:rPr>
          <w:rFonts w:hint="eastAsia" w:ascii="黑体" w:hAnsi="黑体" w:eastAsia="黑体" w:cs="黑体"/>
          <w:i w:val="0"/>
          <w:iCs w:val="0"/>
          <w:caps w:val="0"/>
          <w:color w:val="auto"/>
          <w:spacing w:val="0"/>
          <w:sz w:val="24"/>
          <w:szCs w:val="24"/>
          <w:highlight w:val="none"/>
        </w:rPr>
        <w:t>，从业人员</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人，营业收入为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，资产总额为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（中型企业、小型企业、微型企业）；</w:t>
      </w:r>
    </w:p>
    <w:p w14:paraId="59C2ABFA">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2.</w:t>
      </w:r>
      <w:r>
        <w:rPr>
          <w:rFonts w:hint="eastAsia" w:ascii="黑体" w:hAnsi="黑体" w:eastAsia="黑体" w:cs="黑体"/>
          <w:i w:val="0"/>
          <w:iCs w:val="0"/>
          <w:caps w:val="0"/>
          <w:color w:val="auto"/>
          <w:spacing w:val="0"/>
          <w:sz w:val="24"/>
          <w:szCs w:val="24"/>
          <w:highlight w:val="none"/>
          <w:u w:val="single"/>
        </w:rPr>
        <w:t xml:space="preserve"> （标的名称），</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rPr>
        <w:t>（采购文件中明确的所属行业）</w:t>
      </w:r>
      <w:r>
        <w:rPr>
          <w:rFonts w:hint="eastAsia" w:ascii="黑体" w:hAnsi="黑体" w:eastAsia="黑体" w:cs="黑体"/>
          <w:i w:val="0"/>
          <w:iCs w:val="0"/>
          <w:caps w:val="0"/>
          <w:color w:val="auto"/>
          <w:spacing w:val="0"/>
          <w:sz w:val="24"/>
          <w:szCs w:val="24"/>
          <w:highlight w:val="none"/>
        </w:rPr>
        <w:t>；</w:t>
      </w:r>
      <w:r>
        <w:rPr>
          <w:rFonts w:hint="eastAsia" w:ascii="黑体" w:hAnsi="黑体" w:eastAsia="黑体" w:cs="黑体"/>
          <w:i w:val="0"/>
          <w:iCs w:val="0"/>
          <w:caps w:val="0"/>
          <w:color w:val="auto"/>
          <w:spacing w:val="0"/>
          <w:sz w:val="24"/>
          <w:szCs w:val="24"/>
          <w:highlight w:val="none"/>
          <w:lang w:eastAsia="zh-CN"/>
        </w:rPr>
        <w:t>承接企业（</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lang w:eastAsia="zh-CN"/>
        </w:rPr>
        <w:t>）</w:t>
      </w:r>
      <w:r>
        <w:rPr>
          <w:rFonts w:hint="eastAsia" w:ascii="黑体" w:hAnsi="黑体" w:eastAsia="黑体" w:cs="黑体"/>
          <w:i w:val="0"/>
          <w:iCs w:val="0"/>
          <w:caps w:val="0"/>
          <w:color w:val="auto"/>
          <w:spacing w:val="0"/>
          <w:sz w:val="24"/>
          <w:szCs w:val="24"/>
          <w:highlight w:val="none"/>
          <w:lang w:val="en-US" w:eastAsia="zh-CN"/>
        </w:rPr>
        <w:t>为</w:t>
      </w:r>
      <w:r>
        <w:rPr>
          <w:rFonts w:hint="eastAsia" w:ascii="黑体" w:hAnsi="黑体" w:eastAsia="黑体" w:cs="黑体"/>
          <w:i w:val="0"/>
          <w:iCs w:val="0"/>
          <w:caps w:val="0"/>
          <w:color w:val="auto"/>
          <w:spacing w:val="0"/>
          <w:sz w:val="24"/>
          <w:szCs w:val="24"/>
          <w:highlight w:val="none"/>
          <w:u w:val="single"/>
        </w:rPr>
        <w:t>（名称）</w:t>
      </w:r>
      <w:r>
        <w:rPr>
          <w:rFonts w:hint="eastAsia" w:ascii="黑体" w:hAnsi="黑体" w:eastAsia="黑体" w:cs="黑体"/>
          <w:i w:val="0"/>
          <w:iCs w:val="0"/>
          <w:caps w:val="0"/>
          <w:color w:val="auto"/>
          <w:spacing w:val="0"/>
          <w:sz w:val="24"/>
          <w:szCs w:val="24"/>
          <w:highlight w:val="none"/>
        </w:rPr>
        <w:t>，从业人员</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人，营业收入为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，资产总额为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（中型企业、小型企业、微型企业）；</w:t>
      </w:r>
    </w:p>
    <w:p w14:paraId="2E5E6E50">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w:t>
      </w:r>
    </w:p>
    <w:p w14:paraId="690F17F8">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691B00AE">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本企业对上述声明内容的真实性负责。如有虚假，将依法承担相应责任。</w:t>
      </w:r>
    </w:p>
    <w:p w14:paraId="31D1C47B">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w:t>
      </w:r>
    </w:p>
    <w:p w14:paraId="045EDA30">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企业名称（</w:t>
      </w:r>
      <w:r>
        <w:rPr>
          <w:rFonts w:hint="eastAsia" w:ascii="黑体" w:hAnsi="黑体" w:eastAsia="黑体" w:cs="黑体"/>
          <w:i w:val="0"/>
          <w:iCs w:val="0"/>
          <w:caps w:val="0"/>
          <w:color w:val="auto"/>
          <w:spacing w:val="0"/>
          <w:sz w:val="24"/>
          <w:szCs w:val="24"/>
          <w:highlight w:val="none"/>
          <w:lang w:eastAsia="zh-CN"/>
        </w:rPr>
        <w:t>加</w:t>
      </w:r>
      <w:r>
        <w:rPr>
          <w:rFonts w:hint="eastAsia" w:ascii="黑体" w:hAnsi="黑体" w:eastAsia="黑体" w:cs="黑体"/>
          <w:i w:val="0"/>
          <w:iCs w:val="0"/>
          <w:caps w:val="0"/>
          <w:color w:val="auto"/>
          <w:spacing w:val="0"/>
          <w:sz w:val="24"/>
          <w:szCs w:val="24"/>
          <w:highlight w:val="none"/>
        </w:rPr>
        <w:t>盖</w:t>
      </w:r>
      <w:r>
        <w:rPr>
          <w:rFonts w:hint="eastAsia" w:ascii="黑体" w:hAnsi="黑体" w:eastAsia="黑体" w:cs="黑体"/>
          <w:i w:val="0"/>
          <w:iCs w:val="0"/>
          <w:caps w:val="0"/>
          <w:color w:val="auto"/>
          <w:spacing w:val="0"/>
          <w:sz w:val="24"/>
          <w:szCs w:val="24"/>
          <w:highlight w:val="none"/>
          <w:lang w:eastAsia="zh-CN"/>
        </w:rPr>
        <w:t>公</w:t>
      </w:r>
      <w:r>
        <w:rPr>
          <w:rFonts w:hint="eastAsia" w:ascii="黑体" w:hAnsi="黑体" w:eastAsia="黑体" w:cs="黑体"/>
          <w:i w:val="0"/>
          <w:iCs w:val="0"/>
          <w:caps w:val="0"/>
          <w:color w:val="auto"/>
          <w:spacing w:val="0"/>
          <w:sz w:val="24"/>
          <w:szCs w:val="24"/>
          <w:highlight w:val="none"/>
        </w:rPr>
        <w:t>章）：        </w:t>
      </w:r>
    </w:p>
    <w:p w14:paraId="2CBF5D6F">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日期：       </w:t>
      </w:r>
    </w:p>
    <w:p w14:paraId="5B5FCDBB">
      <w:pPr>
        <w:pageBreakBefore w:val="0"/>
        <w:widowControl/>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1、从业人员、营业收入、资产总额填报上一年度数据，无上一年度数据的新成立企业可不填报。</w:t>
      </w:r>
    </w:p>
    <w:p w14:paraId="58E6154F">
      <w:pPr>
        <w:pageBreakBefore w:val="0"/>
        <w:widowControl/>
        <w:kinsoku/>
        <w:wordWrap/>
        <w:overflowPunct/>
        <w:topLinePunct w:val="0"/>
        <w:autoSpaceDE w:val="0"/>
        <w:autoSpaceDN w:val="0"/>
        <w:bidi w:val="0"/>
        <w:adjustRightInd w:val="0"/>
        <w:snapToGrid w:val="0"/>
        <w:spacing w:line="360" w:lineRule="auto"/>
        <w:ind w:left="0" w:firstLine="482" w:firstLineChars="200"/>
        <w:jc w:val="both"/>
        <w:textAlignment w:val="auto"/>
        <w:rPr>
          <w:rFonts w:hint="eastAsia" w:ascii="黑体" w:hAnsi="黑体" w:eastAsia="黑体" w:cs="黑体"/>
          <w:b/>
          <w:bCs/>
          <w:i w:val="0"/>
          <w:iCs w:val="0"/>
          <w:color w:val="auto"/>
          <w:sz w:val="24"/>
          <w:szCs w:val="24"/>
          <w:highlight w:val="none"/>
          <w:lang w:val="en-US" w:eastAsia="zh-CN"/>
        </w:rPr>
      </w:pPr>
      <w:r>
        <w:rPr>
          <w:rFonts w:hint="eastAsia" w:ascii="黑体" w:hAnsi="黑体" w:eastAsia="黑体" w:cs="黑体"/>
          <w:b/>
          <w:bCs/>
          <w:i w:val="0"/>
          <w:iCs w:val="0"/>
          <w:color w:val="auto"/>
          <w:sz w:val="24"/>
          <w:szCs w:val="24"/>
          <w:highlight w:val="none"/>
          <w:lang w:val="en-US" w:eastAsia="zh-CN"/>
        </w:rPr>
        <w:t>本项目所属行业为：软件和信息技术服务业。</w:t>
      </w:r>
    </w:p>
    <w:p w14:paraId="732791FD">
      <w:pPr>
        <w:pageBreakBefore w:val="0"/>
        <w:widowControl/>
        <w:wordWrap/>
        <w:overflowPunct/>
        <w:topLinePunct w:val="0"/>
        <w:autoSpaceDE w:val="0"/>
        <w:autoSpaceDN w:val="0"/>
        <w:bidi w:val="0"/>
        <w:adjustRightInd w:val="0"/>
        <w:snapToGrid w:val="0"/>
        <w:spacing w:line="360" w:lineRule="auto"/>
        <w:ind w:left="0" w:leftChars="0" w:firstLine="482" w:firstLineChars="200"/>
        <w:rPr>
          <w:rFonts w:hint="eastAsia" w:ascii="黑体" w:hAnsi="黑体" w:eastAsia="黑体" w:cs="黑体"/>
          <w:b/>
          <w:bCs w:val="0"/>
          <w:color w:val="auto"/>
          <w:sz w:val="24"/>
          <w:szCs w:val="24"/>
          <w:highlight w:val="none"/>
          <w:u w:val="none"/>
          <w:lang w:val="en-US" w:eastAsia="zh-CN"/>
        </w:rPr>
      </w:pPr>
      <w:r>
        <w:rPr>
          <w:rFonts w:hint="eastAsia" w:ascii="黑体" w:hAnsi="黑体" w:eastAsia="黑体" w:cs="黑体"/>
          <w:b/>
          <w:bCs/>
          <w:color w:val="auto"/>
          <w:kern w:val="2"/>
          <w:sz w:val="24"/>
          <w:szCs w:val="24"/>
          <w:highlight w:val="none"/>
          <w:lang w:val="en-US" w:eastAsia="zh-CN" w:bidi="ar-SA"/>
        </w:rPr>
        <w:t>注：1、潜在投标企业属于中小微企业的，请在投标文件中提供“中小企业声明函”，如果未提供或提供虚假的“中小企业声明函”，投标企业将承担由此造成的一切不利后果。</w:t>
      </w:r>
    </w:p>
    <w:p w14:paraId="3B4961C1">
      <w:pPr>
        <w:pStyle w:val="4"/>
        <w:bidi w:val="0"/>
        <w:rPr>
          <w:rFonts w:hint="eastAsia" w:ascii="黑体" w:hAnsi="黑体" w:eastAsia="黑体" w:cs="黑体"/>
          <w:color w:val="auto"/>
          <w:szCs w:val="24"/>
          <w:highlight w:val="none"/>
        </w:rPr>
      </w:pPr>
      <w:r>
        <w:rPr>
          <w:rFonts w:hint="eastAsia" w:ascii="黑体" w:hAnsi="黑体" w:eastAsia="黑体" w:cs="黑体"/>
          <w:b/>
          <w:bCs w:val="0"/>
          <w:color w:val="auto"/>
          <w:szCs w:val="24"/>
          <w:highlight w:val="none"/>
          <w:u w:val="none"/>
          <w:lang w:val="en-US" w:eastAsia="zh-CN"/>
        </w:rPr>
        <w:br w:type="page"/>
      </w:r>
      <w:bookmarkStart w:id="187" w:name="_Toc23085"/>
      <w:bookmarkStart w:id="188" w:name="_Toc20449"/>
      <w:r>
        <w:rPr>
          <w:rFonts w:hint="eastAsia"/>
          <w:color w:val="auto"/>
          <w:highlight w:val="none"/>
          <w:lang w:val="en-US" w:eastAsia="zh-CN"/>
        </w:rPr>
        <w:t>12</w:t>
      </w:r>
      <w:r>
        <w:rPr>
          <w:rFonts w:hint="eastAsia"/>
          <w:color w:val="auto"/>
          <w:highlight w:val="none"/>
        </w:rPr>
        <w:t>、投标人关联单位的说明</w:t>
      </w:r>
    </w:p>
    <w:p w14:paraId="55391BBD">
      <w:pPr>
        <w:spacing w:before="174" w:line="360" w:lineRule="auto"/>
        <w:ind w:left="2"/>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致</w:t>
      </w:r>
      <w:r>
        <w:rPr>
          <w:rFonts w:hint="eastAsia" w:ascii="黑体" w:hAnsi="黑体" w:eastAsia="黑体" w:cs="黑体"/>
          <w:color w:val="auto"/>
          <w:spacing w:val="-64"/>
          <w:w w:val="97"/>
          <w:sz w:val="24"/>
          <w:szCs w:val="24"/>
          <w:highlight w:val="none"/>
        </w:rPr>
        <w:t>：</w:t>
      </w:r>
      <w:r>
        <w:rPr>
          <w:rFonts w:hint="eastAsia" w:ascii="黑体" w:hAnsi="黑体" w:eastAsia="黑体" w:cs="黑体"/>
          <w:color w:val="auto"/>
          <w:spacing w:val="11"/>
          <w:sz w:val="24"/>
          <w:szCs w:val="24"/>
          <w:highlight w:val="none"/>
          <w:u w:val="single" w:color="auto"/>
        </w:rPr>
        <w:t>采购人名称</w:t>
      </w:r>
    </w:p>
    <w:p w14:paraId="17E9042F">
      <w:pPr>
        <w:spacing w:before="62" w:line="360" w:lineRule="auto"/>
        <w:ind w:firstLine="484" w:firstLineChars="200"/>
        <w:jc w:val="both"/>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我方参加</w:t>
      </w:r>
      <w:r>
        <w:rPr>
          <w:rFonts w:hint="eastAsia" w:ascii="黑体" w:hAnsi="黑体" w:eastAsia="黑体" w:cs="黑体"/>
          <w:color w:val="auto"/>
          <w:spacing w:val="1"/>
          <w:sz w:val="24"/>
          <w:szCs w:val="24"/>
          <w:highlight w:val="none"/>
          <w:u w:val="single" w:color="auto"/>
        </w:rPr>
        <w:t>（项目名称）</w:t>
      </w:r>
      <w:r>
        <w:rPr>
          <w:rFonts w:hint="eastAsia" w:ascii="黑体" w:hAnsi="黑体" w:eastAsia="黑体" w:cs="黑体"/>
          <w:color w:val="auto"/>
          <w:sz w:val="24"/>
          <w:szCs w:val="24"/>
          <w:highlight w:val="none"/>
        </w:rPr>
        <w:t>的申请，根据法律法规维护投标公正性的相关规</w:t>
      </w:r>
      <w:r>
        <w:rPr>
          <w:rFonts w:hint="eastAsia" w:ascii="黑体" w:hAnsi="黑体" w:eastAsia="黑体" w:cs="黑体"/>
          <w:color w:val="auto"/>
          <w:spacing w:val="-4"/>
          <w:sz w:val="24"/>
          <w:szCs w:val="24"/>
          <w:highlight w:val="none"/>
        </w:rPr>
        <w:t>定，特就本单位控股及管理关系情况申报如下，</w:t>
      </w:r>
      <w:r>
        <w:rPr>
          <w:rFonts w:hint="eastAsia" w:ascii="黑体" w:hAnsi="黑体" w:eastAsia="黑体" w:cs="黑体"/>
          <w:color w:val="auto"/>
          <w:spacing w:val="-5"/>
          <w:sz w:val="24"/>
          <w:szCs w:val="24"/>
          <w:highlight w:val="none"/>
        </w:rPr>
        <w:t>并承担申报不实的责任。</w:t>
      </w:r>
    </w:p>
    <w:tbl>
      <w:tblPr>
        <w:tblStyle w:val="28"/>
        <w:tblW w:w="9660" w:type="dxa"/>
        <w:tblInd w:w="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00"/>
        <w:gridCol w:w="2626"/>
        <w:gridCol w:w="3634"/>
      </w:tblGrid>
      <w:tr w14:paraId="69D9F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3400" w:type="dxa"/>
            <w:noWrap w:val="0"/>
            <w:vAlign w:val="top"/>
          </w:tcPr>
          <w:p w14:paraId="0C651FCB">
            <w:pPr>
              <w:pStyle w:val="29"/>
              <w:spacing w:before="207" w:line="360" w:lineRule="auto"/>
              <w:ind w:left="1122"/>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申报人名称</w:t>
            </w:r>
          </w:p>
        </w:tc>
        <w:tc>
          <w:tcPr>
            <w:tcW w:w="6260" w:type="dxa"/>
            <w:gridSpan w:val="2"/>
            <w:noWrap w:val="0"/>
            <w:vAlign w:val="top"/>
          </w:tcPr>
          <w:p w14:paraId="6BB00EBC">
            <w:pPr>
              <w:spacing w:line="360" w:lineRule="auto"/>
              <w:rPr>
                <w:rFonts w:hint="eastAsia" w:ascii="黑体" w:hAnsi="黑体" w:eastAsia="黑体" w:cs="黑体"/>
                <w:color w:val="auto"/>
                <w:sz w:val="24"/>
                <w:szCs w:val="24"/>
                <w:highlight w:val="none"/>
              </w:rPr>
            </w:pPr>
          </w:p>
        </w:tc>
      </w:tr>
      <w:tr w14:paraId="04161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400" w:type="dxa"/>
            <w:vMerge w:val="restart"/>
            <w:noWrap w:val="0"/>
            <w:vAlign w:val="top"/>
          </w:tcPr>
          <w:p w14:paraId="1874FB58">
            <w:pPr>
              <w:spacing w:line="360" w:lineRule="auto"/>
              <w:rPr>
                <w:rFonts w:hint="eastAsia" w:ascii="黑体" w:hAnsi="黑体" w:eastAsia="黑体" w:cs="黑体"/>
                <w:color w:val="auto"/>
                <w:sz w:val="24"/>
                <w:szCs w:val="24"/>
                <w:highlight w:val="none"/>
              </w:rPr>
            </w:pPr>
          </w:p>
          <w:p w14:paraId="73539D26">
            <w:pPr>
              <w:pStyle w:val="29"/>
              <w:spacing w:before="103" w:line="360" w:lineRule="auto"/>
              <w:ind w:left="45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法定代表人/单位负责人</w:t>
            </w:r>
          </w:p>
        </w:tc>
        <w:tc>
          <w:tcPr>
            <w:tcW w:w="2626" w:type="dxa"/>
            <w:noWrap w:val="0"/>
            <w:vAlign w:val="center"/>
          </w:tcPr>
          <w:p w14:paraId="20E23013">
            <w:pPr>
              <w:pStyle w:val="29"/>
              <w:spacing w:before="204" w:line="36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姓名</w:t>
            </w:r>
          </w:p>
        </w:tc>
        <w:tc>
          <w:tcPr>
            <w:tcW w:w="3634" w:type="dxa"/>
            <w:noWrap w:val="0"/>
            <w:vAlign w:val="top"/>
          </w:tcPr>
          <w:p w14:paraId="13CC2DCA">
            <w:pPr>
              <w:spacing w:line="360" w:lineRule="auto"/>
              <w:rPr>
                <w:rFonts w:hint="eastAsia" w:ascii="黑体" w:hAnsi="黑体" w:eastAsia="黑体" w:cs="黑体"/>
                <w:color w:val="auto"/>
                <w:sz w:val="24"/>
                <w:szCs w:val="24"/>
                <w:highlight w:val="none"/>
              </w:rPr>
            </w:pPr>
          </w:p>
        </w:tc>
      </w:tr>
      <w:tr w14:paraId="45964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3400" w:type="dxa"/>
            <w:vMerge w:val="continue"/>
            <w:noWrap w:val="0"/>
            <w:vAlign w:val="top"/>
          </w:tcPr>
          <w:p w14:paraId="378A6E0E">
            <w:pPr>
              <w:spacing w:line="360" w:lineRule="auto"/>
              <w:rPr>
                <w:rFonts w:hint="eastAsia" w:ascii="黑体" w:hAnsi="黑体" w:eastAsia="黑体" w:cs="黑体"/>
                <w:color w:val="auto"/>
                <w:sz w:val="24"/>
                <w:szCs w:val="24"/>
                <w:highlight w:val="none"/>
              </w:rPr>
            </w:pPr>
          </w:p>
        </w:tc>
        <w:tc>
          <w:tcPr>
            <w:tcW w:w="2626" w:type="dxa"/>
            <w:noWrap w:val="0"/>
            <w:vAlign w:val="center"/>
          </w:tcPr>
          <w:p w14:paraId="683E69EA">
            <w:pPr>
              <w:pStyle w:val="29"/>
              <w:spacing w:before="205" w:line="36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身份证号</w:t>
            </w:r>
          </w:p>
        </w:tc>
        <w:tc>
          <w:tcPr>
            <w:tcW w:w="3634" w:type="dxa"/>
            <w:noWrap w:val="0"/>
            <w:vAlign w:val="top"/>
          </w:tcPr>
          <w:p w14:paraId="2DDFFDA6">
            <w:pPr>
              <w:spacing w:line="360" w:lineRule="auto"/>
              <w:rPr>
                <w:rFonts w:hint="eastAsia" w:ascii="黑体" w:hAnsi="黑体" w:eastAsia="黑体" w:cs="黑体"/>
                <w:color w:val="auto"/>
                <w:sz w:val="24"/>
                <w:szCs w:val="24"/>
                <w:highlight w:val="none"/>
              </w:rPr>
            </w:pPr>
          </w:p>
        </w:tc>
      </w:tr>
      <w:tr w14:paraId="0CA08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2" w:hRule="atLeast"/>
        </w:trPr>
        <w:tc>
          <w:tcPr>
            <w:tcW w:w="3400" w:type="dxa"/>
            <w:noWrap w:val="0"/>
            <w:vAlign w:val="top"/>
          </w:tcPr>
          <w:p w14:paraId="6A13F47F">
            <w:pPr>
              <w:pStyle w:val="29"/>
              <w:spacing w:before="160" w:line="360" w:lineRule="auto"/>
              <w:ind w:left="570"/>
              <w:rPr>
                <w:rFonts w:hint="eastAsia" w:ascii="黑体" w:hAnsi="黑体" w:eastAsia="黑体" w:cs="黑体"/>
                <w:color w:val="auto"/>
                <w:sz w:val="24"/>
                <w:szCs w:val="24"/>
                <w:highlight w:val="none"/>
              </w:rPr>
            </w:pPr>
            <w:r>
              <w:rPr>
                <w:rFonts w:hint="eastAsia" w:ascii="黑体" w:hAnsi="黑体" w:eastAsia="黑体" w:cs="黑体"/>
                <w:color w:val="auto"/>
                <w:spacing w:val="-1"/>
                <w:position w:val="29"/>
                <w:sz w:val="24"/>
                <w:szCs w:val="24"/>
                <w:highlight w:val="none"/>
              </w:rPr>
              <w:t>控股股东/投资人名称</w:t>
            </w:r>
          </w:p>
          <w:p w14:paraId="6D5EA50E">
            <w:pPr>
              <w:pStyle w:val="29"/>
              <w:spacing w:before="1" w:line="360" w:lineRule="auto"/>
              <w:ind w:left="1101"/>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及出资比例</w:t>
            </w:r>
          </w:p>
        </w:tc>
        <w:tc>
          <w:tcPr>
            <w:tcW w:w="6260" w:type="dxa"/>
            <w:gridSpan w:val="2"/>
            <w:noWrap w:val="0"/>
            <w:vAlign w:val="top"/>
          </w:tcPr>
          <w:p w14:paraId="3755E627">
            <w:pPr>
              <w:spacing w:line="360" w:lineRule="auto"/>
              <w:rPr>
                <w:rFonts w:hint="eastAsia" w:ascii="黑体" w:hAnsi="黑体" w:eastAsia="黑体" w:cs="黑体"/>
                <w:color w:val="auto"/>
                <w:sz w:val="24"/>
                <w:szCs w:val="24"/>
                <w:highlight w:val="none"/>
              </w:rPr>
            </w:pPr>
          </w:p>
        </w:tc>
      </w:tr>
      <w:tr w14:paraId="2F4B3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2" w:hRule="atLeast"/>
        </w:trPr>
        <w:tc>
          <w:tcPr>
            <w:tcW w:w="3400" w:type="dxa"/>
            <w:noWrap w:val="0"/>
            <w:vAlign w:val="top"/>
          </w:tcPr>
          <w:p w14:paraId="0892D8BF">
            <w:pPr>
              <w:pStyle w:val="29"/>
              <w:spacing w:before="161" w:line="360" w:lineRule="auto"/>
              <w:ind w:left="452"/>
              <w:rPr>
                <w:rFonts w:hint="eastAsia" w:ascii="黑体" w:hAnsi="黑体" w:eastAsia="黑体" w:cs="黑体"/>
                <w:color w:val="auto"/>
                <w:sz w:val="24"/>
                <w:szCs w:val="24"/>
                <w:highlight w:val="none"/>
              </w:rPr>
            </w:pPr>
            <w:r>
              <w:rPr>
                <w:rFonts w:hint="eastAsia" w:ascii="黑体" w:hAnsi="黑体" w:eastAsia="黑体" w:cs="黑体"/>
                <w:color w:val="auto"/>
                <w:spacing w:val="-1"/>
                <w:position w:val="29"/>
                <w:sz w:val="24"/>
                <w:szCs w:val="24"/>
                <w:highlight w:val="none"/>
              </w:rPr>
              <w:t>非控股股东/投资人名称</w:t>
            </w:r>
          </w:p>
          <w:p w14:paraId="27BC52A3">
            <w:pPr>
              <w:pStyle w:val="29"/>
              <w:spacing w:before="1" w:line="360" w:lineRule="auto"/>
              <w:ind w:left="1101"/>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及出资比例</w:t>
            </w:r>
          </w:p>
        </w:tc>
        <w:tc>
          <w:tcPr>
            <w:tcW w:w="6260" w:type="dxa"/>
            <w:gridSpan w:val="2"/>
            <w:noWrap w:val="0"/>
            <w:vAlign w:val="top"/>
          </w:tcPr>
          <w:p w14:paraId="23CAC533">
            <w:pPr>
              <w:spacing w:line="360" w:lineRule="auto"/>
              <w:rPr>
                <w:rFonts w:hint="eastAsia" w:ascii="黑体" w:hAnsi="黑体" w:eastAsia="黑体" w:cs="黑体"/>
                <w:color w:val="auto"/>
                <w:sz w:val="24"/>
                <w:szCs w:val="24"/>
                <w:highlight w:val="none"/>
              </w:rPr>
            </w:pPr>
          </w:p>
        </w:tc>
      </w:tr>
      <w:tr w14:paraId="34869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400" w:type="dxa"/>
            <w:vMerge w:val="restart"/>
            <w:noWrap w:val="0"/>
            <w:vAlign w:val="top"/>
          </w:tcPr>
          <w:p w14:paraId="74000012">
            <w:pPr>
              <w:spacing w:line="360" w:lineRule="auto"/>
              <w:rPr>
                <w:rFonts w:hint="eastAsia" w:ascii="黑体" w:hAnsi="黑体" w:eastAsia="黑体" w:cs="黑体"/>
                <w:color w:val="auto"/>
                <w:sz w:val="24"/>
                <w:szCs w:val="24"/>
                <w:highlight w:val="none"/>
              </w:rPr>
            </w:pPr>
          </w:p>
          <w:p w14:paraId="3148756C">
            <w:pPr>
              <w:pStyle w:val="29"/>
              <w:spacing w:before="103" w:line="360" w:lineRule="auto"/>
              <w:ind w:left="741"/>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管理关系单位名称</w:t>
            </w:r>
          </w:p>
        </w:tc>
        <w:tc>
          <w:tcPr>
            <w:tcW w:w="2626" w:type="dxa"/>
            <w:noWrap w:val="0"/>
            <w:vAlign w:val="top"/>
          </w:tcPr>
          <w:p w14:paraId="344756FE">
            <w:pPr>
              <w:pStyle w:val="29"/>
              <w:spacing w:before="206" w:line="360" w:lineRule="auto"/>
              <w:ind w:left="547"/>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管理关系单位名称</w:t>
            </w:r>
          </w:p>
        </w:tc>
        <w:tc>
          <w:tcPr>
            <w:tcW w:w="3634" w:type="dxa"/>
            <w:noWrap w:val="0"/>
            <w:vAlign w:val="top"/>
          </w:tcPr>
          <w:p w14:paraId="0BF91ABA">
            <w:pPr>
              <w:spacing w:line="360" w:lineRule="auto"/>
              <w:rPr>
                <w:rFonts w:hint="eastAsia" w:ascii="黑体" w:hAnsi="黑体" w:eastAsia="黑体" w:cs="黑体"/>
                <w:color w:val="auto"/>
                <w:sz w:val="24"/>
                <w:szCs w:val="24"/>
                <w:highlight w:val="none"/>
              </w:rPr>
            </w:pPr>
          </w:p>
        </w:tc>
      </w:tr>
      <w:tr w14:paraId="1D3AA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3400" w:type="dxa"/>
            <w:vMerge w:val="continue"/>
            <w:noWrap w:val="0"/>
            <w:vAlign w:val="top"/>
          </w:tcPr>
          <w:p w14:paraId="679DFBFE">
            <w:pPr>
              <w:spacing w:line="360" w:lineRule="auto"/>
              <w:rPr>
                <w:rFonts w:hint="eastAsia" w:ascii="黑体" w:hAnsi="黑体" w:eastAsia="黑体" w:cs="黑体"/>
                <w:color w:val="auto"/>
                <w:sz w:val="24"/>
                <w:szCs w:val="24"/>
                <w:highlight w:val="none"/>
              </w:rPr>
            </w:pPr>
          </w:p>
        </w:tc>
        <w:tc>
          <w:tcPr>
            <w:tcW w:w="2626" w:type="dxa"/>
            <w:noWrap w:val="0"/>
            <w:vAlign w:val="top"/>
          </w:tcPr>
          <w:p w14:paraId="13F21E2C">
            <w:pPr>
              <w:pStyle w:val="29"/>
              <w:spacing w:before="207" w:line="360" w:lineRule="auto"/>
              <w:ind w:left="426"/>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被管理关系单位名称</w:t>
            </w:r>
          </w:p>
        </w:tc>
        <w:tc>
          <w:tcPr>
            <w:tcW w:w="3634" w:type="dxa"/>
            <w:noWrap w:val="0"/>
            <w:vAlign w:val="top"/>
          </w:tcPr>
          <w:p w14:paraId="59D3A627">
            <w:pPr>
              <w:spacing w:line="360" w:lineRule="auto"/>
              <w:rPr>
                <w:rFonts w:hint="eastAsia" w:ascii="黑体" w:hAnsi="黑体" w:eastAsia="黑体" w:cs="黑体"/>
                <w:color w:val="auto"/>
                <w:sz w:val="24"/>
                <w:szCs w:val="24"/>
                <w:highlight w:val="none"/>
              </w:rPr>
            </w:pPr>
          </w:p>
        </w:tc>
      </w:tr>
      <w:tr w14:paraId="1F851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3400" w:type="dxa"/>
            <w:noWrap w:val="0"/>
            <w:vAlign w:val="top"/>
          </w:tcPr>
          <w:p w14:paraId="0B873C49">
            <w:pPr>
              <w:pStyle w:val="29"/>
              <w:spacing w:before="238" w:line="360" w:lineRule="auto"/>
              <w:ind w:left="1457"/>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备注</w:t>
            </w:r>
          </w:p>
        </w:tc>
        <w:tc>
          <w:tcPr>
            <w:tcW w:w="6260" w:type="dxa"/>
            <w:gridSpan w:val="2"/>
            <w:noWrap w:val="0"/>
            <w:vAlign w:val="top"/>
          </w:tcPr>
          <w:p w14:paraId="1140EDB8">
            <w:pPr>
              <w:spacing w:line="360" w:lineRule="auto"/>
              <w:rPr>
                <w:rFonts w:hint="eastAsia" w:ascii="黑体" w:hAnsi="黑体" w:eastAsia="黑体" w:cs="黑体"/>
                <w:color w:val="auto"/>
                <w:sz w:val="24"/>
                <w:szCs w:val="24"/>
                <w:highlight w:val="none"/>
              </w:rPr>
            </w:pPr>
          </w:p>
        </w:tc>
      </w:tr>
    </w:tbl>
    <w:p w14:paraId="09C349FC">
      <w:pPr>
        <w:spacing w:before="2" w:line="240" w:lineRule="auto"/>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pacing w:val="-7"/>
          <w:position w:val="26"/>
          <w:sz w:val="24"/>
          <w:szCs w:val="24"/>
          <w:highlight w:val="none"/>
        </w:rPr>
        <w:t>注</w:t>
      </w:r>
      <w:r>
        <w:rPr>
          <w:rFonts w:hint="eastAsia" w:ascii="黑体" w:hAnsi="黑体" w:eastAsia="黑体" w:cs="黑体"/>
          <w:color w:val="auto"/>
          <w:spacing w:val="-7"/>
          <w:position w:val="26"/>
          <w:sz w:val="24"/>
          <w:szCs w:val="24"/>
          <w:highlight w:val="none"/>
          <w:lang w:eastAsia="zh-CN"/>
        </w:rPr>
        <w:t>：</w:t>
      </w:r>
      <w:r>
        <w:rPr>
          <w:rFonts w:hint="eastAsia" w:ascii="黑体" w:hAnsi="黑体" w:eastAsia="黑体" w:cs="黑体"/>
          <w:color w:val="auto"/>
          <w:spacing w:val="-7"/>
          <w:position w:val="26"/>
          <w:sz w:val="24"/>
          <w:szCs w:val="24"/>
          <w:highlight w:val="none"/>
          <w:lang w:val="en-US" w:eastAsia="zh-CN"/>
        </w:rPr>
        <w:t>1.控股股东/投资人是指出资比例在50%以上，或者出资比例不足50%，但享有公司股东会/董事会控制权的投资方（含单位或者个人）；</w:t>
      </w:r>
    </w:p>
    <w:p w14:paraId="1EF06F3E">
      <w:pPr>
        <w:spacing w:line="240" w:lineRule="auto"/>
        <w:jc w:val="left"/>
        <w:rPr>
          <w:rFonts w:hint="eastAsia" w:ascii="黑体" w:hAnsi="黑体" w:eastAsia="黑体" w:cs="黑体"/>
          <w:color w:val="auto"/>
          <w:spacing w:val="3"/>
          <w:sz w:val="24"/>
          <w:szCs w:val="24"/>
          <w:highlight w:val="none"/>
          <w:lang w:val="en-US" w:eastAsia="zh-CN"/>
        </w:rPr>
      </w:pPr>
      <w:r>
        <w:rPr>
          <w:rFonts w:hint="eastAsia" w:ascii="黑体" w:hAnsi="黑体" w:eastAsia="黑体" w:cs="黑体"/>
          <w:color w:val="auto"/>
          <w:spacing w:val="4"/>
          <w:position w:val="30"/>
          <w:sz w:val="24"/>
          <w:szCs w:val="24"/>
          <w:highlight w:val="none"/>
        </w:rPr>
        <w:t>2.管理关系单位是指与不具有出资持股关系的其他单位之间存在管理与被管理</w:t>
      </w:r>
      <w:r>
        <w:rPr>
          <w:rFonts w:hint="eastAsia" w:ascii="黑体" w:hAnsi="黑体" w:eastAsia="黑体" w:cs="黑体"/>
          <w:color w:val="auto"/>
          <w:spacing w:val="4"/>
          <w:position w:val="30"/>
          <w:sz w:val="24"/>
          <w:szCs w:val="24"/>
          <w:highlight w:val="none"/>
          <w:lang w:eastAsia="zh-CN"/>
        </w:rPr>
        <w:t>单位。</w:t>
      </w:r>
    </w:p>
    <w:p w14:paraId="5E4B40FC">
      <w:pPr>
        <w:spacing w:before="1" w:line="240" w:lineRule="auto"/>
        <w:ind w:left="1"/>
        <w:jc w:val="left"/>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3.如未有相关情况，请在相应栏填写“</w:t>
      </w:r>
      <w:r>
        <w:rPr>
          <w:rFonts w:hint="eastAsia" w:ascii="黑体" w:hAnsi="黑体" w:eastAsia="黑体" w:cs="黑体"/>
          <w:color w:val="auto"/>
          <w:spacing w:val="-5"/>
          <w:sz w:val="24"/>
          <w:szCs w:val="24"/>
          <w:highlight w:val="none"/>
        </w:rPr>
        <w:t>无”。</w:t>
      </w:r>
    </w:p>
    <w:p w14:paraId="0FD2C025">
      <w:pPr>
        <w:spacing w:before="265" w:line="360" w:lineRule="auto"/>
        <w:ind w:left="1"/>
        <w:jc w:val="left"/>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投标人名称（</w:t>
      </w:r>
      <w:r>
        <w:rPr>
          <w:rFonts w:hint="eastAsia" w:ascii="黑体" w:hAnsi="黑体" w:eastAsia="黑体" w:cs="黑体"/>
          <w:b w:val="0"/>
          <w:bCs w:val="0"/>
          <w:color w:val="auto"/>
          <w:sz w:val="24"/>
          <w:szCs w:val="24"/>
          <w:highlight w:val="none"/>
          <w:lang w:eastAsia="zh-CN"/>
        </w:rPr>
        <w:t>加</w:t>
      </w:r>
      <w:r>
        <w:rPr>
          <w:rFonts w:hint="eastAsia" w:ascii="黑体" w:hAnsi="黑体" w:eastAsia="黑体" w:cs="黑体"/>
          <w:b w:val="0"/>
          <w:bCs w:val="0"/>
          <w:color w:val="auto"/>
          <w:sz w:val="24"/>
          <w:szCs w:val="24"/>
          <w:highlight w:val="none"/>
        </w:rPr>
        <w:t>盖</w:t>
      </w:r>
      <w:r>
        <w:rPr>
          <w:rFonts w:hint="eastAsia" w:ascii="黑体" w:hAnsi="黑体" w:eastAsia="黑体" w:cs="黑体"/>
          <w:b w:val="0"/>
          <w:bCs w:val="0"/>
          <w:color w:val="auto"/>
          <w:sz w:val="24"/>
          <w:szCs w:val="24"/>
          <w:highlight w:val="none"/>
          <w:lang w:eastAsia="zh-CN"/>
        </w:rPr>
        <w:t>公</w:t>
      </w:r>
      <w:r>
        <w:rPr>
          <w:rFonts w:hint="eastAsia" w:ascii="黑体" w:hAnsi="黑体" w:eastAsia="黑体" w:cs="黑体"/>
          <w:b w:val="0"/>
          <w:bCs w:val="0"/>
          <w:color w:val="auto"/>
          <w:sz w:val="24"/>
          <w:szCs w:val="24"/>
          <w:highlight w:val="none"/>
        </w:rPr>
        <w:t>章</w:t>
      </w:r>
      <w:r>
        <w:rPr>
          <w:rFonts w:hint="eastAsia" w:ascii="黑体" w:hAnsi="黑体" w:eastAsia="黑体" w:cs="黑体"/>
          <w:color w:val="auto"/>
          <w:spacing w:val="-1"/>
          <w:sz w:val="24"/>
          <w:szCs w:val="24"/>
          <w:highlight w:val="none"/>
        </w:rPr>
        <w:t>）</w:t>
      </w:r>
      <w:r>
        <w:rPr>
          <w:rFonts w:hint="eastAsia" w:ascii="黑体" w:hAnsi="黑体" w:eastAsia="黑体" w:cs="黑体"/>
          <w:color w:val="auto"/>
          <w:spacing w:val="-1"/>
          <w:sz w:val="24"/>
          <w:szCs w:val="24"/>
          <w:highlight w:val="none"/>
          <w:lang w:eastAsia="zh-CN"/>
        </w:rPr>
        <w:t>：</w:t>
      </w:r>
    </w:p>
    <w:p w14:paraId="3788B870">
      <w:pPr>
        <w:spacing w:before="245" w:line="360" w:lineRule="auto"/>
        <w:ind w:left="1"/>
        <w:jc w:val="lef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法定代表人或委托代理人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签字或盖章</w:t>
      </w:r>
      <w:r>
        <w:rPr>
          <w:rFonts w:hint="eastAsia" w:ascii="黑体" w:hAnsi="黑体" w:eastAsia="黑体" w:cs="黑体"/>
          <w:color w:val="auto"/>
          <w:sz w:val="24"/>
          <w:szCs w:val="24"/>
          <w:highlight w:val="none"/>
          <w:lang w:eastAsia="zh-CN"/>
        </w:rPr>
        <w:t>）：</w:t>
      </w:r>
    </w:p>
    <w:p w14:paraId="29DCBE66">
      <w:pPr>
        <w:spacing w:before="290" w:line="360" w:lineRule="auto"/>
        <w:ind w:left="34"/>
        <w:jc w:val="left"/>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日期：</w:t>
      </w:r>
      <w:r>
        <w:rPr>
          <w:rFonts w:hint="eastAsia" w:ascii="黑体" w:hAnsi="黑体" w:eastAsia="黑体" w:cs="黑体"/>
          <w:color w:val="auto"/>
          <w:spacing w:val="-5"/>
          <w:sz w:val="24"/>
          <w:szCs w:val="24"/>
          <w:highlight w:val="none"/>
          <w:lang w:val="en-US" w:eastAsia="zh-CN"/>
        </w:rPr>
        <w:t xml:space="preserve">   </w:t>
      </w:r>
      <w:r>
        <w:rPr>
          <w:rFonts w:hint="eastAsia" w:ascii="黑体" w:hAnsi="黑体" w:eastAsia="黑体" w:cs="黑体"/>
          <w:color w:val="auto"/>
          <w:spacing w:val="-5"/>
          <w:sz w:val="24"/>
          <w:szCs w:val="24"/>
          <w:highlight w:val="none"/>
        </w:rPr>
        <w:t>年</w:t>
      </w:r>
      <w:r>
        <w:rPr>
          <w:rFonts w:hint="eastAsia" w:ascii="黑体" w:hAnsi="黑体" w:eastAsia="黑体" w:cs="黑体"/>
          <w:color w:val="auto"/>
          <w:spacing w:val="-5"/>
          <w:sz w:val="24"/>
          <w:szCs w:val="24"/>
          <w:highlight w:val="none"/>
          <w:lang w:val="en-US" w:eastAsia="zh-CN"/>
        </w:rPr>
        <w:t xml:space="preserve">   </w:t>
      </w:r>
      <w:r>
        <w:rPr>
          <w:rFonts w:hint="eastAsia" w:ascii="黑体" w:hAnsi="黑体" w:eastAsia="黑体" w:cs="黑体"/>
          <w:color w:val="auto"/>
          <w:spacing w:val="-5"/>
          <w:sz w:val="24"/>
          <w:szCs w:val="24"/>
          <w:highlight w:val="none"/>
        </w:rPr>
        <w:t>月</w:t>
      </w:r>
      <w:r>
        <w:rPr>
          <w:rFonts w:hint="eastAsia" w:ascii="黑体" w:hAnsi="黑体" w:eastAsia="黑体" w:cs="黑体"/>
          <w:color w:val="auto"/>
          <w:spacing w:val="-5"/>
          <w:sz w:val="24"/>
          <w:szCs w:val="24"/>
          <w:highlight w:val="none"/>
          <w:lang w:val="en-US" w:eastAsia="zh-CN"/>
        </w:rPr>
        <w:t xml:space="preserve">    </w:t>
      </w:r>
      <w:r>
        <w:rPr>
          <w:rFonts w:hint="eastAsia" w:ascii="黑体" w:hAnsi="黑体" w:eastAsia="黑体" w:cs="黑体"/>
          <w:color w:val="auto"/>
          <w:spacing w:val="-5"/>
          <w:sz w:val="24"/>
          <w:szCs w:val="24"/>
          <w:highlight w:val="none"/>
        </w:rPr>
        <w:t>日</w:t>
      </w:r>
    </w:p>
    <w:p w14:paraId="499BF9A9">
      <w:pPr>
        <w:spacing w:line="360" w:lineRule="auto"/>
        <w:jc w:val="left"/>
        <w:rPr>
          <w:rFonts w:hint="eastAsia" w:ascii="黑体" w:hAnsi="黑体" w:eastAsia="黑体" w:cs="黑体"/>
          <w:color w:val="auto"/>
          <w:sz w:val="24"/>
          <w:szCs w:val="24"/>
          <w:highlight w:val="none"/>
        </w:rPr>
        <w:sectPr>
          <w:footerReference r:id="rId10" w:type="default"/>
          <w:pgSz w:w="11906" w:h="16839"/>
          <w:pgMar w:top="400" w:right="1079" w:bottom="1171" w:left="1081" w:header="0" w:footer="992" w:gutter="0"/>
          <w:pgBorders>
            <w:top w:val="none" w:sz="0" w:space="0"/>
            <w:left w:val="none" w:sz="0" w:space="0"/>
            <w:bottom w:val="none" w:sz="0" w:space="0"/>
            <w:right w:val="none" w:sz="0" w:space="0"/>
          </w:pgBorders>
          <w:pgNumType w:fmt="decimal"/>
          <w:cols w:space="720" w:num="1"/>
        </w:sectPr>
      </w:pPr>
    </w:p>
    <w:p w14:paraId="39F9C8EE">
      <w:pPr>
        <w:pStyle w:val="4"/>
        <w:bidi w:val="0"/>
        <w:rPr>
          <w:rFonts w:hint="eastAsia"/>
          <w:color w:val="auto"/>
          <w:highlight w:val="none"/>
          <w:lang w:val="en-US" w:eastAsia="zh-CN"/>
        </w:rPr>
      </w:pPr>
      <w:r>
        <w:rPr>
          <w:rFonts w:hint="eastAsia"/>
          <w:color w:val="auto"/>
          <w:highlight w:val="none"/>
          <w:lang w:val="en-US" w:eastAsia="zh-CN"/>
        </w:rPr>
        <w:t>13、</w:t>
      </w:r>
      <w:r>
        <w:rPr>
          <w:rFonts w:hint="eastAsia"/>
          <w:color w:val="auto"/>
          <w:highlight w:val="none"/>
        </w:rPr>
        <w:t>投标人须知资料表要求的其他资格证明文件</w:t>
      </w:r>
      <w:bookmarkEnd w:id="178"/>
      <w:bookmarkEnd w:id="179"/>
      <w:bookmarkEnd w:id="180"/>
      <w:bookmarkEnd w:id="181"/>
      <w:bookmarkEnd w:id="182"/>
      <w:bookmarkEnd w:id="183"/>
      <w:bookmarkEnd w:id="184"/>
      <w:bookmarkEnd w:id="185"/>
      <w:bookmarkEnd w:id="186"/>
      <w:bookmarkEnd w:id="187"/>
      <w:bookmarkEnd w:id="188"/>
    </w:p>
    <w:p w14:paraId="5EAB572B">
      <w:pPr>
        <w:pStyle w:val="12"/>
        <w:tabs>
          <w:tab w:val="left" w:pos="5580"/>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说明：1.应提供</w:t>
      </w:r>
      <w:r>
        <w:rPr>
          <w:rFonts w:hint="eastAsia" w:ascii="黑体" w:hAnsi="黑体" w:eastAsia="黑体" w:cs="黑体"/>
          <w:color w:val="auto"/>
          <w:sz w:val="24"/>
          <w:szCs w:val="24"/>
          <w:highlight w:val="none"/>
          <w:u w:val="single"/>
        </w:rPr>
        <w:t>投标人须知资料表</w:t>
      </w:r>
      <w:r>
        <w:rPr>
          <w:rFonts w:hint="eastAsia" w:ascii="黑体" w:hAnsi="黑体" w:eastAsia="黑体" w:cs="黑体"/>
          <w:color w:val="auto"/>
          <w:sz w:val="24"/>
          <w:szCs w:val="24"/>
          <w:highlight w:val="none"/>
        </w:rPr>
        <w:t>要求的其他资格证明文件。</w:t>
      </w:r>
    </w:p>
    <w:p w14:paraId="734A648E">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0" w:leftChars="0" w:hanging="54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2.</w:t>
      </w:r>
      <w:r>
        <w:rPr>
          <w:rFonts w:hint="eastAsia" w:ascii="黑体" w:hAnsi="黑体" w:eastAsia="黑体" w:cs="黑体"/>
          <w:color w:val="auto"/>
          <w:sz w:val="24"/>
          <w:szCs w:val="24"/>
          <w:highlight w:val="none"/>
          <w:lang w:eastAsia="zh-CN"/>
        </w:rPr>
        <w:t>扫描件</w:t>
      </w:r>
      <w:r>
        <w:rPr>
          <w:rFonts w:hint="eastAsia" w:ascii="黑体" w:hAnsi="黑体" w:eastAsia="黑体" w:cs="黑体"/>
          <w:color w:val="auto"/>
          <w:sz w:val="24"/>
          <w:szCs w:val="24"/>
          <w:highlight w:val="none"/>
        </w:rPr>
        <w:t>上应加盖本单位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p>
    <w:p w14:paraId="17E41855">
      <w:pPr>
        <w:pStyle w:val="12"/>
        <w:spacing w:line="360" w:lineRule="auto"/>
        <w:rPr>
          <w:rFonts w:hint="eastAsia" w:ascii="黑体" w:hAnsi="黑体" w:eastAsia="黑体" w:cs="黑体"/>
          <w:color w:val="auto"/>
          <w:sz w:val="24"/>
          <w:szCs w:val="24"/>
          <w:highlight w:val="none"/>
        </w:rPr>
      </w:pPr>
      <w:r>
        <w:rPr>
          <w:rFonts w:hint="eastAsia" w:ascii="黑体" w:hAnsi="黑体" w:eastAsia="黑体" w:cs="黑体"/>
          <w:b/>
          <w:bCs/>
          <w:color w:val="auto"/>
          <w:sz w:val="24"/>
          <w:szCs w:val="24"/>
          <w:highlight w:val="none"/>
          <w:lang w:eastAsia="zh-CN"/>
        </w:rPr>
        <w:t>注：为了便于查找，请按上述顺序编制投标文件内容，并在目录中标明每项内容的起始页码。</w:t>
      </w:r>
    </w:p>
    <w:p w14:paraId="1899E886">
      <w:pPr>
        <w:rPr>
          <w:rFonts w:hint="eastAsia" w:ascii="黑体" w:hAnsi="黑体" w:eastAsia="黑体" w:cs="黑体"/>
          <w:b/>
          <w:bCs/>
          <w:color w:val="auto"/>
          <w:spacing w:val="-3"/>
          <w:sz w:val="24"/>
          <w:szCs w:val="24"/>
          <w:highlight w:val="none"/>
        </w:rPr>
      </w:pPr>
      <w:r>
        <w:rPr>
          <w:rFonts w:hint="eastAsia" w:ascii="黑体" w:hAnsi="黑体" w:eastAsia="黑体" w:cs="黑体"/>
          <w:b/>
          <w:bCs/>
          <w:color w:val="auto"/>
          <w:spacing w:val="-3"/>
          <w:sz w:val="24"/>
          <w:szCs w:val="24"/>
          <w:highlight w:val="none"/>
        </w:rPr>
        <w:br w:type="page"/>
      </w:r>
    </w:p>
    <w:p w14:paraId="556DA3A2">
      <w:pPr>
        <w:pStyle w:val="10"/>
        <w:keepNext w:val="0"/>
        <w:keepLines w:val="0"/>
        <w:pageBreakBefore w:val="0"/>
        <w:widowControl/>
        <w:kinsoku/>
        <w:wordWrap w:val="0"/>
        <w:overflowPunct/>
        <w:topLinePunct w:val="0"/>
        <w:bidi w:val="0"/>
        <w:spacing w:line="220" w:lineRule="auto"/>
        <w:ind w:left="0" w:leftChars="0" w:right="0"/>
        <w:outlineLvl w:val="9"/>
        <w:rPr>
          <w:rFonts w:hint="eastAsia" w:ascii="黑体" w:hAnsi="黑体" w:eastAsia="黑体" w:cs="黑体"/>
          <w:b/>
          <w:bCs/>
          <w:color w:val="auto"/>
          <w:spacing w:val="-3"/>
          <w:highlight w:val="none"/>
        </w:rPr>
      </w:pPr>
    </w:p>
    <w:p w14:paraId="53295A3A">
      <w:pPr>
        <w:pStyle w:val="10"/>
        <w:keepNext w:val="0"/>
        <w:keepLines w:val="0"/>
        <w:pageBreakBefore w:val="0"/>
        <w:widowControl/>
        <w:kinsoku/>
        <w:wordWrap w:val="0"/>
        <w:overflowPunct/>
        <w:topLinePunct w:val="0"/>
        <w:bidi w:val="0"/>
        <w:spacing w:line="220" w:lineRule="auto"/>
        <w:ind w:left="0" w:leftChars="0" w:right="0"/>
        <w:jc w:val="center"/>
        <w:outlineLvl w:val="1"/>
        <w:rPr>
          <w:rFonts w:hint="eastAsia" w:ascii="黑体" w:hAnsi="黑体" w:eastAsia="黑体" w:cs="黑体"/>
          <w:color w:val="auto"/>
          <w:highlight w:val="none"/>
        </w:rPr>
      </w:pPr>
      <w:bookmarkStart w:id="189" w:name="_Toc20186"/>
      <w:bookmarkStart w:id="190" w:name="_Toc5329"/>
      <w:r>
        <w:rPr>
          <w:rFonts w:hint="eastAsia" w:ascii="黑体" w:hAnsi="黑体" w:eastAsia="黑体" w:cs="黑体"/>
          <w:b/>
          <w:bCs/>
          <w:color w:val="auto"/>
          <w:spacing w:val="-3"/>
          <w:highlight w:val="none"/>
        </w:rPr>
        <w:t>第二部分商务及技术文件</w:t>
      </w:r>
      <w:bookmarkEnd w:id="189"/>
      <w:bookmarkEnd w:id="190"/>
    </w:p>
    <w:p w14:paraId="3A311D3F">
      <w:pPr>
        <w:keepNext w:val="0"/>
        <w:keepLines w:val="0"/>
        <w:pageBreakBefore w:val="0"/>
        <w:widowControl/>
        <w:kinsoku/>
        <w:wordWrap w:val="0"/>
        <w:overflowPunct/>
        <w:topLinePunct w:val="0"/>
        <w:bidi w:val="0"/>
        <w:spacing w:line="272" w:lineRule="auto"/>
        <w:ind w:left="0" w:leftChars="0" w:right="0"/>
        <w:rPr>
          <w:rFonts w:hint="eastAsia" w:ascii="黑体" w:hAnsi="黑体" w:eastAsia="黑体" w:cs="黑体"/>
          <w:color w:val="auto"/>
          <w:sz w:val="21"/>
          <w:highlight w:val="none"/>
        </w:rPr>
      </w:pPr>
    </w:p>
    <w:p w14:paraId="6F26F03D">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1、投标书</w:t>
      </w:r>
    </w:p>
    <w:p w14:paraId="43B26AB5">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2、投标分项报价表</w:t>
      </w:r>
    </w:p>
    <w:p w14:paraId="60FDD8CC">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3、服务说明一览表</w:t>
      </w:r>
    </w:p>
    <w:p w14:paraId="69FC8721">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4、商务条款偏离表</w:t>
      </w:r>
    </w:p>
    <w:p w14:paraId="707E9CD6">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5、技术条款偏离表</w:t>
      </w:r>
    </w:p>
    <w:p w14:paraId="213C7C24">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6</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rPr>
        <w:t>《中小企业声明函（服务）》</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如有</w:t>
      </w:r>
      <w:r>
        <w:rPr>
          <w:rFonts w:hint="eastAsia" w:ascii="黑体" w:hAnsi="黑体" w:eastAsia="黑体" w:cs="黑体"/>
          <w:color w:val="auto"/>
          <w:sz w:val="28"/>
          <w:szCs w:val="28"/>
          <w:highlight w:val="none"/>
          <w:lang w:eastAsia="zh-CN"/>
        </w:rPr>
        <w:t>）</w:t>
      </w:r>
    </w:p>
    <w:p w14:paraId="15D1F2EF">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6-</w:t>
      </w:r>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rPr>
        <w:t>《残疾人福利性单位声明函》</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如有</w:t>
      </w:r>
      <w:r>
        <w:rPr>
          <w:rFonts w:hint="eastAsia" w:ascii="黑体" w:hAnsi="黑体" w:eastAsia="黑体" w:cs="黑体"/>
          <w:color w:val="auto"/>
          <w:sz w:val="28"/>
          <w:szCs w:val="28"/>
          <w:highlight w:val="none"/>
          <w:lang w:eastAsia="zh-CN"/>
        </w:rPr>
        <w:t>）</w:t>
      </w:r>
    </w:p>
    <w:p w14:paraId="1D244FE1">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7</w:t>
      </w:r>
      <w:r>
        <w:rPr>
          <w:rFonts w:hint="eastAsia" w:ascii="黑体" w:hAnsi="黑体" w:eastAsia="黑体" w:cs="黑体"/>
          <w:color w:val="auto"/>
          <w:sz w:val="28"/>
          <w:szCs w:val="28"/>
          <w:highlight w:val="none"/>
        </w:rPr>
        <w:t>、其他有利于投标人的文件或证明材料</w:t>
      </w:r>
    </w:p>
    <w:p w14:paraId="0DFC9326">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8</w:t>
      </w:r>
      <w:r>
        <w:rPr>
          <w:rFonts w:hint="eastAsia" w:ascii="黑体" w:hAnsi="黑体" w:eastAsia="黑体" w:cs="黑体"/>
          <w:color w:val="auto"/>
          <w:sz w:val="28"/>
          <w:szCs w:val="28"/>
          <w:highlight w:val="none"/>
        </w:rPr>
        <w:t>、其他有利于投标的资料</w:t>
      </w:r>
    </w:p>
    <w:p w14:paraId="35AD4556">
      <w:pPr>
        <w:pStyle w:val="10"/>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9</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投标</w:t>
      </w:r>
      <w:r>
        <w:rPr>
          <w:rFonts w:hint="eastAsia" w:ascii="黑体" w:hAnsi="黑体" w:eastAsia="黑体" w:cs="黑体"/>
          <w:color w:val="auto"/>
          <w:sz w:val="28"/>
          <w:szCs w:val="28"/>
          <w:highlight w:val="none"/>
        </w:rPr>
        <w:t>文件格式范本</w:t>
      </w:r>
    </w:p>
    <w:p w14:paraId="496F55EA">
      <w:pPr>
        <w:keepNext w:val="0"/>
        <w:keepLines w:val="0"/>
        <w:pageBreakBefore w:val="0"/>
        <w:widowControl/>
        <w:kinsoku/>
        <w:wordWrap w:val="0"/>
        <w:overflowPunct/>
        <w:topLinePunct w:val="0"/>
        <w:bidi w:val="0"/>
        <w:spacing w:line="600" w:lineRule="auto"/>
        <w:ind w:left="0" w:leftChars="0" w:right="0"/>
        <w:rPr>
          <w:rFonts w:hint="eastAsia" w:ascii="黑体" w:hAnsi="黑体" w:eastAsia="黑体" w:cs="黑体"/>
          <w:color w:val="auto"/>
          <w:sz w:val="24"/>
          <w:szCs w:val="24"/>
          <w:highlight w:val="none"/>
        </w:rPr>
        <w:sectPr>
          <w:footerReference r:id="rId11" w:type="default"/>
          <w:pgSz w:w="11906" w:h="16838"/>
          <w:pgMar w:top="400" w:right="1785" w:bottom="1404" w:left="1785" w:header="0" w:footer="1229" w:gutter="0"/>
          <w:pgBorders>
            <w:top w:val="none" w:sz="0" w:space="0"/>
            <w:left w:val="none" w:sz="0" w:space="0"/>
            <w:bottom w:val="none" w:sz="0" w:space="0"/>
            <w:right w:val="none" w:sz="0" w:space="0"/>
          </w:pgBorders>
          <w:pgNumType w:fmt="decimal"/>
          <w:cols w:space="720" w:num="1"/>
        </w:sectPr>
      </w:pPr>
    </w:p>
    <w:p w14:paraId="3469BB2F">
      <w:pPr>
        <w:pStyle w:val="4"/>
        <w:bidi w:val="0"/>
        <w:rPr>
          <w:rFonts w:hint="eastAsia"/>
          <w:color w:val="auto"/>
          <w:highlight w:val="none"/>
        </w:rPr>
      </w:pPr>
      <w:bookmarkStart w:id="191" w:name="_Toc4006"/>
      <w:bookmarkStart w:id="192" w:name="_Toc20644"/>
      <w:r>
        <w:rPr>
          <w:rFonts w:hint="eastAsia"/>
          <w:color w:val="auto"/>
          <w:highlight w:val="none"/>
        </w:rPr>
        <w:t>1</w:t>
      </w:r>
      <w:bookmarkStart w:id="193" w:name="_Hlt520355504"/>
      <w:bookmarkEnd w:id="193"/>
      <w:r>
        <w:rPr>
          <w:rFonts w:hint="eastAsia"/>
          <w:color w:val="auto"/>
          <w:highlight w:val="none"/>
          <w:lang w:eastAsia="zh-CN"/>
        </w:rPr>
        <w:t>、</w:t>
      </w:r>
      <w:r>
        <w:rPr>
          <w:rFonts w:hint="eastAsia"/>
          <w:color w:val="auto"/>
          <w:highlight w:val="none"/>
        </w:rPr>
        <w:t>投标书</w:t>
      </w:r>
      <w:bookmarkEnd w:id="191"/>
      <w:bookmarkEnd w:id="192"/>
    </w:p>
    <w:p w14:paraId="5F67919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hanging="108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致：</w:t>
      </w:r>
      <w:r>
        <w:rPr>
          <w:rFonts w:hint="eastAsia" w:ascii="黑体" w:hAnsi="黑体" w:eastAsia="黑体" w:cs="黑体"/>
          <w:color w:val="auto"/>
          <w:sz w:val="24"/>
          <w:szCs w:val="24"/>
          <w:highlight w:val="none"/>
          <w:u w:val="single"/>
        </w:rPr>
        <w:t>采购</w:t>
      </w:r>
      <w:r>
        <w:rPr>
          <w:rFonts w:hint="eastAsia" w:ascii="黑体" w:hAnsi="黑体" w:eastAsia="黑体" w:cs="黑体"/>
          <w:color w:val="auto"/>
          <w:sz w:val="24"/>
          <w:szCs w:val="24"/>
          <w:highlight w:val="none"/>
          <w:u w:val="single"/>
          <w:lang w:eastAsia="zh-CN"/>
        </w:rPr>
        <w:t>人</w:t>
      </w:r>
    </w:p>
    <w:p w14:paraId="5F51470E">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480" w:firstLineChars="20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根据贵方的</w:t>
      </w:r>
      <w:r>
        <w:rPr>
          <w:rFonts w:hint="eastAsia" w:ascii="黑体" w:hAnsi="黑体" w:eastAsia="黑体" w:cs="黑体"/>
          <w:color w:val="auto"/>
          <w:sz w:val="24"/>
          <w:szCs w:val="24"/>
          <w:highlight w:val="none"/>
          <w:lang w:eastAsia="zh-CN"/>
        </w:rPr>
        <w:t>招标公告（</w:t>
      </w:r>
      <w:r>
        <w:rPr>
          <w:rFonts w:hint="eastAsia" w:ascii="黑体" w:hAnsi="黑体" w:eastAsia="黑体" w:cs="黑体"/>
          <w:i/>
          <w:color w:val="auto"/>
          <w:sz w:val="24"/>
          <w:szCs w:val="24"/>
          <w:highlight w:val="none"/>
          <w:u w:val="single"/>
        </w:rPr>
        <w:t>项目名称</w:t>
      </w:r>
      <w:r>
        <w:rPr>
          <w:rFonts w:hint="eastAsia" w:ascii="黑体" w:hAnsi="黑体" w:eastAsia="黑体" w:cs="黑体"/>
          <w:i/>
          <w:color w:val="auto"/>
          <w:sz w:val="24"/>
          <w:szCs w:val="24"/>
          <w:highlight w:val="none"/>
          <w:u w:val="single"/>
          <w:lang w:eastAsia="zh-CN"/>
        </w:rPr>
        <w:t>）</w:t>
      </w:r>
      <w:r>
        <w:rPr>
          <w:rFonts w:hint="eastAsia" w:ascii="黑体" w:hAnsi="黑体" w:eastAsia="黑体" w:cs="黑体"/>
          <w:color w:val="auto"/>
          <w:sz w:val="24"/>
          <w:szCs w:val="24"/>
          <w:highlight w:val="none"/>
          <w:lang w:eastAsia="zh-CN"/>
        </w:rPr>
        <w:t>（</w:t>
      </w:r>
      <w:r>
        <w:rPr>
          <w:rFonts w:hint="eastAsia" w:ascii="黑体" w:hAnsi="黑体" w:eastAsia="黑体" w:cs="黑体"/>
          <w:i/>
          <w:color w:val="auto"/>
          <w:sz w:val="24"/>
          <w:szCs w:val="24"/>
          <w:highlight w:val="none"/>
          <w:u w:val="single"/>
          <w:lang w:val="en-US" w:eastAsia="zh-CN"/>
        </w:rPr>
        <w:t>项目</w:t>
      </w:r>
      <w:r>
        <w:rPr>
          <w:rFonts w:hint="eastAsia" w:ascii="黑体" w:hAnsi="黑体" w:eastAsia="黑体" w:cs="黑体"/>
          <w:i/>
          <w:color w:val="auto"/>
          <w:sz w:val="24"/>
          <w:szCs w:val="24"/>
          <w:highlight w:val="none"/>
          <w:u w:val="single"/>
        </w:rPr>
        <w:t>编号</w:t>
      </w:r>
      <w:r>
        <w:rPr>
          <w:rFonts w:hint="eastAsia" w:ascii="黑体" w:hAnsi="黑体" w:eastAsia="黑体" w:cs="黑体"/>
          <w:i/>
          <w:color w:val="auto"/>
          <w:sz w:val="24"/>
          <w:szCs w:val="24"/>
          <w:highlight w:val="none"/>
          <w:u w:val="single"/>
          <w:lang w:eastAsia="zh-CN"/>
        </w:rPr>
        <w:t>）</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签字代表</w:t>
      </w:r>
      <w:r>
        <w:rPr>
          <w:rFonts w:hint="eastAsia" w:ascii="黑体" w:hAnsi="黑体" w:eastAsia="黑体" w:cs="黑体"/>
          <w:color w:val="auto"/>
          <w:sz w:val="24"/>
          <w:szCs w:val="24"/>
          <w:highlight w:val="none"/>
          <w:lang w:eastAsia="zh-CN"/>
        </w:rPr>
        <w:t>（</w:t>
      </w:r>
      <w:r>
        <w:rPr>
          <w:rFonts w:hint="eastAsia" w:ascii="黑体" w:hAnsi="黑体" w:eastAsia="黑体" w:cs="黑体"/>
          <w:i/>
          <w:color w:val="auto"/>
          <w:sz w:val="24"/>
          <w:szCs w:val="24"/>
          <w:highlight w:val="none"/>
          <w:u w:val="single"/>
        </w:rPr>
        <w:t>姓名、职务</w:t>
      </w:r>
      <w:r>
        <w:rPr>
          <w:rFonts w:hint="eastAsia" w:ascii="黑体" w:hAnsi="黑体" w:eastAsia="黑体" w:cs="黑体"/>
          <w:i/>
          <w:color w:val="auto"/>
          <w:sz w:val="24"/>
          <w:szCs w:val="24"/>
          <w:highlight w:val="none"/>
          <w:u w:val="single"/>
          <w:lang w:eastAsia="zh-CN"/>
        </w:rPr>
        <w:t>）</w:t>
      </w:r>
      <w:r>
        <w:rPr>
          <w:rFonts w:hint="eastAsia" w:ascii="黑体" w:hAnsi="黑体" w:eastAsia="黑体" w:cs="黑体"/>
          <w:color w:val="auto"/>
          <w:sz w:val="24"/>
          <w:szCs w:val="24"/>
          <w:highlight w:val="none"/>
        </w:rPr>
        <w:t>经正式授权并代表投标人（</w:t>
      </w:r>
      <w:r>
        <w:rPr>
          <w:rFonts w:hint="eastAsia" w:ascii="黑体" w:hAnsi="黑体" w:eastAsia="黑体" w:cs="黑体"/>
          <w:i/>
          <w:color w:val="auto"/>
          <w:sz w:val="24"/>
          <w:szCs w:val="24"/>
          <w:highlight w:val="none"/>
          <w:u w:val="single"/>
        </w:rPr>
        <w:t>名称、地址</w:t>
      </w:r>
      <w:r>
        <w:rPr>
          <w:rFonts w:hint="eastAsia" w:ascii="黑体" w:hAnsi="黑体" w:eastAsia="黑体" w:cs="黑体"/>
          <w:color w:val="auto"/>
          <w:sz w:val="24"/>
          <w:szCs w:val="24"/>
          <w:highlight w:val="none"/>
        </w:rPr>
        <w:t>）提交下述</w:t>
      </w:r>
      <w:r>
        <w:rPr>
          <w:rFonts w:hint="eastAsia" w:ascii="黑体" w:hAnsi="黑体" w:eastAsia="黑体" w:cs="黑体"/>
          <w:color w:val="auto"/>
          <w:sz w:val="24"/>
          <w:szCs w:val="24"/>
          <w:highlight w:val="none"/>
          <w:lang w:val="en-US" w:eastAsia="zh-CN"/>
        </w:rPr>
        <w:t>电子投标</w:t>
      </w:r>
      <w:r>
        <w:rPr>
          <w:rFonts w:hint="eastAsia" w:ascii="黑体" w:hAnsi="黑体" w:eastAsia="黑体" w:cs="黑体"/>
          <w:color w:val="auto"/>
          <w:sz w:val="24"/>
          <w:szCs w:val="24"/>
          <w:highlight w:val="none"/>
        </w:rPr>
        <w:t>文件，并以</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形式出具的金额为人民币</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元的</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保证金。</w:t>
      </w:r>
    </w:p>
    <w:p w14:paraId="01394F70">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据此，签字代表宣布同意如下：</w:t>
      </w:r>
    </w:p>
    <w:p w14:paraId="13DADB55">
      <w:pPr>
        <w:pStyle w:val="12"/>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（1）附投标价格表中规定的应提供服务的投标总价为</w:t>
      </w:r>
      <w:r>
        <w:rPr>
          <w:rFonts w:hint="eastAsia" w:ascii="黑体" w:hAnsi="黑体" w:eastAsia="黑体" w:cs="黑体"/>
          <w:color w:val="auto"/>
          <w:sz w:val="24"/>
          <w:szCs w:val="24"/>
          <w:highlight w:val="none"/>
          <w:u w:val="single"/>
        </w:rPr>
        <w:t>（用文字和数字表示）</w:t>
      </w:r>
      <w:r>
        <w:rPr>
          <w:rFonts w:hint="eastAsia" w:ascii="黑体" w:hAnsi="黑体" w:eastAsia="黑体" w:cs="黑体"/>
          <w:color w:val="auto"/>
          <w:sz w:val="24"/>
          <w:szCs w:val="24"/>
          <w:highlight w:val="none"/>
        </w:rPr>
        <w:t>。</w:t>
      </w:r>
    </w:p>
    <w:p w14:paraId="0A42C180">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（2）本投标有效期为自投标截止之日起</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个日历日。</w:t>
      </w:r>
    </w:p>
    <w:p w14:paraId="21C8DFB8">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（3）联合体中的大中型企业和其他自然人、法人或者非法人组织，与联合体中的小型、微型企业之间</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存在、不存在）投资关系（如果是联合体的话）。</w:t>
      </w:r>
    </w:p>
    <w:p w14:paraId="533A9D57">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（4）已详细审查全部</w:t>
      </w:r>
      <w:r>
        <w:rPr>
          <w:rFonts w:hint="eastAsia" w:ascii="黑体" w:hAnsi="黑体" w:eastAsia="黑体" w:cs="黑体"/>
          <w:color w:val="auto"/>
          <w:sz w:val="24"/>
          <w:szCs w:val="24"/>
          <w:highlight w:val="none"/>
          <w:lang w:val="en-US" w:eastAsia="zh-CN"/>
        </w:rPr>
        <w:t>招标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，包括所有补充通知（如果有的话），完全理解并同意放弃对这方面有不明、误解和质疑的</w:t>
      </w:r>
      <w:r>
        <w:rPr>
          <w:rFonts w:hint="eastAsia" w:ascii="黑体" w:hAnsi="黑体" w:eastAsia="黑体" w:cs="黑体"/>
          <w:color w:val="auto"/>
          <w:sz w:val="24"/>
          <w:szCs w:val="24"/>
          <w:highlight w:val="none"/>
          <w:lang w:eastAsia="zh-CN"/>
        </w:rPr>
        <w:t>权利</w:t>
      </w:r>
      <w:r>
        <w:rPr>
          <w:rFonts w:hint="eastAsia" w:ascii="黑体" w:hAnsi="黑体" w:eastAsia="黑体" w:cs="黑体"/>
          <w:color w:val="auto"/>
          <w:sz w:val="24"/>
          <w:szCs w:val="24"/>
          <w:highlight w:val="none"/>
        </w:rPr>
        <w:t>。</w:t>
      </w:r>
    </w:p>
    <w:p w14:paraId="147E90D3">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（5）在规定的开标时间后，遵守</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中有关保证金的规定。</w:t>
      </w:r>
    </w:p>
    <w:p w14:paraId="32F51552">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（6）我方不是为本项目提供整体设计、规范编制或者项目管理、监理、检测等服务的供应商，我方不是采购代理机构的附属机构。</w:t>
      </w:r>
    </w:p>
    <w:p w14:paraId="0D47BCB1">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（7）在领取中标通知书的同时按</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规定的形式，向贵方一次性支付中标服务费。</w:t>
      </w:r>
    </w:p>
    <w:p w14:paraId="70921061">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（8）按照贵方可能要求，提供与其投标有关的一切数据或资料，完全理解贵方不一定接受最高价的投标或收到的任何投标。</w:t>
      </w:r>
    </w:p>
    <w:p w14:paraId="4FD68DFD">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（9）按照</w:t>
      </w:r>
      <w:r>
        <w:rPr>
          <w:rFonts w:hint="eastAsia" w:ascii="黑体" w:hAnsi="黑体" w:eastAsia="黑体" w:cs="黑体"/>
          <w:color w:val="auto"/>
          <w:sz w:val="24"/>
          <w:szCs w:val="24"/>
          <w:highlight w:val="none"/>
          <w:lang w:eastAsia="zh-CN"/>
        </w:rPr>
        <w:t>招标文件</w:t>
      </w:r>
      <w:r>
        <w:rPr>
          <w:rFonts w:hint="eastAsia" w:ascii="黑体" w:hAnsi="黑体" w:eastAsia="黑体" w:cs="黑体"/>
          <w:color w:val="auto"/>
          <w:sz w:val="24"/>
          <w:szCs w:val="24"/>
          <w:highlight w:val="none"/>
        </w:rPr>
        <w:t>的规定履行合同责任和义务。</w:t>
      </w:r>
    </w:p>
    <w:p w14:paraId="0F3D5BC8">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与本投标有关的一切正式往来信函请寄：</w:t>
      </w:r>
    </w:p>
    <w:p w14:paraId="5CC73E2D">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传真</w:t>
      </w:r>
      <w:r>
        <w:rPr>
          <w:rFonts w:hint="eastAsia" w:ascii="黑体" w:hAnsi="黑体" w:eastAsia="黑体" w:cs="黑体"/>
          <w:color w:val="auto"/>
          <w:sz w:val="24"/>
          <w:szCs w:val="24"/>
          <w:highlight w:val="none"/>
          <w:u w:val="single"/>
        </w:rPr>
        <w:t xml:space="preserve">                             </w:t>
      </w:r>
    </w:p>
    <w:p w14:paraId="2960071B">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电话</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电子函件</w:t>
      </w:r>
      <w:r>
        <w:rPr>
          <w:rFonts w:hint="eastAsia" w:ascii="黑体" w:hAnsi="黑体" w:eastAsia="黑体" w:cs="黑体"/>
          <w:color w:val="auto"/>
          <w:sz w:val="24"/>
          <w:szCs w:val="24"/>
          <w:highlight w:val="none"/>
          <w:u w:val="single"/>
        </w:rPr>
        <w:t xml:space="preserve">                         </w:t>
      </w:r>
    </w:p>
    <w:p w14:paraId="55D286B9">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签字</w:t>
      </w:r>
      <w:r>
        <w:rPr>
          <w:rFonts w:hint="eastAsia" w:ascii="黑体" w:hAnsi="黑体" w:eastAsia="黑体" w:cs="黑体"/>
          <w:color w:val="auto"/>
          <w:sz w:val="24"/>
          <w:szCs w:val="24"/>
          <w:highlight w:val="none"/>
          <w:lang w:eastAsia="zh-CN"/>
        </w:rPr>
        <w:t>或盖章）</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none"/>
          <w:u w:val="single"/>
          <w:lang w:val="en-US" w:eastAsia="zh-CN"/>
        </w:rPr>
        <w:t xml:space="preserve">                  </w:t>
      </w:r>
    </w:p>
    <w:p w14:paraId="057273D7">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left="-2" w:leftChars="0" w:firstLine="0" w:firstLineChars="0"/>
        <w:jc w:val="both"/>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投标人名称（</w:t>
      </w:r>
      <w:r>
        <w:rPr>
          <w:rFonts w:hint="eastAsia" w:ascii="黑体" w:hAnsi="黑体" w:eastAsia="黑体" w:cs="黑体"/>
          <w:color w:val="auto"/>
          <w:sz w:val="24"/>
          <w:szCs w:val="24"/>
          <w:highlight w:val="none"/>
          <w:lang w:val="en-US" w:eastAsia="zh-CN"/>
        </w:rPr>
        <w:t>加盖</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u w:val="single"/>
          <w:lang w:val="en-US" w:eastAsia="zh-CN"/>
        </w:rPr>
        <w:t xml:space="preserve">                                     </w:t>
      </w:r>
    </w:p>
    <w:p w14:paraId="717CA9BD">
      <w:pPr>
        <w:pStyle w:val="10"/>
        <w:keepNext w:val="0"/>
        <w:keepLines w:val="0"/>
        <w:pageBreakBefore w:val="0"/>
        <w:widowControl/>
        <w:kinsoku/>
        <w:wordWrap w:val="0"/>
        <w:overflowPunct/>
        <w:topLinePunct w:val="0"/>
        <w:bidi w:val="0"/>
        <w:spacing w:line="360" w:lineRule="auto"/>
        <w:ind w:left="0" w:leftChars="0" w:right="0"/>
        <w:jc w:val="both"/>
        <w:outlineLvl w:val="1"/>
        <w:rPr>
          <w:rFonts w:hint="eastAsia" w:ascii="黑体" w:hAnsi="黑体" w:eastAsia="黑体" w:cs="黑体"/>
          <w:color w:val="auto"/>
          <w:sz w:val="24"/>
          <w:szCs w:val="24"/>
          <w:highlight w:val="none"/>
          <w:u w:val="single"/>
          <w:lang w:val="en-US" w:eastAsia="zh-CN"/>
        </w:rPr>
      </w:pPr>
      <w:bookmarkStart w:id="194" w:name="_Toc14416"/>
      <w:bookmarkStart w:id="195" w:name="_Toc23925"/>
      <w:r>
        <w:rPr>
          <w:rFonts w:hint="eastAsia" w:ascii="黑体" w:hAnsi="黑体" w:eastAsia="黑体" w:cs="黑体"/>
          <w:color w:val="auto"/>
          <w:sz w:val="24"/>
          <w:szCs w:val="24"/>
          <w:highlight w:val="none"/>
        </w:rPr>
        <w:t>日期</w:t>
      </w:r>
      <w:r>
        <w:rPr>
          <w:rFonts w:hint="eastAsia" w:ascii="黑体" w:hAnsi="黑体" w:eastAsia="黑体" w:cs="黑体"/>
          <w:color w:val="auto"/>
          <w:sz w:val="24"/>
          <w:szCs w:val="24"/>
          <w:highlight w:val="none"/>
          <w:lang w:eastAsia="zh-CN"/>
        </w:rPr>
        <w:t>：</w:t>
      </w:r>
      <w:bookmarkEnd w:id="194"/>
      <w:bookmarkEnd w:id="195"/>
      <w:r>
        <w:rPr>
          <w:rFonts w:hint="eastAsia" w:ascii="黑体" w:hAnsi="黑体" w:eastAsia="黑体" w:cs="黑体"/>
          <w:color w:val="auto"/>
          <w:sz w:val="24"/>
          <w:szCs w:val="24"/>
          <w:highlight w:val="none"/>
          <w:u w:val="single"/>
          <w:lang w:val="en-US" w:eastAsia="zh-CN"/>
        </w:rPr>
        <w:t xml:space="preserve">                  </w:t>
      </w:r>
    </w:p>
    <w:p w14:paraId="2C5912FB">
      <w:pPr>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u w:val="single"/>
          <w:lang w:val="en-US" w:eastAsia="zh-CN"/>
        </w:rPr>
        <w:br w:type="page"/>
      </w:r>
    </w:p>
    <w:p w14:paraId="25C9A84E">
      <w:pPr>
        <w:pStyle w:val="4"/>
        <w:bidi w:val="0"/>
        <w:rPr>
          <w:rFonts w:hint="eastAsia"/>
          <w:color w:val="auto"/>
          <w:highlight w:val="none"/>
        </w:rPr>
      </w:pPr>
      <w:bookmarkStart w:id="196" w:name="_Toc28245"/>
      <w:bookmarkStart w:id="197" w:name="_Toc13959"/>
      <w:bookmarkStart w:id="198" w:name="_Toc5079"/>
      <w:bookmarkStart w:id="199" w:name="_Toc18261"/>
      <w:bookmarkStart w:id="200" w:name="_Toc14353"/>
      <w:bookmarkStart w:id="201" w:name="_Toc17662"/>
      <w:bookmarkStart w:id="202" w:name="_Toc31730"/>
      <w:bookmarkStart w:id="203" w:name="_Toc8874"/>
      <w:bookmarkStart w:id="204" w:name="_Toc9632"/>
      <w:r>
        <w:rPr>
          <w:rFonts w:hint="eastAsia"/>
          <w:color w:val="auto"/>
          <w:highlight w:val="none"/>
        </w:rPr>
        <w:t>2</w:t>
      </w:r>
      <w:bookmarkEnd w:id="196"/>
      <w:bookmarkEnd w:id="197"/>
      <w:bookmarkEnd w:id="198"/>
      <w:bookmarkEnd w:id="199"/>
      <w:r>
        <w:rPr>
          <w:rFonts w:hint="eastAsia"/>
          <w:color w:val="auto"/>
          <w:highlight w:val="none"/>
          <w:lang w:eastAsia="zh-CN"/>
        </w:rPr>
        <w:t>、</w:t>
      </w:r>
      <w:r>
        <w:rPr>
          <w:rFonts w:hint="eastAsia"/>
          <w:color w:val="auto"/>
          <w:highlight w:val="none"/>
        </w:rPr>
        <w:t>投标分项报价表</w:t>
      </w:r>
      <w:bookmarkEnd w:id="200"/>
      <w:bookmarkEnd w:id="201"/>
      <w:bookmarkEnd w:id="202"/>
      <w:bookmarkEnd w:id="203"/>
      <w:bookmarkEnd w:id="204"/>
    </w:p>
    <w:p w14:paraId="29290075">
      <w:pPr>
        <w:pStyle w:val="12"/>
        <w:spacing w:line="240" w:lineRule="atLeast"/>
        <w:ind w:left="1080" w:leftChars="257" w:hanging="540"/>
        <w:rPr>
          <w:rFonts w:hint="eastAsia" w:ascii="宋体" w:hAnsi="宋体" w:eastAsia="宋体" w:cs="宋体"/>
          <w:color w:val="auto"/>
          <w:sz w:val="24"/>
          <w:highlight w:val="none"/>
        </w:rPr>
      </w:pPr>
    </w:p>
    <w:p w14:paraId="51ED46CB">
      <w:pPr>
        <w:pStyle w:val="12"/>
        <w:spacing w:line="360" w:lineRule="auto"/>
        <w:ind w:left="-141" w:leftChars="-67" w:firstLine="360" w:firstLineChars="150"/>
        <w:rPr>
          <w:rFonts w:hint="eastAsia" w:ascii="黑体" w:hAnsi="黑体" w:eastAsia="黑体" w:cs="黑体"/>
          <w:color w:val="auto"/>
          <w:sz w:val="24"/>
          <w:highlight w:val="none"/>
        </w:rPr>
      </w:pPr>
      <w:r>
        <w:rPr>
          <w:rFonts w:hint="eastAsia" w:ascii="黑体" w:hAnsi="黑体" w:eastAsia="黑体" w:cs="黑体"/>
          <w:color w:val="auto"/>
          <w:sz w:val="24"/>
          <w:highlight w:val="none"/>
        </w:rPr>
        <w:t>项目名称</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lang w:val="en-US" w:eastAsia="zh-CN"/>
        </w:rPr>
        <w:t xml:space="preserve">              项目</w:t>
      </w:r>
      <w:r>
        <w:rPr>
          <w:rFonts w:hint="eastAsia" w:ascii="黑体" w:hAnsi="黑体" w:eastAsia="黑体" w:cs="黑体"/>
          <w:color w:val="auto"/>
          <w:sz w:val="24"/>
          <w:highlight w:val="none"/>
        </w:rPr>
        <w:t>编号</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rPr>
        <w:t xml:space="preserve">          　        　</w:t>
      </w:r>
    </w:p>
    <w:p w14:paraId="00197EA3">
      <w:pPr>
        <w:pStyle w:val="12"/>
        <w:spacing w:line="360" w:lineRule="auto"/>
        <w:ind w:left="-141" w:leftChars="-67" w:firstLine="360" w:firstLineChars="150"/>
        <w:rPr>
          <w:rFonts w:hint="eastAsia" w:ascii="黑体" w:hAnsi="黑体" w:eastAsia="黑体" w:cs="黑体"/>
          <w:color w:val="auto"/>
          <w:sz w:val="24"/>
          <w:highlight w:val="none"/>
        </w:rPr>
      </w:pPr>
      <w:r>
        <w:rPr>
          <w:rFonts w:hint="eastAsia" w:ascii="黑体" w:hAnsi="黑体" w:eastAsia="黑体" w:cs="黑体"/>
          <w:color w:val="auto"/>
          <w:sz w:val="24"/>
          <w:highlight w:val="none"/>
        </w:rPr>
        <w:t>报价单位：</w:t>
      </w:r>
      <w:r>
        <w:rPr>
          <w:rFonts w:hint="eastAsia" w:ascii="黑体" w:hAnsi="黑体" w:eastAsia="黑体" w:cs="黑体"/>
          <w:b/>
          <w:bCs/>
          <w:color w:val="auto"/>
          <w:sz w:val="24"/>
          <w:highlight w:val="none"/>
        </w:rPr>
        <w:t>人民币元</w:t>
      </w:r>
    </w:p>
    <w:tbl>
      <w:tblPr>
        <w:tblStyle w:val="2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11"/>
        <w:gridCol w:w="778"/>
        <w:gridCol w:w="2384"/>
        <w:gridCol w:w="1888"/>
        <w:gridCol w:w="1888"/>
        <w:gridCol w:w="1455"/>
      </w:tblGrid>
      <w:tr w14:paraId="6B483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7" w:hRule="atLeast"/>
        </w:trPr>
        <w:tc>
          <w:tcPr>
            <w:tcW w:w="577" w:type="pct"/>
            <w:noWrap w:val="0"/>
            <w:vAlign w:val="center"/>
          </w:tcPr>
          <w:p w14:paraId="721EA0A2">
            <w:pPr>
              <w:pStyle w:val="12"/>
              <w:keepNext w:val="0"/>
              <w:keepLines w:val="0"/>
              <w:widowControl/>
              <w:suppressLineNumbers w:val="0"/>
              <w:spacing w:before="0" w:beforeAutospacing="0" w:after="0" w:afterAutospacing="0" w:line="240" w:lineRule="atLeast"/>
              <w:ind w:left="269" w:leftChars="128"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668" w:type="pct"/>
            <w:gridSpan w:val="2"/>
            <w:noWrap w:val="0"/>
            <w:vAlign w:val="center"/>
          </w:tcPr>
          <w:p w14:paraId="2C49FDC6">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标的</w:t>
            </w:r>
            <w:r>
              <w:rPr>
                <w:rFonts w:hint="eastAsia" w:ascii="黑体" w:hAnsi="黑体" w:eastAsia="黑体" w:cs="黑体"/>
                <w:color w:val="auto"/>
                <w:sz w:val="24"/>
                <w:highlight w:val="none"/>
              </w:rPr>
              <w:t>名称</w:t>
            </w:r>
          </w:p>
        </w:tc>
        <w:tc>
          <w:tcPr>
            <w:tcW w:w="993" w:type="pct"/>
            <w:noWrap w:val="0"/>
            <w:vAlign w:val="center"/>
          </w:tcPr>
          <w:p w14:paraId="0EF5D326">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所属行业</w:t>
            </w:r>
          </w:p>
        </w:tc>
        <w:tc>
          <w:tcPr>
            <w:tcW w:w="993" w:type="pct"/>
            <w:noWrap w:val="0"/>
            <w:vAlign w:val="center"/>
          </w:tcPr>
          <w:p w14:paraId="6E7C63C6">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报价</w:t>
            </w:r>
          </w:p>
        </w:tc>
        <w:tc>
          <w:tcPr>
            <w:tcW w:w="766" w:type="pct"/>
            <w:noWrap w:val="0"/>
            <w:vAlign w:val="center"/>
          </w:tcPr>
          <w:p w14:paraId="7CFB8C31">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备注</w:t>
            </w:r>
          </w:p>
        </w:tc>
      </w:tr>
      <w:tr w14:paraId="4004D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0" w:hRule="atLeast"/>
        </w:trPr>
        <w:tc>
          <w:tcPr>
            <w:tcW w:w="577" w:type="pct"/>
            <w:noWrap w:val="0"/>
            <w:vAlign w:val="center"/>
          </w:tcPr>
          <w:p w14:paraId="3146A66B">
            <w:pPr>
              <w:pStyle w:val="12"/>
              <w:keepNext w:val="0"/>
              <w:keepLines w:val="0"/>
              <w:widowControl/>
              <w:suppressLineNumbers w:val="0"/>
              <w:spacing w:before="0" w:beforeAutospacing="0" w:after="0" w:afterAutospacing="0" w:line="240" w:lineRule="atLeast"/>
              <w:ind w:left="269" w:leftChars="128"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1.</w:t>
            </w:r>
          </w:p>
        </w:tc>
        <w:tc>
          <w:tcPr>
            <w:tcW w:w="1668" w:type="pct"/>
            <w:gridSpan w:val="2"/>
            <w:noWrap w:val="0"/>
            <w:vAlign w:val="center"/>
          </w:tcPr>
          <w:p w14:paraId="01EBE7C2">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p>
        </w:tc>
        <w:tc>
          <w:tcPr>
            <w:tcW w:w="993" w:type="pct"/>
            <w:noWrap w:val="0"/>
            <w:vAlign w:val="center"/>
          </w:tcPr>
          <w:p w14:paraId="6FD69F99">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993" w:type="pct"/>
            <w:noWrap w:val="0"/>
            <w:vAlign w:val="center"/>
          </w:tcPr>
          <w:p w14:paraId="0CBE699F">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766" w:type="pct"/>
            <w:noWrap w:val="0"/>
            <w:vAlign w:val="center"/>
          </w:tcPr>
          <w:p w14:paraId="33E7F005">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r>
      <w:tr w14:paraId="47F44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0" w:hRule="atLeast"/>
        </w:trPr>
        <w:tc>
          <w:tcPr>
            <w:tcW w:w="577" w:type="pct"/>
            <w:noWrap w:val="0"/>
            <w:vAlign w:val="center"/>
          </w:tcPr>
          <w:p w14:paraId="76D80F1F">
            <w:pPr>
              <w:pStyle w:val="12"/>
              <w:keepNext w:val="0"/>
              <w:keepLines w:val="0"/>
              <w:widowControl/>
              <w:suppressLineNumbers w:val="0"/>
              <w:spacing w:before="0" w:beforeAutospacing="0" w:after="0" w:afterAutospacing="0" w:line="240" w:lineRule="atLeast"/>
              <w:ind w:left="269" w:leftChars="128"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w:t>
            </w:r>
          </w:p>
        </w:tc>
        <w:tc>
          <w:tcPr>
            <w:tcW w:w="1668" w:type="pct"/>
            <w:gridSpan w:val="2"/>
            <w:noWrap w:val="0"/>
            <w:vAlign w:val="center"/>
          </w:tcPr>
          <w:p w14:paraId="09252060">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p>
        </w:tc>
        <w:tc>
          <w:tcPr>
            <w:tcW w:w="993" w:type="pct"/>
            <w:noWrap w:val="0"/>
            <w:vAlign w:val="center"/>
          </w:tcPr>
          <w:p w14:paraId="720A95B2">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993" w:type="pct"/>
            <w:noWrap w:val="0"/>
            <w:vAlign w:val="center"/>
          </w:tcPr>
          <w:p w14:paraId="05A1AF6D">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766" w:type="pct"/>
            <w:noWrap w:val="0"/>
            <w:vAlign w:val="center"/>
          </w:tcPr>
          <w:p w14:paraId="6E2B611A">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r>
      <w:tr w14:paraId="7FF00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0" w:hRule="atLeast"/>
        </w:trPr>
        <w:tc>
          <w:tcPr>
            <w:tcW w:w="577" w:type="pct"/>
            <w:noWrap w:val="0"/>
            <w:vAlign w:val="center"/>
          </w:tcPr>
          <w:p w14:paraId="74CB3194">
            <w:pPr>
              <w:pStyle w:val="12"/>
              <w:keepNext w:val="0"/>
              <w:keepLines w:val="0"/>
              <w:widowControl/>
              <w:suppressLineNumbers w:val="0"/>
              <w:spacing w:before="0" w:beforeAutospacing="0" w:after="0" w:afterAutospacing="0" w:line="240" w:lineRule="atLeast"/>
              <w:ind w:left="269" w:leftChars="128"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3.</w:t>
            </w:r>
          </w:p>
        </w:tc>
        <w:tc>
          <w:tcPr>
            <w:tcW w:w="1668" w:type="pct"/>
            <w:gridSpan w:val="2"/>
            <w:noWrap w:val="0"/>
            <w:vAlign w:val="center"/>
          </w:tcPr>
          <w:p w14:paraId="77E92F3A">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p>
        </w:tc>
        <w:tc>
          <w:tcPr>
            <w:tcW w:w="993" w:type="pct"/>
            <w:noWrap w:val="0"/>
            <w:vAlign w:val="center"/>
          </w:tcPr>
          <w:p w14:paraId="5EE70702">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993" w:type="pct"/>
            <w:noWrap w:val="0"/>
            <w:vAlign w:val="center"/>
          </w:tcPr>
          <w:p w14:paraId="493B6809">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766" w:type="pct"/>
            <w:noWrap w:val="0"/>
            <w:vAlign w:val="center"/>
          </w:tcPr>
          <w:p w14:paraId="4D491B5D">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r>
      <w:tr w14:paraId="7F975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0" w:hRule="atLeast"/>
        </w:trPr>
        <w:tc>
          <w:tcPr>
            <w:tcW w:w="577" w:type="pct"/>
            <w:noWrap w:val="0"/>
            <w:vAlign w:val="center"/>
          </w:tcPr>
          <w:p w14:paraId="011F5E84">
            <w:pPr>
              <w:pStyle w:val="12"/>
              <w:keepNext w:val="0"/>
              <w:keepLines w:val="0"/>
              <w:widowControl/>
              <w:suppressLineNumbers w:val="0"/>
              <w:spacing w:before="0" w:beforeAutospacing="0" w:after="0" w:afterAutospacing="0" w:line="240" w:lineRule="atLeast"/>
              <w:ind w:left="269" w:leftChars="128" w:right="0"/>
              <w:jc w:val="center"/>
              <w:rPr>
                <w:rFonts w:hint="default" w:ascii="黑体" w:hAnsi="黑体" w:eastAsia="黑体" w:cs="黑体"/>
                <w:color w:val="auto"/>
                <w:sz w:val="24"/>
                <w:highlight w:val="none"/>
                <w:lang w:val="en-US" w:eastAsia="zh-CN"/>
              </w:rPr>
            </w:pPr>
            <w:r>
              <w:rPr>
                <w:rFonts w:hint="eastAsia" w:ascii="黑体" w:hAnsi="黑体" w:eastAsia="黑体" w:cs="黑体"/>
                <w:b/>
                <w:bCs/>
                <w:color w:val="auto"/>
                <w:sz w:val="24"/>
                <w:highlight w:val="none"/>
                <w:lang w:val="en-US" w:eastAsia="zh-CN"/>
              </w:rPr>
              <w:t>......</w:t>
            </w:r>
          </w:p>
        </w:tc>
        <w:tc>
          <w:tcPr>
            <w:tcW w:w="1668" w:type="pct"/>
            <w:gridSpan w:val="2"/>
            <w:noWrap w:val="0"/>
            <w:vAlign w:val="center"/>
          </w:tcPr>
          <w:p w14:paraId="4988CA9B">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highlight w:val="none"/>
              </w:rPr>
            </w:pPr>
          </w:p>
        </w:tc>
        <w:tc>
          <w:tcPr>
            <w:tcW w:w="993" w:type="pct"/>
            <w:noWrap w:val="0"/>
            <w:vAlign w:val="center"/>
          </w:tcPr>
          <w:p w14:paraId="58D27F0B">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993" w:type="pct"/>
            <w:noWrap w:val="0"/>
            <w:vAlign w:val="center"/>
          </w:tcPr>
          <w:p w14:paraId="6885917C">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c>
          <w:tcPr>
            <w:tcW w:w="766" w:type="pct"/>
            <w:noWrap w:val="0"/>
            <w:vAlign w:val="center"/>
          </w:tcPr>
          <w:p w14:paraId="1829CF9D">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highlight w:val="none"/>
              </w:rPr>
            </w:pPr>
          </w:p>
        </w:tc>
      </w:tr>
      <w:tr w14:paraId="082F7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7" w:hRule="atLeast"/>
        </w:trPr>
        <w:tc>
          <w:tcPr>
            <w:tcW w:w="993" w:type="pct"/>
            <w:gridSpan w:val="2"/>
            <w:noWrap w:val="0"/>
            <w:vAlign w:val="center"/>
          </w:tcPr>
          <w:p w14:paraId="65C124D1">
            <w:pPr>
              <w:pStyle w:val="12"/>
              <w:keepNext w:val="0"/>
              <w:keepLines w:val="0"/>
              <w:widowControl/>
              <w:suppressLineNumbers w:val="0"/>
              <w:spacing w:before="0" w:beforeAutospacing="0" w:after="0" w:afterAutospacing="0" w:line="240" w:lineRule="atLeast"/>
              <w:ind w:left="1080" w:leftChars="257" w:right="0" w:hanging="540"/>
              <w:jc w:val="left"/>
              <w:rPr>
                <w:rFonts w:hint="eastAsia" w:ascii="黑体" w:hAnsi="黑体" w:eastAsia="黑体" w:cs="黑体"/>
                <w:color w:val="auto"/>
                <w:sz w:val="24"/>
                <w:highlight w:val="none"/>
              </w:rPr>
            </w:pPr>
          </w:p>
        </w:tc>
        <w:tc>
          <w:tcPr>
            <w:tcW w:w="4006" w:type="pct"/>
            <w:gridSpan w:val="4"/>
            <w:noWrap w:val="0"/>
            <w:vAlign w:val="center"/>
          </w:tcPr>
          <w:p w14:paraId="19DBA725">
            <w:pPr>
              <w:pStyle w:val="12"/>
              <w:keepNext w:val="0"/>
              <w:keepLines w:val="0"/>
              <w:widowControl/>
              <w:suppressLineNumbers w:val="0"/>
              <w:spacing w:before="0" w:beforeAutospacing="0" w:after="0" w:afterAutospacing="0" w:line="240" w:lineRule="atLeast"/>
              <w:ind w:left="1080" w:leftChars="257" w:right="0" w:hanging="540"/>
              <w:jc w:val="left"/>
              <w:rPr>
                <w:rFonts w:hint="eastAsia" w:ascii="黑体" w:hAnsi="黑体" w:eastAsia="黑体" w:cs="黑体"/>
                <w:color w:val="auto"/>
                <w:sz w:val="24"/>
                <w:highlight w:val="none"/>
              </w:rPr>
            </w:pPr>
            <w:r>
              <w:rPr>
                <w:rFonts w:hint="eastAsia" w:ascii="黑体" w:hAnsi="黑体" w:eastAsia="黑体" w:cs="黑体"/>
                <w:color w:val="auto"/>
                <w:sz w:val="24"/>
                <w:highlight w:val="none"/>
              </w:rPr>
              <w:t>总价：</w:t>
            </w:r>
          </w:p>
        </w:tc>
      </w:tr>
    </w:tbl>
    <w:p w14:paraId="7955596F">
      <w:pPr>
        <w:pStyle w:val="12"/>
        <w:spacing w:line="240" w:lineRule="atLeast"/>
        <w:ind w:left="1080" w:leftChars="257" w:hanging="540"/>
        <w:rPr>
          <w:rFonts w:hint="eastAsia" w:ascii="黑体" w:hAnsi="黑体" w:eastAsia="黑体" w:cs="黑体"/>
          <w:color w:val="auto"/>
          <w:sz w:val="24"/>
          <w:szCs w:val="24"/>
          <w:highlight w:val="none"/>
        </w:rPr>
      </w:pPr>
    </w:p>
    <w:p w14:paraId="48F09FAE">
      <w:pPr>
        <w:pStyle w:val="12"/>
        <w:tabs>
          <w:tab w:val="left" w:pos="5370"/>
        </w:tabs>
        <w:spacing w:line="360" w:lineRule="auto"/>
        <w:ind w:left="-197" w:leftChars="-94" w:firstLine="417" w:firstLineChars="17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盖单位</w:t>
      </w:r>
      <w:r>
        <w:rPr>
          <w:rFonts w:hint="eastAsia" w:ascii="黑体" w:hAnsi="黑体" w:eastAsia="黑体" w:cs="黑体"/>
          <w:color w:val="auto"/>
          <w:sz w:val="24"/>
          <w:szCs w:val="24"/>
          <w:highlight w:val="none"/>
          <w:lang w:val="en-US"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ab/>
      </w:r>
    </w:p>
    <w:p w14:paraId="32F86D06">
      <w:pPr>
        <w:pStyle w:val="12"/>
        <w:spacing w:line="360" w:lineRule="auto"/>
        <w:ind w:left="-197" w:leftChars="-94" w:firstLine="417" w:firstLineChars="17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法定代表人或其委托代理人签字（或盖章）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p>
    <w:p w14:paraId="0345D913">
      <w:pPr>
        <w:pStyle w:val="12"/>
        <w:spacing w:line="360" w:lineRule="auto"/>
        <w:ind w:left="-197" w:leftChars="-94" w:firstLine="417" w:firstLineChars="17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1.如果按单价计算的结果与总价不一致</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以单价为准修正总价。</w:t>
      </w:r>
    </w:p>
    <w:p w14:paraId="5135C2CF">
      <w:pPr>
        <w:pStyle w:val="12"/>
        <w:spacing w:line="360" w:lineRule="auto"/>
        <w:ind w:left="-197" w:leftChars="-94" w:firstLine="417" w:firstLineChars="17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2</w:t>
      </w:r>
      <w:r>
        <w:rPr>
          <w:rFonts w:hint="eastAsia" w:ascii="黑体" w:hAnsi="黑体" w:eastAsia="黑体" w:cs="黑体"/>
          <w:color w:val="auto"/>
          <w:sz w:val="24"/>
          <w:szCs w:val="24"/>
          <w:highlight w:val="none"/>
        </w:rPr>
        <w:t>.如果不提供详细分项报价将视为没有实质性响应</w:t>
      </w:r>
      <w:r>
        <w:rPr>
          <w:rFonts w:hint="eastAsia" w:ascii="黑体" w:hAnsi="黑体" w:eastAsia="黑体" w:cs="黑体"/>
          <w:color w:val="auto"/>
          <w:sz w:val="24"/>
          <w:szCs w:val="24"/>
          <w:highlight w:val="none"/>
          <w:lang w:val="en-US" w:eastAsia="zh-CN"/>
        </w:rPr>
        <w:t>招标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w:t>
      </w:r>
    </w:p>
    <w:p w14:paraId="411BD7F9">
      <w:pPr>
        <w:pStyle w:val="12"/>
        <w:spacing w:line="360" w:lineRule="auto"/>
        <w:ind w:left="-197" w:leftChars="-94" w:firstLine="417" w:firstLineChars="17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3</w:t>
      </w:r>
      <w:r>
        <w:rPr>
          <w:rFonts w:hint="eastAsia" w:ascii="黑体" w:hAnsi="黑体" w:eastAsia="黑体" w:cs="黑体"/>
          <w:color w:val="auto"/>
          <w:sz w:val="24"/>
          <w:szCs w:val="24"/>
          <w:highlight w:val="none"/>
        </w:rPr>
        <w:t>.上述各项的详细分项报价，应另页描述。</w:t>
      </w:r>
    </w:p>
    <w:p w14:paraId="346535AE">
      <w:pPr>
        <w:keepNext w:val="0"/>
        <w:keepLines w:val="0"/>
        <w:pageBreakBefore w:val="0"/>
        <w:widowControl/>
        <w:kinsoku/>
        <w:wordWrap w:val="0"/>
        <w:overflowPunct/>
        <w:topLinePunct w:val="0"/>
        <w:bidi w:val="0"/>
        <w:spacing w:line="360" w:lineRule="auto"/>
        <w:ind w:left="-197" w:leftChars="-94" w:right="0" w:firstLine="417" w:firstLineChars="174"/>
        <w:rPr>
          <w:rFonts w:hint="eastAsia" w:ascii="黑体" w:hAnsi="黑体" w:eastAsia="黑体" w:cs="黑体"/>
          <w:color w:val="auto"/>
          <w:sz w:val="23"/>
          <w:szCs w:val="23"/>
          <w:highlight w:val="none"/>
        </w:rPr>
        <w:sectPr>
          <w:footerReference r:id="rId12" w:type="default"/>
          <w:pgSz w:w="11906" w:h="16838"/>
          <w:pgMar w:top="400" w:right="810" w:bottom="1411" w:left="1704" w:header="0" w:footer="1236" w:gutter="0"/>
          <w:pgBorders>
            <w:top w:val="none" w:sz="0" w:space="0"/>
            <w:left w:val="none" w:sz="0" w:space="0"/>
            <w:bottom w:val="none" w:sz="0" w:space="0"/>
            <w:right w:val="none" w:sz="0" w:space="0"/>
          </w:pgBorders>
          <w:pgNumType w:fmt="decimal"/>
          <w:cols w:space="720" w:num="1"/>
        </w:sect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4</w:t>
      </w:r>
      <w:r>
        <w:rPr>
          <w:rFonts w:hint="eastAsia" w:ascii="黑体" w:hAnsi="黑体" w:eastAsia="黑体" w:cs="黑体"/>
          <w:color w:val="auto"/>
          <w:sz w:val="24"/>
          <w:szCs w:val="24"/>
          <w:highlight w:val="none"/>
        </w:rPr>
        <w:t>.如果开标一览表（报价表）内容与</w:t>
      </w: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中明细表内容不一致的，以开标一览表（报价表）内容为准</w:t>
      </w:r>
      <w:r>
        <w:rPr>
          <w:rFonts w:hint="eastAsia" w:ascii="黑体" w:hAnsi="黑体" w:eastAsia="黑体" w:cs="黑体"/>
          <w:color w:val="auto"/>
          <w:sz w:val="24"/>
          <w:szCs w:val="24"/>
          <w:highlight w:val="none"/>
          <w:lang w:eastAsia="zh-CN"/>
        </w:rPr>
        <w:t>。</w:t>
      </w:r>
    </w:p>
    <w:p w14:paraId="026DDF8C">
      <w:pPr>
        <w:pStyle w:val="4"/>
        <w:bidi w:val="0"/>
        <w:rPr>
          <w:rFonts w:hint="eastAsia"/>
          <w:color w:val="auto"/>
          <w:highlight w:val="none"/>
        </w:rPr>
      </w:pPr>
      <w:r>
        <w:rPr>
          <w:rFonts w:hint="eastAsia"/>
          <w:color w:val="auto"/>
          <w:highlight w:val="none"/>
        </w:rPr>
        <w:t>3</w:t>
      </w:r>
      <w:r>
        <w:rPr>
          <w:rFonts w:hint="eastAsia"/>
          <w:color w:val="auto"/>
          <w:highlight w:val="none"/>
          <w:lang w:eastAsia="zh-CN"/>
        </w:rPr>
        <w:t>、服务</w:t>
      </w:r>
      <w:r>
        <w:rPr>
          <w:rFonts w:hint="eastAsia"/>
          <w:color w:val="auto"/>
          <w:highlight w:val="none"/>
        </w:rPr>
        <w:t>说明一览表</w:t>
      </w:r>
    </w:p>
    <w:p w14:paraId="35643D4C">
      <w:pPr>
        <w:keepNext w:val="0"/>
        <w:keepLines w:val="0"/>
        <w:pageBreakBefore w:val="0"/>
        <w:widowControl/>
        <w:kinsoku/>
        <w:wordWrap w:val="0"/>
        <w:overflowPunct/>
        <w:topLinePunct w:val="0"/>
        <w:bidi w:val="0"/>
        <w:spacing w:line="228" w:lineRule="auto"/>
        <w:ind w:left="0" w:leftChars="0" w:right="0"/>
        <w:rPr>
          <w:rFonts w:hint="eastAsia" w:ascii="黑体" w:hAnsi="黑体" w:eastAsia="黑体" w:cs="黑体"/>
          <w:color w:val="auto"/>
          <w:sz w:val="23"/>
          <w:szCs w:val="23"/>
          <w:highlight w:val="none"/>
        </w:rPr>
      </w:pPr>
    </w:p>
    <w:p w14:paraId="35A2D3F1">
      <w:pPr>
        <w:keepNext w:val="0"/>
        <w:keepLines w:val="0"/>
        <w:pageBreakBefore w:val="0"/>
        <w:widowControl/>
        <w:kinsoku/>
        <w:wordWrap w:val="0"/>
        <w:overflowPunct/>
        <w:topLinePunct w:val="0"/>
        <w:bidi w:val="0"/>
        <w:spacing w:line="228" w:lineRule="auto"/>
        <w:ind w:left="0" w:leftChars="0" w:right="0"/>
        <w:rPr>
          <w:rFonts w:hint="eastAsia" w:ascii="黑体" w:hAnsi="黑体" w:eastAsia="黑体" w:cs="黑体"/>
          <w:color w:val="auto"/>
          <w:sz w:val="23"/>
          <w:szCs w:val="23"/>
          <w:highlight w:val="none"/>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项目</w:t>
      </w:r>
      <w:r>
        <w:rPr>
          <w:rFonts w:hint="eastAsia" w:ascii="黑体" w:hAnsi="黑体" w:eastAsia="黑体" w:cs="黑体"/>
          <w:color w:val="auto"/>
          <w:sz w:val="24"/>
          <w:szCs w:val="24"/>
          <w:highlight w:val="none"/>
        </w:rPr>
        <w:t>编号</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3"/>
          <w:szCs w:val="23"/>
          <w:highlight w:val="none"/>
        </w:rPr>
        <w:t xml:space="preserve">                          </w:t>
      </w:r>
    </w:p>
    <w:tbl>
      <w:tblPr>
        <w:tblStyle w:val="2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43"/>
        <w:gridCol w:w="1415"/>
        <w:gridCol w:w="1350"/>
        <w:gridCol w:w="973"/>
        <w:gridCol w:w="1481"/>
        <w:gridCol w:w="1614"/>
        <w:gridCol w:w="1481"/>
      </w:tblGrid>
      <w:tr w14:paraId="4AA6D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8" w:hRule="atLeast"/>
        </w:trPr>
        <w:tc>
          <w:tcPr>
            <w:tcW w:w="943" w:type="dxa"/>
            <w:noWrap w:val="0"/>
            <w:vAlign w:val="center"/>
          </w:tcPr>
          <w:p w14:paraId="75834D4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415" w:type="dxa"/>
            <w:noWrap w:val="0"/>
            <w:vAlign w:val="center"/>
          </w:tcPr>
          <w:p w14:paraId="2219910D">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服务项目</w:t>
            </w:r>
          </w:p>
        </w:tc>
        <w:tc>
          <w:tcPr>
            <w:tcW w:w="1350" w:type="dxa"/>
            <w:noWrap w:val="0"/>
            <w:vAlign w:val="center"/>
          </w:tcPr>
          <w:p w14:paraId="13DEDF66">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服务内容</w:t>
            </w:r>
          </w:p>
        </w:tc>
        <w:tc>
          <w:tcPr>
            <w:tcW w:w="973" w:type="dxa"/>
            <w:noWrap w:val="0"/>
            <w:vAlign w:val="center"/>
          </w:tcPr>
          <w:p w14:paraId="2EAB9D4D">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数量</w:t>
            </w:r>
          </w:p>
        </w:tc>
        <w:tc>
          <w:tcPr>
            <w:tcW w:w="1481" w:type="dxa"/>
            <w:noWrap w:val="0"/>
            <w:vAlign w:val="center"/>
          </w:tcPr>
          <w:p w14:paraId="11FF7072">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服务</w:t>
            </w:r>
            <w:r>
              <w:rPr>
                <w:rFonts w:hint="eastAsia" w:ascii="黑体" w:hAnsi="黑体" w:eastAsia="黑体" w:cs="黑体"/>
                <w:color w:val="auto"/>
                <w:sz w:val="24"/>
                <w:szCs w:val="24"/>
                <w:highlight w:val="none"/>
              </w:rPr>
              <w:t>期</w:t>
            </w:r>
            <w:r>
              <w:rPr>
                <w:rFonts w:hint="eastAsia" w:ascii="黑体" w:hAnsi="黑体" w:eastAsia="黑体" w:cs="黑体"/>
                <w:color w:val="auto"/>
                <w:sz w:val="24"/>
                <w:szCs w:val="24"/>
                <w:highlight w:val="none"/>
                <w:lang w:eastAsia="zh-CN"/>
              </w:rPr>
              <w:t>限</w:t>
            </w:r>
          </w:p>
        </w:tc>
        <w:tc>
          <w:tcPr>
            <w:tcW w:w="1614" w:type="dxa"/>
            <w:noWrap w:val="0"/>
            <w:vAlign w:val="center"/>
          </w:tcPr>
          <w:p w14:paraId="727A611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服务</w:t>
            </w:r>
            <w:r>
              <w:rPr>
                <w:rFonts w:hint="eastAsia" w:ascii="黑体" w:hAnsi="黑体" w:eastAsia="黑体" w:cs="黑体"/>
                <w:color w:val="auto"/>
                <w:sz w:val="24"/>
                <w:szCs w:val="24"/>
                <w:highlight w:val="none"/>
              </w:rPr>
              <w:t>地点</w:t>
            </w:r>
          </w:p>
        </w:tc>
        <w:tc>
          <w:tcPr>
            <w:tcW w:w="1481" w:type="dxa"/>
            <w:noWrap w:val="0"/>
            <w:vAlign w:val="center"/>
          </w:tcPr>
          <w:p w14:paraId="67D240C4">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其它</w:t>
            </w:r>
          </w:p>
        </w:tc>
      </w:tr>
      <w:tr w14:paraId="34DB5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9" w:hRule="atLeast"/>
        </w:trPr>
        <w:tc>
          <w:tcPr>
            <w:tcW w:w="943" w:type="dxa"/>
            <w:noWrap w:val="0"/>
            <w:vAlign w:val="top"/>
          </w:tcPr>
          <w:p w14:paraId="4149B30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625F3F0E">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7CAE8C4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011902D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4F53E2EF">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557150F4">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344349BF">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677CC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6" w:hRule="atLeast"/>
        </w:trPr>
        <w:tc>
          <w:tcPr>
            <w:tcW w:w="943" w:type="dxa"/>
            <w:noWrap w:val="0"/>
            <w:vAlign w:val="top"/>
          </w:tcPr>
          <w:p w14:paraId="66E38264">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28E6660D">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3F130259">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6342C6A5">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766F4E7C">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71D2D86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134574EE">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28677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trPr>
        <w:tc>
          <w:tcPr>
            <w:tcW w:w="943" w:type="dxa"/>
            <w:noWrap w:val="0"/>
            <w:vAlign w:val="top"/>
          </w:tcPr>
          <w:p w14:paraId="40231A97">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5DE4285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3F3EE78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57C5E59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2075E86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6B2FBAF9">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5EBC71BE">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3362B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2" w:hRule="atLeast"/>
        </w:trPr>
        <w:tc>
          <w:tcPr>
            <w:tcW w:w="943" w:type="dxa"/>
            <w:noWrap w:val="0"/>
            <w:vAlign w:val="top"/>
          </w:tcPr>
          <w:p w14:paraId="688D659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56E2D435">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2DC73B3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5771A1C2">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57D17D2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3A818E1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0511D1D5">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4E258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2" w:hRule="atLeast"/>
        </w:trPr>
        <w:tc>
          <w:tcPr>
            <w:tcW w:w="943" w:type="dxa"/>
            <w:noWrap w:val="0"/>
            <w:vAlign w:val="top"/>
          </w:tcPr>
          <w:p w14:paraId="604C996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59FB635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5289ACAE">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459FE8B9">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79C2CE81">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2C0D6491">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23384595">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07C26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3" w:hRule="atLeast"/>
        </w:trPr>
        <w:tc>
          <w:tcPr>
            <w:tcW w:w="943" w:type="dxa"/>
            <w:noWrap w:val="0"/>
            <w:vAlign w:val="top"/>
          </w:tcPr>
          <w:p w14:paraId="22222A99">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5CAA6B66">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47B9336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4FCC4470">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6DF3004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20F5E76F">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3D09594C">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r w14:paraId="05811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1" w:hRule="atLeast"/>
        </w:trPr>
        <w:tc>
          <w:tcPr>
            <w:tcW w:w="943" w:type="dxa"/>
            <w:noWrap w:val="0"/>
            <w:vAlign w:val="top"/>
          </w:tcPr>
          <w:p w14:paraId="56BE1E46">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15" w:type="dxa"/>
            <w:noWrap w:val="0"/>
            <w:vAlign w:val="top"/>
          </w:tcPr>
          <w:p w14:paraId="667B7679">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350" w:type="dxa"/>
            <w:noWrap w:val="0"/>
            <w:vAlign w:val="top"/>
          </w:tcPr>
          <w:p w14:paraId="577C877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973" w:type="dxa"/>
            <w:noWrap w:val="0"/>
            <w:vAlign w:val="top"/>
          </w:tcPr>
          <w:p w14:paraId="37BBC4BC">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78F0660B">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614" w:type="dxa"/>
            <w:noWrap w:val="0"/>
            <w:vAlign w:val="top"/>
          </w:tcPr>
          <w:p w14:paraId="686E1F51">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c>
          <w:tcPr>
            <w:tcW w:w="1481" w:type="dxa"/>
            <w:noWrap w:val="0"/>
            <w:vAlign w:val="top"/>
          </w:tcPr>
          <w:p w14:paraId="2CA11078">
            <w:pPr>
              <w:keepNext w:val="0"/>
              <w:keepLines w:val="0"/>
              <w:pageBreakBefore w:val="0"/>
              <w:widowControl/>
              <w:suppressLineNumbers w:val="0"/>
              <w:kinsoku/>
              <w:wordWrap w:val="0"/>
              <w:overflowPunct/>
              <w:topLinePunct w:val="0"/>
              <w:bidi w:val="0"/>
              <w:spacing w:before="0" w:beforeAutospacing="0" w:after="0" w:afterAutospacing="0" w:line="228" w:lineRule="auto"/>
              <w:ind w:left="0" w:leftChars="0" w:right="0"/>
              <w:rPr>
                <w:rFonts w:hint="eastAsia" w:ascii="黑体" w:hAnsi="黑体" w:eastAsia="黑体" w:cs="黑体"/>
                <w:color w:val="auto"/>
                <w:sz w:val="24"/>
                <w:szCs w:val="24"/>
                <w:highlight w:val="none"/>
              </w:rPr>
            </w:pPr>
          </w:p>
        </w:tc>
      </w:tr>
    </w:tbl>
    <w:p w14:paraId="2AE8EEB3">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盖单位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 xml:space="preserve">                 </w:t>
      </w:r>
    </w:p>
    <w:p w14:paraId="4859E49E">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法定代表人或其委托代理人签字（或盖章）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 xml:space="preserve">                 </w:t>
      </w:r>
    </w:p>
    <w:p w14:paraId="0AC527CC">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各项</w:t>
      </w:r>
      <w:r>
        <w:rPr>
          <w:rFonts w:hint="eastAsia" w:ascii="黑体" w:hAnsi="黑体" w:eastAsia="黑体" w:cs="黑体"/>
          <w:color w:val="auto"/>
          <w:sz w:val="24"/>
          <w:szCs w:val="24"/>
          <w:highlight w:val="none"/>
          <w:lang w:eastAsia="zh-CN"/>
        </w:rPr>
        <w:t>服务措施</w:t>
      </w:r>
      <w:r>
        <w:rPr>
          <w:rFonts w:hint="eastAsia" w:ascii="黑体" w:hAnsi="黑体" w:eastAsia="黑体" w:cs="黑体"/>
          <w:color w:val="auto"/>
          <w:sz w:val="24"/>
          <w:szCs w:val="24"/>
          <w:highlight w:val="none"/>
        </w:rPr>
        <w:t>应另页描述。</w:t>
      </w:r>
    </w:p>
    <w:p w14:paraId="444F5D60">
      <w:pPr>
        <w:keepNext w:val="0"/>
        <w:keepLines w:val="0"/>
        <w:pageBreakBefore w:val="0"/>
        <w:widowControl/>
        <w:kinsoku/>
        <w:wordWrap w:val="0"/>
        <w:overflowPunct/>
        <w:topLinePunct w:val="0"/>
        <w:bidi w:val="0"/>
        <w:spacing w:line="228" w:lineRule="auto"/>
        <w:ind w:left="0" w:leftChars="0" w:right="0"/>
        <w:rPr>
          <w:rFonts w:hint="eastAsia" w:ascii="黑体" w:hAnsi="黑体" w:eastAsia="黑体" w:cs="黑体"/>
          <w:color w:val="auto"/>
          <w:sz w:val="23"/>
          <w:szCs w:val="23"/>
          <w:highlight w:val="none"/>
        </w:rPr>
        <w:sectPr>
          <w:footerReference r:id="rId13" w:type="default"/>
          <w:pgSz w:w="11906" w:h="16838"/>
          <w:pgMar w:top="400" w:right="1010" w:bottom="1411" w:left="1689" w:header="0" w:footer="1236" w:gutter="0"/>
          <w:pgBorders>
            <w:top w:val="none" w:sz="0" w:space="0"/>
            <w:left w:val="none" w:sz="0" w:space="0"/>
            <w:bottom w:val="none" w:sz="0" w:space="0"/>
            <w:right w:val="none" w:sz="0" w:space="0"/>
          </w:pgBorders>
          <w:pgNumType w:fmt="decimal"/>
          <w:cols w:space="720" w:num="1"/>
        </w:sectPr>
      </w:pPr>
    </w:p>
    <w:p w14:paraId="262D243C">
      <w:pPr>
        <w:pStyle w:val="4"/>
        <w:spacing w:before="0" w:line="360" w:lineRule="auto"/>
        <w:jc w:val="center"/>
        <w:rPr>
          <w:rFonts w:hint="eastAsia" w:ascii="黑体" w:hAnsi="黑体" w:eastAsia="黑体" w:cs="黑体"/>
          <w:color w:val="auto"/>
          <w:sz w:val="28"/>
          <w:szCs w:val="28"/>
          <w:highlight w:val="none"/>
        </w:rPr>
      </w:pPr>
      <w:bookmarkStart w:id="205" w:name="_Toc28374"/>
      <w:bookmarkStart w:id="206" w:name="_Toc12762"/>
      <w:bookmarkStart w:id="207" w:name="_Toc10654"/>
      <w:bookmarkStart w:id="208" w:name="_Toc23"/>
      <w:bookmarkStart w:id="209" w:name="_Toc3714"/>
      <w:bookmarkStart w:id="210" w:name="_Toc15348"/>
      <w:bookmarkStart w:id="211" w:name="_Toc7922"/>
      <w:bookmarkStart w:id="212" w:name="_Toc1980"/>
      <w:bookmarkStart w:id="213" w:name="_Toc20937"/>
      <w:bookmarkStart w:id="214" w:name="_Toc30095"/>
      <w:bookmarkStart w:id="215" w:name="_Toc30424"/>
      <w:bookmarkStart w:id="216" w:name="_Toc216582818"/>
      <w:bookmarkStart w:id="217" w:name="_Toc515647821"/>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rPr>
        <w:t>商务条款偏离表</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0B529CEE">
      <w:pPr>
        <w:pStyle w:val="1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项目</w:t>
      </w:r>
      <w:r>
        <w:rPr>
          <w:rFonts w:hint="eastAsia" w:ascii="黑体" w:hAnsi="黑体" w:eastAsia="黑体" w:cs="黑体"/>
          <w:color w:val="auto"/>
          <w:sz w:val="24"/>
          <w:szCs w:val="24"/>
          <w:highlight w:val="none"/>
        </w:rPr>
        <w:t>编号</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p>
    <w:tbl>
      <w:tblPr>
        <w:tblStyle w:val="2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22"/>
        <w:gridCol w:w="2581"/>
        <w:gridCol w:w="2637"/>
        <w:gridCol w:w="1759"/>
      </w:tblGrid>
      <w:tr w14:paraId="1B3E8731">
        <w:tblPrEx>
          <w:tblCellMar>
            <w:top w:w="0" w:type="dxa"/>
            <w:left w:w="108" w:type="dxa"/>
            <w:bottom w:w="0" w:type="dxa"/>
            <w:right w:w="108" w:type="dxa"/>
          </w:tblCellMar>
        </w:tblPrEx>
        <w:trPr>
          <w:trHeight w:val="821" w:hRule="atLeast"/>
          <w:jc w:val="center"/>
        </w:trPr>
        <w:tc>
          <w:tcPr>
            <w:tcW w:w="2022" w:type="dxa"/>
            <w:noWrap w:val="0"/>
            <w:vAlign w:val="center"/>
          </w:tcPr>
          <w:p w14:paraId="095B8DB7">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581" w:type="dxa"/>
            <w:noWrap w:val="0"/>
            <w:vAlign w:val="center"/>
          </w:tcPr>
          <w:p w14:paraId="1764F38B">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招标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的</w:t>
            </w:r>
          </w:p>
          <w:p w14:paraId="574A98AF">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商务条款</w:t>
            </w:r>
            <w:r>
              <w:rPr>
                <w:rFonts w:hint="eastAsia" w:ascii="黑体" w:hAnsi="黑体" w:eastAsia="黑体" w:cs="黑体"/>
                <w:color w:val="auto"/>
                <w:sz w:val="24"/>
                <w:szCs w:val="24"/>
                <w:highlight w:val="none"/>
                <w:lang w:eastAsia="zh-CN"/>
              </w:rPr>
              <w:t>内容</w:t>
            </w:r>
          </w:p>
        </w:tc>
        <w:tc>
          <w:tcPr>
            <w:tcW w:w="2637" w:type="dxa"/>
            <w:noWrap w:val="0"/>
            <w:vAlign w:val="center"/>
          </w:tcPr>
          <w:p w14:paraId="4663C670">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lang w:eastAsia="zh-CN"/>
              </w:rPr>
              <w:t>文件</w:t>
            </w:r>
            <w:r>
              <w:rPr>
                <w:rFonts w:hint="eastAsia" w:ascii="黑体" w:hAnsi="黑体" w:eastAsia="黑体" w:cs="黑体"/>
                <w:color w:val="auto"/>
                <w:sz w:val="24"/>
                <w:szCs w:val="24"/>
                <w:highlight w:val="none"/>
              </w:rPr>
              <w:t>的</w:t>
            </w:r>
          </w:p>
          <w:p w14:paraId="18FB18F1">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商务条款</w:t>
            </w:r>
            <w:r>
              <w:rPr>
                <w:rFonts w:hint="eastAsia" w:ascii="黑体" w:hAnsi="黑体" w:eastAsia="黑体" w:cs="黑体"/>
                <w:color w:val="auto"/>
                <w:sz w:val="24"/>
                <w:szCs w:val="24"/>
                <w:highlight w:val="none"/>
                <w:lang w:eastAsia="zh-CN"/>
              </w:rPr>
              <w:t>内容</w:t>
            </w:r>
          </w:p>
        </w:tc>
        <w:tc>
          <w:tcPr>
            <w:tcW w:w="1759" w:type="dxa"/>
            <w:noWrap w:val="0"/>
            <w:vAlign w:val="center"/>
          </w:tcPr>
          <w:p w14:paraId="780ECE50">
            <w:pPr>
              <w:pStyle w:val="12"/>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w:t>
            </w:r>
          </w:p>
        </w:tc>
      </w:tr>
      <w:tr w14:paraId="411C9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5ED4171F">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42003454">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c>
          <w:tcPr>
            <w:tcW w:w="2637" w:type="dxa"/>
            <w:noWrap w:val="0"/>
            <w:vAlign w:val="top"/>
          </w:tcPr>
          <w:p w14:paraId="6FFAA21E">
            <w:pPr>
              <w:pStyle w:val="12"/>
              <w:keepNext w:val="0"/>
              <w:keepLines w:val="0"/>
              <w:widowControl/>
              <w:suppressLineNumbers w:val="0"/>
              <w:spacing w:before="0" w:beforeAutospacing="0" w:after="0" w:afterAutospacing="0" w:line="240" w:lineRule="atLeast"/>
              <w:ind w:left="1080" w:leftChars="257" w:right="0" w:hanging="540"/>
              <w:jc w:val="center"/>
              <w:rPr>
                <w:rFonts w:hint="eastAsia" w:ascii="黑体" w:hAnsi="黑体" w:eastAsia="黑体" w:cs="黑体"/>
                <w:color w:val="auto"/>
                <w:sz w:val="24"/>
                <w:szCs w:val="24"/>
                <w:highlight w:val="none"/>
              </w:rPr>
            </w:pPr>
          </w:p>
        </w:tc>
        <w:tc>
          <w:tcPr>
            <w:tcW w:w="1759" w:type="dxa"/>
            <w:noWrap w:val="0"/>
            <w:vAlign w:val="top"/>
          </w:tcPr>
          <w:p w14:paraId="2E3859D8">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159E8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0821779D">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7DD68CB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6D134A3B">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3AC7DA7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34D7F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72D4ECF6">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5EDCAFBC">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01251AC2">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64FCC2B6">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01FF4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32FE0DE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64057330">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41BB268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57DA364D">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145B8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3DCB61BB">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79EE32B3">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A0C7B31">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36ADBA7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441A1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0C4D47F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49D0153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3614B3C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41B67E3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74914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0FDF789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4BC5975C">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797F22F">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16651C88">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4780A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1D1672E2">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17BEEBE3">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69CFE19F">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16512DF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1127C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127CD6D1">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4388DF5B">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4AC0C44">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1CF1B84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49C69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3592BD2F">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1A4FE3C2">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75DB649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7A002A2D">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17739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047B40B1">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0C5EDC04">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C4BD116">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0AAACD9D">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25331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06F16D4A">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59D1CD0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6CD6D51C">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03945DC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7031A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3FAFB52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04DE6E6E">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377D031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72C3CC8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55F69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66B97ED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31856DC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97C802F">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7DAF197B">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5C40A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26D2899A">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652BCE3B">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186298EC">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60913B4A">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4444A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2022" w:type="dxa"/>
            <w:noWrap w:val="0"/>
            <w:vAlign w:val="top"/>
          </w:tcPr>
          <w:p w14:paraId="1FD321F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6003494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52D4B0A6">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222D5A37">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r w14:paraId="0AFED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7" w:hRule="atLeast"/>
          <w:jc w:val="center"/>
        </w:trPr>
        <w:tc>
          <w:tcPr>
            <w:tcW w:w="2022" w:type="dxa"/>
            <w:noWrap w:val="0"/>
            <w:vAlign w:val="top"/>
          </w:tcPr>
          <w:p w14:paraId="212772A9">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581" w:type="dxa"/>
            <w:noWrap w:val="0"/>
            <w:vAlign w:val="top"/>
          </w:tcPr>
          <w:p w14:paraId="6C42E5BD">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2637" w:type="dxa"/>
            <w:noWrap w:val="0"/>
            <w:vAlign w:val="top"/>
          </w:tcPr>
          <w:p w14:paraId="42F7E493">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c>
          <w:tcPr>
            <w:tcW w:w="1759" w:type="dxa"/>
            <w:noWrap w:val="0"/>
            <w:vAlign w:val="top"/>
          </w:tcPr>
          <w:p w14:paraId="0D7CB9C5">
            <w:pPr>
              <w:pStyle w:val="12"/>
              <w:keepNext w:val="0"/>
              <w:keepLines w:val="0"/>
              <w:widowControl/>
              <w:suppressLineNumbers w:val="0"/>
              <w:spacing w:before="0" w:beforeAutospacing="0" w:after="0" w:afterAutospacing="0" w:line="240" w:lineRule="atLeast"/>
              <w:ind w:left="1080" w:leftChars="257" w:right="0" w:hanging="540"/>
              <w:rPr>
                <w:rFonts w:hint="eastAsia" w:ascii="黑体" w:hAnsi="黑体" w:eastAsia="黑体" w:cs="黑体"/>
                <w:color w:val="auto"/>
                <w:sz w:val="24"/>
                <w:szCs w:val="24"/>
                <w:highlight w:val="none"/>
              </w:rPr>
            </w:pPr>
          </w:p>
        </w:tc>
      </w:tr>
    </w:tbl>
    <w:p w14:paraId="7E2C8AA3">
      <w:pPr>
        <w:pStyle w:val="12"/>
        <w:spacing w:line="360" w:lineRule="auto"/>
        <w:ind w:left="-199" w:leftChars="-95" w:firstLine="0" w:firstLineChars="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rPr>
        <w:t>投标人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盖单位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none"/>
        </w:rPr>
        <w:tab/>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p>
    <w:p w14:paraId="7E1B6A73">
      <w:pPr>
        <w:pStyle w:val="12"/>
        <w:spacing w:line="360" w:lineRule="auto"/>
        <w:ind w:left="-199" w:leftChars="-95"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法定代表人或其委托代理人签字（或盖章）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p>
    <w:p w14:paraId="11405B89">
      <w:pPr>
        <w:pStyle w:val="4"/>
        <w:bidi w:val="0"/>
        <w:rPr>
          <w:rFonts w:hint="eastAsia"/>
          <w:color w:val="auto"/>
          <w:highlight w:val="none"/>
        </w:rPr>
      </w:pPr>
      <w:r>
        <w:rPr>
          <w:rFonts w:hint="eastAsia"/>
          <w:color w:val="auto"/>
          <w:highlight w:val="none"/>
          <w:lang w:val="en-US" w:eastAsia="zh-CN"/>
        </w:rPr>
        <w:t>5、</w:t>
      </w:r>
      <w:r>
        <w:rPr>
          <w:rFonts w:hint="eastAsia"/>
          <w:color w:val="auto"/>
          <w:highlight w:val="none"/>
          <w:lang w:eastAsia="zh-CN"/>
        </w:rPr>
        <w:t>技术</w:t>
      </w:r>
      <w:r>
        <w:rPr>
          <w:rFonts w:hint="eastAsia"/>
          <w:color w:val="auto"/>
          <w:highlight w:val="none"/>
        </w:rPr>
        <w:t>条款偏离表</w:t>
      </w:r>
    </w:p>
    <w:p w14:paraId="05A10C51">
      <w:pPr>
        <w:rPr>
          <w:rFonts w:hint="eastAsia" w:ascii="黑体" w:hAnsi="黑体" w:eastAsia="黑体" w:cs="黑体"/>
          <w:color w:val="auto"/>
          <w:sz w:val="24"/>
          <w:szCs w:val="24"/>
          <w:highlight w:val="none"/>
        </w:rPr>
      </w:pPr>
    </w:p>
    <w:p w14:paraId="24DF7B71">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项目</w:t>
      </w:r>
      <w:r>
        <w:rPr>
          <w:rFonts w:hint="eastAsia" w:ascii="黑体" w:hAnsi="黑体" w:eastAsia="黑体" w:cs="黑体"/>
          <w:color w:val="auto"/>
          <w:sz w:val="24"/>
          <w:szCs w:val="24"/>
          <w:highlight w:val="none"/>
        </w:rPr>
        <w:t>编号</w:t>
      </w:r>
      <w:r>
        <w:rPr>
          <w:rFonts w:hint="eastAsia" w:ascii="黑体" w:hAnsi="黑体" w:eastAsia="黑体" w:cs="黑体"/>
          <w:color w:val="auto"/>
          <w:sz w:val="24"/>
          <w:szCs w:val="24"/>
          <w:highlight w:val="none"/>
          <w:lang w:eastAsia="zh-CN"/>
        </w:rPr>
        <w:t>：</w:t>
      </w:r>
    </w:p>
    <w:tbl>
      <w:tblPr>
        <w:tblStyle w:val="25"/>
        <w:tblW w:w="876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3"/>
        <w:gridCol w:w="2908"/>
        <w:gridCol w:w="2046"/>
        <w:gridCol w:w="2305"/>
      </w:tblGrid>
      <w:tr w14:paraId="70E15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trPr>
        <w:tc>
          <w:tcPr>
            <w:tcW w:w="1503" w:type="dxa"/>
            <w:noWrap w:val="0"/>
            <w:vAlign w:val="center"/>
          </w:tcPr>
          <w:p w14:paraId="23AD43AA">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908" w:type="dxa"/>
            <w:noWrap w:val="0"/>
            <w:vAlign w:val="center"/>
          </w:tcPr>
          <w:p w14:paraId="3B9DE6DE">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招标</w:t>
            </w:r>
            <w:r>
              <w:rPr>
                <w:rFonts w:hint="eastAsia" w:ascii="黑体" w:hAnsi="黑体" w:eastAsia="黑体" w:cs="黑体"/>
                <w:color w:val="auto"/>
                <w:sz w:val="24"/>
                <w:szCs w:val="24"/>
                <w:highlight w:val="none"/>
              </w:rPr>
              <w:t>文件</w:t>
            </w:r>
          </w:p>
          <w:p w14:paraId="4D0DC09C">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技术条款</w:t>
            </w:r>
          </w:p>
        </w:tc>
        <w:tc>
          <w:tcPr>
            <w:tcW w:w="2046" w:type="dxa"/>
            <w:noWrap w:val="0"/>
            <w:vAlign w:val="center"/>
          </w:tcPr>
          <w:p w14:paraId="4B765187">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投标</w:t>
            </w:r>
            <w:r>
              <w:rPr>
                <w:rFonts w:hint="eastAsia" w:ascii="黑体" w:hAnsi="黑体" w:eastAsia="黑体" w:cs="黑体"/>
                <w:color w:val="auto"/>
                <w:sz w:val="24"/>
                <w:szCs w:val="24"/>
                <w:highlight w:val="none"/>
              </w:rPr>
              <w:t>文件</w:t>
            </w:r>
          </w:p>
          <w:p w14:paraId="0B37CA14">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技术条款</w:t>
            </w:r>
          </w:p>
        </w:tc>
        <w:tc>
          <w:tcPr>
            <w:tcW w:w="2305" w:type="dxa"/>
            <w:noWrap w:val="0"/>
            <w:vAlign w:val="center"/>
          </w:tcPr>
          <w:p w14:paraId="4A2267B2">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偏离说明</w:t>
            </w:r>
          </w:p>
        </w:tc>
      </w:tr>
      <w:tr w14:paraId="5B347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6ED90A12">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4C24E76E">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5EFBD221">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4F236FC5">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23C63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2EE01740">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69969B9B">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5D604AD2">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27B21600">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4C2AD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6148450A">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4CBC6E7B">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21F2669D">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22E79E1A">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173AA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2E785570">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037802B7">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5FCC7747">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4C3D60D4">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0B068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359B665F">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6FD0AA0C">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6C20396A">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4AB67AC8">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77CBA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1503" w:type="dxa"/>
            <w:noWrap w:val="0"/>
            <w:vAlign w:val="top"/>
          </w:tcPr>
          <w:p w14:paraId="4925C92F">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7D08E521">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2468555E">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4E51C188">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r w14:paraId="0C5D3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2" w:hRule="atLeast"/>
        </w:trPr>
        <w:tc>
          <w:tcPr>
            <w:tcW w:w="1503" w:type="dxa"/>
            <w:noWrap w:val="0"/>
            <w:vAlign w:val="top"/>
          </w:tcPr>
          <w:p w14:paraId="1A0370FC">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908" w:type="dxa"/>
            <w:noWrap w:val="0"/>
            <w:vAlign w:val="top"/>
          </w:tcPr>
          <w:p w14:paraId="514B888F">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046" w:type="dxa"/>
            <w:noWrap w:val="0"/>
            <w:vAlign w:val="top"/>
          </w:tcPr>
          <w:p w14:paraId="01F09503">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c>
          <w:tcPr>
            <w:tcW w:w="2305" w:type="dxa"/>
            <w:noWrap w:val="0"/>
            <w:vAlign w:val="top"/>
          </w:tcPr>
          <w:p w14:paraId="56EF42DE">
            <w:pPr>
              <w:keepNext w:val="0"/>
              <w:keepLines w:val="0"/>
              <w:widowControl w:val="0"/>
              <w:suppressLineNumbers w:val="0"/>
              <w:spacing w:before="0" w:beforeAutospacing="0" w:after="0" w:afterAutospacing="0"/>
              <w:ind w:left="0" w:right="0"/>
              <w:rPr>
                <w:rFonts w:hint="eastAsia" w:ascii="黑体" w:hAnsi="黑体" w:eastAsia="黑体" w:cs="黑体"/>
                <w:color w:val="auto"/>
                <w:sz w:val="24"/>
                <w:szCs w:val="24"/>
                <w:highlight w:val="none"/>
              </w:rPr>
            </w:pPr>
          </w:p>
        </w:tc>
      </w:tr>
    </w:tbl>
    <w:p w14:paraId="61B9545A">
      <w:pPr>
        <w:jc w:val="right"/>
        <w:rPr>
          <w:rFonts w:hint="eastAsia" w:ascii="黑体" w:hAnsi="黑体" w:eastAsia="黑体" w:cs="黑体"/>
          <w:color w:val="auto"/>
          <w:sz w:val="24"/>
          <w:szCs w:val="24"/>
          <w:highlight w:val="none"/>
        </w:rPr>
      </w:pPr>
    </w:p>
    <w:p w14:paraId="580248AB">
      <w:pPr>
        <w:pStyle w:val="12"/>
        <w:spacing w:line="360" w:lineRule="auto"/>
        <w:ind w:left="0" w:leftChars="0" w:firstLine="0" w:firstLineChars="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rPr>
        <w:t>投标人</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盖单位</w:t>
      </w:r>
      <w:r>
        <w:rPr>
          <w:rFonts w:hint="eastAsia" w:ascii="黑体" w:hAnsi="黑体" w:eastAsia="黑体" w:cs="黑体"/>
          <w:color w:val="auto"/>
          <w:sz w:val="24"/>
          <w:szCs w:val="24"/>
          <w:highlight w:val="none"/>
          <w:lang w:eastAsia="zh-CN"/>
        </w:rPr>
        <w:t>公</w:t>
      </w:r>
      <w:r>
        <w:rPr>
          <w:rFonts w:hint="eastAsia" w:ascii="黑体" w:hAnsi="黑体" w:eastAsia="黑体" w:cs="黑体"/>
          <w:color w:val="auto"/>
          <w:sz w:val="24"/>
          <w:szCs w:val="24"/>
          <w:highlight w:val="none"/>
        </w:rPr>
        <w:t>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none"/>
        </w:rPr>
        <w:tab/>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p>
    <w:p w14:paraId="25306C22">
      <w:pPr>
        <w:pStyle w:val="12"/>
        <w:spacing w:line="360" w:lineRule="auto"/>
        <w:ind w:left="0" w:leftChars="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法定代表人或其委托代理人签字（或盖章）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rPr>
        <w:t xml:space="preserve">                 </w:t>
      </w:r>
    </w:p>
    <w:p w14:paraId="0CD5F8B5">
      <w:pPr>
        <w:rPr>
          <w:rFonts w:hint="eastAsia" w:ascii="黑体" w:hAnsi="黑体" w:eastAsia="黑体" w:cs="黑体"/>
          <w:b/>
          <w:bCs/>
          <w:color w:val="auto"/>
          <w:spacing w:val="-4"/>
          <w:highlight w:val="none"/>
        </w:rPr>
      </w:pPr>
      <w:r>
        <w:rPr>
          <w:rFonts w:hint="eastAsia" w:ascii="黑体" w:hAnsi="黑体" w:eastAsia="黑体" w:cs="黑体"/>
          <w:b/>
          <w:bCs/>
          <w:color w:val="auto"/>
          <w:spacing w:val="-4"/>
          <w:highlight w:val="none"/>
        </w:rPr>
        <w:br w:type="page"/>
      </w:r>
    </w:p>
    <w:p w14:paraId="735896C2">
      <w:pPr>
        <w:pStyle w:val="4"/>
        <w:bidi w:val="0"/>
        <w:rPr>
          <w:rFonts w:hint="eastAsia"/>
          <w:color w:val="auto"/>
          <w:highlight w:val="none"/>
        </w:rPr>
      </w:pPr>
      <w:r>
        <w:rPr>
          <w:rFonts w:hint="eastAsia"/>
          <w:color w:val="auto"/>
          <w:highlight w:val="none"/>
        </w:rPr>
        <w:t>6</w:t>
      </w:r>
      <w:bookmarkStart w:id="218" w:name="_Toc515647824"/>
      <w:bookmarkStart w:id="219" w:name="_Toc6077"/>
      <w:bookmarkStart w:id="220" w:name="_Toc7797"/>
      <w:bookmarkStart w:id="221" w:name="_Toc13776"/>
      <w:bookmarkStart w:id="222" w:name="_Toc11803"/>
      <w:r>
        <w:rPr>
          <w:rFonts w:hint="eastAsia"/>
          <w:color w:val="auto"/>
          <w:highlight w:val="none"/>
          <w:lang w:eastAsia="zh-CN"/>
        </w:rPr>
        <w:t>、</w:t>
      </w:r>
      <w:r>
        <w:rPr>
          <w:rFonts w:hint="eastAsia"/>
          <w:color w:val="auto"/>
          <w:highlight w:val="none"/>
        </w:rPr>
        <w:t>中小企业声明函（</w:t>
      </w:r>
      <w:r>
        <w:rPr>
          <w:rFonts w:hint="eastAsia"/>
          <w:color w:val="auto"/>
          <w:highlight w:val="none"/>
          <w:lang w:eastAsia="zh-CN"/>
        </w:rPr>
        <w:t>服务）（</w:t>
      </w:r>
      <w:r>
        <w:rPr>
          <w:rFonts w:hint="eastAsia"/>
          <w:color w:val="auto"/>
          <w:highlight w:val="none"/>
          <w:lang w:val="en-US" w:eastAsia="zh-CN"/>
        </w:rPr>
        <w:t>如有</w:t>
      </w:r>
      <w:r>
        <w:rPr>
          <w:rFonts w:hint="eastAsia"/>
          <w:color w:val="auto"/>
          <w:highlight w:val="none"/>
          <w:lang w:eastAsia="zh-CN"/>
        </w:rPr>
        <w:t>）</w:t>
      </w:r>
    </w:p>
    <w:p w14:paraId="63F4628D">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本公司（</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rPr>
        <w:t>）郑重声明，根据《政府采购促进中小企业发展管理办法》（财库[2020]46号）的规定，本公司（</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rPr>
        <w:t>）参加（单位名称）的（项目名称）采购活动，</w:t>
      </w:r>
      <w:r>
        <w:rPr>
          <w:rFonts w:hint="eastAsia" w:ascii="黑体" w:hAnsi="黑体" w:eastAsia="黑体" w:cs="黑体"/>
          <w:i w:val="0"/>
          <w:iCs w:val="0"/>
          <w:caps w:val="0"/>
          <w:color w:val="auto"/>
          <w:spacing w:val="0"/>
          <w:sz w:val="24"/>
          <w:szCs w:val="24"/>
          <w:highlight w:val="none"/>
          <w:lang w:eastAsia="zh-CN"/>
        </w:rPr>
        <w:t>服务全部由符合政策的中小企业承接</w:t>
      </w:r>
      <w:r>
        <w:rPr>
          <w:rFonts w:hint="eastAsia" w:ascii="黑体" w:hAnsi="黑体" w:eastAsia="黑体" w:cs="黑体"/>
          <w:i w:val="0"/>
          <w:iCs w:val="0"/>
          <w:caps w:val="0"/>
          <w:color w:val="auto"/>
          <w:spacing w:val="0"/>
          <w:sz w:val="24"/>
          <w:szCs w:val="24"/>
          <w:highlight w:val="none"/>
        </w:rPr>
        <w:t>。相关企业的具体情况如下：</w:t>
      </w:r>
    </w:p>
    <w:p w14:paraId="2277CE97">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1.</w:t>
      </w:r>
      <w:r>
        <w:rPr>
          <w:rFonts w:hint="eastAsia" w:ascii="黑体" w:hAnsi="黑体" w:eastAsia="黑体" w:cs="黑体"/>
          <w:i w:val="0"/>
          <w:iCs w:val="0"/>
          <w:caps w:val="0"/>
          <w:color w:val="auto"/>
          <w:spacing w:val="0"/>
          <w:sz w:val="24"/>
          <w:szCs w:val="24"/>
          <w:highlight w:val="none"/>
          <w:u w:val="single"/>
        </w:rPr>
        <w:t>（标的名称），</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rPr>
        <w:t>（采购文件中明确的所属行业）</w:t>
      </w:r>
      <w:r>
        <w:rPr>
          <w:rFonts w:hint="eastAsia" w:ascii="黑体" w:hAnsi="黑体" w:eastAsia="黑体" w:cs="黑体"/>
          <w:i w:val="0"/>
          <w:iCs w:val="0"/>
          <w:caps w:val="0"/>
          <w:color w:val="auto"/>
          <w:spacing w:val="0"/>
          <w:sz w:val="24"/>
          <w:szCs w:val="24"/>
          <w:highlight w:val="none"/>
        </w:rPr>
        <w:t>；</w:t>
      </w:r>
      <w:r>
        <w:rPr>
          <w:rFonts w:hint="eastAsia" w:ascii="黑体" w:hAnsi="黑体" w:eastAsia="黑体" w:cs="黑体"/>
          <w:i w:val="0"/>
          <w:iCs w:val="0"/>
          <w:caps w:val="0"/>
          <w:color w:val="auto"/>
          <w:spacing w:val="0"/>
          <w:sz w:val="24"/>
          <w:szCs w:val="24"/>
          <w:highlight w:val="none"/>
          <w:lang w:eastAsia="zh-CN"/>
        </w:rPr>
        <w:t>承接企业（</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lang w:eastAsia="zh-CN"/>
        </w:rPr>
        <w:t>）为</w:t>
      </w:r>
      <w:r>
        <w:rPr>
          <w:rFonts w:hint="eastAsia" w:ascii="黑体" w:hAnsi="黑体" w:eastAsia="黑体" w:cs="黑体"/>
          <w:i w:val="0"/>
          <w:iCs w:val="0"/>
          <w:caps w:val="0"/>
          <w:color w:val="auto"/>
          <w:spacing w:val="0"/>
          <w:sz w:val="24"/>
          <w:szCs w:val="24"/>
          <w:highlight w:val="none"/>
          <w:u w:val="single"/>
        </w:rPr>
        <w:t>（名称）</w:t>
      </w:r>
      <w:r>
        <w:rPr>
          <w:rFonts w:hint="eastAsia" w:ascii="黑体" w:hAnsi="黑体" w:eastAsia="黑体" w:cs="黑体"/>
          <w:i w:val="0"/>
          <w:iCs w:val="0"/>
          <w:caps w:val="0"/>
          <w:color w:val="auto"/>
          <w:spacing w:val="0"/>
          <w:sz w:val="24"/>
          <w:szCs w:val="24"/>
          <w:highlight w:val="none"/>
        </w:rPr>
        <w:t>，从业人员</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人，营业收入为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，资产总额为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（中型企业、小型企业、微型企业）；</w:t>
      </w:r>
    </w:p>
    <w:p w14:paraId="68CE2193">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2.</w:t>
      </w:r>
      <w:r>
        <w:rPr>
          <w:rFonts w:hint="eastAsia" w:ascii="黑体" w:hAnsi="黑体" w:eastAsia="黑体" w:cs="黑体"/>
          <w:i w:val="0"/>
          <w:iCs w:val="0"/>
          <w:caps w:val="0"/>
          <w:color w:val="auto"/>
          <w:spacing w:val="0"/>
          <w:sz w:val="24"/>
          <w:szCs w:val="24"/>
          <w:highlight w:val="none"/>
          <w:u w:val="single"/>
        </w:rPr>
        <w:t xml:space="preserve"> （标的名称），</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rPr>
        <w:t>（采购文件中明确的所属行业）</w:t>
      </w:r>
      <w:r>
        <w:rPr>
          <w:rFonts w:hint="eastAsia" w:ascii="黑体" w:hAnsi="黑体" w:eastAsia="黑体" w:cs="黑体"/>
          <w:i w:val="0"/>
          <w:iCs w:val="0"/>
          <w:caps w:val="0"/>
          <w:color w:val="auto"/>
          <w:spacing w:val="0"/>
          <w:sz w:val="24"/>
          <w:szCs w:val="24"/>
          <w:highlight w:val="none"/>
        </w:rPr>
        <w:t>；</w:t>
      </w:r>
      <w:r>
        <w:rPr>
          <w:rFonts w:hint="eastAsia" w:ascii="黑体" w:hAnsi="黑体" w:eastAsia="黑体" w:cs="黑体"/>
          <w:i w:val="0"/>
          <w:iCs w:val="0"/>
          <w:caps w:val="0"/>
          <w:color w:val="auto"/>
          <w:spacing w:val="0"/>
          <w:sz w:val="24"/>
          <w:szCs w:val="24"/>
          <w:highlight w:val="none"/>
          <w:lang w:eastAsia="zh-CN"/>
        </w:rPr>
        <w:t>承接企业（</w:t>
      </w:r>
      <w:r>
        <w:rPr>
          <w:rFonts w:hint="eastAsia" w:ascii="黑体" w:hAnsi="黑体" w:eastAsia="黑体" w:cs="黑体"/>
          <w:i w:val="0"/>
          <w:iCs w:val="0"/>
          <w:caps w:val="0"/>
          <w:color w:val="auto"/>
          <w:spacing w:val="0"/>
          <w:sz w:val="24"/>
          <w:szCs w:val="24"/>
          <w:highlight w:val="none"/>
          <w:lang w:val="en-US" w:eastAsia="zh-CN"/>
        </w:rPr>
        <w:t>单位</w:t>
      </w:r>
      <w:r>
        <w:rPr>
          <w:rFonts w:hint="eastAsia" w:ascii="黑体" w:hAnsi="黑体" w:eastAsia="黑体" w:cs="黑体"/>
          <w:i w:val="0"/>
          <w:iCs w:val="0"/>
          <w:caps w:val="0"/>
          <w:color w:val="auto"/>
          <w:spacing w:val="0"/>
          <w:sz w:val="24"/>
          <w:szCs w:val="24"/>
          <w:highlight w:val="none"/>
          <w:lang w:eastAsia="zh-CN"/>
        </w:rPr>
        <w:t>）</w:t>
      </w:r>
      <w:r>
        <w:rPr>
          <w:rFonts w:hint="eastAsia" w:ascii="黑体" w:hAnsi="黑体" w:eastAsia="黑体" w:cs="黑体"/>
          <w:i w:val="0"/>
          <w:iCs w:val="0"/>
          <w:caps w:val="0"/>
          <w:color w:val="auto"/>
          <w:spacing w:val="0"/>
          <w:sz w:val="24"/>
          <w:szCs w:val="24"/>
          <w:highlight w:val="none"/>
          <w:lang w:val="en-US" w:eastAsia="zh-CN"/>
        </w:rPr>
        <w:t>为</w:t>
      </w:r>
      <w:r>
        <w:rPr>
          <w:rFonts w:hint="eastAsia" w:ascii="黑体" w:hAnsi="黑体" w:eastAsia="黑体" w:cs="黑体"/>
          <w:i w:val="0"/>
          <w:iCs w:val="0"/>
          <w:caps w:val="0"/>
          <w:color w:val="auto"/>
          <w:spacing w:val="0"/>
          <w:sz w:val="24"/>
          <w:szCs w:val="24"/>
          <w:highlight w:val="none"/>
          <w:u w:val="single"/>
        </w:rPr>
        <w:t>（名称）</w:t>
      </w:r>
      <w:r>
        <w:rPr>
          <w:rFonts w:hint="eastAsia" w:ascii="黑体" w:hAnsi="黑体" w:eastAsia="黑体" w:cs="黑体"/>
          <w:i w:val="0"/>
          <w:iCs w:val="0"/>
          <w:caps w:val="0"/>
          <w:color w:val="auto"/>
          <w:spacing w:val="0"/>
          <w:sz w:val="24"/>
          <w:szCs w:val="24"/>
          <w:highlight w:val="none"/>
        </w:rPr>
        <w:t>，从业人员</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人，营业收入为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，资产总额为</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b/>
          <w:bCs/>
          <w:i w:val="0"/>
          <w:iCs w:val="0"/>
          <w:caps w:val="0"/>
          <w:color w:val="auto"/>
          <w:spacing w:val="0"/>
          <w:sz w:val="24"/>
          <w:szCs w:val="24"/>
          <w:highlight w:val="none"/>
        </w:rPr>
        <w:t>万元</w:t>
      </w:r>
      <w:r>
        <w:rPr>
          <w:rFonts w:hint="eastAsia" w:ascii="黑体" w:hAnsi="黑体" w:eastAsia="黑体" w:cs="黑体"/>
          <w:i w:val="0"/>
          <w:iCs w:val="0"/>
          <w:caps w:val="0"/>
          <w:color w:val="auto"/>
          <w:spacing w:val="0"/>
          <w:sz w:val="24"/>
          <w:szCs w:val="24"/>
          <w:highlight w:val="none"/>
        </w:rPr>
        <w:t>，属于</w:t>
      </w:r>
      <w:r>
        <w:rPr>
          <w:rFonts w:hint="eastAsia" w:ascii="黑体" w:hAnsi="黑体" w:eastAsia="黑体" w:cs="黑体"/>
          <w:i w:val="0"/>
          <w:iCs w:val="0"/>
          <w:caps w:val="0"/>
          <w:color w:val="auto"/>
          <w:spacing w:val="0"/>
          <w:sz w:val="24"/>
          <w:szCs w:val="24"/>
          <w:highlight w:val="none"/>
          <w:u w:val="single"/>
          <w:lang w:val="en-US" w:eastAsia="zh-CN"/>
        </w:rPr>
        <w:t xml:space="preserve">    </w:t>
      </w:r>
      <w:r>
        <w:rPr>
          <w:rFonts w:hint="eastAsia" w:ascii="黑体" w:hAnsi="黑体" w:eastAsia="黑体" w:cs="黑体"/>
          <w:i w:val="0"/>
          <w:iCs w:val="0"/>
          <w:caps w:val="0"/>
          <w:color w:val="auto"/>
          <w:spacing w:val="0"/>
          <w:sz w:val="24"/>
          <w:szCs w:val="24"/>
          <w:highlight w:val="none"/>
        </w:rPr>
        <w:t>（中型企业、小型企业、微型企业）；</w:t>
      </w:r>
    </w:p>
    <w:p w14:paraId="44143479">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w:t>
      </w:r>
    </w:p>
    <w:p w14:paraId="010A5C6B">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E1B8327">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本企业对上述声明内容的真实性负责。如有虚假，将依法承担相应责任。</w:t>
      </w:r>
    </w:p>
    <w:p w14:paraId="07E1DA1C">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w:t>
      </w:r>
    </w:p>
    <w:p w14:paraId="2166CC5C">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企业名称（</w:t>
      </w:r>
      <w:r>
        <w:rPr>
          <w:rFonts w:hint="eastAsia" w:ascii="黑体" w:hAnsi="黑体" w:eastAsia="黑体" w:cs="黑体"/>
          <w:i w:val="0"/>
          <w:iCs w:val="0"/>
          <w:caps w:val="0"/>
          <w:color w:val="auto"/>
          <w:spacing w:val="0"/>
          <w:sz w:val="24"/>
          <w:szCs w:val="24"/>
          <w:highlight w:val="none"/>
          <w:lang w:eastAsia="zh-CN"/>
        </w:rPr>
        <w:t>加</w:t>
      </w:r>
      <w:r>
        <w:rPr>
          <w:rFonts w:hint="eastAsia" w:ascii="黑体" w:hAnsi="黑体" w:eastAsia="黑体" w:cs="黑体"/>
          <w:i w:val="0"/>
          <w:iCs w:val="0"/>
          <w:caps w:val="0"/>
          <w:color w:val="auto"/>
          <w:spacing w:val="0"/>
          <w:sz w:val="24"/>
          <w:szCs w:val="24"/>
          <w:highlight w:val="none"/>
        </w:rPr>
        <w:t>盖</w:t>
      </w:r>
      <w:r>
        <w:rPr>
          <w:rFonts w:hint="eastAsia" w:ascii="黑体" w:hAnsi="黑体" w:eastAsia="黑体" w:cs="黑体"/>
          <w:i w:val="0"/>
          <w:iCs w:val="0"/>
          <w:caps w:val="0"/>
          <w:color w:val="auto"/>
          <w:spacing w:val="0"/>
          <w:sz w:val="24"/>
          <w:szCs w:val="24"/>
          <w:highlight w:val="none"/>
          <w:lang w:eastAsia="zh-CN"/>
        </w:rPr>
        <w:t>公</w:t>
      </w:r>
      <w:r>
        <w:rPr>
          <w:rFonts w:hint="eastAsia" w:ascii="黑体" w:hAnsi="黑体" w:eastAsia="黑体" w:cs="黑体"/>
          <w:i w:val="0"/>
          <w:iCs w:val="0"/>
          <w:caps w:val="0"/>
          <w:color w:val="auto"/>
          <w:spacing w:val="0"/>
          <w:sz w:val="24"/>
          <w:szCs w:val="24"/>
          <w:highlight w:val="none"/>
        </w:rPr>
        <w:t>章）：        </w:t>
      </w:r>
    </w:p>
    <w:p w14:paraId="79623B1D">
      <w:pPr>
        <w:pStyle w:val="20"/>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rPr>
          <w:rFonts w:hint="eastAsia" w:ascii="黑体" w:hAnsi="黑体" w:eastAsia="黑体" w:cs="黑体"/>
          <w:i w:val="0"/>
          <w:iCs w:val="0"/>
          <w:caps w:val="0"/>
          <w:color w:val="auto"/>
          <w:spacing w:val="0"/>
          <w:sz w:val="24"/>
          <w:szCs w:val="24"/>
          <w:highlight w:val="none"/>
        </w:rPr>
      </w:pPr>
      <w:r>
        <w:rPr>
          <w:rFonts w:hint="eastAsia" w:ascii="黑体" w:hAnsi="黑体" w:eastAsia="黑体" w:cs="黑体"/>
          <w:i w:val="0"/>
          <w:iCs w:val="0"/>
          <w:caps w:val="0"/>
          <w:color w:val="auto"/>
          <w:spacing w:val="0"/>
          <w:sz w:val="24"/>
          <w:szCs w:val="24"/>
          <w:highlight w:val="none"/>
        </w:rPr>
        <w:t>                  日期：       </w:t>
      </w:r>
    </w:p>
    <w:p w14:paraId="0EEC8820">
      <w:pPr>
        <w:pageBreakBefore w:val="0"/>
        <w:widowControl/>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1、从业人员、营业收入、资产总额填报上一年度数据，无上一年度数据的新成立企业可不填报。</w:t>
      </w:r>
    </w:p>
    <w:p w14:paraId="008E3899">
      <w:pPr>
        <w:pageBreakBefore w:val="0"/>
        <w:widowControl/>
        <w:kinsoku/>
        <w:wordWrap/>
        <w:overflowPunct/>
        <w:topLinePunct w:val="0"/>
        <w:autoSpaceDE w:val="0"/>
        <w:autoSpaceDN w:val="0"/>
        <w:bidi w:val="0"/>
        <w:adjustRightInd w:val="0"/>
        <w:snapToGrid w:val="0"/>
        <w:spacing w:line="360" w:lineRule="auto"/>
        <w:ind w:left="0" w:firstLine="482" w:firstLineChars="200"/>
        <w:jc w:val="both"/>
        <w:textAlignment w:val="auto"/>
        <w:rPr>
          <w:rFonts w:hint="eastAsia" w:ascii="黑体" w:hAnsi="黑体" w:eastAsia="黑体" w:cs="黑体"/>
          <w:b/>
          <w:bCs/>
          <w:i w:val="0"/>
          <w:iCs w:val="0"/>
          <w:color w:val="auto"/>
          <w:sz w:val="24"/>
          <w:szCs w:val="24"/>
          <w:highlight w:val="none"/>
          <w:lang w:val="en-US" w:eastAsia="zh-CN"/>
        </w:rPr>
      </w:pPr>
      <w:r>
        <w:rPr>
          <w:rFonts w:hint="eastAsia" w:ascii="黑体" w:hAnsi="黑体" w:eastAsia="黑体" w:cs="黑体"/>
          <w:b/>
          <w:bCs/>
          <w:i w:val="0"/>
          <w:iCs w:val="0"/>
          <w:color w:val="auto"/>
          <w:sz w:val="24"/>
          <w:szCs w:val="24"/>
          <w:highlight w:val="none"/>
          <w:lang w:val="en-US" w:eastAsia="zh-CN"/>
        </w:rPr>
        <w:t>本项目所属行业为：软件和信息技术服务业。</w:t>
      </w:r>
    </w:p>
    <w:p w14:paraId="30C2B81E">
      <w:pPr>
        <w:spacing w:line="360" w:lineRule="auto"/>
        <w:ind w:left="420" w:leftChars="200" w:firstLine="0" w:firstLineChars="0"/>
        <w:rPr>
          <w:rFonts w:hint="eastAsia" w:ascii="黑体" w:hAnsi="黑体" w:eastAsia="黑体" w:cs="黑体"/>
          <w:b/>
          <w:bCs/>
          <w:color w:val="auto"/>
          <w:kern w:val="2"/>
          <w:sz w:val="24"/>
          <w:szCs w:val="24"/>
          <w:highlight w:val="none"/>
          <w:lang w:val="en-US" w:eastAsia="zh-CN" w:bidi="ar-SA"/>
        </w:rPr>
      </w:pPr>
      <w:r>
        <w:rPr>
          <w:rFonts w:hint="eastAsia" w:ascii="黑体" w:hAnsi="黑体" w:eastAsia="黑体" w:cs="黑体"/>
          <w:b/>
          <w:bCs/>
          <w:color w:val="auto"/>
          <w:kern w:val="2"/>
          <w:sz w:val="24"/>
          <w:szCs w:val="24"/>
          <w:highlight w:val="none"/>
          <w:lang w:val="en-US" w:eastAsia="zh-CN" w:bidi="ar-SA"/>
        </w:rPr>
        <w:t>注：1、潜在投标企业属于中小微企业的，请在投标文件中提供“中小企业声明函”，如果未提供或提供虚假的“中小企业声明函”，投标企业将承担由此造成的一切不利后果。</w:t>
      </w:r>
    </w:p>
    <w:p w14:paraId="42BA0136">
      <w:pPr>
        <w:ind w:left="420" w:leftChars="0" w:hanging="420" w:hangingChars="175"/>
        <w:rPr>
          <w:rFonts w:hint="eastAsia" w:ascii="黑体" w:hAnsi="黑体" w:eastAsia="黑体" w:cs="黑体"/>
          <w:color w:val="auto"/>
          <w:sz w:val="24"/>
          <w:szCs w:val="24"/>
          <w:highlight w:val="none"/>
          <w:lang w:val="en-US" w:eastAsia="zh-CN"/>
        </w:rPr>
      </w:pPr>
    </w:p>
    <w:p w14:paraId="7FB484F2">
      <w:pPr>
        <w:pStyle w:val="4"/>
        <w:spacing w:before="0" w:line="240" w:lineRule="atLeast"/>
        <w:ind w:left="1080" w:leftChars="257" w:hanging="540"/>
        <w:jc w:val="both"/>
        <w:outlineLvl w:val="9"/>
        <w:rPr>
          <w:rFonts w:hint="eastAsia" w:ascii="黑体" w:hAnsi="黑体" w:eastAsia="黑体" w:cs="黑体"/>
          <w:color w:val="auto"/>
          <w:sz w:val="24"/>
          <w:szCs w:val="24"/>
          <w:highlight w:val="none"/>
          <w:lang w:eastAsia="zh-CN"/>
        </w:rPr>
      </w:pPr>
    </w:p>
    <w:p w14:paraId="69750E2F">
      <w:pPr>
        <w:pStyle w:val="7"/>
        <w:rPr>
          <w:rFonts w:hint="eastAsia" w:ascii="黑体" w:hAnsi="黑体" w:eastAsia="黑体" w:cs="黑体"/>
          <w:color w:val="auto"/>
          <w:sz w:val="24"/>
          <w:szCs w:val="24"/>
          <w:highlight w:val="none"/>
          <w:lang w:eastAsia="zh-CN"/>
        </w:rPr>
      </w:pPr>
    </w:p>
    <w:bookmarkEnd w:id="218"/>
    <w:bookmarkEnd w:id="219"/>
    <w:bookmarkEnd w:id="220"/>
    <w:bookmarkEnd w:id="221"/>
    <w:bookmarkEnd w:id="222"/>
    <w:p w14:paraId="6E5B32BF">
      <w:pPr>
        <w:jc w:val="left"/>
        <w:rPr>
          <w:rFonts w:hint="eastAsia" w:ascii="黑体" w:hAnsi="黑体" w:eastAsia="黑体" w:cs="黑体"/>
          <w:b/>
          <w:bCs/>
          <w:color w:val="auto"/>
          <w:kern w:val="0"/>
          <w:sz w:val="24"/>
          <w:szCs w:val="24"/>
          <w:highlight w:val="none"/>
        </w:rPr>
      </w:pPr>
      <w:bookmarkStart w:id="223" w:name="_Toc10067"/>
      <w:bookmarkStart w:id="224" w:name="_Toc25937"/>
      <w:bookmarkStart w:id="225" w:name="_Toc19284"/>
      <w:bookmarkStart w:id="226" w:name="_Toc22418"/>
      <w:bookmarkStart w:id="227" w:name="_Toc23068"/>
      <w:bookmarkStart w:id="228" w:name="_Toc11935"/>
      <w:bookmarkStart w:id="229" w:name="_Toc24603"/>
      <w:bookmarkStart w:id="230" w:name="_Toc5022"/>
      <w:bookmarkStart w:id="231" w:name="_Toc515647825"/>
      <w:bookmarkStart w:id="232" w:name="OLE_LINK14"/>
      <w:bookmarkStart w:id="233" w:name="OLE_LINK13"/>
      <w:r>
        <w:rPr>
          <w:rFonts w:hint="eastAsia" w:ascii="黑体" w:hAnsi="黑体" w:eastAsia="黑体" w:cs="黑体"/>
          <w:b/>
          <w:bCs/>
          <w:color w:val="auto"/>
          <w:kern w:val="0"/>
          <w:sz w:val="24"/>
          <w:szCs w:val="24"/>
          <w:highlight w:val="none"/>
        </w:rPr>
        <w:br w:type="page"/>
      </w:r>
      <w:r>
        <w:rPr>
          <w:rFonts w:hint="eastAsia" w:ascii="黑体" w:hAnsi="黑体" w:eastAsia="黑体" w:cs="黑体"/>
          <w:b/>
          <w:bCs/>
          <w:color w:val="auto"/>
          <w:kern w:val="0"/>
          <w:sz w:val="24"/>
          <w:szCs w:val="24"/>
          <w:highlight w:val="none"/>
        </w:rPr>
        <w:t>附：</w:t>
      </w:r>
    </w:p>
    <w:p w14:paraId="087EB524">
      <w:pPr>
        <w:jc w:val="center"/>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中小微企业划型标准</w:t>
      </w:r>
    </w:p>
    <w:tbl>
      <w:tblPr>
        <w:tblStyle w:val="24"/>
        <w:tblW w:w="92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3"/>
        <w:gridCol w:w="1695"/>
        <w:gridCol w:w="1305"/>
        <w:gridCol w:w="2040"/>
        <w:gridCol w:w="1755"/>
        <w:gridCol w:w="1278"/>
      </w:tblGrid>
      <w:tr w14:paraId="4A82B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34" w:hRule="atLeast"/>
          <w:jc w:val="center"/>
        </w:trPr>
        <w:tc>
          <w:tcPr>
            <w:tcW w:w="1183" w:type="dxa"/>
            <w:tcBorders>
              <w:tl2br w:val="nil"/>
              <w:tr2bl w:val="nil"/>
            </w:tcBorders>
            <w:noWrap w:val="0"/>
            <w:vAlign w:val="center"/>
          </w:tcPr>
          <w:p w14:paraId="1709A2A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行业名称</w:t>
            </w:r>
          </w:p>
        </w:tc>
        <w:tc>
          <w:tcPr>
            <w:tcW w:w="1695" w:type="dxa"/>
            <w:tcBorders>
              <w:tl2br w:val="nil"/>
              <w:tr2bl w:val="nil"/>
            </w:tcBorders>
            <w:noWrap w:val="0"/>
            <w:vAlign w:val="center"/>
          </w:tcPr>
          <w:p w14:paraId="1DC1EF6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指标名称</w:t>
            </w:r>
          </w:p>
        </w:tc>
        <w:tc>
          <w:tcPr>
            <w:tcW w:w="1305" w:type="dxa"/>
            <w:tcBorders>
              <w:tl2br w:val="nil"/>
              <w:tr2bl w:val="nil"/>
            </w:tcBorders>
            <w:noWrap w:val="0"/>
            <w:vAlign w:val="center"/>
          </w:tcPr>
          <w:p w14:paraId="5C74768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计量单位</w:t>
            </w:r>
          </w:p>
        </w:tc>
        <w:tc>
          <w:tcPr>
            <w:tcW w:w="2040" w:type="dxa"/>
            <w:tcBorders>
              <w:tl2br w:val="nil"/>
              <w:tr2bl w:val="nil"/>
            </w:tcBorders>
            <w:noWrap w:val="0"/>
            <w:vAlign w:val="center"/>
          </w:tcPr>
          <w:p w14:paraId="5F3DC9C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中型</w:t>
            </w:r>
          </w:p>
        </w:tc>
        <w:tc>
          <w:tcPr>
            <w:tcW w:w="1755" w:type="dxa"/>
            <w:tcBorders>
              <w:tl2br w:val="nil"/>
              <w:tr2bl w:val="nil"/>
            </w:tcBorders>
            <w:noWrap w:val="0"/>
            <w:vAlign w:val="center"/>
          </w:tcPr>
          <w:p w14:paraId="4863E9E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小型</w:t>
            </w:r>
          </w:p>
        </w:tc>
        <w:tc>
          <w:tcPr>
            <w:tcW w:w="1278" w:type="dxa"/>
            <w:tcBorders>
              <w:tl2br w:val="nil"/>
              <w:tr2bl w:val="nil"/>
            </w:tcBorders>
            <w:noWrap w:val="0"/>
            <w:vAlign w:val="center"/>
          </w:tcPr>
          <w:p w14:paraId="46BA1ED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微型</w:t>
            </w:r>
          </w:p>
        </w:tc>
      </w:tr>
      <w:tr w14:paraId="1FE4B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1183" w:type="dxa"/>
            <w:tcBorders>
              <w:tl2br w:val="nil"/>
              <w:tr2bl w:val="nil"/>
            </w:tcBorders>
            <w:noWrap w:val="0"/>
            <w:vAlign w:val="center"/>
          </w:tcPr>
          <w:p w14:paraId="6D22371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农、林、牧、渔</w:t>
            </w:r>
          </w:p>
        </w:tc>
        <w:tc>
          <w:tcPr>
            <w:tcW w:w="1695" w:type="dxa"/>
            <w:tcBorders>
              <w:tl2br w:val="nil"/>
              <w:tr2bl w:val="nil"/>
            </w:tcBorders>
            <w:noWrap w:val="0"/>
            <w:vAlign w:val="center"/>
          </w:tcPr>
          <w:p w14:paraId="36B3EC1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074F51B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2A1E47E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500≤Y＜20000</w:t>
            </w:r>
          </w:p>
        </w:tc>
        <w:tc>
          <w:tcPr>
            <w:tcW w:w="1755" w:type="dxa"/>
            <w:tcBorders>
              <w:tl2br w:val="nil"/>
              <w:tr2bl w:val="nil"/>
            </w:tcBorders>
            <w:noWrap w:val="0"/>
            <w:vAlign w:val="center"/>
          </w:tcPr>
          <w:p w14:paraId="39B4555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50≤Y＜500</w:t>
            </w:r>
          </w:p>
        </w:tc>
        <w:tc>
          <w:tcPr>
            <w:tcW w:w="1278" w:type="dxa"/>
            <w:tcBorders>
              <w:tl2br w:val="nil"/>
              <w:tr2bl w:val="nil"/>
            </w:tcBorders>
            <w:noWrap w:val="0"/>
            <w:vAlign w:val="center"/>
          </w:tcPr>
          <w:p w14:paraId="0B80DC2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w:t>
            </w:r>
          </w:p>
        </w:tc>
      </w:tr>
      <w:tr w14:paraId="135BA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4DD3870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工业</w:t>
            </w:r>
          </w:p>
        </w:tc>
        <w:tc>
          <w:tcPr>
            <w:tcW w:w="1695" w:type="dxa"/>
            <w:tcBorders>
              <w:tl2br w:val="nil"/>
              <w:tr2bl w:val="nil"/>
            </w:tcBorders>
            <w:noWrap w:val="0"/>
            <w:vAlign w:val="center"/>
          </w:tcPr>
          <w:p w14:paraId="629600A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07100D0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583A6BF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755" w:type="dxa"/>
            <w:tcBorders>
              <w:tl2br w:val="nil"/>
              <w:tr2bl w:val="nil"/>
            </w:tcBorders>
            <w:noWrap w:val="0"/>
            <w:vAlign w:val="center"/>
          </w:tcPr>
          <w:p w14:paraId="0882CEC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278" w:type="dxa"/>
            <w:tcBorders>
              <w:tl2br w:val="nil"/>
              <w:tr2bl w:val="nil"/>
            </w:tcBorders>
            <w:noWrap w:val="0"/>
            <w:vAlign w:val="center"/>
          </w:tcPr>
          <w:p w14:paraId="324CD73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25127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306B5F6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6AAD49E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58AE320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EA63EA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2000≤Y＜40000</w:t>
            </w:r>
          </w:p>
        </w:tc>
        <w:tc>
          <w:tcPr>
            <w:tcW w:w="1755" w:type="dxa"/>
            <w:tcBorders>
              <w:tl2br w:val="nil"/>
              <w:tr2bl w:val="nil"/>
            </w:tcBorders>
            <w:noWrap w:val="0"/>
            <w:vAlign w:val="center"/>
          </w:tcPr>
          <w:p w14:paraId="465A554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300≤Y＜2000</w:t>
            </w:r>
          </w:p>
        </w:tc>
        <w:tc>
          <w:tcPr>
            <w:tcW w:w="1278" w:type="dxa"/>
            <w:tcBorders>
              <w:tl2br w:val="nil"/>
              <w:tr2bl w:val="nil"/>
            </w:tcBorders>
            <w:noWrap w:val="0"/>
            <w:vAlign w:val="center"/>
          </w:tcPr>
          <w:p w14:paraId="65FCFEE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Y＜300</w:t>
            </w:r>
          </w:p>
        </w:tc>
      </w:tr>
      <w:tr w14:paraId="16B1E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restart"/>
            <w:tcBorders>
              <w:tl2br w:val="nil"/>
              <w:tr2bl w:val="nil"/>
            </w:tcBorders>
            <w:noWrap w:val="0"/>
            <w:vAlign w:val="center"/>
          </w:tcPr>
          <w:p w14:paraId="7DD7A70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建筑业</w:t>
            </w:r>
          </w:p>
        </w:tc>
        <w:tc>
          <w:tcPr>
            <w:tcW w:w="1695" w:type="dxa"/>
            <w:tcBorders>
              <w:tl2br w:val="nil"/>
              <w:tr2bl w:val="nil"/>
            </w:tcBorders>
            <w:noWrap w:val="0"/>
            <w:vAlign w:val="center"/>
          </w:tcPr>
          <w:p w14:paraId="356389D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5A523F0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77B74D3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6000≤Y＜80000</w:t>
            </w:r>
          </w:p>
        </w:tc>
        <w:tc>
          <w:tcPr>
            <w:tcW w:w="1755" w:type="dxa"/>
            <w:tcBorders>
              <w:tl2br w:val="nil"/>
              <w:tr2bl w:val="nil"/>
            </w:tcBorders>
            <w:noWrap w:val="0"/>
            <w:vAlign w:val="center"/>
          </w:tcPr>
          <w:p w14:paraId="7C11520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300≤Y＜6000</w:t>
            </w:r>
          </w:p>
        </w:tc>
        <w:tc>
          <w:tcPr>
            <w:tcW w:w="1278" w:type="dxa"/>
            <w:tcBorders>
              <w:tl2br w:val="nil"/>
              <w:tr2bl w:val="nil"/>
            </w:tcBorders>
            <w:noWrap w:val="0"/>
            <w:vAlign w:val="center"/>
          </w:tcPr>
          <w:p w14:paraId="357E42A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Y＜300</w:t>
            </w:r>
          </w:p>
        </w:tc>
      </w:tr>
      <w:tr w14:paraId="4431C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4F50965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31DC98C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305" w:type="dxa"/>
            <w:tcBorders>
              <w:tl2br w:val="nil"/>
              <w:tr2bl w:val="nil"/>
            </w:tcBorders>
            <w:noWrap w:val="0"/>
            <w:vAlign w:val="center"/>
          </w:tcPr>
          <w:p w14:paraId="3F3A630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43006E1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5000≤Z＜80000</w:t>
            </w:r>
          </w:p>
        </w:tc>
        <w:tc>
          <w:tcPr>
            <w:tcW w:w="1755" w:type="dxa"/>
            <w:tcBorders>
              <w:tl2br w:val="nil"/>
              <w:tr2bl w:val="nil"/>
            </w:tcBorders>
            <w:noWrap w:val="0"/>
            <w:vAlign w:val="center"/>
          </w:tcPr>
          <w:p w14:paraId="35065B1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300≤Z＜5000</w:t>
            </w:r>
          </w:p>
        </w:tc>
        <w:tc>
          <w:tcPr>
            <w:tcW w:w="1278" w:type="dxa"/>
            <w:tcBorders>
              <w:tl2br w:val="nil"/>
              <w:tr2bl w:val="nil"/>
            </w:tcBorders>
            <w:noWrap w:val="0"/>
            <w:vAlign w:val="center"/>
          </w:tcPr>
          <w:p w14:paraId="24FF1A9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Z＜300</w:t>
            </w:r>
          </w:p>
        </w:tc>
      </w:tr>
      <w:tr w14:paraId="165AB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1185535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批发业</w:t>
            </w:r>
          </w:p>
        </w:tc>
        <w:tc>
          <w:tcPr>
            <w:tcW w:w="1695" w:type="dxa"/>
            <w:tcBorders>
              <w:tl2br w:val="nil"/>
              <w:tr2bl w:val="nil"/>
            </w:tcBorders>
            <w:noWrap w:val="0"/>
            <w:vAlign w:val="center"/>
          </w:tcPr>
          <w:p w14:paraId="03D711B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17673C4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3487820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20≤X＜200</w:t>
            </w:r>
          </w:p>
        </w:tc>
        <w:tc>
          <w:tcPr>
            <w:tcW w:w="1755" w:type="dxa"/>
            <w:tcBorders>
              <w:tl2br w:val="nil"/>
              <w:tr2bl w:val="nil"/>
            </w:tcBorders>
            <w:noWrap w:val="0"/>
            <w:vAlign w:val="center"/>
          </w:tcPr>
          <w:p w14:paraId="7A74009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5≤X＜20</w:t>
            </w:r>
          </w:p>
        </w:tc>
        <w:tc>
          <w:tcPr>
            <w:tcW w:w="1278" w:type="dxa"/>
            <w:tcBorders>
              <w:tl2br w:val="nil"/>
              <w:tr2bl w:val="nil"/>
            </w:tcBorders>
            <w:noWrap w:val="0"/>
            <w:vAlign w:val="center"/>
          </w:tcPr>
          <w:p w14:paraId="5D9ED26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X＜5</w:t>
            </w:r>
          </w:p>
        </w:tc>
      </w:tr>
      <w:tr w14:paraId="7C4A0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26D4F71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0D14A10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38CBE26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3CF0F9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5000≤Y＜40000</w:t>
            </w:r>
          </w:p>
        </w:tc>
        <w:tc>
          <w:tcPr>
            <w:tcW w:w="1755" w:type="dxa"/>
            <w:tcBorders>
              <w:tl2br w:val="nil"/>
              <w:tr2bl w:val="nil"/>
            </w:tcBorders>
            <w:noWrap w:val="0"/>
            <w:vAlign w:val="center"/>
          </w:tcPr>
          <w:p w14:paraId="3B5E10E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1000≤Y＜5000</w:t>
            </w:r>
          </w:p>
        </w:tc>
        <w:tc>
          <w:tcPr>
            <w:tcW w:w="1278" w:type="dxa"/>
            <w:tcBorders>
              <w:tl2br w:val="nil"/>
              <w:tr2bl w:val="nil"/>
            </w:tcBorders>
            <w:noWrap w:val="0"/>
            <w:vAlign w:val="center"/>
          </w:tcPr>
          <w:p w14:paraId="1BAE8C5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Y＜1000</w:t>
            </w:r>
          </w:p>
        </w:tc>
      </w:tr>
      <w:tr w14:paraId="67283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545A59A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零售业</w:t>
            </w:r>
          </w:p>
        </w:tc>
        <w:tc>
          <w:tcPr>
            <w:tcW w:w="1695" w:type="dxa"/>
            <w:tcBorders>
              <w:tl2br w:val="nil"/>
              <w:tr2bl w:val="nil"/>
            </w:tcBorders>
            <w:noWrap w:val="0"/>
            <w:vAlign w:val="center"/>
          </w:tcPr>
          <w:p w14:paraId="3E8F003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71B0096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16A7BB0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50≤X＜300</w:t>
            </w:r>
          </w:p>
        </w:tc>
        <w:tc>
          <w:tcPr>
            <w:tcW w:w="1755" w:type="dxa"/>
            <w:tcBorders>
              <w:tl2br w:val="nil"/>
              <w:tr2bl w:val="nil"/>
            </w:tcBorders>
            <w:noWrap w:val="0"/>
            <w:vAlign w:val="center"/>
          </w:tcPr>
          <w:p w14:paraId="199B9F6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10≤X＜50</w:t>
            </w:r>
          </w:p>
        </w:tc>
        <w:tc>
          <w:tcPr>
            <w:tcW w:w="1278" w:type="dxa"/>
            <w:tcBorders>
              <w:tl2br w:val="nil"/>
              <w:tr2bl w:val="nil"/>
            </w:tcBorders>
            <w:noWrap w:val="0"/>
            <w:vAlign w:val="center"/>
          </w:tcPr>
          <w:p w14:paraId="17277A8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22F7F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continue"/>
            <w:tcBorders>
              <w:tl2br w:val="nil"/>
              <w:tr2bl w:val="nil"/>
            </w:tcBorders>
            <w:noWrap w:val="0"/>
            <w:vAlign w:val="center"/>
          </w:tcPr>
          <w:p w14:paraId="1592997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5DDA4BA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71FAEDB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685AC28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500≤Y＜20000</w:t>
            </w:r>
          </w:p>
        </w:tc>
        <w:tc>
          <w:tcPr>
            <w:tcW w:w="1755" w:type="dxa"/>
            <w:tcBorders>
              <w:tl2br w:val="nil"/>
              <w:tr2bl w:val="nil"/>
            </w:tcBorders>
            <w:noWrap w:val="0"/>
            <w:vAlign w:val="center"/>
          </w:tcPr>
          <w:p w14:paraId="0952CB3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100≤Y＜500</w:t>
            </w:r>
          </w:p>
        </w:tc>
        <w:tc>
          <w:tcPr>
            <w:tcW w:w="1278" w:type="dxa"/>
            <w:tcBorders>
              <w:tl2br w:val="nil"/>
              <w:tr2bl w:val="nil"/>
            </w:tcBorders>
            <w:noWrap w:val="0"/>
            <w:vAlign w:val="center"/>
          </w:tcPr>
          <w:p w14:paraId="7E0A521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0BF83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5B72B46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交通运输业</w:t>
            </w:r>
          </w:p>
        </w:tc>
        <w:tc>
          <w:tcPr>
            <w:tcW w:w="1695" w:type="dxa"/>
            <w:tcBorders>
              <w:tl2br w:val="nil"/>
              <w:tr2bl w:val="nil"/>
            </w:tcBorders>
            <w:noWrap w:val="0"/>
            <w:vAlign w:val="center"/>
          </w:tcPr>
          <w:p w14:paraId="5CA6ADB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3A2ECA0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31E9073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755" w:type="dxa"/>
            <w:tcBorders>
              <w:tl2br w:val="nil"/>
              <w:tr2bl w:val="nil"/>
            </w:tcBorders>
            <w:noWrap w:val="0"/>
            <w:vAlign w:val="center"/>
          </w:tcPr>
          <w:p w14:paraId="7B48317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278" w:type="dxa"/>
            <w:tcBorders>
              <w:tl2br w:val="nil"/>
              <w:tr2bl w:val="nil"/>
            </w:tcBorders>
            <w:noWrap w:val="0"/>
            <w:vAlign w:val="center"/>
          </w:tcPr>
          <w:p w14:paraId="55836BD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153E2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6040B55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3167D2C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125B5A6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CAFB51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3000≤Y＜30000</w:t>
            </w:r>
          </w:p>
        </w:tc>
        <w:tc>
          <w:tcPr>
            <w:tcW w:w="1755" w:type="dxa"/>
            <w:tcBorders>
              <w:tl2br w:val="nil"/>
              <w:tr2bl w:val="nil"/>
            </w:tcBorders>
            <w:noWrap w:val="0"/>
            <w:vAlign w:val="center"/>
          </w:tcPr>
          <w:p w14:paraId="099A42F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200≤Y＜3000</w:t>
            </w:r>
          </w:p>
        </w:tc>
        <w:tc>
          <w:tcPr>
            <w:tcW w:w="1278" w:type="dxa"/>
            <w:tcBorders>
              <w:tl2br w:val="nil"/>
              <w:tr2bl w:val="nil"/>
            </w:tcBorders>
            <w:noWrap w:val="0"/>
            <w:vAlign w:val="center"/>
          </w:tcPr>
          <w:p w14:paraId="0B23B0B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Y＜200</w:t>
            </w:r>
          </w:p>
        </w:tc>
      </w:tr>
      <w:tr w14:paraId="4DAD9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0A556CD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仓储业</w:t>
            </w:r>
          </w:p>
        </w:tc>
        <w:tc>
          <w:tcPr>
            <w:tcW w:w="1695" w:type="dxa"/>
            <w:tcBorders>
              <w:tl2br w:val="nil"/>
              <w:tr2bl w:val="nil"/>
            </w:tcBorders>
            <w:noWrap w:val="0"/>
            <w:vAlign w:val="center"/>
          </w:tcPr>
          <w:p w14:paraId="7F161E8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619CF45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18365A8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100≤X＜200</w:t>
            </w:r>
          </w:p>
        </w:tc>
        <w:tc>
          <w:tcPr>
            <w:tcW w:w="1755" w:type="dxa"/>
            <w:tcBorders>
              <w:tl2br w:val="nil"/>
              <w:tr2bl w:val="nil"/>
            </w:tcBorders>
            <w:noWrap w:val="0"/>
            <w:vAlign w:val="center"/>
          </w:tcPr>
          <w:p w14:paraId="4EECCBF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20≤X＜100</w:t>
            </w:r>
          </w:p>
        </w:tc>
        <w:tc>
          <w:tcPr>
            <w:tcW w:w="1278" w:type="dxa"/>
            <w:tcBorders>
              <w:tl2br w:val="nil"/>
              <w:tr2bl w:val="nil"/>
            </w:tcBorders>
            <w:noWrap w:val="0"/>
            <w:vAlign w:val="center"/>
          </w:tcPr>
          <w:p w14:paraId="111E4DB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6E754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3BEFFB5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5DA7CAD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23D89E8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1A2CECB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1000≤Y＜30000</w:t>
            </w:r>
          </w:p>
        </w:tc>
        <w:tc>
          <w:tcPr>
            <w:tcW w:w="1755" w:type="dxa"/>
            <w:tcBorders>
              <w:tl2br w:val="nil"/>
              <w:tr2bl w:val="nil"/>
            </w:tcBorders>
            <w:noWrap w:val="0"/>
            <w:vAlign w:val="center"/>
          </w:tcPr>
          <w:p w14:paraId="1D2C6C9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100≤Y＜1000</w:t>
            </w:r>
          </w:p>
        </w:tc>
        <w:tc>
          <w:tcPr>
            <w:tcW w:w="1278" w:type="dxa"/>
            <w:tcBorders>
              <w:tl2br w:val="nil"/>
              <w:tr2bl w:val="nil"/>
            </w:tcBorders>
            <w:noWrap w:val="0"/>
            <w:vAlign w:val="center"/>
          </w:tcPr>
          <w:p w14:paraId="1E7FC2B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74C8F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6A959A5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邮政业</w:t>
            </w:r>
          </w:p>
        </w:tc>
        <w:tc>
          <w:tcPr>
            <w:tcW w:w="1695" w:type="dxa"/>
            <w:tcBorders>
              <w:tl2br w:val="nil"/>
              <w:tr2bl w:val="nil"/>
            </w:tcBorders>
            <w:noWrap w:val="0"/>
            <w:vAlign w:val="center"/>
          </w:tcPr>
          <w:p w14:paraId="7582BEF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2D330BD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755898E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755" w:type="dxa"/>
            <w:tcBorders>
              <w:tl2br w:val="nil"/>
              <w:tr2bl w:val="nil"/>
            </w:tcBorders>
            <w:noWrap w:val="0"/>
            <w:vAlign w:val="center"/>
          </w:tcPr>
          <w:p w14:paraId="069C4AE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278" w:type="dxa"/>
            <w:tcBorders>
              <w:tl2br w:val="nil"/>
              <w:tr2bl w:val="nil"/>
            </w:tcBorders>
            <w:noWrap w:val="0"/>
            <w:vAlign w:val="center"/>
          </w:tcPr>
          <w:p w14:paraId="6852C85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66457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72D2D33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5A07697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6A941F0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648DF5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2000≤Y＜30000</w:t>
            </w:r>
          </w:p>
        </w:tc>
        <w:tc>
          <w:tcPr>
            <w:tcW w:w="1755" w:type="dxa"/>
            <w:tcBorders>
              <w:tl2br w:val="nil"/>
              <w:tr2bl w:val="nil"/>
            </w:tcBorders>
            <w:noWrap w:val="0"/>
            <w:vAlign w:val="center"/>
          </w:tcPr>
          <w:p w14:paraId="33C4264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278" w:type="dxa"/>
            <w:tcBorders>
              <w:tl2br w:val="nil"/>
              <w:tr2bl w:val="nil"/>
            </w:tcBorders>
            <w:noWrap w:val="0"/>
            <w:vAlign w:val="center"/>
          </w:tcPr>
          <w:p w14:paraId="0F7D06A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18144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2E39C5B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住宿业</w:t>
            </w:r>
          </w:p>
        </w:tc>
        <w:tc>
          <w:tcPr>
            <w:tcW w:w="1695" w:type="dxa"/>
            <w:tcBorders>
              <w:tl2br w:val="nil"/>
              <w:tr2bl w:val="nil"/>
            </w:tcBorders>
            <w:noWrap w:val="0"/>
            <w:vAlign w:val="center"/>
          </w:tcPr>
          <w:p w14:paraId="11BBCFE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7B6CB04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7DD9418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755" w:type="dxa"/>
            <w:tcBorders>
              <w:tl2br w:val="nil"/>
              <w:tr2bl w:val="nil"/>
            </w:tcBorders>
            <w:noWrap w:val="0"/>
            <w:vAlign w:val="center"/>
          </w:tcPr>
          <w:p w14:paraId="65E05EE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040D3B3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2B890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569FA73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091AE22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54D326D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777B0DC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2000≤Y＜10000</w:t>
            </w:r>
          </w:p>
        </w:tc>
        <w:tc>
          <w:tcPr>
            <w:tcW w:w="1755" w:type="dxa"/>
            <w:tcBorders>
              <w:tl2br w:val="nil"/>
              <w:tr2bl w:val="nil"/>
            </w:tcBorders>
            <w:noWrap w:val="0"/>
            <w:vAlign w:val="center"/>
          </w:tcPr>
          <w:p w14:paraId="5E1BBBB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278" w:type="dxa"/>
            <w:tcBorders>
              <w:tl2br w:val="nil"/>
              <w:tr2bl w:val="nil"/>
            </w:tcBorders>
            <w:noWrap w:val="0"/>
            <w:vAlign w:val="center"/>
          </w:tcPr>
          <w:p w14:paraId="288A171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33055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5A0E0F6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餐饮业</w:t>
            </w:r>
          </w:p>
        </w:tc>
        <w:tc>
          <w:tcPr>
            <w:tcW w:w="1695" w:type="dxa"/>
            <w:tcBorders>
              <w:tl2br w:val="nil"/>
              <w:tr2bl w:val="nil"/>
            </w:tcBorders>
            <w:noWrap w:val="0"/>
            <w:vAlign w:val="center"/>
          </w:tcPr>
          <w:p w14:paraId="33C0CDA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244E1FD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3D97A37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755" w:type="dxa"/>
            <w:tcBorders>
              <w:tl2br w:val="nil"/>
              <w:tr2bl w:val="nil"/>
            </w:tcBorders>
            <w:noWrap w:val="0"/>
            <w:vAlign w:val="center"/>
          </w:tcPr>
          <w:p w14:paraId="1A30B38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0096D60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4179F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0B086CF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3CE0168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57299CE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48A192F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2000≤Y＜10000</w:t>
            </w:r>
          </w:p>
        </w:tc>
        <w:tc>
          <w:tcPr>
            <w:tcW w:w="1755" w:type="dxa"/>
            <w:tcBorders>
              <w:tl2br w:val="nil"/>
              <w:tr2bl w:val="nil"/>
            </w:tcBorders>
            <w:noWrap w:val="0"/>
            <w:vAlign w:val="center"/>
          </w:tcPr>
          <w:p w14:paraId="6D79987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278" w:type="dxa"/>
            <w:tcBorders>
              <w:tl2br w:val="nil"/>
              <w:tr2bl w:val="nil"/>
            </w:tcBorders>
            <w:noWrap w:val="0"/>
            <w:vAlign w:val="center"/>
          </w:tcPr>
          <w:p w14:paraId="79ED2B2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7B196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19AC41B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信息传输业</w:t>
            </w:r>
          </w:p>
        </w:tc>
        <w:tc>
          <w:tcPr>
            <w:tcW w:w="1695" w:type="dxa"/>
            <w:tcBorders>
              <w:tl2br w:val="nil"/>
              <w:tr2bl w:val="nil"/>
            </w:tcBorders>
            <w:noWrap w:val="0"/>
            <w:vAlign w:val="center"/>
          </w:tcPr>
          <w:p w14:paraId="1328AAF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659AC8F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485BF00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100≤X＜2000</w:t>
            </w:r>
          </w:p>
        </w:tc>
        <w:tc>
          <w:tcPr>
            <w:tcW w:w="1755" w:type="dxa"/>
            <w:tcBorders>
              <w:tl2br w:val="nil"/>
              <w:tr2bl w:val="nil"/>
            </w:tcBorders>
            <w:noWrap w:val="0"/>
            <w:vAlign w:val="center"/>
          </w:tcPr>
          <w:p w14:paraId="63300C5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60F8431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35A1B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2AD37E8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69FF941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75C78C4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052688B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1000≤Y＜100000</w:t>
            </w:r>
          </w:p>
        </w:tc>
        <w:tc>
          <w:tcPr>
            <w:tcW w:w="1755" w:type="dxa"/>
            <w:tcBorders>
              <w:tl2br w:val="nil"/>
              <w:tr2bl w:val="nil"/>
            </w:tcBorders>
            <w:noWrap w:val="0"/>
            <w:vAlign w:val="center"/>
          </w:tcPr>
          <w:p w14:paraId="3941FF7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100≤Y＜1000</w:t>
            </w:r>
          </w:p>
        </w:tc>
        <w:tc>
          <w:tcPr>
            <w:tcW w:w="1278" w:type="dxa"/>
            <w:tcBorders>
              <w:tl2br w:val="nil"/>
              <w:tr2bl w:val="nil"/>
            </w:tcBorders>
            <w:noWrap w:val="0"/>
            <w:vAlign w:val="center"/>
          </w:tcPr>
          <w:p w14:paraId="7F4A72C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34DD4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2BE4BE9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软件和信息技术服务业</w:t>
            </w:r>
          </w:p>
        </w:tc>
        <w:tc>
          <w:tcPr>
            <w:tcW w:w="1695" w:type="dxa"/>
            <w:tcBorders>
              <w:tl2br w:val="nil"/>
              <w:tr2bl w:val="nil"/>
            </w:tcBorders>
            <w:noWrap w:val="0"/>
            <w:vAlign w:val="center"/>
          </w:tcPr>
          <w:p w14:paraId="187225A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076D577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0F1584C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755" w:type="dxa"/>
            <w:tcBorders>
              <w:tl2br w:val="nil"/>
              <w:tr2bl w:val="nil"/>
            </w:tcBorders>
            <w:noWrap w:val="0"/>
            <w:vAlign w:val="center"/>
          </w:tcPr>
          <w:p w14:paraId="44DAA2B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5081760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36967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3582CE0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1E4298E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4D91F18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4D35F8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1000≤Y＜10000</w:t>
            </w:r>
          </w:p>
        </w:tc>
        <w:tc>
          <w:tcPr>
            <w:tcW w:w="1755" w:type="dxa"/>
            <w:tcBorders>
              <w:tl2br w:val="nil"/>
              <w:tr2bl w:val="nil"/>
            </w:tcBorders>
            <w:noWrap w:val="0"/>
            <w:vAlign w:val="center"/>
          </w:tcPr>
          <w:p w14:paraId="24CA368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50≤Y＜1000</w:t>
            </w:r>
          </w:p>
        </w:tc>
        <w:tc>
          <w:tcPr>
            <w:tcW w:w="1278" w:type="dxa"/>
            <w:tcBorders>
              <w:tl2br w:val="nil"/>
              <w:tr2bl w:val="nil"/>
            </w:tcBorders>
            <w:noWrap w:val="0"/>
            <w:vAlign w:val="center"/>
          </w:tcPr>
          <w:p w14:paraId="5A439F1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w:t>
            </w:r>
          </w:p>
        </w:tc>
      </w:tr>
      <w:tr w14:paraId="74D34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restart"/>
            <w:tcBorders>
              <w:tl2br w:val="nil"/>
              <w:tr2bl w:val="nil"/>
            </w:tcBorders>
            <w:noWrap w:val="0"/>
            <w:vAlign w:val="center"/>
          </w:tcPr>
          <w:p w14:paraId="6679161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房地产开发经营</w:t>
            </w:r>
          </w:p>
        </w:tc>
        <w:tc>
          <w:tcPr>
            <w:tcW w:w="1695" w:type="dxa"/>
            <w:tcBorders>
              <w:tl2br w:val="nil"/>
              <w:tr2bl w:val="nil"/>
            </w:tcBorders>
            <w:noWrap w:val="0"/>
            <w:vAlign w:val="center"/>
          </w:tcPr>
          <w:p w14:paraId="0F66709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558A575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47497F5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1000≤Y＜200000</w:t>
            </w:r>
          </w:p>
        </w:tc>
        <w:tc>
          <w:tcPr>
            <w:tcW w:w="1755" w:type="dxa"/>
            <w:tcBorders>
              <w:tl2br w:val="nil"/>
              <w:tr2bl w:val="nil"/>
            </w:tcBorders>
            <w:noWrap w:val="0"/>
            <w:vAlign w:val="center"/>
          </w:tcPr>
          <w:p w14:paraId="292C0C6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100≤X＜1000</w:t>
            </w:r>
          </w:p>
        </w:tc>
        <w:tc>
          <w:tcPr>
            <w:tcW w:w="1278" w:type="dxa"/>
            <w:tcBorders>
              <w:tl2br w:val="nil"/>
              <w:tr2bl w:val="nil"/>
            </w:tcBorders>
            <w:noWrap w:val="0"/>
            <w:vAlign w:val="center"/>
          </w:tcPr>
          <w:p w14:paraId="20B5F7E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X＜100</w:t>
            </w:r>
          </w:p>
        </w:tc>
      </w:tr>
      <w:tr w14:paraId="3748D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3751286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669D672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305" w:type="dxa"/>
            <w:tcBorders>
              <w:tl2br w:val="nil"/>
              <w:tr2bl w:val="nil"/>
            </w:tcBorders>
            <w:noWrap w:val="0"/>
            <w:vAlign w:val="center"/>
          </w:tcPr>
          <w:p w14:paraId="376BB06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5EDD1F5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5000≤Z＜10000</w:t>
            </w:r>
          </w:p>
        </w:tc>
        <w:tc>
          <w:tcPr>
            <w:tcW w:w="1755" w:type="dxa"/>
            <w:tcBorders>
              <w:tl2br w:val="nil"/>
              <w:tr2bl w:val="nil"/>
            </w:tcBorders>
            <w:noWrap w:val="0"/>
            <w:vAlign w:val="center"/>
          </w:tcPr>
          <w:p w14:paraId="3D40A66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2000≤Y＜5000</w:t>
            </w:r>
          </w:p>
        </w:tc>
        <w:tc>
          <w:tcPr>
            <w:tcW w:w="1278" w:type="dxa"/>
            <w:tcBorders>
              <w:tl2br w:val="nil"/>
              <w:tr2bl w:val="nil"/>
            </w:tcBorders>
            <w:noWrap w:val="0"/>
            <w:vAlign w:val="center"/>
          </w:tcPr>
          <w:p w14:paraId="5FD2A837">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Y＜2000</w:t>
            </w:r>
          </w:p>
        </w:tc>
      </w:tr>
      <w:tr w14:paraId="21AE6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767DAF68">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物业管理</w:t>
            </w:r>
          </w:p>
        </w:tc>
        <w:tc>
          <w:tcPr>
            <w:tcW w:w="1695" w:type="dxa"/>
            <w:tcBorders>
              <w:tl2br w:val="nil"/>
              <w:tr2bl w:val="nil"/>
            </w:tcBorders>
            <w:noWrap w:val="0"/>
            <w:vAlign w:val="center"/>
          </w:tcPr>
          <w:p w14:paraId="649A800C">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3DD2163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0394E2F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755" w:type="dxa"/>
            <w:tcBorders>
              <w:tl2br w:val="nil"/>
              <w:tr2bl w:val="nil"/>
            </w:tcBorders>
            <w:noWrap w:val="0"/>
            <w:vAlign w:val="center"/>
          </w:tcPr>
          <w:p w14:paraId="740BCF3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278" w:type="dxa"/>
            <w:tcBorders>
              <w:tl2br w:val="nil"/>
              <w:tr2bl w:val="nil"/>
            </w:tcBorders>
            <w:noWrap w:val="0"/>
            <w:vAlign w:val="center"/>
          </w:tcPr>
          <w:p w14:paraId="397AAF8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X＜100</w:t>
            </w:r>
          </w:p>
        </w:tc>
      </w:tr>
      <w:tr w14:paraId="27C65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continue"/>
            <w:tcBorders>
              <w:tl2br w:val="nil"/>
              <w:tr2bl w:val="nil"/>
            </w:tcBorders>
            <w:noWrap w:val="0"/>
            <w:vAlign w:val="center"/>
          </w:tcPr>
          <w:p w14:paraId="440E7236">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52F009EE">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305" w:type="dxa"/>
            <w:tcBorders>
              <w:tl2br w:val="nil"/>
              <w:tr2bl w:val="nil"/>
            </w:tcBorders>
            <w:noWrap w:val="0"/>
            <w:vAlign w:val="center"/>
          </w:tcPr>
          <w:p w14:paraId="6E8BF56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340C58A3">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1000≤Y＜5000</w:t>
            </w:r>
          </w:p>
        </w:tc>
        <w:tc>
          <w:tcPr>
            <w:tcW w:w="1755" w:type="dxa"/>
            <w:tcBorders>
              <w:tl2br w:val="nil"/>
              <w:tr2bl w:val="nil"/>
            </w:tcBorders>
            <w:noWrap w:val="0"/>
            <w:vAlign w:val="center"/>
          </w:tcPr>
          <w:p w14:paraId="78BAAC4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500≤Y＜1000</w:t>
            </w:r>
          </w:p>
        </w:tc>
        <w:tc>
          <w:tcPr>
            <w:tcW w:w="1278" w:type="dxa"/>
            <w:tcBorders>
              <w:tl2br w:val="nil"/>
              <w:tr2bl w:val="nil"/>
            </w:tcBorders>
            <w:noWrap w:val="0"/>
            <w:vAlign w:val="center"/>
          </w:tcPr>
          <w:p w14:paraId="56BBDD9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Y＜500</w:t>
            </w:r>
          </w:p>
        </w:tc>
      </w:tr>
      <w:tr w14:paraId="7A182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183" w:type="dxa"/>
            <w:vMerge w:val="restart"/>
            <w:tcBorders>
              <w:tl2br w:val="nil"/>
              <w:tr2bl w:val="nil"/>
            </w:tcBorders>
            <w:noWrap w:val="0"/>
            <w:vAlign w:val="center"/>
          </w:tcPr>
          <w:p w14:paraId="1F539305">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租赁和商务服务业</w:t>
            </w:r>
          </w:p>
        </w:tc>
        <w:tc>
          <w:tcPr>
            <w:tcW w:w="1695" w:type="dxa"/>
            <w:tcBorders>
              <w:tl2br w:val="nil"/>
              <w:tr2bl w:val="nil"/>
            </w:tcBorders>
            <w:noWrap w:val="0"/>
            <w:vAlign w:val="center"/>
          </w:tcPr>
          <w:p w14:paraId="6C0FA859">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3BA56C9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00198771">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755" w:type="dxa"/>
            <w:tcBorders>
              <w:tl2br w:val="nil"/>
              <w:tr2bl w:val="nil"/>
            </w:tcBorders>
            <w:noWrap w:val="0"/>
            <w:vAlign w:val="center"/>
          </w:tcPr>
          <w:p w14:paraId="665BD79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4F9EBCC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1F465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1183" w:type="dxa"/>
            <w:vMerge w:val="continue"/>
            <w:tcBorders>
              <w:tl2br w:val="nil"/>
              <w:tr2bl w:val="nil"/>
            </w:tcBorders>
            <w:noWrap w:val="0"/>
            <w:vAlign w:val="center"/>
          </w:tcPr>
          <w:p w14:paraId="678162A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p>
        </w:tc>
        <w:tc>
          <w:tcPr>
            <w:tcW w:w="1695" w:type="dxa"/>
            <w:tcBorders>
              <w:tl2br w:val="nil"/>
              <w:tr2bl w:val="nil"/>
            </w:tcBorders>
            <w:noWrap w:val="0"/>
            <w:vAlign w:val="center"/>
          </w:tcPr>
          <w:p w14:paraId="58B8E7B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305" w:type="dxa"/>
            <w:tcBorders>
              <w:tl2br w:val="nil"/>
              <w:tr2bl w:val="nil"/>
            </w:tcBorders>
            <w:noWrap w:val="0"/>
            <w:vAlign w:val="center"/>
          </w:tcPr>
          <w:p w14:paraId="10DA524D">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40" w:type="dxa"/>
            <w:tcBorders>
              <w:tl2br w:val="nil"/>
              <w:tr2bl w:val="nil"/>
            </w:tcBorders>
            <w:noWrap w:val="0"/>
            <w:vAlign w:val="center"/>
          </w:tcPr>
          <w:p w14:paraId="1440EF9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8000≤Z＜120000</w:t>
            </w:r>
          </w:p>
        </w:tc>
        <w:tc>
          <w:tcPr>
            <w:tcW w:w="1755" w:type="dxa"/>
            <w:tcBorders>
              <w:tl2br w:val="nil"/>
              <w:tr2bl w:val="nil"/>
            </w:tcBorders>
            <w:noWrap w:val="0"/>
            <w:vAlign w:val="center"/>
          </w:tcPr>
          <w:p w14:paraId="1A78293F">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100≤Z＜8000</w:t>
            </w:r>
          </w:p>
        </w:tc>
        <w:tc>
          <w:tcPr>
            <w:tcW w:w="1278" w:type="dxa"/>
            <w:tcBorders>
              <w:tl2br w:val="nil"/>
              <w:tr2bl w:val="nil"/>
            </w:tcBorders>
            <w:noWrap w:val="0"/>
            <w:vAlign w:val="center"/>
          </w:tcPr>
          <w:p w14:paraId="3F32C66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42793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1183" w:type="dxa"/>
            <w:tcBorders>
              <w:tl2br w:val="nil"/>
              <w:tr2bl w:val="nil"/>
            </w:tcBorders>
            <w:noWrap w:val="0"/>
            <w:vAlign w:val="center"/>
          </w:tcPr>
          <w:p w14:paraId="74B9C78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其他未列明行业</w:t>
            </w:r>
          </w:p>
        </w:tc>
        <w:tc>
          <w:tcPr>
            <w:tcW w:w="1695" w:type="dxa"/>
            <w:tcBorders>
              <w:tl2br w:val="nil"/>
              <w:tr2bl w:val="nil"/>
            </w:tcBorders>
            <w:noWrap w:val="0"/>
            <w:vAlign w:val="center"/>
          </w:tcPr>
          <w:p w14:paraId="52D28582">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305" w:type="dxa"/>
            <w:tcBorders>
              <w:tl2br w:val="nil"/>
              <w:tr2bl w:val="nil"/>
            </w:tcBorders>
            <w:noWrap w:val="0"/>
            <w:vAlign w:val="center"/>
          </w:tcPr>
          <w:p w14:paraId="5F07BCEB">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40" w:type="dxa"/>
            <w:tcBorders>
              <w:tl2br w:val="nil"/>
              <w:tr2bl w:val="nil"/>
            </w:tcBorders>
            <w:noWrap w:val="0"/>
            <w:vAlign w:val="center"/>
          </w:tcPr>
          <w:p w14:paraId="468BD7AA">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755" w:type="dxa"/>
            <w:tcBorders>
              <w:tl2br w:val="nil"/>
              <w:tr2bl w:val="nil"/>
            </w:tcBorders>
            <w:noWrap w:val="0"/>
            <w:vAlign w:val="center"/>
          </w:tcPr>
          <w:p w14:paraId="2BEEAFA4">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278" w:type="dxa"/>
            <w:tcBorders>
              <w:tl2br w:val="nil"/>
              <w:tr2bl w:val="nil"/>
            </w:tcBorders>
            <w:noWrap w:val="0"/>
            <w:vAlign w:val="center"/>
          </w:tcPr>
          <w:p w14:paraId="383A53E0">
            <w:pPr>
              <w:keepNext w:val="0"/>
              <w:keepLines w:val="0"/>
              <w:widowControl/>
              <w:suppressLineNumbers w:val="0"/>
              <w:snapToGrid w:val="0"/>
              <w:spacing w:before="0" w:beforeAutospacing="0" w:after="0" w:afterAutospacing="0"/>
              <w:ind w:left="0" w:right="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bl>
    <w:p w14:paraId="22A1E4C0">
      <w:pPr>
        <w:keepNext w:val="0"/>
        <w:keepLines w:val="0"/>
        <w:pageBreakBefore w:val="0"/>
        <w:widowControl/>
        <w:kinsoku/>
        <w:wordWrap w:val="0"/>
        <w:overflowPunct/>
        <w:topLinePunct w:val="0"/>
        <w:autoSpaceDE/>
        <w:autoSpaceDN/>
        <w:bidi w:val="0"/>
        <w:adjustRightInd w:val="0"/>
        <w:snapToGrid w:val="0"/>
        <w:spacing w:before="100" w:beforeAutospacing="1" w:after="100" w:afterAutospacing="1" w:line="360" w:lineRule="auto"/>
        <w:ind w:left="-420" w:leftChars="-200" w:firstLine="0" w:firstLineChars="0"/>
        <w:jc w:val="left"/>
        <w:textAlignment w:val="baseline"/>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说明：</w:t>
      </w:r>
      <w:r>
        <w:rPr>
          <w:rFonts w:hint="eastAsia" w:ascii="黑体" w:hAnsi="黑体" w:eastAsia="黑体" w:cs="黑体"/>
          <w:color w:val="auto"/>
          <w:sz w:val="24"/>
          <w:szCs w:val="24"/>
          <w:highlight w:val="none"/>
        </w:rPr>
        <w:t>上述标准参照《关于印发中小企业划型标准规定的通知》（工信部联企业[2011]300号），大型、中型和小型企业须同时满足所列指标的下限，否则下划一档；微型企业</w:t>
      </w:r>
      <w:r>
        <w:rPr>
          <w:rFonts w:hint="eastAsia" w:ascii="黑体" w:hAnsi="黑体" w:eastAsia="黑体" w:cs="黑体"/>
          <w:color w:val="auto"/>
          <w:sz w:val="24"/>
          <w:szCs w:val="24"/>
          <w:highlight w:val="none"/>
          <w:lang w:eastAsia="zh-CN"/>
        </w:rPr>
        <w:t>只需</w:t>
      </w:r>
      <w:r>
        <w:rPr>
          <w:rFonts w:hint="eastAsia" w:ascii="黑体" w:hAnsi="黑体" w:eastAsia="黑体" w:cs="黑体"/>
          <w:color w:val="auto"/>
          <w:sz w:val="24"/>
          <w:szCs w:val="24"/>
          <w:highlight w:val="none"/>
        </w:rPr>
        <w:t>满足所列指标中的一项即可。</w:t>
      </w:r>
      <w:bookmarkEnd w:id="223"/>
      <w:bookmarkEnd w:id="224"/>
      <w:bookmarkEnd w:id="225"/>
      <w:bookmarkEnd w:id="226"/>
      <w:bookmarkEnd w:id="227"/>
      <w:bookmarkEnd w:id="228"/>
      <w:bookmarkEnd w:id="229"/>
      <w:bookmarkEnd w:id="230"/>
      <w:bookmarkEnd w:id="231"/>
    </w:p>
    <w:bookmarkEnd w:id="232"/>
    <w:bookmarkEnd w:id="233"/>
    <w:p w14:paraId="3CD7DEF8">
      <w:pPr>
        <w:spacing w:line="360" w:lineRule="auto"/>
        <w:ind w:firstLine="567"/>
        <w:jc w:val="center"/>
        <w:rPr>
          <w:rFonts w:hint="eastAsia" w:ascii="黑体" w:hAnsi="黑体" w:eastAsia="黑体" w:cs="黑体"/>
          <w:b/>
          <w:bCs/>
          <w:color w:val="auto"/>
          <w:sz w:val="28"/>
          <w:szCs w:val="28"/>
          <w:highlight w:val="none"/>
          <w:lang w:eastAsia="zh-CN"/>
        </w:rPr>
      </w:pPr>
      <w:r>
        <w:rPr>
          <w:rFonts w:hint="eastAsia" w:ascii="黑体" w:hAnsi="黑体" w:eastAsia="黑体" w:cs="黑体"/>
          <w:b/>
          <w:bCs/>
          <w:color w:val="auto"/>
          <w:sz w:val="28"/>
          <w:szCs w:val="28"/>
          <w:highlight w:val="none"/>
        </w:rPr>
        <w:t>6-</w:t>
      </w:r>
      <w:r>
        <w:rPr>
          <w:rFonts w:hint="eastAsia" w:ascii="黑体" w:hAnsi="黑体" w:eastAsia="黑体" w:cs="黑体"/>
          <w:b/>
          <w:bCs/>
          <w:color w:val="auto"/>
          <w:sz w:val="28"/>
          <w:szCs w:val="28"/>
          <w:highlight w:val="none"/>
          <w:lang w:val="en-US" w:eastAsia="zh-CN"/>
        </w:rPr>
        <w:t>1</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rPr>
        <w:t>残疾人福利性单位声明函</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lang w:val="en-US" w:eastAsia="zh-CN"/>
        </w:rPr>
        <w:t>如有</w:t>
      </w:r>
      <w:r>
        <w:rPr>
          <w:rFonts w:hint="eastAsia" w:ascii="黑体" w:hAnsi="黑体" w:eastAsia="黑体" w:cs="黑体"/>
          <w:b/>
          <w:bCs/>
          <w:color w:val="auto"/>
          <w:sz w:val="28"/>
          <w:szCs w:val="28"/>
          <w:highlight w:val="none"/>
          <w:lang w:eastAsia="zh-CN"/>
        </w:rPr>
        <w:t>）</w:t>
      </w:r>
    </w:p>
    <w:p w14:paraId="5613A4E3">
      <w:pPr>
        <w:spacing w:line="360" w:lineRule="auto"/>
        <w:ind w:firstLine="567"/>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FE589C4">
      <w:pPr>
        <w:spacing w:line="360" w:lineRule="auto"/>
        <w:ind w:left="1080" w:leftChars="257" w:hanging="54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本单位对上述声明的真实性负责。如有虚假，将依法承担相应责任。</w:t>
      </w:r>
    </w:p>
    <w:p w14:paraId="0B3D31B7">
      <w:pPr>
        <w:spacing w:line="360" w:lineRule="auto"/>
        <w:ind w:left="1080" w:leftChars="257" w:hanging="540"/>
        <w:jc w:val="center"/>
        <w:rPr>
          <w:rFonts w:hint="eastAsia" w:ascii="黑体" w:hAnsi="黑体" w:eastAsia="黑体" w:cs="黑体"/>
          <w:color w:val="auto"/>
          <w:kern w:val="0"/>
          <w:sz w:val="24"/>
          <w:szCs w:val="24"/>
          <w:highlight w:val="none"/>
        </w:rPr>
      </w:pPr>
    </w:p>
    <w:p w14:paraId="4773C81C">
      <w:pPr>
        <w:spacing w:line="360" w:lineRule="auto"/>
        <w:ind w:left="1080" w:leftChars="257" w:hanging="540"/>
        <w:jc w:val="center"/>
        <w:rPr>
          <w:rFonts w:hint="eastAsia" w:ascii="黑体" w:hAnsi="黑体" w:eastAsia="黑体" w:cs="黑体"/>
          <w:color w:val="auto"/>
          <w:kern w:val="0"/>
          <w:sz w:val="24"/>
          <w:szCs w:val="24"/>
          <w:highlight w:val="none"/>
        </w:rPr>
      </w:pPr>
    </w:p>
    <w:p w14:paraId="2E372F58">
      <w:pPr>
        <w:spacing w:line="360" w:lineRule="auto"/>
        <w:ind w:left="1080" w:leftChars="257" w:hanging="540"/>
        <w:jc w:val="center"/>
        <w:rPr>
          <w:rFonts w:hint="eastAsia" w:ascii="黑体" w:hAnsi="黑体" w:eastAsia="黑体" w:cs="黑体"/>
          <w:color w:val="auto"/>
          <w:kern w:val="0"/>
          <w:sz w:val="24"/>
          <w:szCs w:val="24"/>
          <w:highlight w:val="none"/>
          <w:u w:val="single" w:color="FFFFFF"/>
        </w:rPr>
      </w:pPr>
      <w:r>
        <w:rPr>
          <w:rFonts w:hint="eastAsia" w:ascii="黑体" w:hAnsi="黑体" w:eastAsia="黑体" w:cs="黑体"/>
          <w:color w:val="auto"/>
          <w:kern w:val="0"/>
          <w:sz w:val="24"/>
          <w:szCs w:val="24"/>
          <w:highlight w:val="none"/>
        </w:rPr>
        <w:t xml:space="preserve">        残疾人福利性单位名称（</w:t>
      </w:r>
      <w:r>
        <w:rPr>
          <w:rFonts w:hint="eastAsia" w:ascii="黑体" w:hAnsi="黑体" w:eastAsia="黑体" w:cs="黑体"/>
          <w:color w:val="auto"/>
          <w:kern w:val="0"/>
          <w:sz w:val="24"/>
          <w:szCs w:val="24"/>
          <w:highlight w:val="none"/>
          <w:lang w:eastAsia="zh-CN"/>
        </w:rPr>
        <w:t>加</w:t>
      </w:r>
      <w:r>
        <w:rPr>
          <w:rFonts w:hint="eastAsia" w:ascii="黑体" w:hAnsi="黑体" w:eastAsia="黑体" w:cs="黑体"/>
          <w:color w:val="auto"/>
          <w:kern w:val="0"/>
          <w:sz w:val="24"/>
          <w:szCs w:val="24"/>
          <w:highlight w:val="none"/>
        </w:rPr>
        <w:t>盖</w:t>
      </w:r>
      <w:r>
        <w:rPr>
          <w:rFonts w:hint="eastAsia" w:ascii="黑体" w:hAnsi="黑体" w:eastAsia="黑体" w:cs="黑体"/>
          <w:color w:val="auto"/>
          <w:kern w:val="0"/>
          <w:sz w:val="24"/>
          <w:szCs w:val="24"/>
          <w:highlight w:val="none"/>
          <w:lang w:eastAsia="zh-CN"/>
        </w:rPr>
        <w:t>公</w:t>
      </w:r>
      <w:r>
        <w:rPr>
          <w:rFonts w:hint="eastAsia" w:ascii="黑体" w:hAnsi="黑体" w:eastAsia="黑体" w:cs="黑体"/>
          <w:color w:val="auto"/>
          <w:kern w:val="0"/>
          <w:sz w:val="24"/>
          <w:szCs w:val="24"/>
          <w:highlight w:val="none"/>
        </w:rPr>
        <w:t>章</w:t>
      </w:r>
      <w:r>
        <w:rPr>
          <w:rFonts w:hint="eastAsia" w:ascii="黑体" w:hAnsi="黑体" w:eastAsia="黑体" w:cs="黑体"/>
          <w:color w:val="auto"/>
          <w:kern w:val="0"/>
          <w:sz w:val="24"/>
          <w:szCs w:val="24"/>
          <w:highlight w:val="none"/>
          <w:lang w:eastAsia="zh-CN"/>
        </w:rPr>
        <w:t>）：</w:t>
      </w:r>
      <w:r>
        <w:rPr>
          <w:rFonts w:hint="eastAsia" w:ascii="黑体" w:hAnsi="黑体" w:eastAsia="黑体" w:cs="黑体"/>
          <w:color w:val="auto"/>
          <w:kern w:val="0"/>
          <w:sz w:val="24"/>
          <w:szCs w:val="24"/>
          <w:highlight w:val="none"/>
          <w:u w:val="single"/>
          <w:lang w:val="en-US" w:eastAsia="zh-CN"/>
        </w:rPr>
        <w:t xml:space="preserve">        </w:t>
      </w:r>
      <w:r>
        <w:rPr>
          <w:rFonts w:hint="eastAsia" w:ascii="黑体" w:hAnsi="黑体" w:eastAsia="黑体" w:cs="黑体"/>
          <w:color w:val="auto"/>
          <w:kern w:val="0"/>
          <w:sz w:val="24"/>
          <w:szCs w:val="24"/>
          <w:highlight w:val="none"/>
          <w:u w:val="single" w:color="auto"/>
        </w:rPr>
        <w:t xml:space="preserve">      </w:t>
      </w:r>
      <w:r>
        <w:rPr>
          <w:rFonts w:hint="eastAsia" w:ascii="黑体" w:hAnsi="黑体" w:eastAsia="黑体" w:cs="黑体"/>
          <w:color w:val="auto"/>
          <w:kern w:val="0"/>
          <w:sz w:val="24"/>
          <w:szCs w:val="24"/>
          <w:highlight w:val="none"/>
          <w:u w:val="single" w:color="FFFFFF"/>
        </w:rPr>
        <w:t xml:space="preserve">  </w:t>
      </w:r>
    </w:p>
    <w:p w14:paraId="25F42449">
      <w:pPr>
        <w:spacing w:line="360" w:lineRule="auto"/>
        <w:ind w:left="1080" w:leftChars="257" w:hanging="540"/>
        <w:jc w:val="center"/>
        <w:rPr>
          <w:rFonts w:hint="default" w:ascii="黑体" w:hAnsi="黑体" w:eastAsia="黑体" w:cs="黑体"/>
          <w:color w:val="auto"/>
          <w:kern w:val="0"/>
          <w:sz w:val="24"/>
          <w:szCs w:val="24"/>
          <w:highlight w:val="none"/>
          <w:u w:val="single"/>
          <w:lang w:val="en-US" w:eastAsia="zh-CN"/>
        </w:rPr>
      </w:pPr>
      <w:r>
        <w:rPr>
          <w:rFonts w:hint="eastAsia" w:ascii="黑体" w:hAnsi="黑体" w:eastAsia="黑体" w:cs="黑体"/>
          <w:color w:val="auto"/>
          <w:kern w:val="0"/>
          <w:sz w:val="24"/>
          <w:szCs w:val="24"/>
          <w:highlight w:val="none"/>
          <w:lang w:val="en-US" w:eastAsia="zh-CN"/>
        </w:rPr>
        <w:t xml:space="preserve">                                    </w:t>
      </w:r>
      <w:r>
        <w:rPr>
          <w:rFonts w:hint="eastAsia" w:ascii="黑体" w:hAnsi="黑体" w:eastAsia="黑体" w:cs="黑体"/>
          <w:color w:val="auto"/>
          <w:kern w:val="0"/>
          <w:sz w:val="24"/>
          <w:szCs w:val="24"/>
          <w:highlight w:val="none"/>
        </w:rPr>
        <w:t>日  期：</w:t>
      </w:r>
      <w:r>
        <w:rPr>
          <w:rFonts w:hint="eastAsia" w:ascii="黑体" w:hAnsi="黑体" w:eastAsia="黑体" w:cs="黑体"/>
          <w:color w:val="auto"/>
          <w:kern w:val="0"/>
          <w:sz w:val="24"/>
          <w:szCs w:val="24"/>
          <w:highlight w:val="none"/>
          <w:u w:val="single"/>
          <w:lang w:val="en-US" w:eastAsia="zh-CN"/>
        </w:rPr>
        <w:t xml:space="preserve">            </w:t>
      </w:r>
    </w:p>
    <w:p w14:paraId="642A3A99">
      <w:pPr>
        <w:spacing w:line="240" w:lineRule="atLeast"/>
        <w:ind w:left="1080" w:leftChars="257" w:hanging="540"/>
        <w:jc w:val="center"/>
        <w:rPr>
          <w:rFonts w:hint="eastAsia" w:ascii="黑体" w:hAnsi="黑体" w:eastAsia="黑体" w:cs="黑体"/>
          <w:b/>
          <w:color w:val="auto"/>
          <w:kern w:val="0"/>
          <w:sz w:val="24"/>
          <w:szCs w:val="24"/>
          <w:highlight w:val="none"/>
        </w:rPr>
      </w:pPr>
    </w:p>
    <w:p w14:paraId="4563F03B">
      <w:pPr>
        <w:spacing w:line="240" w:lineRule="atLeast"/>
        <w:ind w:left="1080" w:leftChars="257" w:hanging="540"/>
        <w:jc w:val="center"/>
        <w:rPr>
          <w:rFonts w:hint="eastAsia" w:ascii="黑体" w:hAnsi="黑体" w:eastAsia="黑体" w:cs="黑体"/>
          <w:b/>
          <w:color w:val="auto"/>
          <w:kern w:val="0"/>
          <w:sz w:val="24"/>
          <w:szCs w:val="24"/>
          <w:highlight w:val="none"/>
        </w:rPr>
      </w:pPr>
    </w:p>
    <w:p w14:paraId="3E2915AE">
      <w:pPr>
        <w:pStyle w:val="7"/>
        <w:rPr>
          <w:rFonts w:hint="eastAsia" w:ascii="黑体" w:hAnsi="黑体" w:eastAsia="黑体" w:cs="黑体"/>
          <w:b/>
          <w:color w:val="auto"/>
          <w:sz w:val="24"/>
          <w:szCs w:val="24"/>
          <w:highlight w:val="none"/>
        </w:rPr>
      </w:pPr>
    </w:p>
    <w:p w14:paraId="4075F0B0">
      <w:pPr>
        <w:pStyle w:val="7"/>
        <w:rPr>
          <w:rFonts w:hint="eastAsia" w:ascii="黑体" w:hAnsi="黑体" w:eastAsia="黑体" w:cs="黑体"/>
          <w:b/>
          <w:color w:val="auto"/>
          <w:sz w:val="24"/>
          <w:szCs w:val="24"/>
          <w:highlight w:val="none"/>
        </w:rPr>
      </w:pPr>
    </w:p>
    <w:p w14:paraId="0071288F">
      <w:pPr>
        <w:pStyle w:val="7"/>
        <w:rPr>
          <w:rFonts w:hint="eastAsia" w:ascii="黑体" w:hAnsi="黑体" w:eastAsia="黑体" w:cs="黑体"/>
          <w:b/>
          <w:color w:val="auto"/>
          <w:sz w:val="24"/>
          <w:szCs w:val="24"/>
          <w:highlight w:val="none"/>
        </w:rPr>
      </w:pPr>
    </w:p>
    <w:p w14:paraId="551C0CEE">
      <w:pPr>
        <w:pStyle w:val="7"/>
        <w:rPr>
          <w:rFonts w:hint="eastAsia" w:ascii="黑体" w:hAnsi="黑体" w:eastAsia="黑体" w:cs="黑体"/>
          <w:b/>
          <w:color w:val="auto"/>
          <w:sz w:val="24"/>
          <w:szCs w:val="24"/>
          <w:highlight w:val="none"/>
        </w:rPr>
      </w:pPr>
    </w:p>
    <w:p w14:paraId="206289E6">
      <w:pPr>
        <w:pStyle w:val="31"/>
        <w:rPr>
          <w:rFonts w:hint="eastAsia" w:ascii="黑体" w:hAnsi="黑体" w:eastAsia="黑体" w:cs="黑体"/>
          <w:b/>
          <w:color w:val="auto"/>
          <w:sz w:val="24"/>
          <w:szCs w:val="24"/>
          <w:highlight w:val="none"/>
        </w:rPr>
      </w:pPr>
    </w:p>
    <w:p w14:paraId="1C38A07E">
      <w:pPr>
        <w:pStyle w:val="4"/>
        <w:spacing w:before="0" w:line="240" w:lineRule="atLeast"/>
        <w:jc w:val="both"/>
        <w:outlineLvl w:val="9"/>
        <w:rPr>
          <w:rFonts w:hint="eastAsia" w:ascii="黑体" w:hAnsi="黑体" w:eastAsia="黑体" w:cs="黑体"/>
          <w:color w:val="auto"/>
          <w:sz w:val="24"/>
          <w:szCs w:val="24"/>
          <w:highlight w:val="none"/>
        </w:rPr>
      </w:pPr>
      <w:bookmarkStart w:id="234" w:name="_Toc515647827"/>
      <w:bookmarkStart w:id="235" w:name="_Toc10002"/>
      <w:bookmarkStart w:id="236" w:name="_Toc30795"/>
      <w:bookmarkStart w:id="237" w:name="_Toc28125"/>
      <w:bookmarkStart w:id="238" w:name="_Toc13663"/>
      <w:bookmarkStart w:id="239" w:name="_Toc28099"/>
      <w:bookmarkStart w:id="240" w:name="_Toc27212"/>
    </w:p>
    <w:p w14:paraId="10501BA7">
      <w:pPr>
        <w:rPr>
          <w:rFonts w:hint="eastAsia" w:ascii="黑体" w:hAnsi="黑体" w:eastAsia="黑体" w:cs="黑体"/>
          <w:color w:val="auto"/>
          <w:sz w:val="24"/>
          <w:szCs w:val="24"/>
          <w:highlight w:val="none"/>
        </w:rPr>
      </w:pPr>
    </w:p>
    <w:p w14:paraId="3F895CF9">
      <w:pPr>
        <w:pStyle w:val="5"/>
        <w:outlineLvl w:val="9"/>
        <w:rPr>
          <w:rFonts w:hint="eastAsia" w:ascii="黑体" w:hAnsi="黑体" w:eastAsia="黑体" w:cs="黑体"/>
          <w:color w:val="auto"/>
          <w:sz w:val="24"/>
          <w:szCs w:val="24"/>
          <w:highlight w:val="none"/>
        </w:rPr>
      </w:pPr>
    </w:p>
    <w:bookmarkEnd w:id="234"/>
    <w:bookmarkEnd w:id="235"/>
    <w:bookmarkEnd w:id="236"/>
    <w:bookmarkEnd w:id="237"/>
    <w:bookmarkEnd w:id="238"/>
    <w:bookmarkEnd w:id="239"/>
    <w:bookmarkEnd w:id="240"/>
    <w:p w14:paraId="5DC69112">
      <w:pPr>
        <w:rPr>
          <w:rFonts w:hint="eastAsia" w:ascii="黑体" w:hAnsi="黑体" w:eastAsia="黑体" w:cs="黑体"/>
          <w:b/>
          <w:bCs/>
          <w:color w:val="auto"/>
          <w:sz w:val="24"/>
          <w:szCs w:val="24"/>
          <w:highlight w:val="none"/>
          <w:lang w:val="en-US" w:eastAsia="zh-CN"/>
        </w:rPr>
      </w:pPr>
      <w:bookmarkStart w:id="241" w:name="_Toc17333"/>
      <w:bookmarkStart w:id="242" w:name="_Toc515647828"/>
      <w:bookmarkStart w:id="243" w:name="_Toc7414"/>
      <w:bookmarkStart w:id="244" w:name="_Toc14039"/>
      <w:r>
        <w:rPr>
          <w:rFonts w:hint="eastAsia" w:ascii="黑体" w:hAnsi="黑体" w:eastAsia="黑体" w:cs="黑体"/>
          <w:b/>
          <w:bCs/>
          <w:color w:val="auto"/>
          <w:sz w:val="24"/>
          <w:szCs w:val="24"/>
          <w:highlight w:val="none"/>
          <w:lang w:val="en-US" w:eastAsia="zh-CN"/>
        </w:rPr>
        <w:br w:type="page"/>
      </w:r>
    </w:p>
    <w:bookmarkEnd w:id="241"/>
    <w:bookmarkEnd w:id="242"/>
    <w:bookmarkEnd w:id="243"/>
    <w:bookmarkEnd w:id="244"/>
    <w:p w14:paraId="7A894F0A">
      <w:pPr>
        <w:pStyle w:val="4"/>
        <w:bidi w:val="0"/>
        <w:rPr>
          <w:rFonts w:hint="eastAsia"/>
          <w:color w:val="auto"/>
          <w:highlight w:val="none"/>
        </w:rPr>
      </w:pP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其他有利于投标人的文件或证明材料</w:t>
      </w:r>
    </w:p>
    <w:p w14:paraId="107ED3E0">
      <w:pPr>
        <w:jc w:val="center"/>
        <w:rPr>
          <w:rFonts w:hint="eastAsia" w:ascii="黑体" w:hAnsi="黑体" w:eastAsia="黑体" w:cs="黑体"/>
          <w:color w:val="auto"/>
          <w:sz w:val="24"/>
          <w:szCs w:val="24"/>
          <w:highlight w:val="none"/>
        </w:rPr>
      </w:pPr>
    </w:p>
    <w:p w14:paraId="0D0C1D75">
      <w:pPr>
        <w:pStyle w:val="7"/>
        <w:spacing w:line="360" w:lineRule="auto"/>
        <w:ind w:firstLine="480" w:firstLineChars="20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注：参照“第六章评分方法和标准”，提供</w:t>
      </w:r>
      <w:r>
        <w:rPr>
          <w:rFonts w:hint="eastAsia" w:ascii="黑体" w:hAnsi="黑体" w:eastAsia="黑体" w:cs="黑体"/>
          <w:color w:val="auto"/>
          <w:sz w:val="24"/>
          <w:szCs w:val="24"/>
          <w:highlight w:val="none"/>
          <w:lang w:eastAsia="zh-CN"/>
        </w:rPr>
        <w:t>有利于</w:t>
      </w:r>
      <w:r>
        <w:rPr>
          <w:rFonts w:hint="eastAsia" w:ascii="黑体" w:hAnsi="黑体" w:eastAsia="黑体" w:cs="黑体"/>
          <w:color w:val="auto"/>
          <w:sz w:val="24"/>
          <w:szCs w:val="24"/>
          <w:highlight w:val="none"/>
        </w:rPr>
        <w:t>投标人的其他证明文件或服务方案、</w:t>
      </w:r>
      <w:r>
        <w:rPr>
          <w:rFonts w:hint="eastAsia" w:ascii="黑体" w:hAnsi="黑体" w:eastAsia="黑体" w:cs="黑体"/>
          <w:color w:val="auto"/>
          <w:sz w:val="24"/>
          <w:szCs w:val="24"/>
          <w:highlight w:val="none"/>
          <w:lang w:eastAsia="zh-CN"/>
        </w:rPr>
        <w:t>实施方案</w:t>
      </w:r>
      <w:r>
        <w:rPr>
          <w:rFonts w:hint="eastAsia" w:ascii="黑体" w:hAnsi="黑体" w:eastAsia="黑体" w:cs="黑体"/>
          <w:color w:val="auto"/>
          <w:sz w:val="24"/>
          <w:szCs w:val="24"/>
          <w:highlight w:val="none"/>
        </w:rPr>
        <w:t>等。</w:t>
      </w:r>
    </w:p>
    <w:p w14:paraId="565E2B35">
      <w:pPr>
        <w:spacing w:line="240" w:lineRule="atLeast"/>
        <w:ind w:left="1080" w:leftChars="257" w:hanging="540"/>
        <w:jc w:val="center"/>
        <w:rPr>
          <w:rFonts w:hint="eastAsia" w:ascii="黑体" w:hAnsi="黑体" w:eastAsia="黑体" w:cs="黑体"/>
          <w:b/>
          <w:color w:val="auto"/>
          <w:sz w:val="24"/>
          <w:szCs w:val="24"/>
          <w:highlight w:val="none"/>
        </w:rPr>
      </w:pPr>
    </w:p>
    <w:p w14:paraId="1423DB9C">
      <w:pPr>
        <w:spacing w:line="240" w:lineRule="atLeast"/>
        <w:ind w:left="1080" w:leftChars="257" w:hanging="540"/>
        <w:jc w:val="center"/>
        <w:rPr>
          <w:rFonts w:hint="eastAsia" w:ascii="黑体" w:hAnsi="黑体" w:eastAsia="黑体" w:cs="黑体"/>
          <w:b/>
          <w:bCs/>
          <w:color w:val="auto"/>
          <w:sz w:val="24"/>
          <w:szCs w:val="24"/>
          <w:highlight w:val="none"/>
        </w:rPr>
      </w:pPr>
    </w:p>
    <w:p w14:paraId="70A58944">
      <w:pPr>
        <w:spacing w:line="240" w:lineRule="atLeast"/>
        <w:ind w:left="1080" w:leftChars="257" w:hanging="540"/>
        <w:jc w:val="center"/>
        <w:rPr>
          <w:rFonts w:hint="eastAsia" w:ascii="黑体" w:hAnsi="黑体" w:eastAsia="黑体" w:cs="黑体"/>
          <w:b/>
          <w:color w:val="auto"/>
          <w:sz w:val="24"/>
          <w:szCs w:val="24"/>
          <w:highlight w:val="none"/>
        </w:rPr>
      </w:pPr>
    </w:p>
    <w:p w14:paraId="7D2240D0">
      <w:pPr>
        <w:pStyle w:val="7"/>
        <w:ind w:left="0" w:leftChars="0" w:firstLine="0" w:firstLineChars="0"/>
        <w:rPr>
          <w:rFonts w:hint="eastAsia" w:ascii="黑体" w:hAnsi="黑体" w:eastAsia="黑体" w:cs="黑体"/>
          <w:color w:val="auto"/>
          <w:sz w:val="24"/>
          <w:szCs w:val="24"/>
          <w:highlight w:val="none"/>
        </w:rPr>
      </w:pPr>
    </w:p>
    <w:p w14:paraId="39525992">
      <w:pPr>
        <w:pStyle w:val="4"/>
        <w:bidi w:val="0"/>
        <w:rPr>
          <w:rFonts w:hint="eastAsia" w:ascii="黑体" w:hAnsi="黑体" w:eastAsia="黑体" w:cs="黑体"/>
          <w:b/>
          <w:color w:val="auto"/>
          <w:szCs w:val="28"/>
          <w:highlight w:val="none"/>
          <w:lang w:val="en-US" w:eastAsia="zh-CN"/>
        </w:rPr>
      </w:pPr>
      <w:r>
        <w:rPr>
          <w:rFonts w:hint="eastAsia" w:ascii="黑体" w:hAnsi="黑体" w:eastAsia="黑体" w:cs="黑体"/>
          <w:b/>
          <w:color w:val="auto"/>
          <w:szCs w:val="24"/>
          <w:highlight w:val="none"/>
          <w:lang w:val="en-US" w:eastAsia="zh-CN"/>
        </w:rPr>
        <w:br w:type="page"/>
      </w:r>
      <w:r>
        <w:rPr>
          <w:rFonts w:hint="eastAsia"/>
          <w:color w:val="auto"/>
          <w:highlight w:val="none"/>
          <w:lang w:val="en-US" w:eastAsia="zh-CN"/>
        </w:rPr>
        <w:t>8、其他有利于投标的资料</w:t>
      </w:r>
    </w:p>
    <w:p w14:paraId="0DEA08C5">
      <w:pPr>
        <w:pStyle w:val="10"/>
        <w:tabs>
          <w:tab w:val="left" w:pos="567"/>
        </w:tabs>
        <w:spacing w:before="60" w:line="222" w:lineRule="auto"/>
        <w:ind w:left="64"/>
        <w:rPr>
          <w:rFonts w:hint="eastAsia" w:ascii="黑体" w:hAnsi="黑体" w:eastAsia="黑体" w:cs="黑体"/>
          <w:color w:val="auto"/>
          <w:spacing w:val="-13"/>
          <w:sz w:val="28"/>
          <w:szCs w:val="28"/>
          <w:highlight w:val="none"/>
        </w:rPr>
      </w:pPr>
      <w:bookmarkStart w:id="245" w:name="_Toc28822"/>
      <w:bookmarkStart w:id="246" w:name="_Toc29797"/>
      <w:bookmarkStart w:id="247" w:name="_Toc20718"/>
      <w:r>
        <w:rPr>
          <w:rFonts w:hint="eastAsia" w:ascii="黑体" w:hAnsi="黑体" w:eastAsia="黑体" w:cs="黑体"/>
          <w:color w:val="auto"/>
          <w:spacing w:val="-13"/>
          <w:sz w:val="28"/>
          <w:szCs w:val="28"/>
          <w:highlight w:val="none"/>
        </w:rPr>
        <w:t>附件 1</w:t>
      </w:r>
    </w:p>
    <w:p w14:paraId="7FBD8A91">
      <w:pPr>
        <w:pStyle w:val="10"/>
        <w:tabs>
          <w:tab w:val="left" w:pos="567"/>
        </w:tabs>
        <w:spacing w:before="60" w:line="222" w:lineRule="auto"/>
        <w:ind w:left="64"/>
        <w:jc w:val="center"/>
        <w:rPr>
          <w:rFonts w:hint="eastAsia" w:ascii="黑体" w:hAnsi="黑体" w:eastAsia="黑体" w:cs="黑体"/>
          <w:color w:val="auto"/>
          <w:sz w:val="28"/>
          <w:szCs w:val="28"/>
          <w:highlight w:val="none"/>
        </w:rPr>
      </w:pPr>
      <w:r>
        <w:rPr>
          <w:rFonts w:hint="eastAsia" w:ascii="黑体" w:hAnsi="黑体" w:eastAsia="黑体" w:cs="黑体"/>
          <w:b/>
          <w:bCs/>
          <w:color w:val="auto"/>
          <w:spacing w:val="-13"/>
          <w:sz w:val="28"/>
          <w:szCs w:val="28"/>
          <w:highlight w:val="none"/>
        </w:rPr>
        <w:t>投标人基本情况表</w:t>
      </w:r>
    </w:p>
    <w:p w14:paraId="5667C6FC">
      <w:pPr>
        <w:spacing w:line="124" w:lineRule="exact"/>
        <w:rPr>
          <w:rFonts w:hint="eastAsia" w:ascii="黑体" w:hAnsi="黑体" w:eastAsia="黑体" w:cs="黑体"/>
          <w:color w:val="auto"/>
          <w:sz w:val="24"/>
          <w:szCs w:val="24"/>
          <w:highlight w:val="none"/>
        </w:rPr>
      </w:pPr>
    </w:p>
    <w:tbl>
      <w:tblPr>
        <w:tblStyle w:val="28"/>
        <w:tblW w:w="864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5"/>
        <w:gridCol w:w="539"/>
        <w:gridCol w:w="362"/>
        <w:gridCol w:w="1141"/>
        <w:gridCol w:w="848"/>
        <w:gridCol w:w="590"/>
        <w:gridCol w:w="1375"/>
        <w:gridCol w:w="1327"/>
        <w:gridCol w:w="1736"/>
      </w:tblGrid>
      <w:tr w14:paraId="0A94F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626" w:type="dxa"/>
            <w:gridSpan w:val="3"/>
            <w:tcBorders>
              <w:tl2br w:val="nil"/>
              <w:tr2bl w:val="nil"/>
            </w:tcBorders>
            <w:noWrap w:val="0"/>
            <w:vAlign w:val="center"/>
          </w:tcPr>
          <w:p w14:paraId="25601CCC">
            <w:pPr>
              <w:pStyle w:val="29"/>
              <w:spacing w:before="257" w:line="23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投标单位名称</w:t>
            </w:r>
          </w:p>
        </w:tc>
        <w:tc>
          <w:tcPr>
            <w:tcW w:w="3954" w:type="dxa"/>
            <w:gridSpan w:val="4"/>
            <w:tcBorders>
              <w:tl2br w:val="nil"/>
              <w:tr2bl w:val="nil"/>
            </w:tcBorders>
            <w:noWrap w:val="0"/>
            <w:vAlign w:val="center"/>
          </w:tcPr>
          <w:p w14:paraId="5D3CF3DC">
            <w:pPr>
              <w:jc w:val="center"/>
              <w:rPr>
                <w:rFonts w:hint="eastAsia" w:ascii="黑体" w:hAnsi="黑体" w:eastAsia="黑体" w:cs="黑体"/>
                <w:color w:val="auto"/>
                <w:sz w:val="24"/>
                <w:szCs w:val="24"/>
                <w:highlight w:val="none"/>
              </w:rPr>
            </w:pPr>
          </w:p>
        </w:tc>
        <w:tc>
          <w:tcPr>
            <w:tcW w:w="1327" w:type="dxa"/>
            <w:tcBorders>
              <w:tl2br w:val="nil"/>
              <w:tr2bl w:val="nil"/>
            </w:tcBorders>
            <w:noWrap w:val="0"/>
            <w:vAlign w:val="center"/>
          </w:tcPr>
          <w:p w14:paraId="3ABE04BB">
            <w:pPr>
              <w:pStyle w:val="29"/>
              <w:spacing w:before="260"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法定代表人</w:t>
            </w:r>
          </w:p>
        </w:tc>
        <w:tc>
          <w:tcPr>
            <w:tcW w:w="1736" w:type="dxa"/>
            <w:tcBorders>
              <w:tl2br w:val="nil"/>
              <w:tr2bl w:val="nil"/>
            </w:tcBorders>
            <w:noWrap w:val="0"/>
            <w:vAlign w:val="center"/>
          </w:tcPr>
          <w:p w14:paraId="4D13C026">
            <w:pPr>
              <w:jc w:val="center"/>
              <w:rPr>
                <w:rFonts w:hint="eastAsia" w:ascii="黑体" w:hAnsi="黑体" w:eastAsia="黑体" w:cs="黑体"/>
                <w:color w:val="auto"/>
                <w:sz w:val="24"/>
                <w:szCs w:val="24"/>
                <w:highlight w:val="none"/>
              </w:rPr>
            </w:pPr>
          </w:p>
        </w:tc>
      </w:tr>
      <w:tr w14:paraId="6C536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626" w:type="dxa"/>
            <w:gridSpan w:val="3"/>
            <w:tcBorders>
              <w:tl2br w:val="nil"/>
              <w:tr2bl w:val="nil"/>
            </w:tcBorders>
            <w:noWrap w:val="0"/>
            <w:vAlign w:val="center"/>
          </w:tcPr>
          <w:p w14:paraId="71130282">
            <w:pPr>
              <w:pStyle w:val="29"/>
              <w:spacing w:before="247"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组织机构代码</w:t>
            </w:r>
          </w:p>
        </w:tc>
        <w:tc>
          <w:tcPr>
            <w:tcW w:w="3954" w:type="dxa"/>
            <w:gridSpan w:val="4"/>
            <w:tcBorders>
              <w:tl2br w:val="nil"/>
              <w:tr2bl w:val="nil"/>
            </w:tcBorders>
            <w:noWrap w:val="0"/>
            <w:vAlign w:val="center"/>
          </w:tcPr>
          <w:p w14:paraId="35DFEE1E">
            <w:pPr>
              <w:jc w:val="center"/>
              <w:rPr>
                <w:rFonts w:hint="eastAsia" w:ascii="黑体" w:hAnsi="黑体" w:eastAsia="黑体" w:cs="黑体"/>
                <w:color w:val="auto"/>
                <w:sz w:val="24"/>
                <w:szCs w:val="24"/>
                <w:highlight w:val="none"/>
              </w:rPr>
            </w:pPr>
          </w:p>
        </w:tc>
        <w:tc>
          <w:tcPr>
            <w:tcW w:w="1327" w:type="dxa"/>
            <w:tcBorders>
              <w:tl2br w:val="nil"/>
              <w:tr2bl w:val="nil"/>
            </w:tcBorders>
            <w:noWrap w:val="0"/>
            <w:vAlign w:val="center"/>
          </w:tcPr>
          <w:p w14:paraId="46577B83">
            <w:pPr>
              <w:pStyle w:val="29"/>
              <w:spacing w:before="244"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邮政编码</w:t>
            </w:r>
          </w:p>
        </w:tc>
        <w:tc>
          <w:tcPr>
            <w:tcW w:w="1736" w:type="dxa"/>
            <w:tcBorders>
              <w:tl2br w:val="nil"/>
              <w:tr2bl w:val="nil"/>
            </w:tcBorders>
            <w:noWrap w:val="0"/>
            <w:vAlign w:val="center"/>
          </w:tcPr>
          <w:p w14:paraId="570DE96A">
            <w:pPr>
              <w:jc w:val="center"/>
              <w:rPr>
                <w:rFonts w:hint="eastAsia" w:ascii="黑体" w:hAnsi="黑体" w:eastAsia="黑体" w:cs="黑体"/>
                <w:color w:val="auto"/>
                <w:sz w:val="24"/>
                <w:szCs w:val="24"/>
                <w:highlight w:val="none"/>
              </w:rPr>
            </w:pPr>
          </w:p>
        </w:tc>
      </w:tr>
      <w:tr w14:paraId="65D7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1626" w:type="dxa"/>
            <w:gridSpan w:val="3"/>
            <w:tcBorders>
              <w:tl2br w:val="nil"/>
              <w:tr2bl w:val="nil"/>
            </w:tcBorders>
            <w:noWrap w:val="0"/>
            <w:vAlign w:val="center"/>
          </w:tcPr>
          <w:p w14:paraId="27EA66BD">
            <w:pPr>
              <w:pStyle w:val="29"/>
              <w:spacing w:before="276"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委托代理人</w:t>
            </w:r>
          </w:p>
        </w:tc>
        <w:tc>
          <w:tcPr>
            <w:tcW w:w="3954" w:type="dxa"/>
            <w:gridSpan w:val="4"/>
            <w:tcBorders>
              <w:tl2br w:val="nil"/>
              <w:tr2bl w:val="nil"/>
            </w:tcBorders>
            <w:noWrap w:val="0"/>
            <w:vAlign w:val="center"/>
          </w:tcPr>
          <w:p w14:paraId="1FACF9C6">
            <w:pPr>
              <w:jc w:val="center"/>
              <w:rPr>
                <w:rFonts w:hint="eastAsia" w:ascii="黑体" w:hAnsi="黑体" w:eastAsia="黑体" w:cs="黑体"/>
                <w:color w:val="auto"/>
                <w:sz w:val="24"/>
                <w:szCs w:val="24"/>
                <w:highlight w:val="none"/>
              </w:rPr>
            </w:pPr>
          </w:p>
        </w:tc>
        <w:tc>
          <w:tcPr>
            <w:tcW w:w="1327" w:type="dxa"/>
            <w:tcBorders>
              <w:tl2br w:val="nil"/>
              <w:tr2bl w:val="nil"/>
            </w:tcBorders>
            <w:noWrap w:val="0"/>
            <w:vAlign w:val="center"/>
          </w:tcPr>
          <w:p w14:paraId="58E09CA6">
            <w:pPr>
              <w:pStyle w:val="29"/>
              <w:spacing w:before="273" w:line="23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电子邮箱</w:t>
            </w:r>
          </w:p>
        </w:tc>
        <w:tc>
          <w:tcPr>
            <w:tcW w:w="1736" w:type="dxa"/>
            <w:tcBorders>
              <w:tl2br w:val="nil"/>
              <w:tr2bl w:val="nil"/>
            </w:tcBorders>
            <w:noWrap w:val="0"/>
            <w:vAlign w:val="center"/>
          </w:tcPr>
          <w:p w14:paraId="71832095">
            <w:pPr>
              <w:jc w:val="center"/>
              <w:rPr>
                <w:rFonts w:hint="eastAsia" w:ascii="黑体" w:hAnsi="黑体" w:eastAsia="黑体" w:cs="黑体"/>
                <w:color w:val="auto"/>
                <w:sz w:val="24"/>
                <w:szCs w:val="24"/>
                <w:highlight w:val="none"/>
              </w:rPr>
            </w:pPr>
          </w:p>
        </w:tc>
      </w:tr>
      <w:tr w14:paraId="0CDDE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626" w:type="dxa"/>
            <w:gridSpan w:val="3"/>
            <w:tcBorders>
              <w:tl2br w:val="nil"/>
              <w:tr2bl w:val="nil"/>
            </w:tcBorders>
            <w:noWrap w:val="0"/>
            <w:vAlign w:val="center"/>
          </w:tcPr>
          <w:p w14:paraId="66E1B5DE">
            <w:pPr>
              <w:pStyle w:val="29"/>
              <w:spacing w:before="280"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联系电话</w:t>
            </w:r>
          </w:p>
        </w:tc>
        <w:tc>
          <w:tcPr>
            <w:tcW w:w="3954" w:type="dxa"/>
            <w:gridSpan w:val="4"/>
            <w:tcBorders>
              <w:tl2br w:val="nil"/>
              <w:tr2bl w:val="nil"/>
            </w:tcBorders>
            <w:noWrap w:val="0"/>
            <w:vAlign w:val="center"/>
          </w:tcPr>
          <w:p w14:paraId="6AA2982F">
            <w:pPr>
              <w:jc w:val="center"/>
              <w:rPr>
                <w:rFonts w:hint="eastAsia" w:ascii="黑体" w:hAnsi="黑体" w:eastAsia="黑体" w:cs="黑体"/>
                <w:color w:val="auto"/>
                <w:sz w:val="24"/>
                <w:szCs w:val="24"/>
                <w:highlight w:val="none"/>
              </w:rPr>
            </w:pPr>
          </w:p>
        </w:tc>
        <w:tc>
          <w:tcPr>
            <w:tcW w:w="1327" w:type="dxa"/>
            <w:tcBorders>
              <w:tl2br w:val="nil"/>
              <w:tr2bl w:val="nil"/>
            </w:tcBorders>
            <w:noWrap w:val="0"/>
            <w:vAlign w:val="center"/>
          </w:tcPr>
          <w:p w14:paraId="4AE8AB5A">
            <w:pPr>
              <w:pStyle w:val="29"/>
              <w:spacing w:before="280"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员工总人数</w:t>
            </w:r>
          </w:p>
        </w:tc>
        <w:tc>
          <w:tcPr>
            <w:tcW w:w="1736" w:type="dxa"/>
            <w:tcBorders>
              <w:tl2br w:val="nil"/>
              <w:tr2bl w:val="nil"/>
            </w:tcBorders>
            <w:noWrap w:val="0"/>
            <w:vAlign w:val="center"/>
          </w:tcPr>
          <w:p w14:paraId="4CA614C2">
            <w:pPr>
              <w:jc w:val="center"/>
              <w:rPr>
                <w:rFonts w:hint="eastAsia" w:ascii="黑体" w:hAnsi="黑体" w:eastAsia="黑体" w:cs="黑体"/>
                <w:color w:val="auto"/>
                <w:sz w:val="24"/>
                <w:szCs w:val="24"/>
                <w:highlight w:val="none"/>
              </w:rPr>
            </w:pPr>
          </w:p>
        </w:tc>
      </w:tr>
      <w:tr w14:paraId="296B3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1626" w:type="dxa"/>
            <w:gridSpan w:val="3"/>
            <w:tcBorders>
              <w:tl2br w:val="nil"/>
              <w:tr2bl w:val="nil"/>
            </w:tcBorders>
            <w:noWrap w:val="0"/>
            <w:vAlign w:val="center"/>
          </w:tcPr>
          <w:p w14:paraId="1333CDC2">
            <w:pPr>
              <w:pStyle w:val="29"/>
              <w:spacing w:before="276"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固定电话</w:t>
            </w:r>
          </w:p>
        </w:tc>
        <w:tc>
          <w:tcPr>
            <w:tcW w:w="3954" w:type="dxa"/>
            <w:gridSpan w:val="4"/>
            <w:tcBorders>
              <w:tl2br w:val="nil"/>
              <w:tr2bl w:val="nil"/>
            </w:tcBorders>
            <w:noWrap w:val="0"/>
            <w:vAlign w:val="center"/>
          </w:tcPr>
          <w:p w14:paraId="55C25D56">
            <w:pPr>
              <w:jc w:val="center"/>
              <w:rPr>
                <w:rFonts w:hint="eastAsia" w:ascii="黑体" w:hAnsi="黑体" w:eastAsia="黑体" w:cs="黑体"/>
                <w:color w:val="auto"/>
                <w:sz w:val="24"/>
                <w:szCs w:val="24"/>
                <w:highlight w:val="none"/>
              </w:rPr>
            </w:pPr>
          </w:p>
        </w:tc>
        <w:tc>
          <w:tcPr>
            <w:tcW w:w="1327" w:type="dxa"/>
            <w:tcBorders>
              <w:tl2br w:val="nil"/>
              <w:tr2bl w:val="nil"/>
            </w:tcBorders>
            <w:noWrap w:val="0"/>
            <w:vAlign w:val="center"/>
          </w:tcPr>
          <w:p w14:paraId="0A35E449">
            <w:pPr>
              <w:jc w:val="center"/>
              <w:rPr>
                <w:rFonts w:hint="eastAsia" w:ascii="黑体" w:hAnsi="黑体" w:eastAsia="黑体" w:cs="黑体"/>
                <w:color w:val="auto"/>
                <w:sz w:val="24"/>
                <w:szCs w:val="24"/>
                <w:highlight w:val="none"/>
              </w:rPr>
            </w:pPr>
          </w:p>
        </w:tc>
        <w:tc>
          <w:tcPr>
            <w:tcW w:w="1736" w:type="dxa"/>
            <w:tcBorders>
              <w:tl2br w:val="nil"/>
              <w:tr2bl w:val="nil"/>
            </w:tcBorders>
            <w:noWrap w:val="0"/>
            <w:vAlign w:val="center"/>
          </w:tcPr>
          <w:p w14:paraId="2411C25E">
            <w:pPr>
              <w:jc w:val="center"/>
              <w:rPr>
                <w:rFonts w:hint="eastAsia" w:ascii="黑体" w:hAnsi="黑体" w:eastAsia="黑体" w:cs="黑体"/>
                <w:color w:val="auto"/>
                <w:sz w:val="24"/>
                <w:szCs w:val="24"/>
                <w:highlight w:val="none"/>
              </w:rPr>
            </w:pPr>
          </w:p>
        </w:tc>
      </w:tr>
      <w:tr w14:paraId="15786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725" w:type="dxa"/>
            <w:vMerge w:val="restart"/>
            <w:tcBorders>
              <w:tl2br w:val="nil"/>
              <w:tr2bl w:val="nil"/>
            </w:tcBorders>
            <w:noWrap w:val="0"/>
            <w:vAlign w:val="center"/>
          </w:tcPr>
          <w:p w14:paraId="0FB4A5B1">
            <w:pPr>
              <w:pStyle w:val="29"/>
              <w:spacing w:before="62" w:line="454"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pacing w:val="-1"/>
                <w:position w:val="19"/>
                <w:sz w:val="24"/>
                <w:szCs w:val="24"/>
                <w:highlight w:val="none"/>
              </w:rPr>
              <w:t>营业</w:t>
            </w:r>
          </w:p>
          <w:p w14:paraId="53BE88A5">
            <w:pPr>
              <w:pStyle w:val="29"/>
              <w:spacing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执照</w:t>
            </w:r>
          </w:p>
        </w:tc>
        <w:tc>
          <w:tcPr>
            <w:tcW w:w="2042" w:type="dxa"/>
            <w:gridSpan w:val="3"/>
            <w:tcBorders>
              <w:tl2br w:val="nil"/>
              <w:tr2bl w:val="nil"/>
            </w:tcBorders>
            <w:noWrap w:val="0"/>
            <w:vAlign w:val="center"/>
          </w:tcPr>
          <w:p w14:paraId="5B267BEB">
            <w:pPr>
              <w:pStyle w:val="29"/>
              <w:spacing w:before="284" w:line="233"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注册号码</w:t>
            </w:r>
          </w:p>
        </w:tc>
        <w:tc>
          <w:tcPr>
            <w:tcW w:w="1438" w:type="dxa"/>
            <w:gridSpan w:val="2"/>
            <w:tcBorders>
              <w:tl2br w:val="nil"/>
              <w:tr2bl w:val="nil"/>
            </w:tcBorders>
            <w:noWrap w:val="0"/>
            <w:vAlign w:val="center"/>
          </w:tcPr>
          <w:p w14:paraId="77DF1A04">
            <w:pPr>
              <w:jc w:val="center"/>
              <w:rPr>
                <w:rFonts w:hint="eastAsia" w:ascii="黑体" w:hAnsi="黑体" w:eastAsia="黑体" w:cs="黑体"/>
                <w:color w:val="auto"/>
                <w:sz w:val="24"/>
                <w:szCs w:val="24"/>
                <w:highlight w:val="none"/>
              </w:rPr>
            </w:pPr>
          </w:p>
        </w:tc>
        <w:tc>
          <w:tcPr>
            <w:tcW w:w="1375" w:type="dxa"/>
            <w:tcBorders>
              <w:tl2br w:val="nil"/>
              <w:tr2bl w:val="nil"/>
            </w:tcBorders>
            <w:noWrap w:val="0"/>
            <w:vAlign w:val="center"/>
          </w:tcPr>
          <w:p w14:paraId="6EEBE3A9">
            <w:pPr>
              <w:pStyle w:val="29"/>
              <w:spacing w:before="284" w:line="233"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注册地址</w:t>
            </w:r>
          </w:p>
        </w:tc>
        <w:tc>
          <w:tcPr>
            <w:tcW w:w="3063" w:type="dxa"/>
            <w:gridSpan w:val="2"/>
            <w:tcBorders>
              <w:tl2br w:val="nil"/>
              <w:tr2bl w:val="nil"/>
            </w:tcBorders>
            <w:noWrap w:val="0"/>
            <w:vAlign w:val="center"/>
          </w:tcPr>
          <w:p w14:paraId="4A8FE818">
            <w:pPr>
              <w:jc w:val="center"/>
              <w:rPr>
                <w:rFonts w:hint="eastAsia" w:ascii="黑体" w:hAnsi="黑体" w:eastAsia="黑体" w:cs="黑体"/>
                <w:color w:val="auto"/>
                <w:sz w:val="24"/>
                <w:szCs w:val="24"/>
                <w:highlight w:val="none"/>
              </w:rPr>
            </w:pPr>
          </w:p>
        </w:tc>
      </w:tr>
      <w:tr w14:paraId="385EC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725" w:type="dxa"/>
            <w:vMerge w:val="continue"/>
            <w:tcBorders>
              <w:tl2br w:val="nil"/>
              <w:tr2bl w:val="nil"/>
            </w:tcBorders>
            <w:noWrap w:val="0"/>
            <w:vAlign w:val="center"/>
          </w:tcPr>
          <w:p w14:paraId="181B0408">
            <w:pPr>
              <w:jc w:val="center"/>
              <w:rPr>
                <w:rFonts w:hint="eastAsia" w:ascii="黑体" w:hAnsi="黑体" w:eastAsia="黑体" w:cs="黑体"/>
                <w:color w:val="auto"/>
                <w:sz w:val="24"/>
                <w:szCs w:val="24"/>
                <w:highlight w:val="none"/>
              </w:rPr>
            </w:pPr>
          </w:p>
        </w:tc>
        <w:tc>
          <w:tcPr>
            <w:tcW w:w="2042" w:type="dxa"/>
            <w:gridSpan w:val="3"/>
            <w:tcBorders>
              <w:tl2br w:val="nil"/>
              <w:tr2bl w:val="nil"/>
            </w:tcBorders>
            <w:noWrap w:val="0"/>
            <w:vAlign w:val="center"/>
          </w:tcPr>
          <w:p w14:paraId="404C3DB4">
            <w:pPr>
              <w:pStyle w:val="29"/>
              <w:spacing w:before="282"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发证机关</w:t>
            </w:r>
          </w:p>
        </w:tc>
        <w:tc>
          <w:tcPr>
            <w:tcW w:w="1438" w:type="dxa"/>
            <w:gridSpan w:val="2"/>
            <w:tcBorders>
              <w:tl2br w:val="nil"/>
              <w:tr2bl w:val="nil"/>
            </w:tcBorders>
            <w:noWrap w:val="0"/>
            <w:vAlign w:val="center"/>
          </w:tcPr>
          <w:p w14:paraId="41EB99EC">
            <w:pPr>
              <w:jc w:val="center"/>
              <w:rPr>
                <w:rFonts w:hint="eastAsia" w:ascii="黑体" w:hAnsi="黑体" w:eastAsia="黑体" w:cs="黑体"/>
                <w:color w:val="auto"/>
                <w:sz w:val="24"/>
                <w:szCs w:val="24"/>
                <w:highlight w:val="none"/>
              </w:rPr>
            </w:pPr>
          </w:p>
        </w:tc>
        <w:tc>
          <w:tcPr>
            <w:tcW w:w="1375" w:type="dxa"/>
            <w:tcBorders>
              <w:tl2br w:val="nil"/>
              <w:tr2bl w:val="nil"/>
            </w:tcBorders>
            <w:noWrap w:val="0"/>
            <w:vAlign w:val="center"/>
          </w:tcPr>
          <w:p w14:paraId="5ACA7693">
            <w:pPr>
              <w:pStyle w:val="29"/>
              <w:spacing w:before="284"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发证日期</w:t>
            </w:r>
          </w:p>
        </w:tc>
        <w:tc>
          <w:tcPr>
            <w:tcW w:w="3063" w:type="dxa"/>
            <w:gridSpan w:val="2"/>
            <w:tcBorders>
              <w:tl2br w:val="nil"/>
              <w:tr2bl w:val="nil"/>
            </w:tcBorders>
            <w:noWrap w:val="0"/>
            <w:vAlign w:val="center"/>
          </w:tcPr>
          <w:p w14:paraId="6BFFBFB6">
            <w:pPr>
              <w:jc w:val="center"/>
              <w:rPr>
                <w:rFonts w:hint="eastAsia" w:ascii="黑体" w:hAnsi="黑体" w:eastAsia="黑体" w:cs="黑体"/>
                <w:color w:val="auto"/>
                <w:sz w:val="24"/>
                <w:szCs w:val="24"/>
                <w:highlight w:val="none"/>
              </w:rPr>
            </w:pPr>
          </w:p>
        </w:tc>
      </w:tr>
      <w:tr w14:paraId="0E9BB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725" w:type="dxa"/>
            <w:vMerge w:val="continue"/>
            <w:tcBorders>
              <w:tl2br w:val="nil"/>
              <w:tr2bl w:val="nil"/>
            </w:tcBorders>
            <w:noWrap w:val="0"/>
            <w:vAlign w:val="center"/>
          </w:tcPr>
          <w:p w14:paraId="376C1942">
            <w:pPr>
              <w:jc w:val="center"/>
              <w:rPr>
                <w:rFonts w:hint="eastAsia" w:ascii="黑体" w:hAnsi="黑体" w:eastAsia="黑体" w:cs="黑体"/>
                <w:color w:val="auto"/>
                <w:sz w:val="24"/>
                <w:szCs w:val="24"/>
                <w:highlight w:val="none"/>
              </w:rPr>
            </w:pPr>
          </w:p>
        </w:tc>
        <w:tc>
          <w:tcPr>
            <w:tcW w:w="2042" w:type="dxa"/>
            <w:gridSpan w:val="3"/>
            <w:tcBorders>
              <w:tl2br w:val="nil"/>
              <w:tr2bl w:val="nil"/>
            </w:tcBorders>
            <w:noWrap w:val="0"/>
            <w:vAlign w:val="center"/>
          </w:tcPr>
          <w:p w14:paraId="765BCB35">
            <w:pPr>
              <w:pStyle w:val="29"/>
              <w:spacing w:before="283" w:line="232"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营业范围（主营）</w:t>
            </w:r>
          </w:p>
        </w:tc>
        <w:tc>
          <w:tcPr>
            <w:tcW w:w="5876" w:type="dxa"/>
            <w:gridSpan w:val="5"/>
            <w:tcBorders>
              <w:tl2br w:val="nil"/>
              <w:tr2bl w:val="nil"/>
            </w:tcBorders>
            <w:noWrap w:val="0"/>
            <w:vAlign w:val="center"/>
          </w:tcPr>
          <w:p w14:paraId="342019E5">
            <w:pPr>
              <w:jc w:val="center"/>
              <w:rPr>
                <w:rFonts w:hint="eastAsia" w:ascii="黑体" w:hAnsi="黑体" w:eastAsia="黑体" w:cs="黑体"/>
                <w:color w:val="auto"/>
                <w:sz w:val="24"/>
                <w:szCs w:val="24"/>
                <w:highlight w:val="none"/>
              </w:rPr>
            </w:pPr>
          </w:p>
        </w:tc>
      </w:tr>
      <w:tr w14:paraId="7D2A2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725" w:type="dxa"/>
            <w:vMerge w:val="continue"/>
            <w:tcBorders>
              <w:tl2br w:val="nil"/>
              <w:tr2bl w:val="nil"/>
            </w:tcBorders>
            <w:noWrap w:val="0"/>
            <w:vAlign w:val="center"/>
          </w:tcPr>
          <w:p w14:paraId="21DE2BFB">
            <w:pPr>
              <w:jc w:val="center"/>
              <w:rPr>
                <w:rFonts w:hint="eastAsia" w:ascii="黑体" w:hAnsi="黑体" w:eastAsia="黑体" w:cs="黑体"/>
                <w:color w:val="auto"/>
                <w:sz w:val="24"/>
                <w:szCs w:val="24"/>
                <w:highlight w:val="none"/>
              </w:rPr>
            </w:pPr>
          </w:p>
        </w:tc>
        <w:tc>
          <w:tcPr>
            <w:tcW w:w="2042" w:type="dxa"/>
            <w:gridSpan w:val="3"/>
            <w:tcBorders>
              <w:tl2br w:val="nil"/>
              <w:tr2bl w:val="nil"/>
            </w:tcBorders>
            <w:noWrap w:val="0"/>
            <w:vAlign w:val="center"/>
          </w:tcPr>
          <w:p w14:paraId="722BEDF6">
            <w:pPr>
              <w:pStyle w:val="29"/>
              <w:spacing w:before="283" w:line="229"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营业范围（兼营）</w:t>
            </w:r>
          </w:p>
        </w:tc>
        <w:tc>
          <w:tcPr>
            <w:tcW w:w="5876" w:type="dxa"/>
            <w:gridSpan w:val="5"/>
            <w:tcBorders>
              <w:tl2br w:val="nil"/>
              <w:tr2bl w:val="nil"/>
            </w:tcBorders>
            <w:noWrap w:val="0"/>
            <w:vAlign w:val="center"/>
          </w:tcPr>
          <w:p w14:paraId="5CC71DA8">
            <w:pPr>
              <w:jc w:val="center"/>
              <w:rPr>
                <w:rFonts w:hint="eastAsia" w:ascii="黑体" w:hAnsi="黑体" w:eastAsia="黑体" w:cs="黑体"/>
                <w:color w:val="auto"/>
                <w:sz w:val="24"/>
                <w:szCs w:val="24"/>
                <w:highlight w:val="none"/>
              </w:rPr>
            </w:pPr>
          </w:p>
        </w:tc>
      </w:tr>
      <w:tr w14:paraId="155E8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2767" w:type="dxa"/>
            <w:gridSpan w:val="4"/>
            <w:tcBorders>
              <w:tl2br w:val="nil"/>
              <w:tr2bl w:val="nil"/>
            </w:tcBorders>
            <w:noWrap w:val="0"/>
            <w:vAlign w:val="center"/>
          </w:tcPr>
          <w:p w14:paraId="3EAD0933">
            <w:pPr>
              <w:pStyle w:val="29"/>
              <w:spacing w:before="299" w:line="23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基本账户开户行</w:t>
            </w:r>
            <w:r>
              <w:rPr>
                <w:rFonts w:hint="eastAsia" w:ascii="黑体" w:hAnsi="黑体" w:eastAsia="黑体" w:cs="黑体"/>
                <w:color w:val="auto"/>
                <w:spacing w:val="15"/>
                <w:sz w:val="24"/>
                <w:szCs w:val="24"/>
                <w:highlight w:val="none"/>
                <w:lang w:eastAsia="zh-CN"/>
              </w:rPr>
              <w:t>及账号</w:t>
            </w:r>
          </w:p>
        </w:tc>
        <w:tc>
          <w:tcPr>
            <w:tcW w:w="5876" w:type="dxa"/>
            <w:gridSpan w:val="5"/>
            <w:tcBorders>
              <w:tl2br w:val="nil"/>
              <w:tr2bl w:val="nil"/>
            </w:tcBorders>
            <w:noWrap w:val="0"/>
            <w:vAlign w:val="center"/>
          </w:tcPr>
          <w:p w14:paraId="3ABD11CF">
            <w:pPr>
              <w:jc w:val="center"/>
              <w:rPr>
                <w:rFonts w:hint="eastAsia" w:ascii="黑体" w:hAnsi="黑体" w:eastAsia="黑体" w:cs="黑体"/>
                <w:color w:val="auto"/>
                <w:sz w:val="24"/>
                <w:szCs w:val="24"/>
                <w:highlight w:val="none"/>
              </w:rPr>
            </w:pPr>
          </w:p>
        </w:tc>
      </w:tr>
      <w:tr w14:paraId="21654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2767" w:type="dxa"/>
            <w:gridSpan w:val="4"/>
            <w:tcBorders>
              <w:tl2br w:val="nil"/>
              <w:tr2bl w:val="nil"/>
            </w:tcBorders>
            <w:noWrap w:val="0"/>
            <w:vAlign w:val="center"/>
          </w:tcPr>
          <w:p w14:paraId="5BA805AC">
            <w:pPr>
              <w:pStyle w:val="29"/>
              <w:spacing w:before="301"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税务登记机关</w:t>
            </w:r>
          </w:p>
        </w:tc>
        <w:tc>
          <w:tcPr>
            <w:tcW w:w="5876" w:type="dxa"/>
            <w:gridSpan w:val="5"/>
            <w:tcBorders>
              <w:tl2br w:val="nil"/>
              <w:tr2bl w:val="nil"/>
            </w:tcBorders>
            <w:noWrap w:val="0"/>
            <w:vAlign w:val="center"/>
          </w:tcPr>
          <w:p w14:paraId="13EAB35F">
            <w:pPr>
              <w:jc w:val="center"/>
              <w:rPr>
                <w:rFonts w:hint="eastAsia" w:ascii="黑体" w:hAnsi="黑体" w:eastAsia="黑体" w:cs="黑体"/>
                <w:color w:val="auto"/>
                <w:sz w:val="24"/>
                <w:szCs w:val="24"/>
                <w:highlight w:val="none"/>
              </w:rPr>
            </w:pPr>
          </w:p>
        </w:tc>
      </w:tr>
      <w:tr w14:paraId="2DDF4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9" w:hRule="atLeast"/>
        </w:trPr>
        <w:tc>
          <w:tcPr>
            <w:tcW w:w="3615" w:type="dxa"/>
            <w:gridSpan w:val="5"/>
            <w:vMerge w:val="restart"/>
            <w:tcBorders>
              <w:tl2br w:val="nil"/>
              <w:tr2bl w:val="nil"/>
            </w:tcBorders>
            <w:noWrap w:val="0"/>
            <w:vAlign w:val="center"/>
          </w:tcPr>
          <w:p w14:paraId="4D7FCD8C">
            <w:pPr>
              <w:spacing w:line="253" w:lineRule="auto"/>
              <w:jc w:val="center"/>
              <w:rPr>
                <w:rFonts w:hint="eastAsia" w:ascii="黑体" w:hAnsi="黑体" w:eastAsia="黑体" w:cs="黑体"/>
                <w:color w:val="auto"/>
                <w:sz w:val="24"/>
                <w:szCs w:val="24"/>
                <w:highlight w:val="none"/>
              </w:rPr>
            </w:pPr>
          </w:p>
          <w:p w14:paraId="15B368F8">
            <w:pPr>
              <w:spacing w:line="253" w:lineRule="auto"/>
              <w:jc w:val="center"/>
              <w:rPr>
                <w:rFonts w:hint="eastAsia" w:ascii="黑体" w:hAnsi="黑体" w:eastAsia="黑体" w:cs="黑体"/>
                <w:color w:val="auto"/>
                <w:sz w:val="24"/>
                <w:szCs w:val="24"/>
                <w:highlight w:val="none"/>
              </w:rPr>
            </w:pPr>
          </w:p>
          <w:p w14:paraId="4BA75957">
            <w:pPr>
              <w:spacing w:line="254" w:lineRule="auto"/>
              <w:jc w:val="center"/>
              <w:rPr>
                <w:rFonts w:hint="eastAsia" w:ascii="黑体" w:hAnsi="黑体" w:eastAsia="黑体" w:cs="黑体"/>
                <w:color w:val="auto"/>
                <w:sz w:val="24"/>
                <w:szCs w:val="24"/>
                <w:highlight w:val="none"/>
              </w:rPr>
            </w:pPr>
          </w:p>
          <w:p w14:paraId="4D62D4CB">
            <w:pPr>
              <w:spacing w:line="254" w:lineRule="auto"/>
              <w:jc w:val="center"/>
              <w:rPr>
                <w:rFonts w:hint="eastAsia" w:ascii="黑体" w:hAnsi="黑体" w:eastAsia="黑体" w:cs="黑体"/>
                <w:color w:val="auto"/>
                <w:sz w:val="24"/>
                <w:szCs w:val="24"/>
                <w:highlight w:val="none"/>
              </w:rPr>
            </w:pPr>
          </w:p>
          <w:p w14:paraId="2D3082FB">
            <w:pPr>
              <w:pStyle w:val="29"/>
              <w:spacing w:before="62" w:line="231" w:lineRule="auto"/>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pacing w:val="12"/>
                <w:sz w:val="24"/>
                <w:szCs w:val="24"/>
                <w:highlight w:val="none"/>
              </w:rPr>
              <w:t>企业设计人员共计</w:t>
            </w:r>
            <w:r>
              <w:rPr>
                <w:rFonts w:hint="eastAsia" w:ascii="黑体" w:hAnsi="黑体" w:eastAsia="黑体" w:cs="黑体"/>
                <w:color w:val="auto"/>
                <w:spacing w:val="25"/>
                <w:w w:val="101"/>
                <w:sz w:val="24"/>
                <w:szCs w:val="24"/>
                <w:highlight w:val="none"/>
                <w:u w:val="single"/>
              </w:rPr>
              <w:t xml:space="preserve">  </w:t>
            </w:r>
            <w:r>
              <w:rPr>
                <w:rFonts w:hint="eastAsia" w:ascii="黑体" w:hAnsi="黑体" w:eastAsia="黑体" w:cs="黑体"/>
                <w:color w:val="auto"/>
                <w:spacing w:val="25"/>
                <w:w w:val="101"/>
                <w:sz w:val="24"/>
                <w:szCs w:val="24"/>
                <w:highlight w:val="none"/>
                <w:u w:val="single"/>
                <w:lang w:val="en-US" w:eastAsia="zh-CN"/>
              </w:rPr>
              <w:t xml:space="preserve">  </w:t>
            </w:r>
            <w:r>
              <w:rPr>
                <w:rFonts w:hint="eastAsia" w:ascii="黑体" w:hAnsi="黑体" w:eastAsia="黑体" w:cs="黑体"/>
                <w:color w:val="auto"/>
                <w:spacing w:val="25"/>
                <w:w w:val="101"/>
                <w:sz w:val="24"/>
                <w:szCs w:val="24"/>
                <w:highlight w:val="none"/>
                <w:u w:val="single"/>
              </w:rPr>
              <w:t xml:space="preserve"> </w:t>
            </w:r>
            <w:r>
              <w:rPr>
                <w:rFonts w:hint="eastAsia" w:ascii="黑体" w:hAnsi="黑体" w:eastAsia="黑体" w:cs="黑体"/>
                <w:color w:val="auto"/>
                <w:spacing w:val="12"/>
                <w:sz w:val="24"/>
                <w:szCs w:val="24"/>
                <w:highlight w:val="none"/>
              </w:rPr>
              <w:t>人</w:t>
            </w:r>
            <w:r>
              <w:rPr>
                <w:rFonts w:hint="eastAsia" w:ascii="黑体" w:hAnsi="黑体" w:eastAsia="黑体" w:cs="黑体"/>
                <w:color w:val="auto"/>
                <w:spacing w:val="12"/>
                <w:sz w:val="24"/>
                <w:szCs w:val="24"/>
                <w:highlight w:val="none"/>
                <w:lang w:eastAsia="zh-CN"/>
              </w:rPr>
              <w:t>；</w:t>
            </w:r>
          </w:p>
        </w:tc>
        <w:tc>
          <w:tcPr>
            <w:tcW w:w="1965" w:type="dxa"/>
            <w:gridSpan w:val="2"/>
            <w:tcBorders>
              <w:tl2br w:val="nil"/>
              <w:tr2bl w:val="nil"/>
            </w:tcBorders>
            <w:noWrap w:val="0"/>
            <w:vAlign w:val="center"/>
          </w:tcPr>
          <w:p w14:paraId="14282199">
            <w:pPr>
              <w:pStyle w:val="29"/>
              <w:spacing w:before="203" w:line="427" w:lineRule="auto"/>
              <w:ind w:right="123"/>
              <w:jc w:val="center"/>
              <w:rPr>
                <w:rFonts w:hint="eastAsia" w:ascii="黑体" w:hAnsi="黑体" w:eastAsia="黑体" w:cs="黑体"/>
                <w:color w:val="auto"/>
                <w:sz w:val="24"/>
                <w:szCs w:val="24"/>
                <w:highlight w:val="none"/>
              </w:rPr>
            </w:pPr>
            <w:r>
              <w:rPr>
                <w:rFonts w:hint="eastAsia" w:ascii="黑体" w:hAnsi="黑体" w:eastAsia="黑体" w:cs="黑体"/>
                <w:color w:val="auto"/>
                <w:spacing w:val="32"/>
                <w:sz w:val="24"/>
                <w:szCs w:val="24"/>
                <w:highlight w:val="none"/>
              </w:rPr>
              <w:t>中级专业技术职</w:t>
            </w:r>
            <w:r>
              <w:rPr>
                <w:rFonts w:hint="eastAsia" w:ascii="黑体" w:hAnsi="黑体" w:eastAsia="黑体" w:cs="黑体"/>
                <w:color w:val="auto"/>
                <w:spacing w:val="-10"/>
                <w:sz w:val="24"/>
                <w:szCs w:val="24"/>
                <w:highlight w:val="none"/>
              </w:rPr>
              <w:t>称、注册职业资</w:t>
            </w:r>
            <w:r>
              <w:rPr>
                <w:rFonts w:hint="eastAsia" w:ascii="黑体" w:hAnsi="黑体" w:eastAsia="黑体" w:cs="黑体"/>
                <w:color w:val="auto"/>
                <w:spacing w:val="-11"/>
                <w:sz w:val="24"/>
                <w:szCs w:val="24"/>
                <w:highlight w:val="none"/>
              </w:rPr>
              <w:t>格</w:t>
            </w:r>
            <w:r>
              <w:rPr>
                <w:rFonts w:hint="eastAsia" w:ascii="黑体" w:hAnsi="黑体" w:eastAsia="黑体" w:cs="黑体"/>
                <w:color w:val="auto"/>
                <w:spacing w:val="-11"/>
                <w:sz w:val="24"/>
                <w:szCs w:val="24"/>
                <w:highlight w:val="none"/>
                <w:lang w:eastAsia="zh-CN"/>
              </w:rPr>
              <w:t>证</w:t>
            </w:r>
            <w:r>
              <w:rPr>
                <w:rFonts w:hint="eastAsia" w:ascii="黑体" w:hAnsi="黑体" w:eastAsia="黑体" w:cs="黑体"/>
                <w:color w:val="auto"/>
                <w:spacing w:val="-11"/>
                <w:sz w:val="24"/>
                <w:szCs w:val="24"/>
                <w:highlight w:val="none"/>
              </w:rPr>
              <w:t>中、高级职</w:t>
            </w:r>
            <w:r>
              <w:rPr>
                <w:rFonts w:hint="eastAsia" w:ascii="黑体" w:hAnsi="黑体" w:eastAsia="黑体" w:cs="黑体"/>
                <w:color w:val="auto"/>
                <w:spacing w:val="14"/>
                <w:sz w:val="24"/>
                <w:szCs w:val="24"/>
                <w:highlight w:val="none"/>
              </w:rPr>
              <w:t>称总人数</w:t>
            </w:r>
          </w:p>
        </w:tc>
        <w:tc>
          <w:tcPr>
            <w:tcW w:w="3063" w:type="dxa"/>
            <w:gridSpan w:val="2"/>
            <w:tcBorders>
              <w:tl2br w:val="nil"/>
              <w:tr2bl w:val="nil"/>
            </w:tcBorders>
            <w:noWrap w:val="0"/>
            <w:vAlign w:val="center"/>
          </w:tcPr>
          <w:p w14:paraId="42CDA761">
            <w:pPr>
              <w:jc w:val="center"/>
              <w:rPr>
                <w:rFonts w:hint="eastAsia" w:ascii="黑体" w:hAnsi="黑体" w:eastAsia="黑体" w:cs="黑体"/>
                <w:color w:val="auto"/>
                <w:sz w:val="24"/>
                <w:szCs w:val="24"/>
                <w:highlight w:val="none"/>
              </w:rPr>
            </w:pPr>
          </w:p>
        </w:tc>
      </w:tr>
      <w:tr w14:paraId="008F7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3615" w:type="dxa"/>
            <w:gridSpan w:val="5"/>
            <w:vMerge w:val="continue"/>
            <w:tcBorders>
              <w:tl2br w:val="nil"/>
              <w:tr2bl w:val="nil"/>
            </w:tcBorders>
            <w:noWrap w:val="0"/>
            <w:vAlign w:val="center"/>
          </w:tcPr>
          <w:p w14:paraId="6EDBB4F5">
            <w:pPr>
              <w:jc w:val="center"/>
              <w:rPr>
                <w:rFonts w:hint="eastAsia" w:ascii="黑体" w:hAnsi="黑体" w:eastAsia="黑体" w:cs="黑体"/>
                <w:color w:val="auto"/>
                <w:sz w:val="24"/>
                <w:szCs w:val="24"/>
                <w:highlight w:val="none"/>
              </w:rPr>
            </w:pPr>
          </w:p>
        </w:tc>
        <w:tc>
          <w:tcPr>
            <w:tcW w:w="1965" w:type="dxa"/>
            <w:gridSpan w:val="2"/>
            <w:tcBorders>
              <w:tl2br w:val="nil"/>
              <w:tr2bl w:val="nil"/>
            </w:tcBorders>
            <w:noWrap w:val="0"/>
            <w:vAlign w:val="center"/>
          </w:tcPr>
          <w:p w14:paraId="63E1B4A8">
            <w:pPr>
              <w:pStyle w:val="29"/>
              <w:spacing w:before="61"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其他人员情况</w:t>
            </w:r>
          </w:p>
        </w:tc>
        <w:tc>
          <w:tcPr>
            <w:tcW w:w="3063" w:type="dxa"/>
            <w:gridSpan w:val="2"/>
            <w:tcBorders>
              <w:tl2br w:val="nil"/>
              <w:tr2bl w:val="nil"/>
            </w:tcBorders>
            <w:noWrap w:val="0"/>
            <w:vAlign w:val="center"/>
          </w:tcPr>
          <w:p w14:paraId="6D80749A">
            <w:pPr>
              <w:jc w:val="center"/>
              <w:rPr>
                <w:rFonts w:hint="eastAsia" w:ascii="黑体" w:hAnsi="黑体" w:eastAsia="黑体" w:cs="黑体"/>
                <w:color w:val="auto"/>
                <w:sz w:val="24"/>
                <w:szCs w:val="24"/>
                <w:highlight w:val="none"/>
              </w:rPr>
            </w:pPr>
          </w:p>
        </w:tc>
      </w:tr>
      <w:tr w14:paraId="30FD1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1264" w:type="dxa"/>
            <w:gridSpan w:val="2"/>
            <w:tcBorders>
              <w:tl2br w:val="nil"/>
              <w:tr2bl w:val="nil"/>
            </w:tcBorders>
            <w:noWrap w:val="0"/>
            <w:vAlign w:val="center"/>
          </w:tcPr>
          <w:p w14:paraId="34331EFE">
            <w:pPr>
              <w:pStyle w:val="29"/>
              <w:spacing w:before="62" w:line="233"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备注</w:t>
            </w:r>
          </w:p>
        </w:tc>
        <w:tc>
          <w:tcPr>
            <w:tcW w:w="7379" w:type="dxa"/>
            <w:gridSpan w:val="7"/>
            <w:tcBorders>
              <w:tl2br w:val="nil"/>
              <w:tr2bl w:val="nil"/>
            </w:tcBorders>
            <w:noWrap w:val="0"/>
            <w:vAlign w:val="center"/>
          </w:tcPr>
          <w:p w14:paraId="1FB393A8">
            <w:pPr>
              <w:jc w:val="center"/>
              <w:rPr>
                <w:rFonts w:hint="eastAsia" w:ascii="黑体" w:hAnsi="黑体" w:eastAsia="黑体" w:cs="黑体"/>
                <w:color w:val="auto"/>
                <w:sz w:val="24"/>
                <w:szCs w:val="24"/>
                <w:highlight w:val="none"/>
              </w:rPr>
            </w:pPr>
          </w:p>
        </w:tc>
      </w:tr>
    </w:tbl>
    <w:p w14:paraId="45CC38AE">
      <w:pPr>
        <w:pStyle w:val="10"/>
        <w:tabs>
          <w:tab w:val="left" w:pos="567"/>
        </w:tabs>
        <w:spacing w:before="62" w:line="230" w:lineRule="auto"/>
        <w:ind w:left="0" w:leftChars="0" w:firstLine="0" w:firstLineChars="0"/>
        <w:jc w:val="both"/>
        <w:rPr>
          <w:rFonts w:hint="default" w:ascii="黑体" w:hAnsi="黑体" w:eastAsia="黑体" w:cs="黑体"/>
          <w:color w:val="auto"/>
          <w:sz w:val="24"/>
          <w:szCs w:val="24"/>
          <w:highlight w:val="none"/>
          <w:lang w:val="en-US" w:eastAsia="zh-CN"/>
        </w:rPr>
      </w:pPr>
      <w:r>
        <w:rPr>
          <w:rFonts w:hint="eastAsia" w:ascii="黑体" w:hAnsi="黑体" w:eastAsia="黑体" w:cs="黑体"/>
          <w:color w:val="auto"/>
          <w:spacing w:val="16"/>
          <w:sz w:val="24"/>
          <w:szCs w:val="24"/>
          <w:highlight w:val="none"/>
        </w:rPr>
        <w:t>投标人名称（盖单位公章</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13"/>
          <w:sz w:val="24"/>
          <w:szCs w:val="24"/>
          <w:highlight w:val="none"/>
        </w:rPr>
        <w:t xml:space="preserve"> </w:t>
      </w:r>
      <w:r>
        <w:rPr>
          <w:rFonts w:hint="eastAsia" w:ascii="黑体" w:hAnsi="黑体" w:eastAsia="黑体" w:cs="黑体"/>
          <w:color w:val="auto"/>
          <w:spacing w:val="-15"/>
          <w:sz w:val="24"/>
          <w:szCs w:val="24"/>
          <w:highlight w:val="none"/>
        </w:rPr>
        <w:t>：</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z w:val="24"/>
          <w:szCs w:val="24"/>
          <w:highlight w:val="none"/>
          <w:u w:val="single" w:color="auto"/>
          <w:lang w:val="en-US" w:eastAsia="zh-CN"/>
        </w:rPr>
        <w:t xml:space="preserve">               </w:t>
      </w:r>
    </w:p>
    <w:p w14:paraId="5F6C94EA">
      <w:pPr>
        <w:pStyle w:val="10"/>
        <w:tabs>
          <w:tab w:val="left" w:pos="567"/>
        </w:tabs>
        <w:spacing w:before="171" w:line="231" w:lineRule="auto"/>
        <w:ind w:left="0" w:leftChars="0" w:firstLine="0" w:firstLine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法定代表人或其委托代理人</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签字或盖章</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66"/>
          <w:sz w:val="24"/>
          <w:szCs w:val="24"/>
          <w:highlight w:val="none"/>
        </w:rPr>
        <w:t xml:space="preserve"> </w:t>
      </w:r>
      <w:r>
        <w:rPr>
          <w:rFonts w:hint="eastAsia" w:ascii="黑体" w:hAnsi="黑体" w:eastAsia="黑体" w:cs="黑体"/>
          <w:color w:val="auto"/>
          <w:sz w:val="24"/>
          <w:szCs w:val="24"/>
          <w:highlight w:val="none"/>
          <w:u w:val="single" w:color="auto"/>
        </w:rPr>
        <w:t xml:space="preserve">                      </w:t>
      </w:r>
    </w:p>
    <w:p w14:paraId="2BB52B95">
      <w:pPr>
        <w:pStyle w:val="10"/>
        <w:tabs>
          <w:tab w:val="left" w:pos="567"/>
        </w:tabs>
        <w:spacing w:before="167" w:line="231" w:lineRule="auto"/>
        <w:ind w:left="0" w:leftChars="0" w:firstLine="0" w:firstLine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日期：</w:t>
      </w:r>
      <w:r>
        <w:rPr>
          <w:rFonts w:hint="eastAsia" w:ascii="黑体" w:hAnsi="黑体" w:eastAsia="黑体" w:cs="黑体"/>
          <w:color w:val="auto"/>
          <w:spacing w:val="10"/>
          <w:sz w:val="24"/>
          <w:szCs w:val="24"/>
          <w:highlight w:val="none"/>
          <w:u w:val="single" w:color="auto"/>
        </w:rPr>
        <w:t xml:space="preserve">    </w:t>
      </w:r>
      <w:r>
        <w:rPr>
          <w:rFonts w:hint="eastAsia" w:ascii="黑体" w:hAnsi="黑体" w:eastAsia="黑体" w:cs="黑体"/>
          <w:color w:val="auto"/>
          <w:spacing w:val="-59"/>
          <w:sz w:val="24"/>
          <w:szCs w:val="24"/>
          <w:highlight w:val="none"/>
        </w:rPr>
        <w:t xml:space="preserve"> </w:t>
      </w:r>
      <w:r>
        <w:rPr>
          <w:rFonts w:hint="eastAsia" w:ascii="黑体" w:hAnsi="黑体" w:eastAsia="黑体" w:cs="黑体"/>
          <w:color w:val="auto"/>
          <w:spacing w:val="-15"/>
          <w:sz w:val="24"/>
          <w:szCs w:val="24"/>
          <w:highlight w:val="none"/>
        </w:rPr>
        <w:t>年</w:t>
      </w:r>
      <w:r>
        <w:rPr>
          <w:rFonts w:hint="eastAsia" w:ascii="黑体" w:hAnsi="黑体" w:eastAsia="黑体" w:cs="黑体"/>
          <w:color w:val="auto"/>
          <w:spacing w:val="6"/>
          <w:sz w:val="24"/>
          <w:szCs w:val="24"/>
          <w:highlight w:val="none"/>
          <w:u w:val="single" w:color="auto"/>
        </w:rPr>
        <w:t xml:space="preserve">    </w:t>
      </w:r>
      <w:r>
        <w:rPr>
          <w:rFonts w:hint="eastAsia" w:ascii="黑体" w:hAnsi="黑体" w:eastAsia="黑体" w:cs="黑体"/>
          <w:color w:val="auto"/>
          <w:spacing w:val="-44"/>
          <w:sz w:val="24"/>
          <w:szCs w:val="24"/>
          <w:highlight w:val="none"/>
        </w:rPr>
        <w:t xml:space="preserve"> </w:t>
      </w:r>
      <w:r>
        <w:rPr>
          <w:rFonts w:hint="eastAsia" w:ascii="黑体" w:hAnsi="黑体" w:eastAsia="黑体" w:cs="黑体"/>
          <w:color w:val="auto"/>
          <w:spacing w:val="-15"/>
          <w:sz w:val="24"/>
          <w:szCs w:val="24"/>
          <w:highlight w:val="none"/>
        </w:rPr>
        <w:t>月</w:t>
      </w:r>
      <w:r>
        <w:rPr>
          <w:rFonts w:hint="eastAsia" w:ascii="黑体" w:hAnsi="黑体" w:eastAsia="黑体" w:cs="黑体"/>
          <w:color w:val="auto"/>
          <w:spacing w:val="8"/>
          <w:sz w:val="24"/>
          <w:szCs w:val="24"/>
          <w:highlight w:val="none"/>
          <w:u w:val="single" w:color="auto"/>
        </w:rPr>
        <w:t xml:space="preserve">    </w:t>
      </w:r>
      <w:r>
        <w:rPr>
          <w:rFonts w:hint="eastAsia" w:ascii="黑体" w:hAnsi="黑体" w:eastAsia="黑体" w:cs="黑体"/>
          <w:color w:val="auto"/>
          <w:spacing w:val="16"/>
          <w:sz w:val="24"/>
          <w:szCs w:val="24"/>
          <w:highlight w:val="none"/>
        </w:rPr>
        <w:t xml:space="preserve"> </w:t>
      </w:r>
      <w:r>
        <w:rPr>
          <w:rFonts w:hint="eastAsia" w:ascii="黑体" w:hAnsi="黑体" w:eastAsia="黑体" w:cs="黑体"/>
          <w:color w:val="auto"/>
          <w:spacing w:val="-15"/>
          <w:sz w:val="24"/>
          <w:szCs w:val="24"/>
          <w:highlight w:val="none"/>
        </w:rPr>
        <w:t>日</w:t>
      </w:r>
    </w:p>
    <w:p w14:paraId="55E0AFB3">
      <w:pPr>
        <w:spacing w:line="231" w:lineRule="auto"/>
        <w:ind w:left="0" w:leftChars="0" w:firstLine="0" w:firstLineChars="0"/>
        <w:jc w:val="both"/>
        <w:rPr>
          <w:rFonts w:hint="eastAsia" w:ascii="黑体" w:hAnsi="黑体" w:eastAsia="黑体" w:cs="黑体"/>
          <w:color w:val="auto"/>
          <w:sz w:val="24"/>
          <w:szCs w:val="24"/>
          <w:highlight w:val="none"/>
        </w:rPr>
        <w:sectPr>
          <w:footerReference r:id="rId14" w:type="default"/>
          <w:pgSz w:w="11906" w:h="16840"/>
          <w:pgMar w:top="1431" w:right="1463" w:bottom="1361" w:left="1785" w:header="0" w:footer="1147" w:gutter="0"/>
          <w:pgBorders>
            <w:top w:val="none" w:sz="0" w:space="0"/>
            <w:left w:val="none" w:sz="0" w:space="0"/>
            <w:bottom w:val="none" w:sz="0" w:space="0"/>
            <w:right w:val="none" w:sz="0" w:space="0"/>
          </w:pgBorders>
          <w:pgNumType w:fmt="decimal"/>
          <w:cols w:space="720" w:num="1"/>
        </w:sectPr>
      </w:pPr>
    </w:p>
    <w:p w14:paraId="17B0D264">
      <w:pPr>
        <w:pStyle w:val="10"/>
        <w:tabs>
          <w:tab w:val="left" w:pos="567"/>
        </w:tabs>
        <w:spacing w:before="60" w:line="222" w:lineRule="auto"/>
        <w:ind w:left="64"/>
        <w:rPr>
          <w:rFonts w:hint="eastAsia" w:ascii="黑体" w:hAnsi="黑体" w:eastAsia="黑体" w:cs="黑体"/>
          <w:color w:val="auto"/>
          <w:sz w:val="24"/>
          <w:szCs w:val="24"/>
          <w:highlight w:val="none"/>
        </w:rPr>
      </w:pPr>
      <w:r>
        <w:rPr>
          <w:rFonts w:hint="eastAsia" w:ascii="黑体" w:hAnsi="黑体" w:eastAsia="黑体" w:cs="黑体"/>
          <w:color w:val="auto"/>
          <w:spacing w:val="-12"/>
          <w:sz w:val="24"/>
          <w:szCs w:val="24"/>
          <w:highlight w:val="none"/>
        </w:rPr>
        <w:t>附件</w:t>
      </w:r>
      <w:r>
        <w:rPr>
          <w:rFonts w:hint="eastAsia" w:ascii="黑体" w:hAnsi="黑体" w:eastAsia="黑体" w:cs="黑体"/>
          <w:color w:val="auto"/>
          <w:spacing w:val="-47"/>
          <w:sz w:val="24"/>
          <w:szCs w:val="24"/>
          <w:highlight w:val="none"/>
        </w:rPr>
        <w:t xml:space="preserve"> </w:t>
      </w:r>
      <w:r>
        <w:rPr>
          <w:rFonts w:hint="eastAsia" w:ascii="黑体" w:hAnsi="黑体" w:eastAsia="黑体" w:cs="黑体"/>
          <w:color w:val="auto"/>
          <w:spacing w:val="-12"/>
          <w:sz w:val="24"/>
          <w:szCs w:val="24"/>
          <w:highlight w:val="none"/>
        </w:rPr>
        <w:t>2</w:t>
      </w:r>
    </w:p>
    <w:p w14:paraId="2348BE5C">
      <w:pPr>
        <w:pStyle w:val="10"/>
        <w:tabs>
          <w:tab w:val="left" w:pos="567"/>
        </w:tabs>
        <w:spacing w:before="176" w:line="222" w:lineRule="auto"/>
        <w:jc w:val="center"/>
        <w:rPr>
          <w:rFonts w:hint="eastAsia" w:ascii="黑体" w:hAnsi="黑体" w:eastAsia="黑体" w:cs="黑体"/>
          <w:color w:val="auto"/>
          <w:sz w:val="28"/>
          <w:szCs w:val="28"/>
          <w:highlight w:val="none"/>
        </w:rPr>
      </w:pPr>
      <w:r>
        <w:rPr>
          <w:rFonts w:hint="eastAsia" w:ascii="黑体" w:hAnsi="黑体" w:eastAsia="黑体" w:cs="黑体"/>
          <w:b/>
          <w:bCs/>
          <w:color w:val="auto"/>
          <w:spacing w:val="-7"/>
          <w:sz w:val="28"/>
          <w:szCs w:val="28"/>
          <w:highlight w:val="none"/>
        </w:rPr>
        <w:t>拟投入本项目的人员一览表</w:t>
      </w:r>
    </w:p>
    <w:tbl>
      <w:tblPr>
        <w:tblStyle w:val="28"/>
        <w:tblW w:w="943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4"/>
        <w:gridCol w:w="827"/>
        <w:gridCol w:w="800"/>
        <w:gridCol w:w="1069"/>
        <w:gridCol w:w="1100"/>
        <w:gridCol w:w="1004"/>
        <w:gridCol w:w="1094"/>
        <w:gridCol w:w="1245"/>
        <w:gridCol w:w="981"/>
      </w:tblGrid>
      <w:tr w14:paraId="20D80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8" w:hRule="atLeast"/>
          <w:jc w:val="center"/>
        </w:trPr>
        <w:tc>
          <w:tcPr>
            <w:tcW w:w="1314" w:type="dxa"/>
            <w:tcBorders>
              <w:tl2br w:val="nil"/>
              <w:tr2bl w:val="nil"/>
            </w:tcBorders>
            <w:noWrap w:val="0"/>
            <w:vAlign w:val="top"/>
          </w:tcPr>
          <w:p w14:paraId="44630CB9">
            <w:pPr>
              <w:spacing w:line="275" w:lineRule="auto"/>
              <w:jc w:val="both"/>
              <w:rPr>
                <w:rFonts w:hint="eastAsia" w:ascii="黑体" w:hAnsi="黑体" w:eastAsia="黑体" w:cs="黑体"/>
                <w:color w:val="auto"/>
                <w:sz w:val="24"/>
                <w:szCs w:val="24"/>
                <w:highlight w:val="none"/>
              </w:rPr>
            </w:pPr>
          </w:p>
          <w:p w14:paraId="0044D804">
            <w:pPr>
              <w:pStyle w:val="29"/>
              <w:spacing w:before="61" w:line="233" w:lineRule="auto"/>
              <w:ind w:left="166"/>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职责分工</w:t>
            </w:r>
          </w:p>
        </w:tc>
        <w:tc>
          <w:tcPr>
            <w:tcW w:w="827" w:type="dxa"/>
            <w:tcBorders>
              <w:tl2br w:val="nil"/>
              <w:tr2bl w:val="nil"/>
            </w:tcBorders>
            <w:noWrap w:val="0"/>
            <w:vAlign w:val="top"/>
          </w:tcPr>
          <w:p w14:paraId="19E9DF08">
            <w:pPr>
              <w:spacing w:line="275" w:lineRule="auto"/>
              <w:rPr>
                <w:rFonts w:hint="eastAsia" w:ascii="黑体" w:hAnsi="黑体" w:eastAsia="黑体" w:cs="黑体"/>
                <w:color w:val="auto"/>
                <w:sz w:val="24"/>
                <w:szCs w:val="24"/>
                <w:highlight w:val="none"/>
              </w:rPr>
            </w:pPr>
          </w:p>
          <w:p w14:paraId="51B3AA0E">
            <w:pPr>
              <w:pStyle w:val="29"/>
              <w:spacing w:before="62" w:line="233" w:lineRule="auto"/>
              <w:ind w:left="310"/>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姓名</w:t>
            </w:r>
          </w:p>
        </w:tc>
        <w:tc>
          <w:tcPr>
            <w:tcW w:w="800" w:type="dxa"/>
            <w:tcBorders>
              <w:tl2br w:val="nil"/>
              <w:tr2bl w:val="nil"/>
            </w:tcBorders>
            <w:noWrap w:val="0"/>
            <w:vAlign w:val="top"/>
          </w:tcPr>
          <w:p w14:paraId="2B50AD01">
            <w:pPr>
              <w:spacing w:line="273" w:lineRule="auto"/>
              <w:rPr>
                <w:rFonts w:hint="eastAsia" w:ascii="黑体" w:hAnsi="黑体" w:eastAsia="黑体" w:cs="黑体"/>
                <w:color w:val="auto"/>
                <w:sz w:val="24"/>
                <w:szCs w:val="24"/>
                <w:highlight w:val="none"/>
              </w:rPr>
            </w:pPr>
          </w:p>
          <w:p w14:paraId="563FFE73">
            <w:pPr>
              <w:pStyle w:val="29"/>
              <w:spacing w:before="62" w:line="231" w:lineRule="auto"/>
              <w:ind w:left="217"/>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年龄</w:t>
            </w:r>
          </w:p>
        </w:tc>
        <w:tc>
          <w:tcPr>
            <w:tcW w:w="1069" w:type="dxa"/>
            <w:tcBorders>
              <w:tl2br w:val="nil"/>
              <w:tr2bl w:val="nil"/>
            </w:tcBorders>
            <w:noWrap w:val="0"/>
            <w:vAlign w:val="top"/>
          </w:tcPr>
          <w:p w14:paraId="27B1F581">
            <w:pPr>
              <w:spacing w:line="275" w:lineRule="auto"/>
              <w:rPr>
                <w:rFonts w:hint="eastAsia" w:ascii="黑体" w:hAnsi="黑体" w:eastAsia="黑体" w:cs="黑体"/>
                <w:color w:val="auto"/>
                <w:sz w:val="24"/>
                <w:szCs w:val="24"/>
                <w:highlight w:val="none"/>
              </w:rPr>
            </w:pPr>
          </w:p>
          <w:p w14:paraId="3E79A4C5">
            <w:pPr>
              <w:pStyle w:val="29"/>
              <w:spacing w:before="61" w:line="233" w:lineRule="auto"/>
              <w:ind w:left="352"/>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专业</w:t>
            </w:r>
          </w:p>
        </w:tc>
        <w:tc>
          <w:tcPr>
            <w:tcW w:w="1100" w:type="dxa"/>
            <w:tcBorders>
              <w:tl2br w:val="nil"/>
              <w:tr2bl w:val="nil"/>
            </w:tcBorders>
            <w:noWrap w:val="0"/>
            <w:vAlign w:val="top"/>
          </w:tcPr>
          <w:p w14:paraId="6587E101">
            <w:pPr>
              <w:spacing w:line="270" w:lineRule="auto"/>
              <w:rPr>
                <w:rFonts w:hint="eastAsia" w:ascii="黑体" w:hAnsi="黑体" w:eastAsia="黑体" w:cs="黑体"/>
                <w:color w:val="auto"/>
                <w:sz w:val="24"/>
                <w:szCs w:val="24"/>
                <w:highlight w:val="none"/>
              </w:rPr>
            </w:pPr>
          </w:p>
          <w:p w14:paraId="420F2D8D">
            <w:pPr>
              <w:pStyle w:val="29"/>
              <w:spacing w:before="61" w:line="231" w:lineRule="auto"/>
              <w:ind w:left="479"/>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岗位</w:t>
            </w:r>
          </w:p>
        </w:tc>
        <w:tc>
          <w:tcPr>
            <w:tcW w:w="1004" w:type="dxa"/>
            <w:tcBorders>
              <w:tl2br w:val="nil"/>
              <w:tr2bl w:val="nil"/>
            </w:tcBorders>
            <w:noWrap w:val="0"/>
            <w:vAlign w:val="top"/>
          </w:tcPr>
          <w:p w14:paraId="5537883E">
            <w:pPr>
              <w:pStyle w:val="29"/>
              <w:spacing w:before="190" w:line="439" w:lineRule="exact"/>
              <w:ind w:left="229"/>
              <w:rPr>
                <w:rFonts w:hint="eastAsia" w:ascii="黑体" w:hAnsi="黑体" w:eastAsia="黑体" w:cs="黑体"/>
                <w:color w:val="auto"/>
                <w:sz w:val="24"/>
                <w:szCs w:val="24"/>
                <w:highlight w:val="none"/>
              </w:rPr>
            </w:pPr>
            <w:r>
              <w:rPr>
                <w:rFonts w:hint="eastAsia" w:ascii="黑体" w:hAnsi="黑体" w:eastAsia="黑体" w:cs="黑体"/>
                <w:color w:val="auto"/>
                <w:spacing w:val="2"/>
                <w:position w:val="18"/>
                <w:sz w:val="24"/>
                <w:szCs w:val="24"/>
                <w:highlight w:val="none"/>
              </w:rPr>
              <w:t>证书</w:t>
            </w:r>
          </w:p>
          <w:p w14:paraId="075CD4F6">
            <w:pPr>
              <w:pStyle w:val="29"/>
              <w:spacing w:line="232" w:lineRule="auto"/>
              <w:ind w:left="232"/>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编号</w:t>
            </w:r>
          </w:p>
        </w:tc>
        <w:tc>
          <w:tcPr>
            <w:tcW w:w="1094" w:type="dxa"/>
            <w:tcBorders>
              <w:tl2br w:val="nil"/>
              <w:tr2bl w:val="nil"/>
            </w:tcBorders>
            <w:noWrap w:val="0"/>
            <w:vAlign w:val="top"/>
          </w:tcPr>
          <w:p w14:paraId="59FB41B0">
            <w:pPr>
              <w:pStyle w:val="29"/>
              <w:spacing w:before="187" w:line="439" w:lineRule="exact"/>
              <w:ind w:left="157"/>
              <w:jc w:val="center"/>
              <w:rPr>
                <w:rFonts w:hint="eastAsia" w:ascii="黑体" w:hAnsi="黑体" w:eastAsia="黑体" w:cs="黑体"/>
                <w:color w:val="auto"/>
                <w:sz w:val="24"/>
                <w:szCs w:val="24"/>
                <w:highlight w:val="none"/>
              </w:rPr>
            </w:pPr>
            <w:r>
              <w:rPr>
                <w:rFonts w:hint="eastAsia" w:ascii="黑体" w:hAnsi="黑体" w:eastAsia="黑体" w:cs="黑体"/>
                <w:color w:val="auto"/>
                <w:spacing w:val="6"/>
                <w:position w:val="18"/>
                <w:sz w:val="24"/>
                <w:szCs w:val="24"/>
                <w:highlight w:val="none"/>
              </w:rPr>
              <w:t>证件</w:t>
            </w:r>
          </w:p>
          <w:p w14:paraId="6404275B">
            <w:pPr>
              <w:pStyle w:val="29"/>
              <w:spacing w:line="229" w:lineRule="auto"/>
              <w:ind w:left="159"/>
              <w:jc w:val="center"/>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种类</w:t>
            </w:r>
          </w:p>
        </w:tc>
        <w:tc>
          <w:tcPr>
            <w:tcW w:w="1245" w:type="dxa"/>
            <w:tcBorders>
              <w:tl2br w:val="nil"/>
              <w:tr2bl w:val="nil"/>
            </w:tcBorders>
            <w:noWrap w:val="0"/>
            <w:vAlign w:val="top"/>
          </w:tcPr>
          <w:p w14:paraId="1865C11C">
            <w:pPr>
              <w:pStyle w:val="29"/>
              <w:spacing w:before="187" w:line="439"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pacing w:val="6"/>
                <w:position w:val="18"/>
                <w:sz w:val="24"/>
                <w:szCs w:val="24"/>
                <w:highlight w:val="none"/>
              </w:rPr>
              <w:t>职称</w:t>
            </w:r>
          </w:p>
          <w:p w14:paraId="6D7C3F90">
            <w:pPr>
              <w:pStyle w:val="29"/>
              <w:spacing w:line="231" w:lineRule="auto"/>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（若</w:t>
            </w:r>
            <w:r>
              <w:rPr>
                <w:rFonts w:hint="eastAsia" w:ascii="黑体" w:hAnsi="黑体" w:eastAsia="黑体" w:cs="黑体"/>
                <w:color w:val="auto"/>
                <w:spacing w:val="24"/>
                <w:w w:val="101"/>
                <w:sz w:val="24"/>
                <w:szCs w:val="24"/>
                <w:highlight w:val="none"/>
              </w:rPr>
              <w:t xml:space="preserve"> </w:t>
            </w:r>
            <w:r>
              <w:rPr>
                <w:rFonts w:hint="eastAsia" w:ascii="黑体" w:hAnsi="黑体" w:eastAsia="黑体" w:cs="黑体"/>
                <w:color w:val="auto"/>
                <w:spacing w:val="1"/>
                <w:sz w:val="24"/>
                <w:szCs w:val="24"/>
                <w:highlight w:val="none"/>
              </w:rPr>
              <w:t>有）</w:t>
            </w:r>
          </w:p>
        </w:tc>
        <w:tc>
          <w:tcPr>
            <w:tcW w:w="981" w:type="dxa"/>
            <w:tcBorders>
              <w:tl2br w:val="nil"/>
              <w:tr2bl w:val="nil"/>
            </w:tcBorders>
            <w:noWrap w:val="0"/>
            <w:vAlign w:val="top"/>
          </w:tcPr>
          <w:p w14:paraId="4D790C28">
            <w:pPr>
              <w:spacing w:line="275" w:lineRule="auto"/>
              <w:rPr>
                <w:rFonts w:hint="eastAsia" w:ascii="黑体" w:hAnsi="黑体" w:eastAsia="黑体" w:cs="黑体"/>
                <w:color w:val="auto"/>
                <w:sz w:val="24"/>
                <w:szCs w:val="24"/>
                <w:highlight w:val="none"/>
              </w:rPr>
            </w:pPr>
          </w:p>
          <w:p w14:paraId="41A215BC">
            <w:pPr>
              <w:pStyle w:val="29"/>
              <w:spacing w:before="62" w:line="233" w:lineRule="auto"/>
              <w:ind w:left="269"/>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备注</w:t>
            </w:r>
          </w:p>
        </w:tc>
      </w:tr>
      <w:tr w14:paraId="10C4A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1314" w:type="dxa"/>
            <w:vMerge w:val="restart"/>
            <w:tcBorders>
              <w:tl2br w:val="nil"/>
              <w:tr2bl w:val="nil"/>
            </w:tcBorders>
            <w:noWrap w:val="0"/>
            <w:vAlign w:val="top"/>
          </w:tcPr>
          <w:p w14:paraId="10F76FCD">
            <w:pPr>
              <w:spacing w:line="244" w:lineRule="auto"/>
              <w:rPr>
                <w:rFonts w:hint="eastAsia" w:ascii="黑体" w:hAnsi="黑体" w:eastAsia="黑体" w:cs="黑体"/>
                <w:color w:val="auto"/>
                <w:sz w:val="24"/>
                <w:szCs w:val="24"/>
                <w:highlight w:val="none"/>
              </w:rPr>
            </w:pPr>
          </w:p>
          <w:p w14:paraId="6AB95B5D">
            <w:pPr>
              <w:spacing w:line="244" w:lineRule="auto"/>
              <w:rPr>
                <w:rFonts w:hint="eastAsia" w:ascii="黑体" w:hAnsi="黑体" w:eastAsia="黑体" w:cs="黑体"/>
                <w:color w:val="auto"/>
                <w:sz w:val="24"/>
                <w:szCs w:val="24"/>
                <w:highlight w:val="none"/>
              </w:rPr>
            </w:pPr>
          </w:p>
          <w:p w14:paraId="6AB42BE4">
            <w:pPr>
              <w:spacing w:line="244" w:lineRule="auto"/>
              <w:rPr>
                <w:rFonts w:hint="eastAsia" w:ascii="黑体" w:hAnsi="黑体" w:eastAsia="黑体" w:cs="黑体"/>
                <w:color w:val="auto"/>
                <w:sz w:val="24"/>
                <w:szCs w:val="24"/>
                <w:highlight w:val="none"/>
              </w:rPr>
            </w:pPr>
          </w:p>
          <w:p w14:paraId="144F8028">
            <w:pPr>
              <w:spacing w:line="244" w:lineRule="auto"/>
              <w:rPr>
                <w:rFonts w:hint="eastAsia" w:ascii="黑体" w:hAnsi="黑体" w:eastAsia="黑体" w:cs="黑体"/>
                <w:color w:val="auto"/>
                <w:sz w:val="24"/>
                <w:szCs w:val="24"/>
                <w:highlight w:val="none"/>
              </w:rPr>
            </w:pPr>
          </w:p>
          <w:p w14:paraId="456EF83E">
            <w:pPr>
              <w:spacing w:line="244" w:lineRule="auto"/>
              <w:rPr>
                <w:rFonts w:hint="eastAsia" w:ascii="黑体" w:hAnsi="黑体" w:eastAsia="黑体" w:cs="黑体"/>
                <w:color w:val="auto"/>
                <w:sz w:val="24"/>
                <w:szCs w:val="24"/>
                <w:highlight w:val="none"/>
              </w:rPr>
            </w:pPr>
          </w:p>
          <w:p w14:paraId="41F1E874">
            <w:pPr>
              <w:spacing w:line="245" w:lineRule="auto"/>
              <w:rPr>
                <w:rFonts w:hint="eastAsia" w:ascii="黑体" w:hAnsi="黑体" w:eastAsia="黑体" w:cs="黑体"/>
                <w:color w:val="auto"/>
                <w:sz w:val="24"/>
                <w:szCs w:val="24"/>
                <w:highlight w:val="none"/>
              </w:rPr>
            </w:pPr>
          </w:p>
          <w:p w14:paraId="7A308CF4">
            <w:pPr>
              <w:spacing w:line="245" w:lineRule="auto"/>
              <w:rPr>
                <w:rFonts w:hint="eastAsia" w:ascii="黑体" w:hAnsi="黑体" w:eastAsia="黑体" w:cs="黑体"/>
                <w:color w:val="auto"/>
                <w:sz w:val="24"/>
                <w:szCs w:val="24"/>
                <w:highlight w:val="none"/>
              </w:rPr>
            </w:pPr>
          </w:p>
          <w:p w14:paraId="2FE2B490">
            <w:pPr>
              <w:spacing w:line="245" w:lineRule="auto"/>
              <w:rPr>
                <w:rFonts w:hint="eastAsia" w:ascii="黑体" w:hAnsi="黑体" w:eastAsia="黑体" w:cs="黑体"/>
                <w:color w:val="auto"/>
                <w:sz w:val="24"/>
                <w:szCs w:val="24"/>
                <w:highlight w:val="none"/>
              </w:rPr>
            </w:pPr>
          </w:p>
          <w:p w14:paraId="1324998D">
            <w:pPr>
              <w:pStyle w:val="29"/>
              <w:spacing w:before="62" w:line="253" w:lineRule="auto"/>
              <w:ind w:left="13" w:leftChars="0" w:right="49" w:rightChars="0" w:hanging="13"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项目组人</w:t>
            </w:r>
            <w:r>
              <w:rPr>
                <w:rFonts w:hint="eastAsia" w:ascii="黑体" w:hAnsi="黑体" w:eastAsia="黑体" w:cs="黑体"/>
                <w:color w:val="auto"/>
                <w:sz w:val="24"/>
                <w:szCs w:val="24"/>
                <w:highlight w:val="none"/>
              </w:rPr>
              <w:t>员</w:t>
            </w:r>
          </w:p>
        </w:tc>
        <w:tc>
          <w:tcPr>
            <w:tcW w:w="827" w:type="dxa"/>
            <w:tcBorders>
              <w:tl2br w:val="nil"/>
              <w:tr2bl w:val="nil"/>
            </w:tcBorders>
            <w:noWrap w:val="0"/>
            <w:vAlign w:val="top"/>
          </w:tcPr>
          <w:p w14:paraId="2AF7BD0F">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26090F71">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6B843135">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6F333F91">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27DEAF08">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282F1097">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065D0369">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203E8AF0">
            <w:pPr>
              <w:rPr>
                <w:rFonts w:hint="eastAsia" w:ascii="黑体" w:hAnsi="黑体" w:eastAsia="黑体" w:cs="黑体"/>
                <w:color w:val="auto"/>
                <w:sz w:val="24"/>
                <w:szCs w:val="24"/>
                <w:highlight w:val="none"/>
              </w:rPr>
            </w:pPr>
          </w:p>
        </w:tc>
      </w:tr>
      <w:tr w14:paraId="3E6D0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1314" w:type="dxa"/>
            <w:vMerge w:val="continue"/>
            <w:tcBorders>
              <w:tl2br w:val="nil"/>
              <w:tr2bl w:val="nil"/>
            </w:tcBorders>
            <w:noWrap w:val="0"/>
            <w:vAlign w:val="top"/>
          </w:tcPr>
          <w:p w14:paraId="0F09DD48">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7E892FC2">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12FA5AE2">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63AE2AA5">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03CD2B11">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49383D2B">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3A1A08B1">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77641AAA">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21D1BE8F">
            <w:pPr>
              <w:rPr>
                <w:rFonts w:hint="eastAsia" w:ascii="黑体" w:hAnsi="黑体" w:eastAsia="黑体" w:cs="黑体"/>
                <w:color w:val="auto"/>
                <w:sz w:val="24"/>
                <w:szCs w:val="24"/>
                <w:highlight w:val="none"/>
              </w:rPr>
            </w:pPr>
          </w:p>
        </w:tc>
      </w:tr>
      <w:tr w14:paraId="6F0A6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jc w:val="center"/>
        </w:trPr>
        <w:tc>
          <w:tcPr>
            <w:tcW w:w="1314" w:type="dxa"/>
            <w:vMerge w:val="continue"/>
            <w:tcBorders>
              <w:tl2br w:val="nil"/>
              <w:tr2bl w:val="nil"/>
            </w:tcBorders>
            <w:noWrap w:val="0"/>
            <w:vAlign w:val="top"/>
          </w:tcPr>
          <w:p w14:paraId="710EAA70">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011CB635">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0249970B">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4D42590C">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7E650F69">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12C866B7">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330B4C0A">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013FAABB">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0E9DCDEA">
            <w:pPr>
              <w:rPr>
                <w:rFonts w:hint="eastAsia" w:ascii="黑体" w:hAnsi="黑体" w:eastAsia="黑体" w:cs="黑体"/>
                <w:color w:val="auto"/>
                <w:sz w:val="24"/>
                <w:szCs w:val="24"/>
                <w:highlight w:val="none"/>
              </w:rPr>
            </w:pPr>
          </w:p>
        </w:tc>
      </w:tr>
      <w:tr w14:paraId="2AF72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jc w:val="center"/>
        </w:trPr>
        <w:tc>
          <w:tcPr>
            <w:tcW w:w="1314" w:type="dxa"/>
            <w:vMerge w:val="continue"/>
            <w:tcBorders>
              <w:tl2br w:val="nil"/>
              <w:tr2bl w:val="nil"/>
            </w:tcBorders>
            <w:noWrap w:val="0"/>
            <w:vAlign w:val="top"/>
          </w:tcPr>
          <w:p w14:paraId="4652C59C">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61B2C4E9">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60186BEF">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7A42D714">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564402F3">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13168D26">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7D601ED6">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25DCA5E8">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64611128">
            <w:pPr>
              <w:rPr>
                <w:rFonts w:hint="eastAsia" w:ascii="黑体" w:hAnsi="黑体" w:eastAsia="黑体" w:cs="黑体"/>
                <w:color w:val="auto"/>
                <w:sz w:val="24"/>
                <w:szCs w:val="24"/>
                <w:highlight w:val="none"/>
              </w:rPr>
            </w:pPr>
          </w:p>
        </w:tc>
      </w:tr>
      <w:tr w14:paraId="354DD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1314" w:type="dxa"/>
            <w:vMerge w:val="continue"/>
            <w:tcBorders>
              <w:tl2br w:val="nil"/>
              <w:tr2bl w:val="nil"/>
            </w:tcBorders>
            <w:noWrap w:val="0"/>
            <w:vAlign w:val="top"/>
          </w:tcPr>
          <w:p w14:paraId="4444B079">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68CD9F2C">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0DF0930C">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31B912B0">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389D3281">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68805A40">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639FC75C">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4FC0A9EC">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529B5AA0">
            <w:pPr>
              <w:rPr>
                <w:rFonts w:hint="eastAsia" w:ascii="黑体" w:hAnsi="黑体" w:eastAsia="黑体" w:cs="黑体"/>
                <w:color w:val="auto"/>
                <w:sz w:val="24"/>
                <w:szCs w:val="24"/>
                <w:highlight w:val="none"/>
              </w:rPr>
            </w:pPr>
          </w:p>
        </w:tc>
      </w:tr>
      <w:tr w14:paraId="29F73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1314" w:type="dxa"/>
            <w:vMerge w:val="continue"/>
            <w:tcBorders>
              <w:tl2br w:val="nil"/>
              <w:tr2bl w:val="nil"/>
            </w:tcBorders>
            <w:noWrap w:val="0"/>
            <w:vAlign w:val="top"/>
          </w:tcPr>
          <w:p w14:paraId="1B75737D">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59D80330">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44EE3E01">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1487AA5A">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2B88D4E2">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223017CE">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2CB39C57">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2607F977">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448A260A">
            <w:pPr>
              <w:rPr>
                <w:rFonts w:hint="eastAsia" w:ascii="黑体" w:hAnsi="黑体" w:eastAsia="黑体" w:cs="黑体"/>
                <w:color w:val="auto"/>
                <w:sz w:val="24"/>
                <w:szCs w:val="24"/>
                <w:highlight w:val="none"/>
              </w:rPr>
            </w:pPr>
          </w:p>
        </w:tc>
      </w:tr>
      <w:tr w14:paraId="0AF10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1314" w:type="dxa"/>
            <w:vMerge w:val="continue"/>
            <w:tcBorders>
              <w:tl2br w:val="nil"/>
              <w:tr2bl w:val="nil"/>
            </w:tcBorders>
            <w:noWrap w:val="0"/>
            <w:vAlign w:val="top"/>
          </w:tcPr>
          <w:p w14:paraId="4B3F2FEA">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64747500">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7652AE7D">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6A7BB1FD">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07BF2546">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7088ECCA">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02778B34">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25FD3256">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25F0ECA1">
            <w:pPr>
              <w:rPr>
                <w:rFonts w:hint="eastAsia" w:ascii="黑体" w:hAnsi="黑体" w:eastAsia="黑体" w:cs="黑体"/>
                <w:color w:val="auto"/>
                <w:sz w:val="24"/>
                <w:szCs w:val="24"/>
                <w:highlight w:val="none"/>
              </w:rPr>
            </w:pPr>
          </w:p>
        </w:tc>
      </w:tr>
      <w:tr w14:paraId="75485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jc w:val="center"/>
        </w:trPr>
        <w:tc>
          <w:tcPr>
            <w:tcW w:w="1314" w:type="dxa"/>
            <w:vMerge w:val="continue"/>
            <w:tcBorders>
              <w:tl2br w:val="nil"/>
              <w:tr2bl w:val="nil"/>
            </w:tcBorders>
            <w:noWrap w:val="0"/>
            <w:vAlign w:val="top"/>
          </w:tcPr>
          <w:p w14:paraId="5F870E98">
            <w:pPr>
              <w:rPr>
                <w:rFonts w:hint="eastAsia" w:ascii="黑体" w:hAnsi="黑体" w:eastAsia="黑体" w:cs="黑体"/>
                <w:color w:val="auto"/>
                <w:sz w:val="24"/>
                <w:szCs w:val="24"/>
                <w:highlight w:val="none"/>
              </w:rPr>
            </w:pPr>
          </w:p>
        </w:tc>
        <w:tc>
          <w:tcPr>
            <w:tcW w:w="827" w:type="dxa"/>
            <w:tcBorders>
              <w:tl2br w:val="nil"/>
              <w:tr2bl w:val="nil"/>
            </w:tcBorders>
            <w:noWrap w:val="0"/>
            <w:vAlign w:val="top"/>
          </w:tcPr>
          <w:p w14:paraId="23D8B157">
            <w:pPr>
              <w:rPr>
                <w:rFonts w:hint="eastAsia" w:ascii="黑体" w:hAnsi="黑体" w:eastAsia="黑体" w:cs="黑体"/>
                <w:color w:val="auto"/>
                <w:sz w:val="24"/>
                <w:szCs w:val="24"/>
                <w:highlight w:val="none"/>
              </w:rPr>
            </w:pPr>
          </w:p>
        </w:tc>
        <w:tc>
          <w:tcPr>
            <w:tcW w:w="800" w:type="dxa"/>
            <w:tcBorders>
              <w:tl2br w:val="nil"/>
              <w:tr2bl w:val="nil"/>
            </w:tcBorders>
            <w:noWrap w:val="0"/>
            <w:vAlign w:val="top"/>
          </w:tcPr>
          <w:p w14:paraId="22408F6E">
            <w:pPr>
              <w:rPr>
                <w:rFonts w:hint="eastAsia" w:ascii="黑体" w:hAnsi="黑体" w:eastAsia="黑体" w:cs="黑体"/>
                <w:color w:val="auto"/>
                <w:sz w:val="24"/>
                <w:szCs w:val="24"/>
                <w:highlight w:val="none"/>
              </w:rPr>
            </w:pPr>
          </w:p>
        </w:tc>
        <w:tc>
          <w:tcPr>
            <w:tcW w:w="1069" w:type="dxa"/>
            <w:tcBorders>
              <w:tl2br w:val="nil"/>
              <w:tr2bl w:val="nil"/>
            </w:tcBorders>
            <w:noWrap w:val="0"/>
            <w:vAlign w:val="top"/>
          </w:tcPr>
          <w:p w14:paraId="52472A80">
            <w:pPr>
              <w:rPr>
                <w:rFonts w:hint="eastAsia" w:ascii="黑体" w:hAnsi="黑体" w:eastAsia="黑体" w:cs="黑体"/>
                <w:color w:val="auto"/>
                <w:sz w:val="24"/>
                <w:szCs w:val="24"/>
                <w:highlight w:val="none"/>
              </w:rPr>
            </w:pPr>
          </w:p>
        </w:tc>
        <w:tc>
          <w:tcPr>
            <w:tcW w:w="1100" w:type="dxa"/>
            <w:tcBorders>
              <w:tl2br w:val="nil"/>
              <w:tr2bl w:val="nil"/>
            </w:tcBorders>
            <w:noWrap w:val="0"/>
            <w:vAlign w:val="top"/>
          </w:tcPr>
          <w:p w14:paraId="402651C7">
            <w:pPr>
              <w:rPr>
                <w:rFonts w:hint="eastAsia" w:ascii="黑体" w:hAnsi="黑体" w:eastAsia="黑体" w:cs="黑体"/>
                <w:color w:val="auto"/>
                <w:sz w:val="24"/>
                <w:szCs w:val="24"/>
                <w:highlight w:val="none"/>
              </w:rPr>
            </w:pPr>
          </w:p>
        </w:tc>
        <w:tc>
          <w:tcPr>
            <w:tcW w:w="1004" w:type="dxa"/>
            <w:tcBorders>
              <w:tl2br w:val="nil"/>
              <w:tr2bl w:val="nil"/>
            </w:tcBorders>
            <w:noWrap w:val="0"/>
            <w:vAlign w:val="top"/>
          </w:tcPr>
          <w:p w14:paraId="5777BE2F">
            <w:pPr>
              <w:rPr>
                <w:rFonts w:hint="eastAsia" w:ascii="黑体" w:hAnsi="黑体" w:eastAsia="黑体" w:cs="黑体"/>
                <w:color w:val="auto"/>
                <w:sz w:val="24"/>
                <w:szCs w:val="24"/>
                <w:highlight w:val="none"/>
              </w:rPr>
            </w:pPr>
          </w:p>
        </w:tc>
        <w:tc>
          <w:tcPr>
            <w:tcW w:w="1094" w:type="dxa"/>
            <w:tcBorders>
              <w:tl2br w:val="nil"/>
              <w:tr2bl w:val="nil"/>
            </w:tcBorders>
            <w:noWrap w:val="0"/>
            <w:vAlign w:val="top"/>
          </w:tcPr>
          <w:p w14:paraId="273D0AEA">
            <w:pPr>
              <w:rPr>
                <w:rFonts w:hint="eastAsia" w:ascii="黑体" w:hAnsi="黑体" w:eastAsia="黑体" w:cs="黑体"/>
                <w:color w:val="auto"/>
                <w:sz w:val="24"/>
                <w:szCs w:val="24"/>
                <w:highlight w:val="none"/>
              </w:rPr>
            </w:pPr>
          </w:p>
        </w:tc>
        <w:tc>
          <w:tcPr>
            <w:tcW w:w="1245" w:type="dxa"/>
            <w:tcBorders>
              <w:tl2br w:val="nil"/>
              <w:tr2bl w:val="nil"/>
            </w:tcBorders>
            <w:noWrap w:val="0"/>
            <w:vAlign w:val="top"/>
          </w:tcPr>
          <w:p w14:paraId="7C576C4B">
            <w:pPr>
              <w:rPr>
                <w:rFonts w:hint="eastAsia" w:ascii="黑体" w:hAnsi="黑体" w:eastAsia="黑体" w:cs="黑体"/>
                <w:color w:val="auto"/>
                <w:sz w:val="24"/>
                <w:szCs w:val="24"/>
                <w:highlight w:val="none"/>
              </w:rPr>
            </w:pPr>
          </w:p>
        </w:tc>
        <w:tc>
          <w:tcPr>
            <w:tcW w:w="981" w:type="dxa"/>
            <w:tcBorders>
              <w:tl2br w:val="nil"/>
              <w:tr2bl w:val="nil"/>
            </w:tcBorders>
            <w:noWrap w:val="0"/>
            <w:vAlign w:val="top"/>
          </w:tcPr>
          <w:p w14:paraId="410E140F">
            <w:pPr>
              <w:rPr>
                <w:rFonts w:hint="eastAsia" w:ascii="黑体" w:hAnsi="黑体" w:eastAsia="黑体" w:cs="黑体"/>
                <w:color w:val="auto"/>
                <w:sz w:val="24"/>
                <w:szCs w:val="24"/>
                <w:highlight w:val="none"/>
              </w:rPr>
            </w:pPr>
          </w:p>
        </w:tc>
      </w:tr>
    </w:tbl>
    <w:p w14:paraId="7008DCFF">
      <w:pPr>
        <w:pStyle w:val="10"/>
        <w:tabs>
          <w:tab w:val="left" w:pos="567"/>
        </w:tabs>
        <w:spacing w:before="62" w:line="360" w:lineRule="auto"/>
        <w:ind w:left="38"/>
        <w:rPr>
          <w:rFonts w:hint="eastAsia" w:ascii="黑体" w:hAnsi="黑体" w:eastAsia="黑体" w:cs="黑体"/>
          <w:color w:val="auto"/>
          <w:sz w:val="24"/>
          <w:szCs w:val="24"/>
          <w:highlight w:val="none"/>
        </w:rPr>
      </w:pPr>
      <w:r>
        <w:rPr>
          <w:rFonts w:hint="eastAsia" w:ascii="黑体" w:hAnsi="黑体" w:eastAsia="黑体" w:cs="黑体"/>
          <w:color w:val="auto"/>
          <w:spacing w:val="16"/>
          <w:sz w:val="24"/>
          <w:szCs w:val="24"/>
          <w:highlight w:val="none"/>
        </w:rPr>
        <w:t>投标人名称（盖单位公章</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13"/>
          <w:sz w:val="24"/>
          <w:szCs w:val="24"/>
          <w:highlight w:val="none"/>
        </w:rPr>
        <w:t xml:space="preserve"> </w:t>
      </w:r>
      <w:r>
        <w:rPr>
          <w:rFonts w:hint="eastAsia" w:ascii="黑体" w:hAnsi="黑体" w:eastAsia="黑体" w:cs="黑体"/>
          <w:color w:val="auto"/>
          <w:spacing w:val="-15"/>
          <w:sz w:val="24"/>
          <w:szCs w:val="24"/>
          <w:highlight w:val="none"/>
        </w:rPr>
        <w:t>：</w:t>
      </w:r>
      <w:r>
        <w:rPr>
          <w:rFonts w:hint="eastAsia" w:ascii="黑体" w:hAnsi="黑体" w:eastAsia="黑体" w:cs="黑体"/>
          <w:color w:val="auto"/>
          <w:sz w:val="24"/>
          <w:szCs w:val="24"/>
          <w:highlight w:val="none"/>
          <w:u w:val="single" w:color="auto"/>
        </w:rPr>
        <w:t xml:space="preserve">                      </w:t>
      </w:r>
    </w:p>
    <w:p w14:paraId="03DCB7A9">
      <w:pPr>
        <w:pStyle w:val="10"/>
        <w:tabs>
          <w:tab w:val="left" w:pos="567"/>
        </w:tabs>
        <w:spacing w:before="169" w:line="360" w:lineRule="auto"/>
        <w:ind w:left="52"/>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法定代表人或其委托代理人</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签字或盖章</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66"/>
          <w:sz w:val="24"/>
          <w:szCs w:val="24"/>
          <w:highlight w:val="none"/>
        </w:rPr>
        <w:t xml:space="preserve"> </w:t>
      </w:r>
      <w:r>
        <w:rPr>
          <w:rFonts w:hint="eastAsia" w:ascii="黑体" w:hAnsi="黑体" w:eastAsia="黑体" w:cs="黑体"/>
          <w:color w:val="auto"/>
          <w:sz w:val="24"/>
          <w:szCs w:val="24"/>
          <w:highlight w:val="none"/>
          <w:u w:val="single" w:color="auto"/>
        </w:rPr>
        <w:t xml:space="preserve">                      </w:t>
      </w:r>
    </w:p>
    <w:p w14:paraId="363E11CC">
      <w:pPr>
        <w:pStyle w:val="10"/>
        <w:tabs>
          <w:tab w:val="left" w:pos="567"/>
        </w:tabs>
        <w:spacing w:before="171" w:line="360" w:lineRule="auto"/>
        <w:ind w:left="0" w:leftChars="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日期：</w:t>
      </w:r>
      <w:r>
        <w:rPr>
          <w:rFonts w:hint="eastAsia" w:ascii="黑体" w:hAnsi="黑体" w:eastAsia="黑体" w:cs="黑体"/>
          <w:color w:val="auto"/>
          <w:spacing w:val="10"/>
          <w:sz w:val="24"/>
          <w:szCs w:val="24"/>
          <w:highlight w:val="none"/>
          <w:u w:val="single" w:color="auto"/>
        </w:rPr>
        <w:t xml:space="preserve">    </w:t>
      </w:r>
      <w:r>
        <w:rPr>
          <w:rFonts w:hint="eastAsia" w:ascii="黑体" w:hAnsi="黑体" w:eastAsia="黑体" w:cs="黑体"/>
          <w:color w:val="auto"/>
          <w:spacing w:val="-59"/>
          <w:sz w:val="24"/>
          <w:szCs w:val="24"/>
          <w:highlight w:val="none"/>
        </w:rPr>
        <w:t xml:space="preserve"> </w:t>
      </w:r>
      <w:r>
        <w:rPr>
          <w:rFonts w:hint="eastAsia" w:ascii="黑体" w:hAnsi="黑体" w:eastAsia="黑体" w:cs="黑体"/>
          <w:color w:val="auto"/>
          <w:spacing w:val="-15"/>
          <w:sz w:val="24"/>
          <w:szCs w:val="24"/>
          <w:highlight w:val="none"/>
        </w:rPr>
        <w:t>年</w:t>
      </w:r>
      <w:r>
        <w:rPr>
          <w:rFonts w:hint="eastAsia" w:ascii="黑体" w:hAnsi="黑体" w:eastAsia="黑体" w:cs="黑体"/>
          <w:color w:val="auto"/>
          <w:spacing w:val="6"/>
          <w:sz w:val="24"/>
          <w:szCs w:val="24"/>
          <w:highlight w:val="none"/>
          <w:u w:val="single" w:color="auto"/>
        </w:rPr>
        <w:t xml:space="preserve">    </w:t>
      </w:r>
      <w:r>
        <w:rPr>
          <w:rFonts w:hint="eastAsia" w:ascii="黑体" w:hAnsi="黑体" w:eastAsia="黑体" w:cs="黑体"/>
          <w:color w:val="auto"/>
          <w:spacing w:val="-44"/>
          <w:sz w:val="24"/>
          <w:szCs w:val="24"/>
          <w:highlight w:val="none"/>
        </w:rPr>
        <w:t xml:space="preserve"> </w:t>
      </w:r>
      <w:r>
        <w:rPr>
          <w:rFonts w:hint="eastAsia" w:ascii="黑体" w:hAnsi="黑体" w:eastAsia="黑体" w:cs="黑体"/>
          <w:color w:val="auto"/>
          <w:spacing w:val="-15"/>
          <w:sz w:val="24"/>
          <w:szCs w:val="24"/>
          <w:highlight w:val="none"/>
        </w:rPr>
        <w:t>月</w:t>
      </w:r>
      <w:r>
        <w:rPr>
          <w:rFonts w:hint="eastAsia" w:ascii="黑体" w:hAnsi="黑体" w:eastAsia="黑体" w:cs="黑体"/>
          <w:color w:val="auto"/>
          <w:spacing w:val="8"/>
          <w:sz w:val="24"/>
          <w:szCs w:val="24"/>
          <w:highlight w:val="none"/>
          <w:u w:val="single" w:color="auto"/>
        </w:rPr>
        <w:t xml:space="preserve">    </w:t>
      </w:r>
      <w:r>
        <w:rPr>
          <w:rFonts w:hint="eastAsia" w:ascii="黑体" w:hAnsi="黑体" w:eastAsia="黑体" w:cs="黑体"/>
          <w:color w:val="auto"/>
          <w:spacing w:val="16"/>
          <w:sz w:val="24"/>
          <w:szCs w:val="24"/>
          <w:highlight w:val="none"/>
        </w:rPr>
        <w:t xml:space="preserve"> </w:t>
      </w:r>
      <w:r>
        <w:rPr>
          <w:rFonts w:hint="eastAsia" w:ascii="黑体" w:hAnsi="黑体" w:eastAsia="黑体" w:cs="黑体"/>
          <w:color w:val="auto"/>
          <w:spacing w:val="-15"/>
          <w:sz w:val="24"/>
          <w:szCs w:val="24"/>
          <w:highlight w:val="none"/>
        </w:rPr>
        <w:t>日</w:t>
      </w:r>
    </w:p>
    <w:p w14:paraId="1F218FBB">
      <w:pPr>
        <w:spacing w:line="360" w:lineRule="auto"/>
        <w:rPr>
          <w:rFonts w:hint="eastAsia" w:ascii="黑体" w:hAnsi="黑体" w:eastAsia="黑体" w:cs="黑体"/>
          <w:color w:val="auto"/>
          <w:sz w:val="24"/>
          <w:szCs w:val="24"/>
          <w:highlight w:val="none"/>
        </w:rPr>
        <w:sectPr>
          <w:footerReference r:id="rId15" w:type="default"/>
          <w:pgSz w:w="11906" w:h="16840"/>
          <w:pgMar w:top="1431" w:right="647" w:bottom="1361" w:left="1785" w:header="0" w:footer="1147" w:gutter="0"/>
          <w:pgBorders>
            <w:top w:val="none" w:sz="0" w:space="0"/>
            <w:left w:val="none" w:sz="0" w:space="0"/>
            <w:bottom w:val="none" w:sz="0" w:space="0"/>
            <w:right w:val="none" w:sz="0" w:space="0"/>
          </w:pgBorders>
          <w:pgNumType w:fmt="decimal"/>
          <w:cols w:space="720" w:num="1"/>
        </w:sectPr>
      </w:pPr>
    </w:p>
    <w:p w14:paraId="39A7310F">
      <w:pPr>
        <w:pStyle w:val="10"/>
        <w:tabs>
          <w:tab w:val="left" w:pos="567"/>
        </w:tabs>
        <w:spacing w:before="60" w:line="222" w:lineRule="auto"/>
        <w:ind w:left="65"/>
        <w:rPr>
          <w:rFonts w:hint="eastAsia" w:ascii="黑体" w:hAnsi="黑体" w:eastAsia="黑体" w:cs="黑体"/>
          <w:color w:val="auto"/>
          <w:sz w:val="28"/>
          <w:szCs w:val="28"/>
          <w:highlight w:val="none"/>
        </w:rPr>
      </w:pPr>
      <w:r>
        <w:rPr>
          <w:rFonts w:hint="eastAsia" w:ascii="黑体" w:hAnsi="黑体" w:eastAsia="黑体" w:cs="黑体"/>
          <w:color w:val="auto"/>
          <w:spacing w:val="-12"/>
          <w:sz w:val="28"/>
          <w:szCs w:val="28"/>
          <w:highlight w:val="none"/>
        </w:rPr>
        <w:t>附件</w:t>
      </w:r>
      <w:r>
        <w:rPr>
          <w:rFonts w:hint="eastAsia" w:ascii="黑体" w:hAnsi="黑体" w:eastAsia="黑体" w:cs="黑体"/>
          <w:color w:val="auto"/>
          <w:spacing w:val="-43"/>
          <w:sz w:val="28"/>
          <w:szCs w:val="28"/>
          <w:highlight w:val="none"/>
        </w:rPr>
        <w:t xml:space="preserve"> </w:t>
      </w:r>
      <w:r>
        <w:rPr>
          <w:rFonts w:hint="eastAsia" w:ascii="黑体" w:hAnsi="黑体" w:eastAsia="黑体" w:cs="黑体"/>
          <w:color w:val="auto"/>
          <w:spacing w:val="-12"/>
          <w:sz w:val="28"/>
          <w:szCs w:val="28"/>
          <w:highlight w:val="none"/>
        </w:rPr>
        <w:t>3</w:t>
      </w:r>
    </w:p>
    <w:p w14:paraId="7CB23EBD">
      <w:pPr>
        <w:pStyle w:val="10"/>
        <w:tabs>
          <w:tab w:val="left" w:pos="567"/>
        </w:tabs>
        <w:spacing w:before="176" w:line="221" w:lineRule="auto"/>
        <w:jc w:val="center"/>
        <w:rPr>
          <w:rFonts w:hint="eastAsia" w:ascii="黑体" w:hAnsi="黑体" w:eastAsia="黑体" w:cs="黑体"/>
          <w:color w:val="auto"/>
          <w:sz w:val="28"/>
          <w:szCs w:val="28"/>
          <w:highlight w:val="none"/>
        </w:rPr>
      </w:pPr>
      <w:r>
        <w:rPr>
          <w:rFonts w:hint="eastAsia" w:ascii="黑体" w:hAnsi="黑体" w:eastAsia="黑体" w:cs="黑体"/>
          <w:b/>
          <w:bCs/>
          <w:color w:val="auto"/>
          <w:spacing w:val="-6"/>
          <w:sz w:val="28"/>
          <w:szCs w:val="28"/>
          <w:highlight w:val="none"/>
        </w:rPr>
        <w:t>项目负责人及实施团队人员简历表</w:t>
      </w:r>
    </w:p>
    <w:tbl>
      <w:tblPr>
        <w:tblStyle w:val="28"/>
        <w:tblW w:w="95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7"/>
        <w:gridCol w:w="1488"/>
        <w:gridCol w:w="992"/>
        <w:gridCol w:w="490"/>
        <w:gridCol w:w="1640"/>
        <w:gridCol w:w="1427"/>
        <w:gridCol w:w="544"/>
        <w:gridCol w:w="1450"/>
      </w:tblGrid>
      <w:tr w14:paraId="50DD8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4" w:hRule="atLeast"/>
          <w:jc w:val="center"/>
        </w:trPr>
        <w:tc>
          <w:tcPr>
            <w:tcW w:w="1507" w:type="dxa"/>
            <w:tcBorders>
              <w:tl2br w:val="nil"/>
              <w:tr2bl w:val="nil"/>
            </w:tcBorders>
            <w:noWrap w:val="0"/>
            <w:vAlign w:val="center"/>
          </w:tcPr>
          <w:p w14:paraId="30B4487C">
            <w:pPr>
              <w:pStyle w:val="29"/>
              <w:spacing w:before="77" w:line="224" w:lineRule="auto"/>
              <w:ind w:left="133"/>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姓</w:t>
            </w:r>
            <w:r>
              <w:rPr>
                <w:rFonts w:hint="eastAsia" w:ascii="黑体" w:hAnsi="黑体" w:eastAsia="黑体" w:cs="黑体"/>
                <w:color w:val="auto"/>
                <w:spacing w:val="12"/>
                <w:sz w:val="24"/>
                <w:szCs w:val="24"/>
                <w:highlight w:val="none"/>
              </w:rPr>
              <w:t xml:space="preserve">  </w:t>
            </w:r>
            <w:r>
              <w:rPr>
                <w:rFonts w:hint="eastAsia" w:ascii="黑体" w:hAnsi="黑体" w:eastAsia="黑体" w:cs="黑体"/>
                <w:color w:val="auto"/>
                <w:spacing w:val="-8"/>
                <w:sz w:val="24"/>
                <w:szCs w:val="24"/>
                <w:highlight w:val="none"/>
              </w:rPr>
              <w:t>名</w:t>
            </w:r>
          </w:p>
        </w:tc>
        <w:tc>
          <w:tcPr>
            <w:tcW w:w="1488" w:type="dxa"/>
            <w:tcBorders>
              <w:tl2br w:val="nil"/>
              <w:tr2bl w:val="nil"/>
            </w:tcBorders>
            <w:noWrap w:val="0"/>
            <w:vAlign w:val="center"/>
          </w:tcPr>
          <w:p w14:paraId="1A011BA6">
            <w:pPr>
              <w:jc w:val="center"/>
              <w:rPr>
                <w:rFonts w:hint="eastAsia" w:ascii="黑体" w:hAnsi="黑体" w:eastAsia="黑体" w:cs="黑体"/>
                <w:color w:val="auto"/>
                <w:sz w:val="24"/>
                <w:szCs w:val="24"/>
                <w:highlight w:val="none"/>
              </w:rPr>
            </w:pPr>
          </w:p>
        </w:tc>
        <w:tc>
          <w:tcPr>
            <w:tcW w:w="1482" w:type="dxa"/>
            <w:gridSpan w:val="2"/>
            <w:tcBorders>
              <w:tl2br w:val="nil"/>
              <w:tr2bl w:val="nil"/>
            </w:tcBorders>
            <w:noWrap w:val="0"/>
            <w:vAlign w:val="center"/>
          </w:tcPr>
          <w:p w14:paraId="63F7B6BB">
            <w:pPr>
              <w:pStyle w:val="29"/>
              <w:spacing w:before="72" w:line="220" w:lineRule="auto"/>
              <w:ind w:left="135"/>
              <w:jc w:val="center"/>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性</w:t>
            </w:r>
            <w:r>
              <w:rPr>
                <w:rFonts w:hint="eastAsia" w:ascii="黑体" w:hAnsi="黑体" w:eastAsia="黑体" w:cs="黑体"/>
                <w:color w:val="auto"/>
                <w:spacing w:val="14"/>
                <w:sz w:val="24"/>
                <w:szCs w:val="24"/>
                <w:highlight w:val="none"/>
              </w:rPr>
              <w:t xml:space="preserve">  </w:t>
            </w:r>
            <w:r>
              <w:rPr>
                <w:rFonts w:hint="eastAsia" w:ascii="黑体" w:hAnsi="黑体" w:eastAsia="黑体" w:cs="黑体"/>
                <w:color w:val="auto"/>
                <w:spacing w:val="-10"/>
                <w:sz w:val="24"/>
                <w:szCs w:val="24"/>
                <w:highlight w:val="none"/>
              </w:rPr>
              <w:t>别</w:t>
            </w:r>
          </w:p>
        </w:tc>
        <w:tc>
          <w:tcPr>
            <w:tcW w:w="1640" w:type="dxa"/>
            <w:tcBorders>
              <w:tl2br w:val="nil"/>
              <w:tr2bl w:val="nil"/>
            </w:tcBorders>
            <w:noWrap w:val="0"/>
            <w:vAlign w:val="center"/>
          </w:tcPr>
          <w:p w14:paraId="6E3717E2">
            <w:pPr>
              <w:jc w:val="center"/>
              <w:rPr>
                <w:rFonts w:hint="eastAsia" w:ascii="黑体" w:hAnsi="黑体" w:eastAsia="黑体" w:cs="黑体"/>
                <w:color w:val="auto"/>
                <w:sz w:val="24"/>
                <w:szCs w:val="24"/>
                <w:highlight w:val="none"/>
              </w:rPr>
            </w:pPr>
          </w:p>
        </w:tc>
        <w:tc>
          <w:tcPr>
            <w:tcW w:w="1427" w:type="dxa"/>
            <w:tcBorders>
              <w:tl2br w:val="nil"/>
              <w:tr2bl w:val="nil"/>
            </w:tcBorders>
            <w:noWrap w:val="0"/>
            <w:vAlign w:val="center"/>
          </w:tcPr>
          <w:p w14:paraId="76C01D0F">
            <w:pPr>
              <w:pStyle w:val="29"/>
              <w:spacing w:before="77" w:line="222" w:lineRule="auto"/>
              <w:ind w:left="152"/>
              <w:jc w:val="center"/>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年</w:t>
            </w:r>
            <w:r>
              <w:rPr>
                <w:rFonts w:hint="eastAsia" w:ascii="黑体" w:hAnsi="黑体" w:eastAsia="黑体" w:cs="黑体"/>
                <w:color w:val="auto"/>
                <w:spacing w:val="8"/>
                <w:sz w:val="24"/>
                <w:szCs w:val="24"/>
                <w:highlight w:val="none"/>
              </w:rPr>
              <w:t xml:space="preserve">  </w:t>
            </w:r>
            <w:r>
              <w:rPr>
                <w:rFonts w:hint="eastAsia" w:ascii="黑体" w:hAnsi="黑体" w:eastAsia="黑体" w:cs="黑体"/>
                <w:color w:val="auto"/>
                <w:spacing w:val="-11"/>
                <w:sz w:val="24"/>
                <w:szCs w:val="24"/>
                <w:highlight w:val="none"/>
              </w:rPr>
              <w:t>龄</w:t>
            </w:r>
          </w:p>
        </w:tc>
        <w:tc>
          <w:tcPr>
            <w:tcW w:w="1994" w:type="dxa"/>
            <w:gridSpan w:val="2"/>
            <w:tcBorders>
              <w:tl2br w:val="nil"/>
              <w:tr2bl w:val="nil"/>
            </w:tcBorders>
            <w:noWrap w:val="0"/>
            <w:vAlign w:val="center"/>
          </w:tcPr>
          <w:p w14:paraId="0F6BDD3C">
            <w:pPr>
              <w:jc w:val="center"/>
              <w:rPr>
                <w:rFonts w:hint="eastAsia" w:ascii="黑体" w:hAnsi="黑体" w:eastAsia="黑体" w:cs="黑体"/>
                <w:color w:val="auto"/>
                <w:sz w:val="24"/>
                <w:szCs w:val="24"/>
                <w:highlight w:val="none"/>
              </w:rPr>
            </w:pPr>
          </w:p>
        </w:tc>
      </w:tr>
      <w:tr w14:paraId="5648D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1507" w:type="dxa"/>
            <w:tcBorders>
              <w:tl2br w:val="nil"/>
              <w:tr2bl w:val="nil"/>
            </w:tcBorders>
            <w:noWrap w:val="0"/>
            <w:vAlign w:val="center"/>
          </w:tcPr>
          <w:p w14:paraId="49C76695">
            <w:pPr>
              <w:pStyle w:val="29"/>
              <w:spacing w:before="78" w:line="223" w:lineRule="auto"/>
              <w:ind w:left="130"/>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职</w:t>
            </w:r>
            <w:r>
              <w:rPr>
                <w:rFonts w:hint="eastAsia" w:ascii="黑体" w:hAnsi="黑体" w:eastAsia="黑体" w:cs="黑体"/>
                <w:color w:val="auto"/>
                <w:spacing w:val="18"/>
                <w:sz w:val="24"/>
                <w:szCs w:val="24"/>
                <w:highlight w:val="none"/>
              </w:rPr>
              <w:t xml:space="preserve">  </w:t>
            </w:r>
            <w:r>
              <w:rPr>
                <w:rFonts w:hint="eastAsia" w:ascii="黑体" w:hAnsi="黑体" w:eastAsia="黑体" w:cs="黑体"/>
                <w:color w:val="auto"/>
                <w:spacing w:val="-8"/>
                <w:sz w:val="24"/>
                <w:szCs w:val="24"/>
                <w:highlight w:val="none"/>
              </w:rPr>
              <w:t>务</w:t>
            </w:r>
          </w:p>
        </w:tc>
        <w:tc>
          <w:tcPr>
            <w:tcW w:w="1488" w:type="dxa"/>
            <w:tcBorders>
              <w:tl2br w:val="nil"/>
              <w:tr2bl w:val="nil"/>
            </w:tcBorders>
            <w:noWrap w:val="0"/>
            <w:vAlign w:val="center"/>
          </w:tcPr>
          <w:p w14:paraId="46A7B9AC">
            <w:pPr>
              <w:jc w:val="center"/>
              <w:rPr>
                <w:rFonts w:hint="eastAsia" w:ascii="黑体" w:hAnsi="黑体" w:eastAsia="黑体" w:cs="黑体"/>
                <w:color w:val="auto"/>
                <w:sz w:val="24"/>
                <w:szCs w:val="24"/>
                <w:highlight w:val="none"/>
              </w:rPr>
            </w:pPr>
          </w:p>
        </w:tc>
        <w:tc>
          <w:tcPr>
            <w:tcW w:w="1482" w:type="dxa"/>
            <w:gridSpan w:val="2"/>
            <w:tcBorders>
              <w:tl2br w:val="nil"/>
              <w:tr2bl w:val="nil"/>
            </w:tcBorders>
            <w:noWrap w:val="0"/>
            <w:vAlign w:val="center"/>
          </w:tcPr>
          <w:p w14:paraId="1CB35DB3">
            <w:pPr>
              <w:pStyle w:val="29"/>
              <w:spacing w:before="75" w:line="221" w:lineRule="auto"/>
              <w:ind w:left="126"/>
              <w:jc w:val="center"/>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职</w:t>
            </w:r>
            <w:r>
              <w:rPr>
                <w:rFonts w:hint="eastAsia" w:ascii="黑体" w:hAnsi="黑体" w:eastAsia="黑体" w:cs="黑体"/>
                <w:color w:val="auto"/>
                <w:spacing w:val="11"/>
                <w:sz w:val="24"/>
                <w:szCs w:val="24"/>
                <w:highlight w:val="none"/>
              </w:rPr>
              <w:t xml:space="preserve">  </w:t>
            </w:r>
            <w:r>
              <w:rPr>
                <w:rFonts w:hint="eastAsia" w:ascii="黑体" w:hAnsi="黑体" w:eastAsia="黑体" w:cs="黑体"/>
                <w:color w:val="auto"/>
                <w:spacing w:val="-8"/>
                <w:sz w:val="24"/>
                <w:szCs w:val="24"/>
                <w:highlight w:val="none"/>
              </w:rPr>
              <w:t>称</w:t>
            </w:r>
          </w:p>
        </w:tc>
        <w:tc>
          <w:tcPr>
            <w:tcW w:w="1640" w:type="dxa"/>
            <w:tcBorders>
              <w:tl2br w:val="nil"/>
              <w:tr2bl w:val="nil"/>
            </w:tcBorders>
            <w:noWrap w:val="0"/>
            <w:vAlign w:val="center"/>
          </w:tcPr>
          <w:p w14:paraId="6C11256E">
            <w:pPr>
              <w:jc w:val="center"/>
              <w:rPr>
                <w:rFonts w:hint="eastAsia" w:ascii="黑体" w:hAnsi="黑体" w:eastAsia="黑体" w:cs="黑体"/>
                <w:color w:val="auto"/>
                <w:sz w:val="24"/>
                <w:szCs w:val="24"/>
                <w:highlight w:val="none"/>
              </w:rPr>
            </w:pPr>
          </w:p>
        </w:tc>
        <w:tc>
          <w:tcPr>
            <w:tcW w:w="1427" w:type="dxa"/>
            <w:tcBorders>
              <w:tl2br w:val="nil"/>
              <w:tr2bl w:val="nil"/>
            </w:tcBorders>
            <w:noWrap w:val="0"/>
            <w:vAlign w:val="center"/>
          </w:tcPr>
          <w:p w14:paraId="2D6DF710">
            <w:pPr>
              <w:pStyle w:val="29"/>
              <w:spacing w:before="78" w:line="223" w:lineRule="auto"/>
              <w:ind w:left="162"/>
              <w:jc w:val="center"/>
              <w:rPr>
                <w:rFonts w:hint="eastAsia" w:ascii="黑体" w:hAnsi="黑体" w:eastAsia="黑体" w:cs="黑体"/>
                <w:color w:val="auto"/>
                <w:sz w:val="24"/>
                <w:szCs w:val="24"/>
                <w:highlight w:val="none"/>
              </w:rPr>
            </w:pPr>
            <w:r>
              <w:rPr>
                <w:rFonts w:hint="eastAsia" w:ascii="黑体" w:hAnsi="黑体" w:eastAsia="黑体" w:cs="黑体"/>
                <w:color w:val="auto"/>
                <w:spacing w:val="-14"/>
                <w:sz w:val="24"/>
                <w:szCs w:val="24"/>
                <w:highlight w:val="none"/>
              </w:rPr>
              <w:t>学</w:t>
            </w:r>
            <w:r>
              <w:rPr>
                <w:rFonts w:hint="eastAsia" w:ascii="黑体" w:hAnsi="黑体" w:eastAsia="黑体" w:cs="黑体"/>
                <w:color w:val="auto"/>
                <w:spacing w:val="11"/>
                <w:sz w:val="24"/>
                <w:szCs w:val="24"/>
                <w:highlight w:val="none"/>
              </w:rPr>
              <w:t xml:space="preserve">  </w:t>
            </w:r>
            <w:r>
              <w:rPr>
                <w:rFonts w:hint="eastAsia" w:ascii="黑体" w:hAnsi="黑体" w:eastAsia="黑体" w:cs="黑体"/>
                <w:color w:val="auto"/>
                <w:spacing w:val="-14"/>
                <w:sz w:val="24"/>
                <w:szCs w:val="24"/>
                <w:highlight w:val="none"/>
              </w:rPr>
              <w:t>历</w:t>
            </w:r>
          </w:p>
        </w:tc>
        <w:tc>
          <w:tcPr>
            <w:tcW w:w="1994" w:type="dxa"/>
            <w:gridSpan w:val="2"/>
            <w:tcBorders>
              <w:tl2br w:val="nil"/>
              <w:tr2bl w:val="nil"/>
            </w:tcBorders>
            <w:noWrap w:val="0"/>
            <w:vAlign w:val="center"/>
          </w:tcPr>
          <w:p w14:paraId="323EC9C7">
            <w:pPr>
              <w:jc w:val="center"/>
              <w:rPr>
                <w:rFonts w:hint="eastAsia" w:ascii="黑体" w:hAnsi="黑体" w:eastAsia="黑体" w:cs="黑体"/>
                <w:color w:val="auto"/>
                <w:sz w:val="24"/>
                <w:szCs w:val="24"/>
                <w:highlight w:val="none"/>
              </w:rPr>
            </w:pPr>
          </w:p>
        </w:tc>
      </w:tr>
      <w:tr w14:paraId="6941F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2995" w:type="dxa"/>
            <w:gridSpan w:val="2"/>
            <w:tcBorders>
              <w:tl2br w:val="nil"/>
              <w:tr2bl w:val="nil"/>
            </w:tcBorders>
            <w:noWrap w:val="0"/>
            <w:vAlign w:val="center"/>
          </w:tcPr>
          <w:p w14:paraId="2D1D70C8">
            <w:pPr>
              <w:pStyle w:val="29"/>
              <w:spacing w:before="82" w:line="224" w:lineRule="auto"/>
              <w:ind w:left="144"/>
              <w:jc w:val="center"/>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注册证书注册号</w:t>
            </w:r>
          </w:p>
        </w:tc>
        <w:tc>
          <w:tcPr>
            <w:tcW w:w="6543" w:type="dxa"/>
            <w:gridSpan w:val="6"/>
            <w:tcBorders>
              <w:tl2br w:val="nil"/>
              <w:tr2bl w:val="nil"/>
            </w:tcBorders>
            <w:noWrap w:val="0"/>
            <w:vAlign w:val="center"/>
          </w:tcPr>
          <w:p w14:paraId="52B6803B">
            <w:pPr>
              <w:jc w:val="center"/>
              <w:rPr>
                <w:rFonts w:hint="eastAsia" w:ascii="黑体" w:hAnsi="黑体" w:eastAsia="黑体" w:cs="黑体"/>
                <w:color w:val="auto"/>
                <w:sz w:val="24"/>
                <w:szCs w:val="24"/>
                <w:highlight w:val="none"/>
              </w:rPr>
            </w:pPr>
          </w:p>
        </w:tc>
      </w:tr>
      <w:tr w14:paraId="0F423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2" w:hRule="atLeast"/>
          <w:jc w:val="center"/>
        </w:trPr>
        <w:tc>
          <w:tcPr>
            <w:tcW w:w="2995" w:type="dxa"/>
            <w:gridSpan w:val="2"/>
            <w:tcBorders>
              <w:tl2br w:val="nil"/>
              <w:tr2bl w:val="nil"/>
            </w:tcBorders>
            <w:noWrap w:val="0"/>
            <w:vAlign w:val="center"/>
          </w:tcPr>
          <w:p w14:paraId="2D45D2BD">
            <w:pPr>
              <w:pStyle w:val="29"/>
              <w:spacing w:before="87" w:line="224" w:lineRule="auto"/>
              <w:ind w:left="144"/>
              <w:jc w:val="center"/>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注册专业</w:t>
            </w:r>
          </w:p>
        </w:tc>
        <w:tc>
          <w:tcPr>
            <w:tcW w:w="6543" w:type="dxa"/>
            <w:gridSpan w:val="6"/>
            <w:tcBorders>
              <w:tl2br w:val="nil"/>
              <w:tr2bl w:val="nil"/>
            </w:tcBorders>
            <w:noWrap w:val="0"/>
            <w:vAlign w:val="center"/>
          </w:tcPr>
          <w:p w14:paraId="476DC565">
            <w:pPr>
              <w:jc w:val="center"/>
              <w:rPr>
                <w:rFonts w:hint="eastAsia" w:ascii="黑体" w:hAnsi="黑体" w:eastAsia="黑体" w:cs="黑体"/>
                <w:color w:val="auto"/>
                <w:sz w:val="24"/>
                <w:szCs w:val="24"/>
                <w:highlight w:val="none"/>
              </w:rPr>
            </w:pPr>
          </w:p>
        </w:tc>
      </w:tr>
      <w:tr w14:paraId="7FE1B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jc w:val="center"/>
        </w:trPr>
        <w:tc>
          <w:tcPr>
            <w:tcW w:w="9538" w:type="dxa"/>
            <w:gridSpan w:val="8"/>
            <w:tcBorders>
              <w:tl2br w:val="nil"/>
              <w:tr2bl w:val="nil"/>
            </w:tcBorders>
            <w:noWrap w:val="0"/>
            <w:vAlign w:val="top"/>
          </w:tcPr>
          <w:p w14:paraId="1E6EE004">
            <w:pPr>
              <w:pStyle w:val="29"/>
              <w:spacing w:before="74" w:line="222" w:lineRule="auto"/>
              <w:ind w:left="133"/>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近三年承担同类或相近项目</w:t>
            </w:r>
          </w:p>
        </w:tc>
      </w:tr>
      <w:tr w14:paraId="455F9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1507" w:type="dxa"/>
            <w:tcBorders>
              <w:tl2br w:val="nil"/>
              <w:tr2bl w:val="nil"/>
            </w:tcBorders>
            <w:noWrap w:val="0"/>
            <w:vAlign w:val="center"/>
          </w:tcPr>
          <w:p w14:paraId="752367D2">
            <w:pPr>
              <w:pStyle w:val="29"/>
              <w:spacing w:before="90" w:line="223" w:lineRule="auto"/>
              <w:ind w:left="150"/>
              <w:jc w:val="center"/>
              <w:rPr>
                <w:rFonts w:hint="eastAsia" w:ascii="黑体" w:hAnsi="黑体" w:eastAsia="黑体" w:cs="黑体"/>
                <w:color w:val="auto"/>
                <w:sz w:val="24"/>
                <w:szCs w:val="24"/>
                <w:highlight w:val="none"/>
              </w:rPr>
            </w:pPr>
            <w:r>
              <w:rPr>
                <w:rFonts w:hint="eastAsia" w:ascii="黑体" w:hAnsi="黑体" w:eastAsia="黑体" w:cs="黑体"/>
                <w:color w:val="auto"/>
                <w:spacing w:val="-17"/>
                <w:sz w:val="24"/>
                <w:szCs w:val="24"/>
                <w:highlight w:val="none"/>
              </w:rPr>
              <w:t>时间</w:t>
            </w:r>
          </w:p>
        </w:tc>
        <w:tc>
          <w:tcPr>
            <w:tcW w:w="2480" w:type="dxa"/>
            <w:gridSpan w:val="2"/>
            <w:tcBorders>
              <w:tl2br w:val="nil"/>
              <w:tr2bl w:val="nil"/>
            </w:tcBorders>
            <w:noWrap w:val="0"/>
            <w:vAlign w:val="center"/>
          </w:tcPr>
          <w:p w14:paraId="4B55C257">
            <w:pPr>
              <w:pStyle w:val="29"/>
              <w:spacing w:before="89" w:line="221" w:lineRule="auto"/>
              <w:ind w:left="123"/>
              <w:jc w:val="center"/>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类似项目名称</w:t>
            </w:r>
          </w:p>
        </w:tc>
        <w:tc>
          <w:tcPr>
            <w:tcW w:w="2130" w:type="dxa"/>
            <w:gridSpan w:val="2"/>
            <w:tcBorders>
              <w:tl2br w:val="nil"/>
              <w:tr2bl w:val="nil"/>
            </w:tcBorders>
            <w:noWrap w:val="0"/>
            <w:vAlign w:val="center"/>
          </w:tcPr>
          <w:p w14:paraId="58D6C434">
            <w:pPr>
              <w:pStyle w:val="29"/>
              <w:spacing w:before="92" w:line="221" w:lineRule="auto"/>
              <w:ind w:left="135"/>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项目单位名称</w:t>
            </w:r>
          </w:p>
        </w:tc>
        <w:tc>
          <w:tcPr>
            <w:tcW w:w="1971" w:type="dxa"/>
            <w:gridSpan w:val="2"/>
            <w:tcBorders>
              <w:tl2br w:val="nil"/>
              <w:tr2bl w:val="nil"/>
            </w:tcBorders>
            <w:noWrap w:val="0"/>
            <w:vAlign w:val="center"/>
          </w:tcPr>
          <w:p w14:paraId="46D01608">
            <w:pPr>
              <w:pStyle w:val="29"/>
              <w:spacing w:before="92" w:line="223" w:lineRule="auto"/>
              <w:ind w:left="171"/>
              <w:jc w:val="center"/>
              <w:rPr>
                <w:rFonts w:hint="eastAsia" w:ascii="黑体" w:hAnsi="黑体" w:eastAsia="黑体" w:cs="黑体"/>
                <w:color w:val="auto"/>
                <w:sz w:val="24"/>
                <w:szCs w:val="24"/>
                <w:highlight w:val="none"/>
              </w:rPr>
            </w:pPr>
            <w:r>
              <w:rPr>
                <w:rFonts w:hint="eastAsia" w:ascii="黑体" w:hAnsi="黑体" w:eastAsia="黑体" w:cs="黑体"/>
                <w:color w:val="auto"/>
                <w:spacing w:val="-22"/>
                <w:sz w:val="24"/>
                <w:szCs w:val="24"/>
                <w:highlight w:val="none"/>
              </w:rPr>
              <w:t>电话</w:t>
            </w:r>
          </w:p>
        </w:tc>
        <w:tc>
          <w:tcPr>
            <w:tcW w:w="1450" w:type="dxa"/>
            <w:tcBorders>
              <w:tl2br w:val="nil"/>
              <w:tr2bl w:val="nil"/>
            </w:tcBorders>
            <w:noWrap w:val="0"/>
            <w:vAlign w:val="center"/>
          </w:tcPr>
          <w:p w14:paraId="2C91E0EE">
            <w:pPr>
              <w:pStyle w:val="29"/>
              <w:spacing w:before="93" w:line="224" w:lineRule="auto"/>
              <w:ind w:left="161"/>
              <w:jc w:val="center"/>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备注</w:t>
            </w:r>
          </w:p>
        </w:tc>
      </w:tr>
      <w:tr w14:paraId="03F2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1507" w:type="dxa"/>
            <w:tcBorders>
              <w:tl2br w:val="nil"/>
              <w:tr2bl w:val="nil"/>
            </w:tcBorders>
            <w:noWrap w:val="0"/>
            <w:vAlign w:val="top"/>
          </w:tcPr>
          <w:p w14:paraId="07615B29">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16160E40">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456AF5D8">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039DC787">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7F413613">
            <w:pPr>
              <w:rPr>
                <w:rFonts w:hint="eastAsia" w:ascii="黑体" w:hAnsi="黑体" w:eastAsia="黑体" w:cs="黑体"/>
                <w:color w:val="auto"/>
                <w:sz w:val="24"/>
                <w:szCs w:val="24"/>
                <w:highlight w:val="none"/>
              </w:rPr>
            </w:pPr>
          </w:p>
        </w:tc>
      </w:tr>
      <w:tr w14:paraId="7AD37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1507" w:type="dxa"/>
            <w:tcBorders>
              <w:tl2br w:val="nil"/>
              <w:tr2bl w:val="nil"/>
            </w:tcBorders>
            <w:noWrap w:val="0"/>
            <w:vAlign w:val="top"/>
          </w:tcPr>
          <w:p w14:paraId="01D84924">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028EE8C4">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6CCF5132">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3619C895">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25572D6C">
            <w:pPr>
              <w:rPr>
                <w:rFonts w:hint="eastAsia" w:ascii="黑体" w:hAnsi="黑体" w:eastAsia="黑体" w:cs="黑体"/>
                <w:color w:val="auto"/>
                <w:sz w:val="24"/>
                <w:szCs w:val="24"/>
                <w:highlight w:val="none"/>
              </w:rPr>
            </w:pPr>
          </w:p>
        </w:tc>
      </w:tr>
      <w:tr w14:paraId="09C67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jc w:val="center"/>
        </w:trPr>
        <w:tc>
          <w:tcPr>
            <w:tcW w:w="1507" w:type="dxa"/>
            <w:tcBorders>
              <w:tl2br w:val="nil"/>
              <w:tr2bl w:val="nil"/>
            </w:tcBorders>
            <w:noWrap w:val="0"/>
            <w:vAlign w:val="top"/>
          </w:tcPr>
          <w:p w14:paraId="62AF4665">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1FDE8A4C">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0BC66D7F">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79A81ACB">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1F6B8C05">
            <w:pPr>
              <w:rPr>
                <w:rFonts w:hint="eastAsia" w:ascii="黑体" w:hAnsi="黑体" w:eastAsia="黑体" w:cs="黑体"/>
                <w:color w:val="auto"/>
                <w:sz w:val="24"/>
                <w:szCs w:val="24"/>
                <w:highlight w:val="none"/>
              </w:rPr>
            </w:pPr>
          </w:p>
        </w:tc>
      </w:tr>
      <w:tr w14:paraId="42EE1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2" w:hRule="atLeast"/>
          <w:jc w:val="center"/>
        </w:trPr>
        <w:tc>
          <w:tcPr>
            <w:tcW w:w="1507" w:type="dxa"/>
            <w:tcBorders>
              <w:tl2br w:val="nil"/>
              <w:tr2bl w:val="nil"/>
            </w:tcBorders>
            <w:noWrap w:val="0"/>
            <w:vAlign w:val="top"/>
          </w:tcPr>
          <w:p w14:paraId="51C23877">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56370D3F">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24B52972">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7DD27E7F">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55D068FC">
            <w:pPr>
              <w:rPr>
                <w:rFonts w:hint="eastAsia" w:ascii="黑体" w:hAnsi="黑体" w:eastAsia="黑体" w:cs="黑体"/>
                <w:color w:val="auto"/>
                <w:sz w:val="24"/>
                <w:szCs w:val="24"/>
                <w:highlight w:val="none"/>
              </w:rPr>
            </w:pPr>
          </w:p>
        </w:tc>
      </w:tr>
      <w:tr w14:paraId="32A2E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jc w:val="center"/>
        </w:trPr>
        <w:tc>
          <w:tcPr>
            <w:tcW w:w="1507" w:type="dxa"/>
            <w:tcBorders>
              <w:tl2br w:val="nil"/>
              <w:tr2bl w:val="nil"/>
            </w:tcBorders>
            <w:noWrap w:val="0"/>
            <w:vAlign w:val="top"/>
          </w:tcPr>
          <w:p w14:paraId="5F4F8922">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227CB193">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02CC06B4">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0C8C2509">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1C737EAE">
            <w:pPr>
              <w:rPr>
                <w:rFonts w:hint="eastAsia" w:ascii="黑体" w:hAnsi="黑体" w:eastAsia="黑体" w:cs="黑体"/>
                <w:color w:val="auto"/>
                <w:sz w:val="24"/>
                <w:szCs w:val="24"/>
                <w:highlight w:val="none"/>
              </w:rPr>
            </w:pPr>
          </w:p>
        </w:tc>
      </w:tr>
      <w:tr w14:paraId="3B9DD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jc w:val="center"/>
        </w:trPr>
        <w:tc>
          <w:tcPr>
            <w:tcW w:w="1507" w:type="dxa"/>
            <w:tcBorders>
              <w:tl2br w:val="nil"/>
              <w:tr2bl w:val="nil"/>
            </w:tcBorders>
            <w:noWrap w:val="0"/>
            <w:vAlign w:val="top"/>
          </w:tcPr>
          <w:p w14:paraId="5F7E5E06">
            <w:pPr>
              <w:rPr>
                <w:rFonts w:hint="eastAsia" w:ascii="黑体" w:hAnsi="黑体" w:eastAsia="黑体" w:cs="黑体"/>
                <w:color w:val="auto"/>
                <w:sz w:val="24"/>
                <w:szCs w:val="24"/>
                <w:highlight w:val="none"/>
              </w:rPr>
            </w:pPr>
          </w:p>
        </w:tc>
        <w:tc>
          <w:tcPr>
            <w:tcW w:w="2480" w:type="dxa"/>
            <w:gridSpan w:val="2"/>
            <w:tcBorders>
              <w:tl2br w:val="nil"/>
              <w:tr2bl w:val="nil"/>
            </w:tcBorders>
            <w:noWrap w:val="0"/>
            <w:vAlign w:val="top"/>
          </w:tcPr>
          <w:p w14:paraId="674333E1">
            <w:pPr>
              <w:rPr>
                <w:rFonts w:hint="eastAsia" w:ascii="黑体" w:hAnsi="黑体" w:eastAsia="黑体" w:cs="黑体"/>
                <w:color w:val="auto"/>
                <w:sz w:val="24"/>
                <w:szCs w:val="24"/>
                <w:highlight w:val="none"/>
              </w:rPr>
            </w:pPr>
          </w:p>
        </w:tc>
        <w:tc>
          <w:tcPr>
            <w:tcW w:w="2130" w:type="dxa"/>
            <w:gridSpan w:val="2"/>
            <w:tcBorders>
              <w:tl2br w:val="nil"/>
              <w:tr2bl w:val="nil"/>
            </w:tcBorders>
            <w:noWrap w:val="0"/>
            <w:vAlign w:val="top"/>
          </w:tcPr>
          <w:p w14:paraId="218E87B2">
            <w:pPr>
              <w:rPr>
                <w:rFonts w:hint="eastAsia" w:ascii="黑体" w:hAnsi="黑体" w:eastAsia="黑体" w:cs="黑体"/>
                <w:color w:val="auto"/>
                <w:sz w:val="24"/>
                <w:szCs w:val="24"/>
                <w:highlight w:val="none"/>
              </w:rPr>
            </w:pPr>
          </w:p>
        </w:tc>
        <w:tc>
          <w:tcPr>
            <w:tcW w:w="1971" w:type="dxa"/>
            <w:gridSpan w:val="2"/>
            <w:tcBorders>
              <w:tl2br w:val="nil"/>
              <w:tr2bl w:val="nil"/>
            </w:tcBorders>
            <w:noWrap w:val="0"/>
            <w:vAlign w:val="top"/>
          </w:tcPr>
          <w:p w14:paraId="2A5A5A9D">
            <w:pPr>
              <w:rPr>
                <w:rFonts w:hint="eastAsia" w:ascii="黑体" w:hAnsi="黑体" w:eastAsia="黑体" w:cs="黑体"/>
                <w:color w:val="auto"/>
                <w:sz w:val="24"/>
                <w:szCs w:val="24"/>
                <w:highlight w:val="none"/>
              </w:rPr>
            </w:pPr>
          </w:p>
        </w:tc>
        <w:tc>
          <w:tcPr>
            <w:tcW w:w="1450" w:type="dxa"/>
            <w:tcBorders>
              <w:tl2br w:val="nil"/>
              <w:tr2bl w:val="nil"/>
            </w:tcBorders>
            <w:noWrap w:val="0"/>
            <w:vAlign w:val="top"/>
          </w:tcPr>
          <w:p w14:paraId="4D4750E5">
            <w:pPr>
              <w:rPr>
                <w:rFonts w:hint="eastAsia" w:ascii="黑体" w:hAnsi="黑体" w:eastAsia="黑体" w:cs="黑体"/>
                <w:color w:val="auto"/>
                <w:sz w:val="24"/>
                <w:szCs w:val="24"/>
                <w:highlight w:val="none"/>
              </w:rPr>
            </w:pPr>
          </w:p>
        </w:tc>
      </w:tr>
    </w:tbl>
    <w:p w14:paraId="188792EF">
      <w:pPr>
        <w:pStyle w:val="10"/>
        <w:keepNext w:val="0"/>
        <w:keepLines w:val="0"/>
        <w:pageBreakBefore w:val="0"/>
        <w:widowControl/>
        <w:tabs>
          <w:tab w:val="left" w:pos="567"/>
        </w:tabs>
        <w:kinsoku w:val="0"/>
        <w:wordWrap w:val="0"/>
        <w:overflowPunct/>
        <w:topLinePunct w:val="0"/>
        <w:autoSpaceDE/>
        <w:autoSpaceDN/>
        <w:bidi w:val="0"/>
        <w:adjustRightInd w:val="0"/>
        <w:snapToGrid w:val="0"/>
        <w:spacing w:before="186" w:line="360" w:lineRule="auto"/>
        <w:ind w:left="-437" w:leftChars="-208" w:firstLine="16" w:firstLineChars="6"/>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15"/>
          <w:sz w:val="24"/>
          <w:szCs w:val="24"/>
          <w:highlight w:val="none"/>
        </w:rPr>
        <w:t>注：1</w:t>
      </w:r>
      <w:r>
        <w:rPr>
          <w:rFonts w:hint="eastAsia" w:ascii="黑体" w:hAnsi="黑体" w:eastAsia="黑体" w:cs="黑体"/>
          <w:b/>
          <w:bCs/>
          <w:color w:val="auto"/>
          <w:spacing w:val="15"/>
          <w:sz w:val="24"/>
          <w:szCs w:val="24"/>
          <w:highlight w:val="none"/>
          <w:lang w:eastAsia="zh-CN"/>
        </w:rPr>
        <w:t>、</w:t>
      </w:r>
      <w:r>
        <w:rPr>
          <w:rFonts w:hint="eastAsia" w:ascii="黑体" w:hAnsi="黑体" w:eastAsia="黑体" w:cs="黑体"/>
          <w:b/>
          <w:bCs/>
          <w:color w:val="auto"/>
          <w:spacing w:val="15"/>
          <w:sz w:val="24"/>
          <w:szCs w:val="24"/>
          <w:highlight w:val="none"/>
        </w:rPr>
        <w:t>需提供主要人员的资格证明资料及近六个月任意一个月的社保证明</w:t>
      </w:r>
      <w:r>
        <w:rPr>
          <w:rFonts w:hint="eastAsia" w:ascii="黑体" w:hAnsi="黑体" w:eastAsia="黑体" w:cs="黑体"/>
          <w:b/>
          <w:bCs/>
          <w:color w:val="auto"/>
          <w:spacing w:val="15"/>
          <w:sz w:val="24"/>
          <w:szCs w:val="24"/>
          <w:highlight w:val="none"/>
          <w:lang w:val="en-US" w:eastAsia="zh-CN"/>
        </w:rPr>
        <w:t>或劳动合同</w:t>
      </w:r>
      <w:r>
        <w:rPr>
          <w:rFonts w:hint="eastAsia" w:ascii="黑体" w:hAnsi="黑体" w:eastAsia="黑体" w:cs="黑体"/>
          <w:b/>
          <w:bCs/>
          <w:color w:val="auto"/>
          <w:spacing w:val="15"/>
          <w:sz w:val="24"/>
          <w:szCs w:val="24"/>
          <w:highlight w:val="none"/>
        </w:rPr>
        <w:t>（附相关证书</w:t>
      </w:r>
      <w:r>
        <w:rPr>
          <w:rFonts w:hint="eastAsia" w:ascii="黑体" w:hAnsi="黑体" w:eastAsia="黑体" w:cs="黑体"/>
          <w:b/>
          <w:bCs/>
          <w:color w:val="auto"/>
          <w:spacing w:val="-13"/>
          <w:sz w:val="24"/>
          <w:szCs w:val="24"/>
          <w:highlight w:val="none"/>
        </w:rPr>
        <w:t>）。</w:t>
      </w:r>
      <w:r>
        <w:rPr>
          <w:rFonts w:hint="eastAsia" w:ascii="黑体" w:hAnsi="黑体" w:eastAsia="黑体" w:cs="黑体"/>
          <w:b/>
          <w:bCs/>
          <w:color w:val="auto"/>
          <w:spacing w:val="12"/>
          <w:sz w:val="24"/>
          <w:szCs w:val="24"/>
          <w:highlight w:val="none"/>
        </w:rPr>
        <w:t>我方承诺上述填报内容真实</w:t>
      </w:r>
      <w:r>
        <w:rPr>
          <w:rFonts w:hint="eastAsia" w:ascii="黑体" w:hAnsi="黑体" w:eastAsia="黑体" w:cs="黑体"/>
          <w:color w:val="auto"/>
          <w:spacing w:val="-55"/>
          <w:sz w:val="24"/>
          <w:szCs w:val="24"/>
          <w:highlight w:val="none"/>
          <w:lang w:eastAsia="zh-CN"/>
        </w:rPr>
        <w:t>，</w:t>
      </w:r>
      <w:r>
        <w:rPr>
          <w:rFonts w:hint="eastAsia" w:ascii="黑体" w:hAnsi="黑体" w:eastAsia="黑体" w:cs="黑体"/>
          <w:b/>
          <w:bCs/>
          <w:color w:val="auto"/>
          <w:spacing w:val="12"/>
          <w:sz w:val="24"/>
          <w:szCs w:val="24"/>
          <w:highlight w:val="none"/>
        </w:rPr>
        <w:t>如不真实，将按照有关规定接受处理</w:t>
      </w:r>
      <w:r>
        <w:rPr>
          <w:rFonts w:hint="eastAsia" w:ascii="黑体" w:hAnsi="黑体" w:eastAsia="黑体" w:cs="黑体"/>
          <w:color w:val="auto"/>
          <w:spacing w:val="12"/>
          <w:sz w:val="24"/>
          <w:szCs w:val="24"/>
          <w:highlight w:val="none"/>
        </w:rPr>
        <w:t>。</w:t>
      </w:r>
    </w:p>
    <w:p w14:paraId="68DA745C">
      <w:pPr>
        <w:pStyle w:val="10"/>
        <w:tabs>
          <w:tab w:val="left" w:pos="567"/>
        </w:tabs>
        <w:spacing w:before="62" w:line="360" w:lineRule="auto"/>
        <w:ind w:left="36" w:leftChars="-200" w:hanging="456" w:hangingChars="168"/>
        <w:rPr>
          <w:rFonts w:hint="eastAsia" w:ascii="黑体" w:hAnsi="黑体" w:eastAsia="黑体" w:cs="黑体"/>
          <w:color w:val="auto"/>
          <w:sz w:val="24"/>
          <w:szCs w:val="24"/>
          <w:highlight w:val="none"/>
        </w:rPr>
      </w:pPr>
      <w:r>
        <w:rPr>
          <w:rFonts w:hint="eastAsia" w:ascii="黑体" w:hAnsi="黑体" w:eastAsia="黑体" w:cs="黑体"/>
          <w:color w:val="auto"/>
          <w:spacing w:val="16"/>
          <w:sz w:val="24"/>
          <w:szCs w:val="24"/>
          <w:highlight w:val="none"/>
        </w:rPr>
        <w:t>投标人名称（盖单位公章</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13"/>
          <w:sz w:val="24"/>
          <w:szCs w:val="24"/>
          <w:highlight w:val="none"/>
        </w:rPr>
        <w:t xml:space="preserve"> </w:t>
      </w:r>
      <w:r>
        <w:rPr>
          <w:rFonts w:hint="eastAsia" w:ascii="黑体" w:hAnsi="黑体" w:eastAsia="黑体" w:cs="黑体"/>
          <w:color w:val="auto"/>
          <w:spacing w:val="-15"/>
          <w:sz w:val="24"/>
          <w:szCs w:val="24"/>
          <w:highlight w:val="none"/>
        </w:rPr>
        <w:t>：</w:t>
      </w:r>
      <w:r>
        <w:rPr>
          <w:rFonts w:hint="eastAsia" w:ascii="黑体" w:hAnsi="黑体" w:eastAsia="黑体" w:cs="黑体"/>
          <w:color w:val="auto"/>
          <w:sz w:val="24"/>
          <w:szCs w:val="24"/>
          <w:highlight w:val="none"/>
          <w:u w:val="single" w:color="auto"/>
        </w:rPr>
        <w:t xml:space="preserve">                      </w:t>
      </w:r>
    </w:p>
    <w:p w14:paraId="7968CD2E">
      <w:pPr>
        <w:pStyle w:val="10"/>
        <w:tabs>
          <w:tab w:val="left" w:pos="567"/>
        </w:tabs>
        <w:spacing w:before="171" w:line="360" w:lineRule="auto"/>
        <w:ind w:left="33" w:leftChars="-200" w:hanging="453" w:hangingChars="168"/>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法定代表人或其委托代理人</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签字或盖章</w:t>
      </w:r>
      <w:r>
        <w:rPr>
          <w:rFonts w:hint="eastAsia" w:ascii="黑体" w:hAnsi="黑体" w:eastAsia="黑体" w:cs="黑体"/>
          <w:color w:val="auto"/>
          <w:spacing w:val="15"/>
          <w:sz w:val="24"/>
          <w:szCs w:val="24"/>
          <w:highlight w:val="none"/>
          <w:lang w:eastAsia="zh-CN"/>
        </w:rPr>
        <w:t>）</w:t>
      </w:r>
      <w:r>
        <w:rPr>
          <w:rFonts w:hint="eastAsia" w:ascii="黑体" w:hAnsi="黑体" w:eastAsia="黑体" w:cs="黑体"/>
          <w:color w:val="auto"/>
          <w:spacing w:val="15"/>
          <w:sz w:val="24"/>
          <w:szCs w:val="24"/>
          <w:highlight w:val="none"/>
        </w:rPr>
        <w:t>：</w:t>
      </w:r>
      <w:r>
        <w:rPr>
          <w:rFonts w:hint="eastAsia" w:ascii="黑体" w:hAnsi="黑体" w:eastAsia="黑体" w:cs="黑体"/>
          <w:color w:val="auto"/>
          <w:spacing w:val="-66"/>
          <w:sz w:val="24"/>
          <w:szCs w:val="24"/>
          <w:highlight w:val="none"/>
        </w:rPr>
        <w:t xml:space="preserve"> </w:t>
      </w:r>
      <w:r>
        <w:rPr>
          <w:rFonts w:hint="eastAsia" w:ascii="黑体" w:hAnsi="黑体" w:eastAsia="黑体" w:cs="黑体"/>
          <w:color w:val="auto"/>
          <w:sz w:val="24"/>
          <w:szCs w:val="24"/>
          <w:highlight w:val="none"/>
          <w:u w:val="single" w:color="auto"/>
        </w:rPr>
        <w:t xml:space="preserve">                      </w:t>
      </w:r>
    </w:p>
    <w:p w14:paraId="0661CF61">
      <w:pPr>
        <w:pStyle w:val="10"/>
        <w:tabs>
          <w:tab w:val="left" w:pos="567"/>
        </w:tabs>
        <w:spacing w:before="171" w:line="360" w:lineRule="auto"/>
        <w:ind w:left="-68" w:leftChars="-200" w:hanging="352" w:hangingChars="168"/>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日期：</w:t>
      </w:r>
      <w:r>
        <w:rPr>
          <w:rFonts w:hint="eastAsia" w:ascii="黑体" w:hAnsi="黑体" w:eastAsia="黑体" w:cs="黑体"/>
          <w:color w:val="auto"/>
          <w:spacing w:val="11"/>
          <w:sz w:val="24"/>
          <w:szCs w:val="24"/>
          <w:highlight w:val="none"/>
          <w:u w:val="single" w:color="auto"/>
        </w:rPr>
        <w:t xml:space="preserve">    </w:t>
      </w:r>
      <w:r>
        <w:rPr>
          <w:rFonts w:hint="eastAsia" w:ascii="黑体" w:hAnsi="黑体" w:eastAsia="黑体" w:cs="黑体"/>
          <w:color w:val="auto"/>
          <w:spacing w:val="-57"/>
          <w:sz w:val="24"/>
          <w:szCs w:val="24"/>
          <w:highlight w:val="none"/>
        </w:rPr>
        <w:t xml:space="preserve"> </w:t>
      </w:r>
      <w:r>
        <w:rPr>
          <w:rFonts w:hint="eastAsia" w:ascii="黑体" w:hAnsi="黑体" w:eastAsia="黑体" w:cs="黑体"/>
          <w:color w:val="auto"/>
          <w:spacing w:val="-15"/>
          <w:sz w:val="24"/>
          <w:szCs w:val="24"/>
          <w:highlight w:val="none"/>
        </w:rPr>
        <w:t>年</w:t>
      </w:r>
      <w:r>
        <w:rPr>
          <w:rFonts w:hint="eastAsia" w:ascii="黑体" w:hAnsi="黑体" w:eastAsia="黑体" w:cs="黑体"/>
          <w:color w:val="auto"/>
          <w:spacing w:val="5"/>
          <w:sz w:val="24"/>
          <w:szCs w:val="24"/>
          <w:highlight w:val="none"/>
          <w:u w:val="single" w:color="auto"/>
        </w:rPr>
        <w:t xml:space="preserve">    </w:t>
      </w:r>
      <w:r>
        <w:rPr>
          <w:rFonts w:hint="eastAsia" w:ascii="黑体" w:hAnsi="黑体" w:eastAsia="黑体" w:cs="黑体"/>
          <w:color w:val="auto"/>
          <w:spacing w:val="-40"/>
          <w:sz w:val="24"/>
          <w:szCs w:val="24"/>
          <w:highlight w:val="none"/>
        </w:rPr>
        <w:t xml:space="preserve"> </w:t>
      </w:r>
      <w:r>
        <w:rPr>
          <w:rFonts w:hint="eastAsia" w:ascii="黑体" w:hAnsi="黑体" w:eastAsia="黑体" w:cs="黑体"/>
          <w:color w:val="auto"/>
          <w:spacing w:val="-15"/>
          <w:sz w:val="24"/>
          <w:szCs w:val="24"/>
          <w:highlight w:val="none"/>
        </w:rPr>
        <w:t>月</w:t>
      </w:r>
      <w:r>
        <w:rPr>
          <w:rFonts w:hint="eastAsia" w:ascii="黑体" w:hAnsi="黑体" w:eastAsia="黑体" w:cs="黑体"/>
          <w:color w:val="auto"/>
          <w:spacing w:val="7"/>
          <w:sz w:val="24"/>
          <w:szCs w:val="24"/>
          <w:highlight w:val="none"/>
          <w:u w:val="single" w:color="auto"/>
        </w:rPr>
        <w:t xml:space="preserve">    </w:t>
      </w:r>
      <w:r>
        <w:rPr>
          <w:rFonts w:hint="eastAsia" w:ascii="黑体" w:hAnsi="黑体" w:eastAsia="黑体" w:cs="黑体"/>
          <w:color w:val="auto"/>
          <w:spacing w:val="20"/>
          <w:sz w:val="24"/>
          <w:szCs w:val="24"/>
          <w:highlight w:val="none"/>
        </w:rPr>
        <w:t xml:space="preserve"> </w:t>
      </w:r>
      <w:r>
        <w:rPr>
          <w:rFonts w:hint="eastAsia" w:ascii="黑体" w:hAnsi="黑体" w:eastAsia="黑体" w:cs="黑体"/>
          <w:color w:val="auto"/>
          <w:spacing w:val="-15"/>
          <w:sz w:val="24"/>
          <w:szCs w:val="24"/>
          <w:highlight w:val="none"/>
        </w:rPr>
        <w:t>日</w:t>
      </w:r>
    </w:p>
    <w:p w14:paraId="39D46608">
      <w:pPr>
        <w:pStyle w:val="4"/>
        <w:bidi w:val="0"/>
        <w:rPr>
          <w:rFonts w:hint="eastAsia" w:ascii="黑体" w:hAnsi="黑体" w:eastAsia="黑体" w:cs="黑体"/>
          <w:color w:val="auto"/>
          <w:szCs w:val="24"/>
          <w:highlight w:val="none"/>
        </w:rPr>
      </w:pPr>
      <w:r>
        <w:rPr>
          <w:rFonts w:hint="eastAsia" w:ascii="黑体" w:hAnsi="黑体" w:eastAsia="黑体" w:cs="黑体"/>
          <w:b/>
          <w:color w:val="auto"/>
          <w:kern w:val="0"/>
          <w:szCs w:val="24"/>
          <w:highlight w:val="none"/>
          <w:lang w:val="en-US" w:eastAsia="zh-CN"/>
        </w:rPr>
        <w:br w:type="page"/>
      </w:r>
      <w:r>
        <w:rPr>
          <w:rFonts w:hint="eastAsia"/>
          <w:color w:val="auto"/>
          <w:highlight w:val="none"/>
          <w:lang w:val="en-US" w:eastAsia="zh-CN"/>
        </w:rPr>
        <w:t>9、投标</w:t>
      </w:r>
      <w:r>
        <w:rPr>
          <w:rFonts w:hint="eastAsia"/>
          <w:color w:val="auto"/>
          <w:highlight w:val="none"/>
          <w:lang w:eastAsia="zh-CN"/>
        </w:rPr>
        <w:t>文件</w:t>
      </w:r>
      <w:r>
        <w:rPr>
          <w:rFonts w:hint="eastAsia"/>
          <w:color w:val="auto"/>
          <w:highlight w:val="none"/>
        </w:rPr>
        <w:t>格式范本</w:t>
      </w:r>
      <w:bookmarkEnd w:id="245"/>
      <w:bookmarkEnd w:id="246"/>
      <w:bookmarkEnd w:id="247"/>
    </w:p>
    <w:tbl>
      <w:tblPr>
        <w:tblStyle w:val="24"/>
        <w:tblpPr w:leftFromText="180" w:rightFromText="180" w:vertAnchor="text" w:horzAnchor="page" w:tblpX="1889" w:tblpY="275"/>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CFEEA"/>
        <w:tblLayout w:type="fixed"/>
        <w:tblCellMar>
          <w:top w:w="0" w:type="dxa"/>
          <w:left w:w="108" w:type="dxa"/>
          <w:bottom w:w="0" w:type="dxa"/>
          <w:right w:w="108" w:type="dxa"/>
        </w:tblCellMar>
      </w:tblPr>
      <w:tblGrid>
        <w:gridCol w:w="8340"/>
      </w:tblGrid>
      <w:tr w14:paraId="2A67A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CFEEA"/>
          <w:tblCellMar>
            <w:top w:w="0" w:type="dxa"/>
            <w:left w:w="108" w:type="dxa"/>
            <w:bottom w:w="0" w:type="dxa"/>
            <w:right w:w="108" w:type="dxa"/>
          </w:tblCellMar>
        </w:tblPrEx>
        <w:trPr>
          <w:trHeight w:val="14088" w:hRule="atLeast"/>
        </w:trPr>
        <w:tc>
          <w:tcPr>
            <w:tcW w:w="8340" w:type="dxa"/>
            <w:shd w:val="clear" w:color="auto" w:fill="FCFEEA"/>
            <w:noWrap w:val="0"/>
            <w:vAlign w:val="top"/>
          </w:tcPr>
          <w:p w14:paraId="07DE7829">
            <w:pPr>
              <w:pStyle w:val="10"/>
              <w:keepNext w:val="0"/>
              <w:keepLines w:val="0"/>
              <w:widowControl/>
              <w:suppressLineNumbers w:val="0"/>
              <w:tabs>
                <w:tab w:val="left" w:pos="567"/>
              </w:tabs>
              <w:spacing w:before="0" w:beforeAutospacing="0" w:after="0" w:afterAutospacing="0"/>
              <w:ind w:left="0" w:right="0"/>
              <w:jc w:val="right"/>
              <w:rPr>
                <w:rFonts w:hint="eastAsia" w:ascii="黑体" w:hAnsi="黑体" w:eastAsia="黑体" w:cs="黑体"/>
                <w:b/>
                <w:bCs/>
                <w:color w:val="auto"/>
                <w:sz w:val="24"/>
                <w:szCs w:val="24"/>
                <w:highlight w:val="none"/>
              </w:rPr>
            </w:pPr>
          </w:p>
          <w:p w14:paraId="6421C161">
            <w:pPr>
              <w:pStyle w:val="10"/>
              <w:keepNext w:val="0"/>
              <w:keepLines w:val="0"/>
              <w:widowControl/>
              <w:suppressLineNumbers w:val="0"/>
              <w:tabs>
                <w:tab w:val="left" w:pos="567"/>
              </w:tabs>
              <w:spacing w:before="0" w:beforeAutospacing="0" w:after="0" w:afterAutospacing="0"/>
              <w:ind w:left="0" w:right="0" w:firstLine="3614" w:firstLineChars="1500"/>
              <w:rPr>
                <w:rFonts w:hint="eastAsia" w:ascii="黑体" w:hAnsi="黑体" w:eastAsia="黑体" w:cs="黑体"/>
                <w:b/>
                <w:bCs/>
                <w:color w:val="auto"/>
                <w:sz w:val="24"/>
                <w:szCs w:val="24"/>
                <w:highlight w:val="none"/>
              </w:rPr>
            </w:pPr>
          </w:p>
          <w:p w14:paraId="256D01A7">
            <w:pPr>
              <w:pStyle w:val="10"/>
              <w:keepNext w:val="0"/>
              <w:keepLines w:val="0"/>
              <w:widowControl/>
              <w:suppressLineNumbers w:val="0"/>
              <w:tabs>
                <w:tab w:val="left" w:pos="567"/>
              </w:tabs>
              <w:spacing w:before="0" w:beforeAutospacing="0" w:after="0" w:afterAutospacing="0"/>
              <w:ind w:left="0" w:right="0" w:firstLine="3614" w:firstLineChars="1500"/>
              <w:rPr>
                <w:rFonts w:hint="eastAsia" w:ascii="黑体" w:hAnsi="黑体" w:eastAsia="黑体" w:cs="黑体"/>
                <w:b/>
                <w:bCs/>
                <w:color w:val="auto"/>
                <w:sz w:val="24"/>
                <w:szCs w:val="24"/>
                <w:highlight w:val="none"/>
              </w:rPr>
            </w:pPr>
          </w:p>
          <w:p w14:paraId="479CD870">
            <w:pPr>
              <w:pStyle w:val="10"/>
              <w:keepNext w:val="0"/>
              <w:keepLines w:val="0"/>
              <w:widowControl/>
              <w:suppressLineNumbers w:val="0"/>
              <w:tabs>
                <w:tab w:val="left" w:pos="567"/>
              </w:tabs>
              <w:spacing w:before="0" w:beforeAutospacing="0" w:after="0" w:afterAutospacing="0"/>
              <w:ind w:left="0" w:right="0"/>
              <w:rPr>
                <w:rFonts w:hint="eastAsia" w:ascii="黑体" w:hAnsi="黑体" w:eastAsia="黑体" w:cs="黑体"/>
                <w:b/>
                <w:bCs/>
                <w:color w:val="auto"/>
                <w:sz w:val="24"/>
                <w:szCs w:val="24"/>
                <w:highlight w:val="none"/>
              </w:rPr>
            </w:pPr>
          </w:p>
          <w:p w14:paraId="61F5F6BD">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 *** *** ***   项目</w:t>
            </w:r>
          </w:p>
          <w:p w14:paraId="25453CF7">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rPr>
            </w:pPr>
          </w:p>
          <w:p w14:paraId="04FAADA1">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rPr>
            </w:pPr>
          </w:p>
          <w:p w14:paraId="1E31E983">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rPr>
              <w:t>编号</w:t>
            </w:r>
            <w:r>
              <w:rPr>
                <w:rFonts w:hint="eastAsia" w:ascii="黑体" w:hAnsi="黑体" w:eastAsia="黑体" w:cs="黑体"/>
                <w:b/>
                <w:bCs/>
                <w:color w:val="auto"/>
                <w:sz w:val="24"/>
                <w:szCs w:val="24"/>
                <w:highlight w:val="none"/>
                <w:lang w:val="en-US" w:eastAsia="zh-CN"/>
              </w:rPr>
              <w:t>*****************</w:t>
            </w:r>
          </w:p>
          <w:p w14:paraId="55BEC83B">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rPr>
            </w:pPr>
          </w:p>
          <w:p w14:paraId="69E73D18">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lang w:val="en-US" w:eastAsia="zh-CN"/>
              </w:rPr>
            </w:pPr>
          </w:p>
          <w:p w14:paraId="65FD501F">
            <w:pPr>
              <w:pStyle w:val="10"/>
              <w:keepNext w:val="0"/>
              <w:keepLines w:val="0"/>
              <w:widowControl/>
              <w:suppressLineNumbers w:val="0"/>
              <w:tabs>
                <w:tab w:val="left" w:pos="567"/>
              </w:tabs>
              <w:spacing w:before="0" w:beforeAutospacing="0" w:after="0" w:afterAutospacing="0"/>
              <w:ind w:left="0" w:right="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lang w:eastAsia="zh-CN"/>
              </w:rPr>
              <w:t>文件</w:t>
            </w:r>
          </w:p>
          <w:p w14:paraId="7A8F5CF5">
            <w:pPr>
              <w:keepNext w:val="0"/>
              <w:keepLines w:val="0"/>
              <w:widowControl/>
              <w:suppressLineNumbers w:val="0"/>
              <w:spacing w:before="0" w:beforeAutospacing="0" w:after="0" w:afterAutospacing="0"/>
              <w:ind w:left="0" w:right="0"/>
              <w:jc w:val="center"/>
              <w:rPr>
                <w:rFonts w:hint="eastAsia" w:ascii="黑体" w:hAnsi="黑体" w:eastAsia="黑体" w:cs="黑体"/>
                <w:b/>
                <w:color w:val="auto"/>
                <w:sz w:val="24"/>
                <w:szCs w:val="24"/>
                <w:highlight w:val="none"/>
              </w:rPr>
            </w:pPr>
          </w:p>
          <w:p w14:paraId="03FEC107">
            <w:pPr>
              <w:pStyle w:val="7"/>
              <w:keepNext w:val="0"/>
              <w:keepLines w:val="0"/>
              <w:widowControl/>
              <w:suppressLineNumbers w:val="0"/>
              <w:spacing w:before="0" w:beforeAutospacing="0" w:after="0" w:afterAutospacing="0"/>
              <w:ind w:left="0" w:right="0"/>
              <w:rPr>
                <w:rFonts w:hint="eastAsia" w:ascii="黑体" w:hAnsi="黑体" w:eastAsia="黑体" w:cs="黑体"/>
                <w:b/>
                <w:color w:val="auto"/>
                <w:sz w:val="24"/>
                <w:szCs w:val="24"/>
                <w:highlight w:val="none"/>
              </w:rPr>
            </w:pPr>
          </w:p>
          <w:p w14:paraId="1CC3CBA4">
            <w:pPr>
              <w:pStyle w:val="7"/>
              <w:keepNext w:val="0"/>
              <w:keepLines w:val="0"/>
              <w:widowControl/>
              <w:suppressLineNumbers w:val="0"/>
              <w:spacing w:before="0" w:beforeAutospacing="0" w:after="0" w:afterAutospacing="0"/>
              <w:ind w:left="0" w:right="0"/>
              <w:rPr>
                <w:rFonts w:hint="eastAsia" w:ascii="黑体" w:hAnsi="黑体" w:eastAsia="黑体" w:cs="黑体"/>
                <w:b/>
                <w:color w:val="auto"/>
                <w:sz w:val="24"/>
                <w:szCs w:val="24"/>
                <w:highlight w:val="none"/>
              </w:rPr>
            </w:pPr>
          </w:p>
          <w:p w14:paraId="259CE6C2">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6E33863C">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29009E27">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0CA625AA">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46A15F10">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33925924">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5198BAA8">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投标单位：（</w:t>
            </w:r>
            <w:r>
              <w:rPr>
                <w:rFonts w:hint="eastAsia" w:ascii="黑体" w:hAnsi="黑体" w:eastAsia="黑体" w:cs="黑体"/>
                <w:color w:val="auto"/>
                <w:sz w:val="24"/>
                <w:szCs w:val="24"/>
                <w:highlight w:val="none"/>
                <w:lang w:eastAsia="zh-CN"/>
              </w:rPr>
              <w:t>加盖</w:t>
            </w:r>
            <w:r>
              <w:rPr>
                <w:rFonts w:hint="eastAsia" w:ascii="黑体" w:hAnsi="黑体" w:eastAsia="黑体" w:cs="黑体"/>
                <w:color w:val="auto"/>
                <w:sz w:val="24"/>
                <w:szCs w:val="24"/>
                <w:highlight w:val="none"/>
              </w:rPr>
              <w:t>公章）</w:t>
            </w:r>
          </w:p>
          <w:p w14:paraId="694D5F92">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项目名称：</w:t>
            </w:r>
          </w:p>
          <w:p w14:paraId="5E878C8E">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项目编号：</w:t>
            </w:r>
          </w:p>
          <w:p w14:paraId="34A0FDD7">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联系人：</w:t>
            </w:r>
          </w:p>
          <w:p w14:paraId="12BB81B6">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电话：</w:t>
            </w:r>
          </w:p>
          <w:p w14:paraId="47C19A0B">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地址：</w:t>
            </w:r>
          </w:p>
          <w:p w14:paraId="2D3836BB">
            <w:pPr>
              <w:keepNext w:val="0"/>
              <w:keepLines w:val="0"/>
              <w:widowControl/>
              <w:suppressLineNumbers w:val="0"/>
              <w:spacing w:before="0" w:beforeAutospacing="0" w:after="0" w:afterAutospacing="0" w:line="360" w:lineRule="auto"/>
              <w:ind w:left="176" w:leftChars="84" w:right="0" w:firstLine="960" w:firstLineChars="400"/>
              <w:rPr>
                <w:rFonts w:hint="eastAsia" w:ascii="黑体" w:hAnsi="黑体" w:eastAsia="黑体" w:cs="黑体"/>
                <w:color w:val="auto"/>
                <w:sz w:val="24"/>
                <w:szCs w:val="24"/>
                <w:highlight w:val="none"/>
              </w:rPr>
            </w:pPr>
          </w:p>
          <w:p w14:paraId="31550E67">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64AC0A36">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1ACF9E03">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540BC5C4">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6E144379">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2E1BC876">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7DBEC68B">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51DA9A74">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100AD30A">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p>
          <w:p w14:paraId="0DA3D0F1">
            <w:pPr>
              <w:keepNext w:val="0"/>
              <w:keepLines w:val="0"/>
              <w:widowControl/>
              <w:suppressLineNumbers w:val="0"/>
              <w:spacing w:before="0" w:beforeAutospacing="0" w:after="0" w:afterAutospacing="0"/>
              <w:ind w:left="0" w:right="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注：在xxx年xx月xx日之前不得启封</w:t>
            </w:r>
          </w:p>
        </w:tc>
      </w:tr>
    </w:tbl>
    <w:p w14:paraId="7BB86BFA">
      <w:pPr>
        <w:pStyle w:val="7"/>
        <w:ind w:left="0" w:leftChars="0" w:firstLine="0" w:firstLineChars="0"/>
        <w:rPr>
          <w:rFonts w:hint="eastAsia" w:ascii="宋体" w:hAnsi="宋体" w:eastAsia="宋体" w:cs="宋体"/>
          <w:color w:val="auto"/>
          <w:highlight w:val="none"/>
        </w:rPr>
      </w:pPr>
    </w:p>
    <w:p w14:paraId="4784E51D">
      <w:pPr>
        <w:pStyle w:val="8"/>
        <w:rPr>
          <w:rFonts w:hint="eastAsia" w:ascii="宋体" w:hAnsi="宋体" w:eastAsia="宋体" w:cs="宋体"/>
          <w:color w:val="auto"/>
          <w:highlight w:val="none"/>
        </w:rPr>
      </w:pPr>
    </w:p>
    <w:p w14:paraId="77C5F879">
      <w:pPr>
        <w:keepNext w:val="0"/>
        <w:keepLines w:val="0"/>
        <w:pageBreakBefore w:val="0"/>
        <w:widowControl/>
        <w:kinsoku/>
        <w:wordWrap w:val="0"/>
        <w:overflowPunct/>
        <w:topLinePunct w:val="0"/>
        <w:bidi w:val="0"/>
        <w:spacing w:line="250" w:lineRule="auto"/>
        <w:ind w:left="0" w:leftChars="0" w:right="0"/>
        <w:rPr>
          <w:rFonts w:hint="eastAsia" w:ascii="黑体" w:hAnsi="黑体" w:eastAsia="黑体" w:cs="黑体"/>
          <w:color w:val="auto"/>
          <w:sz w:val="21"/>
          <w:highlight w:val="none"/>
        </w:rPr>
      </w:pPr>
    </w:p>
    <w:p w14:paraId="061C4E6D">
      <w:pPr>
        <w:keepNext w:val="0"/>
        <w:keepLines w:val="0"/>
        <w:pageBreakBefore w:val="0"/>
        <w:widowControl/>
        <w:kinsoku/>
        <w:wordWrap w:val="0"/>
        <w:overflowPunct/>
        <w:topLinePunct w:val="0"/>
        <w:bidi w:val="0"/>
        <w:spacing w:line="250" w:lineRule="auto"/>
        <w:ind w:left="0" w:leftChars="0" w:right="0"/>
        <w:rPr>
          <w:rFonts w:hint="eastAsia" w:ascii="黑体" w:hAnsi="黑体" w:eastAsia="黑体" w:cs="黑体"/>
          <w:color w:val="auto"/>
          <w:sz w:val="21"/>
          <w:highlight w:val="none"/>
        </w:rPr>
      </w:pPr>
    </w:p>
    <w:p w14:paraId="5DCCDCA4">
      <w:pPr>
        <w:keepNext w:val="0"/>
        <w:keepLines w:val="0"/>
        <w:pageBreakBefore w:val="0"/>
        <w:widowControl/>
        <w:kinsoku/>
        <w:wordWrap w:val="0"/>
        <w:overflowPunct/>
        <w:topLinePunct w:val="0"/>
        <w:bidi w:val="0"/>
        <w:spacing w:line="250" w:lineRule="auto"/>
        <w:ind w:left="0" w:leftChars="0" w:right="0"/>
        <w:rPr>
          <w:rFonts w:hint="eastAsia" w:ascii="黑体" w:hAnsi="黑体" w:eastAsia="黑体" w:cs="黑体"/>
          <w:color w:val="auto"/>
          <w:sz w:val="21"/>
          <w:highlight w:val="none"/>
        </w:rPr>
      </w:pPr>
    </w:p>
    <w:p w14:paraId="63C94949">
      <w:pPr>
        <w:keepNext w:val="0"/>
        <w:keepLines w:val="0"/>
        <w:pageBreakBefore w:val="0"/>
        <w:widowControl/>
        <w:kinsoku/>
        <w:wordWrap w:val="0"/>
        <w:overflowPunct/>
        <w:topLinePunct w:val="0"/>
        <w:bidi w:val="0"/>
        <w:spacing w:line="250" w:lineRule="auto"/>
        <w:ind w:left="0" w:leftChars="0" w:right="0"/>
        <w:rPr>
          <w:rFonts w:hint="eastAsia" w:ascii="黑体" w:hAnsi="黑体" w:eastAsia="黑体" w:cs="黑体"/>
          <w:color w:val="auto"/>
          <w:sz w:val="21"/>
          <w:highlight w:val="none"/>
        </w:rPr>
      </w:pPr>
    </w:p>
    <w:p w14:paraId="02D4A0DC">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rPr>
      </w:pPr>
    </w:p>
    <w:p w14:paraId="0804A4A1">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rPr>
      </w:pPr>
    </w:p>
    <w:p w14:paraId="47756663">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rPr>
      </w:pPr>
    </w:p>
    <w:p w14:paraId="71066D1C">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rPr>
      </w:pPr>
    </w:p>
    <w:p w14:paraId="5E40190D">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rPr>
      </w:pPr>
    </w:p>
    <w:p w14:paraId="54E8D580">
      <w:pPr>
        <w:keepNext w:val="0"/>
        <w:keepLines w:val="0"/>
        <w:pageBreakBefore w:val="0"/>
        <w:widowControl/>
        <w:kinsoku/>
        <w:wordWrap w:val="0"/>
        <w:overflowPunct/>
        <w:topLinePunct w:val="0"/>
        <w:bidi w:val="0"/>
        <w:spacing w:line="251" w:lineRule="auto"/>
        <w:ind w:left="0" w:leftChars="0" w:right="0"/>
        <w:rPr>
          <w:rFonts w:hint="eastAsia" w:ascii="黑体" w:hAnsi="黑体" w:eastAsia="黑体" w:cs="黑体"/>
          <w:color w:val="auto"/>
          <w:sz w:val="21"/>
          <w:highlight w:val="none"/>
          <w:lang w:val="en-US" w:eastAsia="zh-CN"/>
        </w:rPr>
      </w:pPr>
    </w:p>
    <w:p w14:paraId="06FA5018">
      <w:pPr>
        <w:keepNext w:val="0"/>
        <w:keepLines w:val="0"/>
        <w:pageBreakBefore w:val="0"/>
        <w:widowControl/>
        <w:kinsoku/>
        <w:wordWrap w:val="0"/>
        <w:overflowPunct/>
        <w:topLinePunct w:val="0"/>
        <w:bidi w:val="0"/>
        <w:spacing w:line="241" w:lineRule="auto"/>
        <w:ind w:left="361" w:leftChars="0" w:right="0" w:hanging="361" w:hangingChars="100"/>
        <w:jc w:val="center"/>
        <w:outlineLvl w:val="0"/>
        <w:rPr>
          <w:rFonts w:hint="eastAsia" w:ascii="黑体" w:hAnsi="黑体" w:eastAsia="黑体" w:cs="黑体"/>
          <w:color w:val="auto"/>
          <w:sz w:val="36"/>
          <w:szCs w:val="36"/>
          <w:highlight w:val="none"/>
        </w:rPr>
      </w:pPr>
      <w:r>
        <w:rPr>
          <w:rFonts w:hint="eastAsia" w:ascii="黑体" w:hAnsi="黑体" w:eastAsia="黑体" w:cs="黑体"/>
          <w:b/>
          <w:bCs/>
          <w:color w:val="auto"/>
          <w:sz w:val="36"/>
          <w:szCs w:val="36"/>
          <w:highlight w:val="none"/>
          <w:lang w:eastAsia="zh-CN"/>
        </w:rPr>
        <w:t>疏勒县居民安防治理体系建设项目</w:t>
      </w:r>
    </w:p>
    <w:p w14:paraId="72A6643E">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063D52E3">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49356079">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75933B8A">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0071D100">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6B19B065">
      <w:pPr>
        <w:spacing w:line="240" w:lineRule="atLeast"/>
        <w:jc w:val="center"/>
        <w:rPr>
          <w:rFonts w:hint="eastAsia" w:ascii="宋体" w:hAnsi="宋体" w:eastAsia="宋体" w:cs="宋体"/>
          <w:b/>
          <w:color w:val="auto"/>
          <w:kern w:val="44"/>
          <w:sz w:val="32"/>
          <w:szCs w:val="20"/>
          <w:highlight w:val="none"/>
          <w:lang w:val="en-US" w:eastAsia="zh-CN" w:bidi="ar-SA"/>
        </w:rPr>
      </w:pPr>
      <w:r>
        <w:rPr>
          <w:rFonts w:hint="eastAsia" w:ascii="黑体" w:hAnsi="黑体" w:eastAsia="黑体" w:cs="黑体"/>
          <w:b/>
          <w:color w:val="auto"/>
          <w:kern w:val="44"/>
          <w:sz w:val="32"/>
          <w:szCs w:val="20"/>
          <w:highlight w:val="none"/>
          <w:lang w:val="en-US" w:eastAsia="zh-CN" w:bidi="ar-SA"/>
        </w:rPr>
        <w:t>项目编号：ZBGJSLXZFCG（GK）2026-16</w:t>
      </w:r>
    </w:p>
    <w:p w14:paraId="2C879419">
      <w:pPr>
        <w:keepNext w:val="0"/>
        <w:keepLines w:val="0"/>
        <w:pageBreakBefore w:val="0"/>
        <w:widowControl/>
        <w:kinsoku/>
        <w:wordWrap w:val="0"/>
        <w:overflowPunct/>
        <w:topLinePunct w:val="0"/>
        <w:bidi w:val="0"/>
        <w:spacing w:line="306" w:lineRule="auto"/>
        <w:ind w:left="0" w:leftChars="0" w:right="0"/>
        <w:rPr>
          <w:rFonts w:hint="eastAsia" w:ascii="黑体" w:hAnsi="黑体" w:eastAsia="黑体" w:cs="黑体"/>
          <w:color w:val="auto"/>
          <w:sz w:val="21"/>
          <w:highlight w:val="none"/>
        </w:rPr>
      </w:pPr>
    </w:p>
    <w:p w14:paraId="0353B9A4">
      <w:pPr>
        <w:keepNext w:val="0"/>
        <w:keepLines w:val="0"/>
        <w:pageBreakBefore w:val="0"/>
        <w:widowControl/>
        <w:kinsoku/>
        <w:wordWrap w:val="0"/>
        <w:overflowPunct/>
        <w:topLinePunct w:val="0"/>
        <w:bidi w:val="0"/>
        <w:spacing w:line="306" w:lineRule="auto"/>
        <w:ind w:left="0" w:leftChars="0" w:right="0"/>
        <w:rPr>
          <w:rFonts w:hint="eastAsia" w:ascii="黑体" w:hAnsi="黑体" w:eastAsia="黑体" w:cs="黑体"/>
          <w:color w:val="auto"/>
          <w:sz w:val="21"/>
          <w:highlight w:val="none"/>
        </w:rPr>
      </w:pPr>
    </w:p>
    <w:p w14:paraId="7FEA5812">
      <w:pPr>
        <w:pStyle w:val="10"/>
        <w:keepNext w:val="0"/>
        <w:keepLines w:val="0"/>
        <w:pageBreakBefore w:val="0"/>
        <w:widowControl/>
        <w:kinsoku/>
        <w:wordWrap w:val="0"/>
        <w:overflowPunct/>
        <w:topLinePunct w:val="0"/>
        <w:bidi w:val="0"/>
        <w:spacing w:line="225" w:lineRule="auto"/>
        <w:ind w:left="0" w:leftChars="0" w:right="0"/>
        <w:rPr>
          <w:rFonts w:hint="eastAsia" w:ascii="黑体" w:hAnsi="黑体" w:eastAsia="黑体" w:cs="黑体"/>
          <w:b/>
          <w:bCs/>
          <w:color w:val="auto"/>
          <w:spacing w:val="3"/>
          <w:sz w:val="31"/>
          <w:szCs w:val="31"/>
          <w:highlight w:val="none"/>
        </w:rPr>
      </w:pPr>
    </w:p>
    <w:p w14:paraId="071955B3">
      <w:pPr>
        <w:pStyle w:val="10"/>
        <w:keepNext w:val="0"/>
        <w:keepLines w:val="0"/>
        <w:pageBreakBefore w:val="0"/>
        <w:widowControl/>
        <w:kinsoku/>
        <w:wordWrap w:val="0"/>
        <w:overflowPunct/>
        <w:topLinePunct w:val="0"/>
        <w:bidi w:val="0"/>
        <w:spacing w:line="225" w:lineRule="auto"/>
        <w:ind w:left="0" w:leftChars="0" w:right="0"/>
        <w:jc w:val="center"/>
        <w:rPr>
          <w:rFonts w:hint="eastAsia" w:ascii="黑体" w:hAnsi="黑体" w:eastAsia="黑体" w:cs="黑体"/>
          <w:b/>
          <w:bCs/>
          <w:color w:val="auto"/>
          <w:spacing w:val="3"/>
          <w:sz w:val="32"/>
          <w:szCs w:val="32"/>
          <w:highlight w:val="none"/>
        </w:rPr>
      </w:pPr>
      <w:r>
        <w:rPr>
          <w:rFonts w:hint="eastAsia" w:ascii="黑体" w:hAnsi="黑体" w:eastAsia="黑体" w:cs="黑体"/>
          <w:b/>
          <w:bCs/>
          <w:color w:val="auto"/>
          <w:spacing w:val="3"/>
          <w:sz w:val="32"/>
          <w:szCs w:val="32"/>
          <w:highlight w:val="none"/>
        </w:rPr>
        <w:t>第二册</w:t>
      </w:r>
    </w:p>
    <w:p w14:paraId="2010654E">
      <w:pPr>
        <w:pStyle w:val="10"/>
        <w:keepNext w:val="0"/>
        <w:keepLines w:val="0"/>
        <w:pageBreakBefore w:val="0"/>
        <w:widowControl/>
        <w:kinsoku/>
        <w:wordWrap w:val="0"/>
        <w:overflowPunct/>
        <w:topLinePunct w:val="0"/>
        <w:bidi w:val="0"/>
        <w:spacing w:line="225" w:lineRule="auto"/>
        <w:ind w:left="0" w:leftChars="0" w:right="0"/>
        <w:rPr>
          <w:rFonts w:hint="eastAsia" w:ascii="黑体" w:hAnsi="黑体" w:eastAsia="黑体" w:cs="黑体"/>
          <w:b/>
          <w:bCs/>
          <w:color w:val="auto"/>
          <w:spacing w:val="3"/>
          <w:sz w:val="31"/>
          <w:szCs w:val="31"/>
          <w:highlight w:val="none"/>
        </w:rPr>
      </w:pPr>
    </w:p>
    <w:p w14:paraId="2BDD5AC4">
      <w:pPr>
        <w:keepNext w:val="0"/>
        <w:keepLines w:val="0"/>
        <w:pageBreakBefore w:val="0"/>
        <w:widowControl/>
        <w:kinsoku/>
        <w:wordWrap w:val="0"/>
        <w:overflowPunct/>
        <w:topLinePunct w:val="0"/>
        <w:bidi w:val="0"/>
        <w:spacing w:line="225" w:lineRule="auto"/>
        <w:ind w:left="0" w:leftChars="0" w:right="0"/>
        <w:rPr>
          <w:rFonts w:hint="eastAsia" w:ascii="黑体" w:hAnsi="黑体" w:eastAsia="黑体" w:cs="黑体"/>
          <w:color w:val="auto"/>
          <w:sz w:val="31"/>
          <w:szCs w:val="31"/>
          <w:highlight w:val="none"/>
        </w:rPr>
      </w:pPr>
    </w:p>
    <w:p w14:paraId="6AAA7404">
      <w:pPr>
        <w:keepNext w:val="0"/>
        <w:keepLines w:val="0"/>
        <w:pageBreakBefore w:val="0"/>
        <w:widowControl/>
        <w:kinsoku/>
        <w:wordWrap w:val="0"/>
        <w:overflowPunct/>
        <w:topLinePunct w:val="0"/>
        <w:bidi w:val="0"/>
        <w:spacing w:line="225" w:lineRule="auto"/>
        <w:ind w:left="0" w:leftChars="0" w:right="0"/>
        <w:rPr>
          <w:rFonts w:hint="eastAsia" w:ascii="黑体" w:hAnsi="黑体" w:eastAsia="黑体" w:cs="黑体"/>
          <w:color w:val="auto"/>
          <w:sz w:val="31"/>
          <w:szCs w:val="31"/>
          <w:highlight w:val="none"/>
        </w:rPr>
        <w:sectPr>
          <w:footerReference r:id="rId16" w:type="default"/>
          <w:pgSz w:w="11906" w:h="16838"/>
          <w:pgMar w:top="400" w:right="1785" w:bottom="1171" w:left="1785" w:header="0" w:footer="996" w:gutter="0"/>
          <w:pgBorders>
            <w:top w:val="none" w:sz="0" w:space="0"/>
            <w:left w:val="none" w:sz="0" w:space="0"/>
            <w:bottom w:val="none" w:sz="0" w:space="0"/>
            <w:right w:val="none" w:sz="0" w:space="0"/>
          </w:pgBorders>
          <w:pgNumType w:fmt="decimal"/>
          <w:cols w:space="720" w:num="1"/>
        </w:sectPr>
      </w:pPr>
    </w:p>
    <w:p w14:paraId="5E0D5B14">
      <w:pPr>
        <w:pStyle w:val="10"/>
        <w:keepNext w:val="0"/>
        <w:keepLines w:val="0"/>
        <w:pageBreakBefore w:val="0"/>
        <w:widowControl/>
        <w:kinsoku/>
        <w:wordWrap w:val="0"/>
        <w:overflowPunct/>
        <w:topLinePunct w:val="0"/>
        <w:bidi w:val="0"/>
        <w:spacing w:line="360" w:lineRule="auto"/>
        <w:ind w:left="0" w:leftChars="0" w:right="0" w:firstLine="3152" w:firstLineChars="1000"/>
        <w:outlineLvl w:val="0"/>
        <w:rPr>
          <w:rFonts w:hint="eastAsia" w:ascii="黑体" w:hAnsi="黑体" w:eastAsia="黑体" w:cs="黑体"/>
          <w:color w:val="auto"/>
          <w:sz w:val="31"/>
          <w:szCs w:val="31"/>
          <w:highlight w:val="none"/>
        </w:rPr>
      </w:pPr>
      <w:bookmarkStart w:id="248" w:name="_Toc25404"/>
      <w:bookmarkStart w:id="249" w:name="_Toc23614"/>
      <w:bookmarkStart w:id="250" w:name="_Toc17189"/>
      <w:r>
        <w:rPr>
          <w:rFonts w:hint="eastAsia" w:ascii="黑体" w:hAnsi="黑体" w:eastAsia="黑体" w:cs="黑体"/>
          <w:b/>
          <w:bCs/>
          <w:color w:val="auto"/>
          <w:spacing w:val="2"/>
          <w:sz w:val="31"/>
          <w:szCs w:val="31"/>
          <w:highlight w:val="none"/>
        </w:rPr>
        <w:t>第3章投标邀请</w:t>
      </w:r>
      <w:bookmarkEnd w:id="248"/>
      <w:bookmarkEnd w:id="249"/>
      <w:bookmarkEnd w:id="250"/>
    </w:p>
    <w:p w14:paraId="3E341A70">
      <w:pPr>
        <w:spacing w:line="360" w:lineRule="auto"/>
        <w:jc w:val="center"/>
        <w:outlineLvl w:val="1"/>
        <w:rPr>
          <w:rFonts w:hint="eastAsia" w:ascii="黑体" w:hAnsi="黑体" w:eastAsia="黑体" w:cs="黑体"/>
          <w:b/>
          <w:bCs/>
          <w:color w:val="auto"/>
          <w:sz w:val="28"/>
          <w:szCs w:val="28"/>
          <w:highlight w:val="none"/>
          <w:lang w:eastAsia="zh-CN"/>
        </w:rPr>
      </w:pPr>
      <w:bookmarkStart w:id="251" w:name="_Toc11877"/>
      <w:r>
        <w:rPr>
          <w:rFonts w:hint="eastAsia" w:ascii="黑体" w:hAnsi="黑体" w:eastAsia="黑体" w:cs="黑体"/>
          <w:b/>
          <w:bCs/>
          <w:color w:val="auto"/>
          <w:sz w:val="28"/>
          <w:szCs w:val="28"/>
          <w:highlight w:val="none"/>
          <w:lang w:eastAsia="zh-CN"/>
        </w:rPr>
        <w:t>疏勒县居民安防治理体系建设项目</w:t>
      </w:r>
    </w:p>
    <w:p w14:paraId="1C00AF47">
      <w:pPr>
        <w:keepNext w:val="0"/>
        <w:keepLines w:val="0"/>
        <w:pageBreakBefore w:val="0"/>
        <w:overflowPunct/>
        <w:topLinePunct w:val="0"/>
        <w:bidi w:val="0"/>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公开招标公告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8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A8E5912">
            <w:pPr>
              <w:keepNext w:val="0"/>
              <w:keepLines w:val="0"/>
              <w:widowControl w:val="0"/>
              <w:suppressLineNumbers w:val="0"/>
              <w:spacing w:before="0" w:beforeAutospacing="0" w:after="0" w:afterAutospacing="0" w:line="360" w:lineRule="auto"/>
              <w:ind w:left="0" w:right="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项目概况</w:t>
            </w:r>
          </w:p>
          <w:p w14:paraId="4A2FBD35">
            <w:pPr>
              <w:keepNext w:val="0"/>
              <w:keepLines w:val="0"/>
              <w:widowControl w:val="0"/>
              <w:suppressLineNumbers w:val="0"/>
              <w:spacing w:before="0" w:beforeAutospacing="0" w:after="0" w:afterAutospacing="0" w:line="360" w:lineRule="auto"/>
              <w:ind w:left="0" w:right="0" w:firstLine="480" w:firstLineChars="200"/>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lang w:eastAsia="zh-CN"/>
              </w:rPr>
              <w:t>疏勒县居民安防治理体系建设项目</w:t>
            </w:r>
            <w:r>
              <w:rPr>
                <w:rFonts w:hint="eastAsia" w:ascii="黑体" w:hAnsi="黑体" w:eastAsia="黑体" w:cs="黑体"/>
                <w:color w:val="auto"/>
                <w:sz w:val="24"/>
                <w:szCs w:val="24"/>
                <w:highlight w:val="none"/>
              </w:rPr>
              <w:t>招标项目的潜在投标人应在政采云平台线上获取招标文件，并于</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:00（北京时间）前递交投标文件。</w:t>
            </w:r>
          </w:p>
        </w:tc>
      </w:tr>
    </w:tbl>
    <w:p w14:paraId="7EC753A7">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p>
    <w:p w14:paraId="00D6DD4E">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项目编号：</w:t>
      </w:r>
      <w:r>
        <w:rPr>
          <w:rFonts w:hint="eastAsia" w:ascii="黑体" w:hAnsi="黑体" w:eastAsia="黑体" w:cs="黑体"/>
          <w:color w:val="auto"/>
          <w:sz w:val="24"/>
          <w:szCs w:val="24"/>
          <w:highlight w:val="none"/>
          <w:lang w:eastAsia="zh-CN"/>
        </w:rPr>
        <w:t>ZBGJSLXZFCG（GK）2026-16</w:t>
      </w:r>
    </w:p>
    <w:p w14:paraId="68EC2AEA">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eastAsia="zh-CN"/>
        </w:rPr>
        <w:t>疏勒县居民安防治理体系建设项目</w:t>
      </w:r>
    </w:p>
    <w:p w14:paraId="19F7F545">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采购方式：公开招标</w:t>
      </w:r>
    </w:p>
    <w:p w14:paraId="2A54AB2A">
      <w:pPr>
        <w:spacing w:line="360" w:lineRule="auto"/>
        <w:ind w:left="0" w:leftChars="0" w:firstLine="420" w:firstLineChars="175"/>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预算金额（元）：</w:t>
      </w:r>
      <w:r>
        <w:rPr>
          <w:rFonts w:hint="eastAsia" w:ascii="黑体" w:hAnsi="黑体" w:eastAsia="黑体" w:cs="黑体"/>
          <w:color w:val="auto"/>
          <w:sz w:val="24"/>
          <w:szCs w:val="24"/>
          <w:highlight w:val="none"/>
          <w:lang w:val="en-US" w:eastAsia="zh-CN"/>
        </w:rPr>
        <w:t>5200000.00</w:t>
      </w:r>
    </w:p>
    <w:p w14:paraId="0F4BABAC">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最高限价（元）：</w:t>
      </w:r>
      <w:r>
        <w:rPr>
          <w:rFonts w:hint="eastAsia" w:ascii="黑体" w:hAnsi="黑体" w:eastAsia="黑体" w:cs="黑体"/>
          <w:color w:val="auto"/>
          <w:sz w:val="24"/>
          <w:szCs w:val="24"/>
          <w:highlight w:val="none"/>
          <w:lang w:val="en-US" w:eastAsia="zh-CN"/>
        </w:rPr>
        <w:t>5200000.00</w:t>
      </w:r>
    </w:p>
    <w:p w14:paraId="4467808A">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采购需求：</w:t>
      </w:r>
    </w:p>
    <w:p w14:paraId="20E2BBE3">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标项名称:</w:t>
      </w:r>
      <w:r>
        <w:rPr>
          <w:rFonts w:hint="eastAsia" w:ascii="黑体" w:hAnsi="黑体" w:eastAsia="黑体" w:cs="黑体"/>
          <w:color w:val="auto"/>
          <w:sz w:val="24"/>
          <w:szCs w:val="24"/>
          <w:highlight w:val="none"/>
          <w:lang w:eastAsia="zh-CN"/>
        </w:rPr>
        <w:t>疏勒县居民安防治理体系建设项目</w:t>
      </w:r>
    </w:p>
    <w:p w14:paraId="15ADD29B">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数量:1</w:t>
      </w:r>
    </w:p>
    <w:p w14:paraId="56DBA297">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预算金额（元）:</w:t>
      </w:r>
      <w:r>
        <w:rPr>
          <w:rFonts w:hint="eastAsia" w:ascii="黑体" w:hAnsi="黑体" w:eastAsia="黑体" w:cs="黑体"/>
          <w:color w:val="auto"/>
          <w:sz w:val="24"/>
          <w:szCs w:val="24"/>
          <w:highlight w:val="none"/>
          <w:lang w:val="en-US" w:eastAsia="zh-CN"/>
        </w:rPr>
        <w:t>5200000.00</w:t>
      </w:r>
    </w:p>
    <w:p w14:paraId="31A3F262">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简要规格描述或项目基本概况介绍、用途：</w:t>
      </w:r>
      <w:r>
        <w:rPr>
          <w:rFonts w:hint="eastAsia" w:ascii="黑体" w:hAnsi="黑体" w:eastAsia="黑体" w:cs="黑体"/>
          <w:color w:val="auto"/>
          <w:sz w:val="24"/>
          <w:szCs w:val="24"/>
          <w:highlight w:val="none"/>
          <w:lang w:eastAsia="zh-CN"/>
        </w:rPr>
        <w:t>本项目拟采购信息化系统集成与部署服务，包括：10个中心的综合布线及配套相关网络安全设施设备，业务平台加固，楼宇智能化系统集成部署，以及专业机房基础环境搭建。（具体详见招标文件）</w:t>
      </w:r>
    </w:p>
    <w:p w14:paraId="12215C4D">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p w14:paraId="6CAB2852">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合同履约期限：</w:t>
      </w:r>
      <w:r>
        <w:rPr>
          <w:rFonts w:hint="eastAsia" w:ascii="黑体" w:hAnsi="黑体" w:eastAsia="黑体" w:cs="黑体"/>
          <w:color w:val="auto"/>
          <w:sz w:val="24"/>
          <w:szCs w:val="24"/>
          <w:highlight w:val="none"/>
          <w:lang w:val="en-US" w:eastAsia="zh-CN"/>
        </w:rPr>
        <w:t>自签订合同后90日历日内完成落地投入使用。（具体以签订合同为准）</w:t>
      </w:r>
    </w:p>
    <w:p w14:paraId="7940E850">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二、申请人的资格要求：</w:t>
      </w:r>
    </w:p>
    <w:p w14:paraId="3E237007">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1.满足《中华人民共和国政府采购法》第二十二条规定；</w:t>
      </w:r>
    </w:p>
    <w:p w14:paraId="6255193D">
      <w:pPr>
        <w:spacing w:line="360" w:lineRule="auto"/>
        <w:ind w:left="0" w:leftChars="0" w:firstLine="420" w:firstLineChars="175"/>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2.落实政府采购政策需满足的资格要求：</w:t>
      </w:r>
      <w:r>
        <w:rPr>
          <w:rFonts w:hint="eastAsia" w:ascii="黑体" w:hAnsi="黑体" w:eastAsia="黑体" w:cs="黑体"/>
          <w:color w:val="auto"/>
          <w:sz w:val="24"/>
          <w:szCs w:val="24"/>
          <w:highlight w:val="none"/>
          <w:lang w:val="en-US" w:eastAsia="zh-CN"/>
        </w:rPr>
        <w:t>本项目不专门面向中小微企业</w:t>
      </w:r>
    </w:p>
    <w:p w14:paraId="0CEF9549">
      <w:pPr>
        <w:spacing w:line="360" w:lineRule="auto"/>
        <w:ind w:left="0" w:leftChars="0" w:firstLine="420" w:firstLineChars="175"/>
        <w:rPr>
          <w:rFonts w:hint="eastAsia" w:ascii="黑体" w:hAnsi="黑体" w:eastAsia="黑体" w:cs="黑体"/>
          <w:b/>
          <w:bCs/>
          <w:color w:val="auto"/>
          <w:sz w:val="24"/>
          <w:szCs w:val="24"/>
          <w:highlight w:val="none"/>
        </w:rPr>
      </w:pPr>
      <w:r>
        <w:rPr>
          <w:rFonts w:hint="eastAsia" w:ascii="黑体" w:hAnsi="黑体" w:eastAsia="黑体" w:cs="黑体"/>
          <w:color w:val="auto"/>
          <w:sz w:val="24"/>
          <w:szCs w:val="24"/>
          <w:highlight w:val="none"/>
        </w:rPr>
        <w:t>3.本项目的特定资格要求：</w:t>
      </w:r>
      <w:r>
        <w:rPr>
          <w:rFonts w:hint="eastAsia" w:ascii="黑体" w:hAnsi="黑体" w:eastAsia="黑体" w:cs="黑体"/>
          <w:color w:val="auto"/>
          <w:sz w:val="24"/>
          <w:szCs w:val="24"/>
          <w:highlight w:val="none"/>
        </w:rPr>
        <w:br w:type="textWrapping"/>
      </w:r>
      <w:r>
        <w:rPr>
          <w:rFonts w:hint="eastAsia" w:ascii="黑体" w:hAnsi="黑体" w:eastAsia="黑体" w:cs="黑体"/>
          <w:b/>
          <w:bCs/>
          <w:color w:val="auto"/>
          <w:sz w:val="24"/>
          <w:szCs w:val="24"/>
          <w:highlight w:val="none"/>
        </w:rPr>
        <w:t>三、获取招标文件</w:t>
      </w:r>
    </w:p>
    <w:p w14:paraId="6765F78C">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时间：</w:t>
      </w:r>
      <w:r>
        <w:rPr>
          <w:rFonts w:hint="eastAsia" w:ascii="黑体" w:hAnsi="黑体" w:eastAsia="黑体" w:cs="黑体"/>
          <w:color w:val="auto"/>
          <w:sz w:val="24"/>
          <w:szCs w:val="24"/>
          <w:highlight w:val="none"/>
          <w:lang w:eastAsia="zh-CN"/>
        </w:rPr>
        <w:t>2026年06月</w:t>
      </w:r>
      <w:r>
        <w:rPr>
          <w:rFonts w:hint="eastAsia" w:ascii="黑体" w:hAnsi="黑体" w:eastAsia="黑体" w:cs="黑体"/>
          <w:color w:val="auto"/>
          <w:sz w:val="24"/>
          <w:szCs w:val="24"/>
          <w:highlight w:val="none"/>
          <w:lang w:val="en-US" w:eastAsia="zh-CN"/>
        </w:rPr>
        <w:t>01</w:t>
      </w:r>
      <w:r>
        <w:rPr>
          <w:rFonts w:hint="eastAsia" w:ascii="黑体" w:hAnsi="黑体" w:eastAsia="黑体" w:cs="黑体"/>
          <w:color w:val="auto"/>
          <w:sz w:val="24"/>
          <w:szCs w:val="24"/>
          <w:highlight w:val="none"/>
          <w:lang w:eastAsia="zh-CN"/>
        </w:rPr>
        <w:t>日</w:t>
      </w:r>
      <w:r>
        <w:rPr>
          <w:rFonts w:hint="eastAsia" w:ascii="黑体" w:hAnsi="黑体" w:eastAsia="黑体" w:cs="黑体"/>
          <w:color w:val="auto"/>
          <w:sz w:val="24"/>
          <w:szCs w:val="24"/>
          <w:highlight w:val="none"/>
        </w:rPr>
        <w:t>至</w:t>
      </w:r>
      <w:r>
        <w:rPr>
          <w:rFonts w:hint="eastAsia" w:ascii="黑体" w:hAnsi="黑体" w:eastAsia="黑体" w:cs="黑体"/>
          <w:color w:val="auto"/>
          <w:sz w:val="24"/>
          <w:szCs w:val="24"/>
          <w:highlight w:val="none"/>
          <w:lang w:eastAsia="zh-CN"/>
        </w:rPr>
        <w:t>2026年06月</w:t>
      </w:r>
      <w:r>
        <w:rPr>
          <w:rFonts w:hint="eastAsia" w:ascii="黑体" w:hAnsi="黑体" w:eastAsia="黑体" w:cs="黑体"/>
          <w:color w:val="auto"/>
          <w:sz w:val="24"/>
          <w:szCs w:val="24"/>
          <w:highlight w:val="none"/>
          <w:lang w:val="en-US" w:eastAsia="zh-CN"/>
        </w:rPr>
        <w:t>08</w:t>
      </w:r>
      <w:r>
        <w:rPr>
          <w:rFonts w:hint="eastAsia" w:ascii="黑体" w:hAnsi="黑体" w:eastAsia="黑体" w:cs="黑体"/>
          <w:color w:val="auto"/>
          <w:sz w:val="24"/>
          <w:szCs w:val="24"/>
          <w:highlight w:val="none"/>
          <w:lang w:eastAsia="zh-CN"/>
        </w:rPr>
        <w:t>日</w:t>
      </w:r>
      <w:r>
        <w:rPr>
          <w:rFonts w:hint="eastAsia" w:ascii="黑体" w:hAnsi="黑体" w:eastAsia="黑体" w:cs="黑体"/>
          <w:color w:val="auto"/>
          <w:sz w:val="24"/>
          <w:szCs w:val="24"/>
          <w:highlight w:val="none"/>
        </w:rPr>
        <w:t>，每天上午00:00至</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rPr>
        <w:t>:00，下午</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rPr>
        <w:t>:00至23:59（北京时间）</w:t>
      </w:r>
    </w:p>
    <w:p w14:paraId="392C6FBA">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地点：政采云平台线上</w:t>
      </w:r>
    </w:p>
    <w:p w14:paraId="7D009C56">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0752129">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售价（元）：0</w:t>
      </w:r>
    </w:p>
    <w:p w14:paraId="6C16C451">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四、提交投标文件截止时间、开标时间和地点</w:t>
      </w:r>
    </w:p>
    <w:p w14:paraId="5795611F">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提交投标文件截止时间：</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w:t>
      </w:r>
    </w:p>
    <w:p w14:paraId="1B6F1FC2">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投标地点：请登录政采云投标客户端投标</w:t>
      </w:r>
    </w:p>
    <w:p w14:paraId="34736D81">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开标时间：</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w:t>
      </w:r>
    </w:p>
    <w:p w14:paraId="7792EF5F">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开标地点：投标人登录政采云平台https://www.zcygov.cn/，进入“项目采购-开标评标-右边选择对应项目点击“进入项目”进入开标大厅。</w:t>
      </w:r>
    </w:p>
    <w:p w14:paraId="59C88433">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五、公告期限</w:t>
      </w:r>
    </w:p>
    <w:p w14:paraId="5D294C18">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自本公告发布之日起5个工作日。</w:t>
      </w:r>
    </w:p>
    <w:p w14:paraId="691D92E3">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六、其他补充事宜</w:t>
      </w:r>
    </w:p>
    <w:p w14:paraId="6E643BDC">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w:t>
      </w:r>
      <w:r>
        <w:rPr>
          <w:rFonts w:hint="eastAsia" w:ascii="黑体" w:hAnsi="黑体" w:eastAsia="黑体" w:cs="黑体"/>
          <w:color w:val="auto"/>
          <w:sz w:val="24"/>
          <w:szCs w:val="24"/>
          <w:highlight w:val="none"/>
          <w:lang w:eastAsia="zh-CN"/>
        </w:rPr>
        <w:t>投标文件</w:t>
      </w:r>
      <w:r>
        <w:rPr>
          <w:rFonts w:hint="eastAsia" w:ascii="黑体" w:hAnsi="黑体" w:eastAsia="黑体" w:cs="黑体"/>
          <w:color w:val="auto"/>
          <w:sz w:val="24"/>
          <w:szCs w:val="24"/>
          <w:highlight w:val="none"/>
        </w:rPr>
        <w:t>(供应商须使用CA加密设备通过政采云电子投标客户端制作</w:t>
      </w:r>
      <w:r>
        <w:rPr>
          <w:rFonts w:hint="eastAsia" w:ascii="黑体" w:hAnsi="黑体" w:eastAsia="黑体" w:cs="黑体"/>
          <w:color w:val="auto"/>
          <w:sz w:val="24"/>
          <w:szCs w:val="24"/>
          <w:highlight w:val="none"/>
          <w:lang w:eastAsia="zh-CN"/>
        </w:rPr>
        <w:t>投标文件</w:t>
      </w:r>
      <w:r>
        <w:rPr>
          <w:rFonts w:hint="eastAsia" w:ascii="黑体" w:hAnsi="黑体" w:eastAsia="黑体" w:cs="黑体"/>
          <w:color w:val="auto"/>
          <w:sz w:val="24"/>
          <w:szCs w:val="24"/>
          <w:highlight w:val="none"/>
        </w:rPr>
        <w:t>)。若供应商参与投标，自行承担投标一切费用。3.各供应商应在开标前应确保成为新疆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w:t>
      </w:r>
      <w:r>
        <w:rPr>
          <w:rFonts w:hint="eastAsia" w:ascii="黑体" w:hAnsi="黑体" w:eastAsia="黑体" w:cs="黑体"/>
          <w:color w:val="auto"/>
          <w:sz w:val="24"/>
          <w:szCs w:val="24"/>
          <w:highlight w:val="none"/>
          <w:lang w:eastAsia="zh-CN"/>
        </w:rPr>
        <w:t>投标文件</w:t>
      </w:r>
      <w:r>
        <w:rPr>
          <w:rFonts w:hint="eastAsia" w:ascii="黑体" w:hAnsi="黑体" w:eastAsia="黑体" w:cs="黑体"/>
          <w:color w:val="auto"/>
          <w:sz w:val="24"/>
          <w:szCs w:val="24"/>
          <w:highlight w:val="none"/>
        </w:rPr>
        <w:t>制作。在使用政采云投标客户端时，建议使用WIN7及以上操作系统。客户端请至新疆政府采购网（http://www.ccgp-xinjiang.gov.cn/）下载专区查看，如有问题可拨打政采云客户服务热线400-881-7190进行咨询。5.供应商在开标时须使用制作加密电子</w:t>
      </w:r>
      <w:r>
        <w:rPr>
          <w:rFonts w:hint="eastAsia" w:ascii="黑体" w:hAnsi="黑体" w:eastAsia="黑体" w:cs="黑体"/>
          <w:color w:val="auto"/>
          <w:sz w:val="24"/>
          <w:szCs w:val="24"/>
          <w:highlight w:val="none"/>
          <w:lang w:eastAsia="zh-CN"/>
        </w:rPr>
        <w:t>投标文件</w:t>
      </w:r>
      <w:r>
        <w:rPr>
          <w:rFonts w:hint="eastAsia" w:ascii="黑体" w:hAnsi="黑体" w:eastAsia="黑体" w:cs="黑体"/>
          <w:color w:val="auto"/>
          <w:sz w:val="24"/>
          <w:szCs w:val="24"/>
          <w:highlight w:val="none"/>
        </w:rPr>
        <w:t>所使用的CA锁及电脑，电脑须提前配置好浏览器（建议使用谷歌浏览器或360浏览器），以便开标时解锁。6.投标保证金缴纳及确认时间：凡拟参加本次招标项目的供应商，必须在开标前将投标保证金汇入指定账户。投标保证金汇款凭证上用途栏应注明:招标项目名称+标项号+投标保证金。否则，届时其投标将被拒绝。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30D252F">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特别提示：</w:t>
      </w:r>
    </w:p>
    <w:p w14:paraId="6C30C1C6">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超过200服务采万元的货物和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230CAE20">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七、对本次采购提出询问，请按以下方式联系</w:t>
      </w:r>
    </w:p>
    <w:p w14:paraId="50C13B5E">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1.采购人信息</w:t>
      </w:r>
    </w:p>
    <w:p w14:paraId="2B87F4F1">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疏勒县公安局</w:t>
      </w:r>
    </w:p>
    <w:p w14:paraId="025912FA">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疏勒县巴仁乡克什拉克路2号院</w:t>
      </w:r>
    </w:p>
    <w:p w14:paraId="20A39E9B">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eastAsia="zh-CN"/>
        </w:rPr>
        <w:t>邵先福</w:t>
      </w:r>
    </w:p>
    <w:p w14:paraId="1955CFD3">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lang w:eastAsia="zh-CN"/>
        </w:rPr>
        <w:t>18999630789</w:t>
      </w:r>
    </w:p>
    <w:p w14:paraId="14FC558D">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2.采购代理机构信息</w:t>
      </w:r>
    </w:p>
    <w:p w14:paraId="249D6B7C">
      <w:pPr>
        <w:spacing w:line="360" w:lineRule="auto"/>
        <w:ind w:left="0" w:leftChars="0" w:firstLine="420" w:firstLineChars="175"/>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智博国际工程咨询有限公司</w:t>
      </w:r>
    </w:p>
    <w:p w14:paraId="511512F4">
      <w:pPr>
        <w:spacing w:line="360" w:lineRule="auto"/>
        <w:ind w:left="0" w:leftChars="0" w:firstLine="420" w:firstLineChars="175"/>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地址：喀什市东湖街道多来提巴格社区青年南路192号</w:t>
      </w:r>
    </w:p>
    <w:p w14:paraId="25E438AD">
      <w:pPr>
        <w:spacing w:line="360" w:lineRule="auto"/>
        <w:ind w:left="0" w:leftChars="0" w:firstLine="420" w:firstLineChars="175"/>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联系方式：</w:t>
      </w:r>
      <w:r>
        <w:rPr>
          <w:rFonts w:hint="eastAsia" w:ascii="黑体" w:hAnsi="黑体" w:eastAsia="黑体" w:cs="黑体"/>
          <w:color w:val="auto"/>
          <w:sz w:val="24"/>
          <w:szCs w:val="24"/>
          <w:highlight w:val="none"/>
          <w:lang w:val="en-US" w:eastAsia="zh-CN"/>
        </w:rPr>
        <w:t>18197668299</w:t>
      </w:r>
    </w:p>
    <w:p w14:paraId="39138963">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3.项目联系方式</w:t>
      </w:r>
    </w:p>
    <w:p w14:paraId="3D495C61">
      <w:pPr>
        <w:spacing w:line="360" w:lineRule="auto"/>
        <w:ind w:left="0" w:leftChars="0" w:firstLine="420" w:firstLineChars="175"/>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项目联系人：</w:t>
      </w:r>
      <w:r>
        <w:rPr>
          <w:rFonts w:hint="eastAsia" w:ascii="黑体" w:hAnsi="黑体" w:eastAsia="黑体" w:cs="黑体"/>
          <w:color w:val="auto"/>
          <w:sz w:val="24"/>
          <w:szCs w:val="24"/>
          <w:highlight w:val="none"/>
          <w:lang w:val="en-US" w:eastAsia="zh-CN"/>
        </w:rPr>
        <w:t>李博玺</w:t>
      </w:r>
    </w:p>
    <w:p w14:paraId="6279B8C9">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电话：</w:t>
      </w:r>
      <w:r>
        <w:rPr>
          <w:rFonts w:hint="eastAsia" w:ascii="黑体" w:hAnsi="黑体" w:eastAsia="黑体" w:cs="黑体"/>
          <w:color w:val="auto"/>
          <w:sz w:val="24"/>
          <w:szCs w:val="24"/>
          <w:highlight w:val="none"/>
          <w:lang w:val="en-US" w:eastAsia="zh-CN"/>
        </w:rPr>
        <w:t>18197668299</w:t>
      </w:r>
    </w:p>
    <w:p w14:paraId="435B1B0D">
      <w:pPr>
        <w:pStyle w:val="10"/>
        <w:keepNext w:val="0"/>
        <w:keepLines w:val="0"/>
        <w:pageBreakBefore w:val="0"/>
        <w:widowControl/>
        <w:kinsoku/>
        <w:wordWrap w:val="0"/>
        <w:overflowPunct/>
        <w:topLinePunct w:val="0"/>
        <w:bidi w:val="0"/>
        <w:spacing w:line="224" w:lineRule="auto"/>
        <w:ind w:left="0" w:leftChars="0" w:right="0"/>
        <w:jc w:val="center"/>
        <w:outlineLvl w:val="0"/>
        <w:rPr>
          <w:rFonts w:hint="eastAsia" w:ascii="黑体" w:hAnsi="黑体" w:eastAsia="黑体" w:cs="黑体"/>
          <w:color w:val="auto"/>
          <w:sz w:val="31"/>
          <w:szCs w:val="31"/>
          <w:highlight w:val="none"/>
        </w:rPr>
      </w:pPr>
      <w:bookmarkStart w:id="252" w:name="_Toc9830"/>
      <w:bookmarkStart w:id="253" w:name="_Toc25543"/>
      <w:r>
        <w:rPr>
          <w:rFonts w:hint="eastAsia" w:ascii="黑体" w:hAnsi="黑体" w:eastAsia="黑体" w:cs="黑体"/>
          <w:b/>
          <w:bCs/>
          <w:color w:val="auto"/>
          <w:spacing w:val="6"/>
          <w:sz w:val="28"/>
          <w:szCs w:val="28"/>
          <w:highlight w:val="none"/>
        </w:rPr>
        <w:t>第4章投标人须知资料表</w:t>
      </w:r>
      <w:bookmarkEnd w:id="251"/>
      <w:bookmarkEnd w:id="252"/>
      <w:bookmarkEnd w:id="253"/>
    </w:p>
    <w:p w14:paraId="78582F73">
      <w:pPr>
        <w:keepNext w:val="0"/>
        <w:keepLines w:val="0"/>
        <w:pageBreakBefore w:val="0"/>
        <w:widowControl/>
        <w:kinsoku/>
        <w:wordWrap w:val="0"/>
        <w:overflowPunct/>
        <w:topLinePunct w:val="0"/>
        <w:bidi w:val="0"/>
        <w:spacing w:line="312" w:lineRule="auto"/>
        <w:ind w:left="0" w:leftChars="0" w:right="0"/>
        <w:rPr>
          <w:rFonts w:hint="eastAsia" w:ascii="黑体" w:hAnsi="黑体" w:eastAsia="黑体" w:cs="黑体"/>
          <w:color w:val="auto"/>
          <w:sz w:val="21"/>
          <w:highlight w:val="none"/>
        </w:rPr>
      </w:pPr>
    </w:p>
    <w:p w14:paraId="2B694E8E">
      <w:pPr>
        <w:pStyle w:val="10"/>
        <w:keepNext w:val="0"/>
        <w:keepLines w:val="0"/>
        <w:pageBreakBefore w:val="0"/>
        <w:widowControl/>
        <w:kinsoku/>
        <w:wordWrap w:val="0"/>
        <w:overflowPunct/>
        <w:topLinePunct w:val="0"/>
        <w:bidi w:val="0"/>
        <w:spacing w:line="360" w:lineRule="auto"/>
        <w:ind w:left="0" w:leftChars="0" w:right="0" w:firstLine="360"/>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本表是本招标项目的具体资料，是对投标人须知的具体补充和修改，如有矛</w:t>
      </w:r>
      <w:r>
        <w:rPr>
          <w:rFonts w:hint="eastAsia" w:ascii="黑体" w:hAnsi="黑体" w:eastAsia="黑体" w:cs="黑体"/>
          <w:color w:val="auto"/>
          <w:spacing w:val="5"/>
          <w:sz w:val="24"/>
          <w:szCs w:val="24"/>
          <w:highlight w:val="none"/>
        </w:rPr>
        <w:t>盾，应以本资料表为准。</w:t>
      </w:r>
    </w:p>
    <w:tbl>
      <w:tblPr>
        <w:tblStyle w:val="28"/>
        <w:tblW w:w="8631" w:type="dxa"/>
        <w:tblInd w:w="-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5"/>
        <w:gridCol w:w="7566"/>
        <w:gridCol w:w="31"/>
        <w:gridCol w:w="9"/>
      </w:tblGrid>
      <w:tr w14:paraId="08C92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239" w:hRule="atLeast"/>
        </w:trPr>
        <w:tc>
          <w:tcPr>
            <w:tcW w:w="1025" w:type="dxa"/>
            <w:vAlign w:val="top"/>
          </w:tcPr>
          <w:p w14:paraId="6EA17727">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条款号</w:t>
            </w:r>
          </w:p>
        </w:tc>
        <w:tc>
          <w:tcPr>
            <w:tcW w:w="7597" w:type="dxa"/>
            <w:gridSpan w:val="2"/>
            <w:vAlign w:val="top"/>
          </w:tcPr>
          <w:p w14:paraId="4E10FE86">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5"/>
                <w:sz w:val="24"/>
                <w:szCs w:val="24"/>
                <w:highlight w:val="none"/>
              </w:rPr>
              <w:t>内容</w:t>
            </w:r>
          </w:p>
        </w:tc>
      </w:tr>
      <w:tr w14:paraId="22C98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1079" w:hRule="atLeast"/>
        </w:trPr>
        <w:tc>
          <w:tcPr>
            <w:tcW w:w="1025" w:type="dxa"/>
            <w:vAlign w:val="center"/>
          </w:tcPr>
          <w:p w14:paraId="39E99A3A">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1.1</w:t>
            </w:r>
          </w:p>
        </w:tc>
        <w:tc>
          <w:tcPr>
            <w:tcW w:w="7597" w:type="dxa"/>
            <w:gridSpan w:val="2"/>
            <w:vAlign w:val="top"/>
          </w:tcPr>
          <w:p w14:paraId="02BB5555">
            <w:pPr>
              <w:spacing w:line="360" w:lineRule="auto"/>
              <w:rPr>
                <w:rFonts w:hint="eastAsia" w:ascii="黑体" w:hAnsi="黑体" w:eastAsia="黑体" w:cs="黑体"/>
                <w:color w:val="auto"/>
                <w:spacing w:val="9"/>
                <w:sz w:val="24"/>
                <w:szCs w:val="24"/>
                <w:highlight w:val="none"/>
                <w:lang w:eastAsia="zh-CN"/>
              </w:rPr>
            </w:pPr>
            <w:r>
              <w:rPr>
                <w:rFonts w:hint="eastAsia" w:ascii="黑体" w:hAnsi="黑体" w:eastAsia="黑体" w:cs="黑体"/>
                <w:color w:val="auto"/>
                <w:spacing w:val="9"/>
                <w:sz w:val="24"/>
                <w:szCs w:val="24"/>
                <w:highlight w:val="none"/>
              </w:rPr>
              <w:t>采购人：</w:t>
            </w:r>
            <w:r>
              <w:rPr>
                <w:rFonts w:hint="eastAsia" w:ascii="黑体" w:hAnsi="黑体" w:eastAsia="黑体" w:cs="黑体"/>
                <w:color w:val="auto"/>
                <w:spacing w:val="9"/>
                <w:sz w:val="24"/>
                <w:szCs w:val="24"/>
                <w:highlight w:val="none"/>
                <w:lang w:eastAsia="zh-CN"/>
              </w:rPr>
              <w:t>疏勒县公安局</w:t>
            </w:r>
          </w:p>
          <w:p w14:paraId="74ED5689">
            <w:pPr>
              <w:spacing w:line="36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疏勒县巴仁乡克什拉克路2号院</w:t>
            </w:r>
          </w:p>
          <w:p w14:paraId="7453977A">
            <w:pPr>
              <w:keepNext w:val="0"/>
              <w:keepLines w:val="0"/>
              <w:pageBreakBefore w:val="0"/>
              <w:widowControl/>
              <w:kinsoku/>
              <w:wordWrap w:val="0"/>
              <w:overflowPunct/>
              <w:topLinePunct w:val="0"/>
              <w:bidi w:val="0"/>
              <w:spacing w:line="360" w:lineRule="auto"/>
              <w:ind w:left="0" w:leftChars="0" w:right="0"/>
              <w:jc w:val="left"/>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2"/>
                <w:sz w:val="24"/>
                <w:szCs w:val="24"/>
                <w:highlight w:val="none"/>
              </w:rPr>
              <w:t>联系人：</w:t>
            </w:r>
            <w:r>
              <w:rPr>
                <w:rFonts w:hint="eastAsia" w:ascii="黑体" w:hAnsi="黑体" w:eastAsia="黑体" w:cs="黑体"/>
                <w:color w:val="auto"/>
                <w:spacing w:val="2"/>
                <w:sz w:val="24"/>
                <w:szCs w:val="24"/>
                <w:highlight w:val="none"/>
                <w:lang w:eastAsia="zh-CN"/>
              </w:rPr>
              <w:t>邵先福</w:t>
            </w:r>
          </w:p>
          <w:p w14:paraId="111BF044">
            <w:pPr>
              <w:keepNext w:val="0"/>
              <w:keepLines w:val="0"/>
              <w:pageBreakBefore w:val="0"/>
              <w:widowControl/>
              <w:kinsoku/>
              <w:wordWrap w:val="0"/>
              <w:overflowPunct/>
              <w:topLinePunct w:val="0"/>
              <w:bidi w:val="0"/>
              <w:spacing w:line="360" w:lineRule="auto"/>
              <w:ind w:left="0" w:leftChars="0" w:right="0"/>
              <w:jc w:val="left"/>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3"/>
                <w:sz w:val="24"/>
                <w:szCs w:val="24"/>
                <w:highlight w:val="none"/>
              </w:rPr>
              <w:t>电话：</w:t>
            </w:r>
            <w:r>
              <w:rPr>
                <w:rFonts w:hint="eastAsia" w:ascii="黑体" w:hAnsi="黑体" w:eastAsia="黑体" w:cs="黑体"/>
                <w:color w:val="auto"/>
                <w:spacing w:val="3"/>
                <w:sz w:val="24"/>
                <w:szCs w:val="24"/>
                <w:highlight w:val="none"/>
                <w:lang w:eastAsia="zh-CN"/>
              </w:rPr>
              <w:t>18999630789</w:t>
            </w:r>
          </w:p>
        </w:tc>
      </w:tr>
      <w:tr w14:paraId="189F7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1651" w:hRule="atLeast"/>
        </w:trPr>
        <w:tc>
          <w:tcPr>
            <w:tcW w:w="1025" w:type="dxa"/>
            <w:vAlign w:val="center"/>
          </w:tcPr>
          <w:p w14:paraId="20CC27CE">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1.2</w:t>
            </w:r>
          </w:p>
        </w:tc>
        <w:tc>
          <w:tcPr>
            <w:tcW w:w="7597" w:type="dxa"/>
            <w:gridSpan w:val="2"/>
            <w:vAlign w:val="top"/>
          </w:tcPr>
          <w:p w14:paraId="1A436505">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pacing w:val="9"/>
                <w:sz w:val="24"/>
                <w:szCs w:val="24"/>
                <w:highlight w:val="none"/>
                <w:lang w:eastAsia="zh-CN"/>
              </w:rPr>
            </w:pPr>
            <w:r>
              <w:rPr>
                <w:rFonts w:hint="eastAsia" w:ascii="黑体" w:hAnsi="黑体" w:eastAsia="黑体" w:cs="黑体"/>
                <w:color w:val="auto"/>
                <w:spacing w:val="9"/>
                <w:sz w:val="24"/>
                <w:szCs w:val="24"/>
                <w:highlight w:val="none"/>
              </w:rPr>
              <w:t>代理机构：</w:t>
            </w:r>
            <w:r>
              <w:rPr>
                <w:rFonts w:hint="eastAsia" w:ascii="黑体" w:hAnsi="黑体" w:eastAsia="黑体" w:cs="黑体"/>
                <w:color w:val="auto"/>
                <w:spacing w:val="9"/>
                <w:sz w:val="24"/>
                <w:szCs w:val="24"/>
                <w:highlight w:val="none"/>
                <w:lang w:eastAsia="zh-CN"/>
              </w:rPr>
              <w:t>智博国际工程咨询有限公司</w:t>
            </w:r>
          </w:p>
          <w:p w14:paraId="3B59D60F">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pacing w:val="9"/>
                <w:sz w:val="24"/>
                <w:szCs w:val="24"/>
                <w:highlight w:val="none"/>
                <w:lang w:eastAsia="zh-CN"/>
              </w:rPr>
            </w:pPr>
            <w:r>
              <w:rPr>
                <w:rFonts w:hint="eastAsia" w:ascii="黑体" w:hAnsi="黑体" w:eastAsia="黑体" w:cs="黑体"/>
                <w:color w:val="auto"/>
                <w:spacing w:val="9"/>
                <w:sz w:val="24"/>
                <w:szCs w:val="24"/>
                <w:highlight w:val="none"/>
              </w:rPr>
              <w:t>地址：</w:t>
            </w:r>
            <w:r>
              <w:rPr>
                <w:rFonts w:hint="eastAsia" w:ascii="黑体" w:hAnsi="黑体" w:eastAsia="黑体" w:cs="黑体"/>
                <w:color w:val="auto"/>
                <w:spacing w:val="9"/>
                <w:sz w:val="24"/>
                <w:szCs w:val="24"/>
                <w:highlight w:val="none"/>
                <w:lang w:eastAsia="zh-CN"/>
              </w:rPr>
              <w:t>喀什市东湖街道多来提巴格社区青年南路192号</w:t>
            </w:r>
          </w:p>
          <w:p w14:paraId="10CCEF6F">
            <w:pPr>
              <w:keepNext w:val="0"/>
              <w:keepLines w:val="0"/>
              <w:pageBreakBefore w:val="0"/>
              <w:widowControl/>
              <w:kinsoku/>
              <w:wordWrap w:val="0"/>
              <w:overflowPunct/>
              <w:topLinePunct w:val="0"/>
              <w:bidi w:val="0"/>
              <w:spacing w:line="360" w:lineRule="auto"/>
              <w:ind w:left="0" w:leftChars="0" w:right="0"/>
              <w:rPr>
                <w:rFonts w:hint="default" w:ascii="黑体" w:hAnsi="黑体" w:eastAsia="黑体" w:cs="黑体"/>
                <w:color w:val="auto"/>
                <w:spacing w:val="9"/>
                <w:sz w:val="24"/>
                <w:szCs w:val="24"/>
                <w:highlight w:val="none"/>
                <w:lang w:val="en-US" w:eastAsia="zh-CN"/>
              </w:rPr>
            </w:pPr>
            <w:r>
              <w:rPr>
                <w:rFonts w:hint="eastAsia" w:ascii="黑体" w:hAnsi="黑体" w:eastAsia="黑体" w:cs="黑体"/>
                <w:color w:val="auto"/>
                <w:spacing w:val="9"/>
                <w:sz w:val="24"/>
                <w:szCs w:val="24"/>
                <w:highlight w:val="none"/>
              </w:rPr>
              <w:t>联系人：</w:t>
            </w:r>
            <w:r>
              <w:rPr>
                <w:rFonts w:hint="eastAsia" w:ascii="黑体" w:hAnsi="黑体" w:eastAsia="黑体" w:cs="黑体"/>
                <w:color w:val="auto"/>
                <w:spacing w:val="9"/>
                <w:sz w:val="24"/>
                <w:szCs w:val="24"/>
                <w:highlight w:val="none"/>
                <w:lang w:val="en-US" w:eastAsia="zh-CN"/>
              </w:rPr>
              <w:t>李博玺</w:t>
            </w:r>
          </w:p>
          <w:p w14:paraId="1A7BB79B">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9"/>
                <w:sz w:val="24"/>
                <w:szCs w:val="24"/>
                <w:highlight w:val="none"/>
              </w:rPr>
              <w:t>联系方式：</w:t>
            </w:r>
            <w:r>
              <w:rPr>
                <w:rFonts w:hint="eastAsia" w:ascii="黑体" w:hAnsi="黑体" w:eastAsia="黑体" w:cs="黑体"/>
                <w:color w:val="auto"/>
                <w:spacing w:val="9"/>
                <w:sz w:val="24"/>
                <w:szCs w:val="24"/>
                <w:highlight w:val="none"/>
                <w:lang w:eastAsia="zh-CN"/>
              </w:rPr>
              <w:t>18197668299</w:t>
            </w:r>
          </w:p>
        </w:tc>
      </w:tr>
      <w:tr w14:paraId="5BDA1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90" w:hRule="atLeast"/>
        </w:trPr>
        <w:tc>
          <w:tcPr>
            <w:tcW w:w="1025" w:type="dxa"/>
            <w:vAlign w:val="center"/>
          </w:tcPr>
          <w:p w14:paraId="07AFDABD">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1.3.4</w:t>
            </w:r>
          </w:p>
        </w:tc>
        <w:tc>
          <w:tcPr>
            <w:tcW w:w="7597" w:type="dxa"/>
            <w:gridSpan w:val="2"/>
            <w:vAlign w:val="top"/>
          </w:tcPr>
          <w:p w14:paraId="59C6B52D">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合格投标人资格要求：投标人必须满足《中华人民共和国政府采购法》</w:t>
            </w:r>
            <w:r>
              <w:rPr>
                <w:rFonts w:hint="eastAsia" w:ascii="黑体" w:hAnsi="黑体" w:eastAsia="黑体" w:cs="黑体"/>
                <w:color w:val="auto"/>
                <w:spacing w:val="-1"/>
                <w:sz w:val="24"/>
                <w:szCs w:val="24"/>
                <w:highlight w:val="none"/>
              </w:rPr>
              <w:t>第二十二条</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2"/>
                <w:sz w:val="24"/>
                <w:szCs w:val="24"/>
                <w:highlight w:val="none"/>
              </w:rPr>
              <w:t>申请人的资格要求：</w:t>
            </w:r>
          </w:p>
          <w:p w14:paraId="02D2D67D">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1、具有有效的三证合一营业执照或事业单位法人证书扫描件；</w:t>
            </w:r>
          </w:p>
          <w:p w14:paraId="2D85002E">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2、法定代表人身份证明及身份证或法定代表人授权委托书和委托代理人身份证；</w:t>
            </w:r>
          </w:p>
          <w:p w14:paraId="65B15903">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3、提供本单位缴纳的近六个月任意一个月社保缴纳证明；  </w:t>
            </w:r>
          </w:p>
          <w:p w14:paraId="0374DF02">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4、提供2024年度或2025年度财务审计报告（新成立未满一年的公司提供有效银行资信证明）；</w:t>
            </w:r>
          </w:p>
          <w:p w14:paraId="1AF59758">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5、提供本单位近六个月任意一个月税务局开具的完税证明；（完税证明或税务部门出具的其他证明，非社会保险类）；</w:t>
            </w:r>
          </w:p>
          <w:p w14:paraId="55323250">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投标单位近三年内（2023年06月至今）在“信用中国”（www.creditchina.gov.cn）和中国政府采购网（www.ccgp.gov.cn）网站上未列入重大税收违法失信主体、严重失信主体名单查询，中国政府采购网严重违法失信行为记录名单；（以采购人或代理机构现场查询为准）</w:t>
            </w:r>
          </w:p>
          <w:p w14:paraId="5B132EB0">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7、投标人提供针对本次项目《反商业贿赂承诺书》；（格式自拟）</w:t>
            </w:r>
          </w:p>
          <w:p w14:paraId="21C4D84F">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8、投标人参加政府采购活动前（2023年06月至今）在经营活动中没有重大违法违规记录的书面声明；（格式自拟）</w:t>
            </w:r>
          </w:p>
          <w:p w14:paraId="59882FDD">
            <w:pPr>
              <w:keepNext w:val="0"/>
              <w:keepLines w:val="0"/>
              <w:pageBreakBefore w:val="0"/>
              <w:widowControl/>
              <w:kinsoku/>
              <w:wordWrap w:val="0"/>
              <w:overflowPunct/>
              <w:topLinePunct w:val="0"/>
              <w:bidi w:val="0"/>
              <w:spacing w:line="360" w:lineRule="auto"/>
              <w:ind w:left="0" w:leftChars="0" w:right="0"/>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9、缴纳投标保证金的有效凭证；</w:t>
            </w:r>
          </w:p>
        </w:tc>
      </w:tr>
      <w:tr w14:paraId="6A7E8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276" w:hRule="atLeast"/>
        </w:trPr>
        <w:tc>
          <w:tcPr>
            <w:tcW w:w="1025" w:type="dxa"/>
            <w:vAlign w:val="center"/>
          </w:tcPr>
          <w:p w14:paraId="721EF9C3">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1.3.5</w:t>
            </w:r>
          </w:p>
        </w:tc>
        <w:tc>
          <w:tcPr>
            <w:tcW w:w="7597" w:type="dxa"/>
            <w:gridSpan w:val="2"/>
            <w:vAlign w:val="top"/>
          </w:tcPr>
          <w:p w14:paraId="30BAC8E3">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是否允许采购进口产品：</w:t>
            </w:r>
            <w:r>
              <w:rPr>
                <w:rFonts w:hint="eastAsia" w:ascii="黑体" w:hAnsi="黑体" w:eastAsia="黑体" w:cs="黑体"/>
                <w:i/>
                <w:iCs/>
                <w:color w:val="auto"/>
                <w:spacing w:val="1"/>
                <w:sz w:val="24"/>
                <w:szCs w:val="24"/>
                <w:highlight w:val="none"/>
                <w:u w:val="single" w:color="auto"/>
              </w:rPr>
              <w:t>否</w:t>
            </w:r>
            <w:r>
              <w:rPr>
                <w:rFonts w:hint="eastAsia" w:ascii="黑体" w:hAnsi="黑体" w:eastAsia="黑体" w:cs="黑体"/>
                <w:i/>
                <w:iCs/>
                <w:color w:val="auto"/>
                <w:spacing w:val="1"/>
                <w:sz w:val="24"/>
                <w:szCs w:val="24"/>
                <w:highlight w:val="none"/>
              </w:rPr>
              <w:t>（是、否）</w:t>
            </w:r>
          </w:p>
        </w:tc>
      </w:tr>
      <w:tr w14:paraId="326B4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1922" w:hRule="atLeast"/>
        </w:trPr>
        <w:tc>
          <w:tcPr>
            <w:tcW w:w="1025" w:type="dxa"/>
            <w:vAlign w:val="center"/>
          </w:tcPr>
          <w:p w14:paraId="2D8B95F9">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1.3.6</w:t>
            </w:r>
          </w:p>
        </w:tc>
        <w:tc>
          <w:tcPr>
            <w:tcW w:w="7597" w:type="dxa"/>
            <w:gridSpan w:val="2"/>
            <w:vAlign w:val="top"/>
          </w:tcPr>
          <w:p w14:paraId="15AA307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是否为专门面向中小企业采购：</w:t>
            </w:r>
            <w:r>
              <w:rPr>
                <w:rFonts w:hint="eastAsia" w:ascii="黑体" w:hAnsi="黑体" w:eastAsia="黑体" w:cs="黑体"/>
                <w:color w:val="auto"/>
                <w:spacing w:val="1"/>
                <w:sz w:val="24"/>
                <w:szCs w:val="24"/>
                <w:highlight w:val="none"/>
                <w:u w:val="single"/>
                <w:lang w:val="en-US" w:eastAsia="zh-CN"/>
              </w:rPr>
              <w:t>否</w:t>
            </w:r>
            <w:r>
              <w:rPr>
                <w:rFonts w:hint="eastAsia" w:ascii="黑体" w:hAnsi="黑体" w:eastAsia="黑体" w:cs="黑体"/>
                <w:color w:val="auto"/>
                <w:spacing w:val="1"/>
                <w:sz w:val="24"/>
                <w:szCs w:val="24"/>
                <w:highlight w:val="none"/>
              </w:rPr>
              <w:t>（是、否）</w:t>
            </w:r>
          </w:p>
          <w:p w14:paraId="2EAD6F1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10"/>
                <w:sz w:val="24"/>
                <w:szCs w:val="24"/>
                <w:highlight w:val="none"/>
              </w:rPr>
              <w:t>注：潜在供应商属于中小企业的，请在</w:t>
            </w:r>
            <w:r>
              <w:rPr>
                <w:rFonts w:hint="eastAsia" w:ascii="黑体" w:hAnsi="黑体" w:eastAsia="黑体" w:cs="黑体"/>
                <w:color w:val="auto"/>
                <w:spacing w:val="10"/>
                <w:sz w:val="24"/>
                <w:szCs w:val="24"/>
                <w:highlight w:val="none"/>
                <w:lang w:val="en-US" w:eastAsia="zh-CN"/>
              </w:rPr>
              <w:t>投标</w:t>
            </w:r>
            <w:r>
              <w:rPr>
                <w:rFonts w:hint="eastAsia" w:ascii="黑体" w:hAnsi="黑体" w:eastAsia="黑体" w:cs="黑体"/>
                <w:color w:val="auto"/>
                <w:spacing w:val="10"/>
                <w:sz w:val="24"/>
                <w:szCs w:val="24"/>
                <w:highlight w:val="none"/>
              </w:rPr>
              <w:t>文件中提供“中小企业声</w:t>
            </w:r>
            <w:r>
              <w:rPr>
                <w:rFonts w:hint="eastAsia" w:ascii="黑体" w:hAnsi="黑体" w:eastAsia="黑体" w:cs="黑体"/>
                <w:color w:val="auto"/>
                <w:spacing w:val="8"/>
                <w:sz w:val="24"/>
                <w:szCs w:val="24"/>
                <w:highlight w:val="none"/>
              </w:rPr>
              <w:t>明函”，如果未提供或提供虚假的“中小企业声明函”，投标企业将</w:t>
            </w:r>
            <w:r>
              <w:rPr>
                <w:rFonts w:hint="eastAsia" w:ascii="黑体" w:hAnsi="黑体" w:eastAsia="黑体" w:cs="黑体"/>
                <w:color w:val="auto"/>
                <w:spacing w:val="12"/>
                <w:sz w:val="24"/>
                <w:szCs w:val="24"/>
                <w:highlight w:val="none"/>
              </w:rPr>
              <w:t>承担由此造成的一切不利后果</w:t>
            </w:r>
            <w:r>
              <w:rPr>
                <w:rFonts w:hint="eastAsia" w:ascii="黑体" w:hAnsi="黑体" w:eastAsia="黑体" w:cs="黑体"/>
                <w:color w:val="auto"/>
                <w:spacing w:val="12"/>
                <w:sz w:val="24"/>
                <w:szCs w:val="24"/>
                <w:highlight w:val="none"/>
                <w:lang w:eastAsia="zh-CN"/>
              </w:rPr>
              <w:t>，</w:t>
            </w:r>
            <w:r>
              <w:rPr>
                <w:rFonts w:hint="eastAsia" w:ascii="黑体" w:hAnsi="黑体" w:eastAsia="黑体" w:cs="黑体"/>
                <w:color w:val="auto"/>
                <w:spacing w:val="12"/>
                <w:sz w:val="24"/>
                <w:szCs w:val="24"/>
                <w:highlight w:val="none"/>
              </w:rPr>
              <w:t>本项目</w:t>
            </w:r>
            <w:r>
              <w:rPr>
                <w:rFonts w:hint="eastAsia" w:ascii="黑体" w:hAnsi="黑体" w:eastAsia="黑体" w:cs="黑体"/>
                <w:color w:val="auto"/>
                <w:spacing w:val="12"/>
                <w:sz w:val="24"/>
                <w:szCs w:val="24"/>
                <w:highlight w:val="none"/>
                <w:lang w:val="en-US" w:eastAsia="zh-CN"/>
              </w:rPr>
              <w:t>不</w:t>
            </w:r>
            <w:r>
              <w:rPr>
                <w:rFonts w:hint="eastAsia" w:ascii="黑体" w:hAnsi="黑体" w:eastAsia="黑体" w:cs="黑体"/>
                <w:color w:val="auto"/>
                <w:spacing w:val="12"/>
                <w:sz w:val="24"/>
                <w:szCs w:val="24"/>
                <w:highlight w:val="none"/>
              </w:rPr>
              <w:t>专门面向</w:t>
            </w:r>
            <w:r>
              <w:rPr>
                <w:rFonts w:hint="eastAsia" w:ascii="黑体" w:hAnsi="黑体" w:eastAsia="黑体" w:cs="黑体"/>
                <w:color w:val="auto"/>
                <w:spacing w:val="12"/>
                <w:sz w:val="24"/>
                <w:szCs w:val="24"/>
                <w:highlight w:val="none"/>
                <w:lang w:val="en-US" w:eastAsia="zh-CN"/>
              </w:rPr>
              <w:t>中</w:t>
            </w:r>
            <w:r>
              <w:rPr>
                <w:rFonts w:hint="eastAsia" w:ascii="黑体" w:hAnsi="黑体" w:eastAsia="黑体" w:cs="黑体"/>
                <w:color w:val="auto"/>
                <w:spacing w:val="12"/>
                <w:sz w:val="24"/>
                <w:szCs w:val="24"/>
                <w:highlight w:val="none"/>
              </w:rPr>
              <w:t>小</w:t>
            </w:r>
            <w:r>
              <w:rPr>
                <w:rFonts w:hint="eastAsia" w:ascii="黑体" w:hAnsi="黑体" w:eastAsia="黑体" w:cs="黑体"/>
                <w:color w:val="auto"/>
                <w:spacing w:val="12"/>
                <w:sz w:val="24"/>
                <w:szCs w:val="24"/>
                <w:highlight w:val="none"/>
                <w:lang w:val="en-US" w:eastAsia="zh-CN"/>
              </w:rPr>
              <w:t>微</w:t>
            </w:r>
            <w:r>
              <w:rPr>
                <w:rFonts w:hint="eastAsia" w:ascii="黑体" w:hAnsi="黑体" w:eastAsia="黑体" w:cs="黑体"/>
                <w:color w:val="auto"/>
                <w:spacing w:val="12"/>
                <w:sz w:val="24"/>
                <w:szCs w:val="24"/>
                <w:highlight w:val="none"/>
              </w:rPr>
              <w:t>企业</w:t>
            </w:r>
            <w:r>
              <w:rPr>
                <w:rFonts w:hint="eastAsia" w:ascii="黑体" w:hAnsi="黑体" w:eastAsia="黑体" w:cs="黑体"/>
                <w:color w:val="auto"/>
                <w:spacing w:val="6"/>
                <w:sz w:val="24"/>
                <w:szCs w:val="24"/>
                <w:highlight w:val="none"/>
              </w:rPr>
              <w:t>。</w:t>
            </w:r>
          </w:p>
        </w:tc>
      </w:tr>
      <w:tr w14:paraId="45642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42" w:hRule="atLeast"/>
        </w:trPr>
        <w:tc>
          <w:tcPr>
            <w:tcW w:w="1025" w:type="dxa"/>
            <w:vAlign w:val="center"/>
          </w:tcPr>
          <w:p w14:paraId="74FDEB9F">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1.4</w:t>
            </w:r>
          </w:p>
        </w:tc>
        <w:tc>
          <w:tcPr>
            <w:tcW w:w="7597" w:type="dxa"/>
            <w:gridSpan w:val="2"/>
            <w:vAlign w:val="top"/>
          </w:tcPr>
          <w:p w14:paraId="6F5439C3">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是否允许联合体投标：</w:t>
            </w:r>
            <w:r>
              <w:rPr>
                <w:rFonts w:hint="eastAsia" w:ascii="黑体" w:hAnsi="黑体" w:eastAsia="黑体" w:cs="黑体"/>
                <w:color w:val="auto"/>
                <w:spacing w:val="1"/>
                <w:sz w:val="24"/>
                <w:szCs w:val="24"/>
                <w:highlight w:val="none"/>
                <w:u w:val="single" w:color="auto"/>
              </w:rPr>
              <w:t>否</w:t>
            </w:r>
            <w:r>
              <w:rPr>
                <w:rFonts w:hint="eastAsia" w:ascii="黑体" w:hAnsi="黑体" w:eastAsia="黑体" w:cs="黑体"/>
                <w:i/>
                <w:iCs/>
                <w:color w:val="auto"/>
                <w:spacing w:val="1"/>
                <w:sz w:val="24"/>
                <w:szCs w:val="24"/>
                <w:highlight w:val="none"/>
              </w:rPr>
              <w:t>（是、否）</w:t>
            </w:r>
          </w:p>
        </w:tc>
      </w:tr>
      <w:tr w14:paraId="7D0CF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316" w:hRule="atLeast"/>
        </w:trPr>
        <w:tc>
          <w:tcPr>
            <w:tcW w:w="1025" w:type="dxa"/>
            <w:vAlign w:val="center"/>
          </w:tcPr>
          <w:p w14:paraId="4C766E0E">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1.4.8</w:t>
            </w:r>
          </w:p>
        </w:tc>
        <w:tc>
          <w:tcPr>
            <w:tcW w:w="7597" w:type="dxa"/>
            <w:gridSpan w:val="2"/>
            <w:vAlign w:val="top"/>
          </w:tcPr>
          <w:p w14:paraId="3D2109E9">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联合体的其他资格要求：无</w:t>
            </w:r>
          </w:p>
        </w:tc>
      </w:tr>
      <w:tr w14:paraId="354A6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626" w:hRule="atLeast"/>
        </w:trPr>
        <w:tc>
          <w:tcPr>
            <w:tcW w:w="1025" w:type="dxa"/>
            <w:vAlign w:val="center"/>
          </w:tcPr>
          <w:p w14:paraId="2925A9D0">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2.2</w:t>
            </w:r>
          </w:p>
        </w:tc>
        <w:tc>
          <w:tcPr>
            <w:tcW w:w="7597" w:type="dxa"/>
            <w:gridSpan w:val="2"/>
            <w:vAlign w:val="center"/>
          </w:tcPr>
          <w:p w14:paraId="0EAE57ED">
            <w:pPr>
              <w:keepNext w:val="0"/>
              <w:keepLines w:val="0"/>
              <w:pageBreakBefore w:val="0"/>
              <w:widowControl/>
              <w:kinsoku/>
              <w:wordWrap w:val="0"/>
              <w:overflowPunct/>
              <w:topLinePunct w:val="0"/>
              <w:bidi w:val="0"/>
              <w:spacing w:line="360" w:lineRule="auto"/>
              <w:ind w:left="0" w:leftChars="0" w:right="0"/>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pacing w:val="-1"/>
                <w:sz w:val="24"/>
                <w:szCs w:val="24"/>
                <w:highlight w:val="none"/>
              </w:rPr>
              <w:t>项目预算金额：</w:t>
            </w:r>
            <w:r>
              <w:rPr>
                <w:rFonts w:hint="eastAsia" w:ascii="黑体" w:hAnsi="黑体" w:eastAsia="黑体" w:cs="黑体"/>
                <w:color w:val="auto"/>
                <w:sz w:val="24"/>
                <w:szCs w:val="24"/>
                <w:highlight w:val="none"/>
                <w:lang w:eastAsia="zh-CN"/>
              </w:rPr>
              <w:t>5200000.00</w:t>
            </w:r>
          </w:p>
          <w:p w14:paraId="2252BE69">
            <w:pPr>
              <w:keepNext w:val="0"/>
              <w:keepLines w:val="0"/>
              <w:pageBreakBefore w:val="0"/>
              <w:widowControl/>
              <w:kinsoku/>
              <w:wordWrap w:val="0"/>
              <w:overflowPunct/>
              <w:topLinePunct w:val="0"/>
              <w:bidi w:val="0"/>
              <w:spacing w:line="360" w:lineRule="auto"/>
              <w:ind w:left="0" w:leftChars="0" w:right="0"/>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pacing w:val="1"/>
                <w:sz w:val="24"/>
                <w:szCs w:val="24"/>
                <w:highlight w:val="none"/>
              </w:rPr>
              <w:t>项目最高限价：</w:t>
            </w:r>
            <w:r>
              <w:rPr>
                <w:rFonts w:hint="eastAsia" w:ascii="黑体" w:hAnsi="黑体" w:eastAsia="黑体" w:cs="黑体"/>
                <w:color w:val="auto"/>
                <w:sz w:val="24"/>
                <w:szCs w:val="24"/>
                <w:highlight w:val="none"/>
                <w:lang w:eastAsia="zh-CN"/>
              </w:rPr>
              <w:t>5200000.00</w:t>
            </w:r>
            <w:r>
              <w:rPr>
                <w:rFonts w:hint="eastAsia" w:ascii="黑体" w:hAnsi="黑体" w:eastAsia="黑体" w:cs="黑体"/>
                <w:color w:val="auto"/>
                <w:sz w:val="24"/>
                <w:szCs w:val="24"/>
                <w:highlight w:val="none"/>
                <w:lang w:val="en-US" w:eastAsia="zh-CN"/>
              </w:rPr>
              <w:t>（大写：伍佰贰拾万元整）</w:t>
            </w:r>
          </w:p>
          <w:p w14:paraId="010624E0">
            <w:pPr>
              <w:keepNext w:val="0"/>
              <w:keepLines w:val="0"/>
              <w:pageBreakBefore w:val="0"/>
              <w:widowControl/>
              <w:kinsoku/>
              <w:wordWrap w:val="0"/>
              <w:overflowPunct/>
              <w:topLinePunct w:val="0"/>
              <w:bidi w:val="0"/>
              <w:spacing w:line="360" w:lineRule="auto"/>
              <w:ind w:left="0" w:leftChars="0" w:right="0"/>
              <w:jc w:val="left"/>
              <w:rPr>
                <w:rFonts w:hint="default" w:ascii="黑体" w:hAnsi="黑体" w:eastAsia="黑体" w:cs="黑体"/>
                <w:color w:val="auto"/>
                <w:sz w:val="24"/>
                <w:szCs w:val="24"/>
                <w:highlight w:val="none"/>
                <w:lang w:val="en-US" w:eastAsia="zh-CN"/>
              </w:rPr>
            </w:pPr>
            <w:r>
              <w:rPr>
                <w:rFonts w:hint="default" w:ascii="宋体" w:hAnsi="宋体" w:eastAsia="宋体" w:cs="宋体"/>
                <w:b/>
                <w:bCs/>
                <w:i w:val="0"/>
                <w:iCs w:val="0"/>
                <w:color w:val="auto"/>
                <w:sz w:val="24"/>
                <w:szCs w:val="24"/>
                <w:highlight w:val="none"/>
                <w:u w:val="none"/>
                <w:lang w:val="en-US" w:eastAsia="zh-CN"/>
              </w:rPr>
              <w:t>各投标人的投标报价不得超过投标最高限价</w:t>
            </w:r>
            <w:r>
              <w:rPr>
                <w:rFonts w:hint="eastAsia" w:ascii="宋体" w:hAnsi="宋体" w:eastAsia="宋体" w:cs="宋体"/>
                <w:b/>
                <w:bCs/>
                <w:i w:val="0"/>
                <w:iCs w:val="0"/>
                <w:color w:val="auto"/>
                <w:sz w:val="24"/>
                <w:szCs w:val="24"/>
                <w:highlight w:val="none"/>
                <w:u w:val="none"/>
                <w:lang w:val="en-US" w:eastAsia="zh-CN"/>
              </w:rPr>
              <w:t>金额</w:t>
            </w:r>
            <w:r>
              <w:rPr>
                <w:rFonts w:hint="default" w:ascii="宋体" w:hAnsi="宋体" w:eastAsia="宋体" w:cs="宋体"/>
                <w:b/>
                <w:bCs/>
                <w:i w:val="0"/>
                <w:iCs w:val="0"/>
                <w:color w:val="auto"/>
                <w:sz w:val="24"/>
                <w:szCs w:val="24"/>
                <w:highlight w:val="none"/>
                <w:u w:val="none"/>
                <w:lang w:val="en-US" w:eastAsia="zh-CN"/>
              </w:rPr>
              <w:t>，否则其投标文件将按否决投标处理。</w:t>
            </w:r>
          </w:p>
        </w:tc>
      </w:tr>
      <w:tr w14:paraId="0DDE7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660" w:hRule="atLeast"/>
        </w:trPr>
        <w:tc>
          <w:tcPr>
            <w:tcW w:w="1025" w:type="dxa"/>
            <w:vAlign w:val="center"/>
          </w:tcPr>
          <w:p w14:paraId="2AEF8A80">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12.1</w:t>
            </w:r>
          </w:p>
        </w:tc>
        <w:tc>
          <w:tcPr>
            <w:tcW w:w="7597" w:type="dxa"/>
            <w:gridSpan w:val="2"/>
            <w:vAlign w:val="top"/>
          </w:tcPr>
          <w:p w14:paraId="47BCB5A6">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保证金形式：☑电汇☑银行保函</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rPr>
              <w:t>电子保函</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rPr>
              <w:t>转账</w:t>
            </w:r>
          </w:p>
          <w:p w14:paraId="5C778801">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保证金金额：</w:t>
            </w:r>
            <w:r>
              <w:rPr>
                <w:rFonts w:hint="eastAsia" w:ascii="黑体" w:hAnsi="黑体" w:eastAsia="黑体" w:cs="黑体"/>
                <w:color w:val="auto"/>
                <w:spacing w:val="-1"/>
                <w:sz w:val="24"/>
                <w:szCs w:val="24"/>
                <w:highlight w:val="none"/>
                <w:lang w:val="en-US" w:eastAsia="zh-CN"/>
              </w:rPr>
              <w:t>1</w:t>
            </w:r>
            <w:r>
              <w:rPr>
                <w:rFonts w:hint="eastAsia" w:ascii="黑体" w:hAnsi="黑体" w:eastAsia="黑体" w:cs="黑体"/>
                <w:color w:val="auto"/>
                <w:spacing w:val="-1"/>
                <w:sz w:val="24"/>
                <w:szCs w:val="24"/>
                <w:highlight w:val="none"/>
              </w:rPr>
              <w:t>0000</w:t>
            </w:r>
            <w:r>
              <w:rPr>
                <w:rFonts w:hint="eastAsia" w:ascii="黑体" w:hAnsi="黑体" w:eastAsia="黑体" w:cs="黑体"/>
                <w:color w:val="auto"/>
                <w:spacing w:val="-1"/>
                <w:sz w:val="24"/>
                <w:szCs w:val="24"/>
                <w:highlight w:val="none"/>
                <w:lang w:val="en-US" w:eastAsia="zh-CN"/>
              </w:rPr>
              <w:t>0</w:t>
            </w:r>
            <w:r>
              <w:rPr>
                <w:rFonts w:hint="eastAsia" w:ascii="黑体" w:hAnsi="黑体" w:eastAsia="黑体" w:cs="黑体"/>
                <w:color w:val="auto"/>
                <w:spacing w:val="-1"/>
                <w:sz w:val="24"/>
                <w:szCs w:val="24"/>
                <w:highlight w:val="none"/>
              </w:rPr>
              <w:t>.00（</w:t>
            </w:r>
            <w:r>
              <w:rPr>
                <w:rFonts w:hint="eastAsia" w:ascii="黑体" w:hAnsi="黑体" w:eastAsia="黑体" w:cs="黑体"/>
                <w:color w:val="auto"/>
                <w:spacing w:val="-1"/>
                <w:sz w:val="24"/>
                <w:szCs w:val="24"/>
                <w:highlight w:val="none"/>
                <w:lang w:val="en-US" w:eastAsia="zh-CN"/>
              </w:rPr>
              <w:t>壹拾万元整</w:t>
            </w:r>
            <w:r>
              <w:rPr>
                <w:rFonts w:hint="eastAsia" w:ascii="黑体" w:hAnsi="黑体" w:eastAsia="黑体" w:cs="黑体"/>
                <w:color w:val="auto"/>
                <w:spacing w:val="-1"/>
                <w:sz w:val="24"/>
                <w:szCs w:val="24"/>
                <w:highlight w:val="none"/>
              </w:rPr>
              <w:t>）</w:t>
            </w:r>
          </w:p>
          <w:p w14:paraId="1DD6CB36">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开户名称：</w:t>
            </w:r>
            <w:r>
              <w:rPr>
                <w:rFonts w:hint="eastAsia" w:ascii="黑体" w:hAnsi="黑体" w:eastAsia="黑体" w:cs="黑体"/>
                <w:color w:val="auto"/>
                <w:spacing w:val="-1"/>
                <w:sz w:val="24"/>
                <w:szCs w:val="24"/>
                <w:highlight w:val="none"/>
                <w:lang w:eastAsia="zh-CN"/>
              </w:rPr>
              <w:t>智博国际工程咨询有限公司疏勒分公司</w:t>
            </w:r>
          </w:p>
          <w:p w14:paraId="4241A16D">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开户银行：中国银行股份有限公司喀什市青年南路支行</w:t>
            </w:r>
          </w:p>
          <w:p w14:paraId="63E59399">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帐号：1070</w:t>
            </w:r>
            <w:r>
              <w:rPr>
                <w:rFonts w:hint="eastAsia" w:ascii="黑体" w:hAnsi="黑体" w:eastAsia="黑体" w:cs="黑体"/>
                <w:color w:val="auto"/>
                <w:spacing w:val="-1"/>
                <w:sz w:val="24"/>
                <w:szCs w:val="24"/>
                <w:highlight w:val="none"/>
                <w:lang w:val="en-US" w:eastAsia="zh-CN"/>
              </w:rPr>
              <w:t xml:space="preserve"> </w:t>
            </w:r>
            <w:r>
              <w:rPr>
                <w:rFonts w:hint="eastAsia" w:ascii="黑体" w:hAnsi="黑体" w:eastAsia="黑体" w:cs="黑体"/>
                <w:color w:val="auto"/>
                <w:spacing w:val="-1"/>
                <w:sz w:val="24"/>
                <w:szCs w:val="24"/>
                <w:highlight w:val="none"/>
              </w:rPr>
              <w:t>9687</w:t>
            </w:r>
            <w:r>
              <w:rPr>
                <w:rFonts w:hint="eastAsia" w:ascii="黑体" w:hAnsi="黑体" w:eastAsia="黑体" w:cs="黑体"/>
                <w:color w:val="auto"/>
                <w:spacing w:val="-1"/>
                <w:sz w:val="24"/>
                <w:szCs w:val="24"/>
                <w:highlight w:val="none"/>
                <w:lang w:val="en-US" w:eastAsia="zh-CN"/>
              </w:rPr>
              <w:t xml:space="preserve"> </w:t>
            </w:r>
            <w:r>
              <w:rPr>
                <w:rFonts w:hint="eastAsia" w:ascii="黑体" w:hAnsi="黑体" w:eastAsia="黑体" w:cs="黑体"/>
                <w:color w:val="auto"/>
                <w:spacing w:val="-1"/>
                <w:sz w:val="24"/>
                <w:szCs w:val="24"/>
                <w:highlight w:val="none"/>
              </w:rPr>
              <w:t>2437</w:t>
            </w:r>
          </w:p>
          <w:p w14:paraId="6F0D0FD8">
            <w:pPr>
              <w:keepNext w:val="0"/>
              <w:keepLines w:val="0"/>
              <w:pageBreakBefore w:val="0"/>
              <w:widowControl/>
              <w:kinsoku/>
              <w:wordWrap w:val="0"/>
              <w:overflowPunct/>
              <w:topLinePunct w:val="0"/>
              <w:bidi w:val="0"/>
              <w:spacing w:line="360" w:lineRule="auto"/>
              <w:ind w:left="0" w:leftChars="0" w:right="0" w:firstLine="2"/>
              <w:rPr>
                <w:rFonts w:hint="eastAsia" w:ascii="黑体" w:hAnsi="黑体" w:eastAsia="黑体" w:cs="黑体"/>
                <w:color w:val="auto"/>
                <w:spacing w:val="-1"/>
                <w:sz w:val="24"/>
                <w:szCs w:val="24"/>
                <w:highlight w:val="none"/>
                <w:lang w:val="en-US" w:eastAsia="zh-CN"/>
              </w:rPr>
            </w:pPr>
            <w:r>
              <w:rPr>
                <w:rFonts w:hint="eastAsia" w:ascii="黑体" w:hAnsi="黑体" w:eastAsia="黑体" w:cs="黑体"/>
                <w:color w:val="auto"/>
                <w:spacing w:val="-1"/>
                <w:sz w:val="24"/>
                <w:szCs w:val="24"/>
                <w:highlight w:val="none"/>
                <w:lang w:val="en-US" w:eastAsia="zh-CN"/>
              </w:rPr>
              <w:t>行号：1048 9400 1054</w:t>
            </w:r>
          </w:p>
          <w:p w14:paraId="054AFF3C">
            <w:pPr>
              <w:keepNext w:val="0"/>
              <w:keepLines w:val="0"/>
              <w:pageBreakBefore w:val="0"/>
              <w:widowControl/>
              <w:kinsoku/>
              <w:wordWrap w:val="0"/>
              <w:overflowPunct/>
              <w:topLinePunct w:val="0"/>
              <w:bidi w:val="0"/>
              <w:spacing w:line="360" w:lineRule="auto"/>
              <w:ind w:left="0" w:leftChars="0" w:right="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注：1、转账或电汇形式：投标保证金须从投标人基本帐户一次性转入指定账户，在投标截止时间前到达指定的帐户（以实际到账时间为准）。汇款时注明投标保证金项目名称及项目编号（如有包段，需注明包段）、可简写。投标保证金转入</w:t>
            </w:r>
            <w:r>
              <w:rPr>
                <w:rFonts w:hint="eastAsia" w:ascii="黑体" w:hAnsi="黑体" w:eastAsia="黑体" w:cs="黑体"/>
                <w:color w:val="auto"/>
                <w:spacing w:val="-1"/>
                <w:sz w:val="24"/>
                <w:szCs w:val="24"/>
                <w:highlight w:val="none"/>
                <w:lang w:eastAsia="zh-CN"/>
              </w:rPr>
              <w:t>智博国际工程咨询有限公司疏勒分公司</w:t>
            </w:r>
            <w:r>
              <w:rPr>
                <w:rFonts w:hint="eastAsia" w:ascii="黑体" w:hAnsi="黑体" w:eastAsia="黑体" w:cs="黑体"/>
                <w:color w:val="auto"/>
                <w:sz w:val="24"/>
                <w:szCs w:val="24"/>
                <w:highlight w:val="none"/>
                <w:lang w:val="en-US" w:eastAsia="zh-CN"/>
              </w:rPr>
              <w:t>账户后，保证金汇款凭证扫描件上传到投标文件中。</w:t>
            </w:r>
          </w:p>
          <w:p w14:paraId="35BE2467">
            <w:pPr>
              <w:keepNext w:val="0"/>
              <w:keepLines w:val="0"/>
              <w:pageBreakBefore w:val="0"/>
              <w:widowControl/>
              <w:kinsoku/>
              <w:wordWrap w:val="0"/>
              <w:overflowPunct/>
              <w:topLinePunct w:val="0"/>
              <w:bidi w:val="0"/>
              <w:spacing w:line="360" w:lineRule="auto"/>
              <w:ind w:left="0" w:leftChars="0" w:right="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保函形式：应在规定截止时间前开具完成并满足投标有效期等有关内容规定。（注：若采用电子保函形式：按照政采云电子投标流程制作并上传电子保函。采用银行保函时，出具保函的银行级别：应为国有商业银行或股份制银行的支行及其以上的银行，应将银行保函正本扫描件制作在招标文件内；金融机构、担保机构出具的保函原件扫描件制作在投标文件内）。</w:t>
            </w:r>
          </w:p>
          <w:p w14:paraId="0C6C52A6">
            <w:pPr>
              <w:keepNext w:val="0"/>
              <w:keepLines w:val="0"/>
              <w:pageBreakBefore w:val="0"/>
              <w:widowControl/>
              <w:kinsoku/>
              <w:wordWrap w:val="0"/>
              <w:overflowPunct/>
              <w:topLinePunct w:val="0"/>
              <w:bidi w:val="0"/>
              <w:spacing w:line="360" w:lineRule="auto"/>
              <w:ind w:left="0" w:leftChars="0" w:right="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3、投标保证金提交截止时间：</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w:t>
            </w:r>
            <w:r>
              <w:rPr>
                <w:rFonts w:hint="eastAsia" w:ascii="黑体" w:hAnsi="黑体" w:eastAsia="黑体" w:cs="黑体"/>
                <w:color w:val="auto"/>
                <w:sz w:val="24"/>
                <w:szCs w:val="24"/>
                <w:highlight w:val="none"/>
                <w:lang w:val="en-US" w:eastAsia="zh-CN"/>
              </w:rPr>
              <w:t>（过期不予办理）</w:t>
            </w:r>
          </w:p>
          <w:p w14:paraId="7DBB0765">
            <w:pPr>
              <w:keepNext w:val="0"/>
              <w:keepLines w:val="0"/>
              <w:pageBreakBefore w:val="0"/>
              <w:widowControl/>
              <w:kinsoku/>
              <w:wordWrap w:val="0"/>
              <w:overflowPunct/>
              <w:topLinePunct w:val="0"/>
              <w:bidi w:val="0"/>
              <w:spacing w:line="360" w:lineRule="auto"/>
              <w:ind w:left="0" w:leftChars="0" w:right="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根据《政府采购货物和服务招标投标管理办法》第三十八条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tc>
      </w:tr>
      <w:tr w14:paraId="08C3F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290" w:hRule="atLeast"/>
        </w:trPr>
        <w:tc>
          <w:tcPr>
            <w:tcW w:w="1025" w:type="dxa"/>
            <w:vAlign w:val="top"/>
          </w:tcPr>
          <w:p w14:paraId="32F515C1">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13.1</w:t>
            </w:r>
          </w:p>
        </w:tc>
        <w:tc>
          <w:tcPr>
            <w:tcW w:w="7597" w:type="dxa"/>
            <w:gridSpan w:val="2"/>
            <w:vAlign w:val="top"/>
          </w:tcPr>
          <w:p w14:paraId="3EC97D40">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投标有效期：自投标截止之日起90个日历日</w:t>
            </w:r>
          </w:p>
        </w:tc>
      </w:tr>
      <w:tr w14:paraId="26A5B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2135" w:hRule="atLeast"/>
        </w:trPr>
        <w:tc>
          <w:tcPr>
            <w:tcW w:w="1025" w:type="dxa"/>
            <w:vAlign w:val="center"/>
          </w:tcPr>
          <w:p w14:paraId="6679EFB0">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14.1</w:t>
            </w:r>
          </w:p>
        </w:tc>
        <w:tc>
          <w:tcPr>
            <w:tcW w:w="7597" w:type="dxa"/>
            <w:gridSpan w:val="2"/>
            <w:vAlign w:val="top"/>
          </w:tcPr>
          <w:p w14:paraId="65CF65F0">
            <w:pPr>
              <w:keepNext w:val="0"/>
              <w:keepLines w:val="0"/>
              <w:pageBreakBefore w:val="0"/>
              <w:widowControl/>
              <w:kinsoku/>
              <w:wordWrap w:val="0"/>
              <w:overflowPunct/>
              <w:topLinePunct w:val="0"/>
              <w:bidi w:val="0"/>
              <w:spacing w:line="360" w:lineRule="auto"/>
              <w:ind w:left="0" w:leftChars="0" w:right="0" w:firstLine="14"/>
              <w:jc w:val="both"/>
              <w:rPr>
                <w:rFonts w:hint="eastAsia" w:ascii="黑体" w:hAnsi="黑体" w:eastAsia="黑体" w:cs="黑体"/>
                <w:color w:val="auto"/>
                <w:sz w:val="24"/>
                <w:szCs w:val="24"/>
                <w:highlight w:val="none"/>
              </w:rPr>
            </w:pPr>
            <w:r>
              <w:rPr>
                <w:rFonts w:hint="eastAsia" w:ascii="黑体" w:hAnsi="黑体" w:eastAsia="黑体" w:cs="黑体"/>
                <w:b/>
                <w:bCs/>
                <w:i w:val="0"/>
                <w:iCs w:val="0"/>
                <w:color w:val="auto"/>
                <w:sz w:val="24"/>
                <w:szCs w:val="24"/>
                <w:highlight w:val="none"/>
                <w:lang w:val="en-US" w:eastAsia="zh-CN"/>
              </w:rPr>
              <w:t>供应商应完整地按招标文件提供的投标文件格式及要求编写投标文件，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tc>
      </w:tr>
      <w:tr w14:paraId="17374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5" w:hRule="atLeast"/>
        </w:trPr>
        <w:tc>
          <w:tcPr>
            <w:tcW w:w="1025" w:type="dxa"/>
            <w:vAlign w:val="center"/>
          </w:tcPr>
          <w:p w14:paraId="68ECF471">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16.1</w:t>
            </w:r>
          </w:p>
        </w:tc>
        <w:tc>
          <w:tcPr>
            <w:tcW w:w="7606" w:type="dxa"/>
            <w:gridSpan w:val="3"/>
            <w:vAlign w:val="center"/>
          </w:tcPr>
          <w:p w14:paraId="470D0ED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left"/>
              <w:textAlignment w:val="baseline"/>
              <w:rPr>
                <w:rFonts w:hint="eastAsia" w:ascii="黑体" w:hAnsi="黑体" w:eastAsia="黑体" w:cs="黑体"/>
                <w:color w:val="auto"/>
                <w:spacing w:val="-2"/>
                <w:sz w:val="24"/>
                <w:szCs w:val="24"/>
                <w:highlight w:val="none"/>
                <w:lang w:eastAsia="zh-CN"/>
              </w:rPr>
            </w:pPr>
            <w:r>
              <w:rPr>
                <w:rFonts w:hint="eastAsia" w:ascii="黑体" w:hAnsi="黑体" w:eastAsia="黑体" w:cs="黑体"/>
                <w:color w:val="auto"/>
                <w:spacing w:val="-2"/>
                <w:sz w:val="24"/>
                <w:szCs w:val="24"/>
                <w:highlight w:val="none"/>
              </w:rPr>
              <w:t>投标截止时间：</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w:t>
            </w:r>
          </w:p>
          <w:p w14:paraId="08098D9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投标文件上传地点：政采云平台（</w:t>
            </w:r>
            <w:r>
              <w:rPr>
                <w:rFonts w:hint="eastAsia" w:ascii="黑体" w:hAnsi="黑体" w:eastAsia="黑体" w:cs="黑体"/>
                <w:color w:val="auto"/>
                <w:spacing w:val="-2"/>
                <w:sz w:val="24"/>
                <w:szCs w:val="24"/>
                <w:highlight w:val="none"/>
              </w:rPr>
              <w:fldChar w:fldCharType="begin"/>
            </w:r>
            <w:r>
              <w:rPr>
                <w:rFonts w:hint="eastAsia" w:ascii="黑体" w:hAnsi="黑体" w:eastAsia="黑体" w:cs="黑体"/>
                <w:color w:val="auto"/>
                <w:spacing w:val="-2"/>
                <w:sz w:val="24"/>
                <w:szCs w:val="24"/>
                <w:highlight w:val="none"/>
              </w:rPr>
              <w:instrText xml:space="preserve">HYPERLINK"https://login.zcygov.cn/user-login/#/login"</w:instrText>
            </w:r>
            <w:r>
              <w:rPr>
                <w:rFonts w:hint="eastAsia" w:ascii="黑体" w:hAnsi="黑体" w:eastAsia="黑体" w:cs="黑体"/>
                <w:color w:val="auto"/>
                <w:spacing w:val="-2"/>
                <w:sz w:val="24"/>
                <w:szCs w:val="24"/>
                <w:highlight w:val="none"/>
              </w:rPr>
              <w:fldChar w:fldCharType="separate"/>
            </w:r>
            <w:r>
              <w:rPr>
                <w:rFonts w:hint="eastAsia" w:ascii="黑体" w:hAnsi="黑体" w:eastAsia="黑体" w:cs="黑体"/>
                <w:color w:val="auto"/>
                <w:spacing w:val="-2"/>
                <w:sz w:val="24"/>
                <w:szCs w:val="24"/>
                <w:highlight w:val="none"/>
              </w:rPr>
              <w:t>https://login.zcygov.cn/user-login/#/login</w:t>
            </w:r>
            <w:r>
              <w:rPr>
                <w:rFonts w:hint="eastAsia" w:ascii="黑体" w:hAnsi="黑体" w:eastAsia="黑体" w:cs="黑体"/>
                <w:color w:val="auto"/>
                <w:spacing w:val="-2"/>
                <w:sz w:val="24"/>
                <w:szCs w:val="24"/>
                <w:highlight w:val="none"/>
              </w:rPr>
              <w:fldChar w:fldCharType="end"/>
            </w:r>
            <w:r>
              <w:rPr>
                <w:rFonts w:hint="eastAsia" w:ascii="黑体" w:hAnsi="黑体" w:eastAsia="黑体" w:cs="黑体"/>
                <w:color w:val="auto"/>
                <w:spacing w:val="-2"/>
                <w:sz w:val="24"/>
                <w:szCs w:val="24"/>
                <w:highlight w:val="none"/>
              </w:rPr>
              <w:t>）</w:t>
            </w:r>
          </w:p>
        </w:tc>
      </w:tr>
      <w:tr w14:paraId="19EB7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025" w:type="dxa"/>
            <w:vAlign w:val="center"/>
          </w:tcPr>
          <w:p w14:paraId="27003DBC">
            <w:pPr>
              <w:keepNext w:val="0"/>
              <w:keepLines w:val="0"/>
              <w:pageBreakBefore w:val="0"/>
              <w:widowControl/>
              <w:kinsoku/>
              <w:wordWrap/>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18.1</w:t>
            </w:r>
          </w:p>
        </w:tc>
        <w:tc>
          <w:tcPr>
            <w:tcW w:w="7606" w:type="dxa"/>
            <w:gridSpan w:val="3"/>
            <w:vAlign w:val="center"/>
          </w:tcPr>
          <w:p w14:paraId="2E77862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left"/>
              <w:textAlignment w:val="baseline"/>
              <w:rPr>
                <w:rFonts w:hint="eastAsia" w:ascii="黑体" w:hAnsi="黑体" w:eastAsia="黑体" w:cs="黑体"/>
                <w:color w:val="auto"/>
                <w:spacing w:val="-2"/>
                <w:sz w:val="24"/>
                <w:szCs w:val="24"/>
                <w:highlight w:val="none"/>
                <w:lang w:val="en-US" w:eastAsia="zh-CN"/>
              </w:rPr>
            </w:pPr>
            <w:r>
              <w:rPr>
                <w:rFonts w:hint="eastAsia" w:ascii="黑体" w:hAnsi="黑体" w:eastAsia="黑体" w:cs="黑体"/>
                <w:color w:val="auto"/>
                <w:spacing w:val="-2"/>
                <w:sz w:val="24"/>
                <w:szCs w:val="24"/>
                <w:highlight w:val="none"/>
              </w:rPr>
              <w:t>开标时间</w:t>
            </w:r>
            <w:r>
              <w:rPr>
                <w:rFonts w:hint="eastAsia" w:ascii="黑体" w:hAnsi="黑体" w:eastAsia="黑体" w:cs="黑体"/>
                <w:color w:val="auto"/>
                <w:spacing w:val="-2"/>
                <w:sz w:val="24"/>
                <w:szCs w:val="24"/>
                <w:highlight w:val="none"/>
                <w:lang w:val="en-US" w:eastAsia="zh-CN"/>
              </w:rPr>
              <w:t>：</w:t>
            </w:r>
            <w:r>
              <w:rPr>
                <w:rFonts w:hint="eastAsia" w:ascii="黑体" w:hAnsi="黑体" w:eastAsia="黑体" w:cs="黑体"/>
                <w:color w:val="auto"/>
                <w:sz w:val="24"/>
                <w:szCs w:val="24"/>
                <w:highlight w:val="none"/>
                <w:lang w:eastAsia="zh-CN"/>
              </w:rPr>
              <w:t>2026年06月23日</w:t>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:00（北京时间）</w:t>
            </w:r>
          </w:p>
          <w:p w14:paraId="13C06E3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left"/>
              <w:textAlignment w:val="baseline"/>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开标地点：政采云平台（</w:t>
            </w:r>
            <w:r>
              <w:rPr>
                <w:rFonts w:hint="eastAsia" w:ascii="黑体" w:hAnsi="黑体" w:eastAsia="黑体" w:cs="黑体"/>
                <w:color w:val="auto"/>
                <w:spacing w:val="-2"/>
                <w:sz w:val="24"/>
                <w:szCs w:val="24"/>
                <w:highlight w:val="none"/>
              </w:rPr>
              <w:fldChar w:fldCharType="begin"/>
            </w:r>
            <w:r>
              <w:rPr>
                <w:rFonts w:hint="eastAsia" w:ascii="黑体" w:hAnsi="黑体" w:eastAsia="黑体" w:cs="黑体"/>
                <w:color w:val="auto"/>
                <w:spacing w:val="-2"/>
                <w:sz w:val="24"/>
                <w:szCs w:val="24"/>
                <w:highlight w:val="none"/>
              </w:rPr>
              <w:instrText xml:space="preserve">HYPERLINK"https://login.zcygov.cn/user-login/#/login"</w:instrText>
            </w:r>
            <w:r>
              <w:rPr>
                <w:rFonts w:hint="eastAsia" w:ascii="黑体" w:hAnsi="黑体" w:eastAsia="黑体" w:cs="黑体"/>
                <w:color w:val="auto"/>
                <w:spacing w:val="-2"/>
                <w:sz w:val="24"/>
                <w:szCs w:val="24"/>
                <w:highlight w:val="none"/>
              </w:rPr>
              <w:fldChar w:fldCharType="separate"/>
            </w:r>
            <w:r>
              <w:rPr>
                <w:rFonts w:hint="eastAsia" w:ascii="黑体" w:hAnsi="黑体" w:eastAsia="黑体" w:cs="黑体"/>
                <w:color w:val="auto"/>
                <w:spacing w:val="-2"/>
                <w:sz w:val="24"/>
                <w:szCs w:val="24"/>
                <w:highlight w:val="none"/>
              </w:rPr>
              <w:t>https://login.zcygov.cn/user-login/#/login</w:t>
            </w:r>
            <w:r>
              <w:rPr>
                <w:rFonts w:hint="eastAsia" w:ascii="黑体" w:hAnsi="黑体" w:eastAsia="黑体" w:cs="黑体"/>
                <w:color w:val="auto"/>
                <w:spacing w:val="-2"/>
                <w:sz w:val="24"/>
                <w:szCs w:val="24"/>
                <w:highlight w:val="none"/>
              </w:rPr>
              <w:fldChar w:fldCharType="end"/>
            </w:r>
            <w:r>
              <w:rPr>
                <w:rFonts w:hint="eastAsia" w:ascii="黑体" w:hAnsi="黑体" w:eastAsia="黑体" w:cs="黑体"/>
                <w:color w:val="auto"/>
                <w:spacing w:val="-2"/>
                <w:sz w:val="24"/>
                <w:szCs w:val="24"/>
                <w:highlight w:val="none"/>
              </w:rPr>
              <w:t>）</w:t>
            </w:r>
          </w:p>
        </w:tc>
      </w:tr>
      <w:tr w14:paraId="6DFF6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1025" w:type="dxa"/>
            <w:vAlign w:val="center"/>
          </w:tcPr>
          <w:p w14:paraId="41D6D032">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20.5</w:t>
            </w:r>
          </w:p>
        </w:tc>
        <w:tc>
          <w:tcPr>
            <w:tcW w:w="7606" w:type="dxa"/>
            <w:gridSpan w:val="3"/>
            <w:vAlign w:val="top"/>
          </w:tcPr>
          <w:p w14:paraId="4943B6AB">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疏勒县居民安防治理体系建设项目</w:t>
            </w:r>
          </w:p>
        </w:tc>
      </w:tr>
      <w:tr w14:paraId="36712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8" w:hRule="atLeast"/>
        </w:trPr>
        <w:tc>
          <w:tcPr>
            <w:tcW w:w="1025" w:type="dxa"/>
            <w:vAlign w:val="center"/>
          </w:tcPr>
          <w:p w14:paraId="6B4B7F1C">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23.2</w:t>
            </w:r>
          </w:p>
        </w:tc>
        <w:tc>
          <w:tcPr>
            <w:tcW w:w="7606" w:type="dxa"/>
            <w:gridSpan w:val="3"/>
            <w:vAlign w:val="top"/>
          </w:tcPr>
          <w:p w14:paraId="7BCEF41E">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评标方法：适用中华人民共和国财政部令第87号--政府采购货物和服</w:t>
            </w:r>
            <w:r>
              <w:rPr>
                <w:rFonts w:hint="eastAsia" w:ascii="黑体" w:hAnsi="黑体" w:eastAsia="黑体" w:cs="黑体"/>
                <w:color w:val="auto"/>
                <w:spacing w:val="11"/>
                <w:sz w:val="24"/>
                <w:szCs w:val="24"/>
                <w:highlight w:val="none"/>
              </w:rPr>
              <w:t>务招标投标管理办法第五十五条综合评分法：</w:t>
            </w:r>
            <w:r>
              <w:rPr>
                <w:rFonts w:hint="eastAsia" w:ascii="黑体" w:hAnsi="黑体" w:eastAsia="黑体" w:cs="黑体"/>
                <w:color w:val="auto"/>
                <w:spacing w:val="11"/>
                <w:sz w:val="24"/>
                <w:szCs w:val="24"/>
                <w:highlight w:val="none"/>
                <w:u w:val="none" w:color="auto"/>
              </w:rPr>
              <w:t>根据投标文件满足招标文件全部实质性要求，且按照评审因素的量化指标评审得分最高的原</w:t>
            </w:r>
            <w:r>
              <w:rPr>
                <w:rFonts w:hint="eastAsia" w:ascii="黑体" w:hAnsi="黑体" w:eastAsia="黑体" w:cs="黑体"/>
                <w:color w:val="auto"/>
                <w:sz w:val="24"/>
                <w:szCs w:val="24"/>
                <w:highlight w:val="none"/>
                <w:u w:val="none" w:color="auto"/>
              </w:rPr>
              <w:t>则确定中标候选人。</w:t>
            </w:r>
          </w:p>
        </w:tc>
      </w:tr>
      <w:tr w14:paraId="15A64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1025" w:type="dxa"/>
            <w:vAlign w:val="center"/>
          </w:tcPr>
          <w:p w14:paraId="122BD47F">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27</w:t>
            </w:r>
          </w:p>
        </w:tc>
        <w:tc>
          <w:tcPr>
            <w:tcW w:w="7606" w:type="dxa"/>
            <w:gridSpan w:val="3"/>
            <w:vAlign w:val="top"/>
          </w:tcPr>
          <w:p w14:paraId="089C82D9">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9"/>
                <w:sz w:val="24"/>
                <w:szCs w:val="24"/>
                <w:highlight w:val="none"/>
              </w:rPr>
              <w:t>推荐中标候选投标人的数量：三名</w:t>
            </w:r>
          </w:p>
        </w:tc>
      </w:tr>
      <w:tr w14:paraId="68917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13" w:hRule="atLeast"/>
        </w:trPr>
        <w:tc>
          <w:tcPr>
            <w:tcW w:w="1025" w:type="dxa"/>
            <w:vAlign w:val="center"/>
          </w:tcPr>
          <w:p w14:paraId="53519004">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3"/>
                <w:szCs w:val="23"/>
                <w:highlight w:val="none"/>
              </w:rPr>
            </w:pPr>
            <w:r>
              <w:rPr>
                <w:rFonts w:hint="eastAsia" w:ascii="黑体" w:hAnsi="黑体" w:eastAsia="黑体" w:cs="黑体"/>
                <w:color w:val="auto"/>
                <w:spacing w:val="1"/>
                <w:sz w:val="23"/>
                <w:szCs w:val="23"/>
                <w:highlight w:val="none"/>
              </w:rPr>
              <w:t>27.1</w:t>
            </w:r>
          </w:p>
        </w:tc>
        <w:tc>
          <w:tcPr>
            <w:tcW w:w="7566" w:type="dxa"/>
            <w:vAlign w:val="top"/>
          </w:tcPr>
          <w:p w14:paraId="64FDC96A">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3"/>
                <w:szCs w:val="23"/>
                <w:highlight w:val="none"/>
              </w:rPr>
              <w:t>招标人是否委托评标委员会直接确定中标人：</w:t>
            </w:r>
            <w:r>
              <w:rPr>
                <w:rFonts w:hint="eastAsia" w:ascii="黑体" w:hAnsi="黑体" w:eastAsia="黑体" w:cs="黑体"/>
                <w:color w:val="auto"/>
                <w:spacing w:val="1"/>
                <w:sz w:val="23"/>
                <w:szCs w:val="23"/>
                <w:highlight w:val="none"/>
                <w:u w:val="single" w:color="auto"/>
              </w:rPr>
              <w:t>否</w:t>
            </w:r>
            <w:r>
              <w:rPr>
                <w:rFonts w:hint="eastAsia" w:ascii="黑体" w:hAnsi="黑体" w:eastAsia="黑体" w:cs="黑体"/>
                <w:i/>
                <w:iCs/>
                <w:color w:val="auto"/>
                <w:spacing w:val="1"/>
                <w:sz w:val="24"/>
                <w:szCs w:val="24"/>
                <w:highlight w:val="none"/>
              </w:rPr>
              <w:t>（是、否）</w:t>
            </w:r>
          </w:p>
        </w:tc>
      </w:tr>
      <w:tr w14:paraId="70A41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235" w:hRule="atLeast"/>
        </w:trPr>
        <w:tc>
          <w:tcPr>
            <w:tcW w:w="1025" w:type="dxa"/>
            <w:vAlign w:val="center"/>
          </w:tcPr>
          <w:p w14:paraId="3E56E2FD">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3"/>
                <w:szCs w:val="23"/>
                <w:highlight w:val="none"/>
              </w:rPr>
            </w:pPr>
            <w:r>
              <w:rPr>
                <w:rFonts w:hint="eastAsia" w:ascii="黑体" w:hAnsi="黑体" w:eastAsia="黑体" w:cs="黑体"/>
                <w:color w:val="auto"/>
                <w:sz w:val="23"/>
                <w:szCs w:val="23"/>
                <w:highlight w:val="none"/>
              </w:rPr>
              <w:t>31.1</w:t>
            </w:r>
          </w:p>
        </w:tc>
        <w:tc>
          <w:tcPr>
            <w:tcW w:w="7566" w:type="dxa"/>
            <w:vAlign w:val="top"/>
          </w:tcPr>
          <w:p w14:paraId="10B6E03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textAlignment w:val="baseline"/>
              <w:rPr>
                <w:rFonts w:hint="eastAsia" w:ascii="黑体" w:hAnsi="黑体" w:eastAsia="黑体" w:cs="黑体"/>
                <w:color w:val="auto"/>
                <w:spacing w:val="1"/>
                <w:sz w:val="24"/>
                <w:szCs w:val="24"/>
                <w:highlight w:val="none"/>
                <w:lang w:val="en-US" w:eastAsia="zh-CN"/>
              </w:rPr>
            </w:pPr>
            <w:r>
              <w:rPr>
                <w:rFonts w:hint="eastAsia" w:ascii="黑体" w:hAnsi="黑体" w:eastAsia="黑体" w:cs="黑体"/>
                <w:color w:val="auto"/>
                <w:spacing w:val="1"/>
                <w:sz w:val="24"/>
                <w:szCs w:val="24"/>
                <w:highlight w:val="none"/>
                <w:lang w:eastAsia="zh-CN"/>
              </w:rPr>
              <w:t>履约保证金金额：合同金额的5%。</w:t>
            </w:r>
            <w:r>
              <w:rPr>
                <w:rFonts w:hint="eastAsia" w:ascii="黑体" w:hAnsi="黑体" w:eastAsia="黑体" w:cs="黑体"/>
                <w:color w:val="auto"/>
                <w:spacing w:val="1"/>
                <w:sz w:val="24"/>
                <w:szCs w:val="24"/>
                <w:highlight w:val="none"/>
                <w:lang w:val="en-US" w:eastAsia="zh-CN"/>
              </w:rPr>
              <w:t>（不得超过政府采购合同金额的10%）</w:t>
            </w:r>
          </w:p>
          <w:p w14:paraId="18EFFF0A">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pacing w:val="1"/>
                <w:sz w:val="24"/>
                <w:szCs w:val="24"/>
                <w:highlight w:val="none"/>
                <w:lang w:eastAsia="zh-CN"/>
              </w:rPr>
            </w:pPr>
            <w:r>
              <w:rPr>
                <w:rFonts w:hint="eastAsia" w:ascii="黑体" w:hAnsi="黑体" w:eastAsia="黑体" w:cs="黑体"/>
                <w:color w:val="auto"/>
                <w:spacing w:val="1"/>
                <w:sz w:val="24"/>
                <w:szCs w:val="24"/>
                <w:highlight w:val="none"/>
                <w:lang w:eastAsia="zh-CN"/>
              </w:rPr>
              <w:t>履约保证金形式：</w:t>
            </w:r>
            <w:r>
              <w:rPr>
                <w:rFonts w:hint="eastAsia" w:ascii="黑体" w:hAnsi="黑体" w:eastAsia="黑体" w:cs="黑体"/>
                <w:color w:val="auto"/>
                <w:spacing w:val="1"/>
                <w:sz w:val="24"/>
                <w:szCs w:val="24"/>
                <w:highlight w:val="none"/>
                <w:lang w:val="en-US" w:eastAsia="zh-CN"/>
              </w:rPr>
              <w:t>电汇、转账、支票、汇票、银行保函、电子保函、本票或者金融机构、担保机构出具的保函等非现金形式。</w:t>
            </w:r>
            <w:r>
              <w:rPr>
                <w:rFonts w:hint="eastAsia" w:ascii="黑体" w:hAnsi="黑体" w:eastAsia="黑体" w:cs="黑体"/>
                <w:color w:val="auto"/>
                <w:spacing w:val="1"/>
                <w:sz w:val="24"/>
                <w:szCs w:val="24"/>
                <w:highlight w:val="none"/>
                <w:lang w:eastAsia="zh-CN"/>
              </w:rPr>
              <w:t>(具体以签订合同为准）</w:t>
            </w:r>
          </w:p>
          <w:p w14:paraId="4D53D033">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3"/>
                <w:szCs w:val="23"/>
                <w:highlight w:val="none"/>
              </w:rPr>
            </w:pPr>
            <w:r>
              <w:rPr>
                <w:rFonts w:hint="eastAsia" w:ascii="黑体" w:hAnsi="黑体" w:eastAsia="黑体" w:cs="黑体"/>
                <w:color w:val="auto"/>
                <w:spacing w:val="1"/>
                <w:sz w:val="24"/>
                <w:szCs w:val="24"/>
                <w:highlight w:val="none"/>
                <w:lang w:eastAsia="zh-CN"/>
              </w:rPr>
              <w:t>提交履约保证金的时间：签订合同前</w:t>
            </w:r>
            <w:r>
              <w:rPr>
                <w:rFonts w:hint="eastAsia" w:ascii="黑体" w:hAnsi="黑体" w:eastAsia="黑体" w:cs="黑体"/>
                <w:color w:val="auto"/>
                <w:spacing w:val="1"/>
                <w:sz w:val="24"/>
                <w:szCs w:val="24"/>
                <w:highlight w:val="none"/>
                <w:lang w:val="en-US" w:eastAsia="zh-CN"/>
              </w:rPr>
              <w:t>5</w:t>
            </w:r>
            <w:r>
              <w:rPr>
                <w:rFonts w:hint="eastAsia" w:ascii="黑体" w:hAnsi="黑体" w:eastAsia="黑体" w:cs="黑体"/>
                <w:color w:val="auto"/>
                <w:spacing w:val="1"/>
                <w:sz w:val="24"/>
                <w:szCs w:val="24"/>
                <w:highlight w:val="none"/>
                <w:lang w:eastAsia="zh-CN"/>
              </w:rPr>
              <w:t>日内。</w:t>
            </w:r>
          </w:p>
        </w:tc>
      </w:tr>
      <w:tr w14:paraId="33E9A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4" w:hRule="atLeast"/>
        </w:trPr>
        <w:tc>
          <w:tcPr>
            <w:tcW w:w="1025" w:type="dxa"/>
            <w:vAlign w:val="center"/>
          </w:tcPr>
          <w:p w14:paraId="4BA98972">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33.1</w:t>
            </w:r>
          </w:p>
        </w:tc>
        <w:tc>
          <w:tcPr>
            <w:tcW w:w="7566" w:type="dxa"/>
            <w:vAlign w:val="center"/>
          </w:tcPr>
          <w:p w14:paraId="6BC1ED6D">
            <w:pPr>
              <w:keepNext w:val="0"/>
              <w:keepLines w:val="0"/>
              <w:pageBreakBefore w:val="0"/>
              <w:widowControl/>
              <w:kinsoku/>
              <w:wordWrap w:val="0"/>
              <w:overflowPunct/>
              <w:topLinePunct w:val="0"/>
              <w:bidi w:val="0"/>
              <w:spacing w:line="360" w:lineRule="auto"/>
              <w:ind w:left="0" w:leftChars="0" w:right="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本项目是否属于信用担保试点范围：</w:t>
            </w:r>
            <w:r>
              <w:rPr>
                <w:rFonts w:hint="eastAsia" w:ascii="黑体" w:hAnsi="黑体" w:eastAsia="黑体" w:cs="黑体"/>
                <w:color w:val="auto"/>
                <w:sz w:val="24"/>
                <w:szCs w:val="24"/>
                <w:highlight w:val="none"/>
                <w:lang w:val="en-US" w:eastAsia="zh-CN"/>
              </w:rPr>
              <w:t>是</w:t>
            </w:r>
            <w:r>
              <w:rPr>
                <w:rFonts w:hint="eastAsia" w:ascii="黑体" w:hAnsi="黑体" w:eastAsia="黑体" w:cs="黑体"/>
                <w:i/>
                <w:iCs/>
                <w:color w:val="auto"/>
                <w:sz w:val="24"/>
                <w:szCs w:val="24"/>
                <w:highlight w:val="none"/>
              </w:rPr>
              <w:t>（是、否）</w:t>
            </w:r>
          </w:p>
        </w:tc>
      </w:tr>
      <w:tr w14:paraId="161B1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6" w:hRule="atLeast"/>
        </w:trPr>
        <w:tc>
          <w:tcPr>
            <w:tcW w:w="1025" w:type="dxa"/>
            <w:vAlign w:val="center"/>
          </w:tcPr>
          <w:p w14:paraId="2426FF51">
            <w:pPr>
              <w:keepNext w:val="0"/>
              <w:keepLines w:val="0"/>
              <w:pageBreakBefore w:val="0"/>
              <w:widowControl/>
              <w:kinsoku/>
              <w:wordWrap w:val="0"/>
              <w:overflowPunct/>
              <w:topLinePunct w:val="0"/>
              <w:bidi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32</w:t>
            </w:r>
          </w:p>
        </w:tc>
        <w:tc>
          <w:tcPr>
            <w:tcW w:w="7566" w:type="dxa"/>
            <w:vAlign w:val="top"/>
          </w:tcPr>
          <w:p w14:paraId="0B18A3E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23"/>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7"/>
                <w:sz w:val="24"/>
                <w:szCs w:val="24"/>
                <w:highlight w:val="none"/>
              </w:rPr>
              <w:t xml:space="preserve">代理服务费：根据（发改价格[2015]299号文件），根据国家计委关于印发《招标代理服务收费管理暂行办法》的通知-计价格[2002]1980号文件为参考，按差额定率累进法计算，以中标价为计算基数收取代理服务费。由中标人在领取中标通知书时一次性支付。 </w:t>
            </w:r>
          </w:p>
          <w:p w14:paraId="10F38BE7">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8"/>
                <w:sz w:val="24"/>
                <w:szCs w:val="24"/>
                <w:highlight w:val="none"/>
              </w:rPr>
              <w:t>支付形式：对公转账</w:t>
            </w:r>
            <w:r>
              <w:rPr>
                <w:rFonts w:hint="eastAsia" w:ascii="黑体" w:hAnsi="黑体" w:eastAsia="黑体" w:cs="黑体"/>
                <w:color w:val="auto"/>
                <w:spacing w:val="8"/>
                <w:sz w:val="24"/>
                <w:szCs w:val="24"/>
                <w:highlight w:val="none"/>
                <w:lang w:eastAsia="zh-CN"/>
              </w:rPr>
              <w:t>。</w:t>
            </w:r>
          </w:p>
          <w:p w14:paraId="06278F5B">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11"/>
                <w:sz w:val="24"/>
                <w:szCs w:val="24"/>
                <w:highlight w:val="none"/>
              </w:rPr>
              <w:t>支付时间：领取中标（成交）通知书时</w:t>
            </w:r>
            <w:r>
              <w:rPr>
                <w:rFonts w:hint="eastAsia" w:ascii="黑体" w:hAnsi="黑体" w:eastAsia="黑体" w:cs="黑体"/>
                <w:color w:val="auto"/>
                <w:spacing w:val="11"/>
                <w:sz w:val="24"/>
                <w:szCs w:val="24"/>
                <w:highlight w:val="none"/>
                <w:lang w:eastAsia="zh-CN"/>
              </w:rPr>
              <w:t>。</w:t>
            </w:r>
          </w:p>
        </w:tc>
      </w:tr>
      <w:tr w14:paraId="7B9B5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7" w:hRule="atLeast"/>
        </w:trPr>
        <w:tc>
          <w:tcPr>
            <w:tcW w:w="8591" w:type="dxa"/>
            <w:gridSpan w:val="2"/>
            <w:vAlign w:val="center"/>
          </w:tcPr>
          <w:p w14:paraId="02029329">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pacing w:val="9"/>
                <w:sz w:val="24"/>
                <w:szCs w:val="24"/>
                <w:highlight w:val="none"/>
              </w:rPr>
            </w:pPr>
            <w:r>
              <w:rPr>
                <w:rFonts w:hint="eastAsia" w:ascii="黑体" w:hAnsi="黑体" w:eastAsia="黑体" w:cs="黑体"/>
                <w:b/>
                <w:bCs/>
                <w:i w:val="0"/>
                <w:iCs w:val="0"/>
                <w:color w:val="auto"/>
                <w:sz w:val="24"/>
                <w:szCs w:val="24"/>
                <w:highlight w:val="none"/>
                <w:lang w:val="en-US" w:eastAsia="zh-CN"/>
              </w:rPr>
              <w:t>适用于本投标人须知的额外增加的变动：</w:t>
            </w:r>
          </w:p>
        </w:tc>
      </w:tr>
      <w:tr w14:paraId="1DB33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7" w:hRule="atLeast"/>
        </w:trPr>
        <w:tc>
          <w:tcPr>
            <w:tcW w:w="1025" w:type="dxa"/>
            <w:shd w:val="clear" w:color="auto" w:fill="auto"/>
            <w:vAlign w:val="center"/>
          </w:tcPr>
          <w:p w14:paraId="24B187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黑体" w:hAnsi="黑体" w:eastAsia="黑体" w:cs="黑体"/>
                <w:i w:val="0"/>
                <w:iCs w:val="0"/>
                <w:snapToGrid w:val="0"/>
                <w:color w:val="auto"/>
                <w:kern w:val="0"/>
                <w:sz w:val="24"/>
                <w:szCs w:val="24"/>
                <w:highlight w:val="none"/>
                <w:lang w:val="en-US" w:eastAsia="zh-CN" w:bidi="ar-SA"/>
              </w:rPr>
            </w:pPr>
            <w:r>
              <w:rPr>
                <w:rFonts w:hint="eastAsia" w:ascii="黑体" w:hAnsi="黑体" w:eastAsia="黑体" w:cs="黑体"/>
                <w:i w:val="0"/>
                <w:iCs w:val="0"/>
                <w:color w:val="auto"/>
                <w:sz w:val="24"/>
                <w:szCs w:val="24"/>
                <w:highlight w:val="none"/>
                <w:lang w:val="en-US" w:eastAsia="zh-CN"/>
              </w:rPr>
              <w:t>34</w:t>
            </w:r>
          </w:p>
        </w:tc>
        <w:tc>
          <w:tcPr>
            <w:tcW w:w="7566" w:type="dxa"/>
            <w:shd w:val="clear" w:color="auto" w:fill="auto"/>
            <w:vAlign w:val="center"/>
          </w:tcPr>
          <w:p w14:paraId="6700C3B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82A323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2.本项目实行网上投标，采用电子投标文件(供应商须使用CA加密设备通过政采云电子投标客户端制作投标文件)。若供应商参与投标，自行承担投标一切费用。</w:t>
            </w:r>
          </w:p>
          <w:p w14:paraId="1CB48E7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0BB5456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E5A57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5.供应商在开标时须使用制作加密电子投标文件所使用的CA锁及电脑，电脑须提前配置好浏览器（建议使用谷歌浏览器），以便开标时解锁。</w:t>
            </w:r>
          </w:p>
          <w:p w14:paraId="6A5DD8A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00825E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EB2664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（8）各供应商须在投标截止时间前完成在系统上递交电子</w:t>
            </w:r>
            <w:r>
              <w:rPr>
                <w:rFonts w:hint="eastAsia" w:ascii="黑体" w:hAnsi="黑体" w:eastAsia="黑体" w:cs="黑体"/>
                <w:i w:val="0"/>
                <w:iCs w:val="0"/>
                <w:color w:val="auto"/>
                <w:sz w:val="24"/>
                <w:szCs w:val="24"/>
                <w:highlight w:val="none"/>
                <w:lang w:val="en-US" w:eastAsia="zh-CN"/>
              </w:rPr>
              <w:t>投标</w:t>
            </w:r>
            <w:r>
              <w:rPr>
                <w:rFonts w:hint="eastAsia" w:ascii="黑体" w:hAnsi="黑体" w:eastAsia="黑体" w:cs="黑体"/>
                <w:i w:val="0"/>
                <w:iCs w:val="0"/>
                <w:color w:val="auto"/>
                <w:sz w:val="24"/>
                <w:szCs w:val="24"/>
                <w:highlight w:val="none"/>
              </w:rPr>
              <w:t>文件。供应商的电子</w:t>
            </w:r>
            <w:r>
              <w:rPr>
                <w:rFonts w:hint="eastAsia" w:ascii="黑体" w:hAnsi="黑体" w:eastAsia="黑体" w:cs="黑体"/>
                <w:i w:val="0"/>
                <w:iCs w:val="0"/>
                <w:color w:val="auto"/>
                <w:sz w:val="24"/>
                <w:szCs w:val="24"/>
                <w:highlight w:val="none"/>
                <w:lang w:val="en-US" w:eastAsia="zh-CN"/>
              </w:rPr>
              <w:t>投标</w:t>
            </w:r>
            <w:r>
              <w:rPr>
                <w:rFonts w:hint="eastAsia" w:ascii="黑体" w:hAnsi="黑体" w:eastAsia="黑体" w:cs="黑体"/>
                <w:i w:val="0"/>
                <w:iCs w:val="0"/>
                <w:color w:val="auto"/>
                <w:sz w:val="24"/>
                <w:szCs w:val="24"/>
                <w:highlight w:val="none"/>
              </w:rPr>
              <w:t>文件是经过CA证书加密后上传提交的，任何单位或个人均无法在投标截止时间(即开标时间)之前查看或篡改，不存在泄密风险。（严格按照政采云电子投标流程制作并上传电子</w:t>
            </w:r>
            <w:r>
              <w:rPr>
                <w:rFonts w:hint="eastAsia" w:ascii="黑体" w:hAnsi="黑体" w:eastAsia="黑体" w:cs="黑体"/>
                <w:i w:val="0"/>
                <w:iCs w:val="0"/>
                <w:color w:val="auto"/>
                <w:sz w:val="24"/>
                <w:szCs w:val="24"/>
                <w:highlight w:val="none"/>
                <w:lang w:val="en-US" w:eastAsia="zh-CN"/>
              </w:rPr>
              <w:t>投标</w:t>
            </w:r>
            <w:r>
              <w:rPr>
                <w:rFonts w:hint="eastAsia" w:ascii="黑体" w:hAnsi="黑体" w:eastAsia="黑体" w:cs="黑体"/>
                <w:i w:val="0"/>
                <w:iCs w:val="0"/>
                <w:color w:val="auto"/>
                <w:sz w:val="24"/>
                <w:szCs w:val="24"/>
                <w:highlight w:val="none"/>
              </w:rPr>
              <w:t>文件）</w:t>
            </w:r>
            <w:r>
              <w:rPr>
                <w:rFonts w:hint="eastAsia" w:ascii="黑体" w:hAnsi="黑体" w:eastAsia="黑体" w:cs="黑体"/>
                <w:i w:val="0"/>
                <w:iCs w:val="0"/>
                <w:color w:val="auto"/>
                <w:sz w:val="24"/>
                <w:szCs w:val="24"/>
                <w:highlight w:val="none"/>
                <w:lang w:eastAsia="zh-CN"/>
              </w:rPr>
              <w:t>。</w:t>
            </w:r>
          </w:p>
          <w:p w14:paraId="2D73967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w:t>
            </w:r>
            <w:r>
              <w:rPr>
                <w:rFonts w:hint="eastAsia" w:ascii="黑体" w:hAnsi="黑体" w:eastAsia="黑体" w:cs="黑体"/>
                <w:i w:val="0"/>
                <w:iCs w:val="0"/>
                <w:color w:val="auto"/>
                <w:sz w:val="24"/>
                <w:szCs w:val="24"/>
                <w:highlight w:val="none"/>
                <w:lang w:val="en-US" w:eastAsia="zh-CN"/>
              </w:rPr>
              <w:t>9</w:t>
            </w:r>
            <w:r>
              <w:rPr>
                <w:rFonts w:hint="eastAsia" w:ascii="黑体" w:hAnsi="黑体" w:eastAsia="黑体" w:cs="黑体"/>
                <w:i w:val="0"/>
                <w:iCs w:val="0"/>
                <w:color w:val="auto"/>
                <w:sz w:val="24"/>
                <w:szCs w:val="24"/>
                <w:highlight w:val="none"/>
              </w:rPr>
              <w:t>）解密时长为30分钟。</w:t>
            </w:r>
          </w:p>
          <w:p w14:paraId="44FA819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黑体" w:hAnsi="黑体" w:eastAsia="黑体" w:cs="黑体"/>
                <w:i w:val="0"/>
                <w:iCs w:val="0"/>
                <w:color w:val="auto"/>
                <w:sz w:val="24"/>
                <w:szCs w:val="24"/>
                <w:highlight w:val="none"/>
                <w:lang w:val="en-US" w:eastAsia="zh-CN"/>
              </w:rPr>
            </w:pPr>
            <w:r>
              <w:rPr>
                <w:rFonts w:hint="eastAsia" w:ascii="黑体" w:hAnsi="黑体" w:eastAsia="黑体" w:cs="黑体"/>
                <w:i w:val="0"/>
                <w:iCs w:val="0"/>
                <w:color w:val="auto"/>
                <w:sz w:val="24"/>
                <w:szCs w:val="24"/>
                <w:highlight w:val="none"/>
                <w:lang w:val="en-US" w:eastAsia="zh-CN"/>
              </w:rPr>
              <w:t>（10）本招标文件中出现前后矛盾不一致的，以投标人须知资料表为准。</w:t>
            </w:r>
          </w:p>
          <w:p w14:paraId="584F786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i w:val="0"/>
                <w:iCs w:val="0"/>
                <w:color w:val="auto"/>
                <w:sz w:val="24"/>
                <w:szCs w:val="24"/>
                <w:highlight w:val="none"/>
                <w:lang w:val="en-US" w:eastAsia="zh-CN"/>
              </w:rPr>
              <w:t>（11）其他未尽事宜中标人与采购人后期签订合同自行约定。</w:t>
            </w:r>
          </w:p>
        </w:tc>
      </w:tr>
      <w:tr w14:paraId="583B5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7" w:hRule="atLeast"/>
        </w:trPr>
        <w:tc>
          <w:tcPr>
            <w:tcW w:w="1025" w:type="dxa"/>
            <w:shd w:val="clear" w:color="auto" w:fill="auto"/>
            <w:vAlign w:val="center"/>
          </w:tcPr>
          <w:p w14:paraId="0C5D4AC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黑体" w:hAnsi="黑体" w:eastAsia="黑体" w:cs="黑体"/>
                <w:b/>
                <w:bCs/>
                <w:i w:val="0"/>
                <w:iCs w:val="0"/>
                <w:snapToGrid w:val="0"/>
                <w:color w:val="auto"/>
                <w:kern w:val="0"/>
                <w:sz w:val="24"/>
                <w:szCs w:val="24"/>
                <w:highlight w:val="none"/>
                <w:lang w:val="en-US" w:eastAsia="zh-CN" w:bidi="ar-SA"/>
              </w:rPr>
            </w:pPr>
            <w:r>
              <w:rPr>
                <w:rFonts w:hint="eastAsia" w:ascii="黑体" w:hAnsi="黑体" w:eastAsia="黑体" w:cs="黑体"/>
                <w:b/>
                <w:bCs/>
                <w:i w:val="0"/>
                <w:iCs w:val="0"/>
                <w:color w:val="auto"/>
                <w:sz w:val="24"/>
                <w:szCs w:val="24"/>
                <w:highlight w:val="none"/>
                <w:lang w:val="en-US" w:eastAsia="zh-CN"/>
              </w:rPr>
              <w:t>采购标的对应的中小企业划分标准所属行业</w:t>
            </w:r>
          </w:p>
        </w:tc>
        <w:tc>
          <w:tcPr>
            <w:tcW w:w="7566" w:type="dxa"/>
            <w:shd w:val="clear" w:color="auto" w:fill="auto"/>
            <w:vAlign w:val="center"/>
          </w:tcPr>
          <w:p w14:paraId="32DFA00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黑体" w:hAnsi="黑体" w:eastAsia="黑体" w:cs="黑体"/>
                <w:b/>
                <w:bCs/>
                <w:i w:val="0"/>
                <w:iCs w:val="0"/>
                <w:color w:val="auto"/>
                <w:sz w:val="24"/>
                <w:szCs w:val="24"/>
                <w:highlight w:val="none"/>
                <w:lang w:val="en-US" w:eastAsia="zh-CN"/>
              </w:rPr>
            </w:pPr>
          </w:p>
          <w:p w14:paraId="19F61D1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黑体" w:hAnsi="黑体" w:eastAsia="黑体" w:cs="黑体"/>
                <w:b/>
                <w:bCs/>
                <w:i w:val="0"/>
                <w:iCs w:val="0"/>
                <w:color w:val="auto"/>
                <w:sz w:val="24"/>
                <w:szCs w:val="24"/>
                <w:highlight w:val="none"/>
                <w:lang w:val="en-US" w:eastAsia="zh-CN"/>
              </w:rPr>
            </w:pPr>
          </w:p>
          <w:p w14:paraId="67AD5AB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黑体" w:hAnsi="黑体" w:eastAsia="黑体" w:cs="黑体"/>
                <w:b/>
                <w:bCs/>
                <w:color w:val="auto"/>
                <w:kern w:val="0"/>
                <w:sz w:val="24"/>
                <w:szCs w:val="24"/>
                <w:highlight w:val="none"/>
              </w:rPr>
            </w:pPr>
            <w:r>
              <w:rPr>
                <w:rFonts w:hint="eastAsia" w:ascii="黑体" w:hAnsi="黑体" w:eastAsia="黑体" w:cs="黑体"/>
                <w:b/>
                <w:bCs/>
                <w:i w:val="0"/>
                <w:iCs w:val="0"/>
                <w:color w:val="auto"/>
                <w:sz w:val="24"/>
                <w:szCs w:val="24"/>
                <w:highlight w:val="none"/>
                <w:lang w:val="en-US" w:eastAsia="zh-CN"/>
              </w:rPr>
              <w:t>所属行业：软件和信息技术服务业</w:t>
            </w:r>
          </w:p>
          <w:p w14:paraId="0326B37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黑体" w:hAnsi="黑体" w:eastAsia="黑体" w:cs="黑体"/>
                <w:b/>
                <w:bCs/>
                <w:color w:val="auto"/>
                <w:kern w:val="0"/>
                <w:sz w:val="24"/>
                <w:szCs w:val="24"/>
                <w:highlight w:val="none"/>
              </w:rPr>
            </w:pPr>
          </w:p>
          <w:p w14:paraId="00225DE9">
            <w:pPr>
              <w:pStyle w:val="2"/>
              <w:jc w:val="both"/>
              <w:rPr>
                <w:rFonts w:hint="eastAsia" w:ascii="黑体" w:hAnsi="黑体" w:eastAsia="黑体" w:cs="黑体"/>
                <w:color w:val="auto"/>
                <w:kern w:val="2"/>
                <w:sz w:val="24"/>
                <w:szCs w:val="24"/>
                <w:highlight w:val="none"/>
                <w:lang w:val="en-US" w:eastAsia="zh-CN" w:bidi="ar-SA"/>
              </w:rPr>
            </w:pPr>
          </w:p>
        </w:tc>
      </w:tr>
      <w:tr w14:paraId="71E8C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7" w:hRule="atLeast"/>
        </w:trPr>
        <w:tc>
          <w:tcPr>
            <w:tcW w:w="8591" w:type="dxa"/>
            <w:gridSpan w:val="2"/>
            <w:vAlign w:val="center"/>
          </w:tcPr>
          <w:p w14:paraId="17883D80">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b/>
                <w:bCs/>
                <w:i w:val="0"/>
                <w:iCs w:val="0"/>
                <w:color w:val="auto"/>
                <w:sz w:val="24"/>
                <w:szCs w:val="24"/>
                <w:highlight w:val="none"/>
              </w:rPr>
            </w:pPr>
            <w:r>
              <w:rPr>
                <w:rFonts w:hint="eastAsia" w:ascii="黑体" w:hAnsi="黑体" w:eastAsia="黑体" w:cs="黑体"/>
                <w:b/>
                <w:bCs/>
                <w:i w:val="0"/>
                <w:iCs w:val="0"/>
                <w:color w:val="auto"/>
                <w:sz w:val="24"/>
                <w:szCs w:val="24"/>
                <w:highlight w:val="none"/>
              </w:rPr>
              <w:t>备注：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再接收。在法定质疑期内供应商针对同一采购程序环节的质疑应当一次性提出。</w:t>
            </w:r>
          </w:p>
          <w:p w14:paraId="06198769">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b/>
                <w:bCs/>
                <w:i w:val="0"/>
                <w:iCs w:val="0"/>
                <w:color w:val="auto"/>
                <w:sz w:val="24"/>
                <w:szCs w:val="24"/>
                <w:highlight w:val="none"/>
              </w:rPr>
            </w:pPr>
            <w:r>
              <w:rPr>
                <w:rFonts w:hint="eastAsia" w:ascii="黑体" w:hAnsi="黑体" w:eastAsia="黑体" w:cs="黑体"/>
                <w:b/>
                <w:bCs/>
                <w:i w:val="0"/>
                <w:iCs w:val="0"/>
                <w:snapToGrid w:val="0"/>
                <w:color w:val="auto"/>
                <w:kern w:val="0"/>
                <w:sz w:val="24"/>
                <w:szCs w:val="24"/>
                <w:highlight w:val="none"/>
                <w:lang w:val="en-US" w:eastAsia="zh-CN" w:bidi="ar-SA"/>
              </w:rPr>
              <w:t>如招标文件中出现前后矛盾不一致的，以</w:t>
            </w:r>
            <w:r>
              <w:rPr>
                <w:rFonts w:hint="eastAsia" w:ascii="黑体" w:hAnsi="黑体" w:eastAsia="黑体" w:cs="黑体"/>
                <w:b/>
                <w:bCs/>
                <w:i w:val="0"/>
                <w:iCs w:val="0"/>
                <w:snapToGrid w:val="0"/>
                <w:color w:val="auto"/>
                <w:kern w:val="0"/>
                <w:sz w:val="24"/>
                <w:szCs w:val="24"/>
                <w:highlight w:val="none"/>
                <w:lang w:val="en-US" w:eastAsia="en-US" w:bidi="ar-SA"/>
              </w:rPr>
              <w:t>投标人须知资料表</w:t>
            </w:r>
            <w:r>
              <w:rPr>
                <w:rFonts w:hint="eastAsia" w:ascii="黑体" w:hAnsi="黑体" w:eastAsia="黑体" w:cs="黑体"/>
                <w:b/>
                <w:bCs/>
                <w:i w:val="0"/>
                <w:iCs w:val="0"/>
                <w:snapToGrid w:val="0"/>
                <w:color w:val="auto"/>
                <w:kern w:val="0"/>
                <w:sz w:val="24"/>
                <w:szCs w:val="24"/>
                <w:highlight w:val="none"/>
                <w:lang w:val="en-US" w:eastAsia="zh-CN" w:bidi="ar-SA"/>
              </w:rPr>
              <w:t>为准。</w:t>
            </w:r>
          </w:p>
        </w:tc>
      </w:tr>
      <w:tr w14:paraId="10E19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40" w:type="dxa"/>
          <w:trHeight w:val="307" w:hRule="atLeast"/>
        </w:trPr>
        <w:tc>
          <w:tcPr>
            <w:tcW w:w="8591" w:type="dxa"/>
            <w:gridSpan w:val="2"/>
            <w:vAlign w:val="center"/>
          </w:tcPr>
          <w:p w14:paraId="4BE7ED7C">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b/>
                <w:bCs/>
                <w:i w:val="0"/>
                <w:iCs w:val="0"/>
                <w:snapToGrid w:val="0"/>
                <w:color w:val="auto"/>
                <w:kern w:val="0"/>
                <w:sz w:val="24"/>
                <w:szCs w:val="24"/>
                <w:highlight w:val="none"/>
                <w:lang w:val="en-US" w:eastAsia="zh-CN" w:bidi="ar-SA"/>
              </w:rPr>
            </w:pPr>
            <w:r>
              <w:rPr>
                <w:rFonts w:hint="eastAsia" w:ascii="黑体" w:hAnsi="黑体" w:eastAsia="黑体" w:cs="黑体"/>
                <w:b/>
                <w:bCs/>
                <w:i w:val="0"/>
                <w:iCs w:val="0"/>
                <w:snapToGrid w:val="0"/>
                <w:color w:val="auto"/>
                <w:kern w:val="0"/>
                <w:sz w:val="24"/>
                <w:szCs w:val="24"/>
                <w:highlight w:val="none"/>
                <w:lang w:val="en-US" w:eastAsia="zh-CN" w:bidi="ar-SA"/>
              </w:rPr>
              <w:t>异常低价投标（响应）审查</w:t>
            </w:r>
          </w:p>
          <w:p w14:paraId="4CE9C120">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b/>
                <w:bCs/>
                <w:i w:val="0"/>
                <w:iCs w:val="0"/>
                <w:snapToGrid w:val="0"/>
                <w:color w:val="auto"/>
                <w:kern w:val="0"/>
                <w:sz w:val="24"/>
                <w:szCs w:val="24"/>
                <w:highlight w:val="none"/>
                <w:lang w:val="en-US" w:eastAsia="zh-CN" w:bidi="ar-SA"/>
              </w:rPr>
            </w:pPr>
            <w:r>
              <w:rPr>
                <w:rFonts w:hint="eastAsia" w:ascii="黑体" w:hAnsi="黑体" w:eastAsia="黑体" w:cs="黑体"/>
                <w:b/>
                <w:bCs/>
                <w:i w:val="0"/>
                <w:iCs w:val="0"/>
                <w:snapToGrid w:val="0"/>
                <w:color w:val="auto"/>
                <w:kern w:val="0"/>
                <w:sz w:val="24"/>
                <w:szCs w:val="24"/>
                <w:highlight w:val="none"/>
                <w:lang w:val="en-US" w:eastAsia="zh-CN" w:bidi="ar-SA"/>
              </w:rPr>
              <w:t>根据《关于推动解决政府采购异常低价问题的通知》（财库〔2026〕2号），出现下列情形之一的，评审委员会应当启动异常低价审查程序，要求相关供应商在评审现场合理时间内提供成本测算等书面说明及证明材料：①投标报价低于全部通过符合性审查供应商投标报价平均值50%的；②投标报价低于通过符合性审查的次低报价供应商投标报价50%的；③投标报价低于采购项目最高限价45%的；④评审委员会认为报价过低可能影响产品质量或不能诚信履约的其他情形。供应商不能提供说明或不能证明报价合理性的，评审委员会应当将其作为无效投标处理。审查启动原因、意见及结果应在评审报告中记录并存档。</w:t>
            </w:r>
          </w:p>
        </w:tc>
      </w:tr>
    </w:tbl>
    <w:p w14:paraId="36319B4C">
      <w:pPr>
        <w:keepNext w:val="0"/>
        <w:keepLines w:val="0"/>
        <w:pageBreakBefore w:val="0"/>
        <w:widowControl/>
        <w:kinsoku/>
        <w:wordWrap w:val="0"/>
        <w:overflowPunct/>
        <w:topLinePunct w:val="0"/>
        <w:bidi w:val="0"/>
        <w:ind w:left="0" w:leftChars="0" w:right="0"/>
        <w:rPr>
          <w:rFonts w:hint="eastAsia" w:ascii="黑体" w:hAnsi="黑体" w:eastAsia="黑体" w:cs="黑体"/>
          <w:color w:val="auto"/>
          <w:sz w:val="21"/>
          <w:highlight w:val="none"/>
        </w:rPr>
      </w:pPr>
    </w:p>
    <w:p w14:paraId="3DA65FFD">
      <w:pPr>
        <w:keepNext w:val="0"/>
        <w:keepLines w:val="0"/>
        <w:pageBreakBefore w:val="0"/>
        <w:widowControl/>
        <w:kinsoku/>
        <w:wordWrap w:val="0"/>
        <w:overflowPunct/>
        <w:topLinePunct w:val="0"/>
        <w:bidi w:val="0"/>
        <w:ind w:left="0" w:leftChars="0" w:right="0"/>
        <w:rPr>
          <w:rFonts w:hint="eastAsia" w:ascii="黑体" w:hAnsi="黑体" w:eastAsia="黑体" w:cs="黑体"/>
          <w:color w:val="auto"/>
          <w:sz w:val="21"/>
          <w:szCs w:val="21"/>
          <w:highlight w:val="none"/>
        </w:rPr>
        <w:sectPr>
          <w:footerReference r:id="rId17" w:type="default"/>
          <w:pgSz w:w="11906" w:h="16838"/>
          <w:pgMar w:top="400" w:right="1550" w:bottom="1171" w:left="1759" w:header="0" w:footer="996" w:gutter="0"/>
          <w:pgBorders>
            <w:top w:val="none" w:sz="0" w:space="0"/>
            <w:left w:val="none" w:sz="0" w:space="0"/>
            <w:bottom w:val="none" w:sz="0" w:space="0"/>
            <w:right w:val="none" w:sz="0" w:space="0"/>
          </w:pgBorders>
          <w:pgNumType w:fmt="decimal"/>
          <w:cols w:space="720" w:num="1"/>
        </w:sectPr>
      </w:pPr>
    </w:p>
    <w:p w14:paraId="07D4B255">
      <w:pPr>
        <w:pStyle w:val="10"/>
        <w:keepNext w:val="0"/>
        <w:keepLines w:val="0"/>
        <w:pageBreakBefore w:val="0"/>
        <w:widowControl/>
        <w:kinsoku/>
        <w:wordWrap w:val="0"/>
        <w:overflowPunct/>
        <w:topLinePunct w:val="0"/>
        <w:bidi w:val="0"/>
        <w:spacing w:line="227" w:lineRule="auto"/>
        <w:ind w:left="0" w:leftChars="0" w:right="0"/>
        <w:jc w:val="center"/>
        <w:outlineLvl w:val="0"/>
        <w:rPr>
          <w:rFonts w:hint="eastAsia" w:ascii="黑体" w:hAnsi="黑体" w:eastAsia="黑体" w:cs="黑体"/>
          <w:b/>
          <w:bCs/>
          <w:color w:val="auto"/>
          <w:spacing w:val="7"/>
          <w:sz w:val="28"/>
          <w:szCs w:val="28"/>
          <w:highlight w:val="none"/>
        </w:rPr>
      </w:pPr>
      <w:bookmarkStart w:id="254" w:name="_Toc26176"/>
      <w:bookmarkStart w:id="255" w:name="_Toc6732"/>
      <w:bookmarkStart w:id="256" w:name="_Toc27316"/>
      <w:r>
        <w:rPr>
          <w:rFonts w:hint="eastAsia" w:ascii="黑体" w:hAnsi="黑体" w:eastAsia="黑体" w:cs="黑体"/>
          <w:b/>
          <w:bCs/>
          <w:color w:val="auto"/>
          <w:spacing w:val="7"/>
          <w:sz w:val="28"/>
          <w:szCs w:val="28"/>
          <w:highlight w:val="none"/>
        </w:rPr>
        <w:t>第5章服务需求</w:t>
      </w:r>
      <w:bookmarkEnd w:id="254"/>
      <w:bookmarkEnd w:id="255"/>
      <w:bookmarkEnd w:id="256"/>
    </w:p>
    <w:p w14:paraId="5F449263">
      <w:pPr>
        <w:pStyle w:val="10"/>
        <w:keepNext w:val="0"/>
        <w:keepLines w:val="0"/>
        <w:pageBreakBefore w:val="0"/>
        <w:widowControl/>
        <w:kinsoku/>
        <w:wordWrap w:val="0"/>
        <w:overflowPunct/>
        <w:topLinePunct w:val="0"/>
        <w:bidi w:val="0"/>
        <w:spacing w:line="227" w:lineRule="auto"/>
        <w:ind w:left="0" w:leftChars="0" w:right="0" w:firstLine="0" w:firstLineChars="0"/>
        <w:jc w:val="center"/>
        <w:rPr>
          <w:rFonts w:hint="eastAsia" w:ascii="黑体" w:hAnsi="黑体" w:eastAsia="黑体" w:cs="黑体"/>
          <w:color w:val="auto"/>
          <w:spacing w:val="7"/>
          <w:sz w:val="23"/>
          <w:szCs w:val="23"/>
          <w:highlight w:val="none"/>
        </w:rPr>
      </w:pPr>
    </w:p>
    <w:p w14:paraId="005FC14D">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right="0" w:rightChars="0"/>
        <w:textAlignment w:val="baseline"/>
        <w:rPr>
          <w:rFonts w:hint="default" w:ascii="黑体" w:hAnsi="黑体" w:eastAsia="黑体" w:cs="黑体"/>
          <w:b/>
          <w:bCs/>
          <w:snapToGrid w:val="0"/>
          <w:color w:val="auto"/>
          <w:spacing w:val="11"/>
          <w:kern w:val="0"/>
          <w:sz w:val="28"/>
          <w:szCs w:val="28"/>
          <w:highlight w:val="none"/>
          <w:lang w:val="en-US" w:eastAsia="zh-CN" w:bidi="ar-SA"/>
        </w:rPr>
      </w:pPr>
      <w:r>
        <w:rPr>
          <w:rFonts w:hint="eastAsia" w:ascii="黑体" w:hAnsi="黑体" w:eastAsia="黑体" w:cs="黑体"/>
          <w:b/>
          <w:bCs/>
          <w:snapToGrid w:val="0"/>
          <w:color w:val="auto"/>
          <w:spacing w:val="11"/>
          <w:kern w:val="0"/>
          <w:sz w:val="28"/>
          <w:szCs w:val="28"/>
          <w:highlight w:val="none"/>
          <w:lang w:val="en-US" w:eastAsia="zh-CN" w:bidi="ar-SA"/>
        </w:rPr>
        <w:t>一、项目简介</w:t>
      </w:r>
    </w:p>
    <w:p w14:paraId="3B7051B6">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right="0" w:rightChars="0" w:firstLine="419" w:firstLineChars="160"/>
        <w:textAlignment w:val="baseline"/>
        <w:rPr>
          <w:rFonts w:hint="eastAsia" w:ascii="黑体" w:hAnsi="黑体" w:eastAsia="黑体" w:cs="黑体"/>
          <w:snapToGrid w:val="0"/>
          <w:color w:val="auto"/>
          <w:spacing w:val="11"/>
          <w:kern w:val="0"/>
          <w:sz w:val="24"/>
          <w:szCs w:val="24"/>
          <w:highlight w:val="none"/>
          <w:lang w:val="en-US" w:eastAsia="zh-CN" w:bidi="ar-SA"/>
        </w:rPr>
      </w:pPr>
      <w:r>
        <w:rPr>
          <w:rFonts w:hint="eastAsia" w:ascii="黑体" w:hAnsi="黑体" w:eastAsia="黑体" w:cs="黑体"/>
          <w:snapToGrid w:val="0"/>
          <w:color w:val="auto"/>
          <w:spacing w:val="11"/>
          <w:kern w:val="0"/>
          <w:sz w:val="24"/>
          <w:szCs w:val="24"/>
          <w:highlight w:val="none"/>
          <w:lang w:val="en-US" w:eastAsia="zh-CN" w:bidi="ar-SA"/>
        </w:rPr>
        <w:t>项目名称：</w:t>
      </w:r>
      <w:r>
        <w:rPr>
          <w:rFonts w:hint="eastAsia" w:ascii="黑体" w:hAnsi="黑体" w:eastAsia="黑体" w:cs="黑体"/>
          <w:color w:val="auto"/>
          <w:sz w:val="24"/>
          <w:szCs w:val="24"/>
          <w:highlight w:val="none"/>
          <w:lang w:eastAsia="zh-CN"/>
        </w:rPr>
        <w:t>疏勒县居民安防治理体系建设项目</w:t>
      </w:r>
    </w:p>
    <w:p w14:paraId="2ADF88C1">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right="0" w:rightChars="0" w:firstLine="417" w:firstLineChars="167"/>
        <w:textAlignment w:val="baseline"/>
        <w:rPr>
          <w:rFonts w:hint="default" w:ascii="黑体" w:hAnsi="黑体" w:eastAsia="黑体" w:cs="黑体"/>
          <w:color w:val="auto"/>
          <w:spacing w:val="5"/>
          <w:sz w:val="24"/>
          <w:szCs w:val="24"/>
          <w:highlight w:val="none"/>
          <w:lang w:val="en-US" w:eastAsia="zh-CN"/>
        </w:rPr>
      </w:pPr>
      <w:r>
        <w:rPr>
          <w:rFonts w:hint="eastAsia" w:ascii="黑体" w:hAnsi="黑体" w:eastAsia="黑体" w:cs="黑体"/>
          <w:color w:val="auto"/>
          <w:spacing w:val="5"/>
          <w:sz w:val="24"/>
          <w:szCs w:val="24"/>
          <w:highlight w:val="none"/>
          <w:lang w:val="en-US" w:eastAsia="zh-CN"/>
        </w:rPr>
        <w:t>服务地点：</w:t>
      </w:r>
      <w:r>
        <w:rPr>
          <w:rFonts w:hint="eastAsia" w:ascii="黑体" w:hAnsi="黑体" w:eastAsia="黑体" w:cs="黑体"/>
          <w:color w:val="auto"/>
          <w:sz w:val="24"/>
          <w:szCs w:val="24"/>
          <w:highlight w:val="none"/>
          <w:lang w:val="en-US" w:eastAsia="zh-CN"/>
        </w:rPr>
        <w:t>疏勒县</w:t>
      </w:r>
    </w:p>
    <w:p w14:paraId="6C77AD32">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right="0" w:rightChars="0" w:firstLine="417" w:firstLineChars="167"/>
        <w:textAlignment w:val="baseline"/>
        <w:rPr>
          <w:rFonts w:hint="eastAsia" w:ascii="黑体" w:hAnsi="黑体" w:eastAsia="黑体" w:cs="黑体"/>
          <w:color w:val="auto"/>
          <w:spacing w:val="8"/>
          <w:sz w:val="24"/>
          <w:szCs w:val="24"/>
          <w:highlight w:val="none"/>
          <w:lang w:val="en-US" w:eastAsia="zh-CN"/>
        </w:rPr>
      </w:pPr>
      <w:r>
        <w:rPr>
          <w:rFonts w:hint="eastAsia" w:ascii="黑体" w:hAnsi="黑体" w:eastAsia="黑体" w:cs="黑体"/>
          <w:color w:val="auto"/>
          <w:spacing w:val="5"/>
          <w:sz w:val="24"/>
          <w:szCs w:val="24"/>
          <w:highlight w:val="none"/>
          <w:lang w:val="en-US" w:eastAsia="zh-CN"/>
        </w:rPr>
        <w:t>服务内容：本项目拟采购信息化系统集成与部署服务，包括：10个中心的综合布线及配套相关网络安全设施设备，业务平台加固，楼宇智能化系统集成部署，以及专业机房基础环境搭建。（具体详见招标文件）</w:t>
      </w:r>
    </w:p>
    <w:p w14:paraId="4DF5404D">
      <w:pPr>
        <w:pStyle w:val="10"/>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right="0" w:rightChars="0"/>
        <w:textAlignment w:val="baseline"/>
        <w:rPr>
          <w:rFonts w:hint="eastAsia" w:ascii="黑体" w:hAnsi="黑体" w:eastAsia="黑体" w:cs="黑体"/>
          <w:color w:val="auto"/>
          <w:spacing w:val="5"/>
          <w:sz w:val="28"/>
          <w:szCs w:val="28"/>
          <w:highlight w:val="none"/>
          <w:lang w:val="en-US" w:eastAsia="zh-CN"/>
        </w:rPr>
      </w:pPr>
      <w:r>
        <w:rPr>
          <w:rFonts w:hint="eastAsia" w:ascii="黑体" w:hAnsi="黑体" w:eastAsia="黑体" w:cs="黑体"/>
          <w:b/>
          <w:bCs/>
          <w:color w:val="auto"/>
          <w:spacing w:val="5"/>
          <w:sz w:val="28"/>
          <w:szCs w:val="28"/>
          <w:highlight w:val="none"/>
          <w:lang w:val="en-US" w:eastAsia="zh-CN"/>
        </w:rPr>
        <w:t>二、项目需求及服务内容</w:t>
      </w:r>
      <w:r>
        <w:rPr>
          <w:rFonts w:hint="eastAsia" w:ascii="黑体" w:hAnsi="黑体" w:eastAsia="黑体" w:cs="黑体"/>
          <w:color w:val="auto"/>
          <w:spacing w:val="5"/>
          <w:sz w:val="28"/>
          <w:szCs w:val="28"/>
          <w:highlight w:val="none"/>
          <w:lang w:val="en-US" w:eastAsia="zh-CN"/>
        </w:rPr>
        <w:t xml:space="preserve">： </w:t>
      </w:r>
    </w:p>
    <w:tbl>
      <w:tblPr>
        <w:tblStyle w:val="24"/>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238"/>
        <w:gridCol w:w="5496"/>
        <w:gridCol w:w="486"/>
        <w:gridCol w:w="766"/>
      </w:tblGrid>
      <w:tr w14:paraId="1A45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名称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snapToGrid w:val="0"/>
                <w:color w:val="auto"/>
                <w:kern w:val="0"/>
                <w:sz w:val="22"/>
                <w:szCs w:val="22"/>
                <w:highlight w:val="none"/>
                <w:u w:val="none"/>
                <w:lang w:val="en-US" w:eastAsia="zh-CN" w:bidi="ar"/>
              </w:rPr>
              <w:t>服务内容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F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数量</w:t>
            </w:r>
          </w:p>
        </w:tc>
      </w:tr>
      <w:tr w14:paraId="0DF9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1楼阶梯演出室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3CAC">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978B">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4A6">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3BF">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24A8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1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室内LED全彩屏P1.5</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规格P1.5室内表贴节能全彩LED屏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显示屏尺寸11.52m*4.8m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▲1、像素点间距 1.53±0.05mm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2、像素构成1R1G1B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3、像素密度  单元大小为320mm×160mm的像素密度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4、结构LED显示屏显示部分结构可采用钢、铝、镀锌方管、塑料等材料，结构安全坚固。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5、外观质量  无变形、无色差；LED显示屏的外表面无明显划痕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6、显示效果  4K超清显示、色温均匀性好、亮度匀性好，对比度高、色域广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7、驱动方式  恒流驱动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8、控制方式  同步控制系统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9、供电方式  支持电源均流DC4.2V～DC4.5V供电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10、维护方式 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11、整屏平整度 ≤0.05mm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12、模组平整度 ≤0.03mm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13、拼接缝  ≤0.03mm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14、套件材质 采用聚碳酸酯和玻璃纤维材质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15、模组结构 灯驱合一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16、单元板分辨率 208*104=21632Dots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17、驱动芯片功能 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18、调节软件设置项 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19、PCB板材  采用玻璃化温度≥150℃的覆铜板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20、人眼视觉舒适度  VICO指数≤1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21、亮度 ≥750Cd/m²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22、亮度均匀性 ≥98%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23、亮度鉴别等级 依据SJ/T11141-2017 5.10.6规定；C级，Bj≥20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24、亮度调节  支持亮度调节功能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25、色坐标  X、Y坐标符合SJ/T11141-2017 5.10.5规定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26、色度均匀性 ±0.002Cx、Cy内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27、宽色域  ≥120% NTSC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28、色温  1000-18000K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29、色温误差 色温为6500K时，100%、75%、50%、25%四档电平白场调节色温误差≤200K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30、水平视角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31、垂直视角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32、对比度  ≥7500：1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33、灰度等级 采用16bit技术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34、显示颜色 ≥281.4trillion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35、低亮高灰 亮度为10%时，信号处理深度（灰度级数）达到14bit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36、低亮高刷 亮度为10%时，刷新率达到3840Hz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▲37、刷新率  刷新率≥3840Hz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38、像素失控率 &lt;0.01%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39、发光点中心偏距 ＜1%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40、反光率  反光率≤1.5%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41、画面延时 ≤500ns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42、衰减率  ≤10%（工作3年）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43、噪声  1m范围内，测试4个位置（前后左右）噪音不大于2dB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44、信噪比  ≥47dB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45、换帧频率 60Hz，支持120Hz等3D显示技术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46、峰值功耗 ≤400W/m²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47、平均功耗 ≤200W/m²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48、供电电源 在4.2*（1±10%）VDC～4.5*（1±10%）VDC范围内能正常工作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49、工作频率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50、输入电压 4.2±0.1V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51、最大电流 ≤5A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52、电流增益 电流增益调节范围：1%～199%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53、能耗对比 对LED显示屏进行节能对比，达到能效一级标准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54、抗电强度 在器具输入插座端与屏正面之间施加试验电压3kv/50Hz，保持1min，不应出现飞弧和击穿现象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55、绝缘电阻 在器具输入插座端或者电源引入端子与外壳裸露金属部件之前的绝缘电阻在正常大气条件下应≥100MΩ，湿热条件下应≥2MΩ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56、模组表面绝缘 绝缘电阻应为5000MΩ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57、漏电流  ≤0.5mA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58、能源效率 ≥2.4cd/W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59、睡眠功耗 ≤100 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60、机械强度 ≥30Mpa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61、抗拉强度 230Mpa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62、屈服强度 170Mpa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63、纵向拉伸承载力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64、衡向拉伸承载力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65、统一管理 可对所有LED显示模块进行统一管理，设置亮度、色温、灰度等参数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66、校正功能 具有单点亮度/颜色校正功能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67、亮暗线调整 采用高端芯片，可去除亮、暗线，可从软、硬件两方面彻底改善LED安装精度造成的亮、暗线问题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68、图像处理 具备视频降噪、运动补偿、色彩变化等图像处理功能。支持软件实现不同亮度情况下，灰度8-16bit任意设置；0-100%亮度时，8-16bit任意灰度设置。支持100%亮度时，16bit灰度；20%亮度时，12bit灰度。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69、图像补偿 具备视频降噪、运动补偿、色彩变换等图像处理功能；具有亮度/对比度/色度调节/视觉修正等图像调整功能；LED显示屏图像无失真现象。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70、图像质量 LED显示屏图像质量主观评价优、支持4K超清技术、HDR高动态光照渲染技术；符合LED显示屏绿色健康分级认证技术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71、数据备份 数据记忆储存于LED显示模块箱体中，更换箱体设备时，无需重新设定参数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72、失真效果检测 显示画面无几何畸变、扭曲、比例失调情况，无亮度、色温非线性失真。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73、自检技术  可实现LED单点检测，通讯检测、温度检测、电源检测、温度监控等功能。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74、SELV电路  具备SELV电路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75、温度检测功能 具有多点测温系统、通讯检测、电源检测、可实现远程监督控制，对可能发生的潜在故障记录日志，并向操作员发出警报信息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76、智能节能  产品采用高端芯片，可智能调节正常工作与睡眠状态下的节能效果（动态节能，智能息屏）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77、热插拔 LED显示屏支持工作状态下热插拔维护功能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78、显示功能特性 LED显示屏应有图文显示、动画和可放映视频信息功能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79、防护性能  具有防静电、防电磁干扰、防腐蚀、防虫、防潮、抗震动、抗雷击等功能；具有电源过压、过流、断电保护、分布上电措施、防护等级达到IP50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80、振动检测  频率循环范围：（5～55～5）Hz，振幅值：0.19mm，扫频速率：5min/次，方向：互相垂直的两个方向，循环次数：二次；试验结束后，产品能正常工作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81、防碰撞      具备防碰撞焊盘技术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82、连续工作时间 连续工作时间：≥7×24hrs，支持连续不间断显示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83、老化稳定检测 LED显示屏通过在正常环境下168h不间断运行无故障的老化测试，试验结束后，产品能正常工作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84、使用寿命  ≥100000h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85、平均无故障时间 MTBF平均无故障时间≥20000h；MTTR平均修复时间≤20分钟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86、屏幕温升  最高亮度（白平衡）持续工作4小时，模组表面温升小于20K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87、高温负荷工作 样品状态：通电工作，试验温度：80℃，试验时间：12h，试验结束后，产品能正常工作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88、低温负荷工作 样品状态：通电工作，试验温度：-40℃，试验时间：12h，试验结束后，产品能正常工作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89、高温存储  样品放入试验箱中，试验箱内温度80℃，存放48h，无异常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90、低温存储  样品放入试验箱中，试验箱内温度-40℃，存放48h，无异常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91、恒定湿热  样品状态：通电工作，试验温度：85℃，相对湿度：85%，试验时间：168h，试验结束后，产品能正常工作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92、湿热负载  LED显示屏最高工作环境温度下，相对湿度87%-93%，通电工作12h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93、自动gamma设置 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94、光生物安全检测 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95、盐雾  符合盐雾10级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96、阻燃  PCB板、防火保护外壳及内部其他元器件均达到V-0等级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97、冷热冲击 低温：-40℃，时间：0.5h，高温：100℃，时间：0.5h，转换时间：（3-5分钟）min，试验周期：上述试验为1个循环，试验进行200循环，样品状态：非工作状态；试验结束后，产品能正常工作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98、高低温循环 低温：-40℃，时间：0.5h，高温：80℃，时间：0.5h，转换时间：（3-5分钟）min，试验周期：上述试验为1个循环，试验进行200循环，样品状态：工作状态；试验结束后，产品能正常工作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99、点对点电阻A面 1x10^5～1x10^9Ω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100、点对点电阻B面 1x10^5～1x10^9Ω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101、静电电压衰减期 （±1000-±100V）≤2S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102、摩擦起电电压 ≤100V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103、电磁兼容/干扰 符合Class B标准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104、抗紫外线UV  暴露周期8h干燥、4h凝露，使用UVA340灯，辐照度0.76W/M2，干燥时，黑标温度：60℃，8h，凝露时，黑标温度：50℃，4h；试验结束后，样品表面无明显变化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105、抗干扰  符合IEC801规定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106、安全性  符合GB4793规定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107、一键点屏  支持一键点屏技术，开机后自动识别系统连接，无需重置系统配置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108、一键调试  支持联网一键下载程序文件和调试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109、箱体拼接设计 自动对位设计；具有拼缝微调功能；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110、箱体防护等级 IK10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111、箱体材质  镁合金/压铸铝/铁箱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112、箱体前后厚度 ≤85mm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113、支持采用电源双备份，两个电源互为备份方式，任一电源故障不影响屏体正常工作；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114、支持采用双系统备份，两套发送卡和两套接收卡互为备份方式，任一套发送卡和接收卡故障不影响屏体正常显示。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115、支持采用双电力备份，可以同时接入2路电力供电互为备份方式，任一电力故障不影响屏体显示；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116、电源具备PFC功能，功率因素≥0.95；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7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55.3</w:t>
            </w:r>
          </w:p>
        </w:tc>
      </w:tr>
      <w:tr w14:paraId="0234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F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C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246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8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0D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1.最大功率：60KW；最大电流：125A（3相）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2.输出路数：18路；每路输出电流：25A；每路输出功率：3.5KW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3.输入电压：380V；输出电压：220V（单相）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4.控制方式：手动按键启动，自动为网口与485远程控制，中控控制(第三方控制)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5.报警功能：温度，烟雾远程监控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6.具有防雷、分步启动过流、过压、欠压保护功能。（防雷功能需选配）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7.支持多台配电柜联控，联动，可以设置区域一键全开，一按键全关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8.能实现对LED显示屏的远程控制上电，实现多时段智能定时开关屏电源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C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0A0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C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4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1.采用箱体+插卡卡槽设计，输入槽位≥9，输出槽位≥9，输入输出板卡支持热插拔。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2.采用模块化设计，采用FPGA架构，无内嵌操作系统，内部自建核心运算机制，图像处理性能优异。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3.支持任意分辨率输出，4K输出卡最高支持分辨率4096x2160@30Hz，最宽支持4096像素点，最高支持3840像素点。2K输出卡最高支持分辨率1920x1200@60Hz，最宽支持2560像素点，最高支持1920像素点。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▲4.支持画面任意开窗、叠加、漫游、分割、缩放、切割、拉伸等操作；单个输出显示屏最多支持≥8窗口显示。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5.支持LCD、LED大屏拼接显示，输出画面可实现任意拼接显示。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6.通过客户端软件可实现信号切换、信号预览、拼接设置、场景调用、场景保存、场景预览、分辨率设置、恢复出厂设置等。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7.通过客户端设置≥4组独立显示输出屏，可自定义每组输出屏的分辨率。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8.支持信号连接检测、信号切换、信号预览、场景保存调用、自动轮巡，支持≥128个场景保存和调用。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9.支持高清底图显示，动态字幕功能设置。（选配高级控制卡）（提供功能界面截图佐证）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10.内置WEB人机交互界面控制，支持电脑、手机、平板等多种系统控制设备，且兼容多款浏览器。（选配高级控制卡）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以上所有指标项，须具有CMA、CNAS、ilac-MRA标识的第三方权威检测机构出具的检测报告，提供检测报告复印件。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由于软件决定着产品功能的完整性，要求软件具备《计算机软件著作权登记证书》，提供相关证书复印件以及在中国版权保护中心官网的查询结果截图。软件名称要求是“视频处理器文字图片编辑软件”或相近的软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D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013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输入</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8路HDMI</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输出</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16路HDMI</w:t>
            </w:r>
          </w:p>
          <w:p w14:paraId="53B75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插拔式模块化设计，可根据需求灵活选择机型</w:t>
            </w:r>
          </w:p>
          <w:p w14:paraId="0D2CE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业务模块支持智能风扇自动调温，确保系统稳定可靠</w:t>
            </w:r>
          </w:p>
          <w:p w14:paraId="3CBB1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支持HDMI信号输入输出</w:t>
            </w:r>
          </w:p>
          <w:p w14:paraId="2FAB6A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支持H.264/H.265编码，默认采用H.265</w:t>
            </w:r>
          </w:p>
          <w:p w14:paraId="2AE6C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解码支持H.265、H.264、MJPEG等主流的编码格式</w:t>
            </w:r>
          </w:p>
          <w:p w14:paraId="121A00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8路高清视频编码能力</w:t>
            </w:r>
          </w:p>
          <w:p w14:paraId="78C554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128路高清视频解码能力</w:t>
            </w:r>
          </w:p>
          <w:p w14:paraId="24CD6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3200 W高清视频解码</w:t>
            </w:r>
          </w:p>
          <w:p w14:paraId="10F45D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16个显示屏的任意大屏拼接</w:t>
            </w:r>
          </w:p>
          <w:p w14:paraId="13211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单输出口支持1/4/6/8/9/16/25画面分割显示</w:t>
            </w:r>
          </w:p>
          <w:p w14:paraId="0C06A0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支持开窗和漫游，最多支持256个窗口，单屏支持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4个1080p或者</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2个4K</w:t>
            </w:r>
          </w:p>
          <w:p w14:paraId="4FF91C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支持电视墙预览</w:t>
            </w:r>
          </w:p>
          <w:p w14:paraId="1B15C6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最大支持</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128个预设场景，用户可以自定义每个场景电视墙布局</w:t>
            </w:r>
          </w:p>
          <w:p w14:paraId="6D282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支持虚拟LED功能，最多添加字幕8个，单墙3个</w:t>
            </w:r>
          </w:p>
          <w:p w14:paraId="31389C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支持WEB方式访问和操作</w:t>
            </w:r>
          </w:p>
          <w:p w14:paraId="30A57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支持ONVIF协议接入设备解码</w:t>
            </w:r>
          </w:p>
          <w:p w14:paraId="1817B5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支持GB28181协议接入平台实现管理和操作</w:t>
            </w:r>
          </w:p>
          <w:p w14:paraId="7926F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支持选中取流成功的窗口操作远程云台功能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C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B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07F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B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大屏接电</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4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大屏配电柜所需电源线缆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3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E6D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F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线阵音箱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B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单元组件：LF:10"汝磁×2/HF:φ44汝磁×2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频率响应(±3dB)：65Hz--20KHz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灵敏度(1m/1W)：104dB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最大声压级(1M):134dB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功率（连续/峰值）:600W/1200W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指向性（H×V）：120°×8°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标称阻抗：16Ω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输入方式：NL4×2，+1 -1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49FB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线阵音箱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0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▲单元组件：LF:18"×1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频率响应(±3dB)：35Hz--400Hz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灵敏度(1m/1W)：98dB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最大声压级(1M):123dB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功率（连续/峰值）:700W/1400W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标称阻抗：8 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输入方式：NL4×2，+1 -1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E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230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9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吊架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SLA265 、SLAsub15，配4只U形扣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E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F3A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0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手动吊葫芦</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1吨12米手动吊葫芦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F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6A7E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2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额定输出功率：8Ω立体声1000W×2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额定输出功率：4Ω立体声1600W×2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额定桥接输出功率：8Ω桥接3000W              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灵敏度:0.775V/1.0V/1.2V/1.4V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输出级：Class-2H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35F9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额定输出功率：8Ω立体声1300W×2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额定输出功率：4Ω立体声1900W×2                           额定桥接输出功率：8Ω桥接3800W               </w:t>
            </w:r>
          </w:p>
          <w:p w14:paraId="26BF9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灵敏度:灵敏度20dB、23dB、26dB、29dB、32dB、35dB、38dB、41dB (八种可选）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输出级：Class-TD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4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9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017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2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全频音箱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5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L:220磁3""(100mm)音圈铝架,进口纸盆.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H:170磁3""(75mm)进口钛膜音圈.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18mm优质桦木夹板,喷涂黑色耐磨打点涂料,保证最佳硬度和稳定性.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梯形箱体设计,配备有单孔35mm铝合金底座, M8吊挂系统,支援各种使用环境.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适用:中小型现场扩声,演艺俱乐部,Club个人演唱,室外流动演出等.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单元组件:LF:15"×1/ HF:φ75mm×1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频率响应(±3dB):43Hz—18.5kHz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灵敏度(1m/1W):100dB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最大声压级(1M):131dB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功率（连续/峰值）:550W/1100W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指向性（H×V）:70 °×40°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输入方式:NL4×2，+1 -1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265E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4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音箱壁挂件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适合于MA、PDF、EF 系列、最大承重30KG</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2DE1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D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额定输出功率：8Ω立体声800W×2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额定输出功率：4Ω立体声1300W×2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额定桥接输出功率：8Ω桥接2600W              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灵敏度:0.775V/1.0V/1.2V/1.4V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输出级：Class-2H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8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3A39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D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E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超低音音箱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1.有效频率范围(-10dB)：38Hz-250Hz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2.喇叭单元:1×18"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3.额定阻抗(±20%): 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4.音箱功率: 600W(AES),2400W(PEAK)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5.特性灵敏度级(±2dB): 100dB/w/m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6.指定频带内的声压级: ≥128dB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7.总谐波失真：≤1%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8.插座:2×NL4 speakon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9.安装方式：落地式、顶托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10.箱体材料：木质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1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0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2E7E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2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F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E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额定输出功率：8Ω立体声1300W×2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额定输出功率：4Ω立体声1900W×2                           额定桥接输出功率：8Ω桥接3800W               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灵敏度:灵敏度20dB、23dB、26dB、29dB、32dB、35dB、38dB、41dB (八种可选）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输出级：Class-TD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ABD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全频音箱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8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xml:space="preserve">L:170磁65芯/H:120磁44芯.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采用15mm优质中纤板,喷涂黑色耐磨打点涂料,保证最佳硬度和稳定性,配备有单孔35mm铝合金底座, M8吊挂系统,支援各种使用环境.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应用领域:中小型现场扩声,演艺俱乐部,Club个人演唱,教堂,室外流动演出,多功能厅等.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配搭建议:使用者可根据现场的需求,配搭S系列/B系列超低音扬声器组合使用!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单元组件:LF:12"×1/ HF:φ44mm×1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频率响应(±3dB):50Hz--17kHz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灵敏度(1m/1W):98dB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最大声压级(1M):129dB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功率（连续/峰值）:350W/700W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指向性（H×V):90°×60°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输入方式:NL4×2，+1 -1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0394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9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D1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额定输出功率：8Ω立体声600W×2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额定输出功率：4Ω立体声1050W×2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额定桥接输出功率：8Ω桥接1950W              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灵敏度:0.775V/1.0V/1.2V/1.4V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输出级：Class-2H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9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ADF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A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D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返听音响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COX-M系列是无源两分频同轴结构全频扬声器，使用特制同轴结构单元，其物理定位接近于点声源,没有了相位差。配合精心设计的分频网络,在声音上有着精确的声像定位，极好的解析度以及号角单元强劲的爆发力和低频单元大动态的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精心设计的箱体和定制的配件,选用优质多层桦木胶合板制作,榫卯结构拼接,确保更佳的硬度和稳定性,超紧凑型设计,体积小而声压大,表面喷涂耐磨哑光黑色涂料,蜂窝式铁网内贴有防尘透声海绵，整体观感让人耳目一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同于传统的多功能扬声器，COX-M是专为专家级表演者开发的地面返送扬声器，底部装备1个35mm铁质支撑底座，使用支撑杆可与本家族的超低音箱配合使用。箱体表面配备有丰富的M8多点吊挂，支援用户的各种应用环境,能更好地满足各种演出和固定安装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应用场合: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各种流动演出扩声场合,各种固定安装场合，舞台的前台返送，乐队返送，小型演出的主扩音箱，以及大型演出的前区补声。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单元组件：LF:12"×1/ HF:75mm×1同轴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频率响应(±3dB)：67Hz--19kHz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灵敏度(1m/1W)：97dB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最大声压级(1M):127dB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功率（连续/峰值）:350W/700W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指向性（H×V）： 80°×80°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输入方式：NL4×2，+1 -1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303C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C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F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额定输出功率：8Ω立体声600W×2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额定输出功率：4Ω立体声1050W×2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额定桥接输出功率：8Ω桥接1950W              电源要求：AC220V (可以定制AC110V)电压范围AC190v-250v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结构：2U金属机箱设计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频率响应：20Hz-20kHz:  +/-1dB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灵敏度:0.775V/1.0V/1.2V/1.4V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信噪比：≥100dB（A计权）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阻尼系数:（≥300@8ohms）                    转换速率:25V/US                                输入阻抗：平衡20K 非平衡10K                 通道隔离度：60dB@8ohms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输出级：Class-2H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LED指示灯：电源/信号/失真/削波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输出连接器：SPEAKON,接线柱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保护功能：过热，过载，短路，直流输出保护，软起动，冲击限幅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097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A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调音台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产品参数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26个通道TFT液晶引导显示，通道名字及背景颜色可自定义编辑（支持中文）。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MIC输入增益调节（平滑的数字增益，参与保存到场景）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Mic输入通道（Linked）奇偶联调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+48V幻象电源（MIC通道均可独立打开关闭,参与保存到场景）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每个输入通道都内置压限器，噪声门，相位，高低通滤波器，5段参量均衡，延时，通道声像平衡调节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通道参数快速拷贝功能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各通道均设有多功能菜单，哑音和监听</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▲通道均设有行程100MM电动推杆（≥26个ALPS电动推子）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输入输出及效果通道独立物理推子控制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各通道推子支持用户自定义层功能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两个推子层翻页按键(输入翻页，输出及效果固定推子，操作更方便快捷)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支持通道侧链压缩闪避功能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8个可自定义的物理按键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13个DCA编组，13个静音编组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每个通道独立的反馈抑制器管理，有效抑制啸叫</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自带信号发生器（粉红噪音/正玄波/白噪声），可自定义从任何一个或者多个输出通道输出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自带实时频谱RTA功能（颜色可编辑）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支持双机同步数据备份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通道以及场景编辑支持中文输入法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集成自动混音功能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支持对讲话筒（Talback）功能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支持MIDI接口输入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•AUX输出（推子前/后）可设置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输出通道处理:高低通滤波，15段参量均衡,主输出31段（GEQ支持通过在推子上操控），压缩器，延时，相位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USB 8*8多轨录音功能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内置声卡（手机、IPAD、MP3、PC直接播放、录音）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8个快捷场景调用模式，100个场景存储, 可自定义场景名字，支持中文输入，场景无缝切换，不会断音，支持U盘导入导出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本地内置4个独立的DSP效果器，预设多种效果模式供用户直接使用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FX脚踏开关接口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12V输出接口，可外接照明设备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可一键恢复出厂设置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支持232中控控制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支持电脑PC,手机，平板无线控制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支持有线网口调节（或外接路由器无线调节）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10.1寸1280*800高清电容触摸显示屏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5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0B7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8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A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数字音频处理器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A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4路SONA™ AEC话筒\线路输入和4路话筒\线路输出,USB音频8路任意组合输入输出，2路VoIP电话，1路PSTN电话，128x128路AVB 网络扩展，TESIRA服务器设备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6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6553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C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AVB交换机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7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8口1G PoE+端口，提供共240W的PoE全功率输出，2个独立的1G上行接口，2个独立的SFP+光口 10G上行端口 AV交换机，支持Dante / AVB / Q-SYS / AES67 / NDI / JPEG / H.265 / PTP / SDVoE等音视频协议 提供专用的AV可视化配置UI，以及即插即用的全AV功能 * 含AVB许可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A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9A0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7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光模块</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封装类型 SFP 传输速率 1000Mbps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波长 1310nm 最远传输距离 10km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 LC 双工 激光器类型 FP 1310nm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光纤类型 单模SMF 数据诊断（DOM） Yes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发射光功率 -9.5 ~ -3dBm 接收灵敏度 &lt; -23dBm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商业温度 0~70°C (32~158°F) 协议 SFF-8472 MSA, IEEE 802.3ah-2004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0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6CE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3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6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接口箱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1E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▲1：Dante转换器具有≥16通道模拟线路输入/输出，兼容Dante协议。支持构建高度稳定和灵活的系统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2：每路模拟输入支持独立的48V幻像供电控制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3：每路输入支持独立的反馈抑制功能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4：2寸TFT彩色显示屏，实时显示输出输出状态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5：输出输出独立7段参量EQ调节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6：一主一备双网口连接可用于构建具有双网络的多冗余系统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7：支持USB以及网络连接PC调试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8：Dante Controller可实现灵活的路由配置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9:输入输出各配备16个凤凰插接口，方便连接其他接线设备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D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35E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0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音视频信号处理服务器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D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带4.5寸触摸屏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模拟输入通道：16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模拟输出通道：16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21489@450 MHz SIMD；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DSP处理能力:400 MIPS，1.6 GFLOPS;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采样率:48 kHz，± 100 ppm;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THD+N:&lt;-100dB @17dBu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1路RS232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1路RS485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内置两进两出的USB声卡，支持音乐播放、录制和软视频会议（如：ZOOM，腾讯会议，钉钉会议等）;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总线式AEC，尾长时间：512ms，收敛率：60dB/S, 回声消除幅度：60dB；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独立通道的AFC（反馈抑制），采用陷波式算法，传声增益提升幅度：10dB;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噪声抑制（ANS），信噪比提升18dB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8段英式参量均衡，提供5种滤波器选择：Parametric,Lowshelf,Highshelf,Lowpass,Highpass；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提供终端用户订制操作界面，最大支持30台设备同一个界面管理；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具有中央控制功能，可对系统中的电源、信号切换、环境控制、音频等整体控制，实现一键开启系统所需要的功能。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需提供自定义的用户操作界面；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需内置2x2USB声卡，支持录播和远程会议；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处理器芯片采用ADI 架构，不低于40bit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模拟输入输出通道数量不少于8*8；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输入输出量化不低于48KHz/24bit；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 ，且提供不低于五种滤波器类型选择；</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增益共享自动混音(AMC)、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自动增益(AGC);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每个通道应不低于8个点的自适应反馈抑制（AFC）；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不低于8段PEQ,分频器、延时器、限幅器。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不低于14 x10 矩阵；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不低于16组预设；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不低于4组GPIO</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支持输入输出通道LINK和分组功能；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频率响应范围不低于20～20kHz (±0.5dB)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THD+N:&lt;-100dB @17dBu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采样率/量化位数：48K/24bit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模拟输入、输出通道数量:8 x 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输入增益:0/6/12/18/24/30/36/42/48dB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幻象电源:+48V/10mA max</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频率响应(20~20kHz):±0.5dB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最大电平:+18dBu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THD+N:&lt;-100dB @17dBu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通道隔离度 @1kHz:108dB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输入阻抗(平衡接法):5.4KΩ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输出阻抗(平衡接法):600Ω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系统延时:&lt;3ms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工作电源:AC 220V,50Hz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1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296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反馈抑制器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简介：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它采用回音抵消和消除混响的算法，有效滤除房间混响，从而实现消除声学反馈的目的。通过添加屏蔽噪音（听不到的噪声）到输出信号，或将输出信号的频率变动 5 Hz，反馈抑制器可以检测出信号中导致混响的成分，并在反馈出现之前将其除去，同时保持初始信号完好无损。输入通道数量:4通道(4通道平衡线路/话筒输入或者选择4通道6.35非平衡输入).提供48V幻像供电开关选择模组,可为4支麦克风提供电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特性和优点：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1.消除反馈于未然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2.自动适应声学环境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3.多达 12 dB 附加增益，有效预防反馈发生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4.4通道平衡的线路或话筒输入，提供幻象电源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5.自适应性过滤器可以在“快速”模式和“精确”模式之间进行转换。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6.快速模式适用于话筒位置经常变化的场合: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例如，在配有多个转换话筒的讨论系统中。精确模式适用于话筒位置固定的场合。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例如，声学环境比较复杂的讲坛。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自适应性过滤器能够以较慢的速度收敛，从而抑制更多的混响成分。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7.在声学反馈发生之前，可以额外获得多达 12dB 的增益，具体取决于声学环境和所选的操作模式。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8.内置了自动混合器，以实现4路话筒输入。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许多情况下，如在演讲台、讲坛或会议桌上，采用4个话筒可以更好地捕捉正在移动中的演讲者的声音，而这样常常会增加声学反馈的风险。</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鉴于这一问题，反馈抑制器中的自动混合器将会自动降低信号输入较弱的那个话筒的增益，同时提高信号输入较强的另一个话筒的增益。</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1．超宽频响电路技术，无变音，无金属尾音，强力抑制回声。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2．数字移频技术，超强防啸叫，声音圆润稳定，无发飘和发干等现象。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3．超级稳定：内置晶体振荡，软件算法，稳定性能好，受温度和外界干扰很小。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4．可根据应用场合定制合适音频频谱，从而大幅度提升系统增益。</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输入通道数量: 4通道(4通道平衡输入或者选择4通道6.35非平衡输入)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供电电压: 4通道48V幻像供电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额定电压: 220V±10% 50Hz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取样频率: 48KHz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 125Hz~15KHz(语音模式)     20Hz~15KHz (音乐模式)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失真度: &gt;0.1%@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 &gt;90dB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信号延迟: 7Ms (音乐模式)     11MS (语音模式)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 20K 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 (平衡)200ohm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温度范围: -10~55℃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4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4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D71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C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电源管理服务器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D8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1.2吋彩色液晶智能显示窗，实时显示当前电压、日期时间，通道开关状态；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2.定时开关机功能，内置时钟芯片，可根据日期时间设定，无需人为操作，让设备管理更简单；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3.8路通道输出，每路延时开启和关闭时间可自由设置（范围0~999S）；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4.10组设备开关场景数据保存/调用，场景管理应用简单便捷；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5.特设欠压、超压检测及报警功能，为您的设备提供了可靠的保障，总功率7000W，单路最大功率2000W；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6.RS485接口支持多台设备级联控制，级联状态可自动检测及设置；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7.配置RS232,支持外部中央控制设备控制；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8.可实现远程集中控制，每台设备自带设备编码ID检测和设置；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9.支持面板Lock锁定功能，防止人为误操作；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10.自适应RJ45网络口，自动加入局域网，使用电脑端软件控制或者使用安卓手机APP实现远程控制；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适用场所： 大型多媒体会议厅、多功能厅、培训中心、多媒体教室、高级别墅、智能家居等。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4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1AA2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0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数字会议服务系统</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数字会议服务系统可适配以下硬件要求：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具备会议服务功能，发言单元可申请纸笔、茶水、人员等服务；具备IP网络视像跟踪功能，通过NET网口可控制局域网内IP网络摄像机的联动；可配备IP网络双机热备份功能，通过IP网络实现自动同步主机参数和自动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2．具备独立调节每个单元的麦克风发言增益大小功能，通过单元自带按键和PC软件均可调节；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3．可选配4进1出HDMI高清无缝切换模块；</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4．可选配DANTE网络音频传输模块；</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5．配备4.3寸IPS电容触摸屏，高清480*800分辨率；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6．主机触屏具备在线设置与修改单元身份功能，可根据需求设为主席单元(VIP)、代表单元；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7．具备会议服务、视像跟踪和会议讨论功能；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8．具备1路NET网络接口、1路XLR音频平衡输出、1路音频非平衡输出、2路LINE输入、2路LINE输出；可选配USB接口、DSP模块；</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9．具备2路可编程中控COM接口，支持代码编程，支持矩阵切换控制；支持与广播系统联动；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10．具备1路IP网络、1路232和1路485摄像机控制端口，支持VISCA和Pelco P/D协议；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11．具备8DIN会议单元接口*4路、RJ45会议单元接口*6路(3组)，共10路会议单元接口；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12．具备先进先出、数量限制、开放发言和主席模式(申请发言)等多种会议模式，所有发言模式下均可实现发言计时和发言倒计时(限时发言)功能；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13．具有TCP/IP网络协作管理功能，会场坐席名称和布局示意图均可具有通过管理软件进行显示和修改；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14．支持环形手拉手、T型手拉手、一线式手拉手等各种连接方式；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15．具备抗RF干扰技术，杜绝手机信号干扰；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16．主机供电 AC110V-220V/50Hz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17．频率响应20Hz-20kHz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18．信噪比 S/N ＞96dBA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19．总谐波失真 T.H.D ＜0.05%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F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F9B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B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A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4.0寸触屏会议主席/代表单元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▲1．配备≥4.0寸IPS电容触摸屏，高清480*480分辨率；可配备模拟备份输出接口；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2．具备麦克风发言增益调节功能，每只单元可独立调节，互不影响；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3．具备会议服务功能，可申请茶水、纸笔、人员等服务；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4．具备发言计时和发言倒计时功能；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5．主席单元正面具备3个按键(优先键、发言键、批准键)，主席单元可批准代表的发言申请功能；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6．具备屏保设置和取消屏保功能，内置6组屏保图片，并支持定制用户徽章和单位名称屏保图；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7．具备会议服务、视像跟踪和讨论发言功能；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8．具备身份、日期、时间、音量、ID编号等显示功能；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9．内置φ14mm心形指向性驻极体双金膜拾音咪芯；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10．配备无声的实体按键，可选配触摸式按键；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11．配备220mm连体式金属方柱咪杆；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12．主席单元不受发言人数限制，具备控制会议秩序的优先功能；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13．可选配8芯线接口或RJ45网线接口；可选配3.5mm耳机接口；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14．具备防RF干扰技术，防止手机等电子产品的干扰；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15．灵敏度 -46 dBV/Pa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16．频率响应 20Hz~20KHz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17．话筒最大声压级 125 dB (THD&lt;3%)</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18．总谐波失真 T.H.D ＜0.05%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19．工作电压 DC24V (由会议主机供电)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D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A01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4.0寸触屏会议主席/代表单元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1．配备4.0寸IPS电容触摸屏，高清480*480分辨率；可配备模拟备份输出接口；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2．具备麦克风发言增益调节功能，每只单元可独立调节，互不影响；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3．具备会议服务功能，可申请茶水、纸笔、人员等服务；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4．具备发言计时和发言倒计时功能；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5．主席单元正面具备3个按键(优先键、发言键、批准键)，主席单元可批准代表的发言申请功能；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6．具备屏保设置和取消屏保功能，内置6组屏保图片，并支持定制用户徽章和单位名称屏保图；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7．具备会议服务、视像跟踪和讨论发言功能；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8．具备身份、日期、时间、音量、ID编号等显示功能；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9．内置φ14mm心形指向性驻极体双金膜拾音咪芯；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10．配备无声的实体按键，可选配触摸式按键；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11．配备220mm连体式金属方柱咪杆；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12．主席单元不受发言人数限制，具备控制会议秩序的优先功能；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13．可选配8芯线接口或RJ45网线接口；可选配3.5mm耳机接口；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14．具备防RF干扰技术，防止手机等电子产品的干扰；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15．灵敏度 -46 dBV/Pa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16．频率响应 20Hz~20KHz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17．话筒最大声压级 125 dB (THD&lt;3%)</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18．总谐波失真 T.H.D ＜0.05%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19．工作电压 DC24V (由会议主机供电)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8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4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r>
      <w:tr w14:paraId="60AE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会议延长线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数字会议系统专用延长线缆；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常用规格为5米/10米/15米/20米/25米/30米/40米/50米/100米；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10F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0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D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地插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4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水泥地开槽埋管音频话筒地插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1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652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6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6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无线话筒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4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功能特点：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全新设计的EIA国际标准规格的金属机箱，双通道\四通道/八通道接收机。面板采用LED显示窗口，一目了然的显示各项功能与数据并以易于操作的电子音量旋钮取代传统复杂的按键操作。独家开发的高频高动态范围电路，提升互调动态之性能，数字导频,动态独立ID码大幅降低谐波干扰，以增加更多机器同时使用互不干扰的频道数。接收距离(空旷环境下) 约60~80米,具体距离示实际使用环境而定.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接收机技术参数: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通道数：双通道／四通道/八通道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调制方式：FM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灵敏度：输入6dBv时，S/N&gt;60Db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频带宽度：30MHz                                      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综合S/N比：&gt;105dB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综合T.H.D:&lt;0.7% @1KHz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供电：DC 12V~16V 10W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输出插座：XLR平行式及6.3非平行式插座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工作有效距离：60M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手持式技术参数: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振荡方式：PLL相位锁定频率合成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谐波幅射：&lt;-65dBm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频带宽度：120MHz                       音头：动圈式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RF功率输出：15MW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电池：AA*2                             电流消耗:&lt;90mA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连续工作时间:12小时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77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C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无线话筒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7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功能特点：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全新设计的EIA国际标准规格的金属机箱，双通道\四通道/八通道接收机。面板采用LED显示窗口，一目了然的显示各项功能与数据并以易于操作的电子音量旋钮取代传统复杂的按键操作。独家开发的高频高动态范围电路，提升互调动态之性能，数字导频,动态独立ID码大幅降低谐波干扰，以增加更多机器同时使用互不干扰的频道数。接收距离(空旷环境下) 约60~80米,具体距离示实际使用环境而定.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接收机技术参数: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通道数：双通道／四通道/八通道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调制方式：FM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灵敏度：输入6dBv时，S/N&gt;60Db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频带宽度：30MHz                                      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综合S/N比：&gt;105dB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综合T.H.D:&lt;0.7% @1KHz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供电：DC 12V~16V 10W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输出插座：XLR平行式及6.3非平行式插座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工作有效距离：60M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腰包式技术参数: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振荡方式：PLL相位锁定频率合成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谐波幅射：&lt;-65dBm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频带宽度：120MHz                       </w:t>
            </w:r>
          </w:p>
          <w:p w14:paraId="33723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音头：电容式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RF功率输出：15MW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电池：AA*2  电流消耗:&lt;90mA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连续工作时间:12小时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3483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天线放大器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一拖四天线放大器，最远距离达到400米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频率范围：500-950MHz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输入截断点：+22dBm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噪声比：4.0dB Type(Center Band)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增益：+6-9dB(Center Band)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输出阻抗：15dB min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阻抗：50Ω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频宽：450MHz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插座：BNC female</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电源供应：100-240V/50/60Hz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电源消耗：170mA</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E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C87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9F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 UHF频段传输信号，红外线对频，手动选频方便现场调试。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 采用稳定的PLL数位锁相环合成技术和智能数字线路，避免干扰频率;.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 使用频率范围：UHF 640MHz~690MHz，更适合广泛范围使用。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 四通道最多200信道接收信号，手持腰包通用，抗干扰能力强；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 各通道配备独有的ID号，增强抗干扰功能，最多支持6台同时使用（即6台接收机和24个发射器）；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 主机面板采用铝合金着色工艺，每个通道4个功能按键，实现多功能操作。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 四联屏LCD显示屏，显示工作信道、工作频点、RF接收信号、AF音频信号、锁屏指示、会议座实时电量，实时反馈系统工作状态，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 接收机配备4条橡胶接收天线，增强接收的信号，外观大方得体；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 背面设有4个平衡输出和1个混合非平衡输出，适合连接各种外置设备；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9.具有开关杂音消除电路，避免在开启开关时产生巨大的冲击响声，确保后级功放系统及扬声器的安全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10.具有一键自动搜空闲频点功能轻松选择干净频点。具有锁定按键功能，防止人为误操作。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11.会议座 200个信道中互通互用，尽显人性化的高新技术设计；(同一发射可在拖二、拖四、拖八中互通互用)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12.会议话筒内置可拆卸式高容量18650电池，底座自带TYPE-C充电接口，可直单独插电或边充电边使用，充满智能断电，安全放心，为您的长时间会议使用保驾护航。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13.会议底座内置静音功能按键，轻触实时显示静音或发言图标，长按开关机，防止多话筒使用引起的不必要啸叫。</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14.方管：全金属腔体+方管体设计, 可多方位拾音（可选可拆卸式鹅颈长杆）。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15.双向电量监测，会议座实时电量或欠压，主机直观显示。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16.搭配专用电容咪芯+采用自创音频处理技术，有效提高拾音距离及话语清晰度。中高频丰富, 动态范围大。声音且有磁和混厚感,人声突出，有更好的会议体验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17.使用距离: 空旷环境：80-100米      复杂环境：50-80米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18.适用于各种会议和演讲场合。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19.设备配送4节18650电池及4个TYPE-C充电器。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发射话筒参数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电源供应：DC 3.7（3.7V 18650）电池持续使用时间：10-15小时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邻频干扰比：&gt;80dB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话筒耗电量：120mA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音频动态范围：≥106dB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载波频率：UHF 640MHz-690 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类型：电容式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频率稳定度：±0.001%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极性模式：单一指向性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频率响应：20Hz-16KHz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信噪比：&gt;90dB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话筒拾音灵敏度：-32±3dB@1KHz（长管）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话筒拾音灵敏度：-35±3dB@1KHz（方管）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工作频率：：UHF 640MHz~690MHz,常用.（可根据不同国家地区使用定制频率）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信道数值：共200信道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调制方式：FM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信道间隔：250KHz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频率稳定度：±0.001%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动态范围：≥100dB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 大频偏：±30KHz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频率响应：40Hz～16KHz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综合信噪比：&gt;60dB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综合失真：&lt;0.5%@1KHz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工作距离：约100m（开阔地没有干扰的情况下）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工作环境温度：-10℃~50℃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A43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C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A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充电器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F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会议可选配充电套装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D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35D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1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1.摄像机需与同录主机同一品牌。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2.支持壁装、三脚架安装或吊顶安装等多种安装方式，可按用户需求进行安装。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3.图像传感器采用不小于1/2.8"CMOS图像传感器，支持1080p60、1080p50、1080p30、1080p25、720p60、720p50等高清信号输出。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4.支持不小于12倍光学变倍，支持不小于16倍数字变焦。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5.支持广角镜头，水平视角不小于80°。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6.视频输出接口具备HDMI、USB接口。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7.支持RS422控制接口，支持标准VISCA和PELCO协议，支持摄像机通过控制口实现菊花链控制。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8.支持网口 VISCA控制。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9.支持中英文OSD菜单，可在OSD中对摄像机进行设置。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10.水平转动范围：≥ ±170°，垂直转动范围：≥ -30°～30°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11.支持自带显示屏，可方便显示视频输出分辨率。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12.支持保存不少于255个预置位。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13.支持图像防抖功能，可实现图像防抖。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14.支持HDR高动态功能，支持图像抗闪烁功能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15.支持终端遥控器通过摄像机反向控制会议终端。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2FC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6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6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分体式终端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9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1.采用硬件分体式结构，非PC架构、非工控机架构。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2.终端采用国产嵌入式操作系统。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终端核心芯片采用国产化元器件，至少包括音视频编解码单元、CPU处理单元、视频输入输出芯片、音频输入输出芯片、可编程逻辑芯片、电源芯片、时钟芯片、专用安全芯片、内存存储芯片、闪存存储芯片等均采用国产化器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4.支持ITU-T H.320、H.323和IETF SIP、RTC通信标准，会议速率支持128Kbps－8Mbps。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5.支持H.264 BP、H.264 HP、H.265视频编解码协议。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6.支持G.711A-law、G.711µ-law、G.722、G.729、G.719、G.728、G.722.1C 、MPEG-4 AAC-LD、MPEG-4 AAC-LC、Opus等音频协议，可达到20KHz以上的宽频效果。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7.支持H.239、BFCP双流协议标准。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8.支持1080p60、1080p30、720p60、720p30高清分辨率，并向下兼容4CIF、CIF标清分辨率。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9.支持在较低的带宽下实现超高清视频效果，支持512Kbps呼叫带宽情况下可实现1080p60图像传输；支持384Kbps呼叫带宽情况下可实现1080p30fps图像传输。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10.在保证主视频1080p60fps前提下，辅视频可以支持到1080p60fps。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D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4516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7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落地三角支架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F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摄像机落地三角支架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1AB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视频会议地插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4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水泥地开槽埋管视频会议地插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6DB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30倍变焦会议摄像机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A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1.摄像机需与视频终端同一品牌。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2.支持壁装、三脚架安装或吊顶安装等多种安装方式，可按用户需求进行安装。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3.镜头图像传感器采用不小于1/1.9" 图像传感器，支持1080p60、1080p30、1080p25、720p60、720p50等高清信号输出。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4.支持不小于30倍光学变焦。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5.视频输出接口具备SDI、DVI、HDBaseT接口。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6.支持供电、显示、控制多线合一，只连接一根超五类网线实现供电、图像显示、摄像机控制，支持信号传输100米。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7.支持RS422控制接口，支持标准VISCA协议，支持摄像机通过控制口RS422实现菊花链控制，菊花链控制摄像机不小于7个。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8.支持中文OSD菜单，可在OSD中对摄像机进行设置。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9.水平转动范围：≥ ±160°，垂直转动范围：≥ -90°～50°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10.支持自带显示屏，可方便显示视频输出分辨率。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11.支持根据安装方向自动翻转图像。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12.支持保存不少于255个预置位。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13.支持ZigBee控制，支持360°控制、有遮挡物时也能正常控制。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14.支持终端遥控器通过摄像机反向控制会议终端。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15.提供产品RoHS证书复印件。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5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B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757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E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控制键盘</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31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1.控制键盘需与摄像机同一品牌。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2.视频会议键盘采用 CNC 铝面板细砂氧化上壳加 PC+ABS 底壳的全新设计，具有很强的操控性。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3.采用工业级液晶屏模组 ，显示效果出色，字符细腻清晰。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4.视频会议键盘支持 VISCA，PELCO 、PELCO-D 协议，扩展性强， 极易操作，只需要几步即可实现对视频会议摄像机的完美操控。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5.实现对会议摄像机的软件功能控制，具有中控功能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6.采用进口变速四维摇杆进行控制，手感舒适良好，扭动摇杆可直接控制会议摄像机全方位转动，镜头变焦放大缩小，根据摇杆控制的力度能变速控制，快慢节奏随及掌控。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7.采用船型开关的方式进行对会议摄像机的变焦调节，操作方便功能强大。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8.多达 7 个摄像机快捷控制按键，方便快速操作会议视频摄像机，极大的提高了多个摄像机来回切换控制的速度。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9.控制键盘需提供原厂售后质保承诺函（原厂盖章件）。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0B47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1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C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电脑</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i5-14400F DDR4 16G 1Tssd 5060TI_8G,23.8寸液晶显示器,键鼠一套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C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65A4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4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电动天花升降支架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电动吊架竹节伸缩吊装伸缩吊架4米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7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74C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6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7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55寸电视机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55英寸电视机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A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3674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电视机移动支架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0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电视支架(32-65英寸)移动支架电视支架落地带轮艺术推车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964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A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HDMI线缆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8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HDMI线2.0版4K数字高清线15米视频线工程级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C8F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2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明装线槽</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铝合金线槽明装线槽明线走线槽半圆弧形地线槽自粘背胶5号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r>
      <w:tr w14:paraId="0129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中控系统服务系统</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系统可适配以下硬件要求：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1、支持谷歌Android(安卓)系统无线触摸屏控制。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2、支持微软WindowsCE/XP/7/8系统有线/无线触摸电脑控制。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3、支持苹果iOS系统(iPad/iPhone)无线触摸屏控制。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4、支持一千米通讯距离的数字射频无线触摸屏控制。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5、支持有线触摸屏(墙面/台面)控制。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6、支持开机自动执行命令，约定时间执行命令。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7、主机具有4.3英寸显示屏，支持中英文显示。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8、采用667MHz主频的32位ARM内嵌式处理器。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9、512M DDR内存，2G Flash闪存。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10、面板具有多种数据灯，机器运行状态一目了然。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11、自主研发增强型芯片可延长串口数据传输距离。</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12、自主研发新一代中央处理器，支持24小时待机运行使用，低功耗，高效率，高稳定性，高寿命使用。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13、8路独立可编程RS-232控制接口。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14、2路独立可编程RS-422/485控制接口。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15、8路独立可编程的红外发射(IR)接口。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16、8路弱电继电器(RELAY)接口。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17、8路数字输入/输出(I/O)接口。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18、含2路双向RS-232/485串口和2路NET总线接口/DMX512协议接口。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19、通讯控制端口：以太网(TCP/IP)TCP SERVER/ UDP方式可选；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20、内嵌式红外学习器。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21、支持本地及远程多种控制方式。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▲22、设备编程方式支持自定义宏、可编辑宏、可导入或导出宏，支持图形化和语句式编程，具备时间轴、多线程时间编辑功能，支持操控屏直接编程，用户可自行编辑按键形式及按键的执行联动操作内容；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23、设备可建立自有的红外代码数据库，或下载最新的红外代码库，可实现一键发双代码等红外逻辑控制；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24、设备需支持多平台控制。支持Android、IOS、Windows三平台同时控制，主机支持一机多屏、一屏多机、多屏多机等对接方式；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25、设备应支持双机备份功能，当主控主机出现网络通讯中断或停机时，备份主机自动启动并接管系统，保证系统正常运行。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26、可选配网络预览模块。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1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D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B82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中控系统管理软件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9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1、支持安卓手机、平板中控控制功能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5C5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4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人机交互系统管理软件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0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一次设计界面，即可运行在IPAD、安卓、windows等平台上，并且支持任何字体；5分钟学会编程，方便易用，不需专职人员，不需编写任何程序代码，即可实现复杂的控制功能，支持 3D 按钮、图片按钮等（工程人员不需设计图片就能实现完美的3D按钮），支持自锁、互锁、连续发码、通讯反馈、一键（按钮）执行多动作，控制多个设备。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1、开放式编程系统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2、支持苹果官方审核认证APP应用程序软件，无需越狱；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3、支持安卓系统APP应用程序软件；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4、支持用户编程软件，支持WindowsXP/10系统；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5、支持项目定制编程内容；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6、支持底层开发，丰富的逻辑判断能力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7、可支持三种自定义变量，含模拟量、数字量、字符串变量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8、可支持“宏”的保存与调用。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2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635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A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机架式电源管理器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5D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 8路独立强电或弱电开关控制；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 设备自带4.3寸的电容触摸屏；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 带1路LAN网口，支持TCP/UDP控制；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 可编程逻辑开关动作(互锁、时序开关、同步动作等)；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 采用RS232通讯控制功能，可级连到200台设备；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 表面带红色电源指示和绿色继电器开关指示灯；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 具有手动和中控或电脑软件同时管理功能；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 断电最后一次状态保存功能；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 支持环境灯光的开关控制；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 加载容量 单路 AC250V/30A，DC30V/30A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 配合强电电源时序控制器，支持机房所有设备的电源管理控制；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 支持所有兼容第三方开关量远程控制的设备；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 支持有线触摸屏(墙面/台面)控制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 2U机箱，可下走线，侧走线等多种出线布局，美观大方；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37E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B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导轨式8路强电控制器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智能照明控制模块RS485执行器学校酒店走廊远程开关8回路16A</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A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408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路由器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E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WAN接入口：千兆网口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防火墙：支持防火墙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管理方式：APP管理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支持IPv6：支持IPv6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无线速率：6000M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无线协议：Wi-Fi 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LAN口类型：电口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频段：双频</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3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4C1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5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平板电脑</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1.屏幕尺寸：不小于11英寸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2.运行内存：不小于8G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3.内存容量：不小于256GB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4.分辨率：2560*1600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E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B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341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1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D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接入交换机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24×10/100/1000BASE-T 电口；4×GE SFP 光口（非 10G）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性能：交换容量≥598Gbps；包转发率≥148Mpps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3879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光模块</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2KM千兆单模单纤SFP</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7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7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3C6C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E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影视灯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2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输入电压:AC100-240V，50/60Hz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额定功率：250W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光源: 进口(高亮度LED)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色温：3200K/5600K/RGBW可选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灯珠寿命：50000h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调光:0%-100%线性调光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光学材料：光学玻璃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功能效果： 柔光、聚光、截光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控制模式：标准DMX512信号、自走、主从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通道数量:CH4，CH8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切光模式：手动切割</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F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r>
      <w:tr w14:paraId="352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固定染色灯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电源：90-240V//50-60HZ                                                 光源: 54颗3W三合一全彩LED灯珠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总功率:180W                                                                                                           颜色：RGB无限混色                                                     光源寿命：5-10万小时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出光角度：10-60度可选                                                调光：0-100%恒流16BIT线性电子调光，平滑无闪烁                      频闪：0.5-30次/秒电子频闪                                                   控制方式: 自走 、主从 联机.DMX512 、声控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 DMX512 7个通道                                                                                            防水等级：IP20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B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r>
      <w:tr w14:paraId="36DF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8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1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影视灯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电压：AC100V-240V  50/60H2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功率：230W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光源：5730灯珠，432颗x0.5W冷白和暖白CED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显色指数：80-90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工作环境温度：-10℃—40℃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无风扇全静音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控制方式：DMX512，主从，自走，声控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通道模式：A模式，B模式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3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4D8C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D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固定染色灯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5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电源：90-240V//50-60HZ                                                 光源: 54颗3W三合一全彩LED灯珠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总功率:180W                                                                                                           颜色：RGB无限混色                                                     光源寿命：5-10万小时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出光角度：10-60度可选                                                调光：0-100%恒流16BIT线性电子调光，平滑无闪烁                      频闪：0.5-30次/秒电子频闪                                                   控制方式: 自走 、主从 联机.DMX512 、声控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 DMX512 7个通道                                                                                            防水等级：IP20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r>
      <w:tr w14:paraId="31E5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影视灯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F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电压：AC100V-240V  50/60H2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功率：230W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光源：5730灯珠，432颗x0.5W冷白和暖白CED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显色指数：80-90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工作环境温度：-10℃—40℃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无风扇全静音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控制方式：DMX512，主从，自走，声控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通道模式：A模式，B模式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7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248C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E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固定染色灯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电源：90-240V//50-60HZ                                                 光源: 54颗3W三合一全彩LED灯珠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总功率:180W                                                                                                           颜色：RGB无限混色                                                     光源寿命：5-10万小时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出光角度：10-60度可选                                                调光：0-100%恒流16BIT线性电子调光，平滑无闪烁                      频闪：0.5-30次/秒电子频闪                                                   控制方式: 自走 、主从 联机.DMX512 、声控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 DMX512 7个通道                                                                                            防水等级：IP20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r>
      <w:tr w14:paraId="4523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摇头灯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9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输入电压：AC100V-240V   50/60H2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额定功率：250W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光源：出口灯泡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控制通道：16个标准DMX通道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运行模式：声控，自走，主从，DMX512，RDM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颜色盘：13个颜色+白光，可半色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七彩颜色：7色效果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固定图案：13个图案+白光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棱  镜：两个独立棱镜盘，一个8棱镜+一个蜂窝棱镜（8+16+24）可叠加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  焦：双电机高清聚焦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雾  化：雾化+七彩一体架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  闪：快速单频闪，单片式频闪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  光：0—100%线性调光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水平/垂直：540°水平扫描，270°垂直扫描角度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显示界面：彩色1.8寸按键，180°反转显示，中英文可切换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F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C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780E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0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1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固定染色灯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C2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电源：90-240V//50-60HZ                                                 光源: 54颗3W三合一全彩LED灯珠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总功率:180W                                                                                                           颜色：RGB无限混色                                                     光源寿命：5-10万小时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出光角度：10-60度可选                                                调光：0-100%恒流16BIT线性电子调光，平滑无闪烁                      频闪：0.5-30次/秒电子频闪                                                   控制方式: 自走 、主从 联机.DMX512 、声控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 DMX512 7个通道                                                                                            防水等级：IP20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0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E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r>
      <w:tr w14:paraId="74C9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4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4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摇头灯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A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输入电压：AC100V-240V   50/60H2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额定功率：250W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光源：出口灯泡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控制通道：16个标准DMX通道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运行模式：声控，自走，主从，DMX512，RDM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颜色盘：13个颜色+白光，可半色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七彩颜色：7色效果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固定图案：13个图案+白光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棱  镜：两个独立棱镜盘，一个8棱镜+一个蜂窝棱镜（8+16+24）可叠加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  焦：双电机高清聚焦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雾  化：雾化+七彩一体架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  闪：快速单频闪，单片式频闪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  光：0—100%线性调光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水平/垂直：540°水平扫描，270°垂直扫描角度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显示界面：彩色1.8寸按键，180°反转显示，中英文可切换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3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77EA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固定染色灯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电源：90-240V//50-60HZ                                                 光源: 54颗3W三合一全彩LED灯珠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总功率:180W                                                                                                           颜色：RGB无限混色                                                     光源寿命：5-10万小时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出光角度：10-60度可选                                                调光：0-100%恒流16BIT线性电子调光，平滑无闪烁                      频闪：0.5-30次/秒电子频闪                                                   控制方式: 自走 、主从 联机.DMX512 、声控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控制通道: DMX512 7个通道                                                                                            防水等级：IP20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6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r>
      <w:tr w14:paraId="7C42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追光灯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6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xml:space="preserve">总功率:480W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频率:50Hz-60Hz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电压:110V-240V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光源:380W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纸箱包装尺寸:870x350x470mm  灯重17KG 支架5KG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航空箱包装尺寸；1140x480x570mm 重量：45KG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颜色:5种彩色加白光 红。黄。兰。绿。升温片。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光束角度:8-15度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操作功能；光圈大小。开光闭光-频闪。换色。调焦手动操作实现效果。     有效射程 70-80米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B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98F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1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3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算力服务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5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为本项目提供企业级通用计算型算力卡租赁服务，核心芯片、驱动程序等关键组件均为国产自研，适配AI推理、科学计算等多场景，总算力:FP16浮点算力≥3360TFLOPS、INT8整型算力≥6720TOPS，可满足高负载算力需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2.租赁单卡参数:显存≥48GB，FP16算力≥70TFLOPS,INT8算力≥140TOPS,功耗≤72W，显存带宽≥200GB/s,支持显存ECC错误校验功能。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3.由供方出具本服务配套提供原厂售后服务承诺函，保障全流程原厂售后支持，确保算力卡稳定高效运行。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A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F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094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金丝绒会标幕</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材质：金丝绒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尺寸：宽17米*高2米*3褶*1块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A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110</w:t>
            </w:r>
          </w:p>
        </w:tc>
      </w:tr>
      <w:tr w14:paraId="5EC2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3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会标幕衬里</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材质：富春纺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尺寸：宽17米*高2米*1褶*1块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w:t>
            </w:r>
          </w:p>
        </w:tc>
      </w:tr>
      <w:tr w14:paraId="141F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8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金丝绒对开大幕</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9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材质：金丝绒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尺寸：宽17米*高7米*3褶*2块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F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9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714</w:t>
            </w:r>
          </w:p>
        </w:tc>
      </w:tr>
      <w:tr w14:paraId="45FD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8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对开大幕衬里</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材质：富春纺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尺寸：宽17米*高7米*1褶*2块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130</w:t>
            </w:r>
          </w:p>
        </w:tc>
      </w:tr>
      <w:tr w14:paraId="0BCD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B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信号放大器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1路输入，8路输出，带8路独立放大驱动；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具有信号放大整形功能，能有效增强总线接入设备的能力；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带输入信号精确检测指示，能有效判断输入源的正确性；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带8路输出状态指示灯，能有效判断输出线路的正确性；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保护控制设备输出接口，故障现场隔离，提高系统安全运行的可靠性；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输入与输出部分采用双电源模式供电和光电隔离，隔离电压＞2000V；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供电电源：AC110V-240V  50／60Hz；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D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6CF4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7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ARTNET8路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D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DMX512/1990 信号输出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可匹配 3 针的卡侬插座（可选 5 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前后面板各8 路 DMX 信号分配输出，一进16出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电源输入: AC 88～256V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标准 DMX 512 信号；2.4G 无线 DMX 512 接收器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通信距离：300 米（可视距离）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7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C00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0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直通箱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8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供电：三相五线制AC380V±10％，频率50Hz±5％.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额定功率：12路×4KW; 可适用于任何负载.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每路20A空开，过载与短路双重保护高分断空气开关.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A.B.C三相工作指示灯. 设两脚和三脚万能                      用插座方便使用，进口接线端输入，单40A胶木插输出。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576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灯光控制台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E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采用功能任意切换操作系统，可适应以下硬件环境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酷睿i5CPU   ,120GBSSD，4GB内存；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内置1个15.6寸高分辩率触摸屏（工业屏），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支持联网到计算机设备控制各种灯光3D可视化软件；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内置UPS电源，不接入220V交流电源可正常操作1小时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内置WYS(R36)灯光软件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支持中文菜单显示，内置多国语言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控台自带8个DMX输出，支持扩展到64个DMX，</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支持涂鸦式屏幕标识功能，支持Art-Net网络功能,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10宏功能按钮，可让你更快的操作控台；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20个重放推杆，支持1000个以上的程序重放；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强大的属性控制窗口，CMY\RGB拾色板系统；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快捷易用的图形发生器，分类的内置图形更易使用；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支持CIPT协议，可以在控台上直接看到媒体服务器里媒体片段的图像缩略图；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支持Wi-Fi接入，无线控灯、移动设备（iPhone、iPad Touch）远程控制灯具；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内置数千种灯库，内置灯库编辑软件，你可以随时在控台上编灯库；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内置Visualiser线条式灯光可视化软件，想预编程！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支持MIDI时间码声光同步功能，也可以在控台里播放音乐发送时间码来控制灯光程序重放。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8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38F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C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变频调速对开大幕机系统</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34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驱动方式：电动钢丝绳曳引；                                                                          • 对开行程：按现场实际尺寸；                                                                     • 速度：0.1～1.2m/s  ；                                                                                      • 载荷：幕重；                                                                                                           • 运行噪音：≤48dB(A)；                                                                                     • 含滑车、滑轮组、限位装置、花篮螺栓、幕布挂钩等；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电机功率：1.1Kw；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安全措施：左右限位开关等；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4B0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幕布轨道</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F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根据现场尺寸制作，中间重叠1米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1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8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93C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前幕吊杆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C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根据现场尺寸制作，镀锌圆管焊接；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C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D7F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灯光吊杆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F9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根据现场尺寸制作，镀锌圆管焊接；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F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7230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8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侧光吊杆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根据现场尺寸制作，镀锌圆管焊接；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A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0C57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2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电缆线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设备电源线RVV 3×2.5mm2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F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8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w:t>
            </w:r>
          </w:p>
        </w:tc>
      </w:tr>
      <w:tr w14:paraId="6FC6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信号线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设备信号线RVV 3×0.5mm2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w:t>
            </w:r>
          </w:p>
        </w:tc>
      </w:tr>
      <w:tr w14:paraId="0563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9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施工辅材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4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网线、水晶头、灯光控制线、电源线、音箱线、视频连接线、音频连接线、穿线管、卡扣、各类接头等施工辅材。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F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383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3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PDU</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8位10a插排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3CA4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搬机柜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0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搬运机柜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54A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F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7F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LED屏幕、音响、灯光集成安装调试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5A8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E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1楼党性教育室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D5E">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514">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CF1">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FF3">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682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0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P1.5 led</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1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规格P1.5室内表贴节能全彩LED屏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1、像素点间距 1.53±0.05mm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2、像素构成      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3、像素密度  单元大小为320mm×160mm的像素密度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4、结构       LED显示屏显示部分结构可采用钢、铝、镀锌方管、塑料等材料，结构安全坚固。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5、外观质量  无变形、无色差；LED显示屏的外表面无明显划痕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6、显示效果  4K超清显示、色温均匀性好、亮度匀性好，对比度高、色域广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7、驱动方式  恒流驱动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8、控制方式  同步控制系统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9、供电方式  支持电源均流DC4.2V～DC4.5V供电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10、维护方式 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11、整屏平整度 ≤0.05mm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12、模组平整度 ≤0.03mm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13、拼接缝  ≤0.03mm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14、套件材质 采用聚碳酸酯和玻璃纤维材质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15、模组结构 灯驱合一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16、单元板分辨率 208*104=21632Dots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17、驱动芯片功能 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18、调节软件设置项 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19、PCB板材  采用玻璃化温度≥150℃的覆铜板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20、人眼视觉舒适度  VICO指数≤1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21、亮度  ≥750Cd/m²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22、亮度均匀性 ≥98%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23、亮度鉴别等级 依据SJ/T11141-2017 5.10.6规定；C级，Bj≥20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24、亮度调节  支持亮度调节功能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25、色坐标  X、Y坐标符合SJ/T11141-2017 5.10.5规定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26、色度均匀性 ±0.002Cx、Cy内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27、宽色域  ≥120% NTSC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28、色温  1000-18000K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29、色温误差 色温为6500K时，100%、75%、50%、25%四档电平白场调节色温误差≤200K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30、水平视角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31、垂直视角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32、对比度  ≥7500：1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33、灰度等级 采用16bit技术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34、显示颜色 ≥281.4trillion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35、低亮高灰 亮度为10%时，信号处理深度（灰度级数）达到14bit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36、低亮高刷 亮度为10%时，刷新率达到3840Hz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37、刷新率  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38、像素失控率 &lt;0.01%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39、发光点中心偏距 ＜1%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40、反光率  反光率≤1.5%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41、画面延时 ≤500ns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42、衰减率  ≤10%（工作3年）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43、噪声  1m范围内，测试4个位置（前后左右）噪音不大于2dB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44、信噪比  ≥47dB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45、换帧频率 60Hz，支持120Hz等3D显示技术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46、峰值功耗 ≤400W/m²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47、平均功耗 ≤200W/m²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48、供电电源 在4.2*（1±10%）VDC～4.5*（1±10%）VDC范围内能正常工作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49、工作频率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50、输入电压 4.2±0.1V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51、最大电流 ≤5A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52、电流增益 电流增益调节范围：1%～199%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53、能耗对比 对LED显示屏进行节能对比，达到能效一级标准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54、抗电强度 在器具输入插座端与屏正面之间施加试验电压3kv/50Hz，保持1min，不应出现飞弧和击穿现象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55、绝缘电阻 在器具输入插座端或者电源引入端子与外壳裸露金属部件之前的绝缘电阻在正常大气条件下应≥100MΩ，湿热条件下应≥2MΩ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56、模组表面绝缘 绝缘电阻应为5000MΩ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57、漏电流  ≤0.5mA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58、能源效率 ≥2.4cd/W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59、睡眠功耗 ≤100 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60、机械强度 ≥30Mpa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61、抗拉强度 230Mpa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62、屈服强度 170Mpa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63、纵向拉伸承载力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64、衡向拉伸承载力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65、统一管理 可对所有LED显示模块进行统一管理，设置亮度、色温、灰度等参数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66、校正功能 具有单点亮度/颜色校正功能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67、亮暗线调整 采用高端芯片，可去除亮、暗线，可从软、硬件两方面彻底改善LED安装精度造成的亮、暗线问题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68、图像处理 具备视频降噪、运动补偿、色彩变化等图像处理功能。支持软件实现不同亮度情况下，灰度8-16bit任意设置；0-100%亮度时，8-16bit任意灰度设置。支持100%亮度时，16bit灰度；20%亮度时，12bit灰度。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69、图像补偿 具备视频降噪、运动补偿、色彩变换等图像处理功能；具有亮度/对比度/色度调节/视觉修正等图像调整功能；LED显示屏图像无失真现象。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70、图像质量 LED显示屏图像质量主观评价优、支持4K超清技术、HDR高动态光照渲染技术；符合LED显示屏绿色健康分级认证技术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71、数据备份 数据记忆储存于LED显示模块箱体中，更换箱体设备时，无需重新设定参数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72、失真效果检测 显示画面无几何畸变、扭曲、比例失调情况，无亮度、色温非线性失真。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73、自检技术  可实现LED单点检测，通讯检测、温度检测、电源检测、温度监控等功能。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74、SELV电路  具备SELV电路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75、温度检测功能 具有多点测温系统、通讯检测、电源检测、可实现远程监督控制，对可能发生的潜在故障记录日志，并向操作员发出警报信息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76、智能节能  产品采用高端芯片，可智能调节正常工作与睡眠状态下的节能效果（动态节能，智能息屏）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77、热插拔 LED显示屏支持工作状态下热插拔维护功能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78、显示功能特性 LED显示屏应有图文显示、动画和可放映视频信息功能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79、防护性能  具有防静电、防电磁干扰、防腐蚀、防虫、防潮、抗震动、抗雷击等功能；具有电源过压、过流、断电保护、分布上电措施、防护等级达到IP50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80、振动检测  频率循环范围：（5～55～5）Hz，振幅值：0.19mm，扫频速率：5min/次，方向：互相垂直的两个方向，循环次数：二次；试验结束后，产品能正常工作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81、防碰撞      具备防碰撞焊盘技术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82、连续工作时间 连续工作时间：≥7×24hrs，支持连续不间断显示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83、老化稳定检测 LED显示屏通过在正常环境下168h不间断运行无故障的老化测试，试验结束后，产品能正常工作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84、使用寿命  ≥100000h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85、平均无故障时间 MTBF平均无故障时间≥20000h；MTTR平均修复时间≤20分钟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86、屏幕温升  最高亮度（白平衡）持续工作4小时，模组表面温升小于20K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87、高温负荷工作 样品状态：通电工作，试验温度：80℃，试验时间：12h，试验结束后，产品能正常工作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88、低温负荷工作 样品状态：通电工作，试验温度：-40℃，试验时间：12h，试验结束后，产品能正常工作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89、高温存储  样品放入试验箱中，试验箱内温度80℃，存放48h，无异常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90、低温存储  样品放入试验箱中，试验箱内温度-40℃，存放48h，无异常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91、恒定湿热  样品状态：通电工作，试验温度：85℃，相对湿度：85%，试验时间：168h，试验结束后，产品能正常工作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92、湿热负载  LED显示屏最高工作环境温度下，相对湿度87%-93%，通电工作12h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93、自动gamma设置 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94、光生物安全检测 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95、盐雾  符合盐雾10级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96、阻燃  PCB板、防火保护外壳及内部其他元器件均达到V-0等级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97、冷热冲击 低温：-40℃，时间：0.5h，高温：100℃，时间：0.5h，转换时间：（3-5分钟）min，试验周期：上述试验为1个循环，试验进行200循环，样品状态：非工作状态；试验结束后，产品能正常工作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98、高低温循环 低温：-40℃，时间：0.5h，高温：80℃，时间：0.5h，转换时间：（3-5分钟）min，试验周期：上述试验为1个循环，试验进行200循环，样品状态：工作状态；试验结束后，产品能正常工作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99、点对点电阻A面 1x10^5～1x10^9Ω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100、点对点电阻B面 1x10^5～1x10^9Ω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101、静电电压衰减期 （±1000-±100V）≤2S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102、摩擦起电电压 ≤100V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103、电磁兼容/干扰 符合Class B标准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104、抗紫外线UV  暴露周期8h干燥、4h凝露，使用UVA340灯，辐照度0.76W/M2，干燥时，黑标温度：60℃，8h，凝露时，黑标温度：50℃，4h；试验结束后，样品表面无明显变化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105、抗干扰  符合IEC801规定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106、安全性  符合GB4793规定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107、一键点屏  支持一键点屏技术，开机后自动识别系统连接，无需重置系统配置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108、一键调试  支持联网一键下载程序文件和调试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109、箱体拼接设计 自动对位设计；具有拼缝微调功能；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110、箱体防护等级 IK10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111、箱体材质  镁合金/压铸铝/铁箱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112、箱体前后厚度 ≤85mm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113、支持采用电源双备份，两个电源互为备份方式，任一电源故障不影响屏体正常工作；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114、支持采用双系统备份，两套发送卡和两套接收卡互为备份方式，任一套发送卡和接收卡故障不影响屏体正常显示。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115、支持采用双电力备份，可以同时接入2路电力供电互为备份方式，任一电力故障不影响屏体显示；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116、电源具备PFC功能，功率因素≥0.95；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16.6</w:t>
            </w:r>
          </w:p>
        </w:tc>
      </w:tr>
      <w:tr w14:paraId="46C2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0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9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9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0CA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C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1.最大功率：20KW；最大电流：125A（3相）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2.输出路数：18路；每路输出电流：25A；每路输出功率：3.5KW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3.输入电压：380V；输出电压：220V（单相）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4.控制方式：手动按键启动，自动为网口与485远程控制，中控控制(第三方控制)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5.报警功能：温度，烟雾远程监控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6.具有防雷、分步启动过流、过压、欠压保护功能。（防雷功能需选配）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7.支持多台配电柜联控，联动，可以设置区域一键全开，一按键全关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8.能实现对LED显示屏的远程控制上电，实现多时段智能定时开关屏电源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4B7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C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1.支持12路千兆网口输出，支持单机或双机冗余备份。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2.最大带载780万像素点，最宽可达8192点或最高可达4096点。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3.最大输入分辨率1920×1200@60Hz, 支持分辨率任意设置。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4.支持1路DVI输入和3路HDMI1.4输入。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5.支持RS232串口协议控制，可连接中控。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6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7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0C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3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B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超高清解码器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支持网络IPC、NVR等设备类型作为网络信号源输入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支持HDMI 1.4视频信号输出，支持4K分辨率（3840 × 2160@30 Hz）超高清输出；支持对接LED显示系统，视频输出最大的LED带载能力为单口260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支持两种音频输出方式：HDMI内嵌音频和外置音频输出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视频编解码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采用H.264/H.265编码标准，默认采用H.265，支持子码流及主码流编码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支持网络设备解码，支持H.264、H.265、Smart264、Smart265、MJPEG等主流码流格式，支持PS、TS、ES、RTP等主流封装格式，支持子码流及主码流切换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最大支持3200w分辨率解码，具有160个解码通道，支持80路200W，或160路720P视频同时解码上墙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支持加密码流、多轨码流、智能码流解码；支持码流修改和切换；支持解码异常提示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电视墙功能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支持RTP\RTSP协议进行网络源预览，可通过客户端进行桌面投屏上墙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支持电视墙界面对网络信号源云台八个方向、自动扫描、光圈、调焦、聚焦、调用预置点等操作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支持电视墙窗口开始/停止预览、开始/停止解码、开始/停止轮巡、打开/关闭声音、置顶、置底等操作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视频解码格式：H.264，H.265，Smart264，Smart265，MJPEG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解码分辨率：最高3200W像素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视频解码通道：160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单口画面分割数：1,2,4,6,8,9,12,16,25,36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场景数量：64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视频输出分辨率：3840 × 2160@30 Hz、2560 × 1440@30 Hz、1920 × 1200@60 Hz、1920 × 1080@60 Hz、1920 × 1080@50 Hz、1680 × 1050@60 Hz、1600 × 1200@60 Hz、1280 × 1024@60 Hz、1280 × 720@60 Hz、1280 × 720@50 Hz、1024 × 768@60 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视频输出接口类型：10路HDMI 1.4，支持4K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视频输入分辨率：3840×2160@30Hz、1920×1200@60Hz、1920×1080@60Hz、1920×1080@50Hz、1280×720@60Hz、1280×720@50Hz、1600×1200@60Hz、1280×960@60Hz、1680×1050@60Hz、1440×900@60Hz、1366×768@60Hz、1280×1024@60Hz、1024×768@60Hz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【自定义分辨率】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1.60Hz，宽度800~1920，高度600~1200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2.30Hz，宽度800~3840，高度600~2160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3.宽度4对齐，高度2对齐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视频输入接口：2路HDMI 1.4，最大支持4K（仅奇数口）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音频输入接口：2路HDMI内嵌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音频输出接口：10路HDMI内嵌或DB15转BNC独立音频输出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音频解码格式：G711-A, G711-U, G722.1, G726-16/U/A, MPEG, AAC-LC, PCM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产品尺寸（宽x高x深）：440 mm × 88 mm × 321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机箱接口：RJ45 10M/100 M/1000 Mbps 自适应以太网接口*2； 光口 100base-FX/1000base-X*2， 支持光电自适应；报警输入*8；报警输出*8；232接口 *1；485接口*1；USB 2.0接口*2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净重：≤ 6.40 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功耗：＜110 W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9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1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B2F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4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F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吸顶喇叭</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8英寸 同轴定阻天花喇叭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1.定阻8ohm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2.白色大面板，白色嵌入式铁网，铁筒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3.8英寸PP射出盆鼓纸低音+25mm 蚕丝音膜旋转式 高音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4.功率150瓦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5.频率响应：45-20KHZ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6.灵敏度 90dB±2dB(2.83V @ 1米)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6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3FE4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0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AF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额定输出功率：8Ω立体声300W×4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额定输出功率：4Ω立体声500W×4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额定桥接输出功率：8Ω桥接900WX2              电源要求：AC220V (可以定制AC110V)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结构：1U金属机箱设计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通道数：4CH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频率响应：15Hz-20kHz: ±0.1dB (1W/8Ω)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输入阻抗：平衡20K ohm 非平衡 10K Ohm  输入灵敏度:0.775V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阻尼系数:（350:1,1Khz 8ohms）               转换速率：28V/US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输出级：Class-D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LED指示灯：1颗电源指示灯/4颗信号指示灯/4颗失真指示灯/4颗削波指示灯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633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音视频信号处理服务器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4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模拟输入通道：8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模拟输出通道：8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21489@450 MHz SIMD；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DSP处理能力:400 MIPS，1.6 GFLOPS;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采样率:48 kHz，± 100 ppm;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1路RS232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内置USB声卡，支持音乐播放、录制和软视频会议（如：ZOOM，腾讯会议，钉钉会议等）;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总线式AEC，尾长时间：512ms，收敛率：60dB/S, 回声消除幅度：60dB；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独立通道的AFC（反馈抑制），采用陷波式算法，传声增益提升幅度：10dB;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噪声抑制（ANS），信噪比提升18dB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8段英式参量均衡，提供5种滤波器选择：Parametric,Lowshelf,Highshelf,Lowpass,Highpass；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提供终端用户订制操作界面，最大支持30台设备同一个界面管理；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具有中央控制功能，可对系统中的电源、信号切换、环境控制、音频等整体控制，实现一键开启系统所需要的功能。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需提供自定义的用户操作界面；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需内置USB声卡，支持录播和远程会议；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处理器芯片采用ADI 架构，不低于40bit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模拟输入输出通道数量不少于8*8；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输入输出量化不低于48KHz/24bit；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 ，且提供不低于五种滤波器类型选择；</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增益共享自动混音(AMC)、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自动增益(AGC);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每个通道应不低于8个点的自适应反馈抑制（AFC）；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不低于8段PEQ,分频器、延时器、限幅器。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不低于12 x9 矩阵；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不低于16组预设；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支持输入输出通道LINK和分组功能；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频率响应范围不低于20～20kHz (±0.5dB)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采样率/量化位数：48K/24bit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模拟输入、输出通道数量:8 x 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输入增益:0/6/12/18/24/30/36/42/48dB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幻象电源:+48V/10mA max</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频率响应(20~20kHz):±0.5dB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最大电平:+18dBu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通道隔离度 @1kHz:108dB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输入阻抗(平衡接法):5.4KΩ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输出阻抗(平衡接法):600Ω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系统延时:&lt;3ms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工作电源:AC 220V,50Hz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095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2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无线话筒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功能特点：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全新设计的EIA国际标准规格的金属机箱，双通道\四通道/八通道接收机。面板采用LED显示窗口，一目了然的显示各项功能与数据并以易于操作的电子音量旋钮取代传统复杂的按键操作。独家开发的高频高动态范围电路，提升互调动态之性能，数字导频,动态独立ID码大幅降低谐波干扰，以增加更多机器同时使用互不干扰的频道数。接收距离(空旷环境下) 约60~80米,具体距离示实际使用环境而定.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接收机技术参数: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通道数：双通道／四通道/八通道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调制方式：FM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灵敏度：输入6dBv时，S/N&gt;60Db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频带宽度：30MHz                                      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综合S/N比：&gt;105dB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综合T.H.D:&lt;0.7% @1KHz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供电：DC 12V~16V 10W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输出插座：XLR平行式及6.3非平行式插座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工作有效距离：60M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腰包式技术参数: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振荡方式：PLL相位锁定频率合成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谐波幅射：&lt;-65dBm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频带宽度：120MHz                       音头：电容式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RF功率输出：15MW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电池：AA*2  电流消耗:&lt;90mA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连续工作时间:12小时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2A6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3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C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74F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C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7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2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6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2E3A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E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辅材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1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音频线缆、PVC穿线管、胶带等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A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C0C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8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LED屏、吸顶喇叭集成安装调测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1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69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6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1楼特战指挥室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95A">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DB7">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9BB">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F51">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7C9E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3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2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P1.5 led</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9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规格P1.5室内表贴节能全彩LED屏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1、像素点间距 1.53±0.05mm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2、像素构成      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3、像素密度  单元大小为320mm×160mm的像素密度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4、结构       LED显示屏显示部分结构可采用钢、铝、镀锌方管、塑料等材料，结构安全坚固。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5、外观质量  无变形、无色差；LED显示屏的外表面无明显划痕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6、显示效果  4K超清显示、色温均匀性好、亮度匀性好，对比度高、色域广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7、驱动方式  恒流驱动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8、控制方式  同步控制系统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9、供电方式  支持电源均流DC4.2V～DC4.5V供电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10、维护方式 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11、整屏平整度 ≤0.05mm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12、模组平整度 ≤0.03mm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13、拼接缝  ≤0.03mm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14、套件材质 采用聚碳酸酯和玻璃纤维材质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15、模组结构 灯驱合一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16、单元板分辨率 208*104=21632Dots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17、驱动芯片功能 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18、调节软件设置项 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19、PCB板材  采用玻璃化温度≥150℃的覆铜板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20、人眼视觉舒适度  VICO指数≤1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21、亮度  ≥750Cd/m²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22、亮度均匀性 ≥98%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23、亮度鉴别等级 依据SJ/T11141-2017 5.10.6规定；C级，Bj≥20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24、亮度调节  支持亮度调节功能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25、色坐标  X、Y坐标符合SJ/T11141-2017 5.10.5规定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26、色度均匀性 ±0.002Cx、Cy内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27、宽色域  ≥120% NTSC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28、色温  1000-18000K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29、色温误差 色温为6500K时，100%、75%、50%、25%四档电平白场调节色温误差≤200K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30、水平视角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31、垂直视角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32、对比度  ≥7500：1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33、灰度等级 采用16bit技术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34、显示颜色 ≥281.4trillion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35、低亮高灰 亮度为10%时，信号处理深度（灰度级数）达到14bit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36、低亮高刷 亮度为10%时，刷新率达到3840Hz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37、刷新率  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38、像素失控率 &lt;0.01%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39、发光点中心偏距 ＜1%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40、反光率  反光率≤1.5%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41、画面延时 ≤500ns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42、衰减率  ≤10%（工作3年）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43、噪声  1m范围内，测试4个位置（前后左右）噪音不大于2dB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44、信噪比  ≥47dB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45、换帧频率 60Hz，支持120Hz等3D显示技术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46、峰值功耗 ≤400W/m²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47、平均功耗 ≤200W/m²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48、供电电源 在4.2*（1±10%）VDC～4.5*（1±10%）VDC范围内能正常工作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49、工作频率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50、输入电压 4.2±0.1V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51、最大电流 ≤5A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52、电流增益 电流增益调节范围：1%～199%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53、能耗对比 对LED显示屏进行节能对比，达到能效一级标准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54、抗电强度 在器具输入插座端与屏正面之间施加试验电压3kv/50Hz，保持1min，不应出现飞弧和击穿现象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55、绝缘电阻 在器具输入插座端或者电源引入端子与外壳裸露金属部件之前的绝缘电阻在正常大气条件下应≥100MΩ，湿热条件下应≥2MΩ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56、模组表面绝缘 绝缘电阻应为5000MΩ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57、漏电流  ≤0.5mA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58、能源效率 ≥2.4cd/W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59、睡眠功耗 ≤100 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60、机械强度 ≥30Mpa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61、抗拉强度 230Mpa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62、屈服强度 170Mpa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63、纵向拉伸承载力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64、衡向拉伸承载力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65、统一管理 可对所有LED显示模块进行统一管理，设置亮度、色温、灰度等参数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66、校正功能 具有单点亮度/颜色校正功能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67、亮暗线调整 采用高端芯片，可去除亮、暗线，可从软、硬件两方面彻底改善LED安装精度造成的亮、暗线问题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68、图像处理 具备视频降噪、运动补偿、色彩变化等图像处理功能。支持软件实现不同亮度情况下，灰度8-16bit任意设置；0-100%亮度时，8-16bit任意灰度设置。支持100%亮度时，16bit灰度；20%亮度时，12bit灰度。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69、图像补偿 具备视频降噪、运动补偿、色彩变换等图像处理功能；具有亮度/对比度/色度调节/视觉修正等图像调整功能；LED显示屏图像无失真现象。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70、图像质量 LED显示屏图像质量主观评价优、支持4K超清技术、HDR高动态光照渲染技术；符合LED显示屏绿色健康分级认证技术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71、数据备份 数据记忆储存于LED显示模块箱体中，更换箱体设备时，无需重新设定参数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72、失真效果检测 显示画面无几何畸变、扭曲、比例失调情况，无亮度、色温非线性失真。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73、自检技术  可实现LED单点检测，通讯检测、温度检测、电源检测、温度监控等功能。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74、SELV电路  具备SELV电路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75、温度检测功能 具有多点测温系统、通讯检测、电源检测、可实现远程监督控制，对可能发生的潜在故障记录日志，并向操作员发出警报信息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76、智能节能  产品采用高端芯片，可智能调节正常工作与睡眠状态下的节能效果（动态节能，智能息屏）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77、热插拔 LED显示屏支持工作状态下热插拔维护功能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78、显示功能特性 LED显示屏应有图文显示、动画和可放映视频信息功能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79、防护性能  具有防静电、防电磁干扰、防腐蚀、防虫、防潮、抗震动、抗雷击等功能；具有电源过压、过流、断电保护、分布上电措施、防护等级达到IP50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80、振动检测  频率循环范围：（5～55～5）Hz，振幅值：0.19mm，扫频速率：5min/次，方向：互相垂直的两个方向，循环次数：二次；试验结束后，产品能正常工作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81、防碰撞      具备防碰撞焊盘技术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82、连续工作时间 连续工作时间：≥7×24hrs，支持连续不间断显示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83、老化稳定检测 LED显示屏通过在正常环境下168h不间断运行无故障的老化测试，试验结束后，产品能正常工作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84、使用寿命  ≥100000h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85、平均无故障时间 MTBF平均无故障时间≥20000h；MTTR平均修复时间≤20分钟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86、屏幕温升  最高亮度（白平衡）持续工作4小时，模组表面温升小于20K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87、高温负荷工作 样品状态：通电工作，试验温度：80℃，试验时间：12h，试验结束后，产品能正常工作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88、低温负荷工作 样品状态：通电工作，试验温度：-40℃，试验时间：12h，试验结束后，产品能正常工作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89、高温存储  样品放入试验箱中，试验箱内温度80℃，存放48h，无异常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90、低温存储  样品放入试验箱中，试验箱内温度-40℃，存放48h，无异常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91、恒定湿热  样品状态：通电工作，试验温度：85℃，相对湿度：85%，试验时间：168h，试验结束后，产品能正常工作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92、湿热负载  LED显示屏最高工作环境温度下，相对湿度87%-93%，通电工作12h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93、自动gamma设置 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94、光生物安全检测 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95、盐雾  符合盐雾10级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96、阻燃  PCB板、防火保护外壳及内部其他元器件均达到V-0等级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97、冷热冲击 低温：-40℃，时间：0.5h，高温：100℃，时间：0.5h，转换时间：（3-5分钟）min，试验周期：上述试验为1个循环，试验进行200循环，样品状态：非工作状态；试验结束后，产品能正常工作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98、高低温循环 低温：-40℃，时间：0.5h，高温：80℃，时间：0.5h，转换时间：（3-5分钟）min，试验周期：上述试验为1个循环，试验进行200循环，样品状态：工作状态；试验结束后，产品能正常工作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99、点对点电阻A面 1x10^5～1x10^9Ω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100、点对点电阻B面 1x10^5～1x10^9Ω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101、静电电压衰减期 （±1000-±100V）≤2S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102、摩擦起电电压 ≤100V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103、电磁兼容/干扰 符合Class B标准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104、抗紫外线UV  暴露周期8h干燥、4h凝露，使用UVA340灯，辐照度0.76W/M2，干燥时，黑标温度：60℃，8h，凝露时，黑标温度：50℃，4h；试验结束后，样品表面无明显变化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105、抗干扰  符合IEC801规定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106、安全性  符合GB4793规定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107、一键点屏  支持一键点屏技术，开机后自动识别系统连接，无需重置系统配置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108、一键调试  支持联网一键下载程序文件和调试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109、箱体拼接设计 自动对位设计；具有拼缝微调功能；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110、箱体防护等级 IK10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111、箱体材质  镁合金/压铸铝/铁箱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112、箱体前后厚度 ≤85mm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113、支持采用电源双备份，两个电源互为备份方式，任一电源故障不影响屏体正常工作；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114、支持采用双系统备份，两套发送卡和两套接收卡互为备份方式，任一套发送卡和接收卡故障不影响屏体正常显示。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115、支持采用双电力备份，可以同时接入2路电力供电互为备份方式，任一电力故障不影响屏体显示；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116、电源具备PFC功能，功率因素≥0.95；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D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14.6</w:t>
            </w:r>
          </w:p>
        </w:tc>
      </w:tr>
      <w:tr w14:paraId="4CDE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4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F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95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2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A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409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1.最大功率：20KW；最大电流：125A（3相）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2.输出路数：18路；每路输出电流：25A；每路输出功率：3.5KW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3.输入电压：380V；输出电压：220V（单相）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4.控制方式：手动按键启动，自动为网口与485远程控制，中控控制(第三方控制)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5.报警功能：温度，烟雾远程监控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6.具有防雷、分步启动过流、过压、欠压保护功能。（防雷功能需选配）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7.支持多台配电柜联控，联动，可以设置区域一键全开，一按键全关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8.能实现对LED显示屏的远程控制上电，实现多时段智能定时开关屏电源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2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FCA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4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F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1.支持12路千兆网口输出，支持单机或双机冗余备份。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2.最大带载780万像素点，最宽可达8192点或最高可达4096点。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3.最大输入分辨率1920×1200@60Hz, 支持分辨率任意设置。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4.支持1路DVI输入和3路HDMI1.4输入。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5.支持RS232串口协议控制，可连接中控。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E11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5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E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8英寸 同轴定阻天花喇叭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1.定阻8ohm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2.白色大面板，白色嵌入式铁网，铁筒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3.8英寸PP射出盆鼓纸低音+25mm 蚕丝音膜旋转式 高音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4.功率150瓦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5.频率响应：45-20KHZ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6.灵敏度 90dB±2dB(2.83V @ 1米)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5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3B82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2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6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额定输出功率：8Ω立体声300W×2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额定输出功率：4Ω立体声500W×2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额定桥接输出功率：8Ω桥接900W                                                                                                                                          电源要求：AC220V (可以定制AC110V)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结构：1U金属机箱设计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通道数：2CH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谐波失真+噪声（1kHz,-10dB,4ohms)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频率响应：15Hz-20kHz: ±0.1dB (1W/8Ω)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输入阻抗：平衡20K ohm 非平衡 10K Ohm        输入灵敏度:0.775V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阻尼系数:（350:1,1Khz 8ohms）               转换速率：28V/US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输出级：Class-D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LED指示灯：2颗电源指示灯/2颗信号指示灯/2颗失真指示灯/2颗削波指示灯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散热系统：双变速风扇，从前到后排风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保护功能：保护功能：过热，短路，直流输出保护，过载保护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A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CA6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8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反馈抑制器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简介：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它采用回音抵消和消除混响的算法，有效滤除房间混响，从而实现消除声学反馈的目的。通过添加屏蔽噪音（听不到的噪声）到输出信号，或将输出信号的频率变动 5 Hz，反馈抑制器可以检测出信号中导致混响的成分，并在反馈出现之前将其除去，同时保持初始信号完好无损。输入通道数量:4通道(4通道平衡线路/话筒输入或者选择4通道6.35非平衡输入).提供48V幻像供电开关选择模组,可为4支麦克风提供电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特性和优点：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1.消除反馈于未然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2.自动适应声学环境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3.多达 12 dB 附加增益，有效预防反馈发生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4.4通道平衡的线路或话筒输入，提供幻象电源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5.自适应性过滤器可以在“快速”模式和“精确”模式之间进行转换。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6.快速模式适用于话筒位置经常变化的场合: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例如，在配有多个转换话筒的讨论系统中。精确模式适用于话筒位置固定的场合。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例如，声学环境比较复杂的讲坛。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自适应性过滤器能够以较慢的速度收敛，从而抑制更多的混响成分。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7.在声学反馈发生之前，可以额外获得多达 12dB 的增益，具体取决于声学环境和所选的操作模式。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8.内置了自动混合器，以实现4路话筒输入。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许多情况下，如在演讲台、讲坛或会议桌上，采用4个话筒可以更好地捕捉正在移动中的演讲者的声音，而这样常常会增加声学反馈的风险。</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鉴于这一问题，反馈抑制器中的自动混合器将会自动降低信号输入较弱的那个话筒的增益，同时提高信号输入较强的另一个话筒的增益。</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1．超宽频响电路技术，无变音，无金属尾音，强力抑制回声。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2．数字移频技术，超强防啸叫，声音圆润稳定，无发飘和发干等现象。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3．超级稳定：内置晶体振荡，软件算法，稳定性能好，受温度和外界干扰很小。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4．可根据应用场合定制合适音频频谱，从而大幅度提升系统增益。</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输入通道数量: 4通道(4通道平衡输入或者选择4通道6.35非平衡输入)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供电电压: 4通道48V幻像供电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额定电压: 220V±10% 50Hz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取样频率: 48KHz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 125Hz~15KHz(语音模式)     20Hz~15KHz (音乐模式)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失真度: &gt;0.1%@ 1KHz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 &gt;90dB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信号延迟: 7Ms (音乐模式)     11MS (语音模式)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 20K 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 (平衡)200ohm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温度范围: -10~55℃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9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A74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D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有线电容话筒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1B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 内置16MM纯金振膜音头，超强指向性麦克风拾音技术，有效拾音距离可达80cm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 换能方式：电容式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 频率响应：80Hz-15kHz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 指向性：超心型指向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 输出阻抗（欧姆）：1200Ω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 灵敏度：-35dB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 信噪比：65 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 等效噪声级：35dB(A)/20u 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 总谐波失真：1%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 供电电压：幻象48V（幻象指既传输电流，也传输声音）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6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02A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8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1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视频会议一体机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1.终端需与业主原有会议系统完全兼容。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2.终端采用一体式设计，内置编解码器、PTZ摄像机、数字阵列麦克等。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3.终端采用国产嵌入式操作系统。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终端核心芯片采用国产化元器件，至少包括音视频编解码单元、CPU处理单元、视频输入输出芯片、音频输入输出芯片、电源芯片、实时时钟芯片、存储芯片、状态显示屏、电机驱动控制芯片、摄像机镜头等均采用国产化器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5.支持ITU-T H.323和IETF SIP、RTC通信标准，会议速率支持128Kbps－8Mbps。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6.支持H.264 BP、H.264 HP、H.265视频编解码协议。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7.支持G.711A-law、G.711µ-law、G.722、G.729、G.719、G.728、G.722.1 C 、MPEG-4 AAC-LD、MPEG-4 AAC-LC、Opus等音频协议，可达到20KHz以上的宽频效果。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8.支持H.239、BFCP双流协议标准。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9.内置高清PTZ摄像机，采用不低于846万像素 1/2.8 英寸CMOS镜头，支持4K60视频图像采集，水平视角≥80°。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10.支持在较低的带宽下实现超高清视频效果，支持512Kbps呼叫带宽情况下可实现1080p60图像传输；支持384Kbps呼叫带宽情况下可实现1080p30fps图像传输。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11.在保证主视频1080p60fps前提下，辅视频可以支持到1080p60fps。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12.除内置摄像机外，至少支持1路高清HDMI视频输入接口、至少支持1路HDMI高清视频输出接口。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D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272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落地三角支架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摄像机落地三角支架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7A5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D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8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EE6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9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C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D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51C9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辅材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音频线缆、PVC穿线管、胶带等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1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6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F5F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1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D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LED屏幕安装、吸顶喇叭安装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B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5DE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E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2楼信息化培训中心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8DD1">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F88">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A3C">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251F">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3F06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4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55寸LCD拼接屏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9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55”LCD背光拼接单元拼缝3.5mm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1.分辨率：1920×1080；屏幕宽高比：16:9；亮度：500cd/m2；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2.对比度：3000:1；可视角：178°；响应时间：6.5ms；色彩：16.7M色；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3.信号输入：DVI×1,HDMI×1,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4.控制端口：RS-232控制输入 RJ45×1,RS-232控制环出,RJ45×2 Debug+IR（用于程序升级和外接遥控接收头） RJ45×1；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5.可靠性：3万小时；电源功耗；供电电源：100V～240V AC；工作功耗：190W；待机功耗：≤3W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6.拼接功能：支持开机LOGO拼接功能，支持USB快速升级.内置智能温控，可24小时持续工作.大屏软件支持矩阵联动，方便操作，内置多种矩阵协议.支持遥控拼接功能. 独有的色温校正系统，在屏有色彩差异时，快速调整色彩差异.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7.拼接功能（选配）：插拔信号自动侦测功能,智能感光功能,透雾功能.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5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3D8B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2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HDMI线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10米HDMI线缆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3E1A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落地机柜式支架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9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支架采用高硬度镀锌钢管，金属冷轧板材质，表面磷化处理，防静电喷漆，长度、高度和液晶屏一样，厚度要求可根据客户或者现场制作，积木式叠加安装。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通用于三星、LG、京东方，1.7，1.8，3.5，整机、裸屏，完全支持正面维护。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A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977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B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6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C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超高清解码器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支持网络IPC、NVR等设备类型作为网络信号源输入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支持HDMI 1.4视频信号输出，支持4K分辨率（3840 × 2160@30 Hz）超高清输出；支持对接LED显示系统，视频输出最大的LED带载能力为单口260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支持两种音频输出方式：HDMI内嵌音频和外置音频输出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视频编解码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采用H.264/H.265编码标准，默认采用H.265，支持子码流及主码流编码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支持网络设备解码，支持H.264、H.265、Smart264、Smart265、MJPEG等主流码流格式，支持PS、TS、ES、RTP等主流封装格式，支持子码流及主码流切换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最大支持3200w分辨率解码，具有160个解码通道，支持80路200W，或160路720P视频同时解码上墙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支持加密码流、多轨码流、智能码流解码；支持码流修改和切换；支持解码异常提示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电视墙功能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支持RTP\RTSP协议进行网络源预览，可通过客户端进行桌面投屏上墙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支持电视墙界面对网络信号源云台八个方向、自动扫描、光圈、调焦、聚焦、调用预置点等操作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支持电视墙窗口开始/停止预览、开始/停止解码、开始/停止轮巡、打开/关闭声音、置顶、置底等操作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视频解码格式：H.264，H.265，Smart264，Smart265，MJPEG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解码分辨率：最高3200W像素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视频解码通道：160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单口画面分割数：1,2,4,6,8,9,12,16,25,36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场景数量：64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视频输出分辨率：3840 × 2160@30 Hz、2560 × 1440@30 Hz、1920 × 1200@60 Hz、1920 × 1080@60 Hz、1920 × 1080@50 Hz、1680 × 1050@60 Hz、1600 × 1200@60 Hz、1280 × 1024@60 Hz、1280 × 720@60 Hz、1280 × 720@50 Hz、1024 × 768@60 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视频输出接口类型：10路HDMI 1.4，支持4K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视频输入分辨率：3840×2160@30Hz、1920×1200@60Hz、1920×1080@60Hz、1920×1080@50Hz、1280×720@60Hz、1280×720@50Hz、1600×1200@60Hz、1280×960@60Hz、1680×1050@60Hz、1440×900@60Hz、1366×768@60Hz、1280×1024@60Hz、1024×768@60Hz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【自定义分辨率】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1.60Hz，宽度800~1920，高度600~1200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2.30Hz，宽度800~3840，高度600~2160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3.宽度4对齐，高度2对齐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视频输入接口：2路HDMI 1.4，最大支持4K（仅奇数口）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音频输入接口：2路HDMI内嵌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音频输出接口：10路HDMI内嵌或DB15转BNC独立音频输出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音频解码格式：G711-A, G711-U, G722.1, G726-16/U/A, MPEG, AAC-LC, PCM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产品尺寸（宽x高x深）：440 mm × 88 mm × 321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机箱接口：RJ45 10M/100 M/1000 Mbps 自适应以太网接口*2； 光口 100base-FX/1000base-X*2， 支持光电自适应；报警输入*8；报警输出*8；232接口 *1；485接口*1；USB 2.0接口*2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净重：≤ 6.40 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功耗：＜110 W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C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4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214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3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类型：六分区独立音量控制、定压合并式功放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额定功率：120W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输出方式：100V 定压输出（公共广播/背景音乐）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分区：6分区独立音量旋钮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8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4F0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D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F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E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额定功率：10W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单元：6英寸复合纸纤维音盆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频率响应：120Hz–20kHz（±3dB）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灵敏度：98dB（1W/1m）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安装方式：吸顶嵌入式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04A0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音视频信号处理服务器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F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模拟输入通道：8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模拟输出通道：8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21489@450 MHz SIMD；</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DSP处理能力:400 MIPS，1.6 GFLOPS;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采样率:48 kHz，± 100 ppm;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1路RS232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内置USB声卡，支持音乐播放、录制和软视频会议（如：ZOOM，腾讯会议，钉钉会议等）;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总线式AEC，尾长时间：512ms，收敛率：60dB/S, 回声消除幅度：60dB；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独立通道的AFC（反馈抑制），采用陷波式算法，传声增益提升幅度：10dB;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噪声抑制（ANS），信噪比提升18dB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8段英式参量均衡，提供5种滤波器选择：Parametric,Lowshelf,Highshelf,Lowpass,Highpass；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提供终端用户订制操作界面，最大支持30台设备同一个界面管理；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具有中央控制功能，可对系统中的电源、信号切换、环境控制、音频等整体控制，实现一键开启系统所需要的功能。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需提供自定义的用户操作界面；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需内置USB声卡，支持录播和远程会议；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处理器芯片采用ADI 架构，不低于40bit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模拟输入输出通道数量不少于8*8；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输入输出量化不低于48KHz/24bit；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 ，且提供不低于五种滤波器类型选择；</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增益共享自动混音(AMC)、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自动增益(AGC);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每个通道应不低于8个点的自适应反馈抑制（AFC）；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输出通道应该具备：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不低于8段PEQ,分频器、延时器、限幅器。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不低于12 x9 矩阵；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不低于16组预设；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支持输入输出通道LINK和分组功能；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频率响应范围不低于20～20kHz (±0.5dB)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处理器：ADI SHARC 21489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采样率/量化位数：48K/24bit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40bit DSP浮点运算引擎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模拟输入、输出通道数量:8 x 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输入增益:0/6/12/18/24/30/36/42/48dB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幻象电源:+48V/10mA max</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频率响应(20~20kHz):±0.5dB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最大电平:+18dBu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THD+N:0.002% @+4dBu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输出动态范围：110dB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通道隔离度 @1kHz:108dB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输入阻抗(平衡接法):5.4KΩ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输出阻抗(平衡接法):600Ω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系统延时:&lt;3ms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工作电源:AC 220V,50Hz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9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ED8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8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7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方杆会议话筒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 简洁稳重的金属面板设计，整体高档庄重，外观极具现代科技质感；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 采用金属材质方形麦克风(非鹅颈)，俯仰角度可调，整体稳重大气；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 驻极体超心形指向性话筒，专业高保真电容咪芯，拾音灵敏、语音清晰；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 话筒带发言灯环；自带1米卡侬线；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 防干扰电路设计，超强抗手机干扰能力；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 低阻抗的平衡音频输出；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 广泛应用于会议、演讲、教学等各种场合；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参数规格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 20Hz-20kHz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 48V幻象供电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待机电流 2.4mA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工作电流 6.6mA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音频输出 XLR公头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C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2A96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5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无线话筒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2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功能特点：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全新设计的EIA国际标准规格的金属机箱，双通道\四通道/八通道接收机。面板采用LED显示窗口，一目了然的显示各项功能与数据并以易于操作的电子音量旋钮取代传统复杂的按键操作。独家开发的高频高动态范围电路，提升互调动态之性能，数字导频,动态独立ID码大幅降低谐波干扰，以增加更多机器同时使用互不干扰的频道数。接收距离(空旷环境下) 约60~80米,具体距离示实际使用环境而定.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接收机技术参数: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载波频段：UHF520~940MHz（选配）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通道数：双通道／四通道/八通道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调制方式：FM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灵敏度：输入6dBv时，S/N&gt;60Db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频带宽度：30MHz                                      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综合S/N比：&gt;105dB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综合T.H.D:&lt;0.7% @1KHz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综合频率响应：45Hz~18KHZ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供电：DC 12V~16V 10W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输出插座：XLR平行式及6.3非平行式插座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工作有效距离：60M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手持式技术参数: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频段：UHF520~940MHz（选配）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振荡方式：PLL相位锁定频率合成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谐波幅射：&lt;-65dBm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最大偏移度：±45KHz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频率响应：45Hz~18KHZ ±3dB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频带宽度：120MHz                       音头：动圈式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RF功率输出：15MW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电池：AA*2                             电流消耗:&lt;90mA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连续工作时间:12小时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C91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E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E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AA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2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780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E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351F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5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C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LCD屏幕安装、吸顶喇叭安装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4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0A0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F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2楼舆情中心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077">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2B3">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E80">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BB8">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5364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P1.5 led</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规格P1.5室内表贴节能全彩LED屏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1、像素点间距 1.53±0.05mm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2、像素构成      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3、像素密度  单元大小为320mm×160mm的像素密度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4、结构       LED显示屏显示部分结构可采用钢、铝、镀锌方管、塑料等材料，结构安全坚固。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5、外观质量  无变形、无色差；LED显示屏的外表面无明显划痕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6、显示效果  4K超清显示、色温均匀性好、亮度匀性好，对比度高、色域广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7、驱动方式  恒流驱动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8、控制方式  同步控制系统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9、供电方式  支持电源均流DC4.2V～DC4.5V供电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10、维护方式 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11、整屏平整度 ≤0.05mm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12、模组平整度 ≤0.03mm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13、拼接缝  ≤0.03mm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14、套件材质 采用聚碳酸酯和玻璃纤维材质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15、模组结构 灯驱合一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16、单元板分辨率 208*104=21632Dots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17、驱动芯片功能 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18、调节软件设置项 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19、PCB板材  采用玻璃化温度≥150℃的覆铜板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20、人眼视觉舒适度  VICO指数≤1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21、亮度  ≥750Cd/m²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22、亮度均匀性 ≥98%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23、亮度鉴别等级 依据SJ/T11141-2017 5.10.6规定；C级，Bj≥20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24、亮度调节  支持亮度调节功能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25、色坐标  X、Y坐标符合SJ/T11141-2017 5.10.5规定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26、色度均匀性 ±0.002Cx、Cy内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27、宽色域  ≥120% NTSC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28、色温  1000-18000K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29、色温误差 色温为6500K时，100%、75%、50%、25%四档电平白场调节色温误差≤200K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30、水平视角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31、垂直视角 ≥160°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32、对比度  ≥7500：1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33、灰度等级 采用16bit技术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34、显示颜色 ≥281.4trillion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35、低亮高灰 亮度为10%时，信号处理深度（灰度级数）达到14bit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36、低亮高刷 亮度为10%时，刷新率达到3840Hz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37、刷新率  刷新率达到3840Hz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38、像素失控率 &lt;0.01%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39、发光点中心偏距 ＜1%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40、反光率  反光率≤1.5%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41、画面延时 ≤500ns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42、衰减率  ≤10%（工作3年）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43、噪声  1m范围内，测试4个位置（前后左右）噪音不大于2dB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44、信噪比  ≥47dB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45、换帧频率 60Hz，支持120Hz等3D显示技术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46、峰值功耗 ≤400W/m²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47、平均功耗 ≤200W/m²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48、供电电源 在4.2*（1±10%）VDC～4.5*（1±10%）VDC范围内能正常工作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49、工作频率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50、输入电压 4.2±0.1V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51、最大电流 ≤5A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52、电流增益 电流增益调节范围：1%～199%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53、能耗对比 对LED显示屏进行节能对比，达到能效一级标准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54、抗电强度 在器具输入插座端与屏正面之间施加试验电压3kv/50Hz，保持1min，不应出现飞弧和击穿现象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55、绝缘电阻 在器具输入插座端或者电源引入端子与外壳裸露金属部件之前的绝缘电阻在正常大气条件下应≥100MΩ，湿热条件下应≥2MΩ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56、模组表面绝缘 绝缘电阻应为5000MΩ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57、漏电流  ≤0.5mA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58、能源效率 ≥2.4cd/W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59、睡眠功耗 ≤100 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60、机械强度 ≥30Mpa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61、抗拉强度 230Mpa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62、屈服强度 170Mpa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63、纵向拉伸承载力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64、衡向拉伸承载力  ≥3吨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65、统一管理 可对所有LED显示模块进行统一管理，设置亮度、色温、灰度等参数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66、校正功能 具有单点亮度/颜色校正功能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67、亮暗线调整 采用高端芯片，可去除亮、暗线，可从软、硬件两方面彻底改善LED安装精度造成的亮、暗线问题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68、图像处理 具备视频降噪、运动补偿、色彩变化等图像处理功能。支持软件实现不同亮度情况下，灰度8-16bit任意设置；0-100%亮度时，8-16bit任意灰度设置。支持100%亮度时，16bit灰度；20%亮度时，12bit灰度。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69、图像补偿 具备视频降噪、运动补偿、色彩变换等图像处理功能；具有亮度/对比度/色度调节/视觉修正等图像调整功能；LED显示屏图像无失真现象。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70、图像质量 LED显示屏图像质量主观评价优、支持4K超清技术、HDR高动态光照渲染技术；符合LED显示屏绿色健康分级认证技术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71、数据备份 数据记忆储存于LED显示模块箱体中，更换箱体设备时，无需重新设定参数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72、失真效果检测 显示画面无几何畸变、扭曲、比例失调情况，无亮度、色温非线性失真。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73、自检技术  可实现LED单点检测，通讯检测、温度检测、电源检测、温度监控等功能。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74、SELV电路  具备SELV电路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75、温度检测功能 具有多点测温系统、通讯检测、电源检测、可实现远程监督控制，对可能发生的潜在故障记录日志，并向操作员发出警报信息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76、智能节能  产品采用高端芯片，可智能调节正常工作与睡眠状态下的节能效果（动态节能，智能息屏）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77、热插拔 LED显示屏支持工作状态下热插拔维护功能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78、显示功能特性 LED显示屏应有图文显示、动画和可放映视频信息功能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79、防护性能  具有防静电、防电磁干扰、防腐蚀、防虫、防潮、抗震动、抗雷击等功能；具有电源过压、过流、断电保护、分布上电措施、防护等级达到IP50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80、振动检测  频率循环范围：（5～55～5）Hz，振幅值：0.19mm，扫频速率：5min/次，方向：互相垂直的两个方向，循环次数：二次；试验结束后，产品能正常工作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81、防碰撞      具备防碰撞焊盘技术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82、连续工作时间 连续工作时间：≥7×24hrs，支持连续不间断显示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83、老化稳定检测 LED显示屏通过在正常环境下168h不间断运行无故障的老化测试，试验结束后，产品能正常工作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84、使用寿命  ≥100000h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85、平均无故障时间 MTBF平均无故障时间≥20000h；MTTR平均修复时间≤20分钟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86、屏幕温升  最高亮度（白平衡）持续工作4小时，模组表面温升小于20K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87、高温负荷工作 样品状态：通电工作，试验温度：80℃，试验时间：12h，试验结束后，产品能正常工作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88、低温负荷工作 样品状态：通电工作，试验温度：-40℃，试验时间：12h，试验结束后，产品能正常工作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89、高温存储  样品放入试验箱中，试验箱内温度80℃，存放48h，无异常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90、低温存储  样品放入试验箱中，试验箱内温度-40℃，存放48h，无异常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91、恒定湿热  样品状态：通电工作，试验温度：85℃，相对湿度：85%，试验时间：168h，试验结束后，产品能正常工作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92、湿热负载  LED显示屏最高工作环境温度下，相对湿度87%-93%，通电工作12h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93、自动gamma设置 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94、光生物安全检测 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95、盐雾  符合盐雾10级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96、阻燃  PCB板、防火保护外壳及内部其他元器件均达到V-0等级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97、冷热冲击 低温：-40℃，时间：0.5h，高温：100℃，时间：0.5h，转换时间：（3-5分钟）min，试验周期：上述试验为1个循环，试验进行200循环，样品状态：非工作状态；试验结束后，产品能正常工作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98、高低温循环 低温：-40℃，时间：0.5h，高温：80℃，时间：0.5h，转换时间：（3-5分钟）min，试验周期：上述试验为1个循环，试验进行200循环，样品状态：工作状态；试验结束后，产品能正常工作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99、点对点电阻A面 1x10^5～1x10^9Ω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100、点对点电阻B面 1x10^5～1x10^9Ω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101、静电电压衰减期 （±1000-±100V）≤2S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102、摩擦起电电压 ≤100V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103、电磁兼容/干扰 符合Class B标准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104、抗紫外线UV  暴露周期8h干燥、4h凝露，使用UVA340灯，辐照度0.76W/M2，干燥时，黑标温度：60℃，8h，凝露时，黑标温度：50℃，4h；试验结束后，样品表面无明显变化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105、抗干扰  符合IEC801规定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106、安全性  符合GB4793规定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107、一键点屏  支持一键点屏技术，开机后自动识别系统连接，无需重置系统配置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108、一键调试  支持联网一键下载程序文件和调试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109、箱体拼接设计 自动对位设计；具有拼缝微调功能；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110、箱体防护等级 IK10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111、箱体材质  镁合金/压铸铝/铁箱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112、箱体前后厚度 ≤85mm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113、支持采用电源双备份，两个电源互为备份方式，任一电源故障不影响屏体正常工作；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114、支持采用双系统备份，两套发送卡和两套接收卡互为备份方式，任一套发送卡和接收卡故障不影响屏体正常显示。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115、支持采用双电力备份，可以同时接入2路电力供电互为备份方式，任一电力故障不影响屏体显示；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116、电源具备PFC功能，功率因素≥0.95；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B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B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14.8</w:t>
            </w:r>
          </w:p>
        </w:tc>
      </w:tr>
      <w:tr w14:paraId="7FB8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7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陶铝吸音板装饰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屏幕旁陶铝吸音板装饰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D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8.5</w:t>
            </w:r>
          </w:p>
        </w:tc>
      </w:tr>
      <w:tr w14:paraId="6795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B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大屏包边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屏幕包边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F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16.32</w:t>
            </w:r>
          </w:p>
        </w:tc>
      </w:tr>
      <w:tr w14:paraId="51BA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屏幕框架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0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9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EE0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F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1.采用箱体+插卡卡槽设计，输入槽位≥9，输出槽位≥9，输入输出板卡支持热插拔。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2.采用模块化设计，采用FPGA架构，无内嵌操作系统，内部自建核心运算机制，图像处理性能优异。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3.支持任意分辨率输出，4K输出卡最高支持分辨率4096x2160@30Hz，最宽支持4096像素点，最高支持3840像素点。2K输出卡最高支持分辨率1920x1200@60Hz，最宽支持2560像素点，最高支持1920像素点。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4.支持画面任意开窗、叠加、漫游、分割、缩放、切割、拉伸等操作；单个输出显示屏最多支持≥8窗口显示。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5.支持LCD、LED大屏拼接显示，输出画面可实现任意拼接显示。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6.通过客户端软件可实现信号切换、信号预览、拼接设置、场景调用、场景保存、场景预览、分辨率设置、恢复出厂设置等。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7.通过客户端设置≥4组独立显示输出屏，可自定义每组输出屏的分辨率。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8.支持信号连接检测、信号切换、信号预览、场景保存调用、自动轮巡，支持≥128个场景保存和调用。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9.支持高清底图显示，动态字幕功能设置。（选配高级控制卡）（提供功能界面截图佐证）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10.内置WEB人机交互界面控制，支持电脑、手机、平板等多种系统控制设备，且兼容多款浏览器。（选配高级控制卡）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以上所有指标项，须具有CMA、CNAS、ilac-MRA标识的第三方权威检测机构出具的检测报告，提供检测报告复印件。</w:t>
            </w:r>
            <w:bookmarkStart w:id="289" w:name="_GoBack"/>
            <w:bookmarkEnd w:id="289"/>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由于软件决定着产品功能的完整性，要求软件具备《计算机软件著作权登记证书》，提供相关证书复印件以及在中国版权保护中心官网的查询结果截图。软件名称要求是“视频处理器文字图片编辑软件”或相近的软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8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8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F4B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5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1.最大功率：20KW；最大电流：125A（3相）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2.输出路数：18路；每路输出电流：25A；每路输出功率：3.5KW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3.输入电压：380V；输出电压：220V（单相）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4.控制方式：手动按键启动，自动为网口与485远程控制，中控控制(第三方控制)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5.报警功能：温度，烟雾远程监控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6.具有防雷、分步启动过流、过压、欠压保护功能。（防雷功能需选配）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7.支持多台配电柜联控，联动，可以设置区域一键全开，一按键全关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8.能实现对LED显示屏的远程控制上电，实现多时段智能定时开关屏电源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B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9B5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A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3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 U标准机架式机箱，运营级ATCA机箱系统，满足中小规模的监控需求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插拔式模块化设计，可根据需求灵活选择机型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业务模块支持智能风扇自动调温，确保系统稳定可靠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支持HDMI信号输入输出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支持H.264/H.265编码，默认采用H.265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解码支持H.265、H.264、MJPEG等主流的编码格式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支持8路高清视频编码能力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支持128路高清视频解码能力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视频输出最大的LED带载能力为单口260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支持3200 W高清视频解码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支持16个显示屏的任意大屏拼接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单输出口支持1/4/6/8/9/16/25画面分割显示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支持开窗和漫游，最多支持256个窗口，单屏支持4个1080p或者2个4K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支持电视墙预览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最大支持128个预设场景，用户可以自定义每个场景电视墙布局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支持虚拟LED功能，最多添加字幕8个，单墙3个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支持WEB方式访问和操作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支持ONVIF协议接入设备解码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支持GB28181协议接入平台实现管理和操作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机箱高度：3U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总线类型：千兆网交换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配置主控板数量：1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电源槽位数：2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配置电源数量：1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业务板槽位数：6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配置业务板数量：2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整机解码能力：128路1080P30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整机拼接能力：16路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网口：2个，RJ45，10M/100M/1000M自适应以太网口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USB接口：2个，USB 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串行接口：4个，1个Console控制口（RJ45接口）+ 1个reserve口（调试预留）+ 2个RS485/232复用口（RJ45接口）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电视墙数量：8个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电视墙规模：≤16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开窗数量：256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单口画面分割数：1/4/6/8/9/16/25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输入源复制能力：支持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工作温度：0°C ~ 50°C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工作湿度：10% ～ 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净重：≤7.6Kg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产品尺寸（宽×高×深）：442.4mm × 128mm × 341.6mm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音频输入接口数：8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音频输入接口类型：HDMI内嵌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视频输入分辨率：1024×768@60Hz、1280×1024@60Hz、1366×768@60Hz、1440×900@60Hz、1680×1050@60Hz、1280×960@60Hz、1600×1200@60Hz、1280×720P@50Hz、1280×720P@60Hz、1920×1080P@50Hz、1920×1080P@60Hz、1920×1200@60Hz、3840×2160@30Hz（仅奇数口）；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【支持自定义输入分辨率】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1.宽：800~1920，高：600~1200，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2.宽*高的范围：48W~230W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3.宽高对齐限制：宽度4对齐，高度2对齐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视频编码格式：支持H265/H264，默认H265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视频编码通道数：8</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视频编码能力：支持8路1080P60或4路4K30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音频编码格式：G722.1,G711_U,G711_A,AAC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视频输出分辨率：XGA_60 Hz(1024×768@60 Hz)/SXGA_60 Hz(1280×1024@60 Hz)/720P_60 Hz(1280×720@60 Hz)/UXGA_60 Hz(1600×1200@60 Hz)/WSXGA_60 Hz(1680×1050@60 Hz)/WUXGA_60 Hz(1920×1200@60 Hz)/1080P_60 Hz(1920×1080@60 Hz)/4K_30 Hz(3840×2160@30 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视频解码格式：H264,H265,Smart264,Smart265,MJPEG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视频解码通道：256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视频解码能力：H264/H265/Smart264/Smart265格式，8路3200W/2400W，或16路1600W，或20路1200W，或32路800W，或40路600W，或64路400W，或128路1080P，或256路720P/D1 及以下分辨率实时解码。（每4个输出口一组，共享解码能力）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MJPEG格式，支持16路200W解码。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音频输出接口数：16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音频输出接口类型：HDMI内嵌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音频解码格式：G711-A,G711-U,G722.1,G726-16/U/A,MPEG,AAC-LC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A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176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3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8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8英寸 同轴定阻天花喇叭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1.定阻8ohm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2.白色大面板，白色嵌入式铁网，铁筒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3.8英寸PP射出盆鼓纸低音+25mm 蚕丝音膜旋转式 高音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4.功率150瓦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5.频率响应：45-20KHZ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6.灵敏度 90dB±2dB(2.83V @ 1米)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3374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专业功放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3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额定输出功率：8Ω立体声300W×4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额定输出功率：4Ω立体声500W×4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额定桥接输出功率：8Ω桥接900WX2              电源要求：AC220V (可以定制AC110V)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结构：1U金属机箱设计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通道数：4CH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谐波失真（1kHz,8ohms) ：&lt;0.1%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频率响应：15Hz-20kHz: ±0.1dB (1W/8Ω)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输入阻抗：平衡20K ohm 非平衡 10K Ohm  输入灵敏度:0.775V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信噪比：≥100dB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阻尼系数:（350:1,1Khz 8ohms）               转换速率：28V/US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输出级：Class-D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LED指示灯：1颗电源指示灯/4颗信号指示灯/4颗失真指示灯/4颗削波指示灯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输入连接器：平衡卡侬公母座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输出连接器：SPEAKON</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9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4C0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C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6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2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DCD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D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2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7251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E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0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5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安装LED屏幕、吸顶喇叭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12B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3楼网安大队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DE36">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2BA">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60C">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39C">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4E9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A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F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1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1、像素点间距：≤1.538mm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2、单元板分辨率：≥21632Dots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3、刷新率：≥3840Hz，支持通过配套控制软件调节刷新率设置选项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4、像素构成：1R、1G、1B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5、封装方式：SMD表贴三合一，灯芯键合线材质为铜线，五面黑灯，表面不反光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6、驱动方式：恒流驱动；控制方式：同步控制系统；维护方式：前后双向维护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7、整屏平整度≤0.04mm；模组平整度≤0.03mm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8、白平衡亮度：0-700cd/㎡可调；亮度调节：0-100%亮度可调，256级手动/自动调节，屏幕亮度具有随环境照度的变化任意调整功能；亮度均匀性：≥99%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9、色温800K-18000K可调；白平衡状态下色温在6500K±5%；色温为6500K时，100%75%50%25%档电平白场调节色温误差≤100K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10、水平视角≥170°；垂直视角≥170°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11、对比度≥9000：1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12、具有H2S宽动态处理技术，解决主控机二次重复播放时的衰减等现象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14、供电电源：在4.2*（1±10%）VDC～4.5*（1±10%）VDC范围内能正常工作；峰值功耗≤300W/m²；平均功耗≤120W/m²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16、防护性能：具有防静电、防电磁干扰、防腐蚀、防霉菌、防虫、防潮、抗震动、抗雷击等功能；具有电源过压、过流、断电保护、分布上电措施、防护等级达到IP60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18、色坐标X、Y坐标符合SJ/T11141-2017 5.10.5规定；色度均匀性±0.001Cx、Cy内；色域空间≥120% NTSC，LED显示屏ColorSPace覆盖率≥170%YUV(PAL)</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3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3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7.4</w:t>
            </w:r>
          </w:p>
        </w:tc>
      </w:tr>
      <w:tr w14:paraId="3190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E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B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E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E51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91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1、采用标准 19 英寸金属结构机箱，机箱为后挂耳结构，上盖无螺钉安装:外壳防护等级符合GBIT 4280-2017中IP20的要求;采用纯硬件 FPGA 架构设计、运行稳定、可靠、高效。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2、输入接口至少包括1路HDMI2.0+LOOP,2路HDMI1.3，1路USB3.0，最大可支持4096*2160@60HZ信号输入，支持选配1路3G-SDI（IN+LOOP）。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3、视频输出支持不少于6路千兆网口输出，1路10G-OPT光口，最大带载可达390万像素，最宽支持10240,最高8192。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4、音频输入支持视频口伴随音频输入及独立输入两种模式，音频输出支持网口扩展输出及3.5mm独立音频口输出；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5、支持输入源备份功能，主源丢失下，无需人为操作可自动切换至备源显示，切换过程无黑屏；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▲6、可支持144HZ高帧率输入输出，输出支持插帧、抽帧、倍频（2倍频、3倍频、4倍频）功能，可将30HZ信号，倍频至120HZ输出；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7、图层能力：最大可支持不少于6个2K图层或1个4K图层+2个2K图层，全部图层大小和位置可单独调节。4K接口输入2K信号，按2K图层计算图层资源；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11、支持2种用户模式，标准模式和专业模式，满足不同角色对显示屏的分权管理，使用更加放心；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12、支持微信小程序快捷控制，包括亮度调节、输出画质调节、待机模式、画面冻结、场景切换、U盘播放等功能；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13、支持平板对控制器进行快捷控制，包括亮度调节、图层布局调节、画面冻结、黑屏、场景切换、音量大小、OSD开关等功能；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▲14、支持创建多个设备还原点，将当前设备的配屏，场景，输出等参数存储为还原点，当系统工作异常时，可根据还原点一键快速还原；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▲15、支持控制设备白名单，可通过MAC地址限制控制设备，非白名单内设备无法控制设备，不允许对设备进行操作；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▲16、MTBF≥150000小时，MTTR平均修复小于10分钟可用度大于 99%，整机寿命不小于150000小时。产品稳定性高、性能卓越、纯硬件结构，上电即可正常工作，无需做任何其它设置。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17、设备控制支持BS架构，可兼容多种操作系统包括但不限于：Windows、MAC OS、深度 Linux、银河麒麟、统信 UOS中标麒麟(NeoKylin)、优麒麟(UbuntuKylin)、凝思磐石、红旗 Linux 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0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B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43A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配电柜内装有空气开关、熔断器、交流接触器、电流互感器、电压互感器、电源防雷器等，具有过流、过压、欠压、短路、断路、超温、超负荷、断电、等保护功能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C5A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C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8路解码器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0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超高清解码器，单口画面分割数：1,2,4,6,8,9,12,16,25，视频解码能力：H.264/H.265：支持4路3200 W，或4路2400 W，或8路1200 W，或16路800 W，或20路600W，或32路400W，或64路1080P，或128路720P及以下分辨率实时解码，视频输出接口类型：8路HDMI 1.4，支持4K，视频输入接口：2路HDMI 1.4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2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349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A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类型：六分区独立音量控制、定压合并式功放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额定功率：240W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输出方式：100V 定压输出（公共广播/背景音乐）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分区：6分区独立音量旋钮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A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9B5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额定功率：10W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单元：6英寸复合纸纤维音盆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频率响应：120Hz–20kHz（±3dB）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灵敏度：98dB（1W/1m）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安装方式：吸顶嵌入式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E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F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67D9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9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5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C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B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81B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A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4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3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安装LED屏幕、吸顶喇叭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D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34E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0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监控、公共广播、门禁、综合布线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F93">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70B7">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3C5">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064D">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268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A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吸顶喇叭</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1.全频带单元喇叭，全频段范围覆盖；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2.特殊阻尼处理，降低失真，频率响应平坦宽广；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3.高灵敏度，优越指向性，音质清澈亮丽悦耳；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1.70V功率：3W、1.5W；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2.100V功率：6W、3W；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3.定压输入：70V-100V；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4.频响:100Hz-15KHz；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5.灵敏度:93±3dB；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6.天花板开孔：Φ170mm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7.产品外形尺寸：Φ188*76mm；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8.安装形式:吸顶式；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9.外壳材料:ABS+IRON；</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5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r>
      <w:tr w14:paraId="4490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7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广播线缆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20*50芯线缆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2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620</w:t>
            </w:r>
          </w:p>
        </w:tc>
      </w:tr>
      <w:tr w14:paraId="7BC7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C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IP网络功放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1.高档铝质1U黑色拉丝面板，19英寸机柜式安装，美观大方；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2.采用国产化集成芯片及Linux系统，具有优良的稳定性、安全性、可移植性、灵活性，非单片机方案可比拟；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3.CPU采用ARM Cortex A7@900MHz;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4.音频编解码：支持软件编解码，支持G.711、G.726、ADPCM，支持音频3A(AEC/ANR/AGC)；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5.标配1个10/100M RJ45网络通讯接口，支持局域网与广域网布署；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6.内置1路网络硬件音频解码模块，实现实时/定时播放音乐;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7.采样率后台可以调整，局域网内可自由选择使用最高采样率提升最佳音质（支持WAV 8K/16K/44.1K，ACC 16K/44.1K/48K可选）；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8.后台硬件资源监测，可显示CPU、内存占用比率，持续运行时间显示；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9.本设备可支持局域网及广域网单机及批量远程升级，便于有效快速为客户服务；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10.音量电位器采用全密封式防尘工艺，永久防尘，调节无杂音；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11.采用宽电压PFC电路，AC100V-240V供电都可正常使用，无俱电压波动影响；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12.采用高效率D类数字放大器，具有完善的过载、过压、高温、直流等保护电路；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13.额定输出功率为:120W，输出方式为4-16欧定阻输出、70V、100V定压输出；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14.1路本地话筒输入，具有独立音量调节；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15.1路本地线路输入，具有独立音量调节；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16.1路EMC紧急音频输入，用于优先强插，与网络信号同级；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17.1路音频信号辅助输出接口，可扩展外接功率放大器；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18.1路USB输入接口，可播放U盘内所有曲目，即插即播，无需操控；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19.具有4个LED状态指示（电源指示、音频信号指示、消峰指示、保护指示），工作状态一目了然；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20.本设备设有2级优先功能，EMC与网络为最高优先级，MIC、AUX为第二级；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21.功放采用智能电源管理，无节目时自动关闭主要电源，满足节能环保要求，必要时也可手动打开与关闭；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22.散热风扇采用智能温度控制管理，温度低时转速慢，随着温度升高自动提升转速，有效延长风扇寿命；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23.整机待机功耗小于10W，满足国家环保节能认证标准要求；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1.网络接口：标准RJ45输入；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2.支持协议：HTTP、HTTPS、UDP、TCP\IP、RTP、RTSP、RTMP、MQTT、FTP、SIP；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3.音频格式：mp3、wav；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4.总谐波失真：≤0.5%，三分之一功率；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5.音频模式：16位立体声CD音质；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6.采样率：8K～48K；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7.比特率：8K～320Kbps；；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8.LINE OUT输出电平：775mV，2位莲花座；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9.LINE OUT输出阻抗：470 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10.AUX输入灵敏度：300mV（非平衡）；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11.MIC输入灵敏度：10mV（非平衡）；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12.EMC输入灵敏度：300mV（非平衡）；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13.待机功耗：＜10W；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14.频率响应：90Hz~15KHz；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15.输出方式：4~16Ω定阻输出、70V/100V定压输出；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16.保护电路：直流输出、过载、过温、短路保护电路；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17.环境温度：-20℃～60℃；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18.环境湿度：20%～80%相对湿度；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19.输入电源：~AC100-250V，50/60Hz；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347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3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控制主机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1.高档7U铝合金黑色拉丝面板，美观大方；</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2.嵌入触摸屏和数字矩阵键盘操作集成软件；</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3.工业级机柜式机箱设计，有较高的防磁、防尘、防冲击的能力；</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4.强大的兼容性，兼容LUNIX/麒麟/统信系统/WINDOWS系统；</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5.防震抗干扰，加能静音，耐高低温，适应各种环境；</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6.支持7*24小时不间断运行；</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7.处理器：国产兆芯8核CPU，主频2.7GHz；</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8.显示屏：17.3寸高分辨率触摸液晶显示屏；</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9.内存：国产内存DDR4 2400/2666MHz，8G DIMM Slot接口，可扩展至16G；</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10.硬盘：国产硬盘，板载128GSSD固态硬盘，mSATA接口；</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11.电源类型：工业开关电源；</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12.操作系统：支持Vista/WinXP/Win2000/Linux/UINX/优麒麟/银河麒麟/统信UOS/Windows系统；</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13.触摸屏：工业电阻式触摸屏；</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14.硬盘扩展：1个SATA2.0 Connector，两个SATA3.0 Connectors；</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15.显示接口：1个VGA接口，1个HDMI；</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16.网口：2个，支持10/100/1000Mbps；</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17.串口：1个，RS-232串口；</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18.USB：3.0 USB*6个，2.0 USB*6个；</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19.音频输入：四个莲花接头，一个3.5话筒输入接口，一个6.35话筒输入接口；</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20.鼠标键盘接口：1个PS/2；</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21.电源接口：三位凤尾插接口；</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22.尺寸规格：485mm（D)*300mm(W)*310mm(H)不含机脚；</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23.工作环境：-10℃~50℃；</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24.存储温度：-20℃~60℃；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9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A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D8A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1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数字化网络广播系统服务平台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A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软件平台功能介绍：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一、系统构架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1、支持BS架构，网络化设计，支持广域网和局域网；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2、安全协议：支持https双向验证，须安装秘钥才能使用；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3、适用系统：支持Linux、Windows、server、麒麟系统；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4、数据库：MYSQL数据库、国产数据库；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5、网络协议：支持UDP、RTP、RTMP、TCP、FTP、RTSP、HTTP、SIP、HTTPS、组播、单播；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6、二次开发：支持与第三方平台对接联动，提供平台SDK调用接口和文档，支持OIDC单点登录，可作为子系统运行，实现与大系统、大平台的系统整合；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7、主备服务器切换：可设置主服务器以及备份服务器，当主服务器故障时，备份服务器可自动接替主服务器进行工作；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8、融合性：集成IP、4G、5G等编解码与控制于一体，同一平台可同时控制以上网络终端，可单一控制，可混编控制；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9、系统容量：支持100000路以上终端同时接入，支持100000路以上终端全区、分区、单点控制和播放；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10、平台具有录音、存储、回传和播放功能；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二、信号传输方式：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1、支持通过IP/WIFI/4G/5G网络下发音频、视频、文本文件；支持获得各通道播放状态，并展示播发进程；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三、系统备份：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1、支持系统数据备份及数据恢复；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2、支持设备系统数据导出为XLS，支持XLS备份文件数据导入；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四、系统平台注册：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1、支持USB加密狗硬件注册方式，注册时可设定使用时间期限，可自由更换服务器；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2、支持序列号注册方式，注册时通过注册码获取序列号，注册过程中可选择授权终端数量及使用时间期限，具备更高的安全性能；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3、注册成功后可查看注册码、注册状态及过期时间；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五、单位与账号管理：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1、系统注册后，可按默认账号密码登录，支持修改默认账号用户名及登录密码；支持多账号在局域网/广域网同时登录平台；支持对不同单位创建不同的账号，账号数量不限；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2、支持自定义创建账号用户名及登录密码，支持修改创建账号的用户名及登录密码；通过用户名及登录密码登录系统平台，登录时需在规定时间内通过图片验证，超过时间则验证失败，无法登录；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3、支持创建不同单位，每个单位默认为一个分区，支持自定义单位名称；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4、上级单位具备对本级或对所管辖的下级单位管理功能，包括账号管理、资源管理、设备管理、实时广播、定时广播、播放设置、远程控制、查看记录等；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5、支持账号权限设置，具备管理员、操作员权限；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六、系统音量管理：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1、支持对所有接入设备远程设置音量；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2、支持APP设置所有设备音量；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3、支持设置默认音量和临时音量；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4、支持音量记忆功能，自动恢复默认音量；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七、系统日志管理：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1、可实时查看本机登录记录，包含设备登录类型，时间，用户名，状态，IP地址记录；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2、可实时查看本机实时任务操作记录，包含任务名称，设备名称，音源名称，音量，播放模式，任务类型，优先级，操作时间，操作用户；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3、可实时查看本机定时任务操作记录，包括任务类型，设备名称，文件名称，音量，播放模式，优先级，创建时间，开始时间，结束时间，日期模式，电源电路；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4、可实时查看本机对讲记录，包含设备名称，对讲设备，开始时间，结束时间；支持下载和试听对讲记录内容；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5、可实时查看本机消防报警记录，包括设备名称，任务名称，播放设备名称，设备音源，消防触发输入，音量，临层；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八、设备列表管理：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1、设备列表默认展开第一级；支持显示设备总数、在线数、离线数及在线率；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2、支持以列表结构显示设备所在单位、设备ID、设备IP及设备状态；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3、支持以列表结构显示设备播放状态、播放音源、音量；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查看设备详细信息，包括：功放状态、考试模式状态、设备版本号、信号值、噪音值、温度等设备状态管理：支持以不同颜色体现设备当前状态，其中灰色为离线、蓝色为在线、绿色为在线且正在执行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九、GIS地图管理：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1、支持GIS地图管理功能，采用2D地图，通用的瓦片格式png；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2、支持通过设备经纬度在GIS地图精确定位；支持在GIS地图设备检索功能，可快速定位设备；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3、支持在GIS地图展示广播设备基本信息、播放信息、地理信息、运行状态，不同状态区分显示；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4、支持在GIS地图查看定位好的设备可查看设备名称、设备类型、设备IPID、设备状态和经纬度；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5、支持GIS地图圈选播放；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6、支持自定义GIS地图设备图标样式，进行设备多元化管理；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十、平面图管理：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1、支持上传设备安装区域平面图，并且将设备安装位置在平面图内关联设备，支持设备检索功能，可快速定位设备，支持平面地图圈选播放；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十一、信息发布：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1、支持创建实时任务，具备一键启动、一键停止、一键暂停功能按钮，可批量设置任务；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2、创建实时任务时，支持选择不同网络设备或单位，实现全区、分区、分组、单点广播或喊话；支持多路并发功能，可实现同一时间，向不同设备或单位播放不同的广播内容；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3、实时任务创建后自动生成任务列表，可查看实时任务对应的设备名称、音源名称、音量、播放次数、播放模式、优先级；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具备修改任务功能按键，可修改实时任务的播放设备、音源、音量、播放次数、播放模式及优先级，具备保存和撤销按键，点击按键后可保存或撤销实时任务的修改；支持设置音量功能，支持在播放状态下，通过线条拖拽式调整实时任务音量，支持0-32级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5、具备删除任务功能按键，可删除实时任务，支持单独或批量删除；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6、支持选择预案功能，可快速导入系统预案任务，实现快捷发布功能；支持自定义自动触发预案和手动一键启动预案；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7、支持设置实时任务优先级，具备1-32级优先级，数字越小，优先级越高；支持设置实时任务播放次数，播放次数默认1次，最高不限；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8、支持播放模式设置，播放模式可选：单曲播放、单曲循环、列表播放、列表循环、随机播放；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9、支持音源选择，音源选择列表具备默认列表、音频文件和文本文件选择列表，支持检索功能，可快速检索所需的资源文件；支持文本转语音、音频、视频文件发布；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10、支持终端设备预开功能设置（即在任务播放前提前几秒打开终端设备）；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11、实时任务播放过程中，支持在任务界面以线条样式展示实时任务播放进度、当前播放的音源名称、音源时长，支持线条拖动调整音源播放进度，具备上一曲、下一曲切换按键；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12、具备广播提示音设置功能，预设多种广播提示音，可开启/关闭该功能；支持自定义广播提示音；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十二、服务器采播：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1、支持服务器采播功能，可采播服务器声卡内容；可选择服务器声卡的音源类型，具备线路、话筒、立体声选项，采播时可显示当前状态，分别为空闲中、采播中；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2、支持选择已制定的服务器采播预案任务，预案任务可预先设置任务音量、优先级、音源、设备，支持快捷操作；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十三、客户端采播：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1、客户端分控软件支持局域网/广域网，经授权后可连接到系统平台；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通过客户端分控软件采播客户端声卡内容，并发送到对应网络设备或单位；支持选择不同网络设备或单位，实现全区、分区、分组、单点广播或喊话；直接实时拖动调节采播任务音量大小，支持0-32级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十四、考试模式切换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1、启动考试模式情况下，广播备份的切换方式在300ms内由网络切换到100v定压备份；支持系统保持切换至备份音频；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2、支持系统配置指定终端在指定时间段内启用考试模式，支持一键开启、一键结束所有设备的考试模式；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十五、定时方案管理：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1、支持创建定时任务方案，方案数量不限；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2、具备新增、删除、更改、保存、撤销功能按键，可对定时方案进行管理；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3、具备刷新按钮，可刷新定时方案信息；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4、具备导入、导出功能，可导出平台定时方案列表或导入定时方案列表到平台；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5、支持修改定时方案任务信息，包括：方案名称、开始时间、结束时间，可更改定时任务状态为开启或关闭；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6、支持设置定时方案节假日模式，可通过日历列表选择节假日，支持开启、关闭节假日模式；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十六、定时任务管理：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1、双击定时方案，可进入定时任务设置界面，单一方案可设置多个定时任务；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2、具备节假日模式，支持单独或批量开启、关闭节假日模式，开启节假日模式后可自动跳过选定的节假日；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3、具备快速复制功能按钮，可快速复制选择的定时任务；支持多设备、多任务同时批量设置；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十七、离线任务：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1、支持设置离线任务，离线任务自动和手动一键下发至终端设备的TF/SD卡；支持将定时任务文件，定时更新到各IP终端机本地自带的TF/SD卡中，确保IP终端本地的定时任务及时更新，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2、当平台下发离线任务时终端不在线，终端上线时可自动获取离线任务；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3、离线任务具有优先级执行机制，当同时有多个任务时，自动执行高级别的任务；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4、平台、服务器或网络故障时，终端自动执行离线定时任务；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5、支持通过平台查看IP终端设备TF/SD卡中的离线任务，可远程格式化TF/SD卡，一键清空设备所有离线任务；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十八、预案制作：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1、支持创建系统预案，可设置预案任务的名称，预案任务数量不限；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2、预案任务可自定义设备区域，可添加全区、分区、分组、单点设备设备创建预案；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3、支持预案任务播放模式设置，可设置：单曲播放、单曲循环、列表循环、列表播放、随机播放；支持预案任务音量设置，支持1-32级音量调节或默认音量；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4、支持预案任务播放次数设置，次数不限；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5、支持预案制作音源设置，音源设置列表具备默认列表、音频文件、图像文件、文本文件列表选择；支持媒体资源检索功能，可快速选择所需资源文件；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6、支持设置预案任务优先级，具备1-32级优先级设置，数字越小，优先级越高；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7、支持同界面查看预案任务列表，包括：任务名称、预案等级、播放设备、文件名称、播放模式、音量、播放次数；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8、具备预案任务删除按键，点击按键后可删除预案任务；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十九、媒体上传：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1、支持选取MP3、WAV格式音频文件上传到服务器，支持批量选取音频文件上传到服务器；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2、支持对服务器音频文件批量管理、批量删除；支持下载、试听、删除服务器音频文件；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3、支持通过列表的形式展示服务器音频文件的文件名称、文件内容、播放时长/字数、上传时间；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4、支持媒体文件分类分用户管理，可配置公有/私有文件夹，私有文件单独使用；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二十、文本文件上传：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1、支持在线编辑文本文件并上传到服务器，文本文件内容≥1000个字，可设置文本文件的名称；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2、支持设置文本文件的语言种类（普通话男、普通话女）、语速（慢、较慢、正常、较快、快），支持一键上传、一键重置；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3、支持TTS文字转语音功能，并能与系统内置的敏感词库进行对比，非法字符则不广播；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4、支持文本文件分类分用户管理，可配置公有/私有文件夹，私有文件单独使用；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二十一、设备管理功能：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1、支持系统设备的增加、删除及更改；支持通过系统平台查看未知设备列表；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2、支持一键添加系统设备，可设置设备名称、设备类型、设备优先级（1-32）、服务器IP、设备经度、维度、RDS逻辑、设备默认音量等；服务器IP支持手动或自动设置；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3、支持启用拖拽功能，可快速将设备在不同单位之间拖拽、分类；</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4、支持对下述设备进行远程管理、维护，支持远远程重启功能，支持远程选取升级文件对设备程序OAT远程升级；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E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4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577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9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A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桌面操作系统</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90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1、支持安卓手机与鸿蒙系统使用APP；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2、接入进IP广播云网内，方便用户移动使用；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3、可任意选择终端广播全区，分区，点对点进行功能操作；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4、支持点播服务器媒体库节目；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5、支持直接喊话广播；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6、支持查看终端工作状态；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7、支持监听终端播放节目；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8、支持音频对讲与可视对讲；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9、支持发布实时任务与定时任务；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10、支持实时监看带摄相头终端图像；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11、具备手机本地音频文件上传媒体库功能；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12、具备文字转语音，并具有语种与语速选择，上传媒体库；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13、支持锁屏密码，九宫格解锁，广播时间设置、安全加密、证书验证功能；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14、支持录音、录像保存，可设置手动、定时删除录音文件；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4CF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4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网络寻呼话筒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1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1、铝合金拉丝面板，桌面式话筒设计，高端大气；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2、内嵌IP话筒软件配套使用；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3、采用国产芯片，Linux系统，性能稳定，运行快捷；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4、采用DSP软件音频解码方案，高保真；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5、10.1英寸真彩色屏，触控操作，人性化人机操作界面，简单快捷；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6、具有与各终端、数字网络远程呼叫站实现双向对讲功能；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7、寻呼话筒主界面具备≥六个快捷功能按键和音量调节按键，可实现广播、对讲、点播、U盘、监听、设置和全区广播功能。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8、内置高保真3W/8Ω全频监听喇叭，实现网络监听；</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9、具有一键启动全区广播功能，支持多个快捷分区广播一键启动功能；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10、具有通过触摸屏实现对各终端全区、分区、分组、定点进行广播和操作；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11、具有采播本机U盘MP3、线路、话筒等音源向指定终端广播功能；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12、具有本机点播平台媒体库音源向指定终端广播功能；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13、支持平台对本机远程升级功能；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14、支持平台对本机优先级别和权限设置功能；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15、具有实时时钟显示并支持自动校准时间功能；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16、具有设置、修改本机IP地址功能；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17、具有数字密码保护功能，输入密码才能进入菜单操作；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18、具有USB插口，支持MP3播放；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19、支持脱离服务器实现向终端全区、分区、分组、定点进行广播和操作；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20、具有3.5接口音频输入和输出接口（向终端点播平台媒体库时不支持本地输出）；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21、配置高指向拾音麦克风，保证通话清晰无干扰，麦杆可以随意拆卸；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22、支持DHCP，兼容路由器、交换机、网桥网关、Internet、组播、单播等任意网络结构；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23、内置网络隔离防雷处理电路；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1、网络接口：标准RJ45；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2、电源：DC12V/3A；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3、MIC输入灵敏度：10mV；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4、最大功耗：≤10W；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5、线路输入电平：300mV；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6、显示屏尺寸：10.1英寸；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7、内置扬声器输出阻抗&amp;功率：8Ω&amp;3W；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8、LineOut输出电平&amp;阻抗：0、775V&amp;1KΩ；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9、音频位率：8Kbps～320Kbps自适应自适应；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10、频率响应：40Hz～8KHz；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11、信噪比：≥80dB；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12、采样率：8K～48K；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13、通信协议：HTTP、HTTPS、UDP、TCP\IP、RTP、RTSP、RTMP、MQTT、FTP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14、音频格式：mp3、wav；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15、总谐波失真：≤10%；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16、网络传输速率：100Mbps；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17、待机功率：≤1W；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18、工作环境温度：-20℃～+70℃；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19、相对湿度：20%～80%，非凝结状态；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20、产品尺寸：236*152*66mm（不含咪杆高度）；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D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6F8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0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监听音箱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5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xml:space="preserve"> 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1.一体化网络音箱，中灰色木质箱体与铁质冲网；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2.采用国产化集成芯片及Linux系统，具有优良的稳定性、安全性、可移植性、灵活性，非单片机方案可比拟；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3.CPU采用ARM Cortex A7@900MHz;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4.音频编解码：支持软件编解码，支持G.711、G.726、ADPCM，支持音频3A(AEC/ANR/AGC)；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5.标配1个10/100M RJ45网络通讯接口，支持局域网与广域网布署；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6.内置1路网络硬件音频解码模块，实现实时/定时播放音乐;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7.采样率后台可以调整，局域网内可自由选择使用最高采样率提升最佳音质（支持WAV 8K/16K/44.1K，ACC 16K/44.1K/48K可选）；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8.后台硬件资源监测，可显示CPU、内存占用比率，持续运行时间显示；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9.本设备可支持局域网及广域网单机及批量远程升级，便于有效快速为客户服务；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10.内置D类立体声2×30W功放电路，音质细腻，功率强劲；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11.采用6.5寸中低音单元与3寸高音单元，提供清晰的语言表现；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12.1组RCA线路和1路6.35话筒输入接口，具有独立的音量调节；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13.网络音量大小可本地调节；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14.1路音频功率输出，外接1只30W定阻8欧音箱；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15.整机待机功耗小于10W，满足国家环保节能认证标准要求；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16.1路数据串口，可以通过串口查询数据，也可以做扩展功能口使用；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1.网络接口：标准RJ45；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2.支持协议：HTTP、HTTPS、UDP、TCP\IP、RTP、RTSP、RTMP、MQTT、FTP、SIP；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3.音频格式：mp3、wav；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4.采样率：8K～48K；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5.网络传输速率：100Mbps；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6.音频模式：16位立体声CD音质；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7.输出频率：80Hz～18KHz；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8.谐波失真：≤1%；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9.信噪比：≥80dB；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10.额定功率：2*30W；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11.线路输入灵敏度：3.5标准音频端子；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12.工作环境温度：-20℃～70℃；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13.相对湿度：20%～80%，非凝结状态；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14.功耗：≤80W；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15.输入电源：AC100~240V 50Hz；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C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6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249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2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电源管理器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FD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1.高档铝质2U黑色氧化拉丝面板，美观大方；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2.公共广播系统电源管理之首选；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3.按顺序开启/关闭16路受控设备电源；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4.机器输出总容达4.5KW；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5.带短路与AC220V控制开关机功能；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6.关机后后排输出座可完全断电；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7.本机电源输入电缆线直接与工业用电器自动空气开关连接；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8.配合系统定时器可定时开启/关闭16路电源；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1.插座输出容量：总容量4.5KW，每个插座平均可分配承受负载能力282W；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2.控制信号：AC220V,10Ma,低电平短路信号；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3.动作时间间隔：0.4S ~ 0.5S；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4.通道切换能力：2 kW(VA)；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5.可控制电源输出：十六路(CH1 ~ CH6)；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6.电源线：(3×1.5 mm2)×1.5M  (标准)；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7.电源：AC 220V ± 10% 50-60Hz；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8.电源消耗：25~30W；</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8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D1A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2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24个10/100/1000Base-T RJ45端口，2个1000Mbps SFP端口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9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3DE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7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IP网络功放终端</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1.高档铝质1U黑色拉丝面板，19英寸机柜式安装，美观大方；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2.采用国产化集成芯片及Linux系统，具有优良的稳定性、安全性、可移植性、灵活性，非单片机方案可比拟；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3.CPU采用ARM Cortex A7@900MHz;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4.音频编解码：支持软件编解码，支持G.711、G.726、ADPCM，支持音频3A(AEC/ANR/AGC)；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5.标配1个10/100M RJ45网络通讯接口，支持局域网与广域网布署；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6.内置1路网络硬件音频解码模块，实现实时/定时播放音乐;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7.采样率后台可以调整，局域网内可自由选择使用最高采样率提升最佳音质（支持WAV 8K/16K/44.1K，ACC 16K/44.1K/48K可选）；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8.后台硬件资源监测，可显示CPU、内存占用比率，持续运行时间显示；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9.本设备可支持局域网及广域网单机及批量远程升级，便于有效快速为客户服务；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10.音量电位器采用全密封式防尘工艺，永久防尘，调节无杂音；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11.采用宽电压PFC电路，AC100V-240V供电都可正常使用，无俱电压波动影响；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12.采用高效率D类数字放大器，具有完善的过载、过压、高温、直流等保护电路；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13.额定输出功率为:240W，输出方式为4-16欧定阻输出、70V、100V定压输出；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14.1路本地话筒输入，具有独立音量调节；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15.1路本地线路输入，具有独立音量调节；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16.1路EMC紧急音频输入，用于优先强插，与网络信号同级；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17.1路音频信号辅助输出接口，可扩展外接功率放大器；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18.1路USB输入接口，可播放U盘内所有曲目，即插即播，无需操控；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19.具有4个LED状态指示（电源指示、音频信号指示、消峰指示、保护指示），工作状态一目了然；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20.本设备设有2级优先功能，EMC与网络为最高优先级，MIC、AUX为第二级；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21.功放采用智能电源管理，无节目时自动关闭主要电源，满足节能环保要求，必要时也可手动打开与关闭；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22.散热风扇采用智能温度控制管理，温度低时转速慢，随着温度升高自动提升转速，有效延长风扇寿命；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23.整机待机功耗小于10W，满足国家环保节能认证标准要求；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1.网络接口：标准RJ45输入；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2.支持协议：HTTP、HTTPS、UDP、TCP\IP、RTP、RTSP、RTMP、MQTT、FTP、SIP；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3.音频格式：mp3、wav；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4.总谐波失真：≤0.5%，三分之一功率；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5.音频模式：16位立体声CD音质；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6.采样率：8K～48K；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7.比特率：8K～320Kbps；；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8.LINE OUT输出电平：775mV，2位莲花座；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9.LINE OUT输出阻抗：470 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10.AUX输入灵敏度：300mV（非平衡）；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11.MIC输入灵敏度：10mV（非平衡）；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12.EMC输入灵敏度：300mV（非平衡）；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13.待机功耗：＜10W；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14.频率响应：90Hz~15KHz；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15.输出方式：4~16Ω定阻输出、70V/100V定压输出；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16.保护电路：直流输出、过载、过温、短路保护电路；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17.环境温度：-20℃～60℃；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18.环境湿度：20%～80%相对湿度；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19.输入电源：~AC100-250V，50/60Hz；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6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664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A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7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4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一、产品功能描述：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1.米白色烤漆，外型结实纯厚，美观大气；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2.全铝合金外壳，坚固耐用，具有良好的防水性能；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3.音质饱满圆润，远射程设计，声音清晰通透；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4.内置高保真8寸低音单元和3.5寸号角高音单元，性能高效；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5.适合于室外背景音乐场所，支架式壁挂或立杆安装；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1.额定功率:120W；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2.定压输入:100V；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3.频响:80Hz-16KHz；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4.灵敏度:111±3dB；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5.安装方式:壁挂式室外音柱；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6.外壳材质:铝合金/铝网；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7.外型尺寸:665*250*230mm；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8.喇叭配置:8"*2+3.5"*1；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53C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9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音柱支架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6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尺寸：160×62×30mm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0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364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F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球型摄像机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E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6寸通用全彩球机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400万23倍光学变倍，16倍数字变倍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适用于交通道路、广场、公园、出入口、园区周界等场景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设备支持人车检测信息叠加至码流，配合smart nvr配合实现图搜或文搜的功能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采用高效补光阵列，红外补光150m，白光补光100m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支持区域入侵侦测、越界侦测等智能侦测功能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支持最大2560×1440@30fps高清画面输出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支持双mic拾音功能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内置加热玻璃，有效除雾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支持2进1出报警接口，1进1出音频接口，最大支持512G microSD卡存储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传感器类型：1/2.8＂ progressive scan CMOS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最低照度：彩色：0.005Lux @ (F1.5，AGC ON)；黑白：0.001Lux @(F1.5，AGC ON) ；0 Lux with IR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焦距：5.9mm-135.7mm，23倍光学变倍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视场角：水平视场角：60.2°~3.4°（广角~望远）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垂直视场角：35.2°~1.8°（广角~望远）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对角视场角：67.4°~3.6°（广角~望远）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补光灯类型：混合补光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补光灯距离：红外照射距离：最远可达150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白光照射距离：最远可达100 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水平范围：360°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垂直范围：-15°-90°(自动翻转)</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水平速度：水平键控速度：0.1°-120°/s,速度可设;水平预置点速度：120°/s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垂直速度：垂直键控速度：0.1°-80°/s,速度可设;垂直预置点速度：80°/s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主码流帧率分辨率：50 Hz：25 fps（2560 × 1440，1920 × 1080，1280 × 960，1280 × 720）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60 Hz：30 fps（2560 × 1440，1920 × 1080，1280 × 960，1280 × 720）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视频压缩标准：H.265;H.264;MJPEG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宽动态：支持真宽动态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内置麦克风：支持双mic功能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网络接口：RJ45网口，自适应10M/100M网络数据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SD卡扩展：支持MicroSD/MicroSDHC/MicroSDXC卡，最大支持512 GB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报警：2路报警输入，1路报警输出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音频：1路音频输入，音频峰值：2-2.4 V[p-p]，输入阻抗：1 kΩ±10%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1路音频输出，线性电平，阻抗:600 Ω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供电方式：DC36V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电流及功耗：最大功耗：24 W（其中除雾加热1.6W，补光灯9W）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工作温湿度：-30℃-65℃,湿度小于90%(无凝结)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恢复出厂设置：支持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除雾：加热玻璃除雾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尺寸：Ø208 mm × 344.7 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重量：3.0 kg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防护：IP66，符合GB/T 17626.5 认证标准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B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74A5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5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球机定制支架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6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球机定制伸出支架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7C33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球机支架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2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球机吊装支架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材质：铝合金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尺寸：Φ116.5×200mm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重量：1000g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1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B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0E55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9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5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rvv2*4.0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360</w:t>
            </w:r>
          </w:p>
        </w:tc>
      </w:tr>
      <w:tr w14:paraId="636C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2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结构化摄像机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7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全结构化全彩筒机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采用深度学习算法，以海量图片及视频资源为路基，通过机器自身提取目标特征，形成深层可供学习的图像。极大的提升了算法的检出率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支持多种智能模式：全结构化（默认）、目标抓拍、目标比对、道路监控、Smart事件、人数统计多种智能模式可按需切换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全结构化模式：a)抓拍人体：支持运动方向、上衣颜色、下装颜色、性别、年龄段、戴眼镜、背包、拎东西、戴帽子、戴口罩、发型、上衣类型、下装类型等属性识别，b)抓拍人脸：支持性别、年龄、年龄段、戴眼镜、戴口罩、表情、戴帽子等属性识别，c)抓拍非机动车：支持上衣颜色、下衣颜色、性别、戴眼镜、年龄段、背包、拎东西、戴帽子、戴口罩、上衣类型、下装类型、戴口罩、发型、非机动车类型，d)抓拍机动车：支持车身颜色、车型识别、车辆行驶方向、车牌颜色、车牌类型等属性识别</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目标抓拍模式：a)支持对运动人脸进行检测、抓拍、评分、筛选，输出优选的人脸，b)支持去误报、快速抓拍人脸，c)支持快速抓拍和优选抓拍两种模式，d)最多同时检测60张人脸，e)支持人脸去重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目标比对模式：可支持15万张图片库导入，比对结果支持报警输出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mart事件模式：越界侦测，区域入侵侦测，离开区域侦测，离开区域侦测，徘徊侦测，人员聚集侦测，快速运动侦测，停车侦测，物品拿取侦测，物品拿取侦测，场景变更侦测，音频陡升侦测，音频陡降侦测，音频有无侦测，虚焦侦测。其中越界侦测，区域入侵侦测，进入区域侦测，离开区域侦测为深度学习算法，支持联动声光预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人数统计模式：a)人员统计：支持实时报警，人数变化报警和拥堵等级变化报警，并支持人数异常和停留时间异常报警，b)异常行为识别：支持岗位检测，以及岗位检测报警，c)区域关注度：支持区域人数检测、停留时长检测、实时数据上传，并支持区域人数分析和队列状态分析展示，d)热度图：支持设备上报和平台查询方式获取信息，并支持上报伪彩图背景大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鳞镜补光：采用隐藏式灯珠设计，通过鳞甲密布排列形成的镜面反射出光，见光不见灯。增加发光面积，降低聚光效果，补光柔和均匀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设备内置电动变焦镜头，操作便易，变焦过程平稳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设备内置2个麦克风，内置1个扬声器，支持语音对讲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最高分辨率可达400万像素，并在此分辨率下可输出30fps实时图像，图像更流畅，支持透雾、电子防抖，支持宽动态120 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支持开放型网络视频接口，ISAPI，GB28181，ISUP5.0，视图库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支持标准的512 GB MicroSD/MicroSDHC/MicroSDXC卡存储，支持10 M/100 M/1000 M自适应网口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支持三级用户权限管理，支持授权的用户和密码，支持IP地址过滤，支持GB35114安全加密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接口：支持音频1路输入，1路输出；支持报警1路输入，1路输出；支持1路RS485.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宽动态：120 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最低照度：彩色：0.0005 Lux @（F1.0，AGC ON）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传感器类型：1/1.8" Progressive Scan CMOS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焦距&amp;视场角：8~32 mm：水平视场角：36°~15.3°，垂直视场角：20.6°~8.7°，对角视场角：41.2°~17.4°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补光距离：普通监控：50 m，目标抓拍/识别：7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补光灯类型：鳞镜补光，暖白光，4颗灯珠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最大图像尺寸：2688 × 1520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视频压缩标准：H.265/H.264/MJPEG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网络：1个RJ45 10 M/100 M/1000 M自适应以太网口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SD卡扩展：内置MicroSD/MicroSDHC/MicroSDXC插槽，最大支持512 GB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复位：支持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音频：1路输入（Line in），1路输出（Line out），2个内置麦克风，1个内置扬声器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报警：1路输入，1路输出（报警输入支持开关量，报警输出最大支持DC12 V，30 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RS-485：1路RS-485接口，采用半双工模式，支持自适应HIKVISION，PELCO-P和PELCO-D协议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接口类型：外甩线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电源输出：DC12 V，50 mA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在线升级：支持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恢复出厂设置：支持RESET按键，客户端或浏览器恢复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电流及功耗：DC：12 V，1.2A，最大功耗：14.4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PoE：IEEE 802.3at，Class 4，最大功耗：16.8W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供电方式：DC：12 V ± 20%，支持防反接保护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PoE：IEEE 802.3at，Type 2，Class 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电源接口类型：2芯接口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启动和工作温湿度：-30 °C~60 °C，湿度小于95%（无凝结）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存储温湿度：-30 °C~60 °C，湿度小于95%（无凝结）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产品尺寸：227.7 × 120.6 × 101.5 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包装尺寸：386 × 156 × 155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带包装重量：1770 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设备重量：1510 g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防护：IP67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3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4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60B4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摄像机电源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12V1A输出,Φ2.1圆头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A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r>
      <w:tr w14:paraId="2635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9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摄像机支架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0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金属壁装支架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压铸纯铝合金材质，表面做喷塑处理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支架带出线孔，安装更加美观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摄像机安装座表面有海绵垫，保证和摄像机底座结合更紧密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摄像机安装座可旋转，方便摄像机角度调整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材质：铝合金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尺寸：70×97.1×173.4mm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重量：最大承受重量为2KG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角度：调整角度：水平：360°，垂直：-45°~45°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产品重量：201g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B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r>
      <w:tr w14:paraId="2A09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A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rvv2*1.0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r>
      <w:tr w14:paraId="7647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5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壁装摄像机支架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8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1.5米墙装横臂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6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7BD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7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A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搬运机柜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1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搬运机柜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B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C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801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0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82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24个10/100/1000Base-T RJ45端口，2个1000Mbps SFP端口，1个USB 3.0接口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符合IEEE 802.3af/at PoE供电标准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支持商云APP端及Web端远程管理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支持商云APP端蓝牙连接，断网运维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支持智能开局、异常告警、快速排障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支持云管理、VLAN隔离、标准交换三种工作模式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支持225W最大整机PoE功率、30W最大单端口PoE功率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支持802.1Q VLAN、Port VLAN、QoS、带宽控制、风暴抑制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支持端口汇聚、端口监控、端口流量统计、线缆检测、环回保护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*2.0及以上版本支持控制器集中管理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*该机型的蓝牙功能需搭配专用适配器 TL-NUB1200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*该机型的蓝牙功能需版本升级后支持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1CE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D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C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防爆摄像机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D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400万防爆定焦筒机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防爆标志：Ex db IIC T6 Gb/Ex tb IIIC T80℃ 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防护等级：IP66/68（2m2h）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最高分辨率可达2560 × 1440 @25 fps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支持低码率、低延时、ROI感兴趣区域增强编码、SVC自适应编码技术，支持Smart265编码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高效双色补光灯，使用寿命长，照射距离可达60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支持smart IR，防止夜间红外过曝</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ICR红外滤片式自动切换，实现真正的日夜监控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支持日夜两套参数独立配置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支持DC12V和PoE供电功能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支持3D数字降噪，支持120 dB超宽动态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支持走廊模式，背光补偿，自动电子快门功能，适应不同监控环境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支持GB28181接入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支持Email、FTP、NTP服务器测试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9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078B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防爆摄像机支架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E9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壁装支架铝合金</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6CC1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防爆挠性管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E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防爆挠性管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主要材料为编织线、碳钢和NBR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适用于防爆场景中的线缆保护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产品尺寸：Ø27.6 mm × 1000 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螺纹规格：G-3/4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设备重量：约0.8 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启动和工作温湿度：-40°C ~ 60°C，湿度小于95%（无凝结）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防护：IP66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防爆标志：Ex eb ⅡC Gb；Ex tb ⅢC Db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5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r>
      <w:tr w14:paraId="3E2E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C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半球摄像机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400万半球型网络摄像机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最高分辨率可达2560 × 1440 @25 fps，在该分辨率下可输出实时图像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支持Smart侦测：场景变更侦测，虚焦侦测，区域入侵侦测，越界侦测，进入区域侦测，离开区域侦测，物品遗留侦测，物品拿取侦测，徘徊侦测等识别检测事件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支持背光补偿，强光抑制，3D数字降噪，数字宽动态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支持：手动变焦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采用高效阵列红外灯，使用寿命长，红外照射距离最远可达30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支持最大512 GB MicroSD/MicroSDHC/MicroSDXC卡本地存储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1个内置麦克风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支持1路报警输入，1路报警输出（输出最大支持DC12 V，30 mA），1路音频输入，1路音频输出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支持：DC12 V，100 mA电源输出，建议用于拾音器供电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符合IP66防尘防水及IK10防暴设计，可靠性高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传感器类型：1/2.7" Progressive Scan CMOS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最低照度：彩色：0.01 Lux</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宽动态：数字宽动态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调节角度：水平：0°~355°，垂直：0°~75°，旋转：0°~355°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焦距&amp;视场角：2.7~8 mm：水平视场角：110°~56°，垂直视场角：58.2°~31.4°，对角视场角：132°~64.5°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支持手动变焦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补光灯类型：红外灯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补光距离：最远可达30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防补光过曝：支持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红外波长范围：850 nm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最大分辨率：2560 × 1440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视频压缩标准：主码流：H.265/H.264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子码流：H.265/H.264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网络：1个RJ45 10 M/100 M自适应以太网口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SD卡扩展：内置MicroSD/MicroSDHC/MicroSDXC插槽，最大支持512 GB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音频：1个内置麦克风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1路输入（Line in），最大输入幅值：3.3 Vpp，输入阻抗：4.7 kΩ，接口类型：非平衡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1路输出（Line out），最大输出幅值：3.3 Vpp，输出阻抗：100 Ω，接口类型：非平衡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报警：1路输入，1路输出（报警输出最大支持DC12 V，30 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复位：支持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电源输出：DC12 V，100 mA电源输出，建议用于拾音器供电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产品尺寸：Ø121.5 × 97.6 mm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包装尺寸：140 × 140 × 154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设备重量：465 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带包装重量：675 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启动和工作温湿度：-30 °C~60 °C，湿度小于95%（无凝结）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恢复出厂设置：支持RESET按键，客户端或浏览器恢复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电流及功耗：DC：12 V，0.7 A，最大功耗：8.4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PoE：IEEE 802.3af，CLASS 3，最大功耗：11 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供电方式：DC：12 V ± 25%，支持防反接保护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PoE：IEEE 802.3af，CLASS 3</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电源接口类型：Ø5.5 mm圆口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防护：IP66，IK10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D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64</w:t>
            </w:r>
          </w:p>
        </w:tc>
      </w:tr>
      <w:tr w14:paraId="36EE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筒型网络摄像机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63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400万筒型网络摄像机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最高分辨率可达2560 × 1440 @25 fps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支持SmartIR，防止夜间红外过曝</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支持背光补偿，强光抑制，3D数字降噪，数字宽动态，适应不同使用环境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支持开放型网络视频接口，ISAPI，SDK，GB28181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1个内置麦克风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智能补光，支持白光/红外双补光，红外光最远可达50 m，白光最远可达30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符合IP67防尘防水设计，可靠性高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传感器类型：1/2.7" Progressive Scan CMOS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最低照度：彩色：0.005 Lux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宽动态：数字宽动态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焦距&amp;视场角：4 mm，水平视场角：70°，垂直视场角：35°，对角视场角：85°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 mm，水平视场角：46°，垂直视场角：24°，对角视场角：54°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 mm，水平视场角：44°，垂直视场角：24°，对角视场角：51°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12 mm，水平视场角：27°，垂直视场角：15°，对角视场角：31°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补光灯类型：智能补光，可切换白光灯、红外灯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补光距离：红外最远可达50 m，白光最远可达30 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红外波长范围：850 nm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防补光过曝：支持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视频压缩标准：主码流：H.265/H.264/Smart264/Smart265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子码流：H.265/H.264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网络：1个RJ45 10 M/100 M自适应以太网口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音频：1个内置麦克风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防护：IP67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F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r>
      <w:tr w14:paraId="241B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2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电梯摄像机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7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采用400万像素，1/3.0"传感器靶面尺寸，最高分辨率为2688*1520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采用定焦镜头，镜头焦距为2.8 mm，光圈大小为F1.6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最低照度：0.003lux（F1.6 AGC ON）;0lux(开启红外)</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支持红外补光，暖光补光，智能双光；补光距离：红外补光距离30m，暖光补光距离30m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支持光学宽动态120dB；支持2D降噪|3D降噪；支持走廊模式；支持手动|自动白平衡；支持手动|自动增益</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支持超级265|H.265|H.264|MJPEG视频编码格式；支持三码流；支持G.711A、G.711U、AAC音频编码格式；支持ONVIF|API|GB/T 28181，IMOS，GA/T1400等协议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支持入梯检测，可识别电瓶车/自行车入梯并联动声光报警，有效过滤婴儿车、轮椅、小拖车等非机动车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SD卡扩展：Micro SD插槽*1,最大支持512GB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内置Mic：1个；内置扬声器：1个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音频输入：1路音频输入；输入口：阻抗35KΩ，幅值2V[p-p]；音频输出：1路音频输出；输出口：阻抗600Ω，幅值2V[p-p]；报警输入：1入；报警输出：1出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网络接口：RJ45 10M/100M自适应以太网电口；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供电方式：DC12V±25%|POE(IEEE802.3af)；最大功耗：功耗：≤10.0W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工作温度和湿度：-30℃~50℃（-22°F~122°F）；湿度：≤95%RH（相对湿度）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防护等级：IP67；</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8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2B4C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C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无线网桥</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端口速率:百兆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支持标准:IEEE802.11 b/g/n</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天线增益:增益6dBi ， 水平60度，垂直60度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最大发射功率:15dBm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最大传输距离:300m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接收灵敏度:802.11b：-81dBm@11Mbps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整机功耗:5W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防护等级:IP54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安全配置:WPA/WPA2，隐藏无线网络名称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工作模式:桥接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加密方式:WPA-PSK/WPA2-PSK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频率范围:2400 MHz ~ 2483.5 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物理尺寸（W*D*H）:165.5×69.2×42mm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工作湿度:5%~95%RH 不凝结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工作温度:-30℃ ~ + 60℃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重量（kg）:网桥0.126千克，POE注入器0.02kg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接口类型:RJ45：10/100M 自适应*1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指示灯:系统灯：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常亮：设备正常工作，但 LAN 口 未建立网络连接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闪烁：设备正常工作，且 LAN 口 已建立网络连接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熄灭：设备未通电或通电后异常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录像机端信号强度灯：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三灯闪烁：网桥配对中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三灯常亮：网桥配对成功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三等熄灭：未配对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摄像机端信号强度灯：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三灯闪烁：网桥配对中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一灯常亮：信号强度弱</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二灯常亮：信号强度一般</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三灯常亮：信号强度高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三灯熄灭：未配对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安装模式:抱杆、壁挂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Ethernet:支持静态/DHCP，支持动态/静态DNS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配置与维护:支持Web、APP云上模式、APP本地模式，支持配置向导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支持重启、恢复出厂、导出/导入配置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支持syslog，支持网络检测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支持修改web密码，支持本地升级、云升级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5E13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2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国密智能门禁</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45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国密智能门禁一体机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人脸认证：采用深度学习算法，支持照片、视频防假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组合认证：卡片+人脸，卡片+密码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多重认证：设备支持本地认证、本地+远程开门认证、本地+超级密码认证三种认证模式。每种模式最大支持20个认证组，每个认证组最多支持128人多重认证（每个认证组支持8个群组，每个群组支持16个人）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门禁计划配置：支持计划模板管理，支持常开、常闭时段管理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视频预览：支持管理中心远程视频预览，支持接入NVR设备，实现7*24H视频监控录像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口罩检测：支持戴口罩检测，可配置提醒戴口罩、强制戴口罩（未戴口罩不开门）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支持状态栏显示配置；支持姓名、工号、人脸图片、认证结果的自定义配置（位置、大小、字体颜色）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提示音自定义：集成TTS文字转语音，可自定义配置认证成功和认证失败的提示音及内容。可叠加播报姓名/称呼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读卡器模式：支持通过RS-485接入(GM)型号门禁控制器，作为读卡器使用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胁迫开门：支持配置胁迫卡后，遇到胁迫后，输入刷胁迫卡后立即开门，同时上报胁迫事件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非授权人员管理：支持对非授权人员进行开门管理、报警联动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报警功能：支持防拆报警、门被外力开起报警、胁迫卡和胁迫密码报警、事件联动报警等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联动配置：支持事件联动、卡号联动、工号联动，可配置联动门开关、联动报警输出、联动抓拍等功能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Web端管理：可进行人员管理、参数配置、事件查询、系统维护等操作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操作系统：Linux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尺寸：7英寸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分辨率：600×1024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类型：IPS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操作方式：触摸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镜头数量：2个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像素：200W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FOV：对角视场角=108°；水平视场角=88°；垂直视场角=44°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有线网络：10/100/1000Mbps自适应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通讯协议：ISAPI;萤石协议;ISUP5.0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网口：1个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门锁输出：1个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开门按钮：1个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门磁输入：1个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IO输入：2个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IO输出：1个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RS-485：1个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USB：1个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电源接口：1个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防拆：支持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用户容量：10000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人脸容量：10000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卡片容量：50000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事件容量：150000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密码容量：10000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读卡类型：国密卡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通信频率：13.56 MHz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补光灯：红外补光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功耗：24W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电源：DC12V/2A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工作温度：-30℃~60℃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防护等级：IP65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工作湿度：0~90%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按键类型：触摸按键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防暴等级：IK04</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重量：净重：0.56kg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毛重：0.88kg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外观尺寸：209mm×110mm×24mm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安装方式：壁挂安装;桌面安装;立式安装;通道安装;支持Pa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8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5D9C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3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5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国密CPU卡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国密CPU卡，感应频率13.56MHZ；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支持国密SM1、SM4算法加密；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容量为80K byte；</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标准白卡外形；</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卡片尺寸：85.5mm*54mm*0.9mm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4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r>
      <w:tr w14:paraId="5B46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5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门禁电源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输入电压：100-240VAC；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输出电压：12VDC；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输出电流：4.17A；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输出功率：50W；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工作温度：-30℃-+70℃；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工作湿度：＜95%；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尺寸：99*82*30mm；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8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06B1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开门按钮</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开门按钮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结构：塑料面板；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性能：最大耐电流1.25A，电压250V；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输出：常开；</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类型：适合埋入式电器盒使用；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尺寸：86*86mm；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重量：0.07kg；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主要功能：开门按钮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67BB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6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磁力锁</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5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锁体主体颜色为：氧化银。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最大静态直线拉力：280kg ± 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断电开锁，满足消防要求；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具有电锁状态指示灯（红灯为开锁状态， 绿灯为上锁状态）；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支持锁状态侦测信号(门磁)输出：NO/NC/COM接点；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工作电压：12V/500mA(±10%)或 24V/250mA(±10%)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锁体尺寸：长240*宽48.8*厚27.5(mm)；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吸板尺寸：长180*宽38.8*高13(mm)；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使用环境：室内（不防水）；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适用门型：木门、玻璃门、金属门、防火门。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把</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0B76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B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磁力锁配件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选用材料：高强铝合金，表面喷沙，颜色为氧化银。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外壳处理：阳极硬化电镀处理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适用门型：木门、金属门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开门方式：90度内开式门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产品重量：0.75kg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L型支架尺寸：长240*宽48.8*厚30.4(mm)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Z型支架尺寸：长180*宽50*厚50(mm)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58E0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1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8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磁力锁</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最大拉力：280kg（600Lbs） 静态直线拉力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供电：DC12V/500mA 或 DC24V/250mA（宽压兼容）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工作方式：断电开锁（消防优先）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指示灯：绿灯 = 上锁，红灯 = 开锁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E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F2B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3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闭门器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47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门重 60-85KG闭门器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EBF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D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5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门禁电源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门禁专用电源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D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17B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2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人脸识别</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5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7英寸LCD触摸显示屏（9:16比例，600×1024分辨率）；200万宽动态双目摄像头，星光级传感器，无需白光补光，暗光/无光环境可正常识别，支持照片、视频防假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采用深度学习算法，1:N人脸比对时间≤0.2s/人，识别准确率≥99%，最多支持5人同时认证，支持口罩检测、安全帽检测（可关联门禁控制）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人脸库10000张（T型号可扩展至100000张），卡片容量50000张（T型号可扩展至500000张），事件记录150000条，支持SD卡扩展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F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5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A46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D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rvv2*1.0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C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640</w:t>
            </w:r>
          </w:p>
        </w:tc>
      </w:tr>
      <w:tr w14:paraId="0B51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网线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8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六类非屏蔽网线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A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5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r>
      <w:tr w14:paraId="6FD0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水晶头</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C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六类非屏蔽水晶头（100个）</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6A4F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C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理线器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理线器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4E63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5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48个10/100/1000M RJ45端口，4个独立千兆SFP端口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48个RJ45端口均支持IEEE802.3at/af标准PoE+供电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整机最大PoE供电功率达396W，单端口最大PoE供电功率为30W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支持商用云平台管理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支持RIP动态路由、静态路由、ARP代理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支持DHCP服务器、DHCP中继、DHCP Snooping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支持四元绑定、ARP/IP/DoS防护、802.1X认证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支持VLAN、QoS、ACL、生成树、组播、IPv6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支持ERPS环网配置及RPL配置，提高网络可靠性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9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5C22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24个10/100/1000Base-T RJ45端口，2个1000Mbps SFP端口，1个USB 3.0接口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符合IEEE 802.3af/at PoE供电标准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支持商云APP端及Web端远程管理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支持商云APP端蓝牙连接，断网运维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支持智能开局、异常告警、快速排障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支持云管理、VLAN隔离、标准交换三种工作模式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支持225W最大整机PoE功率、30W最大单端口PoE功率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支持802.1Q VLAN、Port VLAN、QoS、带宽控制、风暴抑制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支持端口汇聚、端口监控、端口流量统计、线缆检测、环回保护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*2.0及以上版本支持控制器集中管理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*该机型的蓝牙功能需搭配专用适配器 TL-NUB1200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*该机型的蓝牙功能需版本升级后支持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E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1758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光模块</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8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2KM千兆单模单纤SFP</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r>
      <w:tr w14:paraId="5E99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硬盘录像机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3U机架式16盘位嵌入式网络硬盘录像机，采用短机箱设计，搭载高性能ATX电源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【硬件规格】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存储接口：16个SATA接口，可满配12TB硬盘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视频接口：2×HDMI，2×VGA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网络接口：2×RJ45 10/100/1000Mbps自适应以太网口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报警接口：16路报警输入，9路报警输出（其中第9路支持CTRL 12V）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反向供电：1路DC12V 1A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串行接口：1路RS-232接口，1路半双工RS-485接口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USB接口：2×USB 2.0，2×USB 3.0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【产品性能】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输入带宽：320Mbps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输出带宽：160Mbps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接入能力：64路H.264、H.265格式高清码流接入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解码能力：最大支持12×1080P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显示能力：最大支持4K+1080P异源输出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7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7FAF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B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B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硬盘</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8TB容量，3.5英寸，SATA3.0接口，7200RPM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AllFrame AI全帧技术，提升用户AI视频分析检索体验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空气盘， CMR传统磁记录</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传输速率267 MB/s，流畅存储视频有效防止丢帧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高级格式（AF）512e扇区技术，保障硬盘扇区4K对齐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满足数据严苛的7*24小时运行可靠性、安全性的需求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支持5年有限质保服务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适用海拔高度范围-305m至3050m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标称容量：8TB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外形规格：3.5-inch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接口类型：SATA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刻录技术：CMR</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转速：7200RPM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缓存：256MB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最大读取速度：267MB/s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接口传输速率（最大值）：6.0Gb/s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平均读写功率（W）：7.3W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加载/卸载周期：600,000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MTBF：2,000,000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年负荷（TB/年）：550TB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工作状态温度(°C)：0-65℃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尺寸：147mm(L)×101.6mm(W)×26.1mm(H)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B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5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r>
      <w:tr w14:paraId="6883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7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单口信息面板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单口信息面板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1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A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489</w:t>
            </w:r>
          </w:p>
        </w:tc>
      </w:tr>
      <w:tr w14:paraId="396B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F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单口信息模块</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A2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六类非屏蔽信息模块</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3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489</w:t>
            </w:r>
          </w:p>
        </w:tc>
      </w:tr>
      <w:tr w14:paraId="4173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4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网线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F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六类非屏蔽网线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F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5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63</w:t>
            </w:r>
          </w:p>
        </w:tc>
      </w:tr>
      <w:tr w14:paraId="7E39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4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配线架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配线架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2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r>
      <w:tr w14:paraId="641D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5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E0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48电口千兆交换机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3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0CE1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1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8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r>
      <w:tr w14:paraId="2A1E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A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5口千兆交换机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B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4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r>
      <w:tr w14:paraId="30F3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6平方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5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F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600</w:t>
            </w:r>
          </w:p>
        </w:tc>
      </w:tr>
      <w:tr w14:paraId="7E86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D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插排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1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4位5控插座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F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1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61</w:t>
            </w:r>
          </w:p>
        </w:tc>
      </w:tr>
      <w:tr w14:paraId="5D21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PVC线槽</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F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30*20PVC线槽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A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w:t>
            </w:r>
          </w:p>
        </w:tc>
      </w:tr>
      <w:tr w14:paraId="157D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1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皮线光缆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2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皮线光缆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F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240</w:t>
            </w:r>
          </w:p>
        </w:tc>
      </w:tr>
      <w:tr w14:paraId="282E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8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3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24芯室外光缆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8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1700</w:t>
            </w:r>
          </w:p>
        </w:tc>
      </w:tr>
      <w:tr w14:paraId="1266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B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72芯室外光缆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D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890</w:t>
            </w:r>
          </w:p>
        </w:tc>
      </w:tr>
      <w:tr w14:paraId="7ACA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A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D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ODF</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9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72满配ODF子框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7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9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911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ODF</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2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144满配ODF子框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7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C74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终端盒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12芯终端盒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D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r>
      <w:tr w14:paraId="25E1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接头盒</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E2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48芯接头盒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8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DF1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室外穿放光缆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F5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室外穿放光缆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9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B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2590</w:t>
            </w:r>
          </w:p>
        </w:tc>
      </w:tr>
      <w:tr w14:paraId="0450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PDU</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10A8位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9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7504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B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C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rvv3*6</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D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39</w:t>
            </w:r>
          </w:p>
        </w:tc>
      </w:tr>
      <w:tr w14:paraId="5C23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1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六类非屏蔽跳接网线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2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3米六类非屏蔽跳接网线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w:t>
            </w:r>
          </w:p>
        </w:tc>
      </w:tr>
      <w:tr w14:paraId="5C91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7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熔纤尾纤材料</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3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尾纤材料</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180</w:t>
            </w:r>
          </w:p>
        </w:tc>
      </w:tr>
      <w:tr w14:paraId="38C1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7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机柜搬运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3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服务器机柜搬迁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0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6819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3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55寸电视机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0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55英寸电视机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9A2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HDMI线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9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5米HDMI线缆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7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193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C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光电收发器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千兆光纤收发器1光4电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E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C8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A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监控、吸顶喇叭、电源线、熔纤、配线架、网线、音柱、门禁等集成安装调测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B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DF0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枪弹库入侵检测系统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D4A2">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2200">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0D9D">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0EF4">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23F5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F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总线报警主机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2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总线报警主机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防区报警：支持探测器/紧急报警装置触发信号接收，进行入侵/紧急报警事件管理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断电报警：当市电断电时，设备可通过蓄电池正常工作8小时以上（需选配蓄电池），并将断电事件进行通知上报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外接键盘：支持32个报警键盘接入，包括1个全局键盘和31个子系统键盘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报警管理：支持报警键盘、客户端软件、中心平台进行报警管理操作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报警指示：支持报警键盘、警号、继电器联动、中心平台上报等报警事件指示功能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联动控制：支持报警事件联动，平台控制继电器输出，实现场景化联动输出，实现个性化管理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事件上传：支持断网续传功能，设备离线状态下产生事件在与平台连接后会重新上传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子系统管理：支持8个子系统，实现对防区进行分区管理，支持外出布防、在家布防、撤防、消警、旁路等功能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防区设置：支持即时防区、延时防区、紧急防区、超时防区等场景化防区类型设置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配置管理：支持配置文件导出和导入功能，实现参数备份和快速移机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技术参数：操作系统：嵌入式Linux操作系统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防区数量：板载8路（探测器100m以内），可通过防区模块扩展至256路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继电器数量：板载4路（距离50m以内），可通过继电器模块扩展至256路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日志容量：4万条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传输距离：双总线，每条总线最长支持2.4Km（每条总线可增加2个中继器扩展至7.2km，总共支持14.4km）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硬件接口：RS485*1、MBUS*2、RJ45*1，PSTN*1（板载包含），4G*1，RS232*1（可接报警打印机）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安装方式：壁挂安装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供电方式：AC220V（自带电源适配器）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设备功耗：裸机功耗≤5W，满载功耗≤60W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工作温度：–10℃～+55℃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工作湿度：10％--90％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6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F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0CF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警灯警号</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7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1、设备类型：声光语音警号（声光报警器）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2、警灯颜色：红色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3、报警音量：警铃音：105dB；播报音：95dB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4、硬件接口：RS485*1、RJ45*1，IO接口*2，电源接口*1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5、使用环境：室内/外（IP54室外防水）</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6、外壳材质：PC+ABS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7、安装方式：壁挂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8、工作电源：DC12V/1.5A（宽压8-16V 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9、工作温度：-20 °C 至 60 °C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10、工作湿度：10% 至 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11、产品尺寸：159*145*32.5mm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1、声光报警：提供警灯闪烁、报警音频、自定义文字播报输出，用于提示警情处置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2、语音播报：支持将警情信息通过语音播报的方式进行警情输出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3、TTS功能：支持文字转语音播报功能，可输入自定义内容，转为报警提示音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4、WEB配置：支持WEB配置进行功能参数配置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5、音量调节：支持音量调节，调节0-10档可选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6、NTP校时：支持配置NTP服务进行自动校时和手动校时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7、门铃功能：支持配置IO输入接口作为门铃提示音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8、日志记录：支持存储所有事件的日志记录存档，存档数量10000条，支持轮询覆盖，日志内容支持EXCEL导出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9、防拆报警：警号被打开或移开安装墙面会触发防拆报警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4A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6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室内双鉴/三鉴探测器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C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【技术参数】</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1、设备类型：有线双鉴探测器（壁挂）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2、使用环境：室内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3、探测距离：12米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4、探测角度：90°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5、探测速度：0.2-3m/s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6、报警输出：IO输出（常闭NC），支持防拆报警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7、安装方式：壁挂安装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8、安装高度：1.8-2.4米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9、工作电源：DC12V/17mA（宽压9-16V 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10、工作温度：-10 °C 至 55 °C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11、工作湿度：10% 至 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12、产品尺寸：65.7 mm ×103.8 mm × 45.5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【产品功能】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1、探测技术：采用被动红外（PIR）+微波+智能算法探测技术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2、智能算法：不受环境温度变化影响（温度补偿及灵敏度自适应）</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3、灵敏度配置：支持手动配置灵敏度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4、光学密封设计：防飞虫或爬虫进入探测器引起误报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5、防宠能力：支持开启宠物过滤模式（30Kg及以下）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6、板载线尾阻：含板载电阻，防止探测器线路被短路或开路而失效，提升系统安全性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2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736A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4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控制键盘</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A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有线LCD键盘（支持遥控器&amp;刷卡）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操作指令接收：支持对报警系统进行布防、撤防、消警、旁路、旁路恢复、紧急求助等操作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操作方式管理：支持密码、遥控器、刷卡方式对报警系统进行操作指令交互</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报警状态指示：支持对报警系统防区报警状态进行实时指示，包括指示灯变化，提示音变化，文字内容变化等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系统状态展示：支持对报警系统运行状态进行展示，包括主电源状态、蓄电池状态、防拆状态、子系统布撤防状态，防区状态、扩展模块状态等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胁迫码功能：支持通过胁迫密码进行布撤防管理，并将警情进行中心上报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防区名称自定义：支持防区名称自定义配置，在键盘屏幕中展示对应文字内容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配置管理：支持通过键盘对报警主机进行参数配置，包括密码修改、防区类型配置、上报中心参数配置等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技术参数：设备类型：控制键盘</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通讯协议：RS485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传输距离：800m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使用环境：室内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显示屏：LCD（尺寸80X25mm）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操作按键：20个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指示灯：5个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蜂鸣器：支持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安装方式：壁挂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工作电源：DC12V/150mA（宽压9-16V 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工作温度：-10 °C 至 55 °C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工作湿度：10% 至 90%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产品尺寸：164mm(长)*124mm(宽)*31mm(高)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CE5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2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墙体震动器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探测原理：采用压电式震动传感器，能捕捉玻璃破碎、墙体震动、外力敲击等震动信号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工作方式：有线连接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探测范围：可覆盖一定范围的震动源（如门窗、围墙、保险柜等），具体范围需参考产品手册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灵敏度调节：支持多档灵敏度可调，适配不同场景（如家庭、商铺、仓库）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抗干扰能力：具备滤波算法，可有效过滤环境噪音（如车辆路过、风吹等）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输出信号：开关量信号（常闭 / 常开可选），方便与其他安防设备联动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9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r>
      <w:tr w14:paraId="0698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F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辅材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8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控制线缆、线槽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4EA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A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B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探测器、报警主机、警灯警号等集成安装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F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BFF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2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机房（动环、UPS）</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D15">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A37C">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ACED">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6EE3">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7707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动环监控系统一体主机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C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1、采用国产工业级4核64位嵌入式微控制处理器，稳定；</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2、支持OpenGL ES 1.1/2.0 3.2，OpenCL 2.0，Vulkan1.1，内嵌高性能2D加速硬件。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3、集成高效能AI加速器RKNN NPU，可实现人体摔倒、安全帽、口罩、小动物、烟雾、明火等AI智能检测并报警通知，可定制开发。</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4、采用嵌入式精简裁剪的嵌入式linux操作系统，提高系统安全和运行速度；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5、支持1080P H2.65/H2.64编码，支持4K/60fps H2.65/H2.64/VP9解码；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6、主机自带HDMI和EDP液晶显示接口，可直观显示当前动环数据展示，同时支持实时视频以及视频回放，支持EDP和HDMI双显双控。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7、自带4路USB接口，可接入鼠标和键盘进行控制和输入操作；支持USB3.0；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8、内置2路RJ45 10M/100/1000M自适应以太网接口；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9、自带8路光耦隔离开关量输入， RJ-45接口，带12V供电；</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10、内置5路报警输出，其中3路为12V光耦输出，2路为容量250Vx10A继电器输出；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11、内置自带4路485通讯串口，RJ45接口形式，带12VDC供电输出，4级EMC隔离防护；内置2路RS232通讯串口，RJ45接口形式。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12、AC 220V供电电源，内置72W/30min后备锂电池电源可选；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13、可配置全网通4G短信语音报警模块，同步支持短信、电话语音和4G无线流量；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14、同步支持微信云平台、网页云平台、IOS端和安卓端手机APP报警推送和实时查询数据，支持微信查看现场视频，微信和APP均有对应的软件著作权；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15、支持警笛、电话、短信、微信、邮件和手机APP多种报警方式；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16、同步支持B/S和C/S架构，除了支持WEB界面，还支持本地客户端软件；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17、支持网络远程升级，支持多主机一键同步升级；</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18、支持门禁对接，支持实时监测门禁开门操作并远程开门。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19、支持系统无响应时，硬件自动重启，无需人为干预和维护；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20、标准19寸 1U全铝主机尺寸，前置OLED液晶，支持实时状态显示；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21、提供省级单位及以上检测单位出具的带CMA和CNAS标识的主机检测报告,必须带高低温、振动、静放电和浪涌检测；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22、远程控制支持云透传，无需固定公网IP或NAT端口映射；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23、完美兼容99%第三方产品接入，只要有协议都能进行对接；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24、可直接外接HDMI触摸屏，方便管理人员现场查看动环数据，触摸屏上画面需随客户端界面更新保持同步，不允许使用串口触摸屏；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25、加强系统稳定性、加强数据安全性、解除拼连风险性，主机内置单一主板必须为一体主板，不允许由多块主板连线组成；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26、支持内置470-510MHZ频段的8接收通道和1发送通道的LORA无线采集网关，实时采集前端无线LORA传感器的数据，简化布线；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27、支持IEC61850和IEC104协议对接，同时支持私有协议对接开发。系统支持根据配置自动导出IEC61850平台所需的ICD文件，同时能自动生成104点表信息。（截图证明）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28、支持1路NVME接口固态硬盘，非机械硬盘，用于大数据存储使用。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29、国产CPU，支持安装国产麒麟操作系统，完成整机麒麟软件适配。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30、WEB界面支持简体中文、繁体中文、英语三国语言，可任意切换语言。（截图证明）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31、内置8路AI模拟量接口，内置2路高速CAN通讯接口；</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1、同步支持C/S、B/S双架构，支持多客户端同时登陆，多用户；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2、多级告警级别灵活设置；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3、支持任意监控量联动条件设置自动按制，多条件任意组合；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4、3D组态显示，传感器组态添加，实时状态动态显示；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5、灵活严密的权限级别设置，支持设备分组至少5组；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6、集成门禁监控、视频管理，远程云台控制，录像等功能一应俱全；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7、灵活全面的查询统计及报表生成；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8、大屏界面支持不同用户自行根据习惯自定义属于自己的专属布局并保存，布局类型不小于10种；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9、提供软件著作权；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10、提供省级及以上机构发布的带CMA和CNAS标识的软件测试报告；</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D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8EB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温湿度传感器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B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1、供电电源：10~30VDC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2、温度精度：±0.5℃(25℃)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3、湿度精度：±3%RH(5%RH-95%RH)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4、设备工作温度：－40℃~60℃，0~100% RH；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5、输出信号：RS485（MODBUS）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6、地址范围：0-255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7、波特率范围：1200-19200bps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8、显示方式：数码显示测量值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9、安装位置：墙面、机柜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10、提供省级单位及以上检测单位出具的带CMA和CNAS标识的传感器检测报告，传感器与系统必须为同一厂家；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6C2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7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烟感探测传感器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1、供电电源：10~30VDC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2、设备工作温度：－20℃~60℃，0~100% RH；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3、输出信号：开关量(可选485)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4、报警通知：蜂鸣报警；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5、报警提醒：LED常亮；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6、安装位置：天花板吸顶安装</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7、报警浓度：1.06±.26%FT</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8、提供省级单位及以上检测单位出具的带CMA和CNAS标识的传感器检测报告，传感器与系统必须为同一厂家；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0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1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2021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6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6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非定位漏水传感器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2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1、供电电源：10~24VDC</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2、设备工作温度：－20℃~50℃，5~90% RH；</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3、输出信号：RS485（MODBUS）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4、地址范围：0-255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5、波特率范围：1200-19200bps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6、安装方式：标准35mm DIN导轨安装 或壁挂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8、设备材料：工程塑料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9、灵敏度：可调节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10、继电器输出：常开常闭可选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11、提供省级单位及以上检测单位出具的带CMA和CNAS标识的传感器检测报告，传感器与系统必须为同一厂家；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152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B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5米水漏绳</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E4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1、线缆直径：5.0 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2、线缆颜色：黄色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3、线缆重量：18g/米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4、抗拉长度：大于90公斤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5、报警位置：线缆任意位置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302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5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声光报警器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E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1、外壳:ABS/白色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2、尺寸:122.2*72.8*43mm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3、工作电压:12V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4、额定电流:280mA</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5、喇叭响度 dB/1M:115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6、声音可调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 7、提供省级单位及以上检测单位出具的带CMA和CNAS标识的传感器检测报告，传感器与系统必须为同一厂家；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9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A41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柜式七氟丙烷气体灭火装置</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5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工作温度范围:0°C~50°C;贮存压力:2.5MPa;最大工作压力:4.2MPa;泄压装置动作压力:5.86MPa;充装密度分别1150kg/m2 (GQQ70/2.5-LH)，喷射时间分别为9s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8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C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59A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7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UPS主机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（1）UPS主机需为三进三出60kVA在线式高频塔式UPS，支持输入电压380/400/415V（线电压），输入频率范围40～70Hz。</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（2）为保证UPS产品的高效节能、绿色环保，UPS输入功率因数高达0.99，整机最大效率可达96%，</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（3）UPS应当具备丰富的显示界面，能直观地查看UPS本地记录及UPS设置功能，屏幕应不小于7英寸。</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（4）UPS系统集成128M Flash，支持不低于10万条本地历史记录和历史数据存储，还可支持外扩SD卡，实现无限制数据存储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（5）UPS应具备单板级和器件级防护功能，对于敏感精密板件，采取特殊防护装置设计，环境适应性更强。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（6）UPS采用全新风道设计，敏感元器件全部隔离在底层PCB,保护全面，散热效果更佳。需提供实物图片证明。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（7）UPS需采用全数字化双DSP控制，实现整流、逆变、充电、放电各个功率变换环节全部数字化控制。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（8）UPS机柜内需要集成独立主路输入空开、旁路输入空开、输出空开以及维修旁路空开，便于用户接线。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（9）UPS主机底部需标配万向脚轮，方便设备现场的移动、安装和固定就位。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（10）UPS所有电路板均需要采用三防漆涂覆工艺，确保在低恶劣环境下的使用寿命。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（11）UPS输出功率因数必须为1（1kVA=1kW），以便与负载完美匹配，需支持现场验证。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（12）支持电池组节数±15～±25节可设置，便于未来遭遇个别电池故障需要维护、更换时, 可灵活调节电池节数的需要。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（13）UPS系统全面监控关键部件参数，实现故障可控可管，可设置风扇更换时间到期提示功能，提供不少于8个温度监控点，包含IGBT温度、进风口温度、出风口温度或SCR温度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（14）具备自主老化模式即可进行系统满载测试，省去租用超大负载箱、负载箱工程施工等工作量。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为更大限度保障蓄电池使用安全和寿命，UPS可增加选配件实现监测每一节蓄电池的电压、内阻、温度等信息的功能，可在UPS的屏幕上实时显示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9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71B1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F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6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9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12V100ah</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C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快</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w:t>
            </w:r>
          </w:p>
        </w:tc>
      </w:tr>
      <w:tr w14:paraId="5239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6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955mmx900mmx1205mm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0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5D5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9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6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电池汇流开关箱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定制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3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F31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B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电池到UPS直流线缆</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2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RVV50mm2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E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w:t>
            </w:r>
          </w:p>
        </w:tc>
      </w:tr>
      <w:tr w14:paraId="2841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0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3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接入交换机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5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24×10/100/1000BASE-T 电口；4×GE SFP 光口（非 10G）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性能：交换容量≥598Gbps；包转发率≥148Mpps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D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45D2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1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1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空调</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9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立柜式空调3P</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9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5CF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UPS交流电源线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7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RVV4*35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8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2647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3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电池散力架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电池柜下方做整体散力架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C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0801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UPS、空调、温湿度传感器、烟感、漏水传感器、声光报警器等集成安装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583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C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室外LED单色条屏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534">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D0D">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4FE">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766A">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522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9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室外LED单色条屏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C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P10模组尺寸（长*宽*厚） 320×160×27mm(包括定位柱 4mm)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模组分辨率(宽*高) 32×16 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显示密度（点/ M2 ) 10000 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模组重量（Kg） 0.41kg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显示亮度 ≥1500cd/m² 数据接口 通用接口 HUB12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驱动方式 四分之一扫描 恒流驱动</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视角 水平视角≥110 度，垂直视角≥55 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最佳可视距离 10—100 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灰度等级 512 级灰度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显示颜色 红色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屏幕寿命 &gt;10 万小时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盲点率 ≤3PPM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工作电压 DC5V</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单个最大功耗 ≤20W/个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单个工作功耗 ≤10W/个</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1m²的最大功耗 350w/ 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1m²的平均功耗 180w/ m² 系统工作环境温度 －20℃～80℃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系统工作环境湿度 10%—90%RH</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D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2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w:t>
            </w:r>
          </w:p>
        </w:tc>
      </w:tr>
      <w:tr w14:paraId="4AE5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施工费</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C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安装，调试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5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7E1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派出所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E50">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4440">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146">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968">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510C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汇聚交换机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9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24×10/100/1000BASE-T 电口；4×GE SFP 光口（非 10G）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性能：交换容量≥598Gbps；包转发率≥148Mpps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4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3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1790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C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C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硬盘录像机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接入与性能：32 路 IPC 接入；总带宽 320Mbps；解码 12×1080P；最大录像分辨率 1200 万像素</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存储扩展：16 个 SATA 接口，单盘最大支持 10TB，支持 RAID 0/1/5/6/10/RAID50/60/1E</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视频输出：2×HDMI + 2×VGA，支持 4K 异源输出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网络与接口：2 个千兆网口；1×RS-232、2×RS-485；2×USB 2.0 + 1×USB 3.0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报警与环境：16 路报警输入，4 路报警输出（部分版本可选 8 路）；工作温度 -10℃~55℃</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规格与功耗：3U 机架式；电源 AC 220V；典型功耗 ≤35W</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6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9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FA6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硬盘</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C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8T机械硬盘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D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r>
      <w:tr w14:paraId="0CBF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F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A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POE交换机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3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24口POE交换机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2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780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3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B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光电收发器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A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1光1电光电收发器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B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r>
      <w:tr w14:paraId="7C54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2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3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磁力锁</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E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最大拉力：280kg（600Lbs） 静态直线拉力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供电：DC12V/500mA 或 DC24V/250mA（宽压兼容）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工作方式：断电开锁（消防优先）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指示灯：绿灯 = 上锁，红灯 = 开锁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6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0573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9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闭门器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门重 60-85KG闭门器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4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35BE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门禁电源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门禁专用电源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DF8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人脸识别</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7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7英寸LCD触摸显示屏（9:16比例，600×1024分辨率）；200万宽动态双目摄像头，星光级传感器，无需白光补光，暗光/无光环境可正常识别，支持照片、视频防假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采用深度学习算法，1:N人脸比对时间≤0.2s/人，识别准确率≥99%，最多支持5人同时认证，支持口罩检测、安全帽检测（可关联门禁控制）</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人脸库10000张（T型号可扩展至100000张），卡片容量50000张（T型号可扩展至500000张），事件记录150000条，支持SD卡扩展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F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39F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电警铃</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F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10寸标准尺寸，额定功率适配安防常用规格，支持与门禁、报警主机联动触发，响应迅速，可快速发出警示声响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C20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poe半球</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0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300万白光全彩PoE摄像机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B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0B20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球机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F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400万像素，1/2.8＂ progressive scan CMOS传感器，最大输出2560×1440@30fps高清画面，支持H.265高效压缩，节省存储空间，最低照度0.005Lux（彩色）、0.001Lux（黑白），0Lux红外补光下可正常工作，画质清晰通透，支持120dB超宽动态、3D降噪，强光抑制功能，适配复杂光照环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23倍光学变倍（16倍数字变倍），镜头焦距5.9~135.7mm，视场角60.2°~3.4°，支持自动/手动/半自动聚焦；混合补光设计，白光补光30米、红外补光150米，支持防补光过曝，自带玻璃加热除雾功能，适配全天候监控需求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706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接入交换机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24个10/100/1000BASE-T千兆以太网端口，支持全双工/半双工自适应，无需复杂配置，即插即用，满足多设备同时接入需求，支持1-8口转发优先，保障核心设备网络稳定性。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D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0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0FB0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2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1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超五类配线架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超五类配线架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2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2828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E6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p1.53 LED屏幕函支架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C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10.6</w:t>
            </w:r>
          </w:p>
        </w:tc>
      </w:tr>
      <w:tr w14:paraId="14F8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5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8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8路解码器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超高清解码器，单口画面分割数：1,2,4,6,8,9,12,16,25，视频解码能力：H.264/H.265：支持4路3200 W，或4路2400 W，或8路1200 W，或16路800 W，或20路600W，或32路400W，或64路1080P，或128路720P及以下分辨率实时解码，视频输出接口类型：8路HDMI 1.4，支持4K，视频输入接口：2路HDMI 1.4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1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6AD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8路调音台</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0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2路主输出，2路REC输出，1路效果输出，1路monitor输出，1路立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体声耳机输出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8路单声道输入通道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DSP 效果模块可供选择，一种为可调时间的21种效果模式，一种为全参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数可调的和可提供参数固化的效果模式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智能化显示面板精确显示各类数据，方便调节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+48V 幻像电源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SMT 表面贴装工艺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输入通道三段均衡，输出通道双七段均衡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xml:space="preserve">配LED DJ 灯 </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低噪音设计的外置电源适配器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28E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E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E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额定功率 240W，支持定压输出（70V/100V），适配各类公共广播音箱，输出音质清晰无啸叫，可满足中大型区域广播覆盖需求，曾应用于校园广播系统项目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支持6路独立分区控制，可实现不同区域独立播报、音量调节，互不干扰，适配客厅、卧室、校园教室、企业办公区等多区域分开管控的场景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F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5727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F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黑色会议音柱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80W黑色会议音柱</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3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2824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F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会议麦克风</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6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方柄有线电容会议麦克风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5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0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417B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E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6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600*600*800机柜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7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FD6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F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B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接入交换机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24个10/100/1000BASE-T千兆以太网端口，支持全双工/半双工自适应，无需复杂配置，即插即用，满足多设备同时接入需求，支持1-8口转发优先，保障核心设备网络稳定性。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C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0451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F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2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墙体震动器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5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探测原理：采用压电式震动传感器，能捕捉玻璃破碎、墙体震动、外力敲击等震动信号</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工作方式：有线连接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探测范围：可覆盖一定范围的震动源（如门窗、围墙、保险柜等），具体范围需参考产品手册</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灵敏度调节：支持多档灵敏度可调，适配不同场景（如家庭、商铺、仓库）</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抗干扰能力：具备滤波算法，可有效过滤环境噪音（如车辆路过、风吹等）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输出信号：开关量信号（常闭 / 常开可选），方便与其他安防设备联动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51C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1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门禁一体机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最大拉力：280kg（600Lbs） 静态直线拉力</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供电：DC12V/500mA 或 DC24V/250mA（宽压兼容）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工作方式：断电开锁（消防优先）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指示灯：绿灯 = 上锁，红灯 = 开锁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0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261A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55寸拼接屏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55寸3.5mm拼接屏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746F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A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底座</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拼接屏底座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0C3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2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拼接屏框架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0960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10路解码器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解码能力：支持多路高清 / 超高清视频解码，最大可支持 10 路 1080P 或对应路数的 4K 视频解码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输出接口：配备 HDMI、VGA 等视频输出接口，可连接拼接屏、显示器等显示设备</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兼容性：兼容主流品牌的摄像头、NVR 设备，支持 ONVIF 协议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应用场景：监控中心、指挥室、展厅等需要集中解码显示视频画面的场景</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功能特性：支持画面分割、轮巡显示、上墙控制，可通过管理平台进行远程配置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954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1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电源线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rvv2*1.0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C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D86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6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7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音频线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B9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RVVP 2×0.5mm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A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472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2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插板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C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4孔5位插排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4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r>
      <w:tr w14:paraId="44B5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9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空调1.5P</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7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1.5P</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1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9D9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D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成品光纤</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C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150米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0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7D90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7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2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水晶头</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0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超五类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F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r>
      <w:tr w14:paraId="6017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A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HDMI线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B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5米HDMI</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5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r>
      <w:tr w14:paraId="117C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4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F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超五类网线</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超五类网线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9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箱</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0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r>
      <w:tr w14:paraId="362F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0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辅材</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BA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含胶布，线槽，线管，标签，膨胀螺丝，铝合金线槽,扎带等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1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C8A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0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大屏、综合布线、监控的集成安装调试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1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B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E1F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4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战训大队二楼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2EFE">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9220">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022">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51E">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5A33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E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D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1、像素点间距：≤1.538mm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2、单元板分辨率：≥21632Dots</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3、刷新率：≥3840Hz，支持通过配套控制软件调节刷新率设置选项</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4、像素构成：1R、1G、1B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5、封装方式：SMD表贴三合一，灯芯键合线材质为铜线，五面黑灯，表面不反光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6、驱动方式：恒流驱动；控制方式：同步控制系统；维护方式：前后双向维护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7、整屏平整度≤0.04mm；模组平整度≤0.03mm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8、白平衡亮度：0-700cd/㎡可调；亮度调节：0-100%亮度可调，256级手动/自动调节，屏幕亮度具有随环境照度的变化任意调整功能；亮度均匀性：≥99%</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9、色温800K-18000K可调；白平衡状态下色温在6500K±5%；色温为6500K时，100%75%50%25%档电平白场调节色温误差≤100K</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10、水平视角≥170°；垂直视角≥170°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11、对比度≥9000：1</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12、具有H2S宽动态处理技术，解决主控机二次重复播放时的衰减等现象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14、供电电源：在4.2*（1±10%）VDC～4.5*（1±10%）VDC范围内能正常工作；峰值功耗≤300W/m²；平均功耗≤120W/m²</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16、防护性能：具有防静电、防电磁干扰、防腐蚀、防霉菌、防虫、防潮、抗震动、抗雷击等功能；具有电源过压、过流、断电保护、分布上电措施、防护等级达到IP60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17、具有列下消隐功能、倍频刷新率提升2/4/8倍、低灰偏色改善</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18、色坐标X、Y坐标符合SJ/T11141-2017 5.10.5规定；色度均匀性±0.001Cx、Cy内；色域空间≥120% NTSC，LED显示屏ColorSPace覆盖率≥170%YUV(PAL)</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平米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E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10.6</w:t>
            </w:r>
          </w:p>
        </w:tc>
      </w:tr>
      <w:tr w14:paraId="5C35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4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4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屏幕支架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47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1.采用高硬度金属铝型材或者高强度钣金加钢结构材料加工，保证单元间的无缝拼接。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2.采用模块化、一体式结构，支持多层多列叠加组合级弧形拼接。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229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4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4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LED屏幕输出输入卡</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CF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1、采用标准 19 英寸金属结构机箱，机箱为后挂耳结构，上盖无螺钉安装:外壳防护等级符合GBIT 4280-2017中IP20的要求;采用纯硬件 FPGA 架构设计、运行稳定、可靠、高效。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2、输入接口至少包括1路HDMI2.0+LOOP,2路HDMI1.3，1路USB3.0，最大可支持4096*2160@60HZ信号输入，支持选配1路3G-SDI（IN+LOOP）。</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3、视频输出支持不少于10路千兆网口输出，1路10G-OPT光口，最大带载可达650万像素，最宽支持10240,最高8192。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4、音频输入支持视频口伴随音频输入及独立输入两种模式，音频输出支持网口扩展输出及3.5mm独立音频口输出；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5、支持输入源备份功能，主源丢失下，无需人为操作可自动切换至备源显示，切换过程无黑屏；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6、可支持144HZ高帧率输入输出，输出支持插帧、抽帧、倍频（2倍频、3倍频、4倍频）功能，可将30HZ信号，倍频至120HZ输出；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7、图层能力：最大可支持不少于6个2K图层或1个4K图层+2个2K图层，全部图层大小和位置可单独调节。4K接口输入2K信号，按2K图层计算图层资源；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11、支持2种用户模式，标准模式和专业模式，满足不同角色对显示屏的分权管理，使用更加放心；</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12、支持微信小程序快捷控制，包括亮度调节、输出画质调节、待机模式、画面冻结、场景切换、U盘播放等功能；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13、支持平板对控制器进行快捷控制，包括亮度调节、图层布局调节、画面冻结、黑屏、场景切换、音量大小、OSD开关等功能；</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14、支持创建多个设备还原点，将当前设备的配屏，场景，输出等参数存储为还原点，当系统工作异常时，可根据还原点一键快速还原；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15、支持控制设备白名单，可通过MAC地址限制控制设备，非白名单内设备无法控制设备，不允许对设备进行操作；</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16、MTBF≥150000小时，MTTR平均修复小于10分钟可用度大于 99%，整机寿命不小于150000小时。产品稳定性高、性能卓越、纯硬件结构，上电即可正常工作，无需做任何其它设置。</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17、设备控制支持BS架构，可兼容多种操作系统包括但不限于：Windows、MAC OS、深度 Linux、银河麒麟、统信 UOS中标麒麟(NeoKylin)、优麒麟(UbuntuKylin)、凝思磐石、红旗 Linux 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1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8E9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8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配电箱</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F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配电柜内装有空气开关、熔断器、交流接触器、电流互感器、电压互感器、电源防雷器等，具有过流、过压、欠压、短路、断路、超温、超负荷、断电、等保护功能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F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676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7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6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功放</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类型：六分区独立音量控制、定压合并式功放</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额定功率：120W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输出方式：100V 定压输出（公共广播/背景音乐）</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分区：6分区独立音量旋钮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0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358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D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吸顶音响</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6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额定功率：10W</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阻抗：8Ω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单元：6英寸复合纸纤维音盆</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频率响应：120Hz–20kHz（±3dB）</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灵敏度：98dB（1W/1m）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安装方式：吸顶嵌入式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B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r>
      <w:tr w14:paraId="379F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机柜</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 尺寸：宽600mm × 深600mm × 高800mm（0.8米）</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标准：19英寸标准机柜（ANSI/EIA RS</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310</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D、IEC297</w:t>
            </w:r>
            <w:r>
              <w:rPr>
                <w:rFonts w:hint="eastAsia" w:ascii="宋体" w:hAnsi="宋体" w:eastAsia="宋体" w:cs="宋体"/>
                <w:i w:val="0"/>
                <w:iCs w:val="0"/>
                <w:snapToGrid w:val="0"/>
                <w:color w:val="auto"/>
                <w:kern w:val="0"/>
                <w:sz w:val="22"/>
                <w:szCs w:val="22"/>
                <w:highlight w:val="none"/>
                <w:u w:val="none"/>
                <w:lang w:val="en-US" w:eastAsia="zh-CN" w:bidi="ar"/>
              </w:rPr>
              <w:noBreakHyphen/>
            </w:r>
            <w:r>
              <w:rPr>
                <w:rFonts w:hint="eastAsia" w:ascii="宋体" w:hAnsi="宋体" w:eastAsia="宋体" w:cs="宋体"/>
                <w:i w:val="0"/>
                <w:iCs w:val="0"/>
                <w:snapToGrid w:val="0"/>
                <w:color w:val="auto"/>
                <w:kern w:val="0"/>
                <w:sz w:val="22"/>
                <w:szCs w:val="22"/>
                <w:highlight w:val="none"/>
                <w:u w:val="none"/>
                <w:lang w:val="en-US" w:eastAsia="zh-CN" w:bidi="ar"/>
              </w:rPr>
              <w:t>2、GB/T 3047.2）</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颜色：黑色（静电喷塑，默认）</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结构：拼装/焊接框架，落地式</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二、材质与厚度</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主体：SPCC优质冷轧钢板</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方孔条/安装梁：1.2–1.5mm（承重）</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侧板/网门：1.0–1.2mm</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表面处理：脱脂、磷化、静电喷塑（附着力强、防锈）</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三、门与通风</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前门：网孔门（通风散热）</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后门：网孔门/平板门（可选）</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通风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E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8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43E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9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7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解码器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0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一、核心规格</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定位：6路高清视频解码器，嵌入式Linux系统</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解码能力：整机最大支持 30路 1080P@30Hz 解码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视频标准：H.265、H.264、MPEG4、MPEG2、MJPEG</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音频标准：G.711A、G.711U</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私有协议：支持主流厂商私有码流</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二、接口与显示</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输出：6个 HDMI 输出口，单口最高支持 4K@60Hz (3840×2160)</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输入：2个 HDMI 输入口（支持PC信号上墙）</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网络：2个千兆网口（RJ45），支持网口冗余与负载均衡</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其他：1个USB3.0、1个RS485、4路告警输入/2路告警输出、12V电源输入</w:t>
            </w:r>
            <w:r>
              <w:rPr>
                <w:rFonts w:hint="eastAsia" w:ascii="宋体" w:hAnsi="宋体" w:eastAsia="宋体" w:cs="宋体"/>
                <w:i w:val="0"/>
                <w:iCs w:val="0"/>
                <w:snapToGrid w:val="0"/>
                <w:color w:val="auto"/>
                <w:kern w:val="0"/>
                <w:sz w:val="22"/>
                <w:szCs w:val="22"/>
                <w:highlight w:val="none"/>
                <w:u w:val="none"/>
                <w:lang w:val="en-US" w:eastAsia="zh-CN" w:bidi="ar"/>
              </w:rPr>
              <w:br w:type="textWrapping"/>
            </w:r>
            <w:r>
              <w:rPr>
                <w:rFonts w:hint="eastAsia" w:ascii="宋体" w:hAnsi="宋体" w:eastAsia="宋体" w:cs="宋体"/>
                <w:i w:val="0"/>
                <w:iCs w:val="0"/>
                <w:snapToGrid w:val="0"/>
                <w:color w:val="auto"/>
                <w:kern w:val="0"/>
                <w:sz w:val="22"/>
                <w:szCs w:val="22"/>
                <w:highlight w:val="none"/>
                <w:u w:val="none"/>
                <w:lang w:val="en-US" w:eastAsia="zh-CN" w:bidi="ar"/>
              </w:rPr>
              <w:t>- 分屏模式：单屏支持1/2/3/4/6/7/9/16分屏，支持拼接上墙</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C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A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39D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辅材及其他</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C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音频线，高清线，线槽，插板，其他</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D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0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3363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集成安装</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LED屏、吸顶喇叭的集成安装调测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6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4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r>
    </w:tbl>
    <w:p w14:paraId="48BFBFD4">
      <w:pPr>
        <w:rPr>
          <w:color w:val="auto"/>
          <w:highlight w:val="none"/>
        </w:rPr>
      </w:pPr>
    </w:p>
    <w:p w14:paraId="131C0149">
      <w:pPr>
        <w:rPr>
          <w:rFonts w:hint="eastAsia"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三、其他要求</w:t>
      </w:r>
    </w:p>
    <w:p w14:paraId="154F02DF">
      <w:pPr>
        <w:rPr>
          <w:rFonts w:hint="eastAsia"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1.报价要求</w:t>
      </w:r>
    </w:p>
    <w:p w14:paraId="32DB4602">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投标人报价为人民币报价，报价一次性包干，包含本项目相关所有费用。投标报价为最终报价，投标人不得再要求追加任何费用。报价中的单价应考虑实际实施过程材料合理的损耗率及项目所在地条件、环境及所有设备首检费用均由中标单位承担，所有费用（运输保险费、安装调试费、接口费、第三方检测费、培训费、检测费、标配工具费、质保期服务、各项税费及合同实施过程中不可预见费用等）均含在报价单中。</w:t>
      </w:r>
    </w:p>
    <w:p w14:paraId="575CF36B">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2、服务时间：</w:t>
      </w:r>
      <w:r>
        <w:rPr>
          <w:rFonts w:hint="eastAsia" w:ascii="黑体" w:hAnsi="黑体" w:eastAsia="黑体" w:cs="黑体"/>
          <w:snapToGrid w:val="0"/>
          <w:color w:val="auto"/>
          <w:kern w:val="0"/>
          <w:sz w:val="24"/>
          <w:szCs w:val="24"/>
          <w:highlight w:val="none"/>
          <w:lang w:val="en-US" w:eastAsia="zh-CN" w:bidi="ar-SA"/>
        </w:rPr>
        <w:t>自签订合同后90日历日内完成落地投入使用。（具体以签订合同为准）</w:t>
      </w:r>
    </w:p>
    <w:p w14:paraId="3C0CB7F1">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3、服务地点：</w:t>
      </w:r>
      <w:r>
        <w:rPr>
          <w:rFonts w:hint="eastAsia" w:ascii="黑体" w:hAnsi="黑体" w:eastAsia="黑体" w:cs="黑体"/>
          <w:snapToGrid w:val="0"/>
          <w:color w:val="auto"/>
          <w:kern w:val="0"/>
          <w:sz w:val="24"/>
          <w:szCs w:val="24"/>
          <w:highlight w:val="none"/>
          <w:lang w:val="en-US" w:eastAsia="zh-CN" w:bidi="ar-SA"/>
        </w:rPr>
        <w:t>甲方指定地点。</w:t>
      </w:r>
    </w:p>
    <w:p w14:paraId="4F45E788">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4、质量要求</w:t>
      </w:r>
    </w:p>
    <w:p w14:paraId="60A55B57">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产品质量：设备质量应当符合国家标准的要求，并且应当符合相关部门标准等相关要求，中标人提供的产品必须是原厂生产的、全新的、未使用过的正品（包括零部件），并完全符合国家质量标准，所有设备按照厂家规定的产品包装，附使用说明、合格证、随机标准附件。所有产品符合《中华人民共和国产品质量法》、《中华人民共和国计量法》、《中华人民共和国标准化法》要求、相关行业管理规定。</w:t>
      </w:r>
    </w:p>
    <w:p w14:paraId="4F99D951">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5、质保期：</w:t>
      </w:r>
    </w:p>
    <w:p w14:paraId="089FA3F5">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1）质保期内，投标商应保证接到通知后及时进行现场处理，并应在售后服务承诺书中注明售后服务响应时间以及保证措施。若系统发生重大故障，收到甲方通知后，投标商及时给用户做出答复，响应时间为1小时，并在24小时内到达现场服务,48小时内解决问题。维护及保修期间保证无偿维护修理完好，维修所需费用由投标商承担。在质保期内，投标商应无偿的承担故障维修、系统维护及软件升级的义务。</w:t>
      </w:r>
    </w:p>
    <w:p w14:paraId="63CA6201">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（2）质保期从验收合格后开始计算。质保期内所有设备维护等要求免费上门服务。</w:t>
      </w:r>
    </w:p>
    <w:p w14:paraId="32BA9EA1">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（3）售后维修维护服务本项目需要成交单位提供完善的售后服务、培训和保修服务。</w:t>
      </w:r>
    </w:p>
    <w:p w14:paraId="2D5768A4">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4）投标商提供相应的免费技术培训，保证甲方完全熟悉仪器的全部功能，并提供设备原版的维修手册。操作及维护培训的主要内容为设备的基本结构、性能、主要部件的构造及原理，日常使用操作、保养与管理，常见故障的排除，紧急情况的处理等。</w:t>
      </w:r>
    </w:p>
    <w:p w14:paraId="5E96F681">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6.违约责任：</w:t>
      </w:r>
    </w:p>
    <w:p w14:paraId="6D33B49D">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由于本项目的实际需要，需要在确认中标5天内必须签署合同，中标人因自身原因弃标的按相关法律法规承担违约责任。</w:t>
      </w:r>
    </w:p>
    <w:p w14:paraId="1278C60A">
      <w:pPr>
        <w:rPr>
          <w:rFonts w:hint="eastAsia"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7.验收要求</w:t>
      </w:r>
    </w:p>
    <w:p w14:paraId="30C12169">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snapToGrid w:val="0"/>
          <w:color w:val="auto"/>
          <w:kern w:val="0"/>
          <w:sz w:val="24"/>
          <w:szCs w:val="24"/>
          <w:highlight w:val="none"/>
          <w:lang w:val="en-US" w:eastAsia="zh-CN" w:bidi="ar-SA"/>
        </w:rPr>
        <w:t>(1)在项目实施过程中，将提供完整的质量保证流程，确保达到验收要求。对于项目终验，将有由业主方聘请有关机构的专家按照规范标准(无验收规范标准的按双方合同规定的要求)进行，验收过程产生的费用由中标人承担。</w:t>
      </w:r>
    </w:p>
    <w:p w14:paraId="525788DB">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8.人员培训：</w:t>
      </w:r>
      <w:r>
        <w:rPr>
          <w:rFonts w:hint="eastAsia" w:ascii="黑体" w:hAnsi="黑体" w:eastAsia="黑体" w:cs="黑体"/>
          <w:snapToGrid w:val="0"/>
          <w:color w:val="auto"/>
          <w:kern w:val="0"/>
          <w:sz w:val="24"/>
          <w:szCs w:val="24"/>
          <w:highlight w:val="none"/>
          <w:lang w:val="en-US" w:eastAsia="zh-CN" w:bidi="ar-SA"/>
        </w:rPr>
        <w:t>针对本项目实际情况指定培训计划，卖方应提供技术培训，保证使用人员正常操作设备的各种功能(厂家工程师驻场培训、网路在线培训)。在质保期内应就设备的安装、调试、维修、保养等对招标人机技和维修技术人员进行现场不少于2周的免费培训，直至招标人操作及机技人员完全掌握操作、基本维护技术为止。培训配备受过专业培训的售后服务人员、技术支持人员及咨询服务、在任何时候、任何地点均可享受到终生的免费咨询服务。供应商投标时应提供详细的培训方案。培训教员的差旅费、食宿费、培训教材等费用，应计入投标报价，随时排除所有设备故障进行明确的计划阐述，并对所有设备保修期过后维保进行阐述。</w:t>
      </w:r>
    </w:p>
    <w:p w14:paraId="405C82D5">
      <w:pPr>
        <w:rPr>
          <w:rFonts w:hint="eastAsia"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9.仪器故障造成配件损坏，供应商(乙方)须无条件免费更换。</w:t>
      </w:r>
    </w:p>
    <w:p w14:paraId="01CAE73D">
      <w:pPr>
        <w:rPr>
          <w:rFonts w:hint="eastAsia" w:ascii="黑体" w:hAnsi="黑体" w:eastAsia="黑体" w:cs="黑体"/>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10.付款方式：</w:t>
      </w:r>
      <w:r>
        <w:rPr>
          <w:rFonts w:hint="eastAsia" w:ascii="黑体" w:hAnsi="黑体" w:eastAsia="黑体" w:cs="黑体"/>
          <w:color w:val="auto"/>
          <w:spacing w:val="5"/>
          <w:sz w:val="24"/>
          <w:szCs w:val="24"/>
          <w:highlight w:val="none"/>
          <w:lang w:val="en-US" w:eastAsia="zh-CN"/>
        </w:rPr>
        <w:t>合同签订且中标人提交履约保证金后，甲方向中标人支付合同总价款的30%；全部建设内容完成并验收合格后支付40%；项目整体投入使用后支付剩余30%。（具体时间以签订合同为准）</w:t>
      </w:r>
    </w:p>
    <w:p w14:paraId="1433C0DA">
      <w:pPr>
        <w:rPr>
          <w:rFonts w:hint="default"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注：1.服务内容无指向任何品牌型号，如服务内容与某家服务内容雷同，仅供参考。</w:t>
      </w:r>
    </w:p>
    <w:p w14:paraId="49BEE2DE">
      <w:pPr>
        <w:pStyle w:val="10"/>
        <w:keepNext w:val="0"/>
        <w:keepLines w:val="0"/>
        <w:pageBreakBefore w:val="0"/>
        <w:widowControl/>
        <w:kinsoku/>
        <w:wordWrap w:val="0"/>
        <w:overflowPunct/>
        <w:topLinePunct w:val="0"/>
        <w:autoSpaceDE/>
        <w:autoSpaceDN/>
        <w:bidi w:val="0"/>
        <w:adjustRightInd w:val="0"/>
        <w:snapToGrid w:val="0"/>
        <w:spacing w:line="360" w:lineRule="auto"/>
        <w:ind w:right="0" w:firstLine="482" w:firstLineChars="200"/>
        <w:textAlignment w:val="baseline"/>
        <w:rPr>
          <w:rFonts w:hint="eastAsia"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snapToGrid w:val="0"/>
          <w:color w:val="auto"/>
          <w:kern w:val="0"/>
          <w:sz w:val="24"/>
          <w:szCs w:val="24"/>
          <w:highlight w:val="none"/>
          <w:lang w:val="en-US" w:eastAsia="zh-CN" w:bidi="ar-SA"/>
        </w:rPr>
        <w:t>2.标注“▲”的条款为重要服务内容。</w:t>
      </w:r>
    </w:p>
    <w:p w14:paraId="1C04D1CB">
      <w:pPr>
        <w:pStyle w:val="10"/>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86" w:firstLineChars="160"/>
        <w:textAlignment w:val="baseline"/>
        <w:rPr>
          <w:rFonts w:hint="eastAsia" w:ascii="黑体" w:hAnsi="黑体" w:eastAsia="黑体" w:cs="黑体"/>
          <w:b/>
          <w:bCs/>
          <w:snapToGrid w:val="0"/>
          <w:color w:val="auto"/>
          <w:kern w:val="0"/>
          <w:sz w:val="24"/>
          <w:szCs w:val="24"/>
          <w:highlight w:val="none"/>
          <w:lang w:val="en-US" w:eastAsia="zh-CN" w:bidi="ar-SA"/>
        </w:rPr>
      </w:pPr>
    </w:p>
    <w:p w14:paraId="5637CB59">
      <w:pPr>
        <w:rPr>
          <w:rFonts w:hint="eastAsia" w:ascii="黑体" w:hAnsi="黑体" w:eastAsia="黑体" w:cs="黑体"/>
          <w:b/>
          <w:bCs/>
          <w:color w:val="auto"/>
          <w:spacing w:val="5"/>
          <w:sz w:val="28"/>
          <w:szCs w:val="28"/>
          <w:highlight w:val="none"/>
        </w:rPr>
      </w:pPr>
      <w:bookmarkStart w:id="257" w:name="_Toc5455"/>
      <w:bookmarkStart w:id="258" w:name="_Toc7585"/>
      <w:r>
        <w:rPr>
          <w:rFonts w:hint="eastAsia" w:ascii="黑体" w:hAnsi="黑体" w:eastAsia="黑体" w:cs="黑体"/>
          <w:b/>
          <w:bCs/>
          <w:color w:val="auto"/>
          <w:spacing w:val="5"/>
          <w:sz w:val="28"/>
          <w:szCs w:val="28"/>
          <w:highlight w:val="none"/>
        </w:rPr>
        <w:br w:type="page"/>
      </w:r>
    </w:p>
    <w:p w14:paraId="6427FFA6">
      <w:pPr>
        <w:pStyle w:val="10"/>
        <w:keepNext w:val="0"/>
        <w:keepLines w:val="0"/>
        <w:pageBreakBefore w:val="0"/>
        <w:widowControl/>
        <w:kinsoku/>
        <w:wordWrap w:val="0"/>
        <w:overflowPunct/>
        <w:topLinePunct w:val="0"/>
        <w:bidi w:val="0"/>
        <w:spacing w:line="224" w:lineRule="auto"/>
        <w:ind w:left="0" w:leftChars="0" w:right="0"/>
        <w:jc w:val="center"/>
        <w:outlineLvl w:val="0"/>
        <w:rPr>
          <w:rFonts w:hint="eastAsia" w:ascii="黑体" w:hAnsi="黑体" w:eastAsia="黑体" w:cs="黑体"/>
          <w:color w:val="auto"/>
          <w:sz w:val="28"/>
          <w:szCs w:val="28"/>
          <w:highlight w:val="none"/>
        </w:rPr>
      </w:pPr>
      <w:bookmarkStart w:id="259" w:name="_Toc31565"/>
      <w:r>
        <w:rPr>
          <w:rFonts w:hint="eastAsia" w:ascii="黑体" w:hAnsi="黑体" w:eastAsia="黑体" w:cs="黑体"/>
          <w:b/>
          <w:bCs/>
          <w:color w:val="auto"/>
          <w:spacing w:val="5"/>
          <w:sz w:val="28"/>
          <w:szCs w:val="28"/>
          <w:highlight w:val="none"/>
        </w:rPr>
        <w:t>第6章评标方法和标准</w:t>
      </w:r>
      <w:bookmarkEnd w:id="257"/>
      <w:bookmarkEnd w:id="258"/>
      <w:bookmarkEnd w:id="259"/>
    </w:p>
    <w:p w14:paraId="373D77C7">
      <w:pPr>
        <w:keepNext w:val="0"/>
        <w:keepLines w:val="0"/>
        <w:pageBreakBefore w:val="0"/>
        <w:widowControl/>
        <w:kinsoku/>
        <w:wordWrap w:val="0"/>
        <w:overflowPunct/>
        <w:topLinePunct w:val="0"/>
        <w:bidi w:val="0"/>
        <w:spacing w:line="328" w:lineRule="auto"/>
        <w:ind w:left="0" w:leftChars="0" w:right="0"/>
        <w:rPr>
          <w:rFonts w:hint="eastAsia" w:ascii="黑体" w:hAnsi="黑体" w:eastAsia="黑体" w:cs="黑体"/>
          <w:color w:val="auto"/>
          <w:sz w:val="24"/>
          <w:szCs w:val="24"/>
          <w:highlight w:val="none"/>
        </w:rPr>
      </w:pPr>
    </w:p>
    <w:p w14:paraId="2FD0E651">
      <w:pPr>
        <w:pageBreakBefore w:val="0"/>
        <w:kinsoku/>
        <w:wordWrap/>
        <w:overflowPunct/>
        <w:topLinePunct w:val="0"/>
        <w:bidi w:val="0"/>
        <w:spacing w:line="360" w:lineRule="auto"/>
        <w:ind w:left="0" w:leftChars="0" w:firstLine="0" w:firstLineChars="0"/>
        <w:jc w:val="center"/>
        <w:textAlignment w:val="auto"/>
        <w:outlineLvl w:val="1"/>
        <w:rPr>
          <w:rFonts w:hint="eastAsia" w:ascii="黑体" w:hAnsi="黑体" w:eastAsia="黑体" w:cs="黑体"/>
          <w:b/>
          <w:bCs/>
          <w:i w:val="0"/>
          <w:iCs w:val="0"/>
          <w:color w:val="auto"/>
          <w:sz w:val="28"/>
          <w:szCs w:val="28"/>
          <w:highlight w:val="none"/>
        </w:rPr>
      </w:pPr>
      <w:bookmarkStart w:id="260" w:name="_Toc18838"/>
      <w:bookmarkStart w:id="261" w:name="_Toc1139"/>
      <w:r>
        <w:rPr>
          <w:rFonts w:hint="eastAsia" w:ascii="黑体" w:hAnsi="黑体" w:eastAsia="黑体" w:cs="黑体"/>
          <w:b/>
          <w:bCs/>
          <w:i w:val="0"/>
          <w:iCs w:val="0"/>
          <w:color w:val="auto"/>
          <w:sz w:val="28"/>
          <w:szCs w:val="28"/>
          <w:highlight w:val="none"/>
        </w:rPr>
        <w:t>（一）总则</w:t>
      </w:r>
      <w:bookmarkEnd w:id="260"/>
      <w:bookmarkEnd w:id="261"/>
    </w:p>
    <w:p w14:paraId="0284F04E">
      <w:pPr>
        <w:pageBreakBefore w:val="0"/>
        <w:kinsoku/>
        <w:wordWrap/>
        <w:overflowPunct/>
        <w:topLinePunct w:val="0"/>
        <w:bidi w:val="0"/>
        <w:spacing w:line="360" w:lineRule="auto"/>
        <w:ind w:left="0" w:leftChars="0" w:firstLine="0" w:firstLineChars="0"/>
        <w:textAlignment w:val="auto"/>
        <w:rPr>
          <w:rFonts w:hint="eastAsia" w:ascii="黑体" w:hAnsi="黑体" w:eastAsia="黑体" w:cs="黑体"/>
          <w:b/>
          <w:bCs/>
          <w:i w:val="0"/>
          <w:iCs w:val="0"/>
          <w:color w:val="auto"/>
          <w:sz w:val="24"/>
          <w:szCs w:val="24"/>
          <w:highlight w:val="none"/>
        </w:rPr>
      </w:pPr>
      <w:r>
        <w:rPr>
          <w:rFonts w:hint="eastAsia" w:ascii="黑体" w:hAnsi="黑体" w:eastAsia="黑体" w:cs="黑体"/>
          <w:b/>
          <w:bCs/>
          <w:i w:val="0"/>
          <w:iCs w:val="0"/>
          <w:color w:val="auto"/>
          <w:sz w:val="24"/>
          <w:szCs w:val="24"/>
          <w:highlight w:val="none"/>
        </w:rPr>
        <w:t>1.评标委员会</w:t>
      </w:r>
    </w:p>
    <w:p w14:paraId="12F10CF3">
      <w:pPr>
        <w:pageBreakBefore w:val="0"/>
        <w:kinsoku/>
        <w:wordWrap/>
        <w:overflowPunct/>
        <w:topLinePunct w:val="0"/>
        <w:bidi w:val="0"/>
        <w:spacing w:line="360" w:lineRule="auto"/>
        <w:ind w:left="0" w:leftChars="0" w:firstLine="480" w:firstLineChars="200"/>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评标由依法组建的评标委员会负责。</w:t>
      </w:r>
    </w:p>
    <w:p w14:paraId="0D4C569C">
      <w:pPr>
        <w:pageBreakBefore w:val="0"/>
        <w:kinsoku/>
        <w:wordWrap/>
        <w:overflowPunct/>
        <w:topLinePunct w:val="0"/>
        <w:bidi w:val="0"/>
        <w:spacing w:line="360" w:lineRule="auto"/>
        <w:ind w:left="0" w:leftChars="0" w:firstLine="0" w:firstLineChars="0"/>
        <w:textAlignment w:val="auto"/>
        <w:rPr>
          <w:rFonts w:hint="eastAsia" w:ascii="黑体" w:hAnsi="黑体" w:eastAsia="黑体" w:cs="黑体"/>
          <w:b/>
          <w:bCs/>
          <w:i w:val="0"/>
          <w:iCs w:val="0"/>
          <w:color w:val="auto"/>
          <w:sz w:val="24"/>
          <w:szCs w:val="24"/>
          <w:highlight w:val="none"/>
        </w:rPr>
      </w:pPr>
      <w:r>
        <w:rPr>
          <w:rFonts w:hint="eastAsia" w:ascii="黑体" w:hAnsi="黑体" w:eastAsia="黑体" w:cs="黑体"/>
          <w:b/>
          <w:bCs/>
          <w:i w:val="0"/>
          <w:iCs w:val="0"/>
          <w:color w:val="auto"/>
          <w:sz w:val="24"/>
          <w:szCs w:val="24"/>
          <w:highlight w:val="none"/>
        </w:rPr>
        <w:t>2.评标方法</w:t>
      </w:r>
    </w:p>
    <w:p w14:paraId="584A5E58">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2.1本项目评标方法为：综合评分法。</w:t>
      </w:r>
    </w:p>
    <w:p w14:paraId="3A070C7C">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2.1.1综合评分法，是投标文件满足招标文件全部实质性要求，且按照评标因素的量化指标评标得分最高的投标人为中标候选人的评标方法。</w:t>
      </w:r>
    </w:p>
    <w:p w14:paraId="3A585E56">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2.1.2评标时，评标委员会各成员应当独立对每个投标人的投标文件进行评价，并汇总每个投标人的得分。</w:t>
      </w:r>
    </w:p>
    <w:p w14:paraId="7641BFC4">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lang w:eastAsia="zh-CN"/>
        </w:rPr>
      </w:pPr>
      <w:r>
        <w:rPr>
          <w:rFonts w:hint="eastAsia" w:ascii="黑体" w:hAnsi="黑体" w:eastAsia="黑体" w:cs="黑体"/>
          <w:i w:val="0"/>
          <w:iCs w:val="0"/>
          <w:color w:val="auto"/>
          <w:sz w:val="24"/>
          <w:szCs w:val="24"/>
          <w:highlight w:val="none"/>
        </w:rPr>
        <w:t>2.2评标结果按评标后得分由高到低顺序排列，得分相同的</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，按投标报价由低到高顺序排列。得分且投标报价相同的</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按技术指标优劣顺序排列</w:t>
      </w:r>
      <w:r>
        <w:rPr>
          <w:rFonts w:hint="eastAsia" w:ascii="黑体" w:hAnsi="黑体" w:eastAsia="黑体" w:cs="黑体"/>
          <w:i w:val="0"/>
          <w:iCs w:val="0"/>
          <w:color w:val="auto"/>
          <w:sz w:val="24"/>
          <w:szCs w:val="24"/>
          <w:highlight w:val="none"/>
          <w:lang w:eastAsia="zh-CN"/>
        </w:rPr>
        <w:t>。</w:t>
      </w:r>
    </w:p>
    <w:p w14:paraId="3CA7E879">
      <w:pPr>
        <w:pageBreakBefore w:val="0"/>
        <w:kinsoku/>
        <w:wordWrap/>
        <w:overflowPunct/>
        <w:topLinePunct w:val="0"/>
        <w:bidi w:val="0"/>
        <w:spacing w:line="360" w:lineRule="auto"/>
        <w:ind w:left="0" w:leftChars="0" w:firstLine="0" w:firstLineChars="0"/>
        <w:textAlignment w:val="auto"/>
        <w:rPr>
          <w:rFonts w:hint="eastAsia" w:ascii="黑体" w:hAnsi="黑体" w:eastAsia="黑体" w:cs="黑体"/>
          <w:b/>
          <w:bCs/>
          <w:i w:val="0"/>
          <w:iCs w:val="0"/>
          <w:color w:val="auto"/>
          <w:sz w:val="24"/>
          <w:szCs w:val="24"/>
          <w:highlight w:val="none"/>
        </w:rPr>
      </w:pPr>
      <w:r>
        <w:rPr>
          <w:rFonts w:hint="eastAsia" w:ascii="黑体" w:hAnsi="黑体" w:eastAsia="黑体" w:cs="黑体"/>
          <w:b/>
          <w:bCs/>
          <w:i w:val="0"/>
          <w:iCs w:val="0"/>
          <w:color w:val="auto"/>
          <w:sz w:val="24"/>
          <w:szCs w:val="24"/>
          <w:highlight w:val="none"/>
        </w:rPr>
        <w:t>3.评标原则和评标纪律</w:t>
      </w:r>
    </w:p>
    <w:p w14:paraId="553A65AB">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3.1评标委员会成员应当按照客观、公正、公平的原则，根据招标文件规定的评标程序、评标方法和评标标准进行独立评标。</w:t>
      </w:r>
    </w:p>
    <w:p w14:paraId="3DFA9F70">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14:paraId="2F48F8BE">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3.3评标纪律</w:t>
      </w:r>
    </w:p>
    <w:p w14:paraId="4B3E80A8">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3.3.1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14:paraId="594444BA">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3.3.2评标委员会成员不得私自泄露评标内容。评标过程应严格遵守保密制度。开标后,直到授予中标人合同止，凡是属于审查、澄清、评价和比较的有关资料以及授标建议等均不得向投标人或其他无关的人员透露。</w:t>
      </w:r>
    </w:p>
    <w:p w14:paraId="2B008F7F">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3.4评标委员会成员应当履行的义务</w:t>
      </w:r>
    </w:p>
    <w:p w14:paraId="02AAD1AD">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3.4.1评标委员会成员应根据政府采购法律法规和采购文件所载明的评标方法、标准进行评标，遵纪守法，客观、公正、廉洁地履行职责。</w:t>
      </w:r>
    </w:p>
    <w:p w14:paraId="4DEFE954">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3.4.2评标委员会成员应熟悉和理解采购文件，认真阅读所有投标人的投标文件，对所有投标文件逐一进行检查，按采购文件规定的评标方法和标准，进行比较和评价；</w:t>
      </w:r>
    </w:p>
    <w:p w14:paraId="681A5209">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3.4.3对投标人的价格分等客观评分项的评分应当一致，对其他需要借助专业知识评判的主观评分项，应当严格按照评分细则公正评分。</w:t>
      </w:r>
    </w:p>
    <w:p w14:paraId="1C1E4A64">
      <w:pPr>
        <w:pageBreakBefore w:val="0"/>
        <w:kinsoku/>
        <w:wordWrap/>
        <w:overflowPunct/>
        <w:topLinePunct w:val="0"/>
        <w:bidi w:val="0"/>
        <w:spacing w:line="360" w:lineRule="auto"/>
        <w:ind w:left="0" w:leftChars="0" w:firstLine="420" w:firstLineChars="175"/>
        <w:textAlignment w:val="auto"/>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3.4.4评标委员会应对评标过程和结果以及投标人的商业秘密保密。</w:t>
      </w:r>
    </w:p>
    <w:p w14:paraId="1D033FB7">
      <w:pPr>
        <w:pStyle w:val="7"/>
        <w:spacing w:line="360" w:lineRule="auto"/>
        <w:ind w:left="0" w:leftChars="0" w:firstLine="0" w:firstLineChars="0"/>
        <w:jc w:val="center"/>
        <w:outlineLvl w:val="1"/>
        <w:rPr>
          <w:rFonts w:hint="eastAsia" w:ascii="黑体" w:hAnsi="黑体" w:eastAsia="黑体" w:cs="黑体"/>
          <w:b/>
          <w:bCs w:val="0"/>
          <w:color w:val="auto"/>
          <w:sz w:val="28"/>
          <w:szCs w:val="28"/>
          <w:highlight w:val="none"/>
        </w:rPr>
      </w:pPr>
      <w:bookmarkStart w:id="262" w:name="_Toc4303"/>
      <w:bookmarkStart w:id="263" w:name="_Toc19948"/>
      <w:r>
        <w:rPr>
          <w:rFonts w:hint="eastAsia" w:ascii="黑体" w:hAnsi="黑体" w:eastAsia="黑体" w:cs="黑体"/>
          <w:b/>
          <w:bCs w:val="0"/>
          <w:color w:val="auto"/>
          <w:sz w:val="28"/>
          <w:szCs w:val="28"/>
          <w:highlight w:val="none"/>
        </w:rPr>
        <w:t>（二）评标程序</w:t>
      </w:r>
      <w:bookmarkEnd w:id="262"/>
      <w:bookmarkEnd w:id="263"/>
    </w:p>
    <w:p w14:paraId="6B74CB69">
      <w:pPr>
        <w:pStyle w:val="7"/>
        <w:spacing w:line="360" w:lineRule="auto"/>
        <w:ind w:left="0" w:leftChars="0" w:firstLine="0" w:firstLineChars="0"/>
        <w:jc w:val="both"/>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4．投标文件的初步评标</w:t>
      </w:r>
    </w:p>
    <w:p w14:paraId="64188BD6">
      <w:pPr>
        <w:pStyle w:val="7"/>
        <w:spacing w:line="360" w:lineRule="auto"/>
        <w:ind w:left="0" w:leftChars="0" w:firstLine="420" w:firstLineChars="175"/>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4.1符合性检查。</w:t>
      </w:r>
    </w:p>
    <w:p w14:paraId="49ADD989">
      <w:pPr>
        <w:pStyle w:val="7"/>
        <w:spacing w:line="360" w:lineRule="auto"/>
        <w:ind w:left="0" w:leftChars="0" w:firstLine="420" w:firstLineChars="175"/>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4.1.1符合性检查内容及标准</w:t>
      </w:r>
    </w:p>
    <w:p w14:paraId="364254C1">
      <w:pPr>
        <w:pStyle w:val="7"/>
        <w:spacing w:line="360" w:lineRule="auto"/>
        <w:ind w:left="0" w:leftChars="0" w:firstLine="420" w:firstLineChars="175"/>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4.1.1.1依据招标文件的规定，从投标文件对招标文件的响应程度进行审查，以确定是否对招标文件的实质性要求作出响应。</w:t>
      </w:r>
    </w:p>
    <w:p w14:paraId="16B6FB55">
      <w:pPr>
        <w:pStyle w:val="7"/>
        <w:spacing w:line="360" w:lineRule="auto"/>
        <w:ind w:left="0" w:leftChars="0" w:firstLine="420" w:firstLineChars="175"/>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4.1.1.2投标人不得通过修正或撤销不符合要求的偏离从而使其投标成为实质上响应的投标。</w:t>
      </w:r>
    </w:p>
    <w:p w14:paraId="6F4C79E7">
      <w:pPr>
        <w:spacing w:line="360" w:lineRule="auto"/>
        <w:ind w:left="0" w:leftChars="0" w:firstLine="0" w:firstLineChars="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 xml:space="preserve">5．澄清有关问题 </w:t>
      </w:r>
    </w:p>
    <w:p w14:paraId="471DEB17">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5.1投标文件报价出现前后不一致的，除招标文件另有规定外，按照下列规定修正：</w:t>
      </w:r>
    </w:p>
    <w:p w14:paraId="3AF656B6">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（1）投标文件中开标一览表（报价表）内容与投标文件中相应内容不一致的，以开标一览表（报价表）为准；</w:t>
      </w:r>
    </w:p>
    <w:p w14:paraId="2F7F4ADB">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（2）大写金额和小写金额不一致的，以大写金额为准；</w:t>
      </w:r>
    </w:p>
    <w:p w14:paraId="6A80D63B">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（3）单价金额小数点或者百分比有明显错位的，以开标一览表的总价为准，并修改单价；</w:t>
      </w:r>
    </w:p>
    <w:p w14:paraId="58CDBEDE">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总价金额与按单价汇总金额不一致的，以单价金额计算结果为准。同时出现两种以上不一致的，按照前款规定的顺序修正。修正后的报价经投标人确认后产生约束力，投标人不确认或拒绝修正的，其投标无效。</w:t>
      </w:r>
    </w:p>
    <w:p w14:paraId="6D05308D">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5.2投标人按照评标委员会要求提供的有效书面澄清材料，是投标文件的补充材料，成为其投标文件的组成部分。</w:t>
      </w:r>
    </w:p>
    <w:p w14:paraId="57D59730">
      <w:pPr>
        <w:spacing w:line="360" w:lineRule="auto"/>
        <w:ind w:left="0" w:leftChars="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5.3评标委员会认为投标人的报价明显低于其他通过符合性审查投标人的报价，有可能影响产品质量或者不能诚信履约的，应当要求其在评标现场合理的时间内提供书面说明，必要时提交相关证明材料；投标人规定的时间内不能证明其报价合理性的，评标委员会应当将其作为无效投标处理。 </w:t>
      </w:r>
    </w:p>
    <w:p w14:paraId="51B91B4D">
      <w:pPr>
        <w:spacing w:line="360" w:lineRule="auto"/>
        <w:ind w:left="0" w:leftChars="0" w:firstLine="0" w:firstLineChars="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 xml:space="preserve">6．详细评标 </w:t>
      </w:r>
    </w:p>
    <w:p w14:paraId="663ED265">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6.1评标委员会应按照招标文件中规定的评标方法、标准和评标因素，对资格性检查和符合性检查合格的投标文件进行商务和技术评估，综合比较与评价。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4F72EB">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非单一产品采购项目，采购人应当根据采购项目技术构成、产品价格比重等合理确定核心产品，并在招标文件中载明。多家投标人提供的核心产品品牌相同的，按前款规定处理。</w:t>
      </w:r>
    </w:p>
    <w:p w14:paraId="58321F8B">
      <w:pPr>
        <w:spacing w:line="360" w:lineRule="auto"/>
        <w:ind w:left="0" w:leftChars="0" w:firstLine="420" w:firstLineChars="175"/>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6.2评标时，评标委员会各成员应当独立对每个投标人的投标文件进行评价、评分，然后汇总每个投标人每项评分因素的得分。</w:t>
      </w:r>
    </w:p>
    <w:p w14:paraId="7F4ACBD9">
      <w:pPr>
        <w:spacing w:line="360" w:lineRule="auto"/>
        <w:ind w:left="0" w:leftChars="0" w:firstLine="0" w:firstLineChars="0"/>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7．推荐中标候选人名单 </w:t>
      </w:r>
    </w:p>
    <w:p w14:paraId="3F5269B9">
      <w:pPr>
        <w:pageBreakBefore w:val="0"/>
        <w:kinsoku/>
        <w:wordWrap/>
        <w:overflowPunct/>
        <w:topLinePunct w:val="0"/>
        <w:bidi w:val="0"/>
        <w:spacing w:line="360" w:lineRule="auto"/>
        <w:ind w:left="0" w:leftChars="0"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7.1</w:t>
      </w:r>
      <w:r>
        <w:rPr>
          <w:rFonts w:hint="eastAsia" w:ascii="黑体" w:hAnsi="黑体" w:eastAsia="黑体" w:cs="黑体"/>
          <w:i w:val="0"/>
          <w:iCs w:val="0"/>
          <w:color w:val="auto"/>
          <w:sz w:val="24"/>
          <w:szCs w:val="24"/>
          <w:highlight w:val="none"/>
        </w:rPr>
        <w:t>评标结果按评标后得分由高到低顺序排列，得分相同的</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，按投标报价由低到高顺序排列。得分且投标报价相同的</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按技术指标优劣顺序排列</w:t>
      </w:r>
      <w:r>
        <w:rPr>
          <w:rFonts w:hint="eastAsia" w:ascii="黑体" w:hAnsi="黑体" w:eastAsia="黑体" w:cs="黑体"/>
          <w:i w:val="0"/>
          <w:iCs w:val="0"/>
          <w:color w:val="auto"/>
          <w:sz w:val="24"/>
          <w:szCs w:val="24"/>
          <w:highlight w:val="none"/>
          <w:lang w:eastAsia="zh-CN"/>
        </w:rPr>
        <w:t>，推荐中标候选人名单。</w:t>
      </w:r>
    </w:p>
    <w:p w14:paraId="6699D60F">
      <w:pPr>
        <w:spacing w:line="360" w:lineRule="auto"/>
        <w:ind w:left="0" w:leftChars="0" w:firstLine="0" w:firstLineChars="0"/>
        <w:jc w:val="center"/>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二、评标中的落实政府采购政策具体办法</w:t>
      </w:r>
    </w:p>
    <w:p w14:paraId="3813412C">
      <w:pPr>
        <w:spacing w:line="360" w:lineRule="auto"/>
        <w:ind w:left="0" w:leftChars="0" w:firstLine="0" w:firstLineChars="0"/>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1、政策落实</w:t>
      </w:r>
    </w:p>
    <w:p w14:paraId="3E2BEDFF">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政府采购促进中小企业发展管理办法》（财库[2020]46号、财库[2022]19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7DB2BE">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（2）在政府采购活动中，供应商提供的货物、工程或者服务符合下列情形的，享受发展管理办法规定的中小企业扶持政策：</w:t>
      </w:r>
    </w:p>
    <w:p w14:paraId="28B5449D">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（一）在货物采购项目中，货物由中小企业制造，即货物由中小企业生产且使用该中小企业商号或者注册商标；</w:t>
      </w:r>
    </w:p>
    <w:p w14:paraId="51AB74F5">
      <w:pPr>
        <w:keepNext w:val="0"/>
        <w:keepLines w:val="0"/>
        <w:widowControl/>
        <w:suppressLineNumbers w:val="0"/>
        <w:spacing w:line="360" w:lineRule="auto"/>
        <w:ind w:left="0" w:leftChars="0" w:firstLine="0" w:firstLineChars="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（二）在工程采购项目中，工程由中小企业承建，即工程施工单位为中小</w:t>
      </w:r>
      <w:r>
        <w:rPr>
          <w:rFonts w:hint="eastAsia" w:ascii="黑体" w:hAnsi="黑体" w:eastAsia="黑体" w:cs="黑体"/>
          <w:color w:val="auto"/>
          <w:kern w:val="0"/>
          <w:sz w:val="24"/>
          <w:szCs w:val="24"/>
          <w:highlight w:val="none"/>
          <w:lang w:val="en-US" w:eastAsia="zh-CN" w:bidi="ar"/>
        </w:rPr>
        <w:t>企业。</w:t>
      </w:r>
    </w:p>
    <w:p w14:paraId="00A2FF0F">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（三）在服务采购项目中，服务由中小企业承接，即提供服务的人员为中小企业依照《中华人民共和国劳动合同法》订立劳动合同的从业人员。</w:t>
      </w:r>
    </w:p>
    <w:p w14:paraId="409B4C27">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在货物采购项目中，供应商提供的货物既有中小企业制造货物，也有大型企业制造货物的，不享受发展管理办法规定的中小企业扶持政策。</w:t>
      </w:r>
    </w:p>
    <w:p w14:paraId="2FA9A42B">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4832B4F6">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（3）1、采购限额标准以上，200万元以下的货物和服务采购项目、400万元以下的工程采购项目，适宜由中小企业提供的，采购人应当专门面向中小企业采购。</w:t>
      </w:r>
    </w:p>
    <w:p w14:paraId="2DE3CE44">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7BCAB508">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2551D92C">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w:t>
      </w:r>
      <w:r>
        <w:rPr>
          <w:rFonts w:hint="eastAsia" w:ascii="黑体" w:hAnsi="黑体" w:eastAsia="黑体" w:cs="黑体"/>
          <w:color w:val="auto"/>
          <w:sz w:val="24"/>
          <w:szCs w:val="24"/>
          <w:highlight w:val="none"/>
          <w:u w:val="single"/>
          <w:lang w:val="en-US" w:eastAsia="zh-CN"/>
        </w:rPr>
        <w:t>10%</w:t>
      </w:r>
      <w:r>
        <w:rPr>
          <w:rFonts w:hint="eastAsia" w:ascii="黑体" w:hAnsi="黑体" w:eastAsia="黑体" w:cs="黑体"/>
          <w:color w:val="auto"/>
          <w:sz w:val="24"/>
          <w:szCs w:val="24"/>
          <w:highlight w:val="none"/>
          <w:lang w:val="en-US" w:eastAsia="zh-CN"/>
        </w:rPr>
        <w:t>的扣除，用扣除后的价格参加评审。</w:t>
      </w:r>
    </w:p>
    <w:p w14:paraId="62801085">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工程项目为2%）的扣除，用扣除后的价格参加评审。适用招标投标法的政府采购工程建设项目，采用综合评估法但未采用低价优先法计算价格分的，评标时应当在采用原报价进行评分的基础上增加其价格得分的2%作为其价格分。</w:t>
      </w:r>
    </w:p>
    <w:p w14:paraId="192E35A0">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价格扣除比例或者价格分加分比例对小型企业和微型企业同等对待，不作区分。</w:t>
      </w:r>
    </w:p>
    <w:p w14:paraId="6BE5BC8E">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中小企业参加政府采购活动，应当按规定格式出具合格的《中小企业声明函》，否则不得享受相关中小企业扶持政策。专门面向中小企业采购的项目，未按规定要求提供合格的《中小企业声明函》将会导致其投标无效。《中小企业声明函》格式详见第2章投标文件格式。</w:t>
      </w:r>
    </w:p>
    <w:p w14:paraId="4AAFBF41">
      <w:pPr>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采购文件规定的评审中价格扣除或价格分加分等促进中小企业发展的政府采购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51203D">
      <w:pPr>
        <w:pStyle w:val="7"/>
        <w:spacing w:line="360" w:lineRule="auto"/>
        <w:ind w:left="0" w:leftChars="0" w:firstLine="0" w:firstLineChars="0"/>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如有其它政策支持因素（如鼓励创新等）需一并列出。</w:t>
      </w:r>
    </w:p>
    <w:p w14:paraId="6DB78192">
      <w:pPr>
        <w:rPr>
          <w:rFonts w:hint="eastAsia" w:ascii="黑体" w:hAnsi="黑体" w:eastAsia="黑体" w:cs="黑体"/>
          <w:b/>
          <w:bCs/>
          <w:color w:val="auto"/>
          <w:spacing w:val="-3"/>
          <w:highlight w:val="none"/>
        </w:rPr>
      </w:pPr>
      <w:r>
        <w:rPr>
          <w:rFonts w:hint="eastAsia" w:ascii="黑体" w:hAnsi="黑体" w:eastAsia="黑体" w:cs="黑体"/>
          <w:b/>
          <w:bCs/>
          <w:color w:val="auto"/>
          <w:spacing w:val="-3"/>
          <w:highlight w:val="none"/>
        </w:rPr>
        <w:br w:type="page"/>
      </w:r>
    </w:p>
    <w:p w14:paraId="6F7FEC6A">
      <w:pPr>
        <w:pStyle w:val="7"/>
        <w:spacing w:line="300" w:lineRule="auto"/>
        <w:ind w:firstLine="0"/>
        <w:jc w:val="center"/>
        <w:rPr>
          <w:rFonts w:hint="eastAsia" w:ascii="黑体" w:hAnsi="黑体" w:eastAsia="黑体" w:cs="黑体"/>
          <w:b/>
          <w:color w:val="auto"/>
          <w:sz w:val="24"/>
          <w:szCs w:val="24"/>
          <w:highlight w:val="none"/>
          <w:lang w:eastAsia="zh-CN"/>
        </w:rPr>
      </w:pPr>
      <w:r>
        <w:rPr>
          <w:rFonts w:hint="eastAsia" w:ascii="黑体" w:hAnsi="黑体" w:eastAsia="黑体" w:cs="黑体"/>
          <w:b/>
          <w:color w:val="auto"/>
          <w:sz w:val="28"/>
          <w:szCs w:val="28"/>
          <w:highlight w:val="none"/>
        </w:rPr>
        <w:t>初步评审—</w:t>
      </w:r>
      <w:r>
        <w:rPr>
          <w:rFonts w:hint="eastAsia" w:ascii="黑体" w:hAnsi="黑体" w:eastAsia="黑体" w:cs="黑体"/>
          <w:b/>
          <w:color w:val="auto"/>
          <w:sz w:val="28"/>
          <w:szCs w:val="28"/>
          <w:highlight w:val="none"/>
          <w:lang w:eastAsia="zh-CN"/>
        </w:rPr>
        <w:t>资格审查表</w:t>
      </w:r>
    </w:p>
    <w:tbl>
      <w:tblPr>
        <w:tblStyle w:val="24"/>
        <w:tblW w:w="95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63"/>
        <w:gridCol w:w="7369"/>
        <w:gridCol w:w="621"/>
        <w:gridCol w:w="525"/>
        <w:gridCol w:w="541"/>
      </w:tblGrid>
      <w:tr w14:paraId="3856E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1" w:hRule="atLeast"/>
          <w:jc w:val="center"/>
        </w:trPr>
        <w:tc>
          <w:tcPr>
            <w:tcW w:w="7832" w:type="dxa"/>
            <w:gridSpan w:val="2"/>
            <w:vMerge w:val="restart"/>
            <w:noWrap w:val="0"/>
            <w:vAlign w:val="center"/>
          </w:tcPr>
          <w:p w14:paraId="3F5A8B45">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评审内容</w:t>
            </w:r>
          </w:p>
        </w:tc>
        <w:tc>
          <w:tcPr>
            <w:tcW w:w="1687" w:type="dxa"/>
            <w:gridSpan w:val="3"/>
            <w:noWrap w:val="0"/>
            <w:vAlign w:val="center"/>
          </w:tcPr>
          <w:p w14:paraId="0848D3EA">
            <w:pPr>
              <w:keepNext w:val="0"/>
              <w:keepLines w:val="0"/>
              <w:pageBreakBefore w:val="0"/>
              <w:widowControl/>
              <w:suppressLineNumbers w:val="0"/>
              <w:overflowPunct/>
              <w:bidi w:val="0"/>
              <w:spacing w:before="0" w:beforeAutospacing="0" w:after="0" w:afterAutospacing="0" w:line="400" w:lineRule="exact"/>
              <w:ind w:left="0" w:right="0"/>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投标企业名称</w:t>
            </w:r>
          </w:p>
        </w:tc>
      </w:tr>
      <w:tr w14:paraId="52B62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832" w:type="dxa"/>
            <w:gridSpan w:val="2"/>
            <w:vMerge w:val="continue"/>
            <w:noWrap w:val="0"/>
            <w:vAlign w:val="top"/>
          </w:tcPr>
          <w:p w14:paraId="27872C5E">
            <w:pPr>
              <w:keepNext w:val="0"/>
              <w:keepLines w:val="0"/>
              <w:pageBreakBefore w:val="0"/>
              <w:widowControl/>
              <w:suppressLineNumbers w:val="0"/>
              <w:overflowPunct/>
              <w:bidi w:val="0"/>
              <w:spacing w:before="0" w:beforeAutospacing="0" w:after="0" w:afterAutospacing="0" w:line="400" w:lineRule="exact"/>
              <w:ind w:left="0" w:right="0" w:firstLine="434" w:firstLineChars="180"/>
              <w:rPr>
                <w:rFonts w:hint="eastAsia" w:ascii="黑体" w:hAnsi="黑体" w:eastAsia="黑体" w:cs="黑体"/>
                <w:b/>
                <w:bCs/>
                <w:color w:val="auto"/>
                <w:kern w:val="0"/>
                <w:sz w:val="24"/>
                <w:szCs w:val="24"/>
                <w:highlight w:val="none"/>
                <w:lang w:val="en-US" w:eastAsia="zh-CN" w:bidi="ar-SA"/>
              </w:rPr>
            </w:pPr>
          </w:p>
        </w:tc>
        <w:tc>
          <w:tcPr>
            <w:tcW w:w="621" w:type="dxa"/>
            <w:noWrap w:val="0"/>
            <w:vAlign w:val="center"/>
          </w:tcPr>
          <w:p w14:paraId="784876EC">
            <w:pPr>
              <w:keepNext w:val="0"/>
              <w:keepLines w:val="0"/>
              <w:pageBreakBefore w:val="0"/>
              <w:widowControl/>
              <w:suppressLineNumbers w:val="0"/>
              <w:overflowPunct/>
              <w:bidi w:val="0"/>
              <w:spacing w:before="0" w:beforeAutospacing="0" w:after="0" w:afterAutospacing="0" w:line="400" w:lineRule="exact"/>
              <w:ind w:left="0" w:right="0"/>
              <w:jc w:val="both"/>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1</w:t>
            </w:r>
          </w:p>
        </w:tc>
        <w:tc>
          <w:tcPr>
            <w:tcW w:w="525" w:type="dxa"/>
            <w:noWrap w:val="0"/>
            <w:vAlign w:val="center"/>
          </w:tcPr>
          <w:p w14:paraId="50B17D1A">
            <w:pPr>
              <w:keepNext w:val="0"/>
              <w:keepLines w:val="0"/>
              <w:pageBreakBefore w:val="0"/>
              <w:widowControl/>
              <w:suppressLineNumbers w:val="0"/>
              <w:overflowPunct/>
              <w:bidi w:val="0"/>
              <w:spacing w:before="0" w:beforeAutospacing="0" w:after="0" w:afterAutospacing="0" w:line="400" w:lineRule="exact"/>
              <w:ind w:left="0" w:right="0"/>
              <w:jc w:val="both"/>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2</w:t>
            </w:r>
          </w:p>
        </w:tc>
        <w:tc>
          <w:tcPr>
            <w:tcW w:w="541" w:type="dxa"/>
            <w:noWrap w:val="0"/>
            <w:vAlign w:val="center"/>
          </w:tcPr>
          <w:p w14:paraId="22CC88C1">
            <w:pPr>
              <w:keepNext w:val="0"/>
              <w:keepLines w:val="0"/>
              <w:pageBreakBefore w:val="0"/>
              <w:widowControl/>
              <w:suppressLineNumbers w:val="0"/>
              <w:overflowPunct/>
              <w:bidi w:val="0"/>
              <w:spacing w:before="0" w:beforeAutospacing="0" w:after="0" w:afterAutospacing="0" w:line="400" w:lineRule="exact"/>
              <w:ind w:left="0" w:right="0"/>
              <w:jc w:val="both"/>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3</w:t>
            </w:r>
          </w:p>
        </w:tc>
      </w:tr>
      <w:tr w14:paraId="0E062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jc w:val="center"/>
        </w:trPr>
        <w:tc>
          <w:tcPr>
            <w:tcW w:w="463" w:type="dxa"/>
            <w:noWrap w:val="0"/>
            <w:vAlign w:val="center"/>
          </w:tcPr>
          <w:p w14:paraId="0E6D3618">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1</w:t>
            </w:r>
          </w:p>
        </w:tc>
        <w:tc>
          <w:tcPr>
            <w:tcW w:w="7369" w:type="dxa"/>
            <w:noWrap w:val="0"/>
            <w:vAlign w:val="center"/>
          </w:tcPr>
          <w:p w14:paraId="09043C30">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具有有效的三证合一营业执照或事业单位法人证书扫描件；</w:t>
            </w:r>
          </w:p>
        </w:tc>
        <w:tc>
          <w:tcPr>
            <w:tcW w:w="621" w:type="dxa"/>
            <w:noWrap w:val="0"/>
            <w:vAlign w:val="center"/>
          </w:tcPr>
          <w:p w14:paraId="1FFA43CE">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5840ABD0">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4B701BB4">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2701B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463" w:type="dxa"/>
            <w:noWrap w:val="0"/>
            <w:vAlign w:val="center"/>
          </w:tcPr>
          <w:p w14:paraId="68C5057F">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2</w:t>
            </w:r>
          </w:p>
        </w:tc>
        <w:tc>
          <w:tcPr>
            <w:tcW w:w="7369" w:type="dxa"/>
            <w:noWrap w:val="0"/>
            <w:vAlign w:val="center"/>
          </w:tcPr>
          <w:p w14:paraId="797D0E75">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sz w:val="24"/>
                <w:szCs w:val="24"/>
                <w:highlight w:val="none"/>
              </w:rPr>
              <w:t>法定代表人授权书及被委托人身份证（法定代表人投标提供法定代表人身份证明及身份证）</w:t>
            </w:r>
            <w:r>
              <w:rPr>
                <w:rFonts w:hint="eastAsia" w:ascii="黑体" w:hAnsi="黑体" w:eastAsia="黑体" w:cs="黑体"/>
                <w:color w:val="auto"/>
                <w:kern w:val="0"/>
                <w:sz w:val="24"/>
                <w:szCs w:val="24"/>
                <w:highlight w:val="none"/>
                <w:lang w:val="en-US" w:eastAsia="zh-CN" w:bidi="ar-SA"/>
              </w:rPr>
              <w:t>；</w:t>
            </w:r>
          </w:p>
        </w:tc>
        <w:tc>
          <w:tcPr>
            <w:tcW w:w="621" w:type="dxa"/>
            <w:noWrap w:val="0"/>
            <w:vAlign w:val="center"/>
          </w:tcPr>
          <w:p w14:paraId="6959DBD2">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11085005">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2667CAA8">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0B9A4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jc w:val="center"/>
        </w:trPr>
        <w:tc>
          <w:tcPr>
            <w:tcW w:w="463" w:type="dxa"/>
            <w:noWrap w:val="0"/>
            <w:vAlign w:val="center"/>
          </w:tcPr>
          <w:p w14:paraId="6C348110">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3</w:t>
            </w:r>
          </w:p>
        </w:tc>
        <w:tc>
          <w:tcPr>
            <w:tcW w:w="7369" w:type="dxa"/>
            <w:noWrap w:val="0"/>
            <w:vAlign w:val="center"/>
          </w:tcPr>
          <w:p w14:paraId="0ADF32A5">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sz w:val="24"/>
                <w:szCs w:val="24"/>
                <w:highlight w:val="none"/>
                <w:lang w:eastAsia="zh-CN"/>
              </w:rPr>
              <w:t>提供近六个月任意一个月本单位依法缴纳社保的证明；</w:t>
            </w:r>
          </w:p>
        </w:tc>
        <w:tc>
          <w:tcPr>
            <w:tcW w:w="621" w:type="dxa"/>
            <w:noWrap w:val="0"/>
            <w:vAlign w:val="center"/>
          </w:tcPr>
          <w:p w14:paraId="547EC979">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12B69242">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18B6AFB5">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367FF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8" w:hRule="atLeast"/>
          <w:jc w:val="center"/>
        </w:trPr>
        <w:tc>
          <w:tcPr>
            <w:tcW w:w="463" w:type="dxa"/>
            <w:noWrap w:val="0"/>
            <w:vAlign w:val="center"/>
          </w:tcPr>
          <w:p w14:paraId="33AB7842">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4</w:t>
            </w:r>
          </w:p>
        </w:tc>
        <w:tc>
          <w:tcPr>
            <w:tcW w:w="7369" w:type="dxa"/>
            <w:noWrap w:val="0"/>
            <w:vAlign w:val="center"/>
          </w:tcPr>
          <w:p w14:paraId="7BF9C0F5">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sz w:val="24"/>
                <w:szCs w:val="24"/>
                <w:highlight w:val="none"/>
                <w:lang w:eastAsia="zh-CN"/>
              </w:rPr>
              <w:t>提供近六个月任意一个月税务局开具的完税证明；（完税证明或税务部门出具的其他证明，非社会保险类）；</w:t>
            </w:r>
          </w:p>
        </w:tc>
        <w:tc>
          <w:tcPr>
            <w:tcW w:w="621" w:type="dxa"/>
            <w:noWrap w:val="0"/>
            <w:vAlign w:val="center"/>
          </w:tcPr>
          <w:p w14:paraId="1AF14C49">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5EDBCFC9">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11FF0639">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59712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463" w:type="dxa"/>
            <w:noWrap w:val="0"/>
            <w:vAlign w:val="center"/>
          </w:tcPr>
          <w:p w14:paraId="443F8012">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5</w:t>
            </w:r>
          </w:p>
        </w:tc>
        <w:tc>
          <w:tcPr>
            <w:tcW w:w="7369" w:type="dxa"/>
            <w:noWrap w:val="0"/>
            <w:vAlign w:val="center"/>
          </w:tcPr>
          <w:p w14:paraId="7E0FA7E1">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sz w:val="24"/>
                <w:szCs w:val="24"/>
                <w:highlight w:val="none"/>
                <w:lang w:eastAsia="zh-CN"/>
              </w:rPr>
              <w:t>提供2024年度</w:t>
            </w:r>
            <w:r>
              <w:rPr>
                <w:rFonts w:hint="eastAsia" w:ascii="黑体" w:hAnsi="黑体" w:eastAsia="黑体" w:cs="黑体"/>
                <w:color w:val="auto"/>
                <w:sz w:val="24"/>
                <w:szCs w:val="24"/>
                <w:highlight w:val="none"/>
                <w:lang w:val="en-US" w:eastAsia="zh-CN"/>
              </w:rPr>
              <w:t>或2025年度</w:t>
            </w:r>
            <w:r>
              <w:rPr>
                <w:rFonts w:hint="eastAsia" w:ascii="黑体" w:hAnsi="黑体" w:eastAsia="黑体" w:cs="黑体"/>
                <w:color w:val="auto"/>
                <w:sz w:val="24"/>
                <w:szCs w:val="24"/>
                <w:highlight w:val="none"/>
                <w:lang w:eastAsia="zh-CN"/>
              </w:rPr>
              <w:t>的财务审计报告（新成立未满一年的公司需提供有效的银行资信证明）</w:t>
            </w:r>
            <w:r>
              <w:rPr>
                <w:rFonts w:hint="eastAsia" w:ascii="黑体" w:hAnsi="黑体" w:eastAsia="黑体" w:cs="黑体"/>
                <w:color w:val="auto"/>
                <w:sz w:val="24"/>
                <w:szCs w:val="24"/>
                <w:highlight w:val="none"/>
              </w:rPr>
              <w:t>；</w:t>
            </w:r>
          </w:p>
        </w:tc>
        <w:tc>
          <w:tcPr>
            <w:tcW w:w="621" w:type="dxa"/>
            <w:noWrap w:val="0"/>
            <w:vAlign w:val="center"/>
          </w:tcPr>
          <w:p w14:paraId="6738C6CE">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3D572D56">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25B895E5">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756EF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1" w:hRule="atLeast"/>
          <w:jc w:val="center"/>
        </w:trPr>
        <w:tc>
          <w:tcPr>
            <w:tcW w:w="463" w:type="dxa"/>
            <w:noWrap w:val="0"/>
            <w:vAlign w:val="center"/>
          </w:tcPr>
          <w:p w14:paraId="53CACBF4">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6</w:t>
            </w:r>
          </w:p>
        </w:tc>
        <w:tc>
          <w:tcPr>
            <w:tcW w:w="7369" w:type="dxa"/>
            <w:noWrap w:val="0"/>
            <w:vAlign w:val="center"/>
          </w:tcPr>
          <w:p w14:paraId="0FE05348">
            <w:pPr>
              <w:keepNext w:val="0"/>
              <w:keepLines w:val="0"/>
              <w:pageBreakBefore w:val="0"/>
              <w:widowControl w:val="0"/>
              <w:suppressLineNumbers w:val="0"/>
              <w:kinsoku w:val="0"/>
              <w:wordWrap w:val="0"/>
              <w:overflowPunct/>
              <w:topLinePunct/>
              <w:autoSpaceDE/>
              <w:autoSpaceDN/>
              <w:bidi w:val="0"/>
              <w:adjustRightInd/>
              <w:snapToGrid/>
              <w:spacing w:before="0" w:beforeAutospacing="0" w:after="0" w:afterAutospacing="0" w:line="400" w:lineRule="exact"/>
              <w:ind w:left="0" w:right="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en-US" w:eastAsia="zh-CN"/>
              </w:rPr>
              <w:t>投标单位近三年内（2023年06月至今）在“信用中国”（www.creditchina.gov.cn）和中国政府采购网（www.ccgp.gov.cn）网站上未列入重大税收违法失信主体、严重失信主体名单查询，中国政府采购网严重违法失信行为记录名单；（以采购人或代理机构现场查询为准）</w:t>
            </w:r>
          </w:p>
        </w:tc>
        <w:tc>
          <w:tcPr>
            <w:tcW w:w="621" w:type="dxa"/>
            <w:noWrap w:val="0"/>
            <w:vAlign w:val="center"/>
          </w:tcPr>
          <w:p w14:paraId="0508F0F1">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46C51C48">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3DEAF2C5">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75386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jc w:val="center"/>
        </w:trPr>
        <w:tc>
          <w:tcPr>
            <w:tcW w:w="463" w:type="dxa"/>
            <w:noWrap w:val="0"/>
            <w:vAlign w:val="center"/>
          </w:tcPr>
          <w:p w14:paraId="232AAAEA">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7</w:t>
            </w:r>
          </w:p>
        </w:tc>
        <w:tc>
          <w:tcPr>
            <w:tcW w:w="7369" w:type="dxa"/>
            <w:noWrap w:val="0"/>
            <w:vAlign w:val="center"/>
          </w:tcPr>
          <w:p w14:paraId="6FC73FEB">
            <w:pPr>
              <w:pStyle w:val="7"/>
              <w:keepNext w:val="0"/>
              <w:keepLines w:val="0"/>
              <w:pageBreakBefore w:val="0"/>
              <w:widowControl/>
              <w:suppressLineNumbers w:val="0"/>
              <w:overflowPunct/>
              <w:bidi w:val="0"/>
              <w:spacing w:before="0" w:beforeAutospacing="0" w:after="0" w:afterAutospacing="0" w:line="400" w:lineRule="exact"/>
              <w:ind w:left="0" w:leftChars="0" w:right="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投标人提供针对本次项目《反商业贿赂承诺书》；（格式自拟）</w:t>
            </w:r>
          </w:p>
        </w:tc>
        <w:tc>
          <w:tcPr>
            <w:tcW w:w="621" w:type="dxa"/>
            <w:noWrap w:val="0"/>
            <w:vAlign w:val="center"/>
          </w:tcPr>
          <w:p w14:paraId="6D7D15E8">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4A10B41A">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67FD27E9">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729E2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jc w:val="center"/>
        </w:trPr>
        <w:tc>
          <w:tcPr>
            <w:tcW w:w="463" w:type="dxa"/>
            <w:noWrap w:val="0"/>
            <w:vAlign w:val="center"/>
          </w:tcPr>
          <w:p w14:paraId="74F30F09">
            <w:pPr>
              <w:keepNext w:val="0"/>
              <w:keepLines w:val="0"/>
              <w:pageBreakBefore w:val="0"/>
              <w:widowControl/>
              <w:suppressLineNumbers w:val="0"/>
              <w:overflowPunct/>
              <w:bidi w:val="0"/>
              <w:spacing w:before="0" w:beforeAutospacing="0" w:after="0" w:afterAutospacing="0" w:line="400" w:lineRule="exact"/>
              <w:ind w:left="0" w:right="0"/>
              <w:jc w:val="center"/>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8</w:t>
            </w:r>
          </w:p>
        </w:tc>
        <w:tc>
          <w:tcPr>
            <w:tcW w:w="7369" w:type="dxa"/>
            <w:noWrap w:val="0"/>
            <w:vAlign w:val="center"/>
          </w:tcPr>
          <w:p w14:paraId="7035391C">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投标人参加政府采购活动前（2023年06月至今）在经营活动中没有重大违法违规记录的书面声明；（格式自拟）</w:t>
            </w:r>
          </w:p>
        </w:tc>
        <w:tc>
          <w:tcPr>
            <w:tcW w:w="621" w:type="dxa"/>
            <w:noWrap w:val="0"/>
            <w:vAlign w:val="center"/>
          </w:tcPr>
          <w:p w14:paraId="4071BBB6">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51A5F6A1">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36EEA1FF">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27955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3" w:hRule="atLeast"/>
          <w:jc w:val="center"/>
        </w:trPr>
        <w:tc>
          <w:tcPr>
            <w:tcW w:w="463" w:type="dxa"/>
            <w:noWrap w:val="0"/>
            <w:vAlign w:val="center"/>
          </w:tcPr>
          <w:p w14:paraId="655DDCAF">
            <w:pPr>
              <w:keepNext w:val="0"/>
              <w:keepLines w:val="0"/>
              <w:pageBreakBefore w:val="0"/>
              <w:widowControl/>
              <w:suppressLineNumbers w:val="0"/>
              <w:overflowPunct/>
              <w:bidi w:val="0"/>
              <w:spacing w:before="0" w:beforeAutospacing="0" w:after="0" w:afterAutospacing="0" w:line="400" w:lineRule="exact"/>
              <w:ind w:left="0" w:right="0"/>
              <w:jc w:val="center"/>
              <w:rPr>
                <w:rFonts w:hint="default"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9</w:t>
            </w:r>
          </w:p>
        </w:tc>
        <w:tc>
          <w:tcPr>
            <w:tcW w:w="7369" w:type="dxa"/>
            <w:noWrap w:val="0"/>
            <w:vAlign w:val="center"/>
          </w:tcPr>
          <w:p w14:paraId="65F2DCBB">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400" w:lineRule="exact"/>
              <w:ind w:left="0" w:right="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缴纳投标保证金有效凭证；</w:t>
            </w:r>
          </w:p>
        </w:tc>
        <w:tc>
          <w:tcPr>
            <w:tcW w:w="621" w:type="dxa"/>
            <w:noWrap w:val="0"/>
            <w:vAlign w:val="center"/>
          </w:tcPr>
          <w:p w14:paraId="0E91B568">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center"/>
          </w:tcPr>
          <w:p w14:paraId="7A78AB9B">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22F3B887">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r w14:paraId="6BB71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7832" w:type="dxa"/>
            <w:gridSpan w:val="2"/>
            <w:noWrap w:val="0"/>
            <w:vAlign w:val="top"/>
          </w:tcPr>
          <w:p w14:paraId="4A083998">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结论：是否通过评审</w:t>
            </w:r>
          </w:p>
        </w:tc>
        <w:tc>
          <w:tcPr>
            <w:tcW w:w="621" w:type="dxa"/>
            <w:noWrap w:val="0"/>
            <w:vAlign w:val="top"/>
          </w:tcPr>
          <w:p w14:paraId="7552E125">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25" w:type="dxa"/>
            <w:noWrap w:val="0"/>
            <w:vAlign w:val="top"/>
          </w:tcPr>
          <w:p w14:paraId="212B43DA">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c>
          <w:tcPr>
            <w:tcW w:w="541" w:type="dxa"/>
            <w:noWrap w:val="0"/>
            <w:vAlign w:val="top"/>
          </w:tcPr>
          <w:p w14:paraId="19148F0A">
            <w:pPr>
              <w:keepNext w:val="0"/>
              <w:keepLines w:val="0"/>
              <w:pageBreakBefore w:val="0"/>
              <w:widowControl/>
              <w:suppressLineNumbers w:val="0"/>
              <w:overflowPunct/>
              <w:bidi w:val="0"/>
              <w:spacing w:before="0" w:beforeAutospacing="0" w:after="0" w:afterAutospacing="0" w:line="400" w:lineRule="exact"/>
              <w:ind w:left="0" w:right="0" w:firstLine="432" w:firstLineChars="180"/>
              <w:rPr>
                <w:rFonts w:hint="eastAsia" w:ascii="黑体" w:hAnsi="黑体" w:eastAsia="黑体" w:cs="黑体"/>
                <w:color w:val="auto"/>
                <w:kern w:val="0"/>
                <w:sz w:val="24"/>
                <w:szCs w:val="24"/>
                <w:highlight w:val="none"/>
                <w:lang w:val="en-US" w:eastAsia="zh-CN" w:bidi="ar-SA"/>
              </w:rPr>
            </w:pPr>
          </w:p>
        </w:tc>
      </w:tr>
    </w:tbl>
    <w:p w14:paraId="7C3F3D2F">
      <w:pPr>
        <w:spacing w:line="36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说明：</w:t>
      </w:r>
    </w:p>
    <w:p w14:paraId="7CF4ACBF">
      <w:pPr>
        <w:spacing w:line="36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（1）上述各项中用“√”表示通过，“×”表示不通过；</w:t>
      </w:r>
    </w:p>
    <w:p w14:paraId="3C26556C">
      <w:pPr>
        <w:spacing w:line="360" w:lineRule="exact"/>
        <w:rPr>
          <w:rFonts w:hint="eastAsia" w:ascii="黑体" w:hAnsi="黑体" w:eastAsia="黑体" w:cs="黑体"/>
          <w:color w:val="auto"/>
          <w:sz w:val="24"/>
          <w:highlight w:val="none"/>
        </w:rPr>
      </w:pPr>
      <w:r>
        <w:rPr>
          <w:rFonts w:hint="eastAsia" w:ascii="黑体" w:hAnsi="黑体" w:eastAsia="黑体" w:cs="黑体"/>
          <w:color w:val="auto"/>
          <w:sz w:val="24"/>
          <w:highlight w:val="none"/>
        </w:rPr>
        <w:t>（2）上述各项中如有一项为“×”，则结论为“×”，表示该投标文件中存在重大偏差，不能通过初步评审；评委对某一分项评审认为不合格时，必须要写明原因。</w:t>
      </w:r>
    </w:p>
    <w:p w14:paraId="3FF889DE">
      <w:pPr>
        <w:spacing w:line="360" w:lineRule="exact"/>
        <w:rPr>
          <w:rFonts w:hint="eastAsia" w:ascii="黑体" w:hAnsi="黑体" w:eastAsia="黑体" w:cs="黑体"/>
          <w:color w:val="auto"/>
          <w:highlight w:val="none"/>
        </w:rPr>
      </w:pPr>
      <w:r>
        <w:rPr>
          <w:rFonts w:hint="eastAsia" w:ascii="黑体" w:hAnsi="黑体" w:eastAsia="黑体" w:cs="黑体"/>
          <w:color w:val="auto"/>
          <w:sz w:val="24"/>
          <w:highlight w:val="none"/>
        </w:rPr>
        <w:t>（3）投标文件最终合格与否，以所有评委的评审意见中少数服从多数为原则定论。</w:t>
      </w:r>
    </w:p>
    <w:p w14:paraId="13C1B66A">
      <w:pPr>
        <w:spacing w:line="360" w:lineRule="auto"/>
        <w:rPr>
          <w:rFonts w:hint="eastAsia" w:ascii="黑体" w:hAnsi="黑体" w:eastAsia="黑体" w:cs="黑体"/>
          <w:b/>
          <w:bCs/>
          <w:color w:val="auto"/>
          <w:sz w:val="24"/>
          <w:highlight w:val="none"/>
        </w:rPr>
      </w:pPr>
      <w:r>
        <w:rPr>
          <w:rFonts w:hint="eastAsia" w:ascii="黑体" w:hAnsi="黑体" w:eastAsia="黑体" w:cs="黑体"/>
          <w:color w:val="auto"/>
          <w:sz w:val="24"/>
          <w:highlight w:val="none"/>
          <w:lang w:eastAsia="zh-CN"/>
        </w:rPr>
        <w:t xml:space="preserve">  </w:t>
      </w:r>
      <w:r>
        <w:rPr>
          <w:rFonts w:hint="eastAsia" w:ascii="黑体" w:hAnsi="黑体" w:eastAsia="黑体" w:cs="黑体"/>
          <w:b/>
          <w:bCs/>
          <w:color w:val="auto"/>
          <w:sz w:val="24"/>
          <w:highlight w:val="none"/>
        </w:rPr>
        <w:t>备注：如果投标文件中有一项未通过上述审查标准，评标委员会将认定整个投标文件未响应招标文件而予以废标处理。</w:t>
      </w:r>
    </w:p>
    <w:p w14:paraId="66BB7E0B">
      <w:pP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br w:type="page"/>
      </w:r>
    </w:p>
    <w:p w14:paraId="3C10DD94">
      <w:pPr>
        <w:pStyle w:val="7"/>
        <w:spacing w:line="300" w:lineRule="auto"/>
        <w:ind w:firstLine="0"/>
        <w:jc w:val="center"/>
        <w:rPr>
          <w:rFonts w:hint="eastAsia" w:ascii="黑体" w:hAnsi="黑体" w:eastAsia="黑体" w:cs="黑体"/>
          <w:b/>
          <w:color w:val="auto"/>
          <w:sz w:val="24"/>
          <w:szCs w:val="24"/>
          <w:highlight w:val="none"/>
        </w:rPr>
      </w:pPr>
      <w:r>
        <w:rPr>
          <w:rFonts w:hint="eastAsia" w:ascii="黑体" w:hAnsi="黑体" w:eastAsia="黑体" w:cs="黑体"/>
          <w:b/>
          <w:color w:val="auto"/>
          <w:sz w:val="28"/>
          <w:szCs w:val="28"/>
          <w:highlight w:val="none"/>
        </w:rPr>
        <w:t>初步评审—符合性审查表</w:t>
      </w:r>
    </w:p>
    <w:tbl>
      <w:tblPr>
        <w:tblStyle w:val="24"/>
        <w:tblW w:w="90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8"/>
        <w:gridCol w:w="7070"/>
        <w:gridCol w:w="1281"/>
      </w:tblGrid>
      <w:tr w14:paraId="2F866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3" w:hRule="atLeast"/>
          <w:jc w:val="center"/>
        </w:trPr>
        <w:tc>
          <w:tcPr>
            <w:tcW w:w="7798" w:type="dxa"/>
            <w:gridSpan w:val="2"/>
            <w:noWrap w:val="0"/>
            <w:vAlign w:val="center"/>
          </w:tcPr>
          <w:p w14:paraId="640EB990">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b/>
                <w:color w:val="auto"/>
                <w:spacing w:val="-2"/>
                <w:sz w:val="24"/>
                <w:highlight w:val="none"/>
              </w:rPr>
            </w:pPr>
            <w:r>
              <w:rPr>
                <w:rFonts w:hint="eastAsia" w:ascii="黑体" w:hAnsi="黑体" w:eastAsia="黑体" w:cs="黑体"/>
                <w:b/>
                <w:color w:val="auto"/>
                <w:spacing w:val="-2"/>
                <w:sz w:val="24"/>
                <w:highlight w:val="none"/>
                <w:lang w:val="en-US" w:eastAsia="zh-CN"/>
              </w:rPr>
              <w:t xml:space="preserve">    </w:t>
            </w:r>
            <w:r>
              <w:rPr>
                <w:rFonts w:hint="eastAsia" w:ascii="黑体" w:hAnsi="黑体" w:eastAsia="黑体" w:cs="黑体"/>
                <w:b/>
                <w:color w:val="auto"/>
                <w:spacing w:val="-2"/>
                <w:sz w:val="24"/>
                <w:highlight w:val="none"/>
              </w:rPr>
              <w:t>评审内容</w:t>
            </w:r>
          </w:p>
        </w:tc>
        <w:tc>
          <w:tcPr>
            <w:tcW w:w="1281" w:type="dxa"/>
            <w:noWrap w:val="0"/>
            <w:vAlign w:val="center"/>
          </w:tcPr>
          <w:p w14:paraId="19C235E2">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pacing w:val="-2"/>
                <w:sz w:val="24"/>
                <w:highlight w:val="none"/>
              </w:rPr>
            </w:pPr>
            <w:r>
              <w:rPr>
                <w:rFonts w:hint="eastAsia" w:ascii="黑体" w:hAnsi="黑体" w:eastAsia="黑体" w:cs="黑体"/>
                <w:b/>
                <w:color w:val="auto"/>
                <w:sz w:val="24"/>
                <w:highlight w:val="none"/>
              </w:rPr>
              <w:t>评审意见</w:t>
            </w:r>
          </w:p>
        </w:tc>
      </w:tr>
      <w:tr w14:paraId="3CFA1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jc w:val="center"/>
        </w:trPr>
        <w:tc>
          <w:tcPr>
            <w:tcW w:w="728" w:type="dxa"/>
            <w:noWrap w:val="0"/>
            <w:vAlign w:val="center"/>
          </w:tcPr>
          <w:p w14:paraId="435E699E">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7070" w:type="dxa"/>
            <w:noWrap w:val="0"/>
            <w:vAlign w:val="center"/>
          </w:tcPr>
          <w:p w14:paraId="7EFE25DB">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c>
          <w:tcPr>
            <w:tcW w:w="1281" w:type="dxa"/>
            <w:noWrap w:val="0"/>
            <w:vAlign w:val="center"/>
          </w:tcPr>
          <w:p w14:paraId="1BFFB141">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rPr>
              <w:t>是否合格</w:t>
            </w:r>
          </w:p>
        </w:tc>
      </w:tr>
      <w:tr w14:paraId="45107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jc w:val="center"/>
        </w:trPr>
        <w:tc>
          <w:tcPr>
            <w:tcW w:w="728" w:type="dxa"/>
            <w:noWrap w:val="0"/>
            <w:vAlign w:val="center"/>
          </w:tcPr>
          <w:p w14:paraId="4C80DE9B">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1</w:t>
            </w:r>
          </w:p>
        </w:tc>
        <w:tc>
          <w:tcPr>
            <w:tcW w:w="7070" w:type="dxa"/>
            <w:noWrap w:val="0"/>
            <w:vAlign w:val="center"/>
          </w:tcPr>
          <w:p w14:paraId="450AA68F">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投标报价高于预算金额；</w:t>
            </w:r>
          </w:p>
        </w:tc>
        <w:tc>
          <w:tcPr>
            <w:tcW w:w="1281" w:type="dxa"/>
            <w:noWrap w:val="0"/>
            <w:vAlign w:val="center"/>
          </w:tcPr>
          <w:p w14:paraId="792E3607">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69E08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2" w:hRule="atLeast"/>
          <w:jc w:val="center"/>
        </w:trPr>
        <w:tc>
          <w:tcPr>
            <w:tcW w:w="728" w:type="dxa"/>
            <w:noWrap w:val="0"/>
            <w:vAlign w:val="center"/>
          </w:tcPr>
          <w:p w14:paraId="0319C740">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w:t>
            </w:r>
          </w:p>
        </w:tc>
        <w:tc>
          <w:tcPr>
            <w:tcW w:w="7070" w:type="dxa"/>
            <w:noWrap w:val="0"/>
            <w:vAlign w:val="center"/>
          </w:tcPr>
          <w:p w14:paraId="58055212">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投标人之间或者投标人与采购人串通投标的；</w:t>
            </w:r>
          </w:p>
        </w:tc>
        <w:tc>
          <w:tcPr>
            <w:tcW w:w="1281" w:type="dxa"/>
            <w:noWrap w:val="0"/>
            <w:vAlign w:val="center"/>
          </w:tcPr>
          <w:p w14:paraId="6E6A8574">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3DC43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jc w:val="center"/>
        </w:trPr>
        <w:tc>
          <w:tcPr>
            <w:tcW w:w="728" w:type="dxa"/>
            <w:noWrap w:val="0"/>
            <w:vAlign w:val="center"/>
          </w:tcPr>
          <w:p w14:paraId="1F790337">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3</w:t>
            </w:r>
          </w:p>
        </w:tc>
        <w:tc>
          <w:tcPr>
            <w:tcW w:w="7070" w:type="dxa"/>
            <w:noWrap w:val="0"/>
            <w:vAlign w:val="center"/>
          </w:tcPr>
          <w:p w14:paraId="02717FF8">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z w:val="24"/>
                <w:highlight w:val="none"/>
              </w:rPr>
            </w:pPr>
            <w:r>
              <w:rPr>
                <w:rFonts w:hint="eastAsia" w:ascii="黑体" w:hAnsi="黑体" w:eastAsia="黑体" w:cs="黑体"/>
                <w:color w:val="auto"/>
                <w:kern w:val="0"/>
                <w:sz w:val="24"/>
                <w:highlight w:val="none"/>
              </w:rPr>
              <w:t>以行贿手段谋取中标或者以其他弄虚作假方式投标的；</w:t>
            </w:r>
          </w:p>
        </w:tc>
        <w:tc>
          <w:tcPr>
            <w:tcW w:w="1281" w:type="dxa"/>
            <w:noWrap w:val="0"/>
            <w:vAlign w:val="center"/>
          </w:tcPr>
          <w:p w14:paraId="253D1D8C">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z w:val="24"/>
                <w:highlight w:val="none"/>
              </w:rPr>
            </w:pPr>
          </w:p>
        </w:tc>
      </w:tr>
      <w:tr w14:paraId="23B8F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jc w:val="center"/>
        </w:trPr>
        <w:tc>
          <w:tcPr>
            <w:tcW w:w="728" w:type="dxa"/>
            <w:noWrap w:val="0"/>
            <w:vAlign w:val="center"/>
          </w:tcPr>
          <w:p w14:paraId="06A1FB4F">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4</w:t>
            </w:r>
          </w:p>
        </w:tc>
        <w:tc>
          <w:tcPr>
            <w:tcW w:w="7070" w:type="dxa"/>
            <w:noWrap w:val="0"/>
            <w:vAlign w:val="center"/>
          </w:tcPr>
          <w:p w14:paraId="0A7F40A5">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评标委员会共同确定有实质上不响应招标文件要求的；</w:t>
            </w:r>
          </w:p>
        </w:tc>
        <w:tc>
          <w:tcPr>
            <w:tcW w:w="1281" w:type="dxa"/>
            <w:noWrap w:val="0"/>
            <w:vAlign w:val="center"/>
          </w:tcPr>
          <w:p w14:paraId="253EFAD1">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6DFEA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2" w:hRule="atLeast"/>
          <w:jc w:val="center"/>
        </w:trPr>
        <w:tc>
          <w:tcPr>
            <w:tcW w:w="728" w:type="dxa"/>
            <w:noWrap w:val="0"/>
            <w:vAlign w:val="center"/>
          </w:tcPr>
          <w:p w14:paraId="3E3448A9">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5</w:t>
            </w:r>
          </w:p>
        </w:tc>
        <w:tc>
          <w:tcPr>
            <w:tcW w:w="7070" w:type="dxa"/>
            <w:noWrap w:val="0"/>
            <w:vAlign w:val="center"/>
          </w:tcPr>
          <w:p w14:paraId="6819267E">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投标文件没有投标单位法定代表人或其授权代表签字（章）和加盖投标单位公章的；</w:t>
            </w:r>
          </w:p>
        </w:tc>
        <w:tc>
          <w:tcPr>
            <w:tcW w:w="1281" w:type="dxa"/>
            <w:noWrap w:val="0"/>
            <w:vAlign w:val="center"/>
          </w:tcPr>
          <w:p w14:paraId="5449476F">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56FBD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jc w:val="center"/>
        </w:trPr>
        <w:tc>
          <w:tcPr>
            <w:tcW w:w="728" w:type="dxa"/>
            <w:noWrap w:val="0"/>
            <w:vAlign w:val="center"/>
          </w:tcPr>
          <w:p w14:paraId="447C3319">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6</w:t>
            </w:r>
          </w:p>
        </w:tc>
        <w:tc>
          <w:tcPr>
            <w:tcW w:w="7070" w:type="dxa"/>
            <w:noWrap w:val="0"/>
            <w:vAlign w:val="center"/>
          </w:tcPr>
          <w:p w14:paraId="53CF4A21">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投标的政府采购项目完成期限超过招标文件规定期限的；</w:t>
            </w:r>
          </w:p>
        </w:tc>
        <w:tc>
          <w:tcPr>
            <w:tcW w:w="1281" w:type="dxa"/>
            <w:noWrap w:val="0"/>
            <w:vAlign w:val="center"/>
          </w:tcPr>
          <w:p w14:paraId="4DD005E0">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6D359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9" w:hRule="atLeast"/>
          <w:jc w:val="center"/>
        </w:trPr>
        <w:tc>
          <w:tcPr>
            <w:tcW w:w="728" w:type="dxa"/>
            <w:noWrap w:val="0"/>
            <w:vAlign w:val="center"/>
          </w:tcPr>
          <w:p w14:paraId="74A34EF8">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7</w:t>
            </w:r>
          </w:p>
        </w:tc>
        <w:tc>
          <w:tcPr>
            <w:tcW w:w="7070" w:type="dxa"/>
            <w:noWrap w:val="0"/>
            <w:vAlign w:val="center"/>
          </w:tcPr>
          <w:p w14:paraId="6A80F884">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rPr>
            </w:pPr>
            <w:r>
              <w:rPr>
                <w:rFonts w:hint="eastAsia" w:ascii="黑体" w:hAnsi="黑体" w:eastAsia="黑体" w:cs="黑体"/>
                <w:color w:val="auto"/>
                <w:kern w:val="0"/>
                <w:sz w:val="24"/>
                <w:highlight w:val="none"/>
              </w:rPr>
              <w:t>投标文件载明的技术规格、技术标准、检验标准和方法等，不符合招标文件要求的；</w:t>
            </w:r>
          </w:p>
        </w:tc>
        <w:tc>
          <w:tcPr>
            <w:tcW w:w="1281" w:type="dxa"/>
            <w:noWrap w:val="0"/>
            <w:vAlign w:val="center"/>
          </w:tcPr>
          <w:p w14:paraId="763F3997">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1EA3E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jc w:val="center"/>
        </w:trPr>
        <w:tc>
          <w:tcPr>
            <w:tcW w:w="728" w:type="dxa"/>
            <w:noWrap w:val="0"/>
            <w:vAlign w:val="center"/>
          </w:tcPr>
          <w:p w14:paraId="15BD0088">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8</w:t>
            </w:r>
          </w:p>
        </w:tc>
        <w:tc>
          <w:tcPr>
            <w:tcW w:w="7070" w:type="dxa"/>
            <w:noWrap w:val="0"/>
            <w:vAlign w:val="center"/>
          </w:tcPr>
          <w:p w14:paraId="24F1A9D0">
            <w:pPr>
              <w:keepNext w:val="0"/>
              <w:keepLines w:val="0"/>
              <w:widowControl/>
              <w:suppressLineNumbers w:val="0"/>
              <w:spacing w:before="0" w:beforeAutospacing="0" w:after="0" w:afterAutospacing="0" w:line="300" w:lineRule="auto"/>
              <w:ind w:left="0" w:right="0"/>
              <w:textAlignment w:val="center"/>
              <w:rPr>
                <w:rFonts w:hint="eastAsia" w:ascii="黑体" w:hAnsi="黑体" w:eastAsia="黑体" w:cs="黑体"/>
                <w:color w:val="auto"/>
                <w:sz w:val="24"/>
                <w:highlight w:val="none"/>
              </w:rPr>
            </w:pPr>
            <w:r>
              <w:rPr>
                <w:rFonts w:hint="eastAsia" w:ascii="黑体" w:hAnsi="黑体" w:eastAsia="黑体" w:cs="黑体"/>
                <w:color w:val="auto"/>
                <w:kern w:val="0"/>
                <w:sz w:val="24"/>
                <w:highlight w:val="none"/>
              </w:rPr>
              <w:t>投标文件附有采购人不能接受条件的；</w:t>
            </w:r>
          </w:p>
        </w:tc>
        <w:tc>
          <w:tcPr>
            <w:tcW w:w="1281" w:type="dxa"/>
            <w:noWrap w:val="0"/>
            <w:vAlign w:val="center"/>
          </w:tcPr>
          <w:p w14:paraId="5AB6F63E">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z w:val="24"/>
                <w:highlight w:val="none"/>
              </w:rPr>
            </w:pPr>
          </w:p>
        </w:tc>
      </w:tr>
      <w:tr w14:paraId="52B01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7" w:hRule="atLeast"/>
          <w:jc w:val="center"/>
        </w:trPr>
        <w:tc>
          <w:tcPr>
            <w:tcW w:w="728" w:type="dxa"/>
            <w:noWrap w:val="0"/>
            <w:vAlign w:val="center"/>
          </w:tcPr>
          <w:p w14:paraId="55D544B5">
            <w:pPr>
              <w:keepNext w:val="0"/>
              <w:keepLines w:val="0"/>
              <w:widowControl/>
              <w:suppressLineNumbers w:val="0"/>
              <w:spacing w:before="0" w:beforeAutospacing="0" w:after="0" w:afterAutospacing="0" w:line="300" w:lineRule="auto"/>
              <w:ind w:left="0" w:right="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9</w:t>
            </w:r>
          </w:p>
        </w:tc>
        <w:tc>
          <w:tcPr>
            <w:tcW w:w="7070" w:type="dxa"/>
            <w:noWrap w:val="0"/>
            <w:vAlign w:val="center"/>
          </w:tcPr>
          <w:p w14:paraId="5635576A">
            <w:pPr>
              <w:keepNext w:val="0"/>
              <w:keepLines w:val="0"/>
              <w:widowControl/>
              <w:suppressLineNumbers w:val="0"/>
              <w:spacing w:before="0" w:beforeAutospacing="0" w:after="0" w:afterAutospacing="0" w:line="300" w:lineRule="auto"/>
              <w:ind w:left="0" w:right="0"/>
              <w:jc w:val="left"/>
              <w:textAlignment w:val="center"/>
              <w:rPr>
                <w:rFonts w:hint="eastAsia" w:ascii="黑体" w:hAnsi="黑体" w:eastAsia="黑体" w:cs="黑体"/>
                <w:color w:val="auto"/>
                <w:spacing w:val="-2"/>
                <w:sz w:val="24"/>
                <w:highlight w:val="none"/>
                <w:lang w:eastAsia="zh-CN"/>
              </w:rPr>
            </w:pPr>
            <w:r>
              <w:rPr>
                <w:rFonts w:hint="eastAsia" w:ascii="黑体" w:hAnsi="黑体" w:eastAsia="黑体" w:cs="黑体"/>
                <w:color w:val="auto"/>
                <w:kern w:val="0"/>
                <w:sz w:val="24"/>
                <w:highlight w:val="none"/>
              </w:rPr>
              <w:t>不满足招标文件实质性要求的其他情形</w:t>
            </w:r>
            <w:r>
              <w:rPr>
                <w:rFonts w:hint="eastAsia" w:ascii="黑体" w:hAnsi="黑体" w:eastAsia="黑体" w:cs="黑体"/>
                <w:color w:val="auto"/>
                <w:kern w:val="0"/>
                <w:sz w:val="24"/>
                <w:highlight w:val="none"/>
                <w:lang w:eastAsia="zh-CN"/>
              </w:rPr>
              <w:t>。</w:t>
            </w:r>
          </w:p>
        </w:tc>
        <w:tc>
          <w:tcPr>
            <w:tcW w:w="1281" w:type="dxa"/>
            <w:noWrap w:val="0"/>
            <w:vAlign w:val="center"/>
          </w:tcPr>
          <w:p w14:paraId="64B77CC6">
            <w:pPr>
              <w:keepNext w:val="0"/>
              <w:keepLines w:val="0"/>
              <w:widowControl/>
              <w:suppressLineNumbers w:val="0"/>
              <w:spacing w:before="0" w:beforeAutospacing="0" w:after="0" w:afterAutospacing="0" w:line="300" w:lineRule="auto"/>
              <w:ind w:left="0" w:right="0"/>
              <w:rPr>
                <w:rFonts w:hint="eastAsia" w:ascii="黑体" w:hAnsi="黑体" w:eastAsia="黑体" w:cs="黑体"/>
                <w:color w:val="auto"/>
                <w:spacing w:val="-2"/>
                <w:sz w:val="24"/>
                <w:highlight w:val="none"/>
              </w:rPr>
            </w:pPr>
          </w:p>
        </w:tc>
      </w:tr>
      <w:tr w14:paraId="3577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jc w:val="center"/>
        </w:trPr>
        <w:tc>
          <w:tcPr>
            <w:tcW w:w="7798" w:type="dxa"/>
            <w:gridSpan w:val="2"/>
            <w:noWrap w:val="0"/>
            <w:vAlign w:val="center"/>
          </w:tcPr>
          <w:p w14:paraId="6EEE2F36">
            <w:pPr>
              <w:keepNext w:val="0"/>
              <w:keepLines w:val="0"/>
              <w:widowControl/>
              <w:suppressLineNumbers w:val="0"/>
              <w:spacing w:before="0" w:beforeAutospacing="0" w:after="0" w:afterAutospacing="0" w:line="300" w:lineRule="auto"/>
              <w:ind w:left="0" w:right="0" w:firstLine="424" w:firstLineChars="180"/>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rPr>
              <w:t>结论：通过评审打“√”，未通过评审打“×”</w:t>
            </w:r>
          </w:p>
        </w:tc>
        <w:tc>
          <w:tcPr>
            <w:tcW w:w="1281" w:type="dxa"/>
            <w:noWrap w:val="0"/>
            <w:vAlign w:val="center"/>
          </w:tcPr>
          <w:p w14:paraId="1B46757D">
            <w:pPr>
              <w:keepNext w:val="0"/>
              <w:keepLines w:val="0"/>
              <w:widowControl/>
              <w:suppressLineNumbers w:val="0"/>
              <w:spacing w:before="0" w:beforeAutospacing="0" w:after="0" w:afterAutospacing="0" w:line="300" w:lineRule="auto"/>
              <w:ind w:left="0" w:right="0" w:firstLine="424" w:firstLineChars="180"/>
              <w:rPr>
                <w:rFonts w:hint="eastAsia" w:ascii="黑体" w:hAnsi="黑体" w:eastAsia="黑体" w:cs="黑体"/>
                <w:color w:val="auto"/>
                <w:spacing w:val="-2"/>
                <w:sz w:val="24"/>
                <w:highlight w:val="none"/>
              </w:rPr>
            </w:pPr>
          </w:p>
        </w:tc>
      </w:tr>
    </w:tbl>
    <w:p w14:paraId="4432B846">
      <w:pPr>
        <w:spacing w:line="360" w:lineRule="auto"/>
        <w:rPr>
          <w:rFonts w:hint="eastAsia" w:ascii="黑体" w:hAnsi="黑体" w:eastAsia="黑体" w:cs="黑体"/>
          <w:color w:val="auto"/>
          <w:sz w:val="24"/>
          <w:highlight w:val="none"/>
        </w:rPr>
      </w:pPr>
      <w:r>
        <w:rPr>
          <w:rFonts w:hint="eastAsia" w:ascii="黑体" w:hAnsi="黑体" w:eastAsia="黑体" w:cs="黑体"/>
          <w:color w:val="auto"/>
          <w:sz w:val="24"/>
          <w:highlight w:val="none"/>
        </w:rPr>
        <w:t>说明：</w:t>
      </w:r>
    </w:p>
    <w:p w14:paraId="6E205A3D">
      <w:pPr>
        <w:spacing w:line="360" w:lineRule="auto"/>
        <w:ind w:left="0" w:leftChars="0" w:firstLine="420" w:firstLineChars="175"/>
        <w:rPr>
          <w:rFonts w:hint="eastAsia" w:ascii="黑体" w:hAnsi="黑体" w:eastAsia="黑体" w:cs="黑体"/>
          <w:color w:val="auto"/>
          <w:sz w:val="24"/>
          <w:highlight w:val="none"/>
        </w:rPr>
      </w:pPr>
      <w:r>
        <w:rPr>
          <w:rFonts w:hint="eastAsia" w:ascii="黑体" w:hAnsi="黑体" w:eastAsia="黑体" w:cs="黑体"/>
          <w:color w:val="auto"/>
          <w:sz w:val="24"/>
          <w:highlight w:val="none"/>
        </w:rPr>
        <w:t>（1）上述各项中用“√”表示通过，“×”表示不通过；</w:t>
      </w:r>
    </w:p>
    <w:p w14:paraId="34F4AE7B">
      <w:pPr>
        <w:spacing w:line="360" w:lineRule="auto"/>
        <w:ind w:left="0" w:leftChars="0" w:firstLine="420" w:firstLineChars="175"/>
        <w:rPr>
          <w:rFonts w:hint="eastAsia" w:ascii="黑体" w:hAnsi="黑体" w:eastAsia="黑体" w:cs="黑体"/>
          <w:color w:val="auto"/>
          <w:sz w:val="24"/>
          <w:highlight w:val="none"/>
        </w:rPr>
      </w:pPr>
      <w:r>
        <w:rPr>
          <w:rFonts w:hint="eastAsia" w:ascii="黑体" w:hAnsi="黑体" w:eastAsia="黑体" w:cs="黑体"/>
          <w:color w:val="auto"/>
          <w:sz w:val="24"/>
          <w:highlight w:val="none"/>
        </w:rPr>
        <w:t>（2）上述各项中如有一项为“×”，则结论为“×”，表示该投标文件中存在重大偏差，不能通过初步评审；评委对某一分项评审认为不合格时，必须要写明原因。</w:t>
      </w:r>
    </w:p>
    <w:p w14:paraId="212E824C">
      <w:pPr>
        <w:spacing w:line="360" w:lineRule="auto"/>
        <w:ind w:left="0" w:leftChars="0" w:firstLine="420" w:firstLineChars="175"/>
        <w:rPr>
          <w:rFonts w:hint="eastAsia" w:ascii="黑体" w:hAnsi="黑体" w:eastAsia="黑体" w:cs="黑体"/>
          <w:color w:val="auto"/>
          <w:highlight w:val="none"/>
        </w:rPr>
      </w:pPr>
      <w:r>
        <w:rPr>
          <w:rFonts w:hint="eastAsia" w:ascii="黑体" w:hAnsi="黑体" w:eastAsia="黑体" w:cs="黑体"/>
          <w:color w:val="auto"/>
          <w:sz w:val="24"/>
          <w:highlight w:val="none"/>
        </w:rPr>
        <w:t>（3）投标文件最终合格与否，以所有评委的评审意见中少数服从多数为原则定论。</w:t>
      </w:r>
    </w:p>
    <w:p w14:paraId="41369F8D">
      <w:pPr>
        <w:spacing w:line="360" w:lineRule="auto"/>
        <w:ind w:left="0" w:leftChars="0" w:firstLine="420" w:firstLineChars="175"/>
        <w:rPr>
          <w:rFonts w:hint="eastAsia" w:ascii="黑体" w:hAnsi="黑体" w:eastAsia="黑体" w:cs="黑体"/>
          <w:b/>
          <w:bCs/>
          <w:color w:val="auto"/>
          <w:sz w:val="24"/>
          <w:highlight w:val="none"/>
        </w:rPr>
      </w:pPr>
      <w:r>
        <w:rPr>
          <w:rFonts w:hint="eastAsia" w:ascii="黑体" w:hAnsi="黑体" w:eastAsia="黑体" w:cs="黑体"/>
          <w:color w:val="auto"/>
          <w:sz w:val="24"/>
          <w:highlight w:val="none"/>
          <w:lang w:eastAsia="zh-CN"/>
        </w:rPr>
        <w:t xml:space="preserve">  </w:t>
      </w:r>
      <w:r>
        <w:rPr>
          <w:rFonts w:hint="eastAsia" w:ascii="黑体" w:hAnsi="黑体" w:eastAsia="黑体" w:cs="黑体"/>
          <w:b/>
          <w:bCs/>
          <w:color w:val="auto"/>
          <w:sz w:val="24"/>
          <w:highlight w:val="none"/>
        </w:rPr>
        <w:t>备注：如果投标文件中有一项未通过上述审查标准，评标委员会将认定整个投标文件未响应招标文件而予以废标处理。</w:t>
      </w:r>
    </w:p>
    <w:p w14:paraId="37B2279F">
      <w:pPr>
        <w:rPr>
          <w:rFonts w:hint="eastAsia" w:ascii="黑体" w:hAnsi="黑体" w:eastAsia="黑体" w:cs="黑体"/>
          <w:b/>
          <w:bCs/>
          <w:color w:val="auto"/>
          <w:spacing w:val="-3"/>
          <w:highlight w:val="none"/>
        </w:rPr>
      </w:pPr>
      <w:r>
        <w:rPr>
          <w:rFonts w:hint="eastAsia" w:ascii="黑体" w:hAnsi="黑体" w:eastAsia="黑体" w:cs="黑体"/>
          <w:b/>
          <w:bCs/>
          <w:color w:val="auto"/>
          <w:spacing w:val="-3"/>
          <w:highlight w:val="none"/>
        </w:rPr>
        <w:br w:type="page"/>
      </w:r>
    </w:p>
    <w:p w14:paraId="55A56B24">
      <w:pPr>
        <w:pStyle w:val="10"/>
        <w:keepNext w:val="0"/>
        <w:keepLines w:val="0"/>
        <w:pageBreakBefore w:val="0"/>
        <w:widowControl/>
        <w:kinsoku/>
        <w:wordWrap w:val="0"/>
        <w:overflowPunct/>
        <w:topLinePunct w:val="0"/>
        <w:bidi w:val="0"/>
        <w:spacing w:line="212" w:lineRule="auto"/>
        <w:ind w:left="0" w:leftChars="0" w:right="0"/>
        <w:jc w:val="center"/>
        <w:rPr>
          <w:rFonts w:hint="eastAsia" w:ascii="黑体" w:hAnsi="黑体" w:eastAsia="黑体" w:cs="黑体"/>
          <w:b/>
          <w:bCs/>
          <w:color w:val="auto"/>
          <w:spacing w:val="-3"/>
          <w:highlight w:val="none"/>
        </w:rPr>
      </w:pPr>
      <w:r>
        <w:rPr>
          <w:rFonts w:hint="eastAsia" w:ascii="黑体" w:hAnsi="黑体" w:eastAsia="黑体" w:cs="黑体"/>
          <w:b/>
          <w:bCs/>
          <w:color w:val="auto"/>
          <w:spacing w:val="-3"/>
          <w:highlight w:val="none"/>
        </w:rPr>
        <w:t>评分办法（综合评分法）及评分标准</w:t>
      </w:r>
    </w:p>
    <w:p w14:paraId="1B4EC4CA">
      <w:pPr>
        <w:pStyle w:val="10"/>
        <w:keepNext w:val="0"/>
        <w:keepLines w:val="0"/>
        <w:pageBreakBefore w:val="0"/>
        <w:widowControl/>
        <w:kinsoku/>
        <w:wordWrap w:val="0"/>
        <w:overflowPunct/>
        <w:topLinePunct w:val="0"/>
        <w:bidi w:val="0"/>
        <w:spacing w:line="212" w:lineRule="auto"/>
        <w:ind w:left="0" w:leftChars="0" w:right="0"/>
        <w:jc w:val="center"/>
        <w:rPr>
          <w:rFonts w:hint="eastAsia" w:ascii="黑体" w:hAnsi="黑体" w:eastAsia="黑体" w:cs="黑体"/>
          <w:b/>
          <w:bCs/>
          <w:color w:val="auto"/>
          <w:spacing w:val="-3"/>
          <w:highlight w:val="none"/>
        </w:rPr>
      </w:pPr>
    </w:p>
    <w:tbl>
      <w:tblPr>
        <w:tblStyle w:val="2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767"/>
        <w:gridCol w:w="767"/>
        <w:gridCol w:w="7659"/>
      </w:tblGrid>
      <w:tr w14:paraId="24C2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tcBorders>
              <w:top w:val="single" w:color="000000" w:sz="8" w:space="0"/>
              <w:left w:val="single" w:color="000000" w:sz="8" w:space="0"/>
              <w:bottom w:val="nil"/>
              <w:right w:val="single" w:color="000000" w:sz="8" w:space="0"/>
            </w:tcBorders>
            <w:shd w:val="clear" w:color="auto" w:fill="auto"/>
            <w:vAlign w:val="center"/>
          </w:tcPr>
          <w:p w14:paraId="3A26499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auto"/>
                <w:sz w:val="24"/>
                <w:szCs w:val="24"/>
                <w:highlight w:val="none"/>
                <w:u w:val="none"/>
              </w:rPr>
            </w:pPr>
            <w:r>
              <w:rPr>
                <w:rFonts w:hint="eastAsia" w:ascii="黑体" w:hAnsi="宋体" w:eastAsia="黑体" w:cs="黑体"/>
                <w:b/>
                <w:bCs/>
                <w:i w:val="0"/>
                <w:iCs w:val="0"/>
                <w:snapToGrid w:val="0"/>
                <w:color w:val="auto"/>
                <w:kern w:val="0"/>
                <w:sz w:val="24"/>
                <w:szCs w:val="24"/>
                <w:highlight w:val="none"/>
                <w:u w:val="none"/>
                <w:lang w:val="en-US" w:eastAsia="zh-CN" w:bidi="ar"/>
              </w:rPr>
              <w:t>内容</w:t>
            </w:r>
          </w:p>
        </w:tc>
        <w:tc>
          <w:tcPr>
            <w:tcW w:w="385" w:type="pct"/>
            <w:tcBorders>
              <w:top w:val="single" w:color="000000" w:sz="8" w:space="0"/>
              <w:left w:val="single" w:color="000000" w:sz="8" w:space="0"/>
              <w:bottom w:val="nil"/>
              <w:right w:val="single" w:color="000000" w:sz="8" w:space="0"/>
            </w:tcBorders>
            <w:shd w:val="clear" w:color="auto" w:fill="auto"/>
            <w:vAlign w:val="center"/>
          </w:tcPr>
          <w:p w14:paraId="654A69D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snapToGrid w:val="0"/>
                <w:color w:val="auto"/>
                <w:kern w:val="0"/>
                <w:sz w:val="24"/>
                <w:szCs w:val="24"/>
                <w:highlight w:val="none"/>
                <w:u w:val="none"/>
                <w:lang w:val="en-US" w:eastAsia="zh-CN" w:bidi="ar"/>
              </w:rPr>
              <w:t>评分项</w:t>
            </w:r>
          </w:p>
        </w:tc>
        <w:tc>
          <w:tcPr>
            <w:tcW w:w="385" w:type="pct"/>
            <w:tcBorders>
              <w:top w:val="single" w:color="000000" w:sz="8" w:space="0"/>
              <w:left w:val="single" w:color="000000" w:sz="8" w:space="0"/>
              <w:bottom w:val="nil"/>
              <w:right w:val="single" w:color="000000" w:sz="8" w:space="0"/>
            </w:tcBorders>
            <w:shd w:val="clear" w:color="auto" w:fill="auto"/>
            <w:vAlign w:val="center"/>
          </w:tcPr>
          <w:p w14:paraId="12B522D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snapToGrid w:val="0"/>
                <w:color w:val="auto"/>
                <w:kern w:val="0"/>
                <w:sz w:val="24"/>
                <w:szCs w:val="24"/>
                <w:highlight w:val="none"/>
                <w:u w:val="none"/>
                <w:lang w:val="en-US" w:eastAsia="zh-CN" w:bidi="ar"/>
              </w:rPr>
              <w:t>分值</w:t>
            </w:r>
          </w:p>
        </w:tc>
        <w:tc>
          <w:tcPr>
            <w:tcW w:w="3844" w:type="pct"/>
            <w:tcBorders>
              <w:top w:val="single" w:color="000000" w:sz="8" w:space="0"/>
              <w:left w:val="single" w:color="000000" w:sz="8" w:space="0"/>
              <w:bottom w:val="nil"/>
              <w:right w:val="single" w:color="000000" w:sz="8" w:space="0"/>
            </w:tcBorders>
            <w:shd w:val="clear" w:color="auto" w:fill="auto"/>
            <w:vAlign w:val="center"/>
          </w:tcPr>
          <w:p w14:paraId="7436E39A">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snapToGrid w:val="0"/>
                <w:color w:val="auto"/>
                <w:kern w:val="0"/>
                <w:sz w:val="24"/>
                <w:szCs w:val="24"/>
                <w:highlight w:val="none"/>
                <w:u w:val="none"/>
                <w:lang w:val="en-US" w:eastAsia="zh-CN" w:bidi="ar"/>
              </w:rPr>
              <w:t>评分标准</w:t>
            </w:r>
          </w:p>
        </w:tc>
      </w:tr>
      <w:tr w14:paraId="4945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027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价格部分（10分）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87A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价格分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2B1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10分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9A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评标基准价=有效投标报价的最低值，有效投标报价等于基准值的得满分10分。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投标报价得分=(评标基准价/投标报价)×价格权重×100;有效投标报价为通过资格性和符合性审查的供应商报价。</w:t>
            </w:r>
          </w:p>
        </w:tc>
      </w:tr>
      <w:tr w14:paraId="3D89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9E9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商务部分（30分）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E51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类似项目业绩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F6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5分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7112">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投标人（从2021年1月1日至今）每提供一项类似项目业绩的得2.5分，最高得5分。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注：业绩证明须提供中标通知书、合同协议书复印件加盖公章，时间以合同签订时间为准。</w:t>
            </w:r>
          </w:p>
        </w:tc>
      </w:tr>
      <w:tr w14:paraId="222F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BC05">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7C8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项目负责人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B0C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8分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E6A0">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1.投标人拟派的项目经理：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①具有《项目管理师 PMP》证书的得2分；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②具有ITSS 认证的《IT服务项目经理》证书的得2 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③具有信息化相关专业高级及以上职称的，得4分；具有中级职称的，得2分。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须提供证书复印件及近六个月任意一个月本单位社保缴纳证明，未提供或提供不全不得分。</w:t>
            </w:r>
          </w:p>
        </w:tc>
      </w:tr>
      <w:tr w14:paraId="03D0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0596">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A7B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项目团队配置</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CB5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12分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3562">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黑体" w:hAnsi="宋体" w:eastAsia="黑体" w:cs="黑体"/>
                <w:i w:val="0"/>
                <w:iCs w:val="0"/>
                <w:snapToGrid w:val="0"/>
                <w:color w:val="auto"/>
                <w:kern w:val="0"/>
                <w:sz w:val="22"/>
                <w:szCs w:val="22"/>
                <w:highlight w:val="none"/>
                <w:u w:val="none"/>
                <w:lang w:val="en-US" w:eastAsia="zh-CN" w:bidi="ar"/>
              </w:rPr>
            </w:pPr>
            <w:r>
              <w:rPr>
                <w:rFonts w:hint="eastAsia" w:ascii="黑体" w:hAnsi="宋体" w:eastAsia="黑体" w:cs="黑体"/>
                <w:i w:val="0"/>
                <w:iCs w:val="0"/>
                <w:snapToGrid w:val="0"/>
                <w:color w:val="auto"/>
                <w:kern w:val="0"/>
                <w:sz w:val="22"/>
                <w:szCs w:val="22"/>
                <w:highlight w:val="none"/>
                <w:lang w:val="en-US" w:eastAsia="zh-CN" w:bidi="ar"/>
              </w:rPr>
              <w:t>1.</w:t>
            </w:r>
            <w:r>
              <w:rPr>
                <w:rFonts w:hint="eastAsia" w:ascii="黑体" w:hAnsi="宋体" w:eastAsia="黑体" w:cs="黑体"/>
                <w:i w:val="0"/>
                <w:iCs w:val="0"/>
                <w:snapToGrid w:val="0"/>
                <w:color w:val="auto"/>
                <w:kern w:val="0"/>
                <w:sz w:val="22"/>
                <w:szCs w:val="22"/>
                <w:highlight w:val="none"/>
                <w:u w:val="none"/>
                <w:lang w:val="en-US" w:eastAsia="zh-CN" w:bidi="ar"/>
              </w:rPr>
              <w:t>项目安全实施组</w:t>
            </w:r>
          </w:p>
          <w:p w14:paraId="41E7ACC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组长（1名）应具有信息系统项目管理师（高级）和网络工程师（中级及以上）；组员（3名）应具备注册信息安全专业人员CISP（信息安全管理人员CISP)或ITSS服务项目经理证书或CISAW信息安全保障人员证书（安全运维方向）证书。每提供1名符合以上条件的人员加2分，不提供不得分。（此项最高8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2.项目集成实施组</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组长（1名）应具有高级项目管理师证书和网络与信息安全工程师证书；组员（3名）应具有网络工程师证书。每提供1名符合以上条件的人员加1分，不提供不得分。（此项最高4分）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注：须提供证书复印件及近六个月任意一个月本单位社保缴纳证明，未提供或提供不全不得分。</w:t>
            </w:r>
          </w:p>
        </w:tc>
      </w:tr>
      <w:tr w14:paraId="51F9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AECF">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F4D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企业实力</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FB4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5分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D9C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snapToGrid w:val="0"/>
                <w:color w:val="auto"/>
                <w:kern w:val="0"/>
                <w:sz w:val="22"/>
                <w:szCs w:val="22"/>
                <w:highlight w:val="none"/>
                <w:u w:val="none"/>
                <w:lang w:val="en-US" w:eastAsia="zh-CN" w:bidi="ar"/>
              </w:rPr>
            </w:pPr>
            <w:r>
              <w:rPr>
                <w:rFonts w:hint="eastAsia" w:ascii="黑体" w:hAnsi="宋体" w:eastAsia="黑体" w:cs="黑体"/>
                <w:i w:val="0"/>
                <w:iCs w:val="0"/>
                <w:snapToGrid w:val="0"/>
                <w:color w:val="auto"/>
                <w:kern w:val="0"/>
                <w:sz w:val="22"/>
                <w:szCs w:val="22"/>
                <w:highlight w:val="none"/>
                <w:u w:val="none"/>
                <w:lang w:val="en-US" w:eastAsia="zh-CN" w:bidi="ar"/>
              </w:rPr>
              <w:t>1、投标人具备 ISO9001 质量管理体系认证得1分；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2、投标人具备ISO27001信息安全管理体系认证得1分；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3、投标人具备ISO20000信息技术服务管理体系认证得1分；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4、投标人具备ISO45001健康安全管理体系认证得1分；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5、投标人具备ISO24001环境管理体系认证得1分；</w:t>
            </w:r>
          </w:p>
          <w:p w14:paraId="45751442">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注：每提供一项得1分，不提供不得分，满分5分。</w:t>
            </w:r>
          </w:p>
        </w:tc>
      </w:tr>
      <w:tr w14:paraId="531E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D3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技术部分（60分）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1FA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技术响应</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275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20分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D0A9">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微软雅黑" w:hAnsi="微软雅黑" w:eastAsia="微软雅黑" w:cs="微软雅黑"/>
                <w:color w:val="auto"/>
                <w:spacing w:val="10"/>
                <w:sz w:val="24"/>
                <w:szCs w:val="24"/>
                <w:highlight w:val="none"/>
              </w:rPr>
              <w:t>根据所投</w:t>
            </w:r>
            <w:r>
              <w:rPr>
                <w:rFonts w:hint="eastAsia" w:ascii="微软雅黑" w:hAnsi="微软雅黑" w:eastAsia="微软雅黑" w:cs="微软雅黑"/>
                <w:color w:val="auto"/>
                <w:spacing w:val="10"/>
                <w:sz w:val="24"/>
                <w:szCs w:val="24"/>
                <w:highlight w:val="none"/>
                <w:lang w:val="en-US" w:eastAsia="zh-CN"/>
              </w:rPr>
              <w:t>服务内容</w:t>
            </w:r>
            <w:r>
              <w:rPr>
                <w:rFonts w:hint="eastAsia" w:ascii="微软雅黑" w:hAnsi="微软雅黑" w:eastAsia="微软雅黑" w:cs="微软雅黑"/>
                <w:color w:val="auto"/>
                <w:spacing w:val="10"/>
                <w:sz w:val="24"/>
                <w:szCs w:val="24"/>
                <w:highlight w:val="none"/>
              </w:rPr>
              <w:t>的配置与性能指标响应程度打分。完全满足招标要求的得</w:t>
            </w:r>
            <w:r>
              <w:rPr>
                <w:rFonts w:hint="eastAsia" w:ascii="微软雅黑" w:hAnsi="微软雅黑" w:eastAsia="微软雅黑" w:cs="微软雅黑"/>
                <w:color w:val="auto"/>
                <w:spacing w:val="10"/>
                <w:sz w:val="24"/>
                <w:szCs w:val="24"/>
                <w:highlight w:val="none"/>
                <w:lang w:val="en-US" w:eastAsia="zh-CN"/>
              </w:rPr>
              <w:t>20</w:t>
            </w:r>
            <w:r>
              <w:rPr>
                <w:rFonts w:hint="eastAsia" w:ascii="微软雅黑" w:hAnsi="微软雅黑" w:eastAsia="微软雅黑" w:cs="微软雅黑"/>
                <w:color w:val="auto"/>
                <w:spacing w:val="10"/>
                <w:sz w:val="24"/>
                <w:szCs w:val="24"/>
                <w:highlight w:val="none"/>
              </w:rPr>
              <w:t>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带▲为重要服务内容，每有一项不满足扣2分；未标记的为一般服务内容，每有一项不满足扣0.5分，本项分值扣完为止。</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（备注：招标文件中标注▲的为重要服务内容，</w:t>
            </w:r>
            <w:r>
              <w:rPr>
                <w:rFonts w:hint="eastAsia" w:ascii="微软雅黑" w:hAnsi="微软雅黑" w:eastAsia="微软雅黑" w:cs="微软雅黑"/>
                <w:color w:val="auto"/>
                <w:spacing w:val="10"/>
                <w:sz w:val="24"/>
                <w:szCs w:val="24"/>
                <w:highlight w:val="none"/>
              </w:rPr>
              <w:t>提供</w:t>
            </w:r>
            <w:r>
              <w:rPr>
                <w:rFonts w:hint="eastAsia" w:ascii="微软雅黑" w:hAnsi="微软雅黑" w:eastAsia="微软雅黑" w:cs="微软雅黑"/>
                <w:color w:val="auto"/>
                <w:spacing w:val="10"/>
                <w:sz w:val="24"/>
                <w:szCs w:val="24"/>
                <w:highlight w:val="none"/>
                <w:lang w:val="en-US" w:eastAsia="zh-CN"/>
              </w:rPr>
              <w:t>所投服务内容</w:t>
            </w:r>
            <w:r>
              <w:rPr>
                <w:rFonts w:hint="eastAsia" w:ascii="微软雅黑" w:hAnsi="微软雅黑" w:eastAsia="微软雅黑" w:cs="微软雅黑"/>
                <w:color w:val="auto"/>
                <w:spacing w:val="10"/>
                <w:sz w:val="24"/>
                <w:szCs w:val="24"/>
                <w:highlight w:val="none"/>
              </w:rPr>
              <w:t>由第三方机构出具</w:t>
            </w:r>
            <w:r>
              <w:rPr>
                <w:rFonts w:hint="eastAsia" w:ascii="微软雅黑" w:hAnsi="微软雅黑" w:eastAsia="微软雅黑" w:cs="微软雅黑"/>
                <w:color w:val="auto"/>
                <w:spacing w:val="8"/>
                <w:sz w:val="24"/>
                <w:szCs w:val="24"/>
                <w:highlight w:val="none"/>
              </w:rPr>
              <w:t>的完整的检测检验报告，检测内容必须与</w:t>
            </w:r>
            <w:r>
              <w:rPr>
                <w:rFonts w:hint="eastAsia" w:ascii="微软雅黑" w:hAnsi="微软雅黑" w:eastAsia="微软雅黑" w:cs="微软雅黑"/>
                <w:color w:val="auto"/>
                <w:spacing w:val="7"/>
                <w:sz w:val="24"/>
                <w:szCs w:val="24"/>
                <w:highlight w:val="none"/>
                <w:lang w:val="en-US" w:eastAsia="zh-CN"/>
              </w:rPr>
              <w:t>服务</w:t>
            </w:r>
            <w:r>
              <w:rPr>
                <w:rFonts w:hint="eastAsia" w:ascii="微软雅黑" w:hAnsi="微软雅黑" w:eastAsia="微软雅黑" w:cs="微软雅黑"/>
                <w:color w:val="auto"/>
                <w:spacing w:val="7"/>
                <w:sz w:val="24"/>
                <w:szCs w:val="24"/>
                <w:highlight w:val="none"/>
              </w:rPr>
              <w:t>内容要求相符，</w:t>
            </w:r>
            <w:r>
              <w:rPr>
                <w:rFonts w:hint="eastAsia" w:ascii="微软雅黑" w:hAnsi="微软雅黑" w:eastAsia="微软雅黑" w:cs="微软雅黑"/>
                <w:color w:val="auto"/>
                <w:spacing w:val="8"/>
                <w:sz w:val="24"/>
                <w:szCs w:val="24"/>
                <w:highlight w:val="none"/>
              </w:rPr>
              <w:t>不提供或提供不全不得分。</w:t>
            </w:r>
            <w:r>
              <w:rPr>
                <w:rFonts w:hint="eastAsia" w:ascii="黑体" w:hAnsi="宋体" w:eastAsia="黑体" w:cs="黑体"/>
                <w:i w:val="0"/>
                <w:iCs w:val="0"/>
                <w:snapToGrid w:val="0"/>
                <w:color w:val="auto"/>
                <w:kern w:val="0"/>
                <w:sz w:val="22"/>
                <w:szCs w:val="22"/>
                <w:highlight w:val="none"/>
                <w:u w:val="none"/>
                <w:lang w:val="en-US" w:eastAsia="zh-CN" w:bidi="ar"/>
              </w:rPr>
              <w:t>）</w:t>
            </w:r>
          </w:p>
        </w:tc>
      </w:tr>
      <w:tr w14:paraId="0760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2623">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D76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项目实施方案（10分）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B83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10分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02C9">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主要结合投标人提供的实施方案是否能够满足本项目的总体建设要求，是否有针对设备采购安装，系统集成方案，各目标切实是否可行，科学合理进行评定。</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 xml:space="preserve">优（10分）：投标人提供的总体实施方案满足本项目的总体建设要求，能够完成在各个工期节点任务，保证安全、保证质量，各目标较切实可行，科学合理，按时交付工程。 </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 xml:space="preserve">良（8分）：投标人提供的总体实施方案满足本项目的总体建设要求，能够完成在各个工期节点任务，保证安全、保证质量，各目标基本可行，按时交付工程。 </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中（6分）：投标人提供的总体实施方案满足本项目的总体建设要求，能够完成在各个工期节点任务，保证安全、保证质量，按时交付工程。</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一般（4分）：提供的总体实施方案内容基本全面，基本符合本项目的总体建设要求。</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差（0分）：提供的总体实施方案内容不全面，也不完整，缺项内容较多或简单，不符合本项目的总体建设要求或不能满足项目要求。</w:t>
            </w:r>
          </w:p>
        </w:tc>
      </w:tr>
      <w:tr w14:paraId="7623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9B84">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D92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进度计划、质量控制标准（5分）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F0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5分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E563">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方案包含项目质量保证体系、项目进度计划。</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优秀（5分）：方案内容详细完整，能针对本采购项目内容要求而细化制定、方案安排科学合理；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良好（3分）：方案内容简单，能针对本采购项目内容要求制定、方案安排较科学合理；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一般（1分）：方案内容简单，没有能针对本采购项目内容要求而细化制定、方案安排一般合理；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差（0分）：未提供方案的得0分。</w:t>
            </w:r>
          </w:p>
        </w:tc>
      </w:tr>
      <w:tr w14:paraId="443B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76A5">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5D1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运维保障方案（8分）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A1C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8分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4D49">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 xml:space="preserve">根据投标人提供的项目运维保障方案进行评审，该方案应包含：①前端设备故障报告、②运维管理规定、③维护保养配置的工具、器材、人员及管理、④前端设备的维护保养内容和周期以上方案完全满足项目需求且有利于项目实施的得8分；每缺少一项内容扣2分；每有一项内容不完整或未能满足采购需求的或每有一处不具有针对性或描述不清晰、不完善的扣 1 分； </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扣完为止。</w:t>
            </w:r>
          </w:p>
        </w:tc>
      </w:tr>
      <w:tr w14:paraId="7044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3A54">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FA0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售后服务方案（12分）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7CF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12分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4A0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1、根据提供可行的售后服务方案，能保障技术服务及售后服务的协调性、及时性进行评定。</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 xml:space="preserve">优（12分）提供售后服务内容、服务响应方式及响应时间，提供故障处理流程、维护保障流程及组织架构、拟投入本项目的维护人员配置等内容详实、完整、准确的得12分； </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 xml:space="preserve">良（8分）提供的售后服务方案一般，基本能保障本地化技术服务及售 后服务的协调性、及时性。提供售后服务内容、服务响应方式及响应时间，提供故障处理流程、维护保障流程及组织架构、拟投入本项目的维护人员配置等内容较完整可行的得8分； </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一般（4分）提供的售后服务方案欠缺，基本能保障本地化技术服务及售后服务的协调性、及时性。提供售后服务内容、服务响应方式及响应时间，提供故障处理流程、维护保障流程及组织架构、拟投入本项目的维护人员配置等内容不够详实、不够完整、不够准确的得4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差（0分）提供的售后服务方案不合理，或未提供方案的得0分；</w:t>
            </w:r>
          </w:p>
        </w:tc>
      </w:tr>
      <w:tr w14:paraId="1DB2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6B565">
            <w:pPr>
              <w:keepNext w:val="0"/>
              <w:keepLines w:val="0"/>
              <w:widowControl/>
              <w:suppressLineNumbers w:val="0"/>
              <w:spacing w:before="0" w:beforeAutospacing="0" w:after="0" w:afterAutospacing="0"/>
              <w:ind w:left="0" w:right="0"/>
              <w:jc w:val="center"/>
              <w:rPr>
                <w:rFonts w:hint="eastAsia" w:ascii="黑体" w:hAnsi="宋体" w:eastAsia="黑体" w:cs="黑体"/>
                <w:b/>
                <w:bCs/>
                <w:i w:val="0"/>
                <w:iCs w:val="0"/>
                <w:color w:val="auto"/>
                <w:sz w:val="22"/>
                <w:szCs w:val="22"/>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219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培训方案（5分）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EC1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snapToGrid w:val="0"/>
                <w:color w:val="auto"/>
                <w:kern w:val="0"/>
                <w:sz w:val="22"/>
                <w:szCs w:val="22"/>
                <w:highlight w:val="none"/>
                <w:u w:val="none"/>
                <w:lang w:val="en-US" w:eastAsia="zh-CN" w:bidi="ar"/>
              </w:rPr>
              <w:t>5分</w:t>
            </w:r>
          </w:p>
        </w:tc>
        <w:tc>
          <w:tcPr>
            <w:tcW w:w="3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7622">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snapToGrid w:val="0"/>
                <w:color w:val="auto"/>
                <w:kern w:val="0"/>
                <w:sz w:val="22"/>
                <w:szCs w:val="22"/>
                <w:highlight w:val="none"/>
                <w:u w:val="none"/>
                <w:lang w:val="en-US" w:eastAsia="zh-CN" w:bidi="ar"/>
              </w:rPr>
              <w:t>根据投标人提供的培训方案比较投标人的技术培训方案，根据其合理性、可行性、专业性予以评分。</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优（5分）：方案完整合理、可行性强；</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良（3分）：方案完整、可行性一般；</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一般（1分）：方案不完整，可行性差；</w:t>
            </w:r>
            <w:r>
              <w:rPr>
                <w:rFonts w:hint="eastAsia" w:ascii="黑体" w:hAnsi="宋体" w:eastAsia="黑体" w:cs="黑体"/>
                <w:i w:val="0"/>
                <w:iCs w:val="0"/>
                <w:snapToGrid w:val="0"/>
                <w:color w:val="auto"/>
                <w:kern w:val="0"/>
                <w:sz w:val="22"/>
                <w:szCs w:val="22"/>
                <w:highlight w:val="none"/>
                <w:u w:val="none"/>
                <w:lang w:val="en-US" w:eastAsia="zh-CN" w:bidi="ar"/>
              </w:rPr>
              <w:br w:type="textWrapping"/>
            </w:r>
            <w:r>
              <w:rPr>
                <w:rFonts w:hint="eastAsia" w:ascii="黑体" w:hAnsi="宋体" w:eastAsia="黑体" w:cs="黑体"/>
                <w:i w:val="0"/>
                <w:iCs w:val="0"/>
                <w:snapToGrid w:val="0"/>
                <w:color w:val="auto"/>
                <w:kern w:val="0"/>
                <w:sz w:val="22"/>
                <w:szCs w:val="22"/>
                <w:highlight w:val="none"/>
                <w:u w:val="none"/>
                <w:lang w:val="en-US" w:eastAsia="zh-CN" w:bidi="ar"/>
              </w:rPr>
              <w:t>差（0分）：无方案。</w:t>
            </w:r>
          </w:p>
        </w:tc>
      </w:tr>
    </w:tbl>
    <w:p w14:paraId="5BCFFFE3">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注</w:t>
      </w:r>
      <w:r>
        <w:rPr>
          <w:rFonts w:hint="eastAsia" w:ascii="黑体" w:hAnsi="黑体" w:eastAsia="黑体" w:cs="黑体"/>
          <w:color w:val="auto"/>
          <w:spacing w:val="4"/>
          <w:sz w:val="24"/>
          <w:szCs w:val="24"/>
          <w:highlight w:val="none"/>
        </w:rPr>
        <w:t>：（</w:t>
      </w:r>
      <w:r>
        <w:rPr>
          <w:rFonts w:hint="eastAsia" w:ascii="黑体" w:hAnsi="黑体" w:eastAsia="黑体" w:cs="黑体"/>
          <w:color w:val="auto"/>
          <w:spacing w:val="8"/>
          <w:sz w:val="24"/>
          <w:szCs w:val="24"/>
          <w:highlight w:val="none"/>
        </w:rPr>
        <w:t>1）评分如出现小数点，则保留小数点后两位。</w:t>
      </w:r>
    </w:p>
    <w:p w14:paraId="438B8580">
      <w:pPr>
        <w:pStyle w:val="10"/>
        <w:keepNext w:val="0"/>
        <w:keepLines w:val="0"/>
        <w:pageBreakBefore w:val="0"/>
        <w:widowControl/>
        <w:kinsoku/>
        <w:wordWrap w:val="0"/>
        <w:overflowPunct/>
        <w:topLinePunct w:val="0"/>
        <w:bidi w:val="0"/>
        <w:spacing w:line="360" w:lineRule="auto"/>
        <w:ind w:right="0" w:firstLine="508" w:firstLineChars="200"/>
        <w:rPr>
          <w:rFonts w:hint="eastAsia" w:ascii="黑体" w:hAnsi="黑体" w:eastAsia="黑体" w:cs="黑体"/>
          <w:color w:val="auto"/>
          <w:sz w:val="24"/>
          <w:szCs w:val="24"/>
          <w:highlight w:val="none"/>
        </w:rPr>
      </w:pPr>
      <w:r>
        <w:rPr>
          <w:rFonts w:hint="eastAsia" w:ascii="黑体" w:hAnsi="黑体" w:eastAsia="黑体" w:cs="黑体"/>
          <w:color w:val="auto"/>
          <w:spacing w:val="7"/>
          <w:sz w:val="24"/>
          <w:szCs w:val="24"/>
          <w:highlight w:val="none"/>
        </w:rPr>
        <w:t>（2）供应商应提交与评价指标体系相关的各类有效资料。</w:t>
      </w:r>
    </w:p>
    <w:p w14:paraId="06F79784">
      <w:pPr>
        <w:pStyle w:val="10"/>
        <w:keepNext w:val="0"/>
        <w:keepLines w:val="0"/>
        <w:pageBreakBefore w:val="0"/>
        <w:widowControl/>
        <w:kinsoku/>
        <w:wordWrap w:val="0"/>
        <w:overflowPunct/>
        <w:topLinePunct w:val="0"/>
        <w:bidi w:val="0"/>
        <w:spacing w:line="360" w:lineRule="auto"/>
        <w:ind w:left="0" w:leftChars="0" w:right="0" w:firstLine="492"/>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（3）为防止恶意低价竞标，如供应商投标报价大幅度</w:t>
      </w:r>
      <w:r>
        <w:rPr>
          <w:rFonts w:hint="eastAsia" w:ascii="黑体" w:hAnsi="黑体" w:eastAsia="黑体" w:cs="黑体"/>
          <w:color w:val="auto"/>
          <w:spacing w:val="7"/>
          <w:sz w:val="24"/>
          <w:szCs w:val="24"/>
          <w:highlight w:val="none"/>
        </w:rPr>
        <w:t>低于采购预算价的，</w:t>
      </w:r>
      <w:r>
        <w:rPr>
          <w:rFonts w:hint="eastAsia" w:ascii="黑体" w:hAnsi="黑体" w:eastAsia="黑体" w:cs="黑体"/>
          <w:color w:val="auto"/>
          <w:spacing w:val="13"/>
          <w:sz w:val="24"/>
          <w:szCs w:val="24"/>
          <w:highlight w:val="none"/>
        </w:rPr>
        <w:t>评审小组有权要求供应商现场在合理的时间内对其报价进行说明澄清并提供相</w:t>
      </w:r>
      <w:r>
        <w:rPr>
          <w:rFonts w:hint="eastAsia" w:ascii="黑体" w:hAnsi="黑体" w:eastAsia="黑体" w:cs="黑体"/>
          <w:color w:val="auto"/>
          <w:spacing w:val="8"/>
          <w:sz w:val="24"/>
          <w:szCs w:val="24"/>
          <w:highlight w:val="none"/>
        </w:rPr>
        <w:t>关证明材料，如供应商不能对其报价的合理性进行说明，作否决投标处理。</w:t>
      </w:r>
    </w:p>
    <w:p w14:paraId="47C66EE2">
      <w:pPr>
        <w:keepNext w:val="0"/>
        <w:keepLines w:val="0"/>
        <w:pageBreakBefore w:val="0"/>
        <w:widowControl/>
        <w:kinsoku/>
        <w:wordWrap w:val="0"/>
        <w:overflowPunct/>
        <w:topLinePunct w:val="0"/>
        <w:bidi w:val="0"/>
        <w:spacing w:line="360" w:lineRule="auto"/>
        <w:ind w:left="0" w:leftChars="0" w:right="0"/>
        <w:rPr>
          <w:rFonts w:hint="eastAsia" w:ascii="黑体" w:hAnsi="黑体" w:eastAsia="黑体" w:cs="黑体"/>
          <w:color w:val="auto"/>
          <w:sz w:val="24"/>
          <w:szCs w:val="24"/>
          <w:highlight w:val="none"/>
        </w:rPr>
        <w:sectPr>
          <w:footerReference r:id="rId18" w:type="default"/>
          <w:pgSz w:w="11906" w:h="16838"/>
          <w:pgMar w:top="1440" w:right="1080" w:bottom="1440" w:left="1080" w:header="0" w:footer="1087" w:gutter="0"/>
          <w:pgBorders>
            <w:top w:val="none" w:sz="0" w:space="0"/>
            <w:left w:val="none" w:sz="0" w:space="0"/>
            <w:bottom w:val="none" w:sz="0" w:space="0"/>
            <w:right w:val="none" w:sz="0" w:space="0"/>
          </w:pgBorders>
          <w:pgNumType w:fmt="decimal"/>
          <w:cols w:space="720" w:num="1"/>
        </w:sectPr>
      </w:pPr>
    </w:p>
    <w:p w14:paraId="373E9C31">
      <w:pPr>
        <w:keepNext w:val="0"/>
        <w:keepLines w:val="0"/>
        <w:pageBreakBefore w:val="0"/>
        <w:widowControl/>
        <w:kinsoku/>
        <w:wordWrap w:val="0"/>
        <w:overflowPunct/>
        <w:topLinePunct w:val="0"/>
        <w:bidi w:val="0"/>
        <w:spacing w:line="241" w:lineRule="auto"/>
        <w:ind w:left="442" w:leftChars="0" w:right="0" w:hanging="442" w:hangingChars="100"/>
        <w:jc w:val="center"/>
        <w:outlineLvl w:val="0"/>
        <w:rPr>
          <w:rFonts w:hint="eastAsia" w:ascii="黑体" w:hAnsi="黑体" w:eastAsia="黑体" w:cs="黑体"/>
          <w:color w:val="auto"/>
          <w:sz w:val="21"/>
          <w:highlight w:val="none"/>
        </w:rPr>
      </w:pPr>
      <w:bookmarkStart w:id="264" w:name="bookmark22"/>
      <w:bookmarkEnd w:id="264"/>
      <w:bookmarkStart w:id="265" w:name="_Toc32579"/>
      <w:bookmarkStart w:id="266" w:name="_Toc3045"/>
      <w:r>
        <w:rPr>
          <w:rFonts w:hint="eastAsia" w:ascii="黑体" w:hAnsi="黑体" w:eastAsia="黑体" w:cs="黑体"/>
          <w:b/>
          <w:bCs/>
          <w:color w:val="auto"/>
          <w:sz w:val="44"/>
          <w:szCs w:val="44"/>
          <w:highlight w:val="none"/>
          <w:lang w:eastAsia="zh-CN"/>
        </w:rPr>
        <w:t>疏勒县居民安防治理体系建设项目</w:t>
      </w:r>
    </w:p>
    <w:p w14:paraId="1D1A3FF0">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49DE90BC">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5F96C7E8">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0B0A4822">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75A93780">
      <w:pPr>
        <w:keepNext w:val="0"/>
        <w:keepLines w:val="0"/>
        <w:pageBreakBefore w:val="0"/>
        <w:widowControl/>
        <w:kinsoku/>
        <w:wordWrap w:val="0"/>
        <w:overflowPunct/>
        <w:topLinePunct w:val="0"/>
        <w:bidi w:val="0"/>
        <w:spacing w:line="241" w:lineRule="auto"/>
        <w:ind w:left="0" w:leftChars="0" w:right="0"/>
        <w:rPr>
          <w:rFonts w:hint="eastAsia" w:ascii="黑体" w:hAnsi="黑体" w:eastAsia="黑体" w:cs="黑体"/>
          <w:color w:val="auto"/>
          <w:sz w:val="21"/>
          <w:highlight w:val="none"/>
        </w:rPr>
      </w:pPr>
    </w:p>
    <w:p w14:paraId="60B7D28C">
      <w:pPr>
        <w:spacing w:line="240" w:lineRule="atLeast"/>
        <w:jc w:val="center"/>
        <w:rPr>
          <w:rFonts w:hint="eastAsia" w:ascii="黑体" w:hAnsi="黑体" w:eastAsia="黑体" w:cs="黑体"/>
          <w:b/>
          <w:color w:val="auto"/>
          <w:kern w:val="44"/>
          <w:sz w:val="32"/>
          <w:szCs w:val="20"/>
          <w:highlight w:val="none"/>
          <w:lang w:val="en-US" w:eastAsia="zh-CN" w:bidi="ar-SA"/>
        </w:rPr>
      </w:pPr>
      <w:r>
        <w:rPr>
          <w:rFonts w:hint="eastAsia" w:ascii="黑体" w:hAnsi="黑体" w:eastAsia="黑体" w:cs="黑体"/>
          <w:b/>
          <w:color w:val="auto"/>
          <w:kern w:val="44"/>
          <w:sz w:val="32"/>
          <w:szCs w:val="20"/>
          <w:highlight w:val="none"/>
          <w:lang w:val="en-US" w:eastAsia="zh-CN" w:bidi="ar-SA"/>
        </w:rPr>
        <w:t>项目编号：ZBGJSLXZFCG（GK）2026-16</w:t>
      </w:r>
    </w:p>
    <w:p w14:paraId="200649AE">
      <w:pPr>
        <w:keepNext w:val="0"/>
        <w:keepLines w:val="0"/>
        <w:pageBreakBefore w:val="0"/>
        <w:widowControl/>
        <w:kinsoku/>
        <w:wordWrap w:val="0"/>
        <w:overflowPunct/>
        <w:topLinePunct w:val="0"/>
        <w:bidi w:val="0"/>
        <w:spacing w:line="306" w:lineRule="auto"/>
        <w:ind w:left="0" w:leftChars="0" w:right="0"/>
        <w:rPr>
          <w:rFonts w:hint="eastAsia" w:ascii="黑体" w:hAnsi="黑体" w:eastAsia="黑体" w:cs="黑体"/>
          <w:color w:val="auto"/>
          <w:sz w:val="21"/>
          <w:highlight w:val="none"/>
        </w:rPr>
      </w:pPr>
    </w:p>
    <w:p w14:paraId="7809F493">
      <w:pPr>
        <w:keepNext w:val="0"/>
        <w:keepLines w:val="0"/>
        <w:pageBreakBefore w:val="0"/>
        <w:widowControl/>
        <w:kinsoku/>
        <w:wordWrap w:val="0"/>
        <w:overflowPunct/>
        <w:topLinePunct w:val="0"/>
        <w:bidi w:val="0"/>
        <w:spacing w:line="306" w:lineRule="auto"/>
        <w:ind w:left="0" w:leftChars="0" w:right="0"/>
        <w:rPr>
          <w:rFonts w:hint="eastAsia" w:ascii="黑体" w:hAnsi="黑体" w:eastAsia="黑体" w:cs="黑体"/>
          <w:color w:val="auto"/>
          <w:sz w:val="21"/>
          <w:highlight w:val="none"/>
        </w:rPr>
      </w:pPr>
    </w:p>
    <w:p w14:paraId="0924ED44">
      <w:pPr>
        <w:pStyle w:val="10"/>
        <w:keepNext w:val="0"/>
        <w:keepLines w:val="0"/>
        <w:pageBreakBefore w:val="0"/>
        <w:widowControl/>
        <w:kinsoku/>
        <w:wordWrap w:val="0"/>
        <w:overflowPunct/>
        <w:topLinePunct w:val="0"/>
        <w:bidi w:val="0"/>
        <w:spacing w:line="225" w:lineRule="auto"/>
        <w:ind w:left="0" w:leftChars="0" w:right="0"/>
        <w:rPr>
          <w:rFonts w:hint="eastAsia" w:ascii="黑体" w:hAnsi="黑体" w:eastAsia="黑体" w:cs="黑体"/>
          <w:b/>
          <w:bCs/>
          <w:color w:val="auto"/>
          <w:spacing w:val="3"/>
          <w:sz w:val="31"/>
          <w:szCs w:val="31"/>
          <w:highlight w:val="none"/>
        </w:rPr>
      </w:pPr>
    </w:p>
    <w:p w14:paraId="33284829">
      <w:pPr>
        <w:pStyle w:val="10"/>
        <w:keepNext w:val="0"/>
        <w:keepLines w:val="0"/>
        <w:pageBreakBefore w:val="0"/>
        <w:widowControl/>
        <w:kinsoku/>
        <w:wordWrap w:val="0"/>
        <w:overflowPunct/>
        <w:topLinePunct w:val="0"/>
        <w:bidi w:val="0"/>
        <w:spacing w:line="225" w:lineRule="auto"/>
        <w:ind w:left="0" w:leftChars="0" w:right="0"/>
        <w:jc w:val="center"/>
        <w:rPr>
          <w:rFonts w:hint="eastAsia" w:ascii="黑体" w:hAnsi="黑体" w:eastAsia="黑体" w:cs="黑体"/>
          <w:b/>
          <w:bCs/>
          <w:color w:val="auto"/>
          <w:spacing w:val="3"/>
          <w:sz w:val="32"/>
          <w:szCs w:val="32"/>
          <w:highlight w:val="none"/>
        </w:rPr>
      </w:pPr>
      <w:r>
        <w:rPr>
          <w:rFonts w:hint="eastAsia" w:ascii="黑体" w:hAnsi="黑体" w:eastAsia="黑体" w:cs="黑体"/>
          <w:b/>
          <w:bCs/>
          <w:color w:val="auto"/>
          <w:spacing w:val="3"/>
          <w:sz w:val="32"/>
          <w:szCs w:val="32"/>
          <w:highlight w:val="none"/>
        </w:rPr>
        <w:t>第</w:t>
      </w:r>
      <w:r>
        <w:rPr>
          <w:rFonts w:hint="eastAsia" w:ascii="黑体" w:hAnsi="黑体" w:eastAsia="黑体" w:cs="黑体"/>
          <w:b/>
          <w:bCs/>
          <w:color w:val="auto"/>
          <w:spacing w:val="3"/>
          <w:sz w:val="32"/>
          <w:szCs w:val="32"/>
          <w:highlight w:val="none"/>
          <w:lang w:val="en-US" w:eastAsia="zh-CN"/>
        </w:rPr>
        <w:t>三</w:t>
      </w:r>
      <w:r>
        <w:rPr>
          <w:rFonts w:hint="eastAsia" w:ascii="黑体" w:hAnsi="黑体" w:eastAsia="黑体" w:cs="黑体"/>
          <w:b/>
          <w:bCs/>
          <w:color w:val="auto"/>
          <w:spacing w:val="3"/>
          <w:sz w:val="32"/>
          <w:szCs w:val="32"/>
          <w:highlight w:val="none"/>
        </w:rPr>
        <w:t>册</w:t>
      </w:r>
    </w:p>
    <w:p w14:paraId="2CA13F1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92ACDF9">
      <w:pPr>
        <w:pStyle w:val="3"/>
        <w:bidi w:val="0"/>
        <w:rPr>
          <w:rFonts w:hint="eastAsia" w:ascii="黑体" w:hAnsi="黑体" w:eastAsia="黑体" w:cs="黑体"/>
          <w:color w:val="auto"/>
          <w:highlight w:val="none"/>
        </w:rPr>
      </w:pPr>
      <w:bookmarkStart w:id="267" w:name="_Toc7755"/>
      <w:bookmarkStart w:id="268" w:name="_Toc17759"/>
      <w:r>
        <w:rPr>
          <w:rFonts w:hint="eastAsia" w:ascii="黑体" w:hAnsi="黑体" w:eastAsia="黑体" w:cs="黑体"/>
          <w:color w:val="auto"/>
          <w:highlight w:val="none"/>
          <w:lang w:eastAsia="zh-CN"/>
        </w:rPr>
        <w:t>第七章</w:t>
      </w:r>
      <w:r>
        <w:rPr>
          <w:rFonts w:hint="eastAsia" w:ascii="黑体" w:hAnsi="黑体" w:eastAsia="黑体" w:cs="黑体"/>
          <w:color w:val="auto"/>
          <w:highlight w:val="none"/>
        </w:rPr>
        <w:t xml:space="preserve"> 采购合同</w:t>
      </w:r>
      <w:bookmarkEnd w:id="265"/>
      <w:bookmarkEnd w:id="266"/>
      <w:bookmarkEnd w:id="267"/>
      <w:bookmarkEnd w:id="268"/>
    </w:p>
    <w:p w14:paraId="3C3E7A12">
      <w:pPr>
        <w:rPr>
          <w:rFonts w:hint="eastAsia" w:ascii="黑体" w:hAnsi="黑体" w:eastAsia="黑体" w:cs="黑体"/>
          <w:color w:val="auto"/>
          <w:sz w:val="24"/>
          <w:highlight w:val="none"/>
        </w:rPr>
      </w:pPr>
    </w:p>
    <w:p w14:paraId="0B1596B3">
      <w:pPr>
        <w:rPr>
          <w:rFonts w:hint="eastAsia" w:ascii="黑体" w:hAnsi="黑体" w:eastAsia="黑体" w:cs="黑体"/>
          <w:color w:val="auto"/>
          <w:sz w:val="24"/>
          <w:highlight w:val="none"/>
        </w:rPr>
      </w:pPr>
    </w:p>
    <w:p w14:paraId="7743F68F">
      <w:pPr>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合同编号：</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u w:val="single"/>
        </w:rPr>
        <w:t xml:space="preserve">      </w:t>
      </w:r>
    </w:p>
    <w:p w14:paraId="1F513DDF">
      <w:pPr>
        <w:keepNext w:val="0"/>
        <w:keepLines w:val="0"/>
        <w:kinsoku/>
        <w:wordWrap/>
        <w:overflowPunct/>
        <w:topLinePunct w:val="0"/>
        <w:bidi w:val="0"/>
        <w:adjustRightInd w:val="0"/>
        <w:snapToGrid w:val="0"/>
        <w:spacing w:line="360" w:lineRule="auto"/>
        <w:jc w:val="center"/>
        <w:rPr>
          <w:rFonts w:hint="eastAsia" w:ascii="黑体" w:hAnsi="黑体" w:eastAsia="黑体" w:cs="黑体"/>
          <w:b/>
          <w:bCs/>
          <w:color w:val="auto"/>
          <w:sz w:val="36"/>
          <w:szCs w:val="36"/>
          <w:highlight w:val="none"/>
        </w:rPr>
      </w:pPr>
    </w:p>
    <w:p w14:paraId="32EAB6BF">
      <w:pPr>
        <w:spacing w:line="480" w:lineRule="auto"/>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政府采购合同参考范本</w:t>
      </w:r>
    </w:p>
    <w:p w14:paraId="4A7E8867">
      <w:pPr>
        <w:spacing w:line="480" w:lineRule="auto"/>
        <w:jc w:val="center"/>
        <w:rPr>
          <w:rFonts w:hint="eastAsia" w:ascii="黑体" w:hAnsi="黑体" w:eastAsia="黑体" w:cs="黑体"/>
          <w:b/>
          <w:color w:val="auto"/>
          <w:sz w:val="24"/>
          <w:highlight w:val="none"/>
        </w:rPr>
      </w:pPr>
      <w:r>
        <w:rPr>
          <w:rFonts w:hint="eastAsia" w:ascii="黑体" w:hAnsi="黑体" w:eastAsia="黑体" w:cs="黑体"/>
          <w:b/>
          <w:color w:val="auto"/>
          <w:sz w:val="24"/>
          <w:highlight w:val="none"/>
        </w:rPr>
        <w:t>（服务类）</w:t>
      </w:r>
    </w:p>
    <w:p w14:paraId="04A7A9E1">
      <w:pPr>
        <w:pStyle w:val="32"/>
        <w:ind w:firstLine="0"/>
        <w:rPr>
          <w:rFonts w:hint="eastAsia" w:ascii="黑体" w:hAnsi="黑体" w:eastAsia="黑体" w:cs="黑体"/>
          <w:color w:val="auto"/>
          <w:szCs w:val="24"/>
          <w:highlight w:val="none"/>
        </w:rPr>
      </w:pPr>
    </w:p>
    <w:p w14:paraId="6E384A00">
      <w:pPr>
        <w:pStyle w:val="32"/>
        <w:ind w:firstLine="0"/>
        <w:jc w:val="cente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第一部分 合同书</w:t>
      </w:r>
    </w:p>
    <w:p w14:paraId="0F9CC814">
      <w:pPr>
        <w:pStyle w:val="32"/>
        <w:ind w:firstLine="0"/>
        <w:rPr>
          <w:rFonts w:hint="eastAsia" w:ascii="黑体" w:hAnsi="黑体" w:eastAsia="黑体" w:cs="黑体"/>
          <w:color w:val="auto"/>
          <w:szCs w:val="24"/>
          <w:highlight w:val="none"/>
        </w:rPr>
      </w:pPr>
    </w:p>
    <w:p w14:paraId="321F0F9D">
      <w:pPr>
        <w:pStyle w:val="32"/>
        <w:ind w:firstLine="0"/>
        <w:rPr>
          <w:rFonts w:hint="eastAsia" w:ascii="黑体" w:hAnsi="黑体" w:eastAsia="黑体" w:cs="黑体"/>
          <w:color w:val="auto"/>
          <w:szCs w:val="24"/>
          <w:highlight w:val="none"/>
        </w:rPr>
      </w:pPr>
    </w:p>
    <w:p w14:paraId="67CC59A5">
      <w:pPr>
        <w:spacing w:before="120" w:line="22" w:lineRule="atLeast"/>
        <w:rPr>
          <w:rFonts w:hint="eastAsia" w:ascii="黑体" w:hAnsi="黑体" w:eastAsia="黑体" w:cs="黑体"/>
          <w:color w:val="auto"/>
          <w:sz w:val="24"/>
          <w:highlight w:val="none"/>
        </w:rPr>
      </w:pPr>
    </w:p>
    <w:p w14:paraId="66B0F0C5">
      <w:pPr>
        <w:spacing w:before="120" w:line="360" w:lineRule="auto"/>
        <w:ind w:left="1058" w:leftChars="504" w:firstLine="0" w:firstLineChars="0"/>
        <w:rPr>
          <w:rFonts w:hint="eastAsia" w:ascii="黑体" w:hAnsi="黑体" w:eastAsia="黑体" w:cs="黑体"/>
          <w:color w:val="auto"/>
          <w:sz w:val="24"/>
          <w:highlight w:val="none"/>
          <w:u w:val="none"/>
          <w:lang w:eastAsia="zh-CN"/>
        </w:rPr>
      </w:pPr>
      <w:r>
        <w:rPr>
          <w:rFonts w:hint="eastAsia" w:ascii="黑体" w:hAnsi="黑体" w:eastAsia="黑体" w:cs="黑体"/>
          <w:color w:val="auto"/>
          <w:sz w:val="24"/>
          <w:highlight w:val="none"/>
          <w:u w:val="none"/>
        </w:rPr>
        <w:t>项目名称：</w:t>
      </w:r>
      <w:r>
        <w:rPr>
          <w:rFonts w:hint="eastAsia" w:ascii="黑体" w:hAnsi="黑体" w:eastAsia="黑体" w:cs="黑体"/>
          <w:color w:val="auto"/>
          <w:sz w:val="24"/>
          <w:highlight w:val="none"/>
          <w:u w:val="single"/>
          <w:lang w:eastAsia="zh-CN"/>
        </w:rPr>
        <w:t>疏勒县居民安防治理体系建设项目</w:t>
      </w:r>
    </w:p>
    <w:p w14:paraId="18C000BF">
      <w:pPr>
        <w:spacing w:before="120" w:line="360" w:lineRule="auto"/>
        <w:ind w:left="1058" w:leftChars="504" w:firstLine="0" w:firstLineChars="0"/>
        <w:rPr>
          <w:rFonts w:hint="eastAsia" w:ascii="黑体" w:hAnsi="黑体" w:eastAsia="黑体" w:cs="黑体"/>
          <w:color w:val="auto"/>
          <w:sz w:val="24"/>
          <w:highlight w:val="none"/>
          <w:u w:val="single"/>
          <w:lang w:eastAsia="zh-CN"/>
        </w:rPr>
      </w:pPr>
      <w:r>
        <w:rPr>
          <w:rFonts w:hint="eastAsia" w:ascii="黑体" w:hAnsi="黑体" w:eastAsia="黑体" w:cs="黑体"/>
          <w:color w:val="auto"/>
          <w:sz w:val="24"/>
          <w:highlight w:val="none"/>
        </w:rPr>
        <w:t>甲方：</w:t>
      </w:r>
      <w:r>
        <w:rPr>
          <w:rFonts w:hint="eastAsia" w:ascii="黑体" w:hAnsi="黑体" w:eastAsia="黑体" w:cs="黑体"/>
          <w:b w:val="0"/>
          <w:bCs w:val="0"/>
          <w:color w:val="auto"/>
          <w:sz w:val="24"/>
          <w:szCs w:val="24"/>
          <w:highlight w:val="none"/>
          <w:u w:val="single"/>
          <w:lang w:eastAsia="zh-CN"/>
        </w:rPr>
        <w:t>疏勒县公安局</w:t>
      </w:r>
    </w:p>
    <w:p w14:paraId="2C3337F6">
      <w:pPr>
        <w:spacing w:before="120" w:line="360" w:lineRule="auto"/>
        <w:ind w:left="1058" w:leftChars="504" w:firstLine="0" w:firstLineChars="0"/>
        <w:rPr>
          <w:rFonts w:hint="eastAsia" w:ascii="黑体" w:hAnsi="黑体" w:eastAsia="黑体" w:cs="黑体"/>
          <w:color w:val="auto"/>
          <w:sz w:val="24"/>
          <w:highlight w:val="none"/>
        </w:rPr>
      </w:pPr>
    </w:p>
    <w:p w14:paraId="62B16FBA">
      <w:pPr>
        <w:spacing w:before="120" w:line="360" w:lineRule="auto"/>
        <w:ind w:left="1058" w:leftChars="504" w:firstLine="0" w:firstLineChars="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乙方：</w:t>
      </w:r>
      <w:r>
        <w:rPr>
          <w:rFonts w:hint="eastAsia" w:ascii="黑体" w:hAnsi="黑体" w:eastAsia="黑体" w:cs="黑体"/>
          <w:color w:val="auto"/>
          <w:sz w:val="24"/>
          <w:highlight w:val="none"/>
          <w:u w:val="single"/>
        </w:rPr>
        <w:t xml:space="preserve">                                       </w:t>
      </w:r>
    </w:p>
    <w:p w14:paraId="42573B71">
      <w:pPr>
        <w:spacing w:before="120" w:line="360" w:lineRule="auto"/>
        <w:ind w:left="1058" w:leftChars="504" w:firstLine="0" w:firstLineChars="0"/>
        <w:rPr>
          <w:rFonts w:hint="eastAsia" w:ascii="黑体" w:hAnsi="黑体" w:eastAsia="黑体" w:cs="黑体"/>
          <w:color w:val="auto"/>
          <w:sz w:val="24"/>
          <w:highlight w:val="none"/>
        </w:rPr>
      </w:pPr>
    </w:p>
    <w:p w14:paraId="123E3B61">
      <w:pPr>
        <w:spacing w:before="120" w:line="360" w:lineRule="auto"/>
        <w:ind w:left="1058" w:leftChars="504" w:firstLine="0" w:firstLineChars="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签订地：</w:t>
      </w:r>
      <w:r>
        <w:rPr>
          <w:rFonts w:hint="eastAsia" w:ascii="黑体" w:hAnsi="黑体" w:eastAsia="黑体" w:cs="黑体"/>
          <w:color w:val="auto"/>
          <w:sz w:val="24"/>
          <w:highlight w:val="none"/>
          <w:u w:val="single"/>
        </w:rPr>
        <w:t xml:space="preserve">                                     </w:t>
      </w:r>
    </w:p>
    <w:p w14:paraId="2C20CEF1">
      <w:pPr>
        <w:spacing w:before="120" w:line="360" w:lineRule="auto"/>
        <w:ind w:left="1058" w:leftChars="504" w:firstLine="0" w:firstLineChars="0"/>
        <w:rPr>
          <w:rFonts w:hint="eastAsia" w:ascii="黑体" w:hAnsi="黑体" w:eastAsia="黑体" w:cs="黑体"/>
          <w:color w:val="auto"/>
          <w:sz w:val="24"/>
          <w:highlight w:val="none"/>
        </w:rPr>
      </w:pPr>
    </w:p>
    <w:p w14:paraId="316E1E65">
      <w:pPr>
        <w:spacing w:before="120" w:line="360" w:lineRule="auto"/>
        <w:ind w:left="1058" w:leftChars="504" w:firstLine="0" w:firstLineChars="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签订日期：</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rPr>
        <w:t>年</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月</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rPr>
        <w:t>日</w:t>
      </w:r>
    </w:p>
    <w:p w14:paraId="0B40FF8E">
      <w:pPr>
        <w:autoSpaceDE w:val="0"/>
        <w:autoSpaceDN w:val="0"/>
        <w:adjustRightInd w:val="0"/>
        <w:spacing w:line="600" w:lineRule="exact"/>
        <w:ind w:firstLine="640"/>
        <w:jc w:val="center"/>
        <w:rPr>
          <w:rFonts w:hint="eastAsia" w:ascii="黑体" w:hAnsi="黑体" w:eastAsia="黑体" w:cs="黑体"/>
          <w:color w:val="auto"/>
          <w:sz w:val="24"/>
          <w:highlight w:val="none"/>
        </w:rPr>
        <w:sectPr>
          <w:headerReference r:id="rId21" w:type="first"/>
          <w:footerReference r:id="rId24" w:type="first"/>
          <w:headerReference r:id="rId19" w:type="default"/>
          <w:footerReference r:id="rId22" w:type="default"/>
          <w:headerReference r:id="rId20" w:type="even"/>
          <w:footerReference r:id="rId23" w:type="even"/>
          <w:pgSz w:w="11907" w:h="16840"/>
          <w:pgMar w:top="1474" w:right="1693"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2F8EA15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82" w:firstLineChars="165"/>
        <w:rPr>
          <w:rFonts w:hint="eastAsia" w:ascii="黑体" w:hAnsi="黑体" w:eastAsia="黑体" w:cs="黑体"/>
          <w:color w:val="auto"/>
          <w:spacing w:val="-2"/>
          <w:sz w:val="24"/>
          <w:szCs w:val="24"/>
          <w:highlight w:val="none"/>
        </w:rPr>
      </w:pP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1"/>
          <w:sz w:val="24"/>
          <w:szCs w:val="24"/>
          <w:highlight w:val="none"/>
        </w:rPr>
        <w:t>年</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1"/>
          <w:sz w:val="24"/>
          <w:szCs w:val="24"/>
          <w:highlight w:val="none"/>
        </w:rPr>
        <w:t>月</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1"/>
          <w:sz w:val="24"/>
          <w:szCs w:val="24"/>
          <w:highlight w:val="none"/>
        </w:rPr>
        <w:t xml:space="preserve">日， </w:t>
      </w:r>
      <w:r>
        <w:rPr>
          <w:rFonts w:hint="eastAsia" w:ascii="黑体" w:hAnsi="黑体" w:eastAsia="黑体" w:cs="黑体"/>
          <w:color w:val="auto"/>
          <w:spacing w:val="-1"/>
          <w:sz w:val="24"/>
          <w:szCs w:val="24"/>
          <w:highlight w:val="none"/>
          <w:lang w:val="en-US" w:eastAsia="zh-CN"/>
        </w:rPr>
        <w:t xml:space="preserve"> </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1"/>
          <w:sz w:val="24"/>
          <w:szCs w:val="24"/>
          <w:highlight w:val="none"/>
          <w:lang w:val="en-US" w:eastAsia="zh-CN"/>
        </w:rPr>
        <w:t xml:space="preserve"> </w:t>
      </w:r>
      <w:r>
        <w:rPr>
          <w:rFonts w:hint="eastAsia" w:ascii="黑体" w:hAnsi="黑体" w:eastAsia="黑体" w:cs="黑体"/>
          <w:color w:val="auto"/>
          <w:spacing w:val="-1"/>
          <w:sz w:val="24"/>
          <w:szCs w:val="24"/>
          <w:highlight w:val="none"/>
        </w:rPr>
        <w:t xml:space="preserve">(采购人)  以 </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1"/>
          <w:sz w:val="24"/>
          <w:szCs w:val="24"/>
          <w:highlight w:val="none"/>
        </w:rPr>
        <w:t xml:space="preserve"> （采购方式）对</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1"/>
          <w:sz w:val="24"/>
          <w:szCs w:val="24"/>
          <w:highlight w:val="none"/>
        </w:rPr>
        <w:t>（项目名称）进行了采购。经评标委员会评定，</w:t>
      </w:r>
      <w:r>
        <w:rPr>
          <w:rFonts w:hint="eastAsia" w:ascii="黑体" w:hAnsi="黑体" w:eastAsia="黑体" w:cs="黑体"/>
          <w:color w:val="auto"/>
          <w:spacing w:val="-1"/>
          <w:sz w:val="24"/>
          <w:szCs w:val="24"/>
          <w:highlight w:val="none"/>
          <w:u w:val="single"/>
        </w:rPr>
        <w:t xml:space="preserve">         公司 </w:t>
      </w:r>
      <w:r>
        <w:rPr>
          <w:rFonts w:hint="eastAsia" w:ascii="黑体" w:hAnsi="黑体" w:eastAsia="黑体" w:cs="黑体"/>
          <w:color w:val="auto"/>
          <w:spacing w:val="-1"/>
          <w:sz w:val="24"/>
          <w:szCs w:val="24"/>
          <w:highlight w:val="none"/>
        </w:rPr>
        <w:t>为该项</w:t>
      </w:r>
      <w:r>
        <w:rPr>
          <w:rFonts w:hint="eastAsia" w:ascii="黑体" w:hAnsi="黑体" w:eastAsia="黑体" w:cs="黑体"/>
          <w:color w:val="auto"/>
          <w:spacing w:val="-4"/>
          <w:sz w:val="24"/>
          <w:szCs w:val="24"/>
          <w:highlight w:val="none"/>
        </w:rPr>
        <w:t>目中标供应商。现于</w:t>
      </w:r>
      <w:r>
        <w:rPr>
          <w:rFonts w:hint="eastAsia" w:ascii="黑体" w:hAnsi="黑体" w:eastAsia="黑体" w:cs="黑体"/>
          <w:color w:val="auto"/>
          <w:spacing w:val="-1"/>
          <w:sz w:val="24"/>
          <w:szCs w:val="24"/>
          <w:highlight w:val="none"/>
        </w:rPr>
        <w:t>中标通知书发出之日起三十日内，按照采购文件确定的事</w:t>
      </w:r>
      <w:r>
        <w:rPr>
          <w:rFonts w:hint="eastAsia" w:ascii="黑体" w:hAnsi="黑体" w:eastAsia="黑体" w:cs="黑体"/>
          <w:color w:val="auto"/>
          <w:spacing w:val="-2"/>
          <w:sz w:val="24"/>
          <w:szCs w:val="24"/>
          <w:highlight w:val="none"/>
        </w:rPr>
        <w:t>项签订本合同。</w:t>
      </w:r>
    </w:p>
    <w:p w14:paraId="09F793D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6" w:firstLineChars="16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根据《中华人民共和国</w:t>
      </w:r>
      <w:r>
        <w:rPr>
          <w:rFonts w:hint="eastAsia" w:ascii="黑体" w:hAnsi="黑体" w:eastAsia="黑体" w:cs="黑体"/>
          <w:color w:val="auto"/>
          <w:sz w:val="24"/>
          <w:szCs w:val="24"/>
          <w:highlight w:val="none"/>
          <w:lang w:val="en-US" w:eastAsia="zh-CN"/>
        </w:rPr>
        <w:t>民法典</w:t>
      </w:r>
      <w:r>
        <w:rPr>
          <w:rFonts w:hint="eastAsia" w:ascii="黑体" w:hAnsi="黑体" w:eastAsia="黑体" w:cs="黑体"/>
          <w:color w:val="auto"/>
          <w:sz w:val="24"/>
          <w:szCs w:val="24"/>
          <w:highlight w:val="none"/>
        </w:rPr>
        <w:t>》、《中华人民共和国政府采购法》等相关法律法</w:t>
      </w:r>
      <w:r>
        <w:rPr>
          <w:rFonts w:hint="eastAsia" w:ascii="黑体" w:hAnsi="黑体" w:eastAsia="黑体" w:cs="黑体"/>
          <w:color w:val="auto"/>
          <w:spacing w:val="-1"/>
          <w:sz w:val="24"/>
          <w:szCs w:val="24"/>
          <w:highlight w:val="none"/>
        </w:rPr>
        <w:t>规之规定，</w:t>
      </w:r>
      <w:r>
        <w:rPr>
          <w:rFonts w:hint="eastAsia" w:ascii="黑体" w:hAnsi="黑体" w:eastAsia="黑体" w:cs="黑体"/>
          <w:color w:val="auto"/>
          <w:sz w:val="24"/>
          <w:szCs w:val="24"/>
          <w:highlight w:val="none"/>
        </w:rPr>
        <w:t xml:space="preserve"> </w:t>
      </w:r>
      <w:r>
        <w:rPr>
          <w:rFonts w:hint="eastAsia" w:ascii="黑体" w:hAnsi="黑体" w:eastAsia="黑体" w:cs="黑体"/>
          <w:color w:val="auto"/>
          <w:spacing w:val="-4"/>
          <w:sz w:val="24"/>
          <w:szCs w:val="24"/>
          <w:highlight w:val="none"/>
        </w:rPr>
        <w:t>按照平等、</w:t>
      </w:r>
      <w:r>
        <w:rPr>
          <w:rFonts w:hint="eastAsia" w:ascii="黑体" w:hAnsi="黑体" w:eastAsia="黑体" w:cs="黑体"/>
          <w:color w:val="auto"/>
          <w:spacing w:val="-41"/>
          <w:sz w:val="24"/>
          <w:szCs w:val="24"/>
          <w:highlight w:val="none"/>
        </w:rPr>
        <w:t xml:space="preserve"> </w:t>
      </w:r>
      <w:r>
        <w:rPr>
          <w:rFonts w:hint="eastAsia" w:ascii="黑体" w:hAnsi="黑体" w:eastAsia="黑体" w:cs="黑体"/>
          <w:color w:val="auto"/>
          <w:spacing w:val="-4"/>
          <w:sz w:val="24"/>
          <w:szCs w:val="24"/>
          <w:highlight w:val="none"/>
        </w:rPr>
        <w:t>自愿、公平和诚实信用的原则，经</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5"/>
          <w:sz w:val="24"/>
          <w:szCs w:val="24"/>
          <w:highlight w:val="none"/>
        </w:rPr>
        <w:t xml:space="preserve"> </w:t>
      </w:r>
      <w:r>
        <w:rPr>
          <w:rFonts w:hint="eastAsia" w:ascii="黑体" w:hAnsi="黑体" w:eastAsia="黑体" w:cs="黑体"/>
          <w:color w:val="auto"/>
          <w:spacing w:val="-4"/>
          <w:sz w:val="24"/>
          <w:szCs w:val="24"/>
          <w:highlight w:val="none"/>
        </w:rPr>
        <w:t>(以下简称：甲方)和</w:t>
      </w:r>
      <w:r>
        <w:rPr>
          <w:rFonts w:hint="eastAsia" w:ascii="黑体" w:hAnsi="黑体" w:eastAsia="黑体" w:cs="黑体"/>
          <w:color w:val="auto"/>
          <w:spacing w:val="-4"/>
          <w:sz w:val="24"/>
          <w:szCs w:val="24"/>
          <w:highlight w:val="none"/>
          <w:u w:val="single" w:color="auto"/>
        </w:rPr>
        <w:t xml:space="preserve">     </w:t>
      </w:r>
      <w:r>
        <w:rPr>
          <w:rFonts w:hint="eastAsia" w:ascii="黑体" w:hAnsi="黑体" w:eastAsia="黑体" w:cs="黑体"/>
          <w:color w:val="auto"/>
          <w:spacing w:val="-66"/>
          <w:sz w:val="24"/>
          <w:szCs w:val="24"/>
          <w:highlight w:val="none"/>
        </w:rPr>
        <w:t xml:space="preserve"> </w:t>
      </w:r>
      <w:r>
        <w:rPr>
          <w:rFonts w:hint="eastAsia" w:ascii="黑体" w:hAnsi="黑体" w:eastAsia="黑体" w:cs="黑体"/>
          <w:color w:val="auto"/>
          <w:spacing w:val="-4"/>
          <w:sz w:val="24"/>
          <w:szCs w:val="24"/>
          <w:highlight w:val="none"/>
        </w:rPr>
        <w:t>(以下简称：乙方)</w:t>
      </w:r>
      <w:r>
        <w:rPr>
          <w:rFonts w:hint="eastAsia" w:ascii="黑体" w:hAnsi="黑体" w:eastAsia="黑体" w:cs="黑体"/>
          <w:color w:val="auto"/>
          <w:spacing w:val="-1"/>
          <w:sz w:val="24"/>
          <w:szCs w:val="24"/>
          <w:highlight w:val="none"/>
        </w:rPr>
        <w:t>协商一致，约定以下合同条款，以兹共同遵守、全面履行。</w:t>
      </w:r>
    </w:p>
    <w:p w14:paraId="248F3D3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69" w:name="_Toc30192"/>
      <w:r>
        <w:rPr>
          <w:rFonts w:hint="eastAsia" w:ascii="黑体" w:hAnsi="黑体" w:eastAsia="黑体" w:cs="黑体"/>
          <w:color w:val="auto"/>
          <w:spacing w:val="-2"/>
          <w:sz w:val="24"/>
          <w:szCs w:val="24"/>
          <w:highlight w:val="none"/>
        </w:rPr>
        <w:t>1.1 合同组成部分</w:t>
      </w:r>
      <w:bookmarkEnd w:id="269"/>
    </w:p>
    <w:p w14:paraId="3E33F0C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下列文件为本合同的组成部分，并构成一个整体，</w:t>
      </w:r>
      <w:r>
        <w:rPr>
          <w:rFonts w:hint="eastAsia" w:ascii="黑体" w:hAnsi="黑体" w:eastAsia="黑体" w:cs="黑体"/>
          <w:color w:val="auto"/>
          <w:spacing w:val="-1"/>
          <w:sz w:val="24"/>
          <w:szCs w:val="24"/>
          <w:highlight w:val="none"/>
        </w:rPr>
        <w:t>需综合解释、相互补充。如果下列文件内</w:t>
      </w:r>
      <w:r>
        <w:rPr>
          <w:rFonts w:hint="eastAsia" w:ascii="黑体" w:hAnsi="黑体" w:eastAsia="黑体" w:cs="黑体"/>
          <w:color w:val="auto"/>
          <w:sz w:val="24"/>
          <w:szCs w:val="24"/>
          <w:highlight w:val="none"/>
        </w:rPr>
        <w:t xml:space="preserve"> 容出现不一致的情形，那么在保证按照采购文件确定的事项的前提下，组成本合</w:t>
      </w:r>
      <w:r>
        <w:rPr>
          <w:rFonts w:hint="eastAsia" w:ascii="黑体" w:hAnsi="黑体" w:eastAsia="黑体" w:cs="黑体"/>
          <w:color w:val="auto"/>
          <w:spacing w:val="-1"/>
          <w:sz w:val="24"/>
          <w:szCs w:val="24"/>
          <w:highlight w:val="none"/>
        </w:rPr>
        <w:t>同的多个文件的优先适用顺序如下：</w:t>
      </w:r>
    </w:p>
    <w:p w14:paraId="38154FF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1.1.1 本合同及其补充合同、变更协议；</w:t>
      </w:r>
    </w:p>
    <w:p w14:paraId="2DC9345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1"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1.1.2</w:t>
      </w:r>
      <w:r>
        <w:rPr>
          <w:rFonts w:hint="eastAsia" w:ascii="黑体" w:hAnsi="黑体" w:eastAsia="黑体" w:cs="黑体"/>
          <w:color w:val="auto"/>
          <w:spacing w:val="43"/>
          <w:sz w:val="24"/>
          <w:szCs w:val="24"/>
          <w:highlight w:val="none"/>
        </w:rPr>
        <w:t xml:space="preserve"> </w:t>
      </w:r>
      <w:r>
        <w:rPr>
          <w:rFonts w:hint="eastAsia" w:ascii="黑体" w:hAnsi="黑体" w:eastAsia="黑体" w:cs="黑体"/>
          <w:color w:val="auto"/>
          <w:spacing w:val="-6"/>
          <w:sz w:val="24"/>
          <w:szCs w:val="24"/>
          <w:highlight w:val="none"/>
        </w:rPr>
        <w:t>中标通知书；</w:t>
      </w:r>
    </w:p>
    <w:p w14:paraId="1CFDA15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1.1.3 投标文件（含澄清或者说明文件</w:t>
      </w:r>
      <w:r>
        <w:rPr>
          <w:rFonts w:hint="eastAsia" w:ascii="黑体" w:hAnsi="黑体" w:eastAsia="黑体" w:cs="黑体"/>
          <w:color w:val="auto"/>
          <w:spacing w:val="8"/>
          <w:sz w:val="24"/>
          <w:szCs w:val="24"/>
          <w:highlight w:val="none"/>
        </w:rPr>
        <w:t>）；</w:t>
      </w:r>
    </w:p>
    <w:p w14:paraId="49241CF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1.1.4 招标文件（含澄清或者修改文件</w:t>
      </w:r>
      <w:r>
        <w:rPr>
          <w:rFonts w:hint="eastAsia" w:ascii="黑体" w:hAnsi="黑体" w:eastAsia="黑体" w:cs="黑体"/>
          <w:color w:val="auto"/>
          <w:spacing w:val="8"/>
          <w:sz w:val="24"/>
          <w:szCs w:val="24"/>
          <w:highlight w:val="none"/>
        </w:rPr>
        <w:t>）；</w:t>
      </w:r>
    </w:p>
    <w:p w14:paraId="60895DC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1.1.5 其他相关采购文件。</w:t>
      </w:r>
    </w:p>
    <w:p w14:paraId="4DA08D8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1" w:firstLineChars="176"/>
        <w:outlineLvl w:val="0"/>
        <w:rPr>
          <w:rFonts w:hint="eastAsia" w:ascii="黑体" w:hAnsi="黑体" w:eastAsia="黑体" w:cs="黑体"/>
          <w:color w:val="auto"/>
          <w:sz w:val="24"/>
          <w:szCs w:val="24"/>
          <w:highlight w:val="none"/>
        </w:rPr>
      </w:pPr>
      <w:bookmarkStart w:id="270" w:name="_Toc10023"/>
      <w:r>
        <w:rPr>
          <w:rFonts w:hint="eastAsia" w:ascii="黑体" w:hAnsi="黑体" w:eastAsia="黑体" w:cs="黑体"/>
          <w:color w:val="auto"/>
          <w:spacing w:val="-6"/>
          <w:sz w:val="24"/>
          <w:szCs w:val="24"/>
          <w:highlight w:val="none"/>
        </w:rPr>
        <w:t>1.2</w:t>
      </w:r>
      <w:r>
        <w:rPr>
          <w:rFonts w:hint="eastAsia" w:ascii="黑体" w:hAnsi="黑体" w:eastAsia="黑体" w:cs="黑体"/>
          <w:color w:val="auto"/>
          <w:spacing w:val="9"/>
          <w:sz w:val="24"/>
          <w:szCs w:val="24"/>
          <w:highlight w:val="none"/>
        </w:rPr>
        <w:t xml:space="preserve"> </w:t>
      </w:r>
      <w:r>
        <w:rPr>
          <w:rFonts w:hint="eastAsia" w:ascii="黑体" w:hAnsi="黑体" w:eastAsia="黑体" w:cs="黑体"/>
          <w:color w:val="auto"/>
          <w:spacing w:val="-6"/>
          <w:sz w:val="24"/>
          <w:szCs w:val="24"/>
          <w:highlight w:val="none"/>
        </w:rPr>
        <w:t>标的</w:t>
      </w:r>
      <w:bookmarkEnd w:id="270"/>
    </w:p>
    <w:p w14:paraId="67C2848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1.2.1 标的名称</w:t>
      </w:r>
      <w:r>
        <w:rPr>
          <w:rFonts w:hint="eastAsia" w:ascii="黑体" w:hAnsi="黑体" w:eastAsia="黑体" w:cs="黑体"/>
          <w:color w:val="auto"/>
          <w:spacing w:val="3"/>
          <w:sz w:val="24"/>
          <w:szCs w:val="24"/>
          <w:highlight w:val="none"/>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pacing w:val="3"/>
          <w:sz w:val="24"/>
          <w:szCs w:val="24"/>
          <w:highlight w:val="none"/>
        </w:rPr>
        <w:t>；</w:t>
      </w:r>
    </w:p>
    <w:p w14:paraId="6CD6D54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1.2.2 标的数量：</w:t>
      </w:r>
      <w:r>
        <w:rPr>
          <w:rFonts w:hint="eastAsia" w:ascii="黑体" w:hAnsi="黑体" w:eastAsia="黑体" w:cs="黑体"/>
          <w:color w:val="auto"/>
          <w:sz w:val="24"/>
          <w:szCs w:val="24"/>
          <w:highlight w:val="none"/>
          <w:u w:val="single" w:color="auto"/>
        </w:rPr>
        <w:t xml:space="preserve">见明细                    </w:t>
      </w:r>
      <w:r>
        <w:rPr>
          <w:rFonts w:hint="eastAsia" w:ascii="黑体" w:hAnsi="黑体" w:eastAsia="黑体" w:cs="黑体"/>
          <w:color w:val="auto"/>
          <w:spacing w:val="-1"/>
          <w:sz w:val="24"/>
          <w:szCs w:val="24"/>
          <w:highlight w:val="none"/>
          <w:u w:val="single" w:color="auto"/>
        </w:rPr>
        <w:t xml:space="preserve">                      </w:t>
      </w:r>
      <w:r>
        <w:rPr>
          <w:rFonts w:hint="eastAsia" w:ascii="黑体" w:hAnsi="黑体" w:eastAsia="黑体" w:cs="黑体"/>
          <w:color w:val="auto"/>
          <w:spacing w:val="-1"/>
          <w:sz w:val="24"/>
          <w:szCs w:val="24"/>
          <w:highlight w:val="none"/>
        </w:rPr>
        <w:t>；</w:t>
      </w:r>
    </w:p>
    <w:p w14:paraId="0334D61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1.2.3 标的质量：</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pacing w:val="-2"/>
          <w:sz w:val="24"/>
          <w:szCs w:val="24"/>
          <w:highlight w:val="none"/>
        </w:rPr>
        <w:t>。</w:t>
      </w:r>
    </w:p>
    <w:p w14:paraId="76558F4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4" w:firstLineChars="176"/>
        <w:outlineLvl w:val="0"/>
        <w:rPr>
          <w:rFonts w:hint="eastAsia" w:ascii="黑体" w:hAnsi="黑体" w:eastAsia="黑体" w:cs="黑体"/>
          <w:color w:val="auto"/>
          <w:sz w:val="24"/>
          <w:szCs w:val="24"/>
          <w:highlight w:val="none"/>
        </w:rPr>
      </w:pPr>
      <w:bookmarkStart w:id="271" w:name="_Toc25535"/>
      <w:r>
        <w:rPr>
          <w:rFonts w:hint="eastAsia" w:ascii="黑体" w:hAnsi="黑体" w:eastAsia="黑体" w:cs="黑体"/>
          <w:color w:val="auto"/>
          <w:spacing w:val="-5"/>
          <w:sz w:val="24"/>
          <w:szCs w:val="24"/>
          <w:highlight w:val="none"/>
        </w:rPr>
        <w:t>1.3</w:t>
      </w:r>
      <w:r>
        <w:rPr>
          <w:rFonts w:hint="eastAsia" w:ascii="黑体" w:hAnsi="黑体" w:eastAsia="黑体" w:cs="黑体"/>
          <w:color w:val="auto"/>
          <w:spacing w:val="7"/>
          <w:sz w:val="24"/>
          <w:szCs w:val="24"/>
          <w:highlight w:val="none"/>
        </w:rPr>
        <w:t xml:space="preserve"> </w:t>
      </w:r>
      <w:r>
        <w:rPr>
          <w:rFonts w:hint="eastAsia" w:ascii="黑体" w:hAnsi="黑体" w:eastAsia="黑体" w:cs="黑体"/>
          <w:color w:val="auto"/>
          <w:spacing w:val="-5"/>
          <w:sz w:val="24"/>
          <w:szCs w:val="24"/>
          <w:highlight w:val="none"/>
        </w:rPr>
        <w:t>价款</w:t>
      </w:r>
      <w:bookmarkEnd w:id="271"/>
    </w:p>
    <w:p w14:paraId="7B50402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76"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本合同总价为：</w:t>
      </w:r>
      <w:r>
        <w:rPr>
          <w:rFonts w:hint="eastAsia" w:ascii="黑体" w:hAnsi="黑体" w:eastAsia="黑体" w:cs="黑体"/>
          <w:color w:val="auto"/>
          <w:spacing w:val="-55"/>
          <w:sz w:val="24"/>
          <w:szCs w:val="24"/>
          <w:highlight w:val="none"/>
        </w:rPr>
        <w:t xml:space="preserve"> </w:t>
      </w:r>
      <w:r>
        <w:rPr>
          <w:rFonts w:hint="eastAsia" w:ascii="黑体" w:hAnsi="黑体" w:eastAsia="黑体" w:cs="黑体"/>
          <w:color w:val="auto"/>
          <w:spacing w:val="-13"/>
          <w:sz w:val="24"/>
          <w:szCs w:val="24"/>
          <w:highlight w:val="none"/>
        </w:rPr>
        <w:t>￥</w:t>
      </w:r>
      <w:r>
        <w:rPr>
          <w:rFonts w:hint="eastAsia" w:ascii="黑体" w:hAnsi="黑体" w:eastAsia="黑体" w:cs="黑体"/>
          <w:color w:val="auto"/>
          <w:spacing w:val="-56"/>
          <w:sz w:val="24"/>
          <w:szCs w:val="24"/>
          <w:highlight w:val="none"/>
        </w:rPr>
        <w:t xml:space="preserve"> </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pacing w:val="-98"/>
          <w:sz w:val="24"/>
          <w:szCs w:val="24"/>
          <w:highlight w:val="none"/>
        </w:rPr>
        <w:t xml:space="preserve"> </w:t>
      </w:r>
      <w:r>
        <w:rPr>
          <w:rFonts w:hint="eastAsia" w:ascii="黑体" w:hAnsi="黑体" w:eastAsia="黑体" w:cs="黑体"/>
          <w:color w:val="auto"/>
          <w:spacing w:val="-13"/>
          <w:sz w:val="24"/>
          <w:szCs w:val="24"/>
          <w:highlight w:val="none"/>
        </w:rPr>
        <w:t>元（大写</w:t>
      </w:r>
      <w:r>
        <w:rPr>
          <w:rFonts w:hint="eastAsia" w:ascii="黑体" w:hAnsi="黑体" w:eastAsia="黑体" w:cs="黑体"/>
          <w:color w:val="auto"/>
          <w:spacing w:val="-14"/>
          <w:sz w:val="24"/>
          <w:szCs w:val="24"/>
          <w:highlight w:val="none"/>
        </w:rPr>
        <w:t>：</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pacing w:val="-93"/>
          <w:sz w:val="24"/>
          <w:szCs w:val="24"/>
          <w:highlight w:val="none"/>
        </w:rPr>
        <w:t xml:space="preserve"> </w:t>
      </w:r>
      <w:r>
        <w:rPr>
          <w:rFonts w:hint="eastAsia" w:ascii="黑体" w:hAnsi="黑体" w:eastAsia="黑体" w:cs="黑体"/>
          <w:color w:val="auto"/>
          <w:spacing w:val="-14"/>
          <w:sz w:val="24"/>
          <w:szCs w:val="24"/>
          <w:highlight w:val="none"/>
        </w:rPr>
        <w:t>）</w:t>
      </w:r>
      <w:r>
        <w:rPr>
          <w:rFonts w:hint="eastAsia" w:ascii="黑体" w:hAnsi="黑体" w:eastAsia="黑体" w:cs="黑体"/>
          <w:color w:val="auto"/>
          <w:spacing w:val="-13"/>
          <w:sz w:val="24"/>
          <w:szCs w:val="24"/>
          <w:highlight w:val="none"/>
        </w:rPr>
        <w:t>。</w:t>
      </w:r>
    </w:p>
    <w:p w14:paraId="3088E6C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outlineLvl w:val="0"/>
        <w:rPr>
          <w:rFonts w:hint="eastAsia" w:ascii="黑体" w:hAnsi="黑体" w:eastAsia="黑体" w:cs="黑体"/>
          <w:color w:val="auto"/>
          <w:spacing w:val="-3"/>
          <w:sz w:val="24"/>
          <w:szCs w:val="24"/>
          <w:highlight w:val="none"/>
        </w:rPr>
      </w:pPr>
      <w:bookmarkStart w:id="272" w:name="_Toc4914"/>
      <w:r>
        <w:rPr>
          <w:rFonts w:hint="eastAsia" w:ascii="黑体" w:hAnsi="黑体" w:eastAsia="黑体" w:cs="黑体"/>
          <w:color w:val="auto"/>
          <w:spacing w:val="-3"/>
          <w:sz w:val="24"/>
          <w:szCs w:val="24"/>
          <w:highlight w:val="none"/>
        </w:rPr>
        <w:t>分项价格为：</w:t>
      </w:r>
      <w:bookmarkEnd w:id="272"/>
    </w:p>
    <w:p w14:paraId="5F21F21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outlineLvl w:val="0"/>
        <w:rPr>
          <w:rFonts w:hint="eastAsia" w:ascii="黑体" w:hAnsi="黑体" w:eastAsia="黑体" w:cs="黑体"/>
          <w:color w:val="auto"/>
          <w:sz w:val="24"/>
          <w:szCs w:val="24"/>
          <w:highlight w:val="none"/>
        </w:rPr>
      </w:pPr>
      <w:bookmarkStart w:id="273" w:name="_Toc4955"/>
      <w:r>
        <w:rPr>
          <w:rFonts w:hint="eastAsia" w:ascii="黑体" w:hAnsi="黑体" w:eastAsia="黑体" w:cs="黑体"/>
          <w:color w:val="auto"/>
          <w:spacing w:val="-1"/>
          <w:sz w:val="24"/>
          <w:szCs w:val="24"/>
          <w:highlight w:val="none"/>
        </w:rPr>
        <w:t>1.4 付款方式和发票开具方式</w:t>
      </w:r>
      <w:bookmarkEnd w:id="273"/>
    </w:p>
    <w:p w14:paraId="5ED0C77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1.4.1</w:t>
      </w:r>
      <w:r>
        <w:rPr>
          <w:rFonts w:hint="eastAsia" w:ascii="黑体" w:hAnsi="黑体" w:eastAsia="黑体" w:cs="黑体"/>
          <w:color w:val="auto"/>
          <w:spacing w:val="-52"/>
          <w:sz w:val="24"/>
          <w:szCs w:val="24"/>
          <w:highlight w:val="none"/>
        </w:rPr>
        <w:t xml:space="preserve"> </w:t>
      </w:r>
      <w:r>
        <w:rPr>
          <w:rFonts w:hint="eastAsia" w:ascii="黑体" w:hAnsi="黑体" w:eastAsia="黑体" w:cs="黑体"/>
          <w:color w:val="auto"/>
          <w:spacing w:val="-2"/>
          <w:sz w:val="24"/>
          <w:szCs w:val="24"/>
          <w:highlight w:val="none"/>
        </w:rPr>
        <w:t>付款方式：</w:t>
      </w:r>
      <w:r>
        <w:rPr>
          <w:rFonts w:hint="eastAsia" w:ascii="黑体" w:hAnsi="黑体" w:eastAsia="黑体" w:cs="黑体"/>
          <w:color w:val="auto"/>
          <w:spacing w:val="-2"/>
          <w:sz w:val="24"/>
          <w:szCs w:val="24"/>
          <w:highlight w:val="none"/>
          <w:u w:val="single" w:color="auto"/>
          <w:lang w:val="en-US" w:eastAsia="zh-CN"/>
        </w:rPr>
        <w:t>合同签订且中标人提交履约保证金后，甲方向中标人支付合同总价款的30%；全部建设内容完成并验收合格后支付40%；项目整体投入使用后支付剩余30%。（具体时间以签订合同为准）</w:t>
      </w:r>
      <w:r>
        <w:rPr>
          <w:rFonts w:hint="eastAsia" w:ascii="黑体" w:hAnsi="黑体" w:eastAsia="黑体" w:cs="黑体"/>
          <w:color w:val="auto"/>
          <w:spacing w:val="-91"/>
          <w:sz w:val="24"/>
          <w:szCs w:val="24"/>
          <w:highlight w:val="none"/>
          <w:u w:val="single" w:color="auto"/>
        </w:rPr>
        <w:t xml:space="preserve"> </w:t>
      </w:r>
      <w:r>
        <w:rPr>
          <w:rFonts w:hint="eastAsia" w:ascii="黑体" w:hAnsi="黑体" w:eastAsia="黑体" w:cs="黑体"/>
          <w:color w:val="auto"/>
          <w:spacing w:val="-79"/>
          <w:sz w:val="24"/>
          <w:szCs w:val="24"/>
          <w:highlight w:val="none"/>
        </w:rPr>
        <w:t xml:space="preserve"> </w:t>
      </w:r>
      <w:r>
        <w:rPr>
          <w:rFonts w:hint="eastAsia" w:ascii="黑体" w:hAnsi="黑体" w:eastAsia="黑体" w:cs="黑体"/>
          <w:color w:val="auto"/>
          <w:spacing w:val="3"/>
          <w:sz w:val="24"/>
          <w:szCs w:val="24"/>
          <w:highlight w:val="none"/>
        </w:rPr>
        <w:t>;</w:t>
      </w:r>
    </w:p>
    <w:p w14:paraId="0B16E12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1.4.2 发票开具方式：</w:t>
      </w:r>
      <w:r>
        <w:rPr>
          <w:rFonts w:hint="eastAsia" w:ascii="黑体" w:hAnsi="黑体" w:eastAsia="黑体" w:cs="黑体"/>
          <w:color w:val="auto"/>
          <w:sz w:val="24"/>
          <w:szCs w:val="24"/>
          <w:highlight w:val="none"/>
          <w:u w:val="single" w:color="auto"/>
        </w:rPr>
        <w:t xml:space="preserve">                                             </w:t>
      </w:r>
      <w:r>
        <w:rPr>
          <w:rFonts w:hint="eastAsia" w:ascii="黑体" w:hAnsi="黑体" w:eastAsia="黑体" w:cs="黑体"/>
          <w:color w:val="auto"/>
          <w:spacing w:val="-2"/>
          <w:sz w:val="24"/>
          <w:szCs w:val="24"/>
          <w:highlight w:val="none"/>
        </w:rPr>
        <w:t>。</w:t>
      </w:r>
    </w:p>
    <w:p w14:paraId="16064BD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outlineLvl w:val="0"/>
        <w:rPr>
          <w:rFonts w:hint="eastAsia" w:ascii="黑体" w:hAnsi="黑体" w:eastAsia="黑体" w:cs="黑体"/>
          <w:color w:val="auto"/>
          <w:sz w:val="24"/>
          <w:szCs w:val="24"/>
          <w:highlight w:val="none"/>
        </w:rPr>
      </w:pPr>
      <w:bookmarkStart w:id="274" w:name="_Toc27848"/>
      <w:r>
        <w:rPr>
          <w:rFonts w:hint="eastAsia" w:ascii="黑体" w:hAnsi="黑体" w:eastAsia="黑体" w:cs="黑体"/>
          <w:color w:val="auto"/>
          <w:spacing w:val="-1"/>
          <w:sz w:val="24"/>
          <w:szCs w:val="24"/>
          <w:highlight w:val="none"/>
        </w:rPr>
        <w:t>1.5 履行期限、地点和方式</w:t>
      </w:r>
      <w:bookmarkEnd w:id="274"/>
    </w:p>
    <w:p w14:paraId="2E00B8E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1.5.1 履行期限</w:t>
      </w:r>
      <w:r>
        <w:rPr>
          <w:rFonts w:hint="eastAsia" w:ascii="黑体" w:hAnsi="黑体" w:eastAsia="黑体" w:cs="黑体"/>
          <w:color w:val="auto"/>
          <w:spacing w:val="3"/>
          <w:sz w:val="24"/>
          <w:szCs w:val="24"/>
          <w:highlight w:val="none"/>
        </w:rPr>
        <w:t>：</w:t>
      </w:r>
      <w:r>
        <w:rPr>
          <w:rFonts w:hint="eastAsia" w:ascii="黑体" w:hAnsi="黑体" w:eastAsia="黑体" w:cs="黑体"/>
          <w:color w:val="auto"/>
          <w:sz w:val="24"/>
          <w:szCs w:val="24"/>
          <w:highlight w:val="none"/>
          <w:u w:val="single" w:color="auto"/>
          <w:lang w:val="en-US" w:eastAsia="zh-CN"/>
        </w:rPr>
        <w:t>自签订合同后90日历日内完成落地投入使用。（具体以签订合同为准）</w:t>
      </w:r>
      <w:r>
        <w:rPr>
          <w:rFonts w:hint="eastAsia" w:ascii="黑体" w:hAnsi="黑体" w:eastAsia="黑体" w:cs="黑体"/>
          <w:color w:val="auto"/>
          <w:spacing w:val="3"/>
          <w:sz w:val="24"/>
          <w:szCs w:val="24"/>
          <w:highlight w:val="none"/>
        </w:rPr>
        <w:t>；</w:t>
      </w:r>
    </w:p>
    <w:p w14:paraId="5F0AB66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1.5.2 履行地点：</w:t>
      </w:r>
      <w:r>
        <w:rPr>
          <w:rFonts w:hint="eastAsia" w:ascii="黑体" w:hAnsi="黑体" w:eastAsia="黑体" w:cs="黑体"/>
          <w:color w:val="auto"/>
          <w:sz w:val="24"/>
          <w:szCs w:val="24"/>
          <w:highlight w:val="none"/>
          <w:u w:val="single"/>
          <w:lang w:val="en-US" w:eastAsia="zh-CN"/>
        </w:rPr>
        <w:t>疏勒县</w:t>
      </w:r>
      <w:r>
        <w:rPr>
          <w:rFonts w:hint="eastAsia" w:ascii="黑体" w:hAnsi="黑体" w:eastAsia="黑体" w:cs="黑体"/>
          <w:color w:val="auto"/>
          <w:spacing w:val="-1"/>
          <w:sz w:val="24"/>
          <w:szCs w:val="24"/>
          <w:highlight w:val="none"/>
          <w:u w:val="single"/>
        </w:rPr>
        <w:t>；</w:t>
      </w:r>
    </w:p>
    <w:p w14:paraId="4B139A2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1.5.3 履行方式：</w:t>
      </w:r>
      <w:r>
        <w:rPr>
          <w:rFonts w:hint="eastAsia" w:ascii="黑体" w:hAnsi="黑体" w:eastAsia="黑体" w:cs="黑体"/>
          <w:color w:val="auto"/>
          <w:sz w:val="24"/>
          <w:szCs w:val="24"/>
          <w:highlight w:val="none"/>
          <w:u w:val="single" w:color="auto"/>
        </w:rPr>
        <w:t xml:space="preserve">甲方指定方式 </w:t>
      </w:r>
      <w:r>
        <w:rPr>
          <w:rFonts w:hint="eastAsia" w:ascii="黑体" w:hAnsi="黑体" w:eastAsia="黑体" w:cs="黑体"/>
          <w:color w:val="auto"/>
          <w:spacing w:val="-1"/>
          <w:sz w:val="24"/>
          <w:szCs w:val="24"/>
          <w:highlight w:val="none"/>
        </w:rPr>
        <w:t>。</w:t>
      </w:r>
    </w:p>
    <w:p w14:paraId="3C699723">
      <w:pPr>
        <w:keepNext w:val="0"/>
        <w:keepLines w:val="0"/>
        <w:pageBreakBefore w:val="0"/>
        <w:widowControl/>
        <w:kinsoku/>
        <w:wordWrap w:val="0"/>
        <w:overflowPunct/>
        <w:topLinePunct w:val="0"/>
        <w:autoSpaceDE/>
        <w:autoSpaceDN/>
        <w:bidi w:val="0"/>
        <w:adjustRightInd w:val="0"/>
        <w:snapToGrid w:val="0"/>
        <w:spacing w:line="360" w:lineRule="auto"/>
        <w:ind w:left="74" w:leftChars="0" w:right="0" w:hanging="74" w:hangingChars="32"/>
        <w:outlineLvl w:val="0"/>
        <w:rPr>
          <w:rFonts w:hint="eastAsia" w:ascii="黑体" w:hAnsi="黑体" w:eastAsia="黑体" w:cs="黑体"/>
          <w:color w:val="auto"/>
          <w:sz w:val="24"/>
          <w:szCs w:val="24"/>
          <w:highlight w:val="none"/>
        </w:rPr>
      </w:pPr>
      <w:bookmarkStart w:id="275" w:name="_Toc633"/>
      <w:r>
        <w:rPr>
          <w:rFonts w:hint="eastAsia" w:ascii="黑体" w:hAnsi="黑体" w:eastAsia="黑体" w:cs="黑体"/>
          <w:color w:val="auto"/>
          <w:spacing w:val="-3"/>
          <w:sz w:val="24"/>
          <w:szCs w:val="24"/>
          <w:highlight w:val="none"/>
        </w:rPr>
        <w:t>1.6 违约责任</w:t>
      </w:r>
      <w:bookmarkEnd w:id="275"/>
    </w:p>
    <w:p w14:paraId="7B67ED7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7"/>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1.6.1 除不可抗力外，任何一方未能履</w:t>
      </w:r>
      <w:r>
        <w:rPr>
          <w:rFonts w:hint="eastAsia" w:ascii="黑体" w:hAnsi="黑体" w:eastAsia="黑体" w:cs="黑体"/>
          <w:color w:val="auto"/>
          <w:spacing w:val="-1"/>
          <w:sz w:val="24"/>
          <w:szCs w:val="24"/>
          <w:highlight w:val="none"/>
        </w:rPr>
        <w:t>行本合同约定的其他主要义务，经催告后在合理期限</w:t>
      </w:r>
      <w:r>
        <w:rPr>
          <w:rFonts w:hint="eastAsia" w:ascii="黑体" w:hAnsi="黑体" w:eastAsia="黑体" w:cs="黑体"/>
          <w:color w:val="auto"/>
          <w:sz w:val="24"/>
          <w:szCs w:val="24"/>
          <w:highlight w:val="none"/>
        </w:rPr>
        <w:t xml:space="preserve"> 内仍未履行的，或者任何一方有其他违约行为致使不能实现合同目的的，或者任何一</w:t>
      </w:r>
      <w:r>
        <w:rPr>
          <w:rFonts w:hint="eastAsia" w:ascii="黑体" w:hAnsi="黑体" w:eastAsia="黑体" w:cs="黑体"/>
          <w:color w:val="auto"/>
          <w:spacing w:val="-1"/>
          <w:sz w:val="24"/>
          <w:szCs w:val="24"/>
          <w:highlight w:val="none"/>
        </w:rPr>
        <w:t>方有腐败行</w:t>
      </w:r>
      <w:r>
        <w:rPr>
          <w:rFonts w:hint="eastAsia" w:ascii="黑体" w:hAnsi="黑体" w:eastAsia="黑体" w:cs="黑体"/>
          <w:color w:val="auto"/>
          <w:sz w:val="24"/>
          <w:szCs w:val="24"/>
          <w:highlight w:val="none"/>
        </w:rPr>
        <w:t xml:space="preserve"> 为（即：提供或给予或接受或索取任何财物或其他好处或者采取其他不正当手段来影</w:t>
      </w:r>
      <w:r>
        <w:rPr>
          <w:rFonts w:hint="eastAsia" w:ascii="黑体" w:hAnsi="黑体" w:eastAsia="黑体" w:cs="黑体"/>
          <w:color w:val="auto"/>
          <w:spacing w:val="-1"/>
          <w:sz w:val="24"/>
          <w:szCs w:val="24"/>
          <w:highlight w:val="none"/>
        </w:rPr>
        <w:t>响对方当事</w:t>
      </w:r>
      <w:r>
        <w:rPr>
          <w:rFonts w:hint="eastAsia" w:ascii="黑体" w:hAnsi="黑体" w:eastAsia="黑体" w:cs="黑体"/>
          <w:color w:val="auto"/>
          <w:sz w:val="24"/>
          <w:szCs w:val="24"/>
          <w:highlight w:val="none"/>
        </w:rPr>
        <w:t xml:space="preserve"> 人在合同签订、履行过程中的行为）或者欺诈行为（即：以谎报事实或隐瞒真相的方</w:t>
      </w:r>
      <w:r>
        <w:rPr>
          <w:rFonts w:hint="eastAsia" w:ascii="黑体" w:hAnsi="黑体" w:eastAsia="黑体" w:cs="黑体"/>
          <w:color w:val="auto"/>
          <w:spacing w:val="-1"/>
          <w:sz w:val="24"/>
          <w:szCs w:val="24"/>
          <w:highlight w:val="none"/>
        </w:rPr>
        <w:t>法来影响对</w:t>
      </w:r>
      <w:r>
        <w:rPr>
          <w:rFonts w:hint="eastAsia" w:ascii="黑体" w:hAnsi="黑体" w:eastAsia="黑体" w:cs="黑体"/>
          <w:color w:val="auto"/>
          <w:sz w:val="24"/>
          <w:szCs w:val="24"/>
          <w:highlight w:val="none"/>
        </w:rPr>
        <w:t>方当事人在合同签订、履行过程中的行为）的，</w:t>
      </w:r>
      <w:r>
        <w:rPr>
          <w:rFonts w:hint="eastAsia" w:ascii="黑体" w:hAnsi="黑体" w:eastAsia="黑体" w:cs="黑体"/>
          <w:color w:val="auto"/>
          <w:spacing w:val="-1"/>
          <w:sz w:val="24"/>
          <w:szCs w:val="24"/>
          <w:highlight w:val="none"/>
        </w:rPr>
        <w:t>对方当事人可以书面通知违约方解除本合同；</w:t>
      </w:r>
    </w:p>
    <w:p w14:paraId="79117A5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0"/>
        <w:jc w:val="both"/>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w:t>
      </w:r>
      <w:r>
        <w:rPr>
          <w:rFonts w:hint="eastAsia" w:ascii="黑体" w:hAnsi="黑体" w:eastAsia="黑体" w:cs="黑体"/>
          <w:color w:val="auto"/>
          <w:sz w:val="24"/>
          <w:szCs w:val="24"/>
          <w:highlight w:val="none"/>
        </w:rPr>
        <w:t>.6.2 任何一方按照前述约定要求违约方</w:t>
      </w:r>
      <w:r>
        <w:rPr>
          <w:rFonts w:hint="eastAsia" w:ascii="黑体" w:hAnsi="黑体" w:eastAsia="黑体" w:cs="黑体"/>
          <w:color w:val="auto"/>
          <w:spacing w:val="-1"/>
          <w:sz w:val="24"/>
          <w:szCs w:val="24"/>
          <w:highlight w:val="none"/>
        </w:rPr>
        <w:t>支付违约金的同时，仍有权要求违约方继续履行</w:t>
      </w:r>
      <w:r>
        <w:rPr>
          <w:rFonts w:hint="eastAsia" w:ascii="黑体" w:hAnsi="黑体" w:eastAsia="黑体" w:cs="黑体"/>
          <w:color w:val="auto"/>
          <w:sz w:val="24"/>
          <w:szCs w:val="24"/>
          <w:highlight w:val="none"/>
        </w:rPr>
        <w:t>合 同、采取补救措施，并有权按照己方实际损失情况要求违约方赔偿</w:t>
      </w:r>
      <w:r>
        <w:rPr>
          <w:rFonts w:hint="eastAsia" w:ascii="黑体" w:hAnsi="黑体" w:eastAsia="黑体" w:cs="黑体"/>
          <w:color w:val="auto"/>
          <w:spacing w:val="-1"/>
          <w:sz w:val="24"/>
          <w:szCs w:val="24"/>
          <w:highlight w:val="none"/>
        </w:rPr>
        <w:t>损失；任何一方按照前述约定</w:t>
      </w:r>
      <w:r>
        <w:rPr>
          <w:rFonts w:hint="eastAsia" w:ascii="黑体" w:hAnsi="黑体" w:eastAsia="黑体" w:cs="黑体"/>
          <w:color w:val="auto"/>
          <w:sz w:val="24"/>
          <w:szCs w:val="24"/>
          <w:highlight w:val="none"/>
        </w:rPr>
        <w:t xml:space="preserve"> 要求解除本合同的同时，仍有权要求违约方支付违约金和按照己方</w:t>
      </w:r>
      <w:r>
        <w:rPr>
          <w:rFonts w:hint="eastAsia" w:ascii="黑体" w:hAnsi="黑体" w:eastAsia="黑体" w:cs="黑体"/>
          <w:color w:val="auto"/>
          <w:spacing w:val="-1"/>
          <w:sz w:val="24"/>
          <w:szCs w:val="24"/>
          <w:highlight w:val="none"/>
        </w:rPr>
        <w:t>实际损失情况要求违约方赔偿</w:t>
      </w:r>
      <w:r>
        <w:rPr>
          <w:rFonts w:hint="eastAsia" w:ascii="黑体" w:hAnsi="黑体" w:eastAsia="黑体" w:cs="黑体"/>
          <w:color w:val="auto"/>
          <w:sz w:val="24"/>
          <w:szCs w:val="24"/>
          <w:highlight w:val="none"/>
        </w:rPr>
        <w:t>损失；且守约方行使的任何权利救济方式均不视为其放弃了其他</w:t>
      </w:r>
      <w:r>
        <w:rPr>
          <w:rFonts w:hint="eastAsia" w:ascii="黑体" w:hAnsi="黑体" w:eastAsia="黑体" w:cs="黑体"/>
          <w:color w:val="auto"/>
          <w:spacing w:val="-1"/>
          <w:sz w:val="24"/>
          <w:szCs w:val="24"/>
          <w:highlight w:val="none"/>
        </w:rPr>
        <w:t>法定或者约定的权利救济方式；</w:t>
      </w:r>
    </w:p>
    <w:p w14:paraId="0F14A1A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pacing w:val="-1"/>
          <w:sz w:val="24"/>
          <w:szCs w:val="24"/>
          <w:highlight w:val="none"/>
        </w:rPr>
      </w:pPr>
      <w:r>
        <w:rPr>
          <w:rFonts w:hint="eastAsia" w:ascii="黑体" w:hAnsi="黑体" w:eastAsia="黑体" w:cs="黑体"/>
          <w:color w:val="auto"/>
          <w:sz w:val="24"/>
          <w:szCs w:val="24"/>
          <w:highlight w:val="none"/>
        </w:rPr>
        <w:t>1.6.3 除前述约定外，除不可抗力外，</w:t>
      </w:r>
      <w:r>
        <w:rPr>
          <w:rFonts w:hint="eastAsia" w:ascii="黑体" w:hAnsi="黑体" w:eastAsia="黑体" w:cs="黑体"/>
          <w:color w:val="auto"/>
          <w:spacing w:val="-1"/>
          <w:sz w:val="24"/>
          <w:szCs w:val="24"/>
          <w:highlight w:val="none"/>
        </w:rPr>
        <w:t>任何一方未能履行本合同约定的义务，对方当事人均</w:t>
      </w:r>
      <w:r>
        <w:rPr>
          <w:rFonts w:hint="eastAsia" w:ascii="黑体" w:hAnsi="黑体" w:eastAsia="黑体" w:cs="黑体"/>
          <w:color w:val="auto"/>
          <w:sz w:val="24"/>
          <w:szCs w:val="24"/>
          <w:highlight w:val="none"/>
        </w:rPr>
        <w:t xml:space="preserve"> 有权要求继续履行、采取补救措施或者赔偿损失等，且对方当事人行</w:t>
      </w:r>
      <w:r>
        <w:rPr>
          <w:rFonts w:hint="eastAsia" w:ascii="黑体" w:hAnsi="黑体" w:eastAsia="黑体" w:cs="黑体"/>
          <w:color w:val="auto"/>
          <w:spacing w:val="-1"/>
          <w:sz w:val="24"/>
          <w:szCs w:val="24"/>
          <w:highlight w:val="none"/>
        </w:rPr>
        <w:t>使的任何权利救济方式均不视为其放弃了其他法定或者约定的权利救济方式；</w:t>
      </w:r>
    </w:p>
    <w:p w14:paraId="0C2FCC8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pacing w:val="-3"/>
          <w:sz w:val="24"/>
          <w:szCs w:val="24"/>
          <w:highlight w:val="none"/>
        </w:rPr>
      </w:pPr>
      <w:r>
        <w:rPr>
          <w:rFonts w:hint="eastAsia" w:ascii="黑体" w:hAnsi="黑体" w:eastAsia="黑体" w:cs="黑体"/>
          <w:color w:val="auto"/>
          <w:sz w:val="24"/>
          <w:szCs w:val="24"/>
          <w:highlight w:val="none"/>
        </w:rPr>
        <w:t>1.6.4 如果出现政府采购监督管理部门</w:t>
      </w:r>
      <w:r>
        <w:rPr>
          <w:rFonts w:hint="eastAsia" w:ascii="黑体" w:hAnsi="黑体" w:eastAsia="黑体" w:cs="黑体"/>
          <w:color w:val="auto"/>
          <w:spacing w:val="-1"/>
          <w:sz w:val="24"/>
          <w:szCs w:val="24"/>
          <w:highlight w:val="none"/>
        </w:rPr>
        <w:t>在处理投诉事项期间，书面通知甲方暂停采购活动的</w:t>
      </w:r>
      <w:r>
        <w:rPr>
          <w:rFonts w:hint="eastAsia" w:ascii="黑体" w:hAnsi="黑体" w:eastAsia="黑体" w:cs="黑体"/>
          <w:color w:val="auto"/>
          <w:sz w:val="24"/>
          <w:szCs w:val="24"/>
          <w:highlight w:val="none"/>
        </w:rPr>
        <w:t xml:space="preserve"> 情形，或者询问或质疑事项可能影响中标结果</w:t>
      </w:r>
      <w:r>
        <w:rPr>
          <w:rFonts w:hint="eastAsia" w:ascii="黑体" w:hAnsi="黑体" w:eastAsia="黑体" w:cs="黑体"/>
          <w:color w:val="auto"/>
          <w:spacing w:val="-1"/>
          <w:sz w:val="24"/>
          <w:szCs w:val="24"/>
          <w:highlight w:val="none"/>
        </w:rPr>
        <w:t>的，导致甲方中止履行合同的情形，均不视为甲方</w:t>
      </w:r>
      <w:r>
        <w:rPr>
          <w:rFonts w:hint="eastAsia" w:ascii="黑体" w:hAnsi="黑体" w:eastAsia="黑体" w:cs="黑体"/>
          <w:color w:val="auto"/>
          <w:spacing w:val="-3"/>
          <w:sz w:val="24"/>
          <w:szCs w:val="24"/>
          <w:highlight w:val="none"/>
        </w:rPr>
        <w:t>违约。</w:t>
      </w:r>
    </w:p>
    <w:p w14:paraId="7E8C9F6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jc w:val="both"/>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1.7 合同争议的解决</w:t>
      </w:r>
    </w:p>
    <w:p w14:paraId="494C926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本合同履行过程中发生的任何争议，双方当事人均可通过和解或者调解解决；不愿和解、调解或者和解、调解不成的，可以选择下列第二种方式解决：</w:t>
      </w:r>
    </w:p>
    <w:p w14:paraId="65EBFA4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1.7.1 将争议提交</w:t>
      </w:r>
      <w:r>
        <w:rPr>
          <w:rFonts w:hint="eastAsia" w:ascii="黑体" w:hAnsi="黑体" w:eastAsia="黑体" w:cs="黑体"/>
          <w:color w:val="auto"/>
          <w:spacing w:val="-1"/>
          <w:sz w:val="24"/>
          <w:szCs w:val="24"/>
          <w:highlight w:val="none"/>
          <w:u w:val="single" w:color="auto"/>
        </w:rPr>
        <w:t xml:space="preserve">     </w:t>
      </w:r>
      <w:r>
        <w:rPr>
          <w:rFonts w:hint="eastAsia" w:ascii="黑体" w:hAnsi="黑体" w:eastAsia="黑体" w:cs="黑体"/>
          <w:color w:val="auto"/>
          <w:spacing w:val="-1"/>
          <w:sz w:val="24"/>
          <w:szCs w:val="24"/>
          <w:highlight w:val="none"/>
          <w:u w:val="single" w:color="auto"/>
          <w:lang w:val="en-US" w:eastAsia="zh-CN"/>
        </w:rPr>
        <w:t xml:space="preserve">       </w:t>
      </w:r>
      <w:r>
        <w:rPr>
          <w:rFonts w:hint="eastAsia" w:ascii="黑体" w:hAnsi="黑体" w:eastAsia="黑体" w:cs="黑体"/>
          <w:color w:val="auto"/>
          <w:spacing w:val="-103"/>
          <w:sz w:val="24"/>
          <w:szCs w:val="24"/>
          <w:highlight w:val="none"/>
        </w:rPr>
        <w:t xml:space="preserve"> </w:t>
      </w:r>
      <w:r>
        <w:rPr>
          <w:rFonts w:hint="eastAsia" w:ascii="黑体" w:hAnsi="黑体" w:eastAsia="黑体" w:cs="黑体"/>
          <w:color w:val="auto"/>
          <w:spacing w:val="-1"/>
          <w:sz w:val="24"/>
          <w:szCs w:val="24"/>
          <w:highlight w:val="none"/>
        </w:rPr>
        <w:t>仲裁委员会依申请仲裁时其现行有效的仲裁规则裁决；</w:t>
      </w:r>
    </w:p>
    <w:p w14:paraId="3892459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1.7.2 向</w:t>
      </w:r>
      <w:r>
        <w:rPr>
          <w:rFonts w:hint="eastAsia" w:ascii="黑体" w:hAnsi="黑体" w:eastAsia="黑体" w:cs="黑体"/>
          <w:color w:val="auto"/>
          <w:spacing w:val="-2"/>
          <w:sz w:val="24"/>
          <w:szCs w:val="24"/>
          <w:highlight w:val="none"/>
          <w:u w:val="single" w:color="auto"/>
          <w:lang w:eastAsia="zh-CN"/>
        </w:rPr>
        <w:t>采购人所在地人民法院</w:t>
      </w:r>
      <w:r>
        <w:rPr>
          <w:rFonts w:hint="eastAsia" w:ascii="黑体" w:hAnsi="黑体" w:eastAsia="黑体" w:cs="黑体"/>
          <w:color w:val="auto"/>
          <w:spacing w:val="-2"/>
          <w:sz w:val="24"/>
          <w:szCs w:val="24"/>
          <w:highlight w:val="none"/>
        </w:rPr>
        <w:t>人民法院起诉。</w:t>
      </w:r>
    </w:p>
    <w:p w14:paraId="4F93260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76" w:name="_Toc3183"/>
      <w:r>
        <w:rPr>
          <w:rFonts w:hint="eastAsia" w:ascii="黑体" w:hAnsi="黑体" w:eastAsia="黑体" w:cs="黑体"/>
          <w:color w:val="auto"/>
          <w:spacing w:val="-3"/>
          <w:sz w:val="24"/>
          <w:szCs w:val="24"/>
          <w:highlight w:val="none"/>
        </w:rPr>
        <w:t>1.8 合同生效</w:t>
      </w:r>
      <w:bookmarkEnd w:id="276"/>
    </w:p>
    <w:p w14:paraId="76BEEB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本合同自双方当事人盖章或者签字时生效。</w:t>
      </w:r>
    </w:p>
    <w:p w14:paraId="4902B7C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highlight w:val="none"/>
        </w:rPr>
      </w:pPr>
    </w:p>
    <w:p w14:paraId="784972F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highlight w:val="none"/>
        </w:rPr>
        <w:sectPr>
          <w:headerReference r:id="rId25" w:type="default"/>
          <w:footerReference r:id="rId26" w:type="default"/>
          <w:pgSz w:w="12240" w:h="15840"/>
          <w:pgMar w:top="1083" w:right="1080" w:bottom="1083" w:left="1085" w:header="0" w:footer="831" w:gutter="0"/>
          <w:pgBorders>
            <w:top w:val="none" w:sz="0" w:space="0"/>
            <w:left w:val="none" w:sz="0" w:space="0"/>
            <w:bottom w:val="none" w:sz="0" w:space="0"/>
            <w:right w:val="none" w:sz="0" w:space="0"/>
          </w:pgBorders>
          <w:pgNumType w:fmt="decimal"/>
          <w:cols w:space="720" w:num="1"/>
        </w:sectPr>
      </w:pPr>
    </w:p>
    <w:p w14:paraId="0CC7F482">
      <w:pPr>
        <w:rPr>
          <w:rFonts w:hint="eastAsia" w:ascii="黑体" w:hAnsi="黑体" w:eastAsia="黑体" w:cs="黑体"/>
          <w:color w:val="auto"/>
          <w:spacing w:val="-14"/>
          <w:sz w:val="24"/>
          <w:szCs w:val="24"/>
          <w:highlight w:val="none"/>
        </w:rPr>
      </w:pPr>
    </w:p>
    <w:p w14:paraId="61E65DD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816" w:firstLineChars="385"/>
        <w:rPr>
          <w:rFonts w:hint="eastAsia" w:ascii="黑体" w:hAnsi="黑体" w:eastAsia="黑体" w:cs="黑体"/>
          <w:color w:val="auto"/>
          <w:sz w:val="24"/>
          <w:szCs w:val="24"/>
          <w:highlight w:val="none"/>
        </w:rPr>
      </w:pPr>
      <w:r>
        <w:rPr>
          <w:rFonts w:hint="eastAsia" w:ascii="黑体" w:hAnsi="黑体" w:eastAsia="黑体" w:cs="黑体"/>
          <w:color w:val="auto"/>
          <w:spacing w:val="-14"/>
          <w:sz w:val="24"/>
          <w:szCs w:val="24"/>
          <w:highlight w:val="none"/>
        </w:rPr>
        <w:t>甲方：</w:t>
      </w:r>
    </w:p>
    <w:p w14:paraId="10B7F67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position w:val="23"/>
          <w:sz w:val="24"/>
          <w:szCs w:val="24"/>
          <w:highlight w:val="none"/>
        </w:rPr>
        <w:t>统一社会信用代码：</w:t>
      </w:r>
    </w:p>
    <w:p w14:paraId="2D1522F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住所：</w:t>
      </w:r>
    </w:p>
    <w:p w14:paraId="212A33D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57"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法定代表人或</w:t>
      </w:r>
    </w:p>
    <w:p w14:paraId="49B592C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position w:val="24"/>
          <w:sz w:val="24"/>
          <w:szCs w:val="24"/>
          <w:highlight w:val="none"/>
        </w:rPr>
        <w:t>授权代表（签字</w:t>
      </w:r>
      <w:r>
        <w:rPr>
          <w:rFonts w:hint="eastAsia" w:ascii="黑体" w:hAnsi="黑体" w:eastAsia="黑体" w:cs="黑体"/>
          <w:color w:val="auto"/>
          <w:position w:val="24"/>
          <w:sz w:val="24"/>
          <w:szCs w:val="24"/>
          <w:highlight w:val="none"/>
        </w:rPr>
        <w:t>）：</w:t>
      </w:r>
    </w:p>
    <w:p w14:paraId="1683951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联系人：</w:t>
      </w:r>
    </w:p>
    <w:p w14:paraId="6691801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4"/>
          <w:position w:val="24"/>
          <w:sz w:val="24"/>
          <w:szCs w:val="24"/>
          <w:highlight w:val="none"/>
        </w:rPr>
        <w:t>约定送达地址：</w:t>
      </w:r>
    </w:p>
    <w:p w14:paraId="3FBFF14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邮政编码：</w:t>
      </w:r>
    </w:p>
    <w:p w14:paraId="2553278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2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电话:</w:t>
      </w:r>
    </w:p>
    <w:p w14:paraId="08F8737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传真:</w:t>
      </w:r>
    </w:p>
    <w:p w14:paraId="3370F4B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46"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7"/>
          <w:position w:val="24"/>
          <w:sz w:val="24"/>
          <w:szCs w:val="24"/>
          <w:highlight w:val="none"/>
        </w:rPr>
        <w:t>电子邮箱：</w:t>
      </w:r>
    </w:p>
    <w:p w14:paraId="10E2EDE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开户银行：</w:t>
      </w:r>
    </w:p>
    <w:p w14:paraId="7602A028">
      <w:pPr>
        <w:pStyle w:val="10"/>
        <w:keepNext w:val="0"/>
        <w:keepLines w:val="0"/>
        <w:pageBreakBefore w:val="0"/>
        <w:widowControl/>
        <w:tabs>
          <w:tab w:val="left" w:pos="567"/>
        </w:tabs>
        <w:kinsoku/>
        <w:wordWrap w:val="0"/>
        <w:overflowPunct/>
        <w:topLinePunct w:val="0"/>
        <w:autoSpaceDE/>
        <w:autoSpaceDN/>
        <w:bidi w:val="0"/>
        <w:adjustRightInd w:val="0"/>
        <w:snapToGrid w:val="0"/>
        <w:spacing w:line="360" w:lineRule="auto"/>
        <w:ind w:left="0" w:leftChars="0" w:right="0" w:firstLine="57" w:firstLineChars="286"/>
        <w:rPr>
          <w:rFonts w:hint="eastAsia" w:ascii="黑体" w:hAnsi="黑体" w:eastAsia="黑体" w:cs="黑体"/>
          <w:color w:val="auto"/>
          <w:sz w:val="2"/>
          <w:highlight w:val="none"/>
        </w:rPr>
      </w:pPr>
      <w:r>
        <w:rPr>
          <w:rFonts w:hint="eastAsia" w:ascii="黑体" w:hAnsi="黑体" w:eastAsia="黑体" w:cs="黑体"/>
          <w:color w:val="auto"/>
          <w:sz w:val="2"/>
          <w:szCs w:val="2"/>
          <w:highlight w:val="none"/>
        </w:rPr>
        <w:br w:type="column"/>
      </w:r>
    </w:p>
    <w:p w14:paraId="53AF154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12"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13"/>
          <w:sz w:val="24"/>
          <w:szCs w:val="24"/>
          <w:highlight w:val="none"/>
        </w:rPr>
        <w:t>乙方：</w:t>
      </w:r>
    </w:p>
    <w:p w14:paraId="3BCE123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position w:val="24"/>
          <w:sz w:val="24"/>
          <w:szCs w:val="24"/>
          <w:highlight w:val="none"/>
        </w:rPr>
        <w:t>统一社会信用代码或身份证号码：</w:t>
      </w:r>
    </w:p>
    <w:p w14:paraId="3E41318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住所：</w:t>
      </w:r>
    </w:p>
    <w:p w14:paraId="02D235A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52"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法定代表人</w:t>
      </w:r>
    </w:p>
    <w:p w14:paraId="434268E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97"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position w:val="24"/>
          <w:sz w:val="24"/>
          <w:szCs w:val="24"/>
          <w:highlight w:val="none"/>
        </w:rPr>
        <w:t>或授权代表（签字）:</w:t>
      </w:r>
    </w:p>
    <w:p w14:paraId="0617CF1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联系人：</w:t>
      </w:r>
    </w:p>
    <w:p w14:paraId="74A1A92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4"/>
          <w:position w:val="24"/>
          <w:sz w:val="24"/>
          <w:szCs w:val="24"/>
          <w:highlight w:val="none"/>
        </w:rPr>
        <w:t>约定送达地址：</w:t>
      </w:r>
    </w:p>
    <w:p w14:paraId="45631AF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邮政编码：</w:t>
      </w:r>
    </w:p>
    <w:p w14:paraId="6476AFB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23"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电话:</w:t>
      </w:r>
    </w:p>
    <w:p w14:paraId="4CAEF9C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传真:</w:t>
      </w:r>
    </w:p>
    <w:p w14:paraId="4525916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46"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7"/>
          <w:position w:val="24"/>
          <w:sz w:val="24"/>
          <w:szCs w:val="24"/>
          <w:highlight w:val="none"/>
        </w:rPr>
        <w:t>电子邮箱：</w:t>
      </w:r>
    </w:p>
    <w:p w14:paraId="434F3DE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开户银行：</w:t>
      </w:r>
    </w:p>
    <w:p w14:paraId="668211B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86" w:firstLineChars="286"/>
        <w:rPr>
          <w:rFonts w:hint="eastAsia" w:ascii="黑体" w:hAnsi="黑体" w:eastAsia="黑体" w:cs="黑体"/>
          <w:color w:val="auto"/>
          <w:sz w:val="24"/>
          <w:szCs w:val="24"/>
          <w:highlight w:val="none"/>
        </w:rPr>
        <w:sectPr>
          <w:type w:val="continuous"/>
          <w:pgSz w:w="12240" w:h="15840"/>
          <w:pgMar w:top="400" w:right="1080" w:bottom="995" w:left="1085" w:header="0" w:footer="831" w:gutter="0"/>
          <w:pgBorders>
            <w:top w:val="none" w:sz="0" w:space="0"/>
            <w:left w:val="none" w:sz="0" w:space="0"/>
            <w:bottom w:val="none" w:sz="0" w:space="0"/>
            <w:right w:val="none" w:sz="0" w:space="0"/>
          </w:pgBorders>
          <w:pgNumType w:fmt="decimal"/>
          <w:cols w:equalWidth="0" w:num="2">
            <w:col w:w="4858" w:space="100"/>
            <w:col w:w="5117"/>
          </w:cols>
        </w:sectPr>
      </w:pPr>
    </w:p>
    <w:p w14:paraId="32B68A6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position w:val="24"/>
          <w:sz w:val="24"/>
          <w:szCs w:val="24"/>
          <w:highlight w:val="none"/>
        </w:rPr>
        <w:t>开户名称：</w:t>
      </w:r>
    </w:p>
    <w:p w14:paraId="5A35D25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开户账号：</w:t>
      </w:r>
    </w:p>
    <w:p w14:paraId="38596043">
      <w:pPr>
        <w:pStyle w:val="10"/>
        <w:keepNext w:val="0"/>
        <w:keepLines w:val="0"/>
        <w:pageBreakBefore w:val="0"/>
        <w:widowControl/>
        <w:tabs>
          <w:tab w:val="left" w:pos="567"/>
        </w:tabs>
        <w:kinsoku/>
        <w:wordWrap w:val="0"/>
        <w:overflowPunct/>
        <w:topLinePunct w:val="0"/>
        <w:autoSpaceDE/>
        <w:autoSpaceDN/>
        <w:bidi w:val="0"/>
        <w:adjustRightInd w:val="0"/>
        <w:snapToGrid w:val="0"/>
        <w:spacing w:line="360" w:lineRule="auto"/>
        <w:ind w:left="0" w:leftChars="0" w:right="0" w:firstLine="57" w:firstLineChars="286"/>
        <w:rPr>
          <w:rFonts w:hint="eastAsia" w:ascii="黑体" w:hAnsi="黑体" w:eastAsia="黑体" w:cs="黑体"/>
          <w:color w:val="auto"/>
          <w:sz w:val="2"/>
          <w:highlight w:val="none"/>
        </w:rPr>
      </w:pPr>
      <w:r>
        <w:rPr>
          <w:rFonts w:hint="eastAsia" w:ascii="黑体" w:hAnsi="黑体" w:eastAsia="黑体" w:cs="黑体"/>
          <w:color w:val="auto"/>
          <w:sz w:val="2"/>
          <w:szCs w:val="2"/>
          <w:highlight w:val="none"/>
        </w:rPr>
        <w:br w:type="column"/>
      </w:r>
    </w:p>
    <w:p w14:paraId="1B1004C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position w:val="24"/>
          <w:sz w:val="24"/>
          <w:szCs w:val="24"/>
          <w:highlight w:val="none"/>
        </w:rPr>
        <w:t>开户名称：</w:t>
      </w:r>
    </w:p>
    <w:p w14:paraId="095BE3E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开户账号：</w:t>
      </w:r>
    </w:p>
    <w:p w14:paraId="352D848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86" w:firstLineChars="286"/>
        <w:rPr>
          <w:rFonts w:hint="eastAsia" w:ascii="黑体" w:hAnsi="黑体" w:eastAsia="黑体" w:cs="黑体"/>
          <w:color w:val="auto"/>
          <w:sz w:val="24"/>
          <w:szCs w:val="24"/>
          <w:highlight w:val="none"/>
        </w:rPr>
        <w:sectPr>
          <w:footerReference r:id="rId27" w:type="default"/>
          <w:type w:val="continuous"/>
          <w:pgSz w:w="12240" w:h="15840"/>
          <w:pgMar w:top="400" w:right="1080" w:bottom="995" w:left="1084" w:header="0" w:footer="831" w:gutter="0"/>
          <w:pgBorders>
            <w:top w:val="none" w:sz="0" w:space="0"/>
            <w:left w:val="none" w:sz="0" w:space="0"/>
            <w:bottom w:val="none" w:sz="0" w:space="0"/>
            <w:right w:val="none" w:sz="0" w:space="0"/>
          </w:pgBorders>
          <w:pgNumType w:fmt="decimal"/>
          <w:cols w:equalWidth="0" w:num="2">
            <w:col w:w="4947" w:space="100"/>
            <w:col w:w="5029"/>
          </w:cols>
        </w:sectPr>
      </w:pPr>
    </w:p>
    <w:p w14:paraId="09F9F49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rPr>
          <w:rFonts w:hint="eastAsia" w:ascii="黑体" w:hAnsi="黑体" w:eastAsia="黑体" w:cs="黑体"/>
          <w:color w:val="auto"/>
          <w:sz w:val="24"/>
          <w:szCs w:val="24"/>
          <w:highlight w:val="none"/>
        </w:rPr>
      </w:pPr>
      <w:r>
        <w:rPr>
          <w:rFonts w:hint="eastAsia" w:ascii="黑体" w:hAnsi="黑体" w:eastAsia="黑体" w:cs="黑体"/>
          <w:b/>
          <w:bCs/>
          <w:color w:val="auto"/>
          <w:spacing w:val="-2"/>
          <w:sz w:val="28"/>
          <w:szCs w:val="28"/>
          <w:highlight w:val="none"/>
        </w:rPr>
        <w:t>第二部分 合同一般条款</w:t>
      </w:r>
    </w:p>
    <w:p w14:paraId="07B2D92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77" w:name="_Toc15008"/>
      <w:r>
        <w:rPr>
          <w:rFonts w:hint="eastAsia" w:ascii="黑体" w:hAnsi="黑体" w:eastAsia="黑体" w:cs="黑体"/>
          <w:color w:val="auto"/>
          <w:spacing w:val="-6"/>
          <w:sz w:val="24"/>
          <w:szCs w:val="24"/>
          <w:highlight w:val="none"/>
        </w:rPr>
        <w:t>2.1</w:t>
      </w:r>
      <w:r>
        <w:rPr>
          <w:rFonts w:hint="eastAsia" w:ascii="黑体" w:hAnsi="黑体" w:eastAsia="黑体" w:cs="黑体"/>
          <w:color w:val="auto"/>
          <w:spacing w:val="23"/>
          <w:sz w:val="24"/>
          <w:szCs w:val="24"/>
          <w:highlight w:val="none"/>
        </w:rPr>
        <w:t xml:space="preserve"> </w:t>
      </w:r>
      <w:r>
        <w:rPr>
          <w:rFonts w:hint="eastAsia" w:ascii="黑体" w:hAnsi="黑体" w:eastAsia="黑体" w:cs="黑体"/>
          <w:color w:val="auto"/>
          <w:spacing w:val="-6"/>
          <w:sz w:val="24"/>
          <w:szCs w:val="24"/>
          <w:highlight w:val="none"/>
        </w:rPr>
        <w:t>定义</w:t>
      </w:r>
      <w:bookmarkEnd w:id="277"/>
    </w:p>
    <w:p w14:paraId="16410F0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本合同中的下列词语应按以下内容进行解释：</w:t>
      </w:r>
    </w:p>
    <w:p w14:paraId="3801192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position w:val="24"/>
          <w:sz w:val="24"/>
          <w:szCs w:val="24"/>
          <w:highlight w:val="none"/>
        </w:rPr>
      </w:pPr>
      <w:r>
        <w:rPr>
          <w:rFonts w:hint="eastAsia" w:ascii="黑体" w:hAnsi="黑体" w:eastAsia="黑体" w:cs="黑体"/>
          <w:color w:val="auto"/>
          <w:spacing w:val="-1"/>
          <w:position w:val="24"/>
          <w:sz w:val="24"/>
          <w:szCs w:val="24"/>
          <w:highlight w:val="none"/>
        </w:rPr>
        <w:t>2.1.1“合同”系指采购人和中标供应商签订的载明双方当事人所达成的协议，并包括所的附件、附录和构成合同的其他文件。</w:t>
      </w:r>
    </w:p>
    <w:p w14:paraId="5E17C71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position w:val="24"/>
          <w:sz w:val="24"/>
          <w:szCs w:val="24"/>
          <w:highlight w:val="none"/>
        </w:rPr>
      </w:pPr>
      <w:r>
        <w:rPr>
          <w:rFonts w:hint="eastAsia" w:ascii="黑体" w:hAnsi="黑体" w:eastAsia="黑体" w:cs="黑体"/>
          <w:color w:val="auto"/>
          <w:spacing w:val="-1"/>
          <w:position w:val="24"/>
          <w:sz w:val="24"/>
          <w:szCs w:val="24"/>
          <w:highlight w:val="none"/>
        </w:rPr>
        <w:t>2.1.2“合同价”系指根据合同约定，中标供应商在完全履行合同义务后，采购人应支付给中标供应商的价格。</w:t>
      </w:r>
    </w:p>
    <w:p w14:paraId="24880F0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position w:val="24"/>
          <w:sz w:val="24"/>
          <w:szCs w:val="24"/>
          <w:highlight w:val="none"/>
        </w:rPr>
      </w:pPr>
      <w:r>
        <w:rPr>
          <w:rFonts w:hint="eastAsia" w:ascii="黑体" w:hAnsi="黑体" w:eastAsia="黑体" w:cs="黑体"/>
          <w:color w:val="auto"/>
          <w:spacing w:val="-1"/>
          <w:position w:val="24"/>
          <w:sz w:val="24"/>
          <w:szCs w:val="24"/>
          <w:highlight w:val="none"/>
        </w:rPr>
        <w:t>2.1.3“服务”系指中标供应商根据合同约定应向采购人履行的除货物和工程以外的其他政府采购对象，包括采购人自身需要的服务和向社会公众提供的公共服务。</w:t>
      </w:r>
    </w:p>
    <w:p w14:paraId="46CE06E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position w:val="24"/>
          <w:sz w:val="24"/>
          <w:szCs w:val="24"/>
          <w:highlight w:val="none"/>
        </w:rPr>
      </w:pPr>
      <w:r>
        <w:rPr>
          <w:rFonts w:hint="eastAsia" w:ascii="黑体" w:hAnsi="黑体" w:eastAsia="黑体" w:cs="黑体"/>
          <w:color w:val="auto"/>
          <w:spacing w:val="-1"/>
          <w:position w:val="24"/>
          <w:sz w:val="24"/>
          <w:szCs w:val="24"/>
          <w:highlight w:val="none"/>
        </w:rPr>
        <w:t>2.1.4“甲方”系指与中标供应商签署合同的采购人；采购人委托采购代理机构代表其与乙方签订合同的，采购人的授权委托书作为合同附件。</w:t>
      </w:r>
    </w:p>
    <w:p w14:paraId="42546B3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2.1.5“乙方”系指根据合同约定提供服务的中标供应商；两个以上的自然人、法人或者其</w:t>
      </w:r>
      <w:r>
        <w:rPr>
          <w:rFonts w:hint="eastAsia" w:ascii="黑体" w:hAnsi="黑体" w:eastAsia="黑体" w:cs="黑体"/>
          <w:color w:val="auto"/>
          <w:sz w:val="24"/>
          <w:szCs w:val="24"/>
          <w:highlight w:val="none"/>
        </w:rPr>
        <w:t>他组织组成一个联合体，以一个供应商的身份共同参加政府采购的，</w:t>
      </w:r>
      <w:r>
        <w:rPr>
          <w:rFonts w:hint="eastAsia" w:ascii="黑体" w:hAnsi="黑体" w:eastAsia="黑体" w:cs="黑体"/>
          <w:color w:val="auto"/>
          <w:spacing w:val="-1"/>
          <w:sz w:val="24"/>
          <w:szCs w:val="24"/>
          <w:highlight w:val="none"/>
        </w:rPr>
        <w:t>联合体各方均应为乙方或者与乙方相同地位的合同当事人，并就合同约定的事项对甲方承担连带责任。</w:t>
      </w:r>
    </w:p>
    <w:p w14:paraId="21707EB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2.1.6“现场”系指合同约定提供服务的地点。</w:t>
      </w:r>
    </w:p>
    <w:p w14:paraId="14CFE28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outlineLvl w:val="0"/>
        <w:rPr>
          <w:rFonts w:hint="eastAsia" w:ascii="黑体" w:hAnsi="黑体" w:eastAsia="黑体" w:cs="黑体"/>
          <w:color w:val="auto"/>
          <w:sz w:val="24"/>
          <w:szCs w:val="24"/>
          <w:highlight w:val="none"/>
        </w:rPr>
      </w:pPr>
      <w:bookmarkStart w:id="278" w:name="_Toc1089"/>
      <w:r>
        <w:rPr>
          <w:rFonts w:hint="eastAsia" w:ascii="黑体" w:hAnsi="黑体" w:eastAsia="黑体" w:cs="黑体"/>
          <w:color w:val="auto"/>
          <w:spacing w:val="-3"/>
          <w:sz w:val="24"/>
          <w:szCs w:val="24"/>
          <w:highlight w:val="none"/>
        </w:rPr>
        <w:t>2.2技术规范</w:t>
      </w:r>
      <w:bookmarkEnd w:id="278"/>
    </w:p>
    <w:p w14:paraId="5692FC0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pacing w:val="-2"/>
          <w:sz w:val="24"/>
          <w:szCs w:val="24"/>
          <w:highlight w:val="none"/>
        </w:rPr>
      </w:pPr>
      <w:r>
        <w:rPr>
          <w:rFonts w:hint="eastAsia" w:ascii="黑体" w:hAnsi="黑体" w:eastAsia="黑体" w:cs="黑体"/>
          <w:color w:val="auto"/>
          <w:sz w:val="24"/>
          <w:szCs w:val="24"/>
          <w:highlight w:val="none"/>
        </w:rPr>
        <w:t>服务所应遵守的技术规范应与采购文件规定的技术规范和技术规范附件(如果有的话)及其技术规范偏差表(如果被甲方接受的话)相一致；如果采购文件中没有</w:t>
      </w:r>
      <w:r>
        <w:rPr>
          <w:rFonts w:hint="eastAsia" w:ascii="黑体" w:hAnsi="黑体" w:eastAsia="黑体" w:cs="黑体"/>
          <w:color w:val="auto"/>
          <w:spacing w:val="-1"/>
          <w:sz w:val="24"/>
          <w:szCs w:val="24"/>
          <w:highlight w:val="none"/>
        </w:rPr>
        <w:t>技术规范的相应说明，那么应</w:t>
      </w:r>
      <w:r>
        <w:rPr>
          <w:rFonts w:hint="eastAsia" w:ascii="黑体" w:hAnsi="黑体" w:eastAsia="黑体" w:cs="黑体"/>
          <w:color w:val="auto"/>
          <w:spacing w:val="-2"/>
          <w:sz w:val="24"/>
          <w:szCs w:val="24"/>
          <w:highlight w:val="none"/>
        </w:rPr>
        <w:t>以国家有关部门最新颁布的相应标准和规范为准。</w:t>
      </w:r>
    </w:p>
    <w:p w14:paraId="11D6E5C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0" w:firstLineChars="0"/>
        <w:jc w:val="both"/>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2.3知识产权</w:t>
      </w:r>
    </w:p>
    <w:p w14:paraId="7E420FF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2"/>
          <w:sz w:val="24"/>
          <w:szCs w:val="24"/>
          <w:highlight w:val="none"/>
        </w:rPr>
      </w:pPr>
      <w:r>
        <w:rPr>
          <w:rFonts w:hint="eastAsia" w:ascii="黑体" w:hAnsi="黑体" w:eastAsia="黑体" w:cs="黑体"/>
          <w:color w:val="auto"/>
          <w:spacing w:val="-1"/>
          <w:sz w:val="24"/>
          <w:szCs w:val="24"/>
          <w:highlight w:val="none"/>
        </w:rPr>
        <w:t>2.3.1乙方应保证其提供的服务不受任何第三方提出的侵犯其著作权、商标权、</w:t>
      </w:r>
      <w:r>
        <w:rPr>
          <w:rFonts w:hint="eastAsia" w:ascii="黑体" w:hAnsi="黑体" w:eastAsia="黑体" w:cs="黑体"/>
          <w:color w:val="auto"/>
          <w:spacing w:val="-2"/>
          <w:sz w:val="24"/>
          <w:szCs w:val="24"/>
          <w:highlight w:val="none"/>
        </w:rPr>
        <w:t>专利权等知</w:t>
      </w:r>
      <w:r>
        <w:rPr>
          <w:rFonts w:hint="eastAsia" w:ascii="黑体" w:hAnsi="黑体" w:eastAsia="黑体" w:cs="黑体"/>
          <w:color w:val="auto"/>
          <w:sz w:val="24"/>
          <w:szCs w:val="24"/>
          <w:highlight w:val="none"/>
        </w:rPr>
        <w:t>识产权方面的起诉；如果任何第三方提出侵权指控，那么乙方须与该第三方</w:t>
      </w:r>
      <w:r>
        <w:rPr>
          <w:rFonts w:hint="eastAsia" w:ascii="黑体" w:hAnsi="黑体" w:eastAsia="黑体" w:cs="黑体"/>
          <w:color w:val="auto"/>
          <w:spacing w:val="-1"/>
          <w:sz w:val="24"/>
          <w:szCs w:val="24"/>
          <w:highlight w:val="none"/>
        </w:rPr>
        <w:t>交涉并承担由此发生</w:t>
      </w:r>
      <w:r>
        <w:rPr>
          <w:rFonts w:hint="eastAsia" w:ascii="黑体" w:hAnsi="黑体" w:eastAsia="黑体" w:cs="黑体"/>
          <w:color w:val="auto"/>
          <w:spacing w:val="-2"/>
          <w:sz w:val="24"/>
          <w:szCs w:val="24"/>
          <w:highlight w:val="none"/>
        </w:rPr>
        <w:t>的一切责任、费用和赔偿；</w:t>
      </w:r>
    </w:p>
    <w:p w14:paraId="6DF920E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2.3.2 合同涉及技术成果的归属和收益的分成办法的，详见</w:t>
      </w:r>
      <w:r>
        <w:rPr>
          <w:rFonts w:hint="eastAsia" w:ascii="黑体" w:hAnsi="黑体" w:eastAsia="黑体" w:cs="黑体"/>
          <w:i/>
          <w:iCs/>
          <w:color w:val="auto"/>
          <w:sz w:val="25"/>
          <w:szCs w:val="25"/>
          <w:highlight w:val="none"/>
          <w:u w:val="single" w:color="000000"/>
        </w:rPr>
        <w:t>合同专用条款</w:t>
      </w:r>
      <w:r>
        <w:rPr>
          <w:rFonts w:hint="eastAsia" w:ascii="黑体" w:hAnsi="黑体" w:eastAsia="黑体" w:cs="黑体"/>
          <w:color w:val="auto"/>
          <w:sz w:val="24"/>
          <w:szCs w:val="24"/>
          <w:highlight w:val="none"/>
        </w:rPr>
        <w:t>。</w:t>
      </w:r>
    </w:p>
    <w:p w14:paraId="1C36A49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 履约检查和问题反馈</w:t>
      </w:r>
    </w:p>
    <w:p w14:paraId="3039E51C">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pacing w:val="-5"/>
          <w:sz w:val="24"/>
          <w:szCs w:val="24"/>
          <w:highlight w:val="none"/>
        </w:rPr>
      </w:pPr>
      <w:r>
        <w:rPr>
          <w:rFonts w:hint="eastAsia" w:ascii="黑体" w:hAnsi="黑体" w:eastAsia="黑体" w:cs="黑体"/>
          <w:color w:val="auto"/>
          <w:spacing w:val="-2"/>
          <w:sz w:val="24"/>
          <w:szCs w:val="24"/>
          <w:highlight w:val="none"/>
        </w:rPr>
        <w:t>2.4.1甲方有权在其认为必要时，对乙方是否能够按照合同约定提供服务进行履约检查，以</w:t>
      </w:r>
      <w:r>
        <w:rPr>
          <w:rFonts w:hint="eastAsia" w:ascii="黑体" w:hAnsi="黑体" w:eastAsia="黑体" w:cs="黑体"/>
          <w:color w:val="auto"/>
          <w:spacing w:val="-1"/>
          <w:sz w:val="24"/>
          <w:szCs w:val="24"/>
          <w:highlight w:val="none"/>
        </w:rPr>
        <w:t>确保乙方所提供的服务能够依约满足甲方之项目需</w:t>
      </w:r>
      <w:r>
        <w:rPr>
          <w:rFonts w:hint="eastAsia" w:ascii="黑体" w:hAnsi="黑体" w:eastAsia="黑体" w:cs="黑体"/>
          <w:color w:val="auto"/>
          <w:spacing w:val="-2"/>
          <w:sz w:val="24"/>
          <w:szCs w:val="24"/>
          <w:highlight w:val="none"/>
        </w:rPr>
        <w:t>求，但不得因履约检查妨碍乙方的正常工作，</w:t>
      </w:r>
      <w:r>
        <w:rPr>
          <w:rFonts w:hint="eastAsia" w:ascii="黑体" w:hAnsi="黑体" w:eastAsia="黑体" w:cs="黑体"/>
          <w:color w:val="auto"/>
          <w:spacing w:val="-5"/>
          <w:sz w:val="24"/>
          <w:szCs w:val="24"/>
          <w:highlight w:val="none"/>
        </w:rPr>
        <w:t>乙方应予积极配合；</w:t>
      </w:r>
    </w:p>
    <w:p w14:paraId="5B365897">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21" w:firstLineChars="177"/>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2.4.2合同履行期间，甲方有权将履行过程中出现的问题反馈给乙方，双方当事人应以书面形式约定需要完善和改进的内容。</w:t>
      </w:r>
    </w:p>
    <w:p w14:paraId="35AE836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79" w:name="_Toc16750"/>
      <w:r>
        <w:rPr>
          <w:rFonts w:hint="eastAsia" w:ascii="黑体" w:hAnsi="黑体" w:eastAsia="黑体" w:cs="黑体"/>
          <w:color w:val="auto"/>
          <w:sz w:val="24"/>
          <w:szCs w:val="24"/>
          <w:highlight w:val="none"/>
        </w:rPr>
        <w:t>2.5 结算方式和付款条件</w:t>
      </w:r>
      <w:bookmarkEnd w:id="279"/>
    </w:p>
    <w:p w14:paraId="7691560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详见</w:t>
      </w:r>
      <w:r>
        <w:rPr>
          <w:rFonts w:hint="eastAsia" w:ascii="黑体" w:hAnsi="黑体" w:eastAsia="黑体" w:cs="黑体"/>
          <w:i/>
          <w:iCs/>
          <w:color w:val="auto"/>
          <w:sz w:val="25"/>
          <w:szCs w:val="25"/>
          <w:highlight w:val="none"/>
          <w:u w:val="single" w:color="000000"/>
        </w:rPr>
        <w:t>合同专用条款</w:t>
      </w:r>
      <w:r>
        <w:rPr>
          <w:rFonts w:hint="eastAsia" w:ascii="黑体" w:hAnsi="黑体" w:eastAsia="黑体" w:cs="黑体"/>
          <w:color w:val="auto"/>
          <w:sz w:val="24"/>
          <w:szCs w:val="24"/>
          <w:highlight w:val="none"/>
        </w:rPr>
        <w:t>。</w:t>
      </w:r>
    </w:p>
    <w:p w14:paraId="6809694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0" w:name="_Toc14252"/>
      <w:r>
        <w:rPr>
          <w:rFonts w:hint="eastAsia" w:ascii="黑体" w:hAnsi="黑体" w:eastAsia="黑体" w:cs="黑体"/>
          <w:color w:val="auto"/>
          <w:sz w:val="24"/>
          <w:szCs w:val="24"/>
          <w:highlight w:val="none"/>
        </w:rPr>
        <w:t>2.6 技术资料和保密义务</w:t>
      </w:r>
      <w:bookmarkEnd w:id="280"/>
    </w:p>
    <w:p w14:paraId="1DBC475D">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2.6.1 乙方有权依据合同约定和项目需要，向甲方了解有关情况，调阅有关资料等，甲方应予积极配合；</w:t>
      </w:r>
    </w:p>
    <w:p w14:paraId="0AF9D76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2.6.2</w:t>
      </w:r>
      <w:r>
        <w:rPr>
          <w:rFonts w:hint="eastAsia" w:ascii="黑体" w:hAnsi="黑体" w:eastAsia="黑体" w:cs="黑体"/>
          <w:color w:val="auto"/>
          <w:spacing w:val="55"/>
          <w:sz w:val="24"/>
          <w:szCs w:val="24"/>
          <w:highlight w:val="none"/>
        </w:rPr>
        <w:t xml:space="preserve"> </w:t>
      </w:r>
      <w:r>
        <w:rPr>
          <w:rFonts w:hint="eastAsia" w:ascii="黑体" w:hAnsi="黑体" w:eastAsia="黑体" w:cs="黑体"/>
          <w:color w:val="auto"/>
          <w:spacing w:val="-2"/>
          <w:sz w:val="24"/>
          <w:szCs w:val="24"/>
          <w:highlight w:val="none"/>
        </w:rPr>
        <w:t>乙方有义务妥善保管和保护由甲方提供的前款信息和资料等；</w:t>
      </w:r>
    </w:p>
    <w:p w14:paraId="58BC645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w:t>
      </w:r>
      <w:r>
        <w:rPr>
          <w:rFonts w:hint="eastAsia" w:ascii="黑体" w:hAnsi="黑体" w:eastAsia="黑体" w:cs="黑体"/>
          <w:color w:val="auto"/>
          <w:sz w:val="24"/>
          <w:szCs w:val="24"/>
          <w:highlight w:val="none"/>
        </w:rPr>
        <w:t>.6.3 除非依照法律规定或者对方当事人的书面同意，任何一方均应保证</w:t>
      </w:r>
      <w:r>
        <w:rPr>
          <w:rFonts w:hint="eastAsia" w:ascii="黑体" w:hAnsi="黑体" w:eastAsia="黑体" w:cs="黑体"/>
          <w:color w:val="auto"/>
          <w:spacing w:val="-1"/>
          <w:sz w:val="24"/>
          <w:szCs w:val="24"/>
          <w:highlight w:val="none"/>
        </w:rPr>
        <w:t>不向任何第三方</w:t>
      </w:r>
      <w:r>
        <w:rPr>
          <w:rFonts w:hint="eastAsia" w:ascii="黑体" w:hAnsi="黑体" w:eastAsia="黑体" w:cs="黑体"/>
          <w:color w:val="auto"/>
          <w:sz w:val="24"/>
          <w:szCs w:val="24"/>
          <w:highlight w:val="none"/>
        </w:rPr>
        <w:t>提 供或披露有关合同的或者履行合同过程中知悉的对方当事人任何未公开的信息和资料，包括但不限于技术情报、技术资料、商业秘密和商业信息等，并采取一切合理和必要措施和方式防止任何</w:t>
      </w:r>
      <w:r>
        <w:rPr>
          <w:rFonts w:hint="eastAsia" w:ascii="黑体" w:hAnsi="黑体" w:eastAsia="黑体" w:cs="黑体"/>
          <w:color w:val="auto"/>
          <w:spacing w:val="-1"/>
          <w:sz w:val="24"/>
          <w:szCs w:val="24"/>
          <w:highlight w:val="none"/>
        </w:rPr>
        <w:t>第三方接触到对方当事人的上述保密信息和资</w:t>
      </w:r>
      <w:r>
        <w:rPr>
          <w:rFonts w:hint="eastAsia" w:ascii="黑体" w:hAnsi="黑体" w:eastAsia="黑体" w:cs="黑体"/>
          <w:color w:val="auto"/>
          <w:spacing w:val="-2"/>
          <w:sz w:val="24"/>
          <w:szCs w:val="24"/>
          <w:highlight w:val="none"/>
        </w:rPr>
        <w:t>料。</w:t>
      </w:r>
    </w:p>
    <w:p w14:paraId="3EB330AE">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2.7 质量保证</w:t>
      </w:r>
    </w:p>
    <w:p w14:paraId="444A422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2.7.1 乙方应建立和完善履行合同的内部质量保证体系，并提供相关内部规章制度给甲方，以便甲方进行监督检查；</w:t>
      </w:r>
    </w:p>
    <w:p w14:paraId="167AC87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2.7.2 乙方应保证履行合同的人员数量和素质、软件和硬件设备的配置、场地、环境和设施等满足全面履行合同的要求，并应接受甲方的监督检查。</w:t>
      </w:r>
    </w:p>
    <w:p w14:paraId="39336E29">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2.8 延迟履行</w:t>
      </w:r>
    </w:p>
    <w:p w14:paraId="3493012D">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在合同履行过程中，如果乙方遇到不能按时提供服务的情况，应及时以书面形</w:t>
      </w:r>
      <w:r>
        <w:rPr>
          <w:rFonts w:hint="eastAsia" w:ascii="黑体" w:hAnsi="黑体" w:eastAsia="黑体" w:cs="黑体"/>
          <w:color w:val="auto"/>
          <w:spacing w:val="-1"/>
          <w:sz w:val="24"/>
          <w:szCs w:val="24"/>
          <w:highlight w:val="none"/>
        </w:rPr>
        <w:t>式将不能按时</w:t>
      </w:r>
      <w:r>
        <w:rPr>
          <w:rFonts w:hint="eastAsia" w:ascii="黑体" w:hAnsi="黑体" w:eastAsia="黑体" w:cs="黑体"/>
          <w:color w:val="auto"/>
          <w:sz w:val="24"/>
          <w:szCs w:val="24"/>
          <w:highlight w:val="none"/>
        </w:rPr>
        <w:t xml:space="preserve"> 提供服务的理由、预期延误时间通知甲方；甲方收到乙方通知后，认为其理由正当的</w:t>
      </w:r>
      <w:r>
        <w:rPr>
          <w:rFonts w:hint="eastAsia" w:ascii="黑体" w:hAnsi="黑体" w:eastAsia="黑体" w:cs="黑体"/>
          <w:color w:val="auto"/>
          <w:spacing w:val="-1"/>
          <w:sz w:val="24"/>
          <w:szCs w:val="24"/>
          <w:highlight w:val="none"/>
        </w:rPr>
        <w:t>，可以书面</w:t>
      </w:r>
    </w:p>
    <w:p w14:paraId="4C93211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形式酌情同意乙方可以延长履行的具体时间。</w:t>
      </w:r>
    </w:p>
    <w:p w14:paraId="04C2DD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1" w:name="_Toc6099"/>
      <w:r>
        <w:rPr>
          <w:rFonts w:hint="eastAsia" w:ascii="黑体" w:hAnsi="黑体" w:eastAsia="黑体" w:cs="黑体"/>
          <w:color w:val="auto"/>
          <w:spacing w:val="-1"/>
          <w:sz w:val="24"/>
          <w:szCs w:val="24"/>
          <w:highlight w:val="none"/>
        </w:rPr>
        <w:t>2.9 合同变更</w:t>
      </w:r>
      <w:bookmarkEnd w:id="281"/>
    </w:p>
    <w:p w14:paraId="4905DAC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2.9.1 双方当事人协商一致，可以签订书面补充合同的形式变更合同，</w:t>
      </w:r>
      <w:r>
        <w:rPr>
          <w:rFonts w:hint="eastAsia" w:ascii="黑体" w:hAnsi="黑体" w:eastAsia="黑体" w:cs="黑体"/>
          <w:color w:val="auto"/>
          <w:spacing w:val="-1"/>
          <w:sz w:val="24"/>
          <w:szCs w:val="24"/>
          <w:highlight w:val="none"/>
        </w:rPr>
        <w:t>但不得违背采购文件</w:t>
      </w:r>
      <w:r>
        <w:rPr>
          <w:rFonts w:hint="eastAsia" w:ascii="黑体" w:hAnsi="黑体" w:eastAsia="黑体" w:cs="黑体"/>
          <w:color w:val="auto"/>
          <w:sz w:val="24"/>
          <w:szCs w:val="24"/>
          <w:highlight w:val="none"/>
        </w:rPr>
        <w:t xml:space="preserve"> 确定的事项，且如果系追加与合同标的相同的服务的，那么所有补充合同的采购金额</w:t>
      </w:r>
      <w:r>
        <w:rPr>
          <w:rFonts w:hint="eastAsia" w:ascii="黑体" w:hAnsi="黑体" w:eastAsia="黑体" w:cs="黑体"/>
          <w:color w:val="auto"/>
          <w:spacing w:val="-1"/>
          <w:sz w:val="24"/>
          <w:szCs w:val="24"/>
          <w:highlight w:val="none"/>
        </w:rPr>
        <w:t>不得超过原</w:t>
      </w:r>
      <w:r>
        <w:rPr>
          <w:rFonts w:hint="eastAsia" w:ascii="黑体" w:hAnsi="黑体" w:eastAsia="黑体" w:cs="黑体"/>
          <w:color w:val="auto"/>
          <w:spacing w:val="-4"/>
          <w:sz w:val="24"/>
          <w:szCs w:val="24"/>
          <w:highlight w:val="none"/>
        </w:rPr>
        <w:t>合同价的</w:t>
      </w:r>
      <w:r>
        <w:rPr>
          <w:rFonts w:hint="eastAsia" w:ascii="黑体" w:hAnsi="黑体" w:eastAsia="黑体" w:cs="黑体"/>
          <w:color w:val="auto"/>
          <w:spacing w:val="-34"/>
          <w:sz w:val="24"/>
          <w:szCs w:val="24"/>
          <w:highlight w:val="none"/>
        </w:rPr>
        <w:t xml:space="preserve"> </w:t>
      </w:r>
      <w:r>
        <w:rPr>
          <w:rFonts w:hint="eastAsia" w:ascii="黑体" w:hAnsi="黑体" w:eastAsia="黑体" w:cs="黑体"/>
          <w:color w:val="auto"/>
          <w:spacing w:val="-4"/>
          <w:sz w:val="24"/>
          <w:szCs w:val="24"/>
          <w:highlight w:val="none"/>
        </w:rPr>
        <w:t>10%；</w:t>
      </w:r>
    </w:p>
    <w:p w14:paraId="252FC88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p>
    <w:p w14:paraId="7FE4153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2" w:name="_Toc2605"/>
      <w:r>
        <w:rPr>
          <w:rFonts w:hint="eastAsia" w:ascii="黑体" w:hAnsi="黑体" w:eastAsia="黑体" w:cs="黑体"/>
          <w:color w:val="auto"/>
          <w:sz w:val="24"/>
          <w:szCs w:val="24"/>
          <w:highlight w:val="none"/>
        </w:rPr>
        <w:t>2.10 合同转让和分包</w:t>
      </w:r>
      <w:bookmarkEnd w:id="282"/>
    </w:p>
    <w:p w14:paraId="66B40D2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合同的权利义务依法不得转让，但经甲方同意，乙方可以依法采取分包方式履</w:t>
      </w:r>
      <w:r>
        <w:rPr>
          <w:rFonts w:hint="eastAsia" w:ascii="黑体" w:hAnsi="黑体" w:eastAsia="黑体" w:cs="黑体"/>
          <w:color w:val="auto"/>
          <w:spacing w:val="-1"/>
          <w:sz w:val="24"/>
          <w:szCs w:val="24"/>
          <w:highlight w:val="none"/>
        </w:rPr>
        <w:t>行合同，即：</w:t>
      </w:r>
      <w:r>
        <w:rPr>
          <w:rFonts w:hint="eastAsia" w:ascii="黑体" w:hAnsi="黑体" w:eastAsia="黑体" w:cs="黑体"/>
          <w:color w:val="auto"/>
          <w:sz w:val="24"/>
          <w:szCs w:val="24"/>
          <w:highlight w:val="none"/>
        </w:rPr>
        <w:t xml:space="preserve"> 依法可以将合同项下的部分非主体、非关键性工作分包给他人完成，接受分包的人应当具备相应的资格条件，并不得再次分包，且乙方应就分包项目向甲方负责，并与分包供应商就分包项目向</w:t>
      </w:r>
      <w:r>
        <w:rPr>
          <w:rFonts w:hint="eastAsia" w:ascii="黑体" w:hAnsi="黑体" w:eastAsia="黑体" w:cs="黑体"/>
          <w:color w:val="auto"/>
          <w:spacing w:val="-5"/>
          <w:sz w:val="24"/>
          <w:szCs w:val="24"/>
          <w:highlight w:val="none"/>
        </w:rPr>
        <w:t>甲方承担连带责任。</w:t>
      </w:r>
    </w:p>
    <w:p w14:paraId="5D19AF06">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2.11 不可抗力</w:t>
      </w:r>
    </w:p>
    <w:p w14:paraId="6E3E827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2.11.1 如果任何一方遭遇法律规定的不可抗力，致使合同履行受阻时，履行合同的期限应予延长，延长的期限应相当于不可抗力所影响的时间；</w:t>
      </w:r>
    </w:p>
    <w:p w14:paraId="09D6EEC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2.11.2 因不可抗力致使不能实现合同目的的，当事人可以解除合同；</w:t>
      </w:r>
    </w:p>
    <w:p w14:paraId="70F140E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2.11.3 因不可抗力致使合同有变更必要的，双方当事人应在合同专用条款约定时间内以书面形式变更合同；</w:t>
      </w:r>
    </w:p>
    <w:p w14:paraId="578B9E1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2.11.4 受不可抗力影响的一方在不可抗力发生后，应在合同专用条款约定时间内以书面形式通知对方当事人，并在合同专用条款约定时间内，将有关部门出具的证明文件送达对方当事人。</w:t>
      </w:r>
    </w:p>
    <w:p w14:paraId="54594AA2">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2.12 税费</w:t>
      </w:r>
      <w:r>
        <w:rPr>
          <w:rFonts w:hint="eastAsia" w:ascii="黑体" w:hAnsi="黑体" w:eastAsia="黑体" w:cs="黑体"/>
          <w:color w:val="auto"/>
          <w:spacing w:val="-1"/>
          <w:sz w:val="24"/>
          <w:szCs w:val="24"/>
          <w:highlight w:val="none"/>
        </w:rPr>
        <w:t>与合同有关的一切税费，均按照中华人民共和国法律的相关规定缴纳。</w:t>
      </w:r>
    </w:p>
    <w:p w14:paraId="16AC7C8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3" w:name="_Toc10336"/>
      <w:r>
        <w:rPr>
          <w:rFonts w:hint="eastAsia" w:ascii="黑体" w:hAnsi="黑体" w:eastAsia="黑体" w:cs="黑体"/>
          <w:color w:val="auto"/>
          <w:spacing w:val="-6"/>
          <w:sz w:val="24"/>
          <w:szCs w:val="24"/>
          <w:highlight w:val="none"/>
        </w:rPr>
        <w:t>2.13</w:t>
      </w:r>
      <w:r>
        <w:rPr>
          <w:rFonts w:hint="eastAsia" w:ascii="黑体" w:hAnsi="黑体" w:eastAsia="黑体" w:cs="黑体"/>
          <w:color w:val="auto"/>
          <w:spacing w:val="46"/>
          <w:sz w:val="24"/>
          <w:szCs w:val="24"/>
          <w:highlight w:val="none"/>
        </w:rPr>
        <w:t xml:space="preserve"> </w:t>
      </w:r>
      <w:r>
        <w:rPr>
          <w:rFonts w:hint="eastAsia" w:ascii="黑体" w:hAnsi="黑体" w:eastAsia="黑体" w:cs="黑体"/>
          <w:color w:val="auto"/>
          <w:spacing w:val="-6"/>
          <w:sz w:val="24"/>
          <w:szCs w:val="24"/>
          <w:highlight w:val="none"/>
        </w:rPr>
        <w:t>乙方破产</w:t>
      </w:r>
      <w:bookmarkEnd w:id="283"/>
    </w:p>
    <w:p w14:paraId="704B68D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 xml:space="preserve">如果乙方破产导致合同无法履行时，甲方可以书面形式通知乙方终止合同且不给予乙方任何 </w:t>
      </w:r>
      <w:r>
        <w:rPr>
          <w:rFonts w:hint="eastAsia" w:ascii="黑体" w:hAnsi="黑体" w:eastAsia="黑体" w:cs="黑体"/>
          <w:color w:val="auto"/>
          <w:spacing w:val="-4"/>
          <w:sz w:val="24"/>
          <w:szCs w:val="24"/>
          <w:highlight w:val="none"/>
        </w:rPr>
        <w:t>补偿和赔偿，但合同的终止不损害或不影响甲方已经采取或将要采取的任何要求乙方支付违约金、</w:t>
      </w:r>
      <w:r>
        <w:rPr>
          <w:rFonts w:hint="eastAsia" w:ascii="黑体" w:hAnsi="黑体" w:eastAsia="黑体" w:cs="黑体"/>
          <w:color w:val="auto"/>
          <w:spacing w:val="-1"/>
          <w:sz w:val="24"/>
          <w:szCs w:val="24"/>
          <w:highlight w:val="none"/>
        </w:rPr>
        <w:t>赔偿损失等的行动或补救措施的权利。</w:t>
      </w:r>
    </w:p>
    <w:p w14:paraId="4894207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4" w:name="_Toc9460"/>
      <w:r>
        <w:rPr>
          <w:rFonts w:hint="eastAsia" w:ascii="黑体" w:hAnsi="黑体" w:eastAsia="黑体" w:cs="黑体"/>
          <w:color w:val="auto"/>
          <w:sz w:val="24"/>
          <w:szCs w:val="24"/>
          <w:highlight w:val="none"/>
        </w:rPr>
        <w:t>2.14 合同中止、终止</w:t>
      </w:r>
      <w:bookmarkEnd w:id="284"/>
    </w:p>
    <w:p w14:paraId="51A0AD0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2.14.1 双方当事人不得擅自中止或者终止合同；</w:t>
      </w:r>
    </w:p>
    <w:p w14:paraId="7E87629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1DAF4D0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5" w:name="_Toc17632"/>
      <w:r>
        <w:rPr>
          <w:rFonts w:hint="eastAsia" w:ascii="黑体" w:hAnsi="黑体" w:eastAsia="黑体" w:cs="黑体"/>
          <w:color w:val="auto"/>
          <w:sz w:val="24"/>
          <w:szCs w:val="24"/>
          <w:highlight w:val="none"/>
        </w:rPr>
        <w:t>2.15 检验和验收</w:t>
      </w:r>
      <w:bookmarkEnd w:id="285"/>
    </w:p>
    <w:p w14:paraId="5D7106D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2.15.1</w:t>
      </w:r>
      <w:r>
        <w:rPr>
          <w:rFonts w:hint="eastAsia" w:ascii="黑体" w:hAnsi="黑体" w:eastAsia="黑体" w:cs="黑体"/>
          <w:color w:val="auto"/>
          <w:spacing w:val="51"/>
          <w:sz w:val="24"/>
          <w:szCs w:val="24"/>
          <w:highlight w:val="none"/>
        </w:rPr>
        <w:t xml:space="preserve"> </w:t>
      </w:r>
      <w:r>
        <w:rPr>
          <w:rFonts w:hint="eastAsia" w:ascii="黑体" w:hAnsi="黑体" w:eastAsia="黑体" w:cs="黑体"/>
          <w:color w:val="auto"/>
          <w:spacing w:val="-4"/>
          <w:sz w:val="24"/>
          <w:szCs w:val="24"/>
          <w:highlight w:val="none"/>
        </w:rPr>
        <w:t>乙方按照</w:t>
      </w:r>
      <w:r>
        <w:rPr>
          <w:rFonts w:hint="eastAsia" w:ascii="黑体" w:hAnsi="黑体" w:eastAsia="黑体" w:cs="黑体"/>
          <w:i/>
          <w:iCs/>
          <w:color w:val="auto"/>
          <w:spacing w:val="-4"/>
          <w:sz w:val="25"/>
          <w:szCs w:val="25"/>
          <w:highlight w:val="none"/>
          <w:u w:val="single" w:color="000000"/>
        </w:rPr>
        <w:t>合同专用条款</w:t>
      </w:r>
      <w:r>
        <w:rPr>
          <w:rFonts w:hint="eastAsia" w:ascii="黑体" w:hAnsi="黑体" w:eastAsia="黑体" w:cs="黑体"/>
          <w:color w:val="auto"/>
          <w:spacing w:val="-4"/>
          <w:sz w:val="24"/>
          <w:szCs w:val="24"/>
          <w:highlight w:val="none"/>
        </w:rPr>
        <w:t>的约定，定期提交服务报告，甲方按照</w:t>
      </w:r>
      <w:r>
        <w:rPr>
          <w:rFonts w:hint="eastAsia" w:ascii="黑体" w:hAnsi="黑体" w:eastAsia="黑体" w:cs="黑体"/>
          <w:i/>
          <w:iCs/>
          <w:color w:val="auto"/>
          <w:spacing w:val="-4"/>
          <w:sz w:val="25"/>
          <w:szCs w:val="25"/>
          <w:highlight w:val="none"/>
          <w:u w:val="single" w:color="000000"/>
        </w:rPr>
        <w:t>合同专用条款</w:t>
      </w:r>
      <w:r>
        <w:rPr>
          <w:rFonts w:hint="eastAsia" w:ascii="黑体" w:hAnsi="黑体" w:eastAsia="黑体" w:cs="黑体"/>
          <w:color w:val="auto"/>
          <w:spacing w:val="-4"/>
          <w:sz w:val="24"/>
          <w:szCs w:val="24"/>
          <w:highlight w:val="none"/>
        </w:rPr>
        <w:t>的约定</w:t>
      </w:r>
      <w:r>
        <w:rPr>
          <w:rFonts w:hint="eastAsia" w:ascii="黑体" w:hAnsi="黑体" w:eastAsia="黑体" w:cs="黑体"/>
          <w:color w:val="auto"/>
          <w:spacing w:val="-1"/>
          <w:sz w:val="24"/>
          <w:szCs w:val="24"/>
          <w:highlight w:val="none"/>
        </w:rPr>
        <w:t>进行定期验收；</w:t>
      </w:r>
    </w:p>
    <w:p w14:paraId="70F1BD5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3" w:firstLineChars="181"/>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2.15.2 合同期满或者履行完毕后，甲方有权组织（包括依法邀请国家认可的质量检测机构参</w:t>
      </w:r>
      <w:r>
        <w:rPr>
          <w:rFonts w:hint="eastAsia" w:ascii="黑体" w:hAnsi="黑体" w:eastAsia="黑体" w:cs="黑体"/>
          <w:color w:val="auto"/>
          <w:spacing w:val="3"/>
          <w:sz w:val="24"/>
          <w:szCs w:val="24"/>
          <w:highlight w:val="none"/>
        </w:rPr>
        <w:t xml:space="preserve"> </w:t>
      </w:r>
      <w:r>
        <w:rPr>
          <w:rFonts w:hint="eastAsia" w:ascii="黑体" w:hAnsi="黑体" w:eastAsia="黑体" w:cs="黑体"/>
          <w:color w:val="auto"/>
          <w:spacing w:val="-4"/>
          <w:sz w:val="24"/>
          <w:szCs w:val="24"/>
          <w:highlight w:val="none"/>
        </w:rPr>
        <w:t>加）对乙方履约的验收，即：按照合同约定的标准，组织对乙方履约情况的验收，并出具验收书；</w:t>
      </w:r>
      <w:r>
        <w:rPr>
          <w:rFonts w:hint="eastAsia" w:ascii="黑体" w:hAnsi="黑体" w:eastAsia="黑体" w:cs="黑体"/>
          <w:color w:val="auto"/>
          <w:sz w:val="24"/>
          <w:szCs w:val="24"/>
          <w:highlight w:val="none"/>
        </w:rPr>
        <w:t xml:space="preserve"> 向社会公众提供的公共服务项目，验收时应当邀请服务对象参与并出具意见，验收结</w:t>
      </w:r>
      <w:r>
        <w:rPr>
          <w:rFonts w:hint="eastAsia" w:ascii="黑体" w:hAnsi="黑体" w:eastAsia="黑体" w:cs="黑体"/>
          <w:color w:val="auto"/>
          <w:spacing w:val="-1"/>
          <w:sz w:val="24"/>
          <w:szCs w:val="24"/>
          <w:highlight w:val="none"/>
        </w:rPr>
        <w:t>果应当向社会公告；</w:t>
      </w:r>
    </w:p>
    <w:p w14:paraId="23B35C2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4" w:firstLineChars="181"/>
        <w:rPr>
          <w:rFonts w:hint="eastAsia" w:ascii="黑体" w:hAnsi="黑体" w:eastAsia="黑体" w:cs="黑体"/>
          <w:color w:val="auto"/>
          <w:sz w:val="25"/>
          <w:szCs w:val="25"/>
          <w:highlight w:val="none"/>
        </w:rPr>
      </w:pPr>
      <w:r>
        <w:rPr>
          <w:rFonts w:hint="eastAsia" w:ascii="黑体" w:hAnsi="黑体" w:eastAsia="黑体" w:cs="黑体"/>
          <w:color w:val="auto"/>
          <w:sz w:val="24"/>
          <w:szCs w:val="24"/>
          <w:highlight w:val="none"/>
        </w:rPr>
        <w:t>2.15.3 检验和验收标准、程序等具体内容以及前述验收书的效力详见</w:t>
      </w:r>
      <w:r>
        <w:rPr>
          <w:rFonts w:hint="eastAsia" w:ascii="黑体" w:hAnsi="黑体" w:eastAsia="黑体" w:cs="黑体"/>
          <w:i/>
          <w:iCs/>
          <w:color w:val="auto"/>
          <w:sz w:val="25"/>
          <w:szCs w:val="25"/>
          <w:highlight w:val="none"/>
          <w:u w:val="single" w:color="000000"/>
        </w:rPr>
        <w:t>合同专用条款</w:t>
      </w:r>
      <w:r>
        <w:rPr>
          <w:rFonts w:hint="eastAsia" w:ascii="黑体" w:hAnsi="黑体" w:eastAsia="黑体" w:cs="黑体"/>
          <w:i/>
          <w:iCs/>
          <w:color w:val="auto"/>
          <w:sz w:val="25"/>
          <w:szCs w:val="25"/>
          <w:highlight w:val="none"/>
        </w:rPr>
        <w:t>。</w:t>
      </w:r>
    </w:p>
    <w:p w14:paraId="78B4A98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6" w:name="_Toc4753"/>
      <w:r>
        <w:rPr>
          <w:rFonts w:hint="eastAsia" w:ascii="黑体" w:hAnsi="黑体" w:eastAsia="黑体" w:cs="黑体"/>
          <w:color w:val="auto"/>
          <w:sz w:val="24"/>
          <w:szCs w:val="24"/>
          <w:highlight w:val="none"/>
        </w:rPr>
        <w:t>2.16 通知和送达</w:t>
      </w:r>
      <w:bookmarkEnd w:id="286"/>
    </w:p>
    <w:p w14:paraId="09906FB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pacing w:val="-2"/>
          <w:sz w:val="24"/>
          <w:szCs w:val="24"/>
          <w:highlight w:val="none"/>
        </w:rPr>
      </w:pPr>
      <w:r>
        <w:rPr>
          <w:rFonts w:hint="eastAsia" w:ascii="黑体" w:hAnsi="黑体" w:eastAsia="黑体" w:cs="黑体"/>
          <w:color w:val="auto"/>
          <w:sz w:val="24"/>
          <w:szCs w:val="24"/>
          <w:highlight w:val="none"/>
        </w:rPr>
        <w:t>2.16.1 任何一方因履行合同而以合同第一部分尾部所列明的</w:t>
      </w:r>
      <w:r>
        <w:rPr>
          <w:rFonts w:hint="eastAsia" w:ascii="黑体" w:hAnsi="黑体" w:eastAsia="黑体" w:cs="黑体"/>
          <w:color w:val="auto"/>
          <w:sz w:val="24"/>
          <w:szCs w:val="24"/>
          <w:highlight w:val="none"/>
          <w:u w:val="single" w:color="auto"/>
          <w:lang w:eastAsia="zh-CN"/>
        </w:rPr>
        <w:t>采购人所在地人民法院</w:t>
      </w:r>
      <w:r>
        <w:rPr>
          <w:rFonts w:hint="eastAsia" w:ascii="黑体" w:hAnsi="黑体" w:eastAsia="黑体" w:cs="黑体"/>
          <w:color w:val="auto"/>
          <w:spacing w:val="-1"/>
          <w:sz w:val="24"/>
          <w:szCs w:val="24"/>
          <w:highlight w:val="none"/>
          <w:u w:val="single" w:color="auto"/>
        </w:rPr>
        <w:t>人民法院</w:t>
      </w:r>
      <w:r>
        <w:rPr>
          <w:rFonts w:hint="eastAsia" w:ascii="黑体" w:hAnsi="黑体" w:eastAsia="黑体" w:cs="黑体"/>
          <w:color w:val="auto"/>
          <w:spacing w:val="-1"/>
          <w:sz w:val="24"/>
          <w:szCs w:val="24"/>
          <w:highlight w:val="none"/>
        </w:rPr>
        <w:t>发出的所</w:t>
      </w:r>
      <w:r>
        <w:rPr>
          <w:rFonts w:hint="eastAsia" w:ascii="黑体" w:hAnsi="黑体" w:eastAsia="黑体" w:cs="黑体"/>
          <w:color w:val="auto"/>
          <w:sz w:val="24"/>
          <w:szCs w:val="24"/>
          <w:highlight w:val="none"/>
        </w:rPr>
        <w:t>有通知、文件、材料，均视为已向对方当事人送达；任何一方变更上述送达方式</w:t>
      </w:r>
      <w:r>
        <w:rPr>
          <w:rFonts w:hint="eastAsia" w:ascii="黑体" w:hAnsi="黑体" w:eastAsia="黑体" w:cs="黑体"/>
          <w:color w:val="auto"/>
          <w:spacing w:val="-1"/>
          <w:sz w:val="24"/>
          <w:szCs w:val="24"/>
          <w:highlight w:val="none"/>
        </w:rPr>
        <w:t>或者地址的，应</w:t>
      </w:r>
      <w:bookmarkStart w:id="287" w:name="bookmark9"/>
      <w:bookmarkEnd w:id="287"/>
      <w:r>
        <w:rPr>
          <w:rFonts w:hint="eastAsia" w:ascii="黑体" w:hAnsi="黑体" w:eastAsia="黑体" w:cs="黑体"/>
          <w:color w:val="auto"/>
          <w:spacing w:val="-1"/>
          <w:sz w:val="24"/>
          <w:szCs w:val="24"/>
          <w:highlight w:val="none"/>
        </w:rPr>
        <w:t>于</w:t>
      </w:r>
      <w:r>
        <w:rPr>
          <w:rFonts w:hint="eastAsia" w:ascii="黑体" w:hAnsi="黑体" w:eastAsia="黑体" w:cs="黑体"/>
          <w:color w:val="auto"/>
          <w:spacing w:val="-45"/>
          <w:sz w:val="24"/>
          <w:szCs w:val="24"/>
          <w:highlight w:val="none"/>
        </w:rPr>
        <w:t xml:space="preserve"> </w:t>
      </w:r>
      <w:r>
        <w:rPr>
          <w:rFonts w:hint="eastAsia" w:ascii="黑体" w:hAnsi="黑体" w:eastAsia="黑体" w:cs="黑体"/>
          <w:color w:val="auto"/>
          <w:spacing w:val="-1"/>
          <w:sz w:val="24"/>
          <w:szCs w:val="24"/>
          <w:highlight w:val="none"/>
          <w:u w:val="single" w:color="auto"/>
        </w:rPr>
        <w:t>3</w:t>
      </w:r>
      <w:r>
        <w:rPr>
          <w:rFonts w:hint="eastAsia" w:ascii="黑体" w:hAnsi="黑体" w:eastAsia="黑体" w:cs="黑体"/>
          <w:color w:val="auto"/>
          <w:spacing w:val="-55"/>
          <w:sz w:val="24"/>
          <w:szCs w:val="24"/>
          <w:highlight w:val="none"/>
          <w:u w:val="single" w:color="auto"/>
        </w:rPr>
        <w:t xml:space="preserve"> </w:t>
      </w:r>
      <w:r>
        <w:rPr>
          <w:rFonts w:hint="eastAsia" w:ascii="黑体" w:hAnsi="黑体" w:eastAsia="黑体" w:cs="黑体"/>
          <w:color w:val="auto"/>
          <w:spacing w:val="-1"/>
          <w:sz w:val="24"/>
          <w:szCs w:val="24"/>
          <w:highlight w:val="none"/>
        </w:rPr>
        <w:t>个工作日内书面通知对方当事人，在对方当事人收到有关变更通知之前，变更前的约定送达</w:t>
      </w:r>
      <w:r>
        <w:rPr>
          <w:rFonts w:hint="eastAsia" w:ascii="黑体" w:hAnsi="黑体" w:eastAsia="黑体" w:cs="黑体"/>
          <w:color w:val="auto"/>
          <w:spacing w:val="-2"/>
          <w:sz w:val="24"/>
          <w:szCs w:val="24"/>
          <w:highlight w:val="none"/>
        </w:rPr>
        <w:t>方式或者地址仍视为有效。</w:t>
      </w:r>
    </w:p>
    <w:p w14:paraId="5C918F8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9" w:firstLineChars="175"/>
        <w:rPr>
          <w:rFonts w:hint="eastAsia" w:ascii="黑体" w:hAnsi="黑体" w:eastAsia="黑体" w:cs="黑体"/>
          <w:color w:val="auto"/>
          <w:spacing w:val="-2"/>
          <w:sz w:val="24"/>
          <w:szCs w:val="24"/>
          <w:highlight w:val="none"/>
        </w:rPr>
      </w:pPr>
      <w:r>
        <w:rPr>
          <w:rFonts w:hint="eastAsia" w:ascii="黑体" w:hAnsi="黑体" w:eastAsia="黑体" w:cs="黑体"/>
          <w:color w:val="auto"/>
          <w:spacing w:val="-3"/>
          <w:sz w:val="24"/>
          <w:szCs w:val="24"/>
          <w:highlight w:val="none"/>
        </w:rPr>
        <w:t>2.16.2 以当面交付方式送达的，交付之时视为送达；以电子邮件方式送达的，发出电子邮件</w:t>
      </w:r>
      <w:r>
        <w:rPr>
          <w:rFonts w:hint="eastAsia" w:ascii="黑体" w:hAnsi="黑体" w:eastAsia="黑体" w:cs="黑体"/>
          <w:color w:val="auto"/>
          <w:spacing w:val="3"/>
          <w:sz w:val="24"/>
          <w:szCs w:val="24"/>
          <w:highlight w:val="none"/>
        </w:rPr>
        <w:t xml:space="preserve"> </w:t>
      </w:r>
      <w:r>
        <w:rPr>
          <w:rFonts w:hint="eastAsia" w:ascii="黑体" w:hAnsi="黑体" w:eastAsia="黑体" w:cs="黑体"/>
          <w:color w:val="auto"/>
          <w:sz w:val="24"/>
          <w:szCs w:val="24"/>
          <w:highlight w:val="none"/>
        </w:rPr>
        <w:t>之时视为送达；以传真方式送达的，发出传真之时视为送达；以邮寄</w:t>
      </w:r>
      <w:r>
        <w:rPr>
          <w:rFonts w:hint="eastAsia" w:ascii="黑体" w:hAnsi="黑体" w:eastAsia="黑体" w:cs="黑体"/>
          <w:color w:val="auto"/>
          <w:spacing w:val="-1"/>
          <w:sz w:val="24"/>
          <w:szCs w:val="24"/>
          <w:highlight w:val="none"/>
        </w:rPr>
        <w:t>方式送达的，邮件挂号寄出</w:t>
      </w:r>
      <w:r>
        <w:rPr>
          <w:rFonts w:hint="eastAsia" w:ascii="黑体" w:hAnsi="黑体" w:eastAsia="黑体" w:cs="黑体"/>
          <w:color w:val="auto"/>
          <w:spacing w:val="-2"/>
          <w:sz w:val="24"/>
          <w:szCs w:val="24"/>
          <w:highlight w:val="none"/>
        </w:rPr>
        <w:t>或者交邮之日之次日视为送达。</w:t>
      </w:r>
    </w:p>
    <w:p w14:paraId="2663D083">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2.17 合同使用的文字和适用的法律</w:t>
      </w:r>
    </w:p>
    <w:p w14:paraId="29D6EAA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2.17.1 合同使用汉语书就、变更和解释；</w:t>
      </w:r>
    </w:p>
    <w:p w14:paraId="43760D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highlight w:val="none"/>
        </w:rPr>
      </w:pPr>
      <w:r>
        <w:rPr>
          <w:rFonts w:hint="eastAsia" w:ascii="黑体" w:hAnsi="黑体" w:eastAsia="黑体" w:cs="黑体"/>
          <w:color w:val="auto"/>
          <w:spacing w:val="-1"/>
          <w:sz w:val="24"/>
          <w:szCs w:val="24"/>
          <w:highlight w:val="none"/>
        </w:rPr>
        <w:t>2.17.2 合同适用中华人民共和国法律。</w:t>
      </w:r>
    </w:p>
    <w:p w14:paraId="28C3551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highlight w:val="none"/>
        </w:rPr>
      </w:pPr>
      <w:bookmarkStart w:id="288" w:name="_Toc5582"/>
      <w:r>
        <w:rPr>
          <w:rFonts w:hint="eastAsia" w:ascii="黑体" w:hAnsi="黑体" w:eastAsia="黑体" w:cs="黑体"/>
          <w:color w:val="auto"/>
          <w:sz w:val="24"/>
          <w:szCs w:val="24"/>
          <w:highlight w:val="none"/>
        </w:rPr>
        <w:t>2.18 履约保证金</w:t>
      </w:r>
      <w:bookmarkEnd w:id="288"/>
    </w:p>
    <w:p w14:paraId="0DC32CD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jc w:val="both"/>
        <w:rPr>
          <w:rFonts w:hint="eastAsia" w:ascii="黑体" w:hAnsi="黑体" w:eastAsia="黑体" w:cs="黑体"/>
          <w:color w:val="auto"/>
          <w:sz w:val="24"/>
          <w:szCs w:val="24"/>
          <w:highlight w:val="none"/>
        </w:rPr>
      </w:pPr>
      <w:r>
        <w:rPr>
          <w:rFonts w:hint="eastAsia" w:ascii="黑体" w:hAnsi="黑体" w:eastAsia="黑体" w:cs="黑体"/>
          <w:color w:val="auto"/>
          <w:spacing w:val="-2"/>
          <w:sz w:val="24"/>
          <w:szCs w:val="24"/>
          <w:highlight w:val="none"/>
        </w:rPr>
        <w:t>2.18.1采购文件要求乙方提交履约保证金的</w:t>
      </w:r>
      <w:r>
        <w:rPr>
          <w:rFonts w:hint="eastAsia" w:ascii="黑体" w:hAnsi="黑体" w:eastAsia="黑体" w:cs="黑体"/>
          <w:color w:val="auto"/>
          <w:spacing w:val="-3"/>
          <w:sz w:val="24"/>
          <w:szCs w:val="24"/>
          <w:highlight w:val="none"/>
        </w:rPr>
        <w:t>，乙方应按</w:t>
      </w:r>
      <w:r>
        <w:rPr>
          <w:rFonts w:hint="eastAsia" w:ascii="黑体" w:hAnsi="黑体" w:eastAsia="黑体" w:cs="黑体"/>
          <w:i/>
          <w:iCs/>
          <w:color w:val="auto"/>
          <w:spacing w:val="-3"/>
          <w:sz w:val="25"/>
          <w:szCs w:val="25"/>
          <w:highlight w:val="none"/>
          <w:u w:val="single" w:color="000000"/>
        </w:rPr>
        <w:t>合同专用条款</w:t>
      </w:r>
      <w:r>
        <w:rPr>
          <w:rFonts w:hint="eastAsia" w:ascii="黑体" w:hAnsi="黑体" w:eastAsia="黑体" w:cs="黑体"/>
          <w:color w:val="auto"/>
          <w:spacing w:val="-3"/>
          <w:sz w:val="24"/>
          <w:szCs w:val="24"/>
          <w:highlight w:val="none"/>
        </w:rPr>
        <w:t>约定的方式，以支票、</w:t>
      </w:r>
      <w:r>
        <w:rPr>
          <w:rFonts w:hint="eastAsia" w:ascii="黑体" w:hAnsi="黑体" w:eastAsia="黑体" w:cs="黑体"/>
          <w:color w:val="auto"/>
          <w:spacing w:val="-2"/>
          <w:sz w:val="24"/>
          <w:szCs w:val="24"/>
          <w:highlight w:val="none"/>
        </w:rPr>
        <w:t>汇票、本票或者金融机构、担保机构出具的保函等非现金形式，提交合同总价的</w:t>
      </w:r>
      <w:r>
        <w:rPr>
          <w:rFonts w:hint="eastAsia" w:ascii="黑体" w:hAnsi="黑体" w:eastAsia="黑体" w:cs="黑体"/>
          <w:color w:val="auto"/>
          <w:spacing w:val="-2"/>
          <w:sz w:val="24"/>
          <w:szCs w:val="24"/>
          <w:highlight w:val="none"/>
          <w:u w:val="single" w:color="auto"/>
          <w:lang w:val="en-US" w:eastAsia="zh-CN"/>
        </w:rPr>
        <w:t>5</w:t>
      </w:r>
      <w:r>
        <w:rPr>
          <w:rFonts w:hint="eastAsia" w:ascii="黑体" w:hAnsi="黑体" w:eastAsia="黑体" w:cs="黑体"/>
          <w:color w:val="auto"/>
          <w:spacing w:val="-2"/>
          <w:sz w:val="24"/>
          <w:szCs w:val="24"/>
          <w:highlight w:val="none"/>
          <w:u w:val="single" w:color="auto"/>
        </w:rPr>
        <w:t>%</w:t>
      </w:r>
      <w:r>
        <w:rPr>
          <w:rFonts w:hint="eastAsia" w:ascii="黑体" w:hAnsi="黑体" w:eastAsia="黑体" w:cs="黑体"/>
          <w:color w:val="auto"/>
          <w:spacing w:val="-2"/>
          <w:sz w:val="24"/>
          <w:szCs w:val="24"/>
          <w:highlight w:val="none"/>
        </w:rPr>
        <w:t>作</w:t>
      </w:r>
      <w:r>
        <w:rPr>
          <w:rFonts w:hint="eastAsia" w:ascii="黑体" w:hAnsi="黑体" w:eastAsia="黑体" w:cs="黑体"/>
          <w:color w:val="auto"/>
          <w:spacing w:val="-3"/>
          <w:sz w:val="24"/>
          <w:szCs w:val="24"/>
          <w:highlight w:val="none"/>
        </w:rPr>
        <w:t>为履约</w:t>
      </w:r>
      <w:r>
        <w:rPr>
          <w:rFonts w:hint="eastAsia" w:ascii="黑体" w:hAnsi="黑体" w:eastAsia="黑体" w:cs="黑体"/>
          <w:color w:val="auto"/>
          <w:spacing w:val="-1"/>
          <w:sz w:val="24"/>
          <w:szCs w:val="24"/>
          <w:highlight w:val="none"/>
        </w:rPr>
        <w:t>保证金；</w:t>
      </w:r>
    </w:p>
    <w:p w14:paraId="566DE4B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0" w:firstLineChars="177"/>
        <w:jc w:val="both"/>
        <w:rPr>
          <w:rFonts w:hint="eastAsia" w:ascii="黑体" w:hAnsi="黑体" w:eastAsia="黑体" w:cs="黑体"/>
          <w:color w:val="auto"/>
          <w:spacing w:val="-2"/>
          <w:sz w:val="24"/>
          <w:szCs w:val="24"/>
          <w:highlight w:val="none"/>
        </w:rPr>
      </w:pPr>
      <w:r>
        <w:rPr>
          <w:rFonts w:hint="eastAsia" w:ascii="黑体" w:hAnsi="黑体" w:eastAsia="黑体" w:cs="黑体"/>
          <w:color w:val="auto"/>
          <w:spacing w:val="-7"/>
          <w:sz w:val="24"/>
          <w:szCs w:val="24"/>
          <w:highlight w:val="none"/>
        </w:rPr>
        <w:t>2.18.2如果乙方不履行合同，履约保证金不予退还；如果乙方未能按合同约定全面履行义务，</w:t>
      </w:r>
      <w:r>
        <w:rPr>
          <w:rFonts w:hint="eastAsia" w:ascii="黑体" w:hAnsi="黑体" w:eastAsia="黑体" w:cs="黑体"/>
          <w:color w:val="auto"/>
          <w:sz w:val="24"/>
          <w:szCs w:val="24"/>
          <w:highlight w:val="none"/>
        </w:rPr>
        <w:t>那么甲方有权从履约保证金中取得补偿或赔偿，同时不影响甲方要求乙方承</w:t>
      </w:r>
      <w:r>
        <w:rPr>
          <w:rFonts w:hint="eastAsia" w:ascii="黑体" w:hAnsi="黑体" w:eastAsia="黑体" w:cs="黑体"/>
          <w:color w:val="auto"/>
          <w:spacing w:val="-1"/>
          <w:sz w:val="24"/>
          <w:szCs w:val="24"/>
          <w:highlight w:val="none"/>
        </w:rPr>
        <w:t>担合同约定的超过履</w:t>
      </w:r>
      <w:r>
        <w:rPr>
          <w:rFonts w:hint="eastAsia" w:ascii="黑体" w:hAnsi="黑体" w:eastAsia="黑体" w:cs="黑体"/>
          <w:color w:val="auto"/>
          <w:spacing w:val="-2"/>
          <w:sz w:val="24"/>
          <w:szCs w:val="24"/>
          <w:highlight w:val="none"/>
        </w:rPr>
        <w:t>约保证金的违约责任的权利。</w:t>
      </w:r>
    </w:p>
    <w:p w14:paraId="50B84CE8">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pacing w:val="-1"/>
          <w:sz w:val="24"/>
          <w:szCs w:val="24"/>
          <w:highlight w:val="none"/>
        </w:rPr>
      </w:pPr>
      <w:r>
        <w:rPr>
          <w:rFonts w:hint="eastAsia" w:ascii="黑体" w:hAnsi="黑体" w:eastAsia="黑体" w:cs="黑体"/>
          <w:color w:val="auto"/>
          <w:spacing w:val="-1"/>
          <w:sz w:val="24"/>
          <w:szCs w:val="24"/>
          <w:highlight w:val="none"/>
        </w:rPr>
        <w:t>2.19 合同份数</w:t>
      </w:r>
    </w:p>
    <w:p w14:paraId="3A69987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jc w:val="both"/>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合同份数按</w:t>
      </w:r>
      <w:r>
        <w:rPr>
          <w:rFonts w:hint="eastAsia" w:ascii="黑体" w:hAnsi="黑体" w:eastAsia="黑体" w:cs="黑体"/>
          <w:i/>
          <w:iCs/>
          <w:color w:val="auto"/>
          <w:spacing w:val="-3"/>
          <w:sz w:val="25"/>
          <w:szCs w:val="25"/>
          <w:highlight w:val="none"/>
          <w:u w:val="single" w:color="000000"/>
        </w:rPr>
        <w:t>合同专用条款</w:t>
      </w:r>
      <w:r>
        <w:rPr>
          <w:rFonts w:hint="eastAsia" w:ascii="黑体" w:hAnsi="黑体" w:eastAsia="黑体" w:cs="黑体"/>
          <w:color w:val="auto"/>
          <w:spacing w:val="-3"/>
          <w:sz w:val="24"/>
          <w:szCs w:val="24"/>
          <w:highlight w:val="none"/>
        </w:rPr>
        <w:t>规定，每份均具有同等法律效力。</w:t>
      </w:r>
    </w:p>
    <w:p w14:paraId="30D28D98">
      <w:pPr>
        <w:pStyle w:val="7"/>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5"/>
        <w:textAlignment w:val="auto"/>
        <w:rPr>
          <w:rFonts w:hint="eastAsia" w:ascii="黑体" w:hAnsi="黑体" w:eastAsia="黑体" w:cs="黑体"/>
          <w:i w:val="0"/>
          <w:iCs w:val="0"/>
          <w:color w:val="auto"/>
          <w:sz w:val="28"/>
          <w:highlight w:val="none"/>
        </w:rPr>
      </w:pPr>
      <w:r>
        <w:rPr>
          <w:rFonts w:hint="eastAsia" w:ascii="黑体" w:hAnsi="黑体" w:eastAsia="黑体" w:cs="黑体"/>
          <w:b/>
          <w:color w:val="auto"/>
          <w:sz w:val="24"/>
          <w:highlight w:val="none"/>
        </w:rPr>
        <w:t>备注：最终签订合同以与甲方签订合同为准。</w:t>
      </w:r>
    </w:p>
    <w:p w14:paraId="6E366AFC">
      <w:pPr>
        <w:tabs>
          <w:tab w:val="left" w:pos="940"/>
        </w:tabs>
        <w:bidi w:val="0"/>
        <w:jc w:val="left"/>
        <w:rPr>
          <w:rFonts w:hint="eastAsia" w:ascii="宋体" w:hAnsi="宋体" w:eastAsia="宋体" w:cs="宋体"/>
          <w:color w:val="auto"/>
          <w:highlight w:val="none"/>
          <w:lang w:eastAsia="zh-CN"/>
        </w:rPr>
      </w:pPr>
    </w:p>
    <w:p w14:paraId="269E4EAA">
      <w:pPr>
        <w:keepNext w:val="0"/>
        <w:keepLines w:val="0"/>
        <w:pageBreakBefore w:val="0"/>
        <w:widowControl/>
        <w:kinsoku/>
        <w:wordWrap w:val="0"/>
        <w:overflowPunct/>
        <w:topLinePunct w:val="0"/>
        <w:bidi w:val="0"/>
        <w:ind w:left="0" w:leftChars="0" w:right="0"/>
        <w:rPr>
          <w:rFonts w:hint="eastAsia" w:ascii="黑体" w:hAnsi="黑体" w:eastAsia="黑体" w:cs="黑体"/>
          <w:color w:val="auto"/>
          <w:sz w:val="21"/>
          <w:highlight w:val="none"/>
        </w:rPr>
      </w:pPr>
    </w:p>
    <w:sectPr>
      <w:headerReference r:id="rId28" w:type="default"/>
      <w:footerReference r:id="rId29" w:type="default"/>
      <w:pgSz w:w="11907" w:h="16840"/>
      <w:pgMar w:top="1474" w:right="1250" w:bottom="1474" w:left="1417" w:header="283" w:footer="850" w:gutter="0"/>
      <w:pgBorders>
        <w:top w:val="none" w:sz="0" w:space="0"/>
        <w:left w:val="none" w:sz="0" w:space="0"/>
        <w:bottom w:val="none" w:sz="0" w:space="0"/>
        <w:right w:val="none" w:sz="0" w:space="0"/>
      </w:pgBorders>
      <w:pgNumType w:fmt="decimal"/>
      <w:cols w:space="720" w:num="1"/>
      <w:docGrid w:linePitch="462"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gCcmHKC"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A0BB">
    <w:pPr>
      <w:spacing w:line="209" w:lineRule="auto"/>
      <w:ind w:left="3505"/>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0133">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A05">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19C4A05">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AEBC">
    <w:pPr>
      <w:pStyle w:val="10"/>
      <w:spacing w:line="179" w:lineRule="auto"/>
      <w:ind w:left="4085"/>
      <w:rPr>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E5CB">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E69E5CB">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A94B">
    <w:pPr>
      <w:pStyle w:val="10"/>
      <w:spacing w:line="179" w:lineRule="auto"/>
      <w:ind w:left="4114"/>
      <w:rPr>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AF74">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9E3AF74">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5A7A">
    <w:pPr>
      <w:pStyle w:val="10"/>
      <w:spacing w:line="179" w:lineRule="auto"/>
      <w:ind w:left="4475"/>
      <w:rPr>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2C14A">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E92C14A">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42DE">
    <w:pPr>
      <w:pStyle w:val="1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BFDA6">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07BFDA6">
                    <w:pPr>
                      <w:pStyle w:val="13"/>
                    </w:pPr>
                    <w:r>
                      <w:fldChar w:fldCharType="begin"/>
                    </w:r>
                    <w:r>
                      <w:instrText xml:space="preserve"> PAGE  \* MERGEFORMAT </w:instrText>
                    </w:r>
                    <w:r>
                      <w:fldChar w:fldCharType="separate"/>
                    </w:r>
                    <w:r>
                      <w:t>65</w:t>
                    </w:r>
                    <w:r>
                      <w:fldChar w:fldCharType="end"/>
                    </w:r>
                  </w:p>
                </w:txbxContent>
              </v:textbox>
            </v:shape>
          </w:pict>
        </mc:Fallback>
      </mc:AlternateContent>
    </w:r>
  </w:p>
  <w:p w14:paraId="058AEC4F">
    <w:pPr>
      <w:pStyle w:val="13"/>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4828">
    <w:pPr>
      <w:pStyle w:val="1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CD9A">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525D">
    <w:pPr>
      <w:spacing w:line="168" w:lineRule="auto"/>
      <w:ind w:left="494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F4BC5">
                          <w:pPr>
                            <w:pStyle w:val="13"/>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Gzco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nGzcoBAACbAwAADgAAAAAAAAABACAAAAAeAQAAZHJzL2Uyb0Rv&#10;Yy54bWxQSwUGAAAAAAYABgBZAQAAWgUAAAAA&#10;">
              <v:fill on="f" focussize="0,0"/>
              <v:stroke on="f"/>
              <v:imagedata o:title=""/>
              <o:lock v:ext="edit" aspectratio="f"/>
              <v:textbox inset="0mm,0mm,0mm,0mm" style="mso-fit-shape-to-text:t;">
                <w:txbxContent>
                  <w:p w14:paraId="02CF4BC5">
                    <w:pPr>
                      <w:pStyle w:val="1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5954">
    <w:pPr>
      <w:spacing w:line="168" w:lineRule="auto"/>
      <w:ind w:left="4948"/>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512AA">
                          <w:pPr>
                            <w:pStyle w:val="13"/>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ZB/M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iJI5bnPj554/zr8fzw3eC&#10;PhSoD1Bj3l3AzDS89wOuzewHdGbeg4o2f5ERwThinS7yyiERkR+tlqtVhSGBsfmC+OzpeYiQPkhv&#10;STYaGnF+RVZ+/ARpTJ1TcjXnb7UxZYbG/eVAzOxhufexx2ylYTdMhHa+PSGfHkffUIebTon56FBZ&#10;7C/NRpyN3WwcQtT7rqxRrgfh3SFhE6W3XGGEnQrjzAq7ab/yUvx5L1lP/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FkH8yQEAAJsDAAAOAAAAAAAAAAEAIAAAAB4BAABkcnMvZTJvRG9j&#10;LnhtbFBLBQYAAAAABgAGAFkBAABZBQAAAAA=&#10;">
              <v:fill on="f" focussize="0,0"/>
              <v:stroke on="f"/>
              <v:imagedata o:title=""/>
              <o:lock v:ext="edit" aspectratio="f"/>
              <v:textbox inset="0mm,0mm,0mm,0mm" style="mso-fit-shape-to-text:t;">
                <w:txbxContent>
                  <w:p w14:paraId="538512AA">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D630">
    <w:pPr>
      <w:pStyle w:val="13"/>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54AE">
                          <w:pPr>
                            <w:pStyle w:val="1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3D454AE">
                    <w:pPr>
                      <w:pStyle w:val="13"/>
                    </w:pPr>
                    <w:r>
                      <w:fldChar w:fldCharType="begin"/>
                    </w:r>
                    <w:r>
                      <w:instrText xml:space="preserve"> PAGE  \* MERGEFORMAT </w:instrText>
                    </w:r>
                    <w:r>
                      <w:fldChar w:fldCharType="separate"/>
                    </w:r>
                    <w:r>
                      <w:t>67</w:t>
                    </w:r>
                    <w:r>
                      <w:fldChar w:fldCharType="end"/>
                    </w:r>
                  </w:p>
                </w:txbxContent>
              </v:textbox>
            </v:shape>
          </w:pict>
        </mc:Fallback>
      </mc:AlternateContent>
    </w:r>
  </w:p>
  <w:p w14:paraId="07663EBF">
    <w:pPr>
      <w:pStyle w:val="13"/>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FDD2">
    <w:pPr>
      <w:spacing w:line="209" w:lineRule="auto"/>
      <w:ind w:left="3505"/>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F50E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C8F50E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66C2">
    <w:pPr>
      <w:pStyle w:val="10"/>
      <w:spacing w:line="179" w:lineRule="auto"/>
      <w:ind w:left="4189"/>
      <w:rPr>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FC204">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5AFC204">
                    <w:pPr>
                      <w:pStyle w:val="13"/>
                    </w:pPr>
                    <w:r>
                      <w:fldChar w:fldCharType="begin"/>
                    </w:r>
                    <w:r>
                      <w:instrText xml:space="preserve"> PAGE  \* MERGEFORMAT </w:instrText>
                    </w:r>
                    <w:r>
                      <w:fldChar w:fldCharType="separate"/>
                    </w:r>
                    <w:r>
                      <w:t>17</w:t>
                    </w:r>
                    <w:r>
                      <w:fldChar w:fldCharType="end"/>
                    </w:r>
                  </w:p>
                </w:txbxContent>
              </v:textbox>
            </v:shape>
          </w:pict>
        </mc:Fallback>
      </mc:AlternateContent>
    </w:r>
    <w:r>
      <w:rPr>
        <w:spacing w:val="-1"/>
        <w:sz w:val="17"/>
        <w:szCs w:val="17"/>
      </w:rPr>
      <w:t>28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B716">
    <w:pPr>
      <w:pStyle w:val="10"/>
      <w:spacing w:line="180" w:lineRule="auto"/>
      <w:ind w:left="4731"/>
      <w:rPr>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E3F0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C3E3F0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96FB">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F9801">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50F9801">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53BB">
    <w:pPr>
      <w:pStyle w:val="10"/>
      <w:spacing w:line="179" w:lineRule="auto"/>
      <w:ind w:left="4083"/>
      <w:rPr>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93C36">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A093C36">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F744">
    <w:pPr>
      <w:pStyle w:val="10"/>
      <w:spacing w:line="179" w:lineRule="auto"/>
      <w:ind w:left="4126"/>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57FBF">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57FBF">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ED4E">
    <w:pPr>
      <w:pStyle w:val="10"/>
      <w:spacing w:line="179" w:lineRule="auto"/>
      <w:ind w:left="4141"/>
      <w:rPr>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58153">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258153">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3495">
    <w:pPr>
      <w:spacing w:line="209" w:lineRule="auto"/>
      <w:ind w:left="357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B0DB9">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68B0DB9">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6DD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7CF8">
    <w:pPr>
      <w:pStyle w:val="1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711B">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F5BF">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7B1B">
    <w:pPr>
      <w:pStyle w:val="10"/>
      <w:tabs>
        <w:tab w:val="left" w:pos="567"/>
      </w:tabs>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1CA9">
    <w:pPr>
      <w:pStyle w:val="14"/>
      <w:pBdr>
        <w:bottom w:val="none" w:color="auto" w:sz="0" w:space="0"/>
      </w:pBdr>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u w:val="none"/>
        <w:lang w:val="en-US" w:eastAsia="zh-CN"/>
      </w:rPr>
      <w:t xml:space="preserve">               </w:t>
    </w:r>
  </w:p>
  <w:p w14:paraId="12301BA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E9B90"/>
    <w:multiLevelType w:val="singleLevel"/>
    <w:tmpl w:val="CCCE9B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g2Y2NhZjQzMDY1MGJhOGVjMmQzOTMzZGUxMTVmZDYifQ=="/>
  </w:docVars>
  <w:rsids>
    <w:rsidRoot w:val="00000000"/>
    <w:rsid w:val="00381040"/>
    <w:rsid w:val="004E43BF"/>
    <w:rsid w:val="009269A2"/>
    <w:rsid w:val="009444C8"/>
    <w:rsid w:val="00A10993"/>
    <w:rsid w:val="00A65FA9"/>
    <w:rsid w:val="00D40BB2"/>
    <w:rsid w:val="00EB1C0E"/>
    <w:rsid w:val="01072250"/>
    <w:rsid w:val="010C0502"/>
    <w:rsid w:val="010F3B4F"/>
    <w:rsid w:val="01423F24"/>
    <w:rsid w:val="01536131"/>
    <w:rsid w:val="01587515"/>
    <w:rsid w:val="016043AA"/>
    <w:rsid w:val="01612D76"/>
    <w:rsid w:val="0181603F"/>
    <w:rsid w:val="01833C12"/>
    <w:rsid w:val="01C25065"/>
    <w:rsid w:val="01C901A1"/>
    <w:rsid w:val="0216715F"/>
    <w:rsid w:val="022573A2"/>
    <w:rsid w:val="024606F4"/>
    <w:rsid w:val="025C1016"/>
    <w:rsid w:val="026954E1"/>
    <w:rsid w:val="028265A2"/>
    <w:rsid w:val="029F53A6"/>
    <w:rsid w:val="02A8058F"/>
    <w:rsid w:val="02A824AD"/>
    <w:rsid w:val="02AD361F"/>
    <w:rsid w:val="02B20C36"/>
    <w:rsid w:val="02B250DA"/>
    <w:rsid w:val="02BA21E0"/>
    <w:rsid w:val="02C170CB"/>
    <w:rsid w:val="02E328A4"/>
    <w:rsid w:val="02E35293"/>
    <w:rsid w:val="02ED10CC"/>
    <w:rsid w:val="0313544C"/>
    <w:rsid w:val="031C69F7"/>
    <w:rsid w:val="03305FFE"/>
    <w:rsid w:val="034675D0"/>
    <w:rsid w:val="035937A7"/>
    <w:rsid w:val="036013AC"/>
    <w:rsid w:val="038C592B"/>
    <w:rsid w:val="039609ED"/>
    <w:rsid w:val="03D1333D"/>
    <w:rsid w:val="03EA08A3"/>
    <w:rsid w:val="040C6A6B"/>
    <w:rsid w:val="042F7645"/>
    <w:rsid w:val="043A7135"/>
    <w:rsid w:val="043F299D"/>
    <w:rsid w:val="04477AA3"/>
    <w:rsid w:val="04720883"/>
    <w:rsid w:val="04904FA7"/>
    <w:rsid w:val="04A20BA4"/>
    <w:rsid w:val="04A66578"/>
    <w:rsid w:val="04C74740"/>
    <w:rsid w:val="04FA68C4"/>
    <w:rsid w:val="051536FE"/>
    <w:rsid w:val="053A3164"/>
    <w:rsid w:val="05776166"/>
    <w:rsid w:val="058368B9"/>
    <w:rsid w:val="059B0C91"/>
    <w:rsid w:val="05A72C5F"/>
    <w:rsid w:val="05AB4C87"/>
    <w:rsid w:val="05B178CA"/>
    <w:rsid w:val="05B42F17"/>
    <w:rsid w:val="05B64EE1"/>
    <w:rsid w:val="05D9472B"/>
    <w:rsid w:val="05E51322"/>
    <w:rsid w:val="05EF3F4F"/>
    <w:rsid w:val="05F31C91"/>
    <w:rsid w:val="05F501C5"/>
    <w:rsid w:val="05F94DCD"/>
    <w:rsid w:val="06456265"/>
    <w:rsid w:val="064E6EC7"/>
    <w:rsid w:val="065B3392"/>
    <w:rsid w:val="06826B71"/>
    <w:rsid w:val="06C278B5"/>
    <w:rsid w:val="06CC4290"/>
    <w:rsid w:val="06DF5D71"/>
    <w:rsid w:val="06EB0BBA"/>
    <w:rsid w:val="07110764"/>
    <w:rsid w:val="071874D5"/>
    <w:rsid w:val="071B5BB6"/>
    <w:rsid w:val="071C5217"/>
    <w:rsid w:val="077A3CEC"/>
    <w:rsid w:val="077E558A"/>
    <w:rsid w:val="07893F2F"/>
    <w:rsid w:val="07B84300"/>
    <w:rsid w:val="07D16002"/>
    <w:rsid w:val="07D23B28"/>
    <w:rsid w:val="07E35D35"/>
    <w:rsid w:val="081277AE"/>
    <w:rsid w:val="082C4FE6"/>
    <w:rsid w:val="082F4AD6"/>
    <w:rsid w:val="08422A5C"/>
    <w:rsid w:val="08793650"/>
    <w:rsid w:val="08966904"/>
    <w:rsid w:val="08CD6EE3"/>
    <w:rsid w:val="08FA50E4"/>
    <w:rsid w:val="092B1742"/>
    <w:rsid w:val="09304FAA"/>
    <w:rsid w:val="09383E5F"/>
    <w:rsid w:val="095F0CAD"/>
    <w:rsid w:val="097E7AC3"/>
    <w:rsid w:val="09B664CD"/>
    <w:rsid w:val="09D122E9"/>
    <w:rsid w:val="09E54C2D"/>
    <w:rsid w:val="09F45FD8"/>
    <w:rsid w:val="09F47D86"/>
    <w:rsid w:val="0A0C3321"/>
    <w:rsid w:val="0A1B00BA"/>
    <w:rsid w:val="0A22524B"/>
    <w:rsid w:val="0A3C4719"/>
    <w:rsid w:val="0A3E36F7"/>
    <w:rsid w:val="0A456833"/>
    <w:rsid w:val="0A9D666F"/>
    <w:rsid w:val="0AAB0D8C"/>
    <w:rsid w:val="0ADB7197"/>
    <w:rsid w:val="0AFF69E2"/>
    <w:rsid w:val="0B0637DD"/>
    <w:rsid w:val="0B1A7CC0"/>
    <w:rsid w:val="0B293A5F"/>
    <w:rsid w:val="0B5F56D3"/>
    <w:rsid w:val="0B7078E0"/>
    <w:rsid w:val="0B923CFA"/>
    <w:rsid w:val="0BDA2FAB"/>
    <w:rsid w:val="0BEB6F66"/>
    <w:rsid w:val="0C126BE9"/>
    <w:rsid w:val="0C272694"/>
    <w:rsid w:val="0C4E0614"/>
    <w:rsid w:val="0C4F3999"/>
    <w:rsid w:val="0C5B0590"/>
    <w:rsid w:val="0C6F7B97"/>
    <w:rsid w:val="0C721436"/>
    <w:rsid w:val="0CAD29D2"/>
    <w:rsid w:val="0CB952B6"/>
    <w:rsid w:val="0CD67C16"/>
    <w:rsid w:val="0D197B03"/>
    <w:rsid w:val="0D7116ED"/>
    <w:rsid w:val="0D9378B6"/>
    <w:rsid w:val="0DBE2B84"/>
    <w:rsid w:val="0DC95D96"/>
    <w:rsid w:val="0DD51C7C"/>
    <w:rsid w:val="0DDA7292"/>
    <w:rsid w:val="0E08736F"/>
    <w:rsid w:val="0E0D58BA"/>
    <w:rsid w:val="0E252C04"/>
    <w:rsid w:val="0E6574A4"/>
    <w:rsid w:val="0E6E6633"/>
    <w:rsid w:val="0EB16245"/>
    <w:rsid w:val="0EB75826"/>
    <w:rsid w:val="0ECE329B"/>
    <w:rsid w:val="0F041E04"/>
    <w:rsid w:val="0F5C3DDD"/>
    <w:rsid w:val="0F5D017B"/>
    <w:rsid w:val="0F657030"/>
    <w:rsid w:val="0F706100"/>
    <w:rsid w:val="0F713C26"/>
    <w:rsid w:val="0FA61B22"/>
    <w:rsid w:val="0FB83603"/>
    <w:rsid w:val="0FBA381F"/>
    <w:rsid w:val="0FBC6748"/>
    <w:rsid w:val="0FF54858"/>
    <w:rsid w:val="10172C35"/>
    <w:rsid w:val="101A42BE"/>
    <w:rsid w:val="101B348D"/>
    <w:rsid w:val="10797237"/>
    <w:rsid w:val="10853E2D"/>
    <w:rsid w:val="109A0F5B"/>
    <w:rsid w:val="10A87B1C"/>
    <w:rsid w:val="10CA7A92"/>
    <w:rsid w:val="10EF74F9"/>
    <w:rsid w:val="11015689"/>
    <w:rsid w:val="11036B00"/>
    <w:rsid w:val="110F3F93"/>
    <w:rsid w:val="11405FA6"/>
    <w:rsid w:val="11447845"/>
    <w:rsid w:val="115C3CC3"/>
    <w:rsid w:val="11A26319"/>
    <w:rsid w:val="11AA3420"/>
    <w:rsid w:val="11B81FE1"/>
    <w:rsid w:val="11D64215"/>
    <w:rsid w:val="11DF131B"/>
    <w:rsid w:val="1212349F"/>
    <w:rsid w:val="123C1602"/>
    <w:rsid w:val="123D3A01"/>
    <w:rsid w:val="125C0BBE"/>
    <w:rsid w:val="12716E74"/>
    <w:rsid w:val="127E28E2"/>
    <w:rsid w:val="128D6FC9"/>
    <w:rsid w:val="12A14823"/>
    <w:rsid w:val="12FA3BCB"/>
    <w:rsid w:val="12FD17A8"/>
    <w:rsid w:val="1303728B"/>
    <w:rsid w:val="13182D37"/>
    <w:rsid w:val="137837D5"/>
    <w:rsid w:val="139006BC"/>
    <w:rsid w:val="13B80076"/>
    <w:rsid w:val="13C609E5"/>
    <w:rsid w:val="13F56BD4"/>
    <w:rsid w:val="1437543F"/>
    <w:rsid w:val="143A6CDD"/>
    <w:rsid w:val="14447B5C"/>
    <w:rsid w:val="14593607"/>
    <w:rsid w:val="14665D24"/>
    <w:rsid w:val="147A532B"/>
    <w:rsid w:val="14A34882"/>
    <w:rsid w:val="14C447F8"/>
    <w:rsid w:val="14E31122"/>
    <w:rsid w:val="155913E5"/>
    <w:rsid w:val="158A0BB9"/>
    <w:rsid w:val="159D39C7"/>
    <w:rsid w:val="15A22D8C"/>
    <w:rsid w:val="15B4486D"/>
    <w:rsid w:val="15DB004C"/>
    <w:rsid w:val="15DD5B72"/>
    <w:rsid w:val="163C4DDE"/>
    <w:rsid w:val="16467BBB"/>
    <w:rsid w:val="164756E1"/>
    <w:rsid w:val="165F2A2B"/>
    <w:rsid w:val="1695469E"/>
    <w:rsid w:val="16CF5E02"/>
    <w:rsid w:val="16D16AA9"/>
    <w:rsid w:val="16E41182"/>
    <w:rsid w:val="16F413C5"/>
    <w:rsid w:val="16F54C7A"/>
    <w:rsid w:val="17147CB9"/>
    <w:rsid w:val="171657DF"/>
    <w:rsid w:val="172779EC"/>
    <w:rsid w:val="17435EA8"/>
    <w:rsid w:val="176127D3"/>
    <w:rsid w:val="17712A16"/>
    <w:rsid w:val="177D6416"/>
    <w:rsid w:val="17D11706"/>
    <w:rsid w:val="18023FB5"/>
    <w:rsid w:val="18153CE9"/>
    <w:rsid w:val="18185587"/>
    <w:rsid w:val="181F06C4"/>
    <w:rsid w:val="18203937"/>
    <w:rsid w:val="18372263"/>
    <w:rsid w:val="18491BE4"/>
    <w:rsid w:val="185F6D12"/>
    <w:rsid w:val="186662F2"/>
    <w:rsid w:val="187F5606"/>
    <w:rsid w:val="188333FC"/>
    <w:rsid w:val="18891FE1"/>
    <w:rsid w:val="18B0756E"/>
    <w:rsid w:val="18B76B4E"/>
    <w:rsid w:val="18C9062F"/>
    <w:rsid w:val="18C96E4C"/>
    <w:rsid w:val="18D55226"/>
    <w:rsid w:val="18ED431E"/>
    <w:rsid w:val="191F64A1"/>
    <w:rsid w:val="19377C8F"/>
    <w:rsid w:val="194A5C14"/>
    <w:rsid w:val="196F11D7"/>
    <w:rsid w:val="19B80DD0"/>
    <w:rsid w:val="19CE0AD2"/>
    <w:rsid w:val="19D35C0A"/>
    <w:rsid w:val="19E805B2"/>
    <w:rsid w:val="19F33BB6"/>
    <w:rsid w:val="1A22449B"/>
    <w:rsid w:val="1A2C531A"/>
    <w:rsid w:val="1A670100"/>
    <w:rsid w:val="1A951111"/>
    <w:rsid w:val="1AA11864"/>
    <w:rsid w:val="1ABD41C4"/>
    <w:rsid w:val="1AC27A2C"/>
    <w:rsid w:val="1AC92B69"/>
    <w:rsid w:val="1AD66417"/>
    <w:rsid w:val="1AFE6CB6"/>
    <w:rsid w:val="1B0E67CD"/>
    <w:rsid w:val="1B416BA3"/>
    <w:rsid w:val="1B666609"/>
    <w:rsid w:val="1B6C45A5"/>
    <w:rsid w:val="1B7A59A1"/>
    <w:rsid w:val="1B8151F1"/>
    <w:rsid w:val="1B8F3DB2"/>
    <w:rsid w:val="1B9A62B3"/>
    <w:rsid w:val="1BB05AD7"/>
    <w:rsid w:val="1BB57E92"/>
    <w:rsid w:val="1BD448F7"/>
    <w:rsid w:val="1BED2887"/>
    <w:rsid w:val="1BF9122C"/>
    <w:rsid w:val="1C005E1D"/>
    <w:rsid w:val="1C033E58"/>
    <w:rsid w:val="1C1147C7"/>
    <w:rsid w:val="1C5D5C5E"/>
    <w:rsid w:val="1C5F6652"/>
    <w:rsid w:val="1C632B49"/>
    <w:rsid w:val="1C782A98"/>
    <w:rsid w:val="1C9F0025"/>
    <w:rsid w:val="1CE27F12"/>
    <w:rsid w:val="1CE343B6"/>
    <w:rsid w:val="1CF85987"/>
    <w:rsid w:val="1CFE11EF"/>
    <w:rsid w:val="1D0936F0"/>
    <w:rsid w:val="1D232A04"/>
    <w:rsid w:val="1D3C3AC6"/>
    <w:rsid w:val="1D44297A"/>
    <w:rsid w:val="1D5A6F27"/>
    <w:rsid w:val="1D61352C"/>
    <w:rsid w:val="1D8C0E02"/>
    <w:rsid w:val="1D8D2573"/>
    <w:rsid w:val="1D9E652E"/>
    <w:rsid w:val="1DAE15B6"/>
    <w:rsid w:val="1DB16ABC"/>
    <w:rsid w:val="1DDC0E05"/>
    <w:rsid w:val="1E0740D4"/>
    <w:rsid w:val="1E0C3498"/>
    <w:rsid w:val="1E276524"/>
    <w:rsid w:val="1E480248"/>
    <w:rsid w:val="1E594203"/>
    <w:rsid w:val="1E766B63"/>
    <w:rsid w:val="1E840B71"/>
    <w:rsid w:val="1E8C282B"/>
    <w:rsid w:val="1E911BEF"/>
    <w:rsid w:val="1EAA4A5F"/>
    <w:rsid w:val="1EAB0F03"/>
    <w:rsid w:val="1EBF49AE"/>
    <w:rsid w:val="1EC73DC3"/>
    <w:rsid w:val="1EDB2E6A"/>
    <w:rsid w:val="1EE73F05"/>
    <w:rsid w:val="1EF0016C"/>
    <w:rsid w:val="1F26058A"/>
    <w:rsid w:val="1F3A624F"/>
    <w:rsid w:val="1F6B2440"/>
    <w:rsid w:val="1F770DE5"/>
    <w:rsid w:val="1F901EA7"/>
    <w:rsid w:val="1FC45223"/>
    <w:rsid w:val="1FDC50EC"/>
    <w:rsid w:val="1FFC12EA"/>
    <w:rsid w:val="20515ADA"/>
    <w:rsid w:val="205253AE"/>
    <w:rsid w:val="206A49F8"/>
    <w:rsid w:val="20711CD8"/>
    <w:rsid w:val="20745325"/>
    <w:rsid w:val="20A534A3"/>
    <w:rsid w:val="20F36B91"/>
    <w:rsid w:val="21151F66"/>
    <w:rsid w:val="21154D5A"/>
    <w:rsid w:val="2127683B"/>
    <w:rsid w:val="21627873"/>
    <w:rsid w:val="21845A3B"/>
    <w:rsid w:val="21890F23"/>
    <w:rsid w:val="218B501C"/>
    <w:rsid w:val="21D275E3"/>
    <w:rsid w:val="21E14C3C"/>
    <w:rsid w:val="222D7E81"/>
    <w:rsid w:val="22456F79"/>
    <w:rsid w:val="224661AD"/>
    <w:rsid w:val="22767885"/>
    <w:rsid w:val="22804455"/>
    <w:rsid w:val="228A7696"/>
    <w:rsid w:val="22AF6AE8"/>
    <w:rsid w:val="22D64075"/>
    <w:rsid w:val="22DE5CF9"/>
    <w:rsid w:val="231921B3"/>
    <w:rsid w:val="23264FFC"/>
    <w:rsid w:val="233C481F"/>
    <w:rsid w:val="234C4337"/>
    <w:rsid w:val="23A75A11"/>
    <w:rsid w:val="23B24235"/>
    <w:rsid w:val="23C6233B"/>
    <w:rsid w:val="23C640E9"/>
    <w:rsid w:val="23D36806"/>
    <w:rsid w:val="23E7405F"/>
    <w:rsid w:val="23F76B96"/>
    <w:rsid w:val="243E0123"/>
    <w:rsid w:val="24727DCD"/>
    <w:rsid w:val="247D2B40"/>
    <w:rsid w:val="24B403E6"/>
    <w:rsid w:val="24D942F0"/>
    <w:rsid w:val="24F007E4"/>
    <w:rsid w:val="24F904EE"/>
    <w:rsid w:val="250A6257"/>
    <w:rsid w:val="251A2676"/>
    <w:rsid w:val="251E1D03"/>
    <w:rsid w:val="252217F3"/>
    <w:rsid w:val="2527114A"/>
    <w:rsid w:val="25537BFE"/>
    <w:rsid w:val="258424AE"/>
    <w:rsid w:val="25873D4C"/>
    <w:rsid w:val="25900E53"/>
    <w:rsid w:val="25902C01"/>
    <w:rsid w:val="25965D3D"/>
    <w:rsid w:val="259721E1"/>
    <w:rsid w:val="25AC5561"/>
    <w:rsid w:val="25D33C0F"/>
    <w:rsid w:val="25EB7E37"/>
    <w:rsid w:val="25FE400E"/>
    <w:rsid w:val="26151659"/>
    <w:rsid w:val="26445799"/>
    <w:rsid w:val="268F4733"/>
    <w:rsid w:val="26914E82"/>
    <w:rsid w:val="269C3827"/>
    <w:rsid w:val="26A83F7A"/>
    <w:rsid w:val="26C30DB4"/>
    <w:rsid w:val="26D7485F"/>
    <w:rsid w:val="26E34FB2"/>
    <w:rsid w:val="26F251F5"/>
    <w:rsid w:val="272C2311"/>
    <w:rsid w:val="27621A0B"/>
    <w:rsid w:val="27846795"/>
    <w:rsid w:val="278C564A"/>
    <w:rsid w:val="27E014F2"/>
    <w:rsid w:val="27E15995"/>
    <w:rsid w:val="282835C4"/>
    <w:rsid w:val="283A32F8"/>
    <w:rsid w:val="283A50A6"/>
    <w:rsid w:val="284D302B"/>
    <w:rsid w:val="287F6F5C"/>
    <w:rsid w:val="289E3886"/>
    <w:rsid w:val="28A10C81"/>
    <w:rsid w:val="28AC5FA3"/>
    <w:rsid w:val="28DA4193"/>
    <w:rsid w:val="28EA2628"/>
    <w:rsid w:val="28EC2844"/>
    <w:rsid w:val="2916166F"/>
    <w:rsid w:val="296543A4"/>
    <w:rsid w:val="29792137"/>
    <w:rsid w:val="298E1830"/>
    <w:rsid w:val="29944B54"/>
    <w:rsid w:val="29CE3CF8"/>
    <w:rsid w:val="29D137E8"/>
    <w:rsid w:val="29E7300B"/>
    <w:rsid w:val="29E74DB9"/>
    <w:rsid w:val="29F319B0"/>
    <w:rsid w:val="2A04596B"/>
    <w:rsid w:val="2A581813"/>
    <w:rsid w:val="2A790107"/>
    <w:rsid w:val="2A8D4D62"/>
    <w:rsid w:val="2A992557"/>
    <w:rsid w:val="2AA446AC"/>
    <w:rsid w:val="2ACD2201"/>
    <w:rsid w:val="2AF7102C"/>
    <w:rsid w:val="2AF91248"/>
    <w:rsid w:val="2B473D61"/>
    <w:rsid w:val="2B5841C1"/>
    <w:rsid w:val="2B5D3585"/>
    <w:rsid w:val="2B824D9A"/>
    <w:rsid w:val="2B9D7E25"/>
    <w:rsid w:val="2C002162"/>
    <w:rsid w:val="2C387B4E"/>
    <w:rsid w:val="2C424529"/>
    <w:rsid w:val="2C55425C"/>
    <w:rsid w:val="2C7325FE"/>
    <w:rsid w:val="2C7C74A3"/>
    <w:rsid w:val="2C83526D"/>
    <w:rsid w:val="2C9F197B"/>
    <w:rsid w:val="2CA62D0A"/>
    <w:rsid w:val="2CD07D87"/>
    <w:rsid w:val="2CF03F85"/>
    <w:rsid w:val="2D8172D3"/>
    <w:rsid w:val="2D947006"/>
    <w:rsid w:val="2DC23B73"/>
    <w:rsid w:val="2DEA131C"/>
    <w:rsid w:val="2DFA3158"/>
    <w:rsid w:val="2E053A60"/>
    <w:rsid w:val="2E2465DC"/>
    <w:rsid w:val="2E2959A0"/>
    <w:rsid w:val="2E314855"/>
    <w:rsid w:val="2E383EF0"/>
    <w:rsid w:val="2E497DF1"/>
    <w:rsid w:val="2E6D7F83"/>
    <w:rsid w:val="2EA816FF"/>
    <w:rsid w:val="2EAD150C"/>
    <w:rsid w:val="2EC65434"/>
    <w:rsid w:val="2EC67693"/>
    <w:rsid w:val="2ED27DE6"/>
    <w:rsid w:val="2ED718A0"/>
    <w:rsid w:val="2F1228D8"/>
    <w:rsid w:val="2F5C7FF7"/>
    <w:rsid w:val="2F603644"/>
    <w:rsid w:val="2F774CCC"/>
    <w:rsid w:val="2F7827E6"/>
    <w:rsid w:val="2FC674F5"/>
    <w:rsid w:val="30110DE2"/>
    <w:rsid w:val="301D7787"/>
    <w:rsid w:val="30283CC0"/>
    <w:rsid w:val="30393E95"/>
    <w:rsid w:val="303D3985"/>
    <w:rsid w:val="304B42F4"/>
    <w:rsid w:val="30696528"/>
    <w:rsid w:val="3095556F"/>
    <w:rsid w:val="309F1F4A"/>
    <w:rsid w:val="30A05CC2"/>
    <w:rsid w:val="30B5176D"/>
    <w:rsid w:val="30B60C69"/>
    <w:rsid w:val="30CE0A81"/>
    <w:rsid w:val="30E107B4"/>
    <w:rsid w:val="315A40C3"/>
    <w:rsid w:val="31750EFD"/>
    <w:rsid w:val="317909ED"/>
    <w:rsid w:val="31903F88"/>
    <w:rsid w:val="31950DDA"/>
    <w:rsid w:val="3197657D"/>
    <w:rsid w:val="31B639EF"/>
    <w:rsid w:val="31CB420F"/>
    <w:rsid w:val="31E3230A"/>
    <w:rsid w:val="31E542D4"/>
    <w:rsid w:val="31EA18EB"/>
    <w:rsid w:val="31F31F70"/>
    <w:rsid w:val="31F357D4"/>
    <w:rsid w:val="322841C1"/>
    <w:rsid w:val="3234700A"/>
    <w:rsid w:val="323A50F3"/>
    <w:rsid w:val="32470AEB"/>
    <w:rsid w:val="325B4596"/>
    <w:rsid w:val="327B2543"/>
    <w:rsid w:val="32807168"/>
    <w:rsid w:val="32BF0681"/>
    <w:rsid w:val="32C263C3"/>
    <w:rsid w:val="32C97A41"/>
    <w:rsid w:val="3338282C"/>
    <w:rsid w:val="33483E0B"/>
    <w:rsid w:val="335039CF"/>
    <w:rsid w:val="3369683F"/>
    <w:rsid w:val="33AA1331"/>
    <w:rsid w:val="33BC1065"/>
    <w:rsid w:val="33EB0BFE"/>
    <w:rsid w:val="34272982"/>
    <w:rsid w:val="344A041F"/>
    <w:rsid w:val="345E036E"/>
    <w:rsid w:val="348F6779"/>
    <w:rsid w:val="34AE6BFF"/>
    <w:rsid w:val="34BF705E"/>
    <w:rsid w:val="34FC3E0F"/>
    <w:rsid w:val="35044A71"/>
    <w:rsid w:val="3518051D"/>
    <w:rsid w:val="3529097C"/>
    <w:rsid w:val="352C3FC8"/>
    <w:rsid w:val="3538685D"/>
    <w:rsid w:val="3550415A"/>
    <w:rsid w:val="35775243"/>
    <w:rsid w:val="357D4824"/>
    <w:rsid w:val="35904557"/>
    <w:rsid w:val="35977693"/>
    <w:rsid w:val="3598340C"/>
    <w:rsid w:val="35A324DC"/>
    <w:rsid w:val="35D87931"/>
    <w:rsid w:val="35F44AE6"/>
    <w:rsid w:val="36056CF3"/>
    <w:rsid w:val="362A675A"/>
    <w:rsid w:val="362F5B1E"/>
    <w:rsid w:val="36323860"/>
    <w:rsid w:val="364E2639"/>
    <w:rsid w:val="3656754F"/>
    <w:rsid w:val="367E499B"/>
    <w:rsid w:val="368F656A"/>
    <w:rsid w:val="36AF1D05"/>
    <w:rsid w:val="36BD5820"/>
    <w:rsid w:val="36F9612C"/>
    <w:rsid w:val="371B42F4"/>
    <w:rsid w:val="371D006C"/>
    <w:rsid w:val="372B09DB"/>
    <w:rsid w:val="372E5DD5"/>
    <w:rsid w:val="37367D62"/>
    <w:rsid w:val="37490E61"/>
    <w:rsid w:val="37DC1CD5"/>
    <w:rsid w:val="37EB1F18"/>
    <w:rsid w:val="37F92887"/>
    <w:rsid w:val="37FA0CE4"/>
    <w:rsid w:val="382F44FB"/>
    <w:rsid w:val="384B0C09"/>
    <w:rsid w:val="385B52F0"/>
    <w:rsid w:val="38657F1D"/>
    <w:rsid w:val="38683569"/>
    <w:rsid w:val="388163D9"/>
    <w:rsid w:val="388C54AA"/>
    <w:rsid w:val="38B13162"/>
    <w:rsid w:val="38C22C79"/>
    <w:rsid w:val="38F60B75"/>
    <w:rsid w:val="39400042"/>
    <w:rsid w:val="3A013C75"/>
    <w:rsid w:val="3A080B60"/>
    <w:rsid w:val="3A2F07E2"/>
    <w:rsid w:val="3A687850"/>
    <w:rsid w:val="3A7C5D33"/>
    <w:rsid w:val="3A887EF3"/>
    <w:rsid w:val="3A971EE4"/>
    <w:rsid w:val="3A9E14C4"/>
    <w:rsid w:val="3AB216D0"/>
    <w:rsid w:val="3AB807D8"/>
    <w:rsid w:val="3AC3717D"/>
    <w:rsid w:val="3AC735AE"/>
    <w:rsid w:val="3ADF449A"/>
    <w:rsid w:val="3AE92A03"/>
    <w:rsid w:val="3AFB2473"/>
    <w:rsid w:val="3B0A169F"/>
    <w:rsid w:val="3B304812"/>
    <w:rsid w:val="3B420D7B"/>
    <w:rsid w:val="3B4756B8"/>
    <w:rsid w:val="3B4A33FA"/>
    <w:rsid w:val="3B651FE2"/>
    <w:rsid w:val="3B8B1A48"/>
    <w:rsid w:val="3BA725FA"/>
    <w:rsid w:val="3BC76709"/>
    <w:rsid w:val="3BCE402B"/>
    <w:rsid w:val="3C0D4B53"/>
    <w:rsid w:val="3C0D6901"/>
    <w:rsid w:val="3C123F18"/>
    <w:rsid w:val="3C2D6FA3"/>
    <w:rsid w:val="3C3E2F5F"/>
    <w:rsid w:val="3C90308E"/>
    <w:rsid w:val="3C97266F"/>
    <w:rsid w:val="3CB925E5"/>
    <w:rsid w:val="3CD92C87"/>
    <w:rsid w:val="3CDE204C"/>
    <w:rsid w:val="3D1E069A"/>
    <w:rsid w:val="3D2C725B"/>
    <w:rsid w:val="3D2D6B2F"/>
    <w:rsid w:val="3D344362"/>
    <w:rsid w:val="3D430101"/>
    <w:rsid w:val="3D5567B2"/>
    <w:rsid w:val="3D673DEF"/>
    <w:rsid w:val="3D6C7658"/>
    <w:rsid w:val="3DBD7EB3"/>
    <w:rsid w:val="3DDD2303"/>
    <w:rsid w:val="3DE9514C"/>
    <w:rsid w:val="3DF24001"/>
    <w:rsid w:val="3E133F77"/>
    <w:rsid w:val="3E1503E1"/>
    <w:rsid w:val="3E4B1963"/>
    <w:rsid w:val="3E921340"/>
    <w:rsid w:val="3EED2A1A"/>
    <w:rsid w:val="3EEF22EE"/>
    <w:rsid w:val="3EF419C0"/>
    <w:rsid w:val="3EFB3E36"/>
    <w:rsid w:val="3F0D6C18"/>
    <w:rsid w:val="3F1B1335"/>
    <w:rsid w:val="3F261A88"/>
    <w:rsid w:val="3F5818E6"/>
    <w:rsid w:val="3F5B3E28"/>
    <w:rsid w:val="3F744EE9"/>
    <w:rsid w:val="3F7B1DD4"/>
    <w:rsid w:val="3FBF43B6"/>
    <w:rsid w:val="3FCC6AD3"/>
    <w:rsid w:val="3FFA47C8"/>
    <w:rsid w:val="40061FE5"/>
    <w:rsid w:val="400E49F6"/>
    <w:rsid w:val="403E177F"/>
    <w:rsid w:val="405D597D"/>
    <w:rsid w:val="408A49C4"/>
    <w:rsid w:val="409C29F2"/>
    <w:rsid w:val="40C37486"/>
    <w:rsid w:val="40D043A1"/>
    <w:rsid w:val="40F51503"/>
    <w:rsid w:val="40FB31AB"/>
    <w:rsid w:val="4114428E"/>
    <w:rsid w:val="41385878"/>
    <w:rsid w:val="41562AF9"/>
    <w:rsid w:val="41760AA5"/>
    <w:rsid w:val="41D567EA"/>
    <w:rsid w:val="41DD358B"/>
    <w:rsid w:val="41EC520B"/>
    <w:rsid w:val="42042CD7"/>
    <w:rsid w:val="42165850"/>
    <w:rsid w:val="4218106E"/>
    <w:rsid w:val="42330CA9"/>
    <w:rsid w:val="42843695"/>
    <w:rsid w:val="42F06635"/>
    <w:rsid w:val="4303280C"/>
    <w:rsid w:val="43160791"/>
    <w:rsid w:val="432F53AF"/>
    <w:rsid w:val="43912728"/>
    <w:rsid w:val="439E0787"/>
    <w:rsid w:val="439E2DF2"/>
    <w:rsid w:val="43B753A5"/>
    <w:rsid w:val="43BD6E5F"/>
    <w:rsid w:val="43C401ED"/>
    <w:rsid w:val="43CA157C"/>
    <w:rsid w:val="43CF26EE"/>
    <w:rsid w:val="43EA7528"/>
    <w:rsid w:val="43F108B7"/>
    <w:rsid w:val="43FE4D82"/>
    <w:rsid w:val="44414146"/>
    <w:rsid w:val="444906F3"/>
    <w:rsid w:val="445C6678"/>
    <w:rsid w:val="449F0313"/>
    <w:rsid w:val="44A21BB1"/>
    <w:rsid w:val="44A75419"/>
    <w:rsid w:val="44A871FE"/>
    <w:rsid w:val="44AE4D9C"/>
    <w:rsid w:val="44B10046"/>
    <w:rsid w:val="44E346A3"/>
    <w:rsid w:val="44EB17AA"/>
    <w:rsid w:val="44F512D3"/>
    <w:rsid w:val="44F52066"/>
    <w:rsid w:val="454A4722"/>
    <w:rsid w:val="454D4212"/>
    <w:rsid w:val="455F7AA2"/>
    <w:rsid w:val="458319E2"/>
    <w:rsid w:val="45C1250B"/>
    <w:rsid w:val="46081EE8"/>
    <w:rsid w:val="46236D21"/>
    <w:rsid w:val="466730B2"/>
    <w:rsid w:val="467D0B27"/>
    <w:rsid w:val="467D28D5"/>
    <w:rsid w:val="46A2058E"/>
    <w:rsid w:val="46CB53EF"/>
    <w:rsid w:val="46CE3131"/>
    <w:rsid w:val="46DF533E"/>
    <w:rsid w:val="472114B3"/>
    <w:rsid w:val="472B40E0"/>
    <w:rsid w:val="47341D77"/>
    <w:rsid w:val="474D4056"/>
    <w:rsid w:val="4755115C"/>
    <w:rsid w:val="47637D1D"/>
    <w:rsid w:val="477517FF"/>
    <w:rsid w:val="47B265AF"/>
    <w:rsid w:val="47C62FEF"/>
    <w:rsid w:val="47CB7671"/>
    <w:rsid w:val="47D604EF"/>
    <w:rsid w:val="48272AF9"/>
    <w:rsid w:val="48284AC3"/>
    <w:rsid w:val="48384D06"/>
    <w:rsid w:val="485D6BE1"/>
    <w:rsid w:val="48790E7B"/>
    <w:rsid w:val="48894E4E"/>
    <w:rsid w:val="488B752C"/>
    <w:rsid w:val="489D100D"/>
    <w:rsid w:val="48BF2D31"/>
    <w:rsid w:val="48C91E02"/>
    <w:rsid w:val="49117305"/>
    <w:rsid w:val="493A2D00"/>
    <w:rsid w:val="494864DD"/>
    <w:rsid w:val="4988056C"/>
    <w:rsid w:val="49940662"/>
    <w:rsid w:val="49997A26"/>
    <w:rsid w:val="49A32653"/>
    <w:rsid w:val="49D00F6E"/>
    <w:rsid w:val="49D15412"/>
    <w:rsid w:val="49E44725"/>
    <w:rsid w:val="49EF7646"/>
    <w:rsid w:val="49F27137"/>
    <w:rsid w:val="4A1E617D"/>
    <w:rsid w:val="4A2F038B"/>
    <w:rsid w:val="4A404346"/>
    <w:rsid w:val="4A45370A"/>
    <w:rsid w:val="4A4831FA"/>
    <w:rsid w:val="4A5751EC"/>
    <w:rsid w:val="4A58343D"/>
    <w:rsid w:val="4A5B1180"/>
    <w:rsid w:val="4A851D59"/>
    <w:rsid w:val="4A8C30E7"/>
    <w:rsid w:val="4A9F0FD9"/>
    <w:rsid w:val="4AA77F21"/>
    <w:rsid w:val="4AAC19DB"/>
    <w:rsid w:val="4AAE7501"/>
    <w:rsid w:val="4ADD7DE7"/>
    <w:rsid w:val="4AE03433"/>
    <w:rsid w:val="4AE178D7"/>
    <w:rsid w:val="4AE747C1"/>
    <w:rsid w:val="4B0B4954"/>
    <w:rsid w:val="4B2C579D"/>
    <w:rsid w:val="4B49547C"/>
    <w:rsid w:val="4B4D6D1A"/>
    <w:rsid w:val="4B5C51AF"/>
    <w:rsid w:val="4B756271"/>
    <w:rsid w:val="4B944949"/>
    <w:rsid w:val="4B971D44"/>
    <w:rsid w:val="4BE10F2E"/>
    <w:rsid w:val="4C0B2731"/>
    <w:rsid w:val="4C334959"/>
    <w:rsid w:val="4C4579F1"/>
    <w:rsid w:val="4C4D68A6"/>
    <w:rsid w:val="4C7E73A7"/>
    <w:rsid w:val="4C824937"/>
    <w:rsid w:val="4CD11285"/>
    <w:rsid w:val="4CE447A4"/>
    <w:rsid w:val="4CF6596F"/>
    <w:rsid w:val="4CFB4554"/>
    <w:rsid w:val="4D0E072B"/>
    <w:rsid w:val="4D1675E0"/>
    <w:rsid w:val="4D273058"/>
    <w:rsid w:val="4D2C0BB1"/>
    <w:rsid w:val="4D3F2693"/>
    <w:rsid w:val="4D6C0FAE"/>
    <w:rsid w:val="4D722FD8"/>
    <w:rsid w:val="4D8B3B2A"/>
    <w:rsid w:val="4DE80F7C"/>
    <w:rsid w:val="4DE84AD8"/>
    <w:rsid w:val="4E157897"/>
    <w:rsid w:val="4E3C6BD2"/>
    <w:rsid w:val="4E437F61"/>
    <w:rsid w:val="4E7E71EB"/>
    <w:rsid w:val="4EAC3C20"/>
    <w:rsid w:val="4EBB21ED"/>
    <w:rsid w:val="4EC5306C"/>
    <w:rsid w:val="4F11005F"/>
    <w:rsid w:val="4F4727B8"/>
    <w:rsid w:val="4F50502B"/>
    <w:rsid w:val="4F5F701C"/>
    <w:rsid w:val="4F8847C5"/>
    <w:rsid w:val="4F895E47"/>
    <w:rsid w:val="4FBD1F95"/>
    <w:rsid w:val="4FBF5D0D"/>
    <w:rsid w:val="4FC7696F"/>
    <w:rsid w:val="4FDF1F0B"/>
    <w:rsid w:val="5003209D"/>
    <w:rsid w:val="5036195A"/>
    <w:rsid w:val="503C5BB2"/>
    <w:rsid w:val="50406E4E"/>
    <w:rsid w:val="5043693E"/>
    <w:rsid w:val="50722D7F"/>
    <w:rsid w:val="50884351"/>
    <w:rsid w:val="50A373DC"/>
    <w:rsid w:val="50AD025B"/>
    <w:rsid w:val="50B10B52"/>
    <w:rsid w:val="50C01D3C"/>
    <w:rsid w:val="50E023DF"/>
    <w:rsid w:val="51002139"/>
    <w:rsid w:val="513C6E75"/>
    <w:rsid w:val="5156444F"/>
    <w:rsid w:val="516C77CE"/>
    <w:rsid w:val="516E79EA"/>
    <w:rsid w:val="51850890"/>
    <w:rsid w:val="51AE6039"/>
    <w:rsid w:val="51E33135"/>
    <w:rsid w:val="51F53C68"/>
    <w:rsid w:val="51FF0643"/>
    <w:rsid w:val="52497B10"/>
    <w:rsid w:val="524D13AE"/>
    <w:rsid w:val="52630BD1"/>
    <w:rsid w:val="52DD4E28"/>
    <w:rsid w:val="530103EA"/>
    <w:rsid w:val="533162E1"/>
    <w:rsid w:val="536F17F8"/>
    <w:rsid w:val="539F032F"/>
    <w:rsid w:val="53AB4A90"/>
    <w:rsid w:val="53BD07B5"/>
    <w:rsid w:val="53CB1124"/>
    <w:rsid w:val="53CC09F8"/>
    <w:rsid w:val="54091C4C"/>
    <w:rsid w:val="541505F1"/>
    <w:rsid w:val="54176117"/>
    <w:rsid w:val="542E16B3"/>
    <w:rsid w:val="542E3461"/>
    <w:rsid w:val="54363BCD"/>
    <w:rsid w:val="543640C4"/>
    <w:rsid w:val="543A3BB4"/>
    <w:rsid w:val="54613836"/>
    <w:rsid w:val="54660E4D"/>
    <w:rsid w:val="54931516"/>
    <w:rsid w:val="54B0031A"/>
    <w:rsid w:val="55012924"/>
    <w:rsid w:val="550B72FE"/>
    <w:rsid w:val="551F76C9"/>
    <w:rsid w:val="555B0286"/>
    <w:rsid w:val="556709D9"/>
    <w:rsid w:val="55674E7D"/>
    <w:rsid w:val="55777228"/>
    <w:rsid w:val="5578146D"/>
    <w:rsid w:val="557C1FAA"/>
    <w:rsid w:val="558C48E3"/>
    <w:rsid w:val="55D32512"/>
    <w:rsid w:val="561641AD"/>
    <w:rsid w:val="56BC4D54"/>
    <w:rsid w:val="56CB31E9"/>
    <w:rsid w:val="56D007FF"/>
    <w:rsid w:val="56E30533"/>
    <w:rsid w:val="570F30D6"/>
    <w:rsid w:val="574A6804"/>
    <w:rsid w:val="574D1E50"/>
    <w:rsid w:val="575651A9"/>
    <w:rsid w:val="57596A47"/>
    <w:rsid w:val="578C2978"/>
    <w:rsid w:val="578E4942"/>
    <w:rsid w:val="579637F7"/>
    <w:rsid w:val="57A51C8C"/>
    <w:rsid w:val="57BB14B0"/>
    <w:rsid w:val="57D85BBE"/>
    <w:rsid w:val="57EC5845"/>
    <w:rsid w:val="57F95B34"/>
    <w:rsid w:val="58320817"/>
    <w:rsid w:val="58801D2F"/>
    <w:rsid w:val="588500FC"/>
    <w:rsid w:val="58AE2DC2"/>
    <w:rsid w:val="58B101BD"/>
    <w:rsid w:val="58BA52C3"/>
    <w:rsid w:val="58E81E30"/>
    <w:rsid w:val="59091DA7"/>
    <w:rsid w:val="59101387"/>
    <w:rsid w:val="593037D7"/>
    <w:rsid w:val="59411541"/>
    <w:rsid w:val="596F2552"/>
    <w:rsid w:val="597C6A1D"/>
    <w:rsid w:val="59981AA8"/>
    <w:rsid w:val="59B937CD"/>
    <w:rsid w:val="5A0802B0"/>
    <w:rsid w:val="5A0E1D6B"/>
    <w:rsid w:val="5A3E3CD2"/>
    <w:rsid w:val="5A492DA3"/>
    <w:rsid w:val="5A5B66CC"/>
    <w:rsid w:val="5A662D14"/>
    <w:rsid w:val="5A683F9B"/>
    <w:rsid w:val="5A6A4AC7"/>
    <w:rsid w:val="5A9304C2"/>
    <w:rsid w:val="5AA91A93"/>
    <w:rsid w:val="5AC02939"/>
    <w:rsid w:val="5AD7215D"/>
    <w:rsid w:val="5AFF7905"/>
    <w:rsid w:val="5B1B6067"/>
    <w:rsid w:val="5B435A44"/>
    <w:rsid w:val="5B4377F2"/>
    <w:rsid w:val="5B540F0D"/>
    <w:rsid w:val="5B61236E"/>
    <w:rsid w:val="5B77749C"/>
    <w:rsid w:val="5B9462A0"/>
    <w:rsid w:val="5BE56AFB"/>
    <w:rsid w:val="5C142F3C"/>
    <w:rsid w:val="5C3435DF"/>
    <w:rsid w:val="5C553C81"/>
    <w:rsid w:val="5C8C6F77"/>
    <w:rsid w:val="5CA95D7B"/>
    <w:rsid w:val="5CA97B29"/>
    <w:rsid w:val="5CAE15E3"/>
    <w:rsid w:val="5CD57877"/>
    <w:rsid w:val="5D107BA8"/>
    <w:rsid w:val="5D186A5C"/>
    <w:rsid w:val="5D2252B9"/>
    <w:rsid w:val="5D3C099D"/>
    <w:rsid w:val="5D7874FB"/>
    <w:rsid w:val="5D7A7717"/>
    <w:rsid w:val="5DAA1DAA"/>
    <w:rsid w:val="5DB03139"/>
    <w:rsid w:val="5DBC1ADE"/>
    <w:rsid w:val="5DE828D3"/>
    <w:rsid w:val="5DF94AE0"/>
    <w:rsid w:val="5E033269"/>
    <w:rsid w:val="5E070FAB"/>
    <w:rsid w:val="5E08087F"/>
    <w:rsid w:val="5E145476"/>
    <w:rsid w:val="5E174F66"/>
    <w:rsid w:val="5E176D14"/>
    <w:rsid w:val="5E4F2B5D"/>
    <w:rsid w:val="5E543AC4"/>
    <w:rsid w:val="5E5D7E9D"/>
    <w:rsid w:val="5E693A13"/>
    <w:rsid w:val="5E8C14B0"/>
    <w:rsid w:val="5E9B16F3"/>
    <w:rsid w:val="5ECC7AFE"/>
    <w:rsid w:val="5EE27322"/>
    <w:rsid w:val="5EEB267A"/>
    <w:rsid w:val="5F092B01"/>
    <w:rsid w:val="5F3A715E"/>
    <w:rsid w:val="5F795ED8"/>
    <w:rsid w:val="5F7C1524"/>
    <w:rsid w:val="5FB23198"/>
    <w:rsid w:val="5FD01870"/>
    <w:rsid w:val="5FDE5D3B"/>
    <w:rsid w:val="600339F4"/>
    <w:rsid w:val="6014175D"/>
    <w:rsid w:val="601A18BC"/>
    <w:rsid w:val="60235E44"/>
    <w:rsid w:val="6031230F"/>
    <w:rsid w:val="603D5158"/>
    <w:rsid w:val="6042276E"/>
    <w:rsid w:val="60494F5F"/>
    <w:rsid w:val="60563B24"/>
    <w:rsid w:val="609B3C2C"/>
    <w:rsid w:val="60C767CF"/>
    <w:rsid w:val="60D1776B"/>
    <w:rsid w:val="60E66B00"/>
    <w:rsid w:val="60FD48E7"/>
    <w:rsid w:val="6109503A"/>
    <w:rsid w:val="610C692D"/>
    <w:rsid w:val="61677FB2"/>
    <w:rsid w:val="618F4EB9"/>
    <w:rsid w:val="6198016C"/>
    <w:rsid w:val="61A3723C"/>
    <w:rsid w:val="61CE3B8D"/>
    <w:rsid w:val="61F94535"/>
    <w:rsid w:val="62347E94"/>
    <w:rsid w:val="623B56C7"/>
    <w:rsid w:val="62481B92"/>
    <w:rsid w:val="62A0377C"/>
    <w:rsid w:val="62AF39BF"/>
    <w:rsid w:val="62B334AF"/>
    <w:rsid w:val="62BB6808"/>
    <w:rsid w:val="62C70D09"/>
    <w:rsid w:val="62D334F4"/>
    <w:rsid w:val="62E01DCA"/>
    <w:rsid w:val="62F13FD7"/>
    <w:rsid w:val="6300246C"/>
    <w:rsid w:val="630C1F48"/>
    <w:rsid w:val="632F68AE"/>
    <w:rsid w:val="63497970"/>
    <w:rsid w:val="63576530"/>
    <w:rsid w:val="63732C3E"/>
    <w:rsid w:val="63860BC4"/>
    <w:rsid w:val="638B442C"/>
    <w:rsid w:val="63CF7C32"/>
    <w:rsid w:val="63D062E3"/>
    <w:rsid w:val="63D27965"/>
    <w:rsid w:val="63D95197"/>
    <w:rsid w:val="63DD630A"/>
    <w:rsid w:val="63ED0DD5"/>
    <w:rsid w:val="63F24A31"/>
    <w:rsid w:val="63F83144"/>
    <w:rsid w:val="63FA5AD2"/>
    <w:rsid w:val="640B2E77"/>
    <w:rsid w:val="642F4DB7"/>
    <w:rsid w:val="643C1282"/>
    <w:rsid w:val="6472739A"/>
    <w:rsid w:val="648844C8"/>
    <w:rsid w:val="6496458C"/>
    <w:rsid w:val="64AC28AC"/>
    <w:rsid w:val="64CD637E"/>
    <w:rsid w:val="64CE3CD8"/>
    <w:rsid w:val="65091AAC"/>
    <w:rsid w:val="65167D25"/>
    <w:rsid w:val="65200BA4"/>
    <w:rsid w:val="654725D5"/>
    <w:rsid w:val="6554084E"/>
    <w:rsid w:val="65646A63"/>
    <w:rsid w:val="65AB66C0"/>
    <w:rsid w:val="65AC2438"/>
    <w:rsid w:val="65D774B5"/>
    <w:rsid w:val="65D976D1"/>
    <w:rsid w:val="65F22540"/>
    <w:rsid w:val="66236B9E"/>
    <w:rsid w:val="662F5543"/>
    <w:rsid w:val="66323ADF"/>
    <w:rsid w:val="6635067F"/>
    <w:rsid w:val="668D4017"/>
    <w:rsid w:val="66AA2E1B"/>
    <w:rsid w:val="66B6356E"/>
    <w:rsid w:val="66D165FA"/>
    <w:rsid w:val="66D25ECE"/>
    <w:rsid w:val="675039C2"/>
    <w:rsid w:val="675D7E8D"/>
    <w:rsid w:val="67670D0C"/>
    <w:rsid w:val="678673E4"/>
    <w:rsid w:val="67A27F96"/>
    <w:rsid w:val="67A71109"/>
    <w:rsid w:val="67A930D3"/>
    <w:rsid w:val="67B36479"/>
    <w:rsid w:val="67BA708E"/>
    <w:rsid w:val="67DA14DE"/>
    <w:rsid w:val="67E72341"/>
    <w:rsid w:val="67E934CF"/>
    <w:rsid w:val="680B1697"/>
    <w:rsid w:val="681D13CB"/>
    <w:rsid w:val="6833299C"/>
    <w:rsid w:val="684A6664"/>
    <w:rsid w:val="685F19E3"/>
    <w:rsid w:val="68686AEA"/>
    <w:rsid w:val="68B166E3"/>
    <w:rsid w:val="68E24AEE"/>
    <w:rsid w:val="68EF0FB9"/>
    <w:rsid w:val="69132EFA"/>
    <w:rsid w:val="692C7B17"/>
    <w:rsid w:val="694A2693"/>
    <w:rsid w:val="69584DB0"/>
    <w:rsid w:val="699416E8"/>
    <w:rsid w:val="69AF24F6"/>
    <w:rsid w:val="69C07EEC"/>
    <w:rsid w:val="69EB1780"/>
    <w:rsid w:val="6A0665BA"/>
    <w:rsid w:val="6A270E82"/>
    <w:rsid w:val="6A3A2708"/>
    <w:rsid w:val="6A786D8C"/>
    <w:rsid w:val="6A8D2838"/>
    <w:rsid w:val="6A9260A0"/>
    <w:rsid w:val="6A99742E"/>
    <w:rsid w:val="6AA13A6B"/>
    <w:rsid w:val="6AA44925"/>
    <w:rsid w:val="6AB91D7B"/>
    <w:rsid w:val="6ABE6E95"/>
    <w:rsid w:val="6AD9782B"/>
    <w:rsid w:val="6B036F9E"/>
    <w:rsid w:val="6B166CD1"/>
    <w:rsid w:val="6B32184E"/>
    <w:rsid w:val="6B32518D"/>
    <w:rsid w:val="6B596BBE"/>
    <w:rsid w:val="6B6C68F1"/>
    <w:rsid w:val="6B923E7E"/>
    <w:rsid w:val="6BA50055"/>
    <w:rsid w:val="6C007039"/>
    <w:rsid w:val="6C0B435C"/>
    <w:rsid w:val="6C0F54CE"/>
    <w:rsid w:val="6C23026E"/>
    <w:rsid w:val="6C256AA0"/>
    <w:rsid w:val="6C4B4758"/>
    <w:rsid w:val="6C5A0E3F"/>
    <w:rsid w:val="6C627CF4"/>
    <w:rsid w:val="6C691001"/>
    <w:rsid w:val="6C7672FB"/>
    <w:rsid w:val="6C891FB9"/>
    <w:rsid w:val="6CCF5389"/>
    <w:rsid w:val="6CE773ED"/>
    <w:rsid w:val="6CE90EE7"/>
    <w:rsid w:val="6D140FEE"/>
    <w:rsid w:val="6D192AA9"/>
    <w:rsid w:val="6D57712D"/>
    <w:rsid w:val="6D633D24"/>
    <w:rsid w:val="6D6A6E60"/>
    <w:rsid w:val="6D765805"/>
    <w:rsid w:val="6DB620A5"/>
    <w:rsid w:val="6DD10C8D"/>
    <w:rsid w:val="6E0077C5"/>
    <w:rsid w:val="6E301E58"/>
    <w:rsid w:val="6E427DDD"/>
    <w:rsid w:val="6E443B55"/>
    <w:rsid w:val="6E547FB8"/>
    <w:rsid w:val="6E7004A6"/>
    <w:rsid w:val="6E8421A4"/>
    <w:rsid w:val="6E9817AB"/>
    <w:rsid w:val="6EAD34A8"/>
    <w:rsid w:val="6EAE5472"/>
    <w:rsid w:val="6ED30A35"/>
    <w:rsid w:val="6EF54D1C"/>
    <w:rsid w:val="6F1E43A6"/>
    <w:rsid w:val="6F887A72"/>
    <w:rsid w:val="6F8A1A3C"/>
    <w:rsid w:val="6FA0300D"/>
    <w:rsid w:val="6FA36659"/>
    <w:rsid w:val="6FB62831"/>
    <w:rsid w:val="6FDB5DF3"/>
    <w:rsid w:val="6FEF43A8"/>
    <w:rsid w:val="6FFE6025"/>
    <w:rsid w:val="700E2405"/>
    <w:rsid w:val="701E3F32"/>
    <w:rsid w:val="701F58F4"/>
    <w:rsid w:val="70453BB5"/>
    <w:rsid w:val="705A7660"/>
    <w:rsid w:val="708B5A6B"/>
    <w:rsid w:val="70A24B63"/>
    <w:rsid w:val="70A94143"/>
    <w:rsid w:val="70AC59E2"/>
    <w:rsid w:val="70CB40BA"/>
    <w:rsid w:val="70D94A29"/>
    <w:rsid w:val="71025602"/>
    <w:rsid w:val="712640E4"/>
    <w:rsid w:val="717007BD"/>
    <w:rsid w:val="71793B16"/>
    <w:rsid w:val="718801FD"/>
    <w:rsid w:val="71971267"/>
    <w:rsid w:val="719721EE"/>
    <w:rsid w:val="71A14E1B"/>
    <w:rsid w:val="721B697B"/>
    <w:rsid w:val="72556331"/>
    <w:rsid w:val="725B52E1"/>
    <w:rsid w:val="72721D0F"/>
    <w:rsid w:val="73013DC3"/>
    <w:rsid w:val="73555EBD"/>
    <w:rsid w:val="737722D7"/>
    <w:rsid w:val="737C169B"/>
    <w:rsid w:val="73832A2A"/>
    <w:rsid w:val="738467A2"/>
    <w:rsid w:val="738D1AFA"/>
    <w:rsid w:val="73963408"/>
    <w:rsid w:val="73C53042"/>
    <w:rsid w:val="73F97190"/>
    <w:rsid w:val="74053503"/>
    <w:rsid w:val="740D6797"/>
    <w:rsid w:val="746960C4"/>
    <w:rsid w:val="74716D26"/>
    <w:rsid w:val="7496678D"/>
    <w:rsid w:val="74EE481B"/>
    <w:rsid w:val="7503542B"/>
    <w:rsid w:val="75420EE6"/>
    <w:rsid w:val="75556648"/>
    <w:rsid w:val="75797AA3"/>
    <w:rsid w:val="757F36C5"/>
    <w:rsid w:val="759233F8"/>
    <w:rsid w:val="75CB4B5C"/>
    <w:rsid w:val="75D21A46"/>
    <w:rsid w:val="75D67789"/>
    <w:rsid w:val="75F75951"/>
    <w:rsid w:val="75FC6AC3"/>
    <w:rsid w:val="76064C8F"/>
    <w:rsid w:val="7610431D"/>
    <w:rsid w:val="76377AFB"/>
    <w:rsid w:val="76515061"/>
    <w:rsid w:val="767C30DF"/>
    <w:rsid w:val="768076F4"/>
    <w:rsid w:val="768F16E6"/>
    <w:rsid w:val="76945F9C"/>
    <w:rsid w:val="76A35191"/>
    <w:rsid w:val="76D37824"/>
    <w:rsid w:val="76F459ED"/>
    <w:rsid w:val="76FD6F97"/>
    <w:rsid w:val="77073972"/>
    <w:rsid w:val="770F2826"/>
    <w:rsid w:val="77151E2E"/>
    <w:rsid w:val="773504DF"/>
    <w:rsid w:val="779A2A38"/>
    <w:rsid w:val="77C42DC8"/>
    <w:rsid w:val="77D23F80"/>
    <w:rsid w:val="77E14C61"/>
    <w:rsid w:val="77F008AA"/>
    <w:rsid w:val="78063C29"/>
    <w:rsid w:val="780B56E4"/>
    <w:rsid w:val="781E7BA9"/>
    <w:rsid w:val="783562BD"/>
    <w:rsid w:val="7851759A"/>
    <w:rsid w:val="78574485"/>
    <w:rsid w:val="787470BF"/>
    <w:rsid w:val="788D60F9"/>
    <w:rsid w:val="78915BE9"/>
    <w:rsid w:val="789E3E62"/>
    <w:rsid w:val="78AD22F7"/>
    <w:rsid w:val="78CE0BEB"/>
    <w:rsid w:val="78D12489"/>
    <w:rsid w:val="78D15FEE"/>
    <w:rsid w:val="78DC2326"/>
    <w:rsid w:val="78FC7D17"/>
    <w:rsid w:val="79346574"/>
    <w:rsid w:val="793B4623"/>
    <w:rsid w:val="79570BE0"/>
    <w:rsid w:val="796B643A"/>
    <w:rsid w:val="79A25BD4"/>
    <w:rsid w:val="79A454A8"/>
    <w:rsid w:val="79C370A4"/>
    <w:rsid w:val="79C67B14"/>
    <w:rsid w:val="79CA6D8D"/>
    <w:rsid w:val="79DD6C0C"/>
    <w:rsid w:val="79FC3536"/>
    <w:rsid w:val="7A146AD1"/>
    <w:rsid w:val="7A2E1215"/>
    <w:rsid w:val="7A3F77A0"/>
    <w:rsid w:val="7A56118E"/>
    <w:rsid w:val="7A5A025C"/>
    <w:rsid w:val="7A684727"/>
    <w:rsid w:val="7A770E0E"/>
    <w:rsid w:val="7AD718AD"/>
    <w:rsid w:val="7AE30252"/>
    <w:rsid w:val="7B3960C4"/>
    <w:rsid w:val="7B542EFE"/>
    <w:rsid w:val="7B6273C9"/>
    <w:rsid w:val="7B6E2211"/>
    <w:rsid w:val="7B75534E"/>
    <w:rsid w:val="7B851309"/>
    <w:rsid w:val="7B86755B"/>
    <w:rsid w:val="7BA93249"/>
    <w:rsid w:val="7BB5399C"/>
    <w:rsid w:val="7BD858DD"/>
    <w:rsid w:val="7BEB1AB4"/>
    <w:rsid w:val="7CB225D2"/>
    <w:rsid w:val="7CB9570E"/>
    <w:rsid w:val="7CC12815"/>
    <w:rsid w:val="7CC876FF"/>
    <w:rsid w:val="7CD24BE6"/>
    <w:rsid w:val="7CE87DA1"/>
    <w:rsid w:val="7CFE1373"/>
    <w:rsid w:val="7CFE5817"/>
    <w:rsid w:val="7D0C1556"/>
    <w:rsid w:val="7D162B61"/>
    <w:rsid w:val="7D3A23FC"/>
    <w:rsid w:val="7D657644"/>
    <w:rsid w:val="7D6733BC"/>
    <w:rsid w:val="7DA97531"/>
    <w:rsid w:val="7DB61C4E"/>
    <w:rsid w:val="7DC562DE"/>
    <w:rsid w:val="7DD24CD9"/>
    <w:rsid w:val="7DD345AE"/>
    <w:rsid w:val="7DEE6983"/>
    <w:rsid w:val="7E156974"/>
    <w:rsid w:val="7E2114A5"/>
    <w:rsid w:val="7E281378"/>
    <w:rsid w:val="7E350DC4"/>
    <w:rsid w:val="7E394D59"/>
    <w:rsid w:val="7E4E2857"/>
    <w:rsid w:val="7E7C69F3"/>
    <w:rsid w:val="7E7F4735"/>
    <w:rsid w:val="7E8D0C00"/>
    <w:rsid w:val="7EB20667"/>
    <w:rsid w:val="7EC34622"/>
    <w:rsid w:val="7ECE6459"/>
    <w:rsid w:val="7ED90A98"/>
    <w:rsid w:val="7EE50A3C"/>
    <w:rsid w:val="7EE8052D"/>
    <w:rsid w:val="7EEF71C5"/>
    <w:rsid w:val="7EF23159"/>
    <w:rsid w:val="7F0013D2"/>
    <w:rsid w:val="7F0864D9"/>
    <w:rsid w:val="7F175946"/>
    <w:rsid w:val="7F201A75"/>
    <w:rsid w:val="7F3E1EFB"/>
    <w:rsid w:val="7F5B485B"/>
    <w:rsid w:val="7F631961"/>
    <w:rsid w:val="7F6F0306"/>
    <w:rsid w:val="7FB06BBB"/>
    <w:rsid w:val="7FD4460D"/>
    <w:rsid w:val="7FE17456"/>
    <w:rsid w:val="7FE231CE"/>
    <w:rsid w:val="7FF058EB"/>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line="360" w:lineRule="auto"/>
      <w:jc w:val="center"/>
      <w:outlineLvl w:val="2"/>
    </w:pPr>
    <w:rPr>
      <w:rFonts w:ascii="宋体" w:hAnsi="宋体" w:eastAsia="宋体"/>
      <w:b/>
      <w:kern w:val="0"/>
      <w:sz w:val="28"/>
      <w:szCs w:val="20"/>
      <w:u w:val="single"/>
    </w:rPr>
  </w:style>
  <w:style w:type="paragraph" w:styleId="6">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26">
    <w:name w:val="Default Paragraph Font"/>
    <w:semiHidden/>
    <w:qFormat/>
    <w:uiPriority w:val="0"/>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unhideWhenUsed/>
    <w:qFormat/>
    <w:uiPriority w:val="99"/>
    <w:pPr>
      <w:spacing w:before="120" w:beforeLines="0"/>
    </w:pPr>
    <w:rPr>
      <w:rFonts w:ascii="Cambria" w:hAnsi="Cambria" w:cs="Times New Roman"/>
      <w:sz w:val="24"/>
      <w:szCs w:val="24"/>
    </w:rPr>
  </w:style>
  <w:style w:type="paragraph" w:styleId="9">
    <w:name w:val="annotation text"/>
    <w:basedOn w:val="1"/>
    <w:qFormat/>
    <w:uiPriority w:val="99"/>
    <w:pPr>
      <w:jc w:val="left"/>
    </w:pPr>
  </w:style>
  <w:style w:type="paragraph" w:styleId="10">
    <w:name w:val="Body Text"/>
    <w:basedOn w:val="1"/>
    <w:next w:val="1"/>
    <w:semiHidden/>
    <w:qFormat/>
    <w:uiPriority w:val="0"/>
    <w:rPr>
      <w:rFonts w:ascii="宋体" w:hAnsi="宋体" w:eastAsia="宋体" w:cs="宋体"/>
      <w:sz w:val="28"/>
      <w:szCs w:val="28"/>
      <w:lang w:val="en-US" w:eastAsia="en-US" w:bidi="ar-SA"/>
    </w:rPr>
  </w:style>
  <w:style w:type="paragraph" w:styleId="11">
    <w:name w:val="Body Text Indent"/>
    <w:basedOn w:val="1"/>
    <w:next w:val="7"/>
    <w:qFormat/>
    <w:uiPriority w:val="0"/>
    <w:pPr>
      <w:spacing w:line="360" w:lineRule="auto"/>
      <w:ind w:firstLine="570"/>
    </w:pPr>
    <w:rPr>
      <w:sz w:val="24"/>
    </w:rPr>
  </w:style>
  <w:style w:type="paragraph" w:styleId="12">
    <w:name w:val="Plain Text"/>
    <w:basedOn w:val="1"/>
    <w:next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next w:val="10"/>
    <w:qFormat/>
    <w:uiPriority w:val="0"/>
    <w:pPr>
      <w:snapToGrid w:val="0"/>
      <w:jc w:val="left"/>
    </w:pPr>
    <w:rPr>
      <w:sz w:val="18"/>
    </w:rPr>
  </w:style>
  <w:style w:type="paragraph" w:styleId="19">
    <w:name w:val="toc 2"/>
    <w:basedOn w:val="1"/>
    <w:next w:val="1"/>
    <w:qFormat/>
    <w:uiPriority w:val="0"/>
    <w:pPr>
      <w:ind w:left="420" w:leftChars="200"/>
    </w:pPr>
  </w:style>
  <w:style w:type="paragraph" w:styleId="20">
    <w:name w:val="Normal (Web)"/>
    <w:basedOn w:val="1"/>
    <w:next w:val="21"/>
    <w:qFormat/>
    <w:uiPriority w:val="0"/>
    <w:pPr>
      <w:widowControl/>
      <w:spacing w:before="100" w:beforeAutospacing="1" w:after="100" w:afterAutospacing="1"/>
      <w:jc w:val="left"/>
    </w:pPr>
    <w:rPr>
      <w:rFonts w:ascii="宋体" w:hAnsi="宋体" w:cs="宋体"/>
      <w:kern w:val="0"/>
      <w:sz w:val="24"/>
    </w:rPr>
  </w:style>
  <w:style w:type="paragraph" w:customStyle="1" w:styleId="2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w:basedOn w:val="10"/>
    <w:unhideWhenUsed/>
    <w:qFormat/>
    <w:uiPriority w:val="99"/>
    <w:pPr>
      <w:tabs>
        <w:tab w:val="left" w:pos="567"/>
      </w:tabs>
      <w:ind w:firstLine="420" w:firstLineChars="100"/>
    </w:pPr>
  </w:style>
  <w:style w:type="paragraph" w:styleId="23">
    <w:name w:val="Body Text First Indent 2"/>
    <w:basedOn w:val="11"/>
    <w:next w:val="7"/>
    <w:qFormat/>
    <w:uiPriority w:val="0"/>
    <w:pPr>
      <w:ind w:firstLine="420" w:firstLineChars="200"/>
    </w:pPr>
    <w:rPr>
      <w:rFonts w:ascii="Calibri" w:hAnsi="Calibri" w:eastAsia="宋体" w:cs="Times New Roman"/>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3">
    <w:name w:val="纯文本1"/>
    <w:basedOn w:val="1"/>
    <w:qFormat/>
    <w:uiPriority w:val="0"/>
    <w:rPr>
      <w:rFonts w:ascii="宋体" w:hAnsi="Courier New"/>
      <w:kern w:val="0"/>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List Paragraph"/>
    <w:basedOn w:val="1"/>
    <w:qFormat/>
    <w:uiPriority w:val="0"/>
    <w:pPr>
      <w:ind w:firstLine="420" w:firstLineChars="200"/>
    </w:pPr>
    <w:rPr>
      <w:rFonts w:ascii="Calibri" w:hAnsi="Calibri" w:cs="Calibri"/>
      <w:szCs w:val="21"/>
    </w:rPr>
  </w:style>
  <w:style w:type="paragraph" w:customStyle="1" w:styleId="36">
    <w:name w:val="正文-公1"/>
    <w:basedOn w:val="1"/>
    <w:next w:val="14"/>
    <w:autoRedefine/>
    <w:qFormat/>
    <w:uiPriority w:val="0"/>
    <w:pPr>
      <w:ind w:firstLine="200" w:firstLineChars="200"/>
    </w:pPr>
    <w:rPr>
      <w:rFonts w:ascii="Times New Roman" w:hAnsi="Times New Roman" w:eastAsia="宋体" w:cs="Times New Roman"/>
      <w:color w:val="000000"/>
      <w:szCs w:val="20"/>
    </w:rPr>
  </w:style>
  <w:style w:type="character" w:customStyle="1" w:styleId="37">
    <w:name w:val="font21"/>
    <w:basedOn w:val="26"/>
    <w:qFormat/>
    <w:uiPriority w:val="0"/>
    <w:rPr>
      <w:rFonts w:hint="eastAsia" w:ascii="宋体" w:hAnsi="宋体" w:eastAsia="宋体" w:cs="宋体"/>
      <w:color w:val="000000"/>
      <w:sz w:val="21"/>
      <w:szCs w:val="21"/>
      <w:u w:val="none"/>
    </w:rPr>
  </w:style>
  <w:style w:type="character" w:customStyle="1" w:styleId="38">
    <w:name w:val="font31"/>
    <w:basedOn w:val="26"/>
    <w:qFormat/>
    <w:uiPriority w:val="0"/>
    <w:rPr>
      <w:rFonts w:hint="eastAsia" w:ascii="黑体" w:hAnsi="宋体" w:eastAsia="黑体" w:cs="黑体"/>
      <w:color w:val="000000"/>
      <w:sz w:val="44"/>
      <w:szCs w:val="44"/>
      <w:u w:val="none"/>
    </w:rPr>
  </w:style>
  <w:style w:type="character" w:customStyle="1" w:styleId="39">
    <w:name w:val="font51"/>
    <w:basedOn w:val="26"/>
    <w:qFormat/>
    <w:uiPriority w:val="0"/>
    <w:rPr>
      <w:rFonts w:ascii="Arial" w:hAnsi="Arial" w:cs="Arial"/>
      <w:color w:val="000000"/>
      <w:sz w:val="20"/>
      <w:szCs w:val="20"/>
      <w:u w:val="none"/>
    </w:rPr>
  </w:style>
  <w:style w:type="character" w:customStyle="1" w:styleId="40">
    <w:name w:val="font61"/>
    <w:basedOn w:val="26"/>
    <w:qFormat/>
    <w:uiPriority w:val="0"/>
    <w:rPr>
      <w:rFonts w:hint="default" w:ascii="Times New Roman" w:hAnsi="Times New Roman" w:cs="Times New Roman"/>
      <w:color w:val="000000"/>
      <w:sz w:val="20"/>
      <w:szCs w:val="20"/>
      <w:u w:val="none"/>
    </w:rPr>
  </w:style>
  <w:style w:type="character" w:customStyle="1" w:styleId="41">
    <w:name w:val="font71"/>
    <w:basedOn w:val="26"/>
    <w:qFormat/>
    <w:uiPriority w:val="0"/>
    <w:rPr>
      <w:rFonts w:ascii="Symbol" w:hAnsi="Symbol" w:cs="Symbol"/>
      <w:color w:val="000000"/>
      <w:sz w:val="20"/>
      <w:szCs w:val="20"/>
      <w:u w:val="none"/>
    </w:rPr>
  </w:style>
  <w:style w:type="character" w:customStyle="1" w:styleId="42">
    <w:name w:val="font41"/>
    <w:basedOn w:val="26"/>
    <w:qFormat/>
    <w:uiPriority w:val="0"/>
    <w:rPr>
      <w:rFonts w:ascii="Segoe UI" w:hAnsi="Segoe UI" w:eastAsia="Segoe UI" w:cs="Segoe UI"/>
      <w:color w:val="000000"/>
      <w:sz w:val="20"/>
      <w:szCs w:val="20"/>
      <w:u w:val="none"/>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44">
    <w:name w:val="标题 2 Char"/>
    <w:link w:val="4"/>
    <w:qFormat/>
    <w:uiPriority w:val="0"/>
    <w:rPr>
      <w:rFonts w:ascii="Arial" w:hAnsi="Arial" w:eastAsia="黑体"/>
      <w:b/>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header" Target="header6.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5.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177</Pages>
  <Words>19290</Words>
  <Characters>20455</Characters>
  <TotalTime>49</TotalTime>
  <ScaleCrop>false</ScaleCrop>
  <LinksUpToDate>false</LinksUpToDate>
  <CharactersWithSpaces>22858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2024-03-20T16:13:00Z</dcterms:created>
  <dc:creator>USER-</dc:creator>
  <cp:lastModifiedBy>壮士</cp:lastModifiedBy>
  <dcterms:modified xsi:type="dcterms:W3CDTF">2026-06-01T10:20:24Z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2024-08-07T12:13:17Z</vt:filetime>
  </property>
  <property fmtid="{D5CDD505-2E9C-101B-9397-08002B2CF9AE}" pid="4" name="KSOProductBuildVer">
    <vt:lpwstr>2052-12.1.0.26375</vt:lpwstr>
  </property>
  <property fmtid="{D5CDD505-2E9C-101B-9397-08002B2CF9AE}" pid="5" name="ICV">
    <vt:lpwstr>44101E1E037447B49B1E4CB4CF86F6DF_13</vt:lpwstr>
  </property>
  <property fmtid="{D5CDD505-2E9C-101B-9397-08002B2CF9AE}" pid="6" name="KSOTemplateDocerSaveRecord">
    <vt:lpwstr>eyJoZGlkIjoiZDg2Y2NhZjQzMDY1MGJhOGVjMmQzOTMzZGUxMTVmZDYiLCJ1c2VySWQiOiI0MTk1OTA4ODQifQ==</vt:lpwstr>
  </property>
</Properties>
</file>