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版本号：N511781202600006920260507001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G210万源市国道大中修及预防性养护工程竣（交）工验收试验检测服务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N5117812026000069</w:t>
      </w:r>
    </w:p>
    <w:p>
      <w:pPr>
        <w:pStyle w:val="null3"/>
        <w:jc w:val="center"/>
        <w:outlineLvl w:val="2"/>
      </w:pPr>
      <w:r>
        <w:rPr>
          <w:rFonts w:ascii="仿宋_GB2312" w:hAnsi="仿宋_GB2312" w:cs="仿宋_GB2312" w:eastAsia="仿宋_GB2312"/>
          <w:sz w:val="28"/>
          <w:b/>
        </w:rPr>
        <w:t>万源市公路养护管理一段</w:t>
      </w:r>
    </w:p>
    <w:p>
      <w:pPr>
        <w:pStyle w:val="null3"/>
        <w:jc w:val="center"/>
        <w:outlineLvl w:val="2"/>
      </w:pPr>
      <w:r>
        <w:rPr>
          <w:rFonts w:ascii="仿宋_GB2312" w:hAnsi="仿宋_GB2312" w:cs="仿宋_GB2312" w:eastAsia="仿宋_GB2312"/>
          <w:sz w:val="28"/>
          <w:b/>
        </w:rPr>
        <w:t>万源市人民政府采购中心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万源市人民政府采购中心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万源市公路养护管理一段</w:t>
      </w:r>
      <w:r>
        <w:rPr>
          <w:rFonts w:ascii="仿宋_GB2312" w:hAnsi="仿宋_GB2312" w:cs="仿宋_GB2312" w:eastAsia="仿宋_GB2312"/>
        </w:rPr>
        <w:t xml:space="preserve"> 委托，拟对 </w:t>
      </w:r>
      <w:r>
        <w:rPr>
          <w:rFonts w:ascii="仿宋_GB2312" w:hAnsi="仿宋_GB2312" w:cs="仿宋_GB2312" w:eastAsia="仿宋_GB2312"/>
        </w:rPr>
        <w:t>G210万源市国道大中修及预防性养护工程竣（交）工验收试验检测服务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达州市万源市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N5117812026000069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G210万源市国道大中修及预防性养护工程竣（交）工验收试验检测服务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）本采购文件涉及【询问、质疑回复】均以此为准：</w:t>
      </w:r>
      <w:r>
        <w:rPr>
          <w:rFonts w:ascii="仿宋_GB2312" w:hAnsi="仿宋_GB2312" w:cs="仿宋_GB2312" w:eastAsia="仿宋_GB2312"/>
          <w:sz w:val="21"/>
        </w:rPr>
        <w:t>①采购文件中采购需求和采购实施计划的询问、质疑：采购人；②除采购需求和采购实施计划外的采购文件的询问、质疑：采购代理机构；③采购过程、采购结果的询问、质疑：采购代理机构。</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特殊资格条件（描述：（1）供应商具有并提供主管部门颁发的公路工程综合乙级及以上检测资质或公路工程乙级及以上检测资质；（2）供应商具有并提供主管部门颁发的计量认证证书（CMA）。注：供应商需在使用投标(响应)客户端编制响应文件时按要求上传相应证明文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万源市公路养护管理一段</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万源市古东街道长征路29号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0818-8623063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万源市人民政府采购中心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四川省达州市万源市河西政务大楼七楼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万源市人民政府采购中心</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0818-8508896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采购包1：959,115.00元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万源市公路养护管理一段</w:t>
      </w:r>
      <w:r>
        <w:rPr>
          <w:rFonts w:ascii="仿宋_GB2312" w:hAnsi="仿宋_GB2312" w:cs="仿宋_GB2312" w:eastAsia="仿宋_GB2312"/>
        </w:rPr>
        <w:t xml:space="preserve"> 和 </w:t>
      </w:r>
      <w:r>
        <w:rPr>
          <w:rFonts w:ascii="仿宋_GB2312" w:hAnsi="仿宋_GB2312" w:cs="仿宋_GB2312" w:eastAsia="仿宋_GB2312"/>
        </w:rPr>
        <w:t>万源市人民政府采购中心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万源市公路养护管理一段</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万源市人民政府采购中心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履约验收各条款间有不一致时，按较高标准执行。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采购文件、投标（响应）文件、合同等规定的内容及要求。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采购文件、投标（响应）文件、合同等规定的内容及要求。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本项目的采购文件、中标（成交）供应商投标（响应）文件、采购合同、法律法规及政策的强制性规定。（2）履约过程中，甲方和乙方应做出详尽的现场记录，或由甲乙双方签署备忘录，此现场记录或备忘录可用作补充、缺失和整改的有效证据，由此产生的时间延误与有关费用由乙方承担，验收期限相应顺延。（3）其他未尽事宜严格执行《政府采购需求管理办法》（财库〔2021〕22号）、《财政部关于进一步加强政府采购需求和履约验收管理的指导意见》（财库〔2016〕205号）。</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万源市公路养护管理一段</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万源市人民政府采购中心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万源市人民政府采购中心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联系人：余先生</w:t>
      </w:r>
    </w:p>
    <w:p>
      <w:pPr>
        <w:pStyle w:val="null3"/>
        <w:jc w:val="left"/>
      </w:pPr>
      <w:r>
        <w:rPr>
          <w:rFonts w:ascii="仿宋_GB2312" w:hAnsi="仿宋_GB2312" w:cs="仿宋_GB2312" w:eastAsia="仿宋_GB2312"/>
        </w:rPr>
        <w:t>联系电话：0818-8623063</w:t>
      </w:r>
    </w:p>
    <w:p>
      <w:pPr>
        <w:pStyle w:val="null3"/>
        <w:jc w:val="left"/>
      </w:pPr>
      <w:r>
        <w:rPr>
          <w:rFonts w:ascii="仿宋_GB2312" w:hAnsi="仿宋_GB2312" w:cs="仿宋_GB2312" w:eastAsia="仿宋_GB2312"/>
        </w:rPr>
        <w:t>地址：万源市古东街道长征路29号</w:t>
      </w:r>
    </w:p>
    <w:p>
      <w:pPr>
        <w:pStyle w:val="null3"/>
        <w:jc w:val="left"/>
      </w:pPr>
      <w:r>
        <w:rPr>
          <w:rFonts w:ascii="仿宋_GB2312" w:hAnsi="仿宋_GB2312" w:cs="仿宋_GB2312" w:eastAsia="仿宋_GB2312"/>
        </w:rPr>
        <w:t>邮编：636350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959,115.00</w:t>
      </w:r>
    </w:p>
    <w:p>
      <w:pPr>
        <w:pStyle w:val="null3"/>
        <w:jc w:val="left"/>
      </w:pPr>
      <w:r>
        <w:rPr>
          <w:rFonts w:ascii="仿宋_GB2312" w:hAnsi="仿宋_GB2312" w:cs="仿宋_GB2312" w:eastAsia="仿宋_GB2312"/>
        </w:rPr>
        <w:t>采购包最高限价（元）: 475,600.00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C19010000 技术测试和分析服务</w:t>
            </w:r>
          </w:p>
        </w:tc>
        <w:tc>
          <w:tcPr>
            <w:tcW w:type="dxa" w:w="821"/>
          </w:tcPr>
          <w:p>
            <w:pPr>
              <w:pStyle w:val="null3"/>
              <w:jc w:val="left"/>
            </w:pPr>
            <w:r>
              <w:rPr>
                <w:rFonts w:ascii="仿宋_GB2312" w:hAnsi="仿宋_GB2312" w:cs="仿宋_GB2312" w:eastAsia="仿宋_GB2312"/>
              </w:rPr>
              <w:t>G210万源市国道大中修及预防性养护工程竣（交）工验收试验检测服务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475,600.00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G210 万源市国道大中修及预防性养护工程竣（交）工验收试验检测服务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475,600.00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标的名称：G210万源市国道大中修及预防性养护工程竣（交）工验收试验检测服务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项目概况</w:t>
            </w:r>
          </w:p>
        </w:tc>
        <w:tc>
          <w:tcPr>
            <w:tcW w:type="dxa" w:w="5814"/>
          </w:tcPr>
          <w:p>
            <w:pPr>
              <w:pStyle w:val="null3"/>
              <w:jc w:val="left"/>
            </w:pPr>
            <w:r>
              <w:rPr>
                <w:rFonts w:ascii="仿宋_GB2312" w:hAnsi="仿宋_GB2312" w:cs="仿宋_GB2312" w:eastAsia="仿宋_GB2312"/>
                <w:sz w:val="21"/>
                <w:shd w:fill="FFFFFF" w:val="clear"/>
              </w:rPr>
              <w:t>本项目负责</w:t>
            </w:r>
            <w:r>
              <w:rPr>
                <w:rFonts w:ascii="仿宋_GB2312" w:hAnsi="仿宋_GB2312" w:cs="仿宋_GB2312" w:eastAsia="仿宋_GB2312"/>
                <w:sz w:val="21"/>
                <w:shd w:fill="FFFFFF" w:val="clear"/>
              </w:rPr>
              <w:t>G210</w:t>
            </w:r>
            <w:r>
              <w:rPr>
                <w:rFonts w:ascii="仿宋_GB2312" w:hAnsi="仿宋_GB2312" w:cs="仿宋_GB2312" w:eastAsia="仿宋_GB2312"/>
                <w:sz w:val="21"/>
                <w:shd w:fill="FFFFFF" w:val="clear"/>
              </w:rPr>
              <w:t>万源市国道大中修及预防性养护程竣（交）工验收试验检测工作。依据交通部《公路工程竣（交）工验收办法》《公路工程竣（交）工验收办法实施细则》等相关规定，按照规定抽检频率开展竣（交）工验收质量检测工作，检测工作包括但不限于路基、路面、桥梁、交通安全设施等工程的实体质量检测、外观检查和内业资料审查，并提供竣（交）工验收质量检测报告。</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项目技术、服务要求</w:t>
            </w:r>
          </w:p>
        </w:tc>
        <w:tc>
          <w:tcPr>
            <w:tcW w:type="dxa" w:w="5814"/>
          </w:tcPr>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外观检测：</w:t>
            </w:r>
            <w:r>
              <w:rPr>
                <w:rFonts w:ascii="仿宋_GB2312" w:hAnsi="仿宋_GB2312" w:cs="仿宋_GB2312" w:eastAsia="仿宋_GB2312"/>
                <w:sz w:val="21"/>
              </w:rPr>
              <w:t>按照《公路工程竣（交）工验收办法实施细则》的要求对全线结构物进行外观检测，包括路基工程、路面工程、桥梁工程、交通安全设施</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实体检测：</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）路基工程、路面工程、交安设施工程：按实施细则的要求和本工程的特点，建设里程</w:t>
            </w:r>
            <w:r>
              <w:rPr>
                <w:rFonts w:ascii="仿宋_GB2312" w:hAnsi="仿宋_GB2312" w:cs="仿宋_GB2312" w:eastAsia="仿宋_GB2312"/>
                <w:sz w:val="21"/>
              </w:rPr>
              <w:t xml:space="preserve">64.229 </w:t>
            </w:r>
            <w:r>
              <w:rPr>
                <w:rFonts w:ascii="仿宋_GB2312" w:hAnsi="仿宋_GB2312" w:cs="仿宋_GB2312" w:eastAsia="仿宋_GB2312"/>
                <w:sz w:val="21"/>
              </w:rPr>
              <w:t>公里。分别进行路基土石方、涵洞、排水工程、支挡工程、路面面层、交通安全设施按细则要求的检测参数和频率进行检测。（</w:t>
            </w:r>
            <w:r>
              <w:rPr>
                <w:rFonts w:ascii="仿宋_GB2312" w:hAnsi="仿宋_GB2312" w:cs="仿宋_GB2312" w:eastAsia="仿宋_GB2312"/>
                <w:sz w:val="21"/>
              </w:rPr>
              <w:t>2</w:t>
            </w:r>
            <w:r>
              <w:rPr>
                <w:rFonts w:ascii="仿宋_GB2312" w:hAnsi="仿宋_GB2312" w:cs="仿宋_GB2312" w:eastAsia="仿宋_GB2312"/>
                <w:sz w:val="21"/>
              </w:rPr>
              <w:t xml:space="preserve">）桥梁工程：全线桥梁 </w:t>
            </w:r>
            <w:r>
              <w:rPr>
                <w:rFonts w:ascii="仿宋_GB2312" w:hAnsi="仿宋_GB2312" w:cs="仿宋_GB2312" w:eastAsia="仿宋_GB2312"/>
                <w:sz w:val="21"/>
              </w:rPr>
              <w:t xml:space="preserve">12 </w:t>
            </w:r>
            <w:r>
              <w:rPr>
                <w:rFonts w:ascii="仿宋_GB2312" w:hAnsi="仿宋_GB2312" w:cs="仿宋_GB2312" w:eastAsia="仿宋_GB2312"/>
                <w:sz w:val="21"/>
              </w:rPr>
              <w:t>座，按细则要求并结合本工程的特点，对全部桥梁按细则要求的检测参数和频率进行检测。</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试验检测数量表</w:t>
            </w:r>
          </w:p>
          <w:tbl>
            <w:tblPr>
              <w:tblBorders>
                <w:top w:val="none" w:color="000000" w:sz="4"/>
                <w:left w:val="none" w:color="000000" w:sz="4"/>
                <w:bottom w:val="none" w:color="000000" w:sz="4"/>
                <w:right w:val="none" w:color="000000" w:sz="4"/>
                <w:insideH w:val="none"/>
                <w:insideV w:val="none"/>
              </w:tblBorders>
            </w:tblPr>
            <w:tblGrid>
              <w:gridCol w:w="450"/>
              <w:gridCol w:w="630"/>
              <w:gridCol w:w="900"/>
              <w:gridCol w:w="990"/>
              <w:gridCol w:w="750"/>
              <w:gridCol w:w="630"/>
              <w:gridCol w:w="900"/>
            </w:tblGrid>
            <w:tr>
              <w:tc>
                <w:tcPr>
                  <w:tcW w:type="dxa" w:w="450"/>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3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单位工程</w:t>
                  </w:r>
                </w:p>
              </w:tc>
              <w:tc>
                <w:tcPr>
                  <w:tcW w:type="dxa" w:w="90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分部</w:t>
                  </w:r>
                </w:p>
                <w:p>
                  <w:pPr>
                    <w:pStyle w:val="null3"/>
                    <w:jc w:val="center"/>
                  </w:pPr>
                  <w:r>
                    <w:rPr>
                      <w:rFonts w:ascii="仿宋_GB2312" w:hAnsi="仿宋_GB2312" w:cs="仿宋_GB2312" w:eastAsia="仿宋_GB2312"/>
                      <w:sz w:val="21"/>
                      <w:b/>
                    </w:rPr>
                    <w:t>工程</w:t>
                  </w:r>
                </w:p>
              </w:tc>
              <w:tc>
                <w:tcPr>
                  <w:tcW w:type="dxa" w:w="99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检测</w:t>
                  </w:r>
                </w:p>
                <w:p>
                  <w:pPr>
                    <w:pStyle w:val="null3"/>
                    <w:jc w:val="center"/>
                  </w:pPr>
                  <w:r>
                    <w:rPr>
                      <w:rFonts w:ascii="仿宋_GB2312" w:hAnsi="仿宋_GB2312" w:cs="仿宋_GB2312" w:eastAsia="仿宋_GB2312"/>
                      <w:sz w:val="21"/>
                      <w:b/>
                    </w:rPr>
                    <w:t>项目</w:t>
                  </w:r>
                </w:p>
              </w:tc>
              <w:tc>
                <w:tcPr>
                  <w:tcW w:type="dxa" w:w="75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63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900"/>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路基工程</w:t>
                  </w:r>
                </w:p>
              </w:tc>
              <w:tc>
                <w:tcPr>
                  <w:tcW w:type="dxa" w:w="9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支挡工程</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混凝土强度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测区</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每道混凝土强度不少于</w:t>
                  </w:r>
                  <w:r>
                    <w:rPr>
                      <w:rFonts w:ascii="仿宋_GB2312" w:hAnsi="仿宋_GB2312" w:cs="仿宋_GB2312" w:eastAsia="仿宋_GB2312"/>
                      <w:sz w:val="21"/>
                    </w:rPr>
                    <w:t>10</w:t>
                  </w:r>
                  <w:r>
                    <w:rPr>
                      <w:rFonts w:ascii="仿宋_GB2312" w:hAnsi="仿宋_GB2312" w:cs="仿宋_GB2312" w:eastAsia="仿宋_GB2312"/>
                      <w:sz w:val="21"/>
                    </w:rPr>
                    <w:t>个测区</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断面尺寸</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断面</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总数的</w:t>
                  </w:r>
                  <w:r>
                    <w:rPr>
                      <w:rFonts w:ascii="仿宋_GB2312" w:hAnsi="仿宋_GB2312" w:cs="仿宋_GB2312" w:eastAsia="仿宋_GB2312"/>
                      <w:sz w:val="21"/>
                    </w:rPr>
                    <w:t>10%</w:t>
                  </w:r>
                  <w:r>
                    <w:rPr>
                      <w:rFonts w:ascii="仿宋_GB2312" w:hAnsi="仿宋_GB2312" w:cs="仿宋_GB2312" w:eastAsia="仿宋_GB2312"/>
                      <w:sz w:val="21"/>
                    </w:rPr>
                    <w:t>，每种类型</w:t>
                  </w:r>
                  <w:r>
                    <w:rPr>
                      <w:rFonts w:ascii="仿宋_GB2312" w:hAnsi="仿宋_GB2312" w:cs="仿宋_GB2312" w:eastAsia="仿宋_GB2312"/>
                      <w:sz w:val="21"/>
                    </w:rPr>
                    <w:t>1</w:t>
                  </w:r>
                  <w:r>
                    <w:rPr>
                      <w:rFonts w:ascii="仿宋_GB2312" w:hAnsi="仿宋_GB2312" w:cs="仿宋_GB2312" w:eastAsia="仿宋_GB2312"/>
                      <w:sz w:val="21"/>
                    </w:rPr>
                    <w:t>道</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30"/>
                  <w:vMerge/>
                  <w:tcBorders>
                    <w:top w:val="none" w:color="000000" w:sz="4"/>
                    <w:left w:val="none" w:color="000000" w:sz="4"/>
                    <w:bottom w:val="single" w:color="000000" w:sz="4"/>
                    <w:right w:val="single" w:color="000000" w:sz="4"/>
                  </w:tcBorders>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路基土石方</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边坡</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坡面</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1</w:t>
                  </w:r>
                  <w:r>
                    <w:rPr>
                      <w:rFonts w:ascii="仿宋_GB2312" w:hAnsi="仿宋_GB2312" w:cs="仿宋_GB2312" w:eastAsia="仿宋_GB2312"/>
                      <w:sz w:val="21"/>
                    </w:rPr>
                    <w:t>处</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30"/>
                  <w:vMerge/>
                  <w:tcBorders>
                    <w:top w:val="none" w:color="000000" w:sz="4"/>
                    <w:left w:val="none" w:color="000000" w:sz="4"/>
                    <w:bottom w:val="single" w:color="000000" w:sz="4"/>
                    <w:right w:val="single" w:color="000000" w:sz="4"/>
                  </w:tcBorders>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排水工程</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断面尺寸</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断面</w:t>
                  </w:r>
                  <w:r>
                    <w:rPr>
                      <w:rFonts w:ascii="仿宋_GB2312" w:hAnsi="仿宋_GB2312" w:cs="仿宋_GB2312" w:eastAsia="仿宋_GB2312"/>
                      <w:sz w:val="21"/>
                    </w:rPr>
                    <w:t>/</w:t>
                  </w:r>
                  <w:r>
                    <w:rPr>
                      <w:rFonts w:ascii="仿宋_GB2312" w:hAnsi="仿宋_GB2312" w:cs="仿宋_GB2312" w:eastAsia="仿宋_GB2312"/>
                      <w:sz w:val="21"/>
                    </w:rPr>
                    <w:t>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108/324</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2</w:t>
                  </w:r>
                  <w:r>
                    <w:rPr>
                      <w:rFonts w:ascii="仿宋_GB2312" w:hAnsi="仿宋_GB2312" w:cs="仿宋_GB2312" w:eastAsia="仿宋_GB2312"/>
                      <w:sz w:val="21"/>
                    </w:rPr>
                    <w:t>处</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路面工程</w:t>
                  </w:r>
                </w:p>
              </w:tc>
              <w:tc>
                <w:tcPr>
                  <w:tcW w:type="dxa" w:w="9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沥青路面层</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压实度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1</w:t>
                  </w:r>
                  <w:r>
                    <w:rPr>
                      <w:rFonts w:ascii="仿宋_GB2312" w:hAnsi="仿宋_GB2312" w:cs="仿宋_GB2312" w:eastAsia="仿宋_GB2312"/>
                      <w:sz w:val="21"/>
                    </w:rPr>
                    <w:t>处</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厚度（钻芯法）</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1</w:t>
                  </w:r>
                  <w:r>
                    <w:rPr>
                      <w:rFonts w:ascii="仿宋_GB2312" w:hAnsi="仿宋_GB2312" w:cs="仿宋_GB2312" w:eastAsia="仿宋_GB2312"/>
                      <w:sz w:val="21"/>
                    </w:rPr>
                    <w:t>处</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厚度（雷达法）</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车道</w:t>
                  </w:r>
                  <w:r>
                    <w:rPr>
                      <w:rFonts w:ascii="仿宋_GB2312" w:hAnsi="仿宋_GB2312" w:cs="仿宋_GB2312" w:eastAsia="仿宋_GB2312"/>
                      <w:sz w:val="21"/>
                    </w:rPr>
                    <w:t>/</w:t>
                  </w:r>
                  <w:r>
                    <w:rPr>
                      <w:rFonts w:ascii="仿宋_GB2312" w:hAnsi="仿宋_GB2312" w:cs="仿宋_GB2312" w:eastAsia="仿宋_GB2312"/>
                      <w:sz w:val="21"/>
                    </w:rPr>
                    <w:t>公里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每车道连续检测</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弯沉（落锤法）</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2160</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40</w:t>
                  </w:r>
                  <w:r>
                    <w:rPr>
                      <w:rFonts w:ascii="仿宋_GB2312" w:hAnsi="仿宋_GB2312" w:cs="仿宋_GB2312" w:eastAsia="仿宋_GB2312"/>
                      <w:sz w:val="21"/>
                    </w:rPr>
                    <w:t>点</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路面车辙</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车道</w:t>
                  </w:r>
                  <w:r>
                    <w:rPr>
                      <w:rFonts w:ascii="仿宋_GB2312" w:hAnsi="仿宋_GB2312" w:cs="仿宋_GB2312" w:eastAsia="仿宋_GB2312"/>
                      <w:sz w:val="21"/>
                    </w:rPr>
                    <w:t>/</w:t>
                  </w:r>
                  <w:r>
                    <w:rPr>
                      <w:rFonts w:ascii="仿宋_GB2312" w:hAnsi="仿宋_GB2312" w:cs="仿宋_GB2312" w:eastAsia="仿宋_GB2312"/>
                      <w:sz w:val="21"/>
                    </w:rPr>
                    <w:t>公里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每车道连续检测</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平整度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车道</w:t>
                  </w:r>
                  <w:r>
                    <w:rPr>
                      <w:rFonts w:ascii="仿宋_GB2312" w:hAnsi="仿宋_GB2312" w:cs="仿宋_GB2312" w:eastAsia="仿宋_GB2312"/>
                      <w:sz w:val="21"/>
                    </w:rPr>
                    <w:t>/</w:t>
                  </w:r>
                  <w:r>
                    <w:rPr>
                      <w:rFonts w:ascii="仿宋_GB2312" w:hAnsi="仿宋_GB2312" w:cs="仿宋_GB2312" w:eastAsia="仿宋_GB2312"/>
                      <w:sz w:val="21"/>
                    </w:rPr>
                    <w:t>公里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每车道连续检测</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抗滑构造深度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车道</w:t>
                  </w:r>
                  <w:r>
                    <w:rPr>
                      <w:rFonts w:ascii="仿宋_GB2312" w:hAnsi="仿宋_GB2312" w:cs="仿宋_GB2312" w:eastAsia="仿宋_GB2312"/>
                      <w:sz w:val="21"/>
                    </w:rPr>
                    <w:t>/</w:t>
                  </w:r>
                  <w:r>
                    <w:rPr>
                      <w:rFonts w:ascii="仿宋_GB2312" w:hAnsi="仿宋_GB2312" w:cs="仿宋_GB2312" w:eastAsia="仿宋_GB2312"/>
                      <w:sz w:val="21"/>
                    </w:rPr>
                    <w:t>公里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每车道连续检测</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横坡</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断面</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1</w:t>
                  </w:r>
                  <w:r>
                    <w:rPr>
                      <w:rFonts w:ascii="仿宋_GB2312" w:hAnsi="仿宋_GB2312" w:cs="仿宋_GB2312" w:eastAsia="仿宋_GB2312"/>
                      <w:sz w:val="21"/>
                    </w:rPr>
                    <w:t>处，每处</w:t>
                  </w:r>
                  <w:r>
                    <w:rPr>
                      <w:rFonts w:ascii="仿宋_GB2312" w:hAnsi="仿宋_GB2312" w:cs="仿宋_GB2312" w:eastAsia="仿宋_GB2312"/>
                      <w:sz w:val="21"/>
                    </w:rPr>
                    <w:t>2</w:t>
                  </w:r>
                  <w:r>
                    <w:rPr>
                      <w:rFonts w:ascii="仿宋_GB2312" w:hAnsi="仿宋_GB2312" w:cs="仿宋_GB2312" w:eastAsia="仿宋_GB2312"/>
                      <w:sz w:val="21"/>
                    </w:rPr>
                    <w:t>个断面</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渗水系数</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1</w:t>
                  </w:r>
                  <w:r>
                    <w:rPr>
                      <w:rFonts w:ascii="仿宋_GB2312" w:hAnsi="仿宋_GB2312" w:cs="仿宋_GB2312" w:eastAsia="仿宋_GB2312"/>
                      <w:sz w:val="21"/>
                    </w:rPr>
                    <w:t>处</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交通安全设施</w:t>
                  </w:r>
                </w:p>
              </w:tc>
              <w:tc>
                <w:tcPr>
                  <w:tcW w:type="dxa" w:w="9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标线</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标线厚度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270</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1</w:t>
                  </w:r>
                  <w:r>
                    <w:rPr>
                      <w:rFonts w:ascii="仿宋_GB2312" w:hAnsi="仿宋_GB2312" w:cs="仿宋_GB2312" w:eastAsia="仿宋_GB2312"/>
                      <w:sz w:val="21"/>
                    </w:rPr>
                    <w:t>处，每处</w:t>
                  </w:r>
                  <w:r>
                    <w:rPr>
                      <w:rFonts w:ascii="仿宋_GB2312" w:hAnsi="仿宋_GB2312" w:cs="仿宋_GB2312" w:eastAsia="仿宋_GB2312"/>
                      <w:sz w:val="21"/>
                    </w:rPr>
                    <w:t>5</w:t>
                  </w:r>
                  <w:r>
                    <w:rPr>
                      <w:rFonts w:ascii="仿宋_GB2312" w:hAnsi="仿宋_GB2312" w:cs="仿宋_GB2312" w:eastAsia="仿宋_GB2312"/>
                      <w:sz w:val="21"/>
                    </w:rPr>
                    <w:t>点</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反光标线逆反射系数</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270</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1</w:t>
                  </w:r>
                  <w:r>
                    <w:rPr>
                      <w:rFonts w:ascii="仿宋_GB2312" w:hAnsi="仿宋_GB2312" w:cs="仿宋_GB2312" w:eastAsia="仿宋_GB2312"/>
                      <w:sz w:val="21"/>
                    </w:rPr>
                    <w:t>处，每处</w:t>
                  </w:r>
                  <w:r>
                    <w:rPr>
                      <w:rFonts w:ascii="仿宋_GB2312" w:hAnsi="仿宋_GB2312" w:cs="仿宋_GB2312" w:eastAsia="仿宋_GB2312"/>
                      <w:sz w:val="21"/>
                    </w:rPr>
                    <w:t>5</w:t>
                  </w:r>
                  <w:r>
                    <w:rPr>
                      <w:rFonts w:ascii="仿宋_GB2312" w:hAnsi="仿宋_GB2312" w:cs="仿宋_GB2312" w:eastAsia="仿宋_GB2312"/>
                      <w:sz w:val="21"/>
                    </w:rPr>
                    <w:t>点</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30"/>
                  <w:vMerge/>
                  <w:tcBorders>
                    <w:top w:val="none" w:color="000000" w:sz="4"/>
                    <w:left w:val="none" w:color="000000" w:sz="4"/>
                    <w:bottom w:val="single" w:color="000000" w:sz="4"/>
                    <w:right w:val="single" w:color="000000" w:sz="4"/>
                  </w:tcBorders>
                </w:tcPr>
                <w:p/>
              </w:tc>
              <w:tc>
                <w:tcPr>
                  <w:tcW w:type="dxa" w:w="9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标志</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立柱竖直度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测向</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总数的</w:t>
                  </w:r>
                  <w:r>
                    <w:rPr>
                      <w:rFonts w:ascii="仿宋_GB2312" w:hAnsi="仿宋_GB2312" w:cs="仿宋_GB2312" w:eastAsia="仿宋_GB2312"/>
                      <w:sz w:val="21"/>
                    </w:rPr>
                    <w:t>10%</w:t>
                  </w:r>
                  <w:r>
                    <w:rPr>
                      <w:rFonts w:ascii="仿宋_GB2312" w:hAnsi="仿宋_GB2312" w:cs="仿宋_GB2312" w:eastAsia="仿宋_GB2312"/>
                      <w:sz w:val="21"/>
                    </w:rPr>
                    <w:t>，每柱</w:t>
                  </w:r>
                  <w:r>
                    <w:rPr>
                      <w:rFonts w:ascii="仿宋_GB2312" w:hAnsi="仿宋_GB2312" w:cs="仿宋_GB2312" w:eastAsia="仿宋_GB2312"/>
                      <w:sz w:val="21"/>
                    </w:rPr>
                    <w:t>2</w:t>
                  </w:r>
                  <w:r>
                    <w:rPr>
                      <w:rFonts w:ascii="仿宋_GB2312" w:hAnsi="仿宋_GB2312" w:cs="仿宋_GB2312" w:eastAsia="仿宋_GB2312"/>
                      <w:sz w:val="21"/>
                    </w:rPr>
                    <w:t>个测向</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标志板净空高度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总数的</w:t>
                  </w:r>
                  <w:r>
                    <w:rPr>
                      <w:rFonts w:ascii="仿宋_GB2312" w:hAnsi="仿宋_GB2312" w:cs="仿宋_GB2312" w:eastAsia="仿宋_GB2312"/>
                      <w:sz w:val="21"/>
                    </w:rPr>
                    <w:t>10%</w:t>
                  </w:r>
                  <w:r>
                    <w:rPr>
                      <w:rFonts w:ascii="仿宋_GB2312" w:hAnsi="仿宋_GB2312" w:cs="仿宋_GB2312" w:eastAsia="仿宋_GB2312"/>
                      <w:sz w:val="21"/>
                    </w:rPr>
                    <w:t>，每柱取不利点</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标志面反光膜等级及逆射光系数</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总数的</w:t>
                  </w:r>
                  <w:r>
                    <w:rPr>
                      <w:rFonts w:ascii="仿宋_GB2312" w:hAnsi="仿宋_GB2312" w:cs="仿宋_GB2312" w:eastAsia="仿宋_GB2312"/>
                      <w:sz w:val="21"/>
                    </w:rPr>
                    <w:t>10%</w:t>
                  </w:r>
                  <w:r>
                    <w:rPr>
                      <w:rFonts w:ascii="仿宋_GB2312" w:hAnsi="仿宋_GB2312" w:cs="仿宋_GB2312" w:eastAsia="仿宋_GB2312"/>
                      <w:sz w:val="21"/>
                    </w:rPr>
                    <w:t>，每块测不少于</w:t>
                  </w:r>
                  <w:r>
                    <w:rPr>
                      <w:rFonts w:ascii="仿宋_GB2312" w:hAnsi="仿宋_GB2312" w:cs="仿宋_GB2312" w:eastAsia="仿宋_GB2312"/>
                      <w:sz w:val="21"/>
                    </w:rPr>
                    <w:t>2</w:t>
                  </w:r>
                  <w:r>
                    <w:rPr>
                      <w:rFonts w:ascii="仿宋_GB2312" w:hAnsi="仿宋_GB2312" w:cs="仿宋_GB2312" w:eastAsia="仿宋_GB2312"/>
                      <w:sz w:val="21"/>
                    </w:rPr>
                    <w:t>点</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标志板厚度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总数的</w:t>
                  </w:r>
                  <w:r>
                    <w:rPr>
                      <w:rFonts w:ascii="仿宋_GB2312" w:hAnsi="仿宋_GB2312" w:cs="仿宋_GB2312" w:eastAsia="仿宋_GB2312"/>
                      <w:sz w:val="21"/>
                    </w:rPr>
                    <w:t>10%</w:t>
                  </w:r>
                  <w:r>
                    <w:rPr>
                      <w:rFonts w:ascii="仿宋_GB2312" w:hAnsi="仿宋_GB2312" w:cs="仿宋_GB2312" w:eastAsia="仿宋_GB2312"/>
                      <w:sz w:val="21"/>
                    </w:rPr>
                    <w:t>，每块测不少于</w:t>
                  </w:r>
                  <w:r>
                    <w:rPr>
                      <w:rFonts w:ascii="仿宋_GB2312" w:hAnsi="仿宋_GB2312" w:cs="仿宋_GB2312" w:eastAsia="仿宋_GB2312"/>
                      <w:sz w:val="21"/>
                    </w:rPr>
                    <w:t>2</w:t>
                  </w:r>
                  <w:r>
                    <w:rPr>
                      <w:rFonts w:ascii="仿宋_GB2312" w:hAnsi="仿宋_GB2312" w:cs="仿宋_GB2312" w:eastAsia="仿宋_GB2312"/>
                      <w:sz w:val="21"/>
                    </w:rPr>
                    <w:t>点</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30"/>
                  <w:vMerge/>
                  <w:tcBorders>
                    <w:top w:val="none" w:color="000000" w:sz="4"/>
                    <w:left w:val="none" w:color="000000" w:sz="4"/>
                    <w:bottom w:val="single" w:color="000000" w:sz="4"/>
                    <w:right w:val="single" w:color="000000" w:sz="4"/>
                  </w:tcBorders>
                </w:tcPr>
                <w:p/>
              </w:tc>
              <w:tc>
                <w:tcPr>
                  <w:tcW w:type="dxa" w:w="9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防护栏</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波形梁板基底金属厚度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1</w:t>
                  </w:r>
                  <w:r>
                    <w:rPr>
                      <w:rFonts w:ascii="仿宋_GB2312" w:hAnsi="仿宋_GB2312" w:cs="仿宋_GB2312" w:eastAsia="仿宋_GB2312"/>
                      <w:sz w:val="21"/>
                    </w:rPr>
                    <w:t>处，每处不少于</w:t>
                  </w:r>
                  <w:r>
                    <w:rPr>
                      <w:rFonts w:ascii="仿宋_GB2312" w:hAnsi="仿宋_GB2312" w:cs="仿宋_GB2312" w:eastAsia="仿宋_GB2312"/>
                      <w:sz w:val="21"/>
                    </w:rPr>
                    <w:t>5</w:t>
                  </w:r>
                  <w:r>
                    <w:rPr>
                      <w:rFonts w:ascii="仿宋_GB2312" w:hAnsi="仿宋_GB2312" w:cs="仿宋_GB2312" w:eastAsia="仿宋_GB2312"/>
                      <w:sz w:val="21"/>
                    </w:rPr>
                    <w:t>点</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波形梁钢护栏立柱壁厚</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1</w:t>
                  </w:r>
                  <w:r>
                    <w:rPr>
                      <w:rFonts w:ascii="仿宋_GB2312" w:hAnsi="仿宋_GB2312" w:cs="仿宋_GB2312" w:eastAsia="仿宋_GB2312"/>
                      <w:sz w:val="21"/>
                    </w:rPr>
                    <w:t>处，每处不少于</w:t>
                  </w:r>
                  <w:r>
                    <w:rPr>
                      <w:rFonts w:ascii="仿宋_GB2312" w:hAnsi="仿宋_GB2312" w:cs="仿宋_GB2312" w:eastAsia="仿宋_GB2312"/>
                      <w:sz w:val="21"/>
                    </w:rPr>
                    <w:t>5</w:t>
                  </w:r>
                  <w:r>
                    <w:rPr>
                      <w:rFonts w:ascii="仿宋_GB2312" w:hAnsi="仿宋_GB2312" w:cs="仿宋_GB2312" w:eastAsia="仿宋_GB2312"/>
                      <w:sz w:val="21"/>
                    </w:rPr>
                    <w:t>点</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波形梁钢护栏立柱埋入深度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1</w:t>
                  </w:r>
                  <w:r>
                    <w:rPr>
                      <w:rFonts w:ascii="仿宋_GB2312" w:hAnsi="仿宋_GB2312" w:cs="仿宋_GB2312" w:eastAsia="仿宋_GB2312"/>
                      <w:sz w:val="21"/>
                    </w:rPr>
                    <w:t>处，每处不少于</w:t>
                  </w:r>
                  <w:r>
                    <w:rPr>
                      <w:rFonts w:ascii="仿宋_GB2312" w:hAnsi="仿宋_GB2312" w:cs="仿宋_GB2312" w:eastAsia="仿宋_GB2312"/>
                      <w:sz w:val="21"/>
                    </w:rPr>
                    <w:t>1</w:t>
                  </w:r>
                  <w:r>
                    <w:rPr>
                      <w:rFonts w:ascii="仿宋_GB2312" w:hAnsi="仿宋_GB2312" w:cs="仿宋_GB2312" w:eastAsia="仿宋_GB2312"/>
                      <w:sz w:val="21"/>
                    </w:rPr>
                    <w:t>根</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波形梁钢护栏立柱横梁中心高度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1</w:t>
                  </w:r>
                  <w:r>
                    <w:rPr>
                      <w:rFonts w:ascii="仿宋_GB2312" w:hAnsi="仿宋_GB2312" w:cs="仿宋_GB2312" w:eastAsia="仿宋_GB2312"/>
                      <w:sz w:val="21"/>
                    </w:rPr>
                    <w:t>处，每处不少于</w:t>
                  </w:r>
                  <w:r>
                    <w:rPr>
                      <w:rFonts w:ascii="仿宋_GB2312" w:hAnsi="仿宋_GB2312" w:cs="仿宋_GB2312" w:eastAsia="仿宋_GB2312"/>
                      <w:sz w:val="21"/>
                    </w:rPr>
                    <w:t>5</w:t>
                  </w:r>
                  <w:r>
                    <w:rPr>
                      <w:rFonts w:ascii="仿宋_GB2312" w:hAnsi="仿宋_GB2312" w:cs="仿宋_GB2312" w:eastAsia="仿宋_GB2312"/>
                      <w:sz w:val="21"/>
                    </w:rPr>
                    <w:t>点</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混凝土护栏砼强度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测区</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1</w:t>
                  </w:r>
                  <w:r>
                    <w:rPr>
                      <w:rFonts w:ascii="仿宋_GB2312" w:hAnsi="仿宋_GB2312" w:cs="仿宋_GB2312" w:eastAsia="仿宋_GB2312"/>
                      <w:sz w:val="21"/>
                    </w:rPr>
                    <w:t>处，每处不少于</w:t>
                  </w:r>
                  <w:r>
                    <w:rPr>
                      <w:rFonts w:ascii="仿宋_GB2312" w:hAnsi="仿宋_GB2312" w:cs="仿宋_GB2312" w:eastAsia="仿宋_GB2312"/>
                      <w:sz w:val="21"/>
                    </w:rPr>
                    <w:t>10</w:t>
                  </w:r>
                  <w:r>
                    <w:rPr>
                      <w:rFonts w:ascii="仿宋_GB2312" w:hAnsi="仿宋_GB2312" w:cs="仿宋_GB2312" w:eastAsia="仿宋_GB2312"/>
                      <w:sz w:val="21"/>
                    </w:rPr>
                    <w:t>个测区</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30"/>
                  <w:vMerge/>
                  <w:tcBorders>
                    <w:top w:val="none" w:color="000000" w:sz="4"/>
                    <w:left w:val="none" w:color="000000" w:sz="4"/>
                    <w:bottom w:val="single" w:color="000000" w:sz="4"/>
                    <w:right w:val="single" w:color="000000" w:sz="4"/>
                  </w:tcBorders>
                </w:tcPr>
                <w:p/>
              </w:tc>
              <w:tc>
                <w:tcPr>
                  <w:tcW w:type="dxa" w:w="900"/>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断面尺寸</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每公里</w:t>
                  </w:r>
                  <w:r>
                    <w:rPr>
                      <w:rFonts w:ascii="仿宋_GB2312" w:hAnsi="仿宋_GB2312" w:cs="仿宋_GB2312" w:eastAsia="仿宋_GB2312"/>
                      <w:sz w:val="21"/>
                    </w:rPr>
                    <w:t>1</w:t>
                  </w:r>
                  <w:r>
                    <w:rPr>
                      <w:rFonts w:ascii="仿宋_GB2312" w:hAnsi="仿宋_GB2312" w:cs="仿宋_GB2312" w:eastAsia="仿宋_GB2312"/>
                      <w:sz w:val="21"/>
                    </w:rPr>
                    <w:t>处，每处不少于</w:t>
                  </w:r>
                  <w:r>
                    <w:rPr>
                      <w:rFonts w:ascii="仿宋_GB2312" w:hAnsi="仿宋_GB2312" w:cs="仿宋_GB2312" w:eastAsia="仿宋_GB2312"/>
                      <w:sz w:val="21"/>
                    </w:rPr>
                    <w:t>5</w:t>
                  </w:r>
                  <w:r>
                    <w:rPr>
                      <w:rFonts w:ascii="仿宋_GB2312" w:hAnsi="仿宋_GB2312" w:cs="仿宋_GB2312" w:eastAsia="仿宋_GB2312"/>
                      <w:sz w:val="21"/>
                    </w:rPr>
                    <w:t>点</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桥梁工程</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桥梁总体</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外观检查</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座</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逐座检测</w:t>
                  </w: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153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作业车辆</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弯沉检测车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台班</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45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530"/>
                  <w:gridSpan w:val="2"/>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路面自动化检测车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台班</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450"/>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530"/>
                  <w:gridSpan w:val="2"/>
                  <w:vMerge/>
                  <w:tcBorders>
                    <w:top w:val="none" w:color="000000" w:sz="4"/>
                    <w:left w:val="none" w:color="000000" w:sz="4"/>
                    <w:bottom w:val="single" w:color="000000" w:sz="4"/>
                    <w:right w:val="single" w:color="000000" w:sz="4"/>
                  </w:tcBorders>
                </w:tcPr>
                <w:p/>
              </w:tc>
              <w:tc>
                <w:tcPr>
                  <w:tcW w:type="dxa" w:w="990"/>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桥梁检测车</w:t>
                  </w:r>
                </w:p>
              </w:tc>
              <w:tc>
                <w:tcPr>
                  <w:tcW w:type="dxa" w:w="750"/>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台班</w:t>
                  </w:r>
                </w:p>
              </w:tc>
              <w:tc>
                <w:tcPr>
                  <w:tcW w:type="dxa" w:w="630"/>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技术标准及规范</w:t>
            </w:r>
            <w:r>
              <w:rPr>
                <w:rFonts w:ascii="仿宋_GB2312" w:hAnsi="仿宋_GB2312" w:cs="仿宋_GB2312" w:eastAsia="仿宋_GB2312"/>
                <w:sz w:val="21"/>
                <w:b/>
              </w:rPr>
              <w:t>：</w:t>
            </w:r>
            <w:r>
              <w:rPr>
                <w:rFonts w:ascii="仿宋_GB2312" w:hAnsi="仿宋_GB2312" w:cs="仿宋_GB2312" w:eastAsia="仿宋_GB2312"/>
                <w:sz w:val="21"/>
              </w:rPr>
              <w:t>满足现行有效的国家相关标准、行业标准、地方标准以及相关规范等。按《公路工程竣（交）工验收办法》（交通部令〔</w:t>
            </w:r>
            <w:r>
              <w:rPr>
                <w:rFonts w:ascii="仿宋_GB2312" w:hAnsi="仿宋_GB2312" w:cs="仿宋_GB2312" w:eastAsia="仿宋_GB2312"/>
                <w:sz w:val="21"/>
              </w:rPr>
              <w:t>2004</w:t>
            </w:r>
            <w:r>
              <w:rPr>
                <w:rFonts w:ascii="仿宋_GB2312" w:hAnsi="仿宋_GB2312" w:cs="仿宋_GB2312" w:eastAsia="仿宋_GB2312"/>
                <w:sz w:val="21"/>
              </w:rPr>
              <w:t xml:space="preserve">〕第 </w:t>
            </w:r>
            <w:r>
              <w:rPr>
                <w:rFonts w:ascii="仿宋_GB2312" w:hAnsi="仿宋_GB2312" w:cs="仿宋_GB2312" w:eastAsia="仿宋_GB2312"/>
                <w:sz w:val="21"/>
              </w:rPr>
              <w:t xml:space="preserve">3 </w:t>
            </w:r>
            <w:r>
              <w:rPr>
                <w:rFonts w:ascii="仿宋_GB2312" w:hAnsi="仿宋_GB2312" w:cs="仿宋_GB2312" w:eastAsia="仿宋_GB2312"/>
                <w:sz w:val="21"/>
              </w:rPr>
              <w:t xml:space="preserve">号）、《公路工程竣（交）工验收办法实施细则》 </w:t>
            </w:r>
            <w:r>
              <w:rPr>
                <w:rFonts w:ascii="仿宋_GB2312" w:hAnsi="仿宋_GB2312" w:cs="仿宋_GB2312" w:eastAsia="仿宋_GB2312"/>
                <w:sz w:val="21"/>
              </w:rPr>
              <w:t>(</w:t>
            </w:r>
            <w:r>
              <w:rPr>
                <w:rFonts w:ascii="仿宋_GB2312" w:hAnsi="仿宋_GB2312" w:cs="仿宋_GB2312" w:eastAsia="仿宋_GB2312"/>
                <w:sz w:val="21"/>
              </w:rPr>
              <w:t>交公路发〔</w:t>
            </w:r>
            <w:r>
              <w:rPr>
                <w:rFonts w:ascii="仿宋_GB2312" w:hAnsi="仿宋_GB2312" w:cs="仿宋_GB2312" w:eastAsia="仿宋_GB2312"/>
                <w:sz w:val="21"/>
              </w:rPr>
              <w:t>2010</w:t>
            </w:r>
            <w:r>
              <w:rPr>
                <w:rFonts w:ascii="仿宋_GB2312" w:hAnsi="仿宋_GB2312" w:cs="仿宋_GB2312" w:eastAsia="仿宋_GB2312"/>
                <w:sz w:val="21"/>
              </w:rPr>
              <w:t>〕</w:t>
            </w:r>
            <w:r>
              <w:rPr>
                <w:rFonts w:ascii="仿宋_GB2312" w:hAnsi="仿宋_GB2312" w:cs="仿宋_GB2312" w:eastAsia="仿宋_GB2312"/>
                <w:sz w:val="21"/>
              </w:rPr>
              <w:t xml:space="preserve">65 </w:t>
            </w:r>
            <w:r>
              <w:rPr>
                <w:rFonts w:ascii="仿宋_GB2312" w:hAnsi="仿宋_GB2312" w:cs="仿宋_GB2312" w:eastAsia="仿宋_GB2312"/>
                <w:sz w:val="21"/>
              </w:rPr>
              <w:t>号</w:t>
            </w:r>
            <w:r>
              <w:rPr>
                <w:rFonts w:ascii="仿宋_GB2312" w:hAnsi="仿宋_GB2312" w:cs="仿宋_GB2312" w:eastAsia="仿宋_GB2312"/>
                <w:sz w:val="21"/>
              </w:rPr>
              <w:t>)</w:t>
            </w:r>
            <w:r>
              <w:rPr>
                <w:rFonts w:ascii="仿宋_GB2312" w:hAnsi="仿宋_GB2312" w:cs="仿宋_GB2312" w:eastAsia="仿宋_GB2312"/>
                <w:sz w:val="21"/>
              </w:rPr>
              <w:t>、《公路工程质量检验评定标准》（</w:t>
            </w:r>
            <w:r>
              <w:rPr>
                <w:rFonts w:ascii="仿宋_GB2312" w:hAnsi="仿宋_GB2312" w:cs="仿宋_GB2312" w:eastAsia="仿宋_GB2312"/>
                <w:sz w:val="21"/>
              </w:rPr>
              <w:t>JTG F80/1-2017</w:t>
            </w:r>
            <w:r>
              <w:rPr>
                <w:rFonts w:ascii="仿宋_GB2312" w:hAnsi="仿宋_GB2312" w:cs="仿宋_GB2312" w:eastAsia="仿宋_GB2312"/>
                <w:sz w:val="21"/>
              </w:rPr>
              <w:t>）、《公路养护工程质量检验评定标准》（</w:t>
            </w:r>
            <w:r>
              <w:rPr>
                <w:rFonts w:ascii="仿宋_GB2312" w:hAnsi="仿宋_GB2312" w:cs="仿宋_GB2312" w:eastAsia="仿宋_GB2312"/>
                <w:sz w:val="21"/>
              </w:rPr>
              <w:t>JTG 5220—2020</w:t>
            </w:r>
            <w:r>
              <w:rPr>
                <w:rFonts w:ascii="仿宋_GB2312" w:hAnsi="仿宋_GB2312" w:cs="仿宋_GB2312" w:eastAsia="仿宋_GB2312"/>
                <w:sz w:val="21"/>
              </w:rPr>
              <w:t>）、《公路工程技术标准》（</w:t>
            </w:r>
            <w:r>
              <w:rPr>
                <w:rFonts w:ascii="仿宋_GB2312" w:hAnsi="仿宋_GB2312" w:cs="仿宋_GB2312" w:eastAsia="仿宋_GB2312"/>
                <w:sz w:val="21"/>
              </w:rPr>
              <w:t>JTG B01-2014</w:t>
            </w:r>
            <w:r>
              <w:rPr>
                <w:rFonts w:ascii="仿宋_GB2312" w:hAnsi="仿宋_GB2312" w:cs="仿宋_GB2312" w:eastAsia="仿宋_GB2312"/>
                <w:sz w:val="21"/>
              </w:rPr>
              <w:t>）、《公路路基路面现场测试规程》（</w:t>
            </w:r>
            <w:r>
              <w:rPr>
                <w:rFonts w:ascii="仿宋_GB2312" w:hAnsi="仿宋_GB2312" w:cs="仿宋_GB2312" w:eastAsia="仿宋_GB2312"/>
                <w:sz w:val="21"/>
              </w:rPr>
              <w:t>JTG 3450-2019</w:t>
            </w:r>
            <w:r>
              <w:rPr>
                <w:rFonts w:ascii="仿宋_GB2312" w:hAnsi="仿宋_GB2312" w:cs="仿宋_GB2312" w:eastAsia="仿宋_GB2312"/>
                <w:sz w:val="21"/>
              </w:rPr>
              <w:t>）、《公路桥梁荷载试验规程》（</w:t>
            </w:r>
            <w:r>
              <w:rPr>
                <w:rFonts w:ascii="仿宋_GB2312" w:hAnsi="仿宋_GB2312" w:cs="仿宋_GB2312" w:eastAsia="仿宋_GB2312"/>
                <w:sz w:val="21"/>
              </w:rPr>
              <w:t>JTG∕T J21-01-2015</w:t>
            </w:r>
            <w:r>
              <w:rPr>
                <w:rFonts w:ascii="仿宋_GB2312" w:hAnsi="仿宋_GB2312" w:cs="仿宋_GB2312" w:eastAsia="仿宋_GB2312"/>
                <w:sz w:val="21"/>
              </w:rPr>
              <w:t>）、《公路桥涵设计通用规范》（</w:t>
            </w:r>
            <w:r>
              <w:rPr>
                <w:rFonts w:ascii="仿宋_GB2312" w:hAnsi="仿宋_GB2312" w:cs="仿宋_GB2312" w:eastAsia="仿宋_GB2312"/>
                <w:sz w:val="21"/>
              </w:rPr>
              <w:t>JTG D60-2015</w:t>
            </w:r>
            <w:r>
              <w:rPr>
                <w:rFonts w:ascii="仿宋_GB2312" w:hAnsi="仿宋_GB2312" w:cs="仿宋_GB2312" w:eastAsia="仿宋_GB2312"/>
                <w:sz w:val="21"/>
              </w:rPr>
              <w:t>）、《公路桥涵钢筋混凝土及预应力混凝土桥涵设计规范》（</w:t>
            </w:r>
            <w:r>
              <w:rPr>
                <w:rFonts w:ascii="仿宋_GB2312" w:hAnsi="仿宋_GB2312" w:cs="仿宋_GB2312" w:eastAsia="仿宋_GB2312"/>
                <w:sz w:val="21"/>
              </w:rPr>
              <w:t>JTG 3362-2018</w:t>
            </w:r>
            <w:r>
              <w:rPr>
                <w:rFonts w:ascii="仿宋_GB2312" w:hAnsi="仿宋_GB2312" w:cs="仿宋_GB2312" w:eastAsia="仿宋_GB2312"/>
                <w:sz w:val="21"/>
              </w:rPr>
              <w:t>）等现行标准规范以及本项目设计文件进行检测。</w:t>
            </w:r>
          </w:p>
          <w:p>
            <w:pPr>
              <w:pStyle w:val="null3"/>
              <w:jc w:val="left"/>
            </w:pPr>
            <w:r>
              <w:rPr>
                <w:rFonts w:ascii="仿宋_GB2312" w:hAnsi="仿宋_GB2312" w:cs="仿宋_GB2312" w:eastAsia="仿宋_GB2312"/>
                <w:sz w:val="21"/>
                <w:b/>
              </w:rPr>
              <w:t>5.</w:t>
            </w:r>
            <w:r>
              <w:rPr>
                <w:rFonts w:ascii="仿宋_GB2312" w:hAnsi="仿宋_GB2312" w:cs="仿宋_GB2312" w:eastAsia="仿宋_GB2312"/>
                <w:sz w:val="21"/>
                <w:b/>
              </w:rPr>
              <w:t>成果要求：</w:t>
            </w:r>
            <w:r>
              <w:rPr>
                <w:rFonts w:ascii="仿宋_GB2312" w:hAnsi="仿宋_GB2312" w:cs="仿宋_GB2312" w:eastAsia="仿宋_GB2312"/>
                <w:sz w:val="21"/>
              </w:rPr>
              <w:t>供应商提交符合本项目要求的成果报告，纸质报告</w:t>
            </w:r>
            <w:r>
              <w:rPr>
                <w:rFonts w:ascii="仿宋_GB2312" w:hAnsi="仿宋_GB2312" w:cs="仿宋_GB2312" w:eastAsia="仿宋_GB2312"/>
                <w:sz w:val="21"/>
              </w:rPr>
              <w:t>4</w:t>
            </w:r>
            <w:r>
              <w:rPr>
                <w:rFonts w:ascii="仿宋_GB2312" w:hAnsi="仿宋_GB2312" w:cs="仿宋_GB2312" w:eastAsia="仿宋_GB2312"/>
                <w:sz w:val="21"/>
              </w:rPr>
              <w:t>份，电子档</w:t>
            </w:r>
            <w:r>
              <w:rPr>
                <w:rFonts w:ascii="仿宋_GB2312" w:hAnsi="仿宋_GB2312" w:cs="仿宋_GB2312" w:eastAsia="仿宋_GB2312"/>
                <w:sz w:val="21"/>
              </w:rPr>
              <w:t>1</w:t>
            </w:r>
            <w:r>
              <w:rPr>
                <w:rFonts w:ascii="仿宋_GB2312" w:hAnsi="仿宋_GB2312" w:cs="仿宋_GB2312" w:eastAsia="仿宋_GB2312"/>
                <w:sz w:val="21"/>
              </w:rPr>
              <w:t>份。</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履约能力要求</w:t>
            </w:r>
          </w:p>
        </w:tc>
        <w:tc>
          <w:tcPr>
            <w:tcW w:type="dxa" w:w="5814"/>
          </w:tcPr>
          <w:p>
            <w:pPr>
              <w:pStyle w:val="null3"/>
              <w:jc w:val="left"/>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供应商</w:t>
            </w:r>
            <w:r>
              <w:rPr>
                <w:rFonts w:ascii="仿宋_GB2312" w:hAnsi="仿宋_GB2312" w:cs="仿宋_GB2312" w:eastAsia="仿宋_GB2312"/>
                <w:sz w:val="21"/>
                <w:shd w:fill="FFFFFF" w:val="clear"/>
              </w:rPr>
              <w:t>针对本项目</w:t>
            </w:r>
            <w:r>
              <w:rPr>
                <w:rFonts w:ascii="仿宋_GB2312" w:hAnsi="仿宋_GB2312" w:cs="仿宋_GB2312" w:eastAsia="仿宋_GB2312"/>
                <w:sz w:val="21"/>
                <w:shd w:fill="FFFFFF" w:val="clear"/>
              </w:rPr>
              <w:t>拟配置人员</w:t>
            </w:r>
            <w:r>
              <w:rPr>
                <w:rFonts w:ascii="仿宋_GB2312" w:hAnsi="仿宋_GB2312" w:cs="仿宋_GB2312" w:eastAsia="仿宋_GB2312"/>
                <w:sz w:val="21"/>
                <w:shd w:fill="FFFFFF" w:val="clear"/>
              </w:rPr>
              <w:t>和</w:t>
            </w:r>
            <w:r>
              <w:rPr>
                <w:rFonts w:ascii="仿宋_GB2312" w:hAnsi="仿宋_GB2312" w:cs="仿宋_GB2312" w:eastAsia="仿宋_GB2312"/>
                <w:sz w:val="21"/>
                <w:shd w:fill="FFFFFF" w:val="clear"/>
              </w:rPr>
              <w:t>设施</w:t>
            </w:r>
            <w:r>
              <w:rPr>
                <w:rFonts w:ascii="仿宋_GB2312" w:hAnsi="仿宋_GB2312" w:cs="仿宋_GB2312" w:eastAsia="仿宋_GB2312"/>
                <w:sz w:val="21"/>
                <w:shd w:fill="FFFFFF" w:val="clear"/>
              </w:rPr>
              <w:t>设备配置</w:t>
            </w:r>
            <w:r>
              <w:rPr>
                <w:rFonts w:ascii="仿宋_GB2312" w:hAnsi="仿宋_GB2312" w:cs="仿宋_GB2312" w:eastAsia="仿宋_GB2312"/>
                <w:sz w:val="21"/>
                <w:shd w:fill="FFFFFF" w:val="clear"/>
              </w:rPr>
              <w:t>，根据自身情况结合评审标准要求提供。</w:t>
            </w:r>
          </w:p>
          <w:p>
            <w:pPr>
              <w:pStyle w:val="null3"/>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供应商履约经验，根据自身情况结合评审标准要求提供。</w:t>
            </w:r>
          </w:p>
          <w:p>
            <w:pPr>
              <w:pStyle w:val="null3"/>
              <w:jc w:val="both"/>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其他有利于项目实施的承诺或相关材料。</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实施方案编制要求</w:t>
            </w:r>
          </w:p>
        </w:tc>
        <w:tc>
          <w:tcPr>
            <w:tcW w:type="dxa" w:w="5814"/>
          </w:tcPr>
          <w:p>
            <w:pPr>
              <w:pStyle w:val="null3"/>
              <w:jc w:val="left"/>
            </w:pPr>
            <w:r>
              <w:rPr>
                <w:rFonts w:ascii="仿宋_GB2312" w:hAnsi="仿宋_GB2312" w:cs="仿宋_GB2312" w:eastAsia="仿宋_GB2312"/>
                <w:sz w:val="21"/>
                <w:shd w:fill="FFFFFF" w:val="clear"/>
              </w:rPr>
              <w:t>供应商</w:t>
            </w:r>
            <w:r>
              <w:rPr>
                <w:rFonts w:ascii="仿宋_GB2312" w:hAnsi="仿宋_GB2312" w:cs="仿宋_GB2312" w:eastAsia="仿宋_GB2312"/>
                <w:sz w:val="21"/>
                <w:shd w:fill="FFFFFF" w:val="clear"/>
              </w:rPr>
              <w:t>针对本项目要求</w:t>
            </w:r>
            <w:r>
              <w:rPr>
                <w:rFonts w:ascii="仿宋_GB2312" w:hAnsi="仿宋_GB2312" w:cs="仿宋_GB2312" w:eastAsia="仿宋_GB2312"/>
                <w:sz w:val="21"/>
                <w:shd w:fill="FFFFFF" w:val="clear"/>
              </w:rPr>
              <w:t>，根据自身情况结合评审标准要求提供。</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项目实施及移交</w:t>
            </w:r>
          </w:p>
        </w:tc>
        <w:tc>
          <w:tcPr>
            <w:tcW w:type="dxa" w:w="5814"/>
          </w:tcPr>
          <w:p>
            <w:pPr>
              <w:pStyle w:val="null3"/>
              <w:jc w:val="left"/>
            </w:pPr>
            <w:r>
              <w:rPr>
                <w:rFonts w:ascii="仿宋_GB2312" w:hAnsi="仿宋_GB2312" w:cs="仿宋_GB2312" w:eastAsia="仿宋_GB2312"/>
                <w:sz w:val="21"/>
              </w:rPr>
              <w:t>（如涉及）完成本项目涉及的成果技术交底及其后续跟踪落实，保障采购人能完全接受、使用、运行本项目，真正发挥项目效益。</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安全、涉密</w:t>
            </w:r>
          </w:p>
        </w:tc>
        <w:tc>
          <w:tcPr>
            <w:tcW w:type="dxa" w:w="5814"/>
          </w:tcPr>
          <w:p>
            <w:pPr>
              <w:pStyle w:val="null3"/>
              <w:jc w:val="left"/>
            </w:pPr>
            <w:r>
              <w:rPr>
                <w:rFonts w:ascii="仿宋_GB2312" w:hAnsi="仿宋_GB2312" w:cs="仿宋_GB2312" w:eastAsia="仿宋_GB2312"/>
                <w:sz w:val="21"/>
              </w:rPr>
              <w:t>本项目履约和售后</w:t>
            </w:r>
            <w:r>
              <w:rPr>
                <w:rFonts w:ascii="仿宋_GB2312" w:hAnsi="仿宋_GB2312" w:cs="仿宋_GB2312" w:eastAsia="仿宋_GB2312"/>
                <w:sz w:val="21"/>
              </w:rPr>
              <w:t>（</w:t>
            </w:r>
            <w:r>
              <w:rPr>
                <w:rFonts w:ascii="仿宋_GB2312" w:hAnsi="仿宋_GB2312" w:cs="仿宋_GB2312" w:eastAsia="仿宋_GB2312"/>
                <w:sz w:val="21"/>
              </w:rPr>
              <w:t>后续</w:t>
            </w:r>
            <w:r>
              <w:rPr>
                <w:rFonts w:ascii="仿宋_GB2312" w:hAnsi="仿宋_GB2312" w:cs="仿宋_GB2312" w:eastAsia="仿宋_GB2312"/>
                <w:sz w:val="21"/>
              </w:rPr>
              <w:t>）</w:t>
            </w:r>
            <w:r>
              <w:rPr>
                <w:rFonts w:ascii="仿宋_GB2312" w:hAnsi="仿宋_GB2312" w:cs="仿宋_GB2312" w:eastAsia="仿宋_GB2312"/>
                <w:sz w:val="21"/>
              </w:rPr>
              <w:t>服务过程中发生的一切安全责任均由供应商承担，与采购人无关。本项目所涉及的秘密，供应商均按照保密有关的法律法规执行，不得外泄，否则依法追究责任。</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售后或后续服务</w:t>
            </w:r>
          </w:p>
        </w:tc>
        <w:tc>
          <w:tcPr>
            <w:tcW w:type="dxa" w:w="5814"/>
          </w:tcPr>
          <w:p>
            <w:pPr>
              <w:pStyle w:val="null3"/>
              <w:jc w:val="left"/>
            </w:pPr>
            <w:r>
              <w:rPr>
                <w:rFonts w:ascii="仿宋_GB2312" w:hAnsi="仿宋_GB2312" w:cs="仿宋_GB2312" w:eastAsia="仿宋_GB2312"/>
                <w:sz w:val="21"/>
              </w:rPr>
              <w:t>供应商针对本项目拟设置售后</w:t>
            </w:r>
            <w:r>
              <w:rPr>
                <w:rFonts w:ascii="仿宋_GB2312" w:hAnsi="仿宋_GB2312" w:cs="仿宋_GB2312" w:eastAsia="仿宋_GB2312"/>
                <w:sz w:val="21"/>
              </w:rPr>
              <w:t>（</w:t>
            </w:r>
            <w:r>
              <w:rPr>
                <w:rFonts w:ascii="仿宋_GB2312" w:hAnsi="仿宋_GB2312" w:cs="仿宋_GB2312" w:eastAsia="仿宋_GB2312"/>
                <w:sz w:val="21"/>
              </w:rPr>
              <w:t>后续</w:t>
            </w:r>
            <w:r>
              <w:rPr>
                <w:rFonts w:ascii="仿宋_GB2312" w:hAnsi="仿宋_GB2312" w:cs="仿宋_GB2312" w:eastAsia="仿宋_GB2312"/>
                <w:sz w:val="21"/>
              </w:rPr>
              <w:t>）</w:t>
            </w:r>
            <w:r>
              <w:rPr>
                <w:rFonts w:ascii="仿宋_GB2312" w:hAnsi="仿宋_GB2312" w:cs="仿宋_GB2312" w:eastAsia="仿宋_GB2312"/>
                <w:sz w:val="21"/>
              </w:rPr>
              <w:t>服务机构（含技术配置）和拟定售后</w:t>
            </w:r>
            <w:r>
              <w:rPr>
                <w:rFonts w:ascii="仿宋_GB2312" w:hAnsi="仿宋_GB2312" w:cs="仿宋_GB2312" w:eastAsia="仿宋_GB2312"/>
                <w:sz w:val="21"/>
              </w:rPr>
              <w:t>（</w:t>
            </w:r>
            <w:r>
              <w:rPr>
                <w:rFonts w:ascii="仿宋_GB2312" w:hAnsi="仿宋_GB2312" w:cs="仿宋_GB2312" w:eastAsia="仿宋_GB2312"/>
                <w:sz w:val="21"/>
              </w:rPr>
              <w:t>后续</w:t>
            </w:r>
            <w:r>
              <w:rPr>
                <w:rFonts w:ascii="仿宋_GB2312" w:hAnsi="仿宋_GB2312" w:cs="仿宋_GB2312" w:eastAsia="仿宋_GB2312"/>
                <w:sz w:val="21"/>
              </w:rPr>
              <w:t>）</w:t>
            </w:r>
            <w:r>
              <w:rPr>
                <w:rFonts w:ascii="仿宋_GB2312" w:hAnsi="仿宋_GB2312" w:cs="仿宋_GB2312" w:eastAsia="仿宋_GB2312"/>
                <w:sz w:val="21"/>
              </w:rPr>
              <w:t>服务方案。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自合同签订生效之日起60日内完成。</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G210万源市国道及本项目应当涉及的地点。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本项目的采购文件、中标（成交）供应商投标（响应）文件、采购合同、法律法规及政策的强制性规定。（2）履约过程中，甲方和乙方应做出详尽的现场记录，或由甲乙双方签署备忘录，此现场记录或备忘录可用作补充、缺失和整改的有效证据，由此产生的时间延误与有关费用由乙方承担，验收期限相应顺延。（3）其他未尽事宜严格执行《政府采购需求管理办法》（财库〔2021〕22号）、《财政部关于进一步加强政府采购需求和履约验收管理的指导意见》（财库〔2016〕205号）。</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1、资金支付，提交竣（交）工验收检测报告后，达到付款条件起30日内，据实结算说明为支付合同总金额的 100%。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因本合同及合同有关事项发生的争议，由甲乙双方友好协商解决。协商不成时，可以向有关组织申请调解。合同一方或双方不愿调解或调解不成的，可以通过仲裁或诉讼的方式解决争议。如甲乙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①本采购文件以此为准（若供应商未阅读知晓则后果自负）：引用相关标准/规范/依据已失效/废除的，以最新有效标准/规范/依据为准；若无最新有效标准/规范/依据的，则不执行已失效/废除的相关标准/规范/依据；本次采购项目涉及到CCC认证或前置许可或相关强制性规定等以及最新规定的，则从其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经采购人代表确认，</w:t>
      </w:r>
      <w:r>
        <w:rPr>
          <w:rFonts w:ascii="仿宋_GB2312" w:hAnsi="仿宋_GB2312" w:cs="仿宋_GB2312" w:eastAsia="仿宋_GB2312"/>
          <w:sz w:val="21"/>
        </w:rPr>
        <w:t>可以根据采购文件和磋商情况实质性变动。</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经采购人代表确认，</w:t>
      </w:r>
      <w:r>
        <w:rPr>
          <w:rFonts w:ascii="仿宋_GB2312" w:hAnsi="仿宋_GB2312" w:cs="仿宋_GB2312" w:eastAsia="仿宋_GB2312"/>
          <w:sz w:val="21"/>
        </w:rPr>
        <w:t>可以根据采购文件和磋商情况实质性变动。</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按需要具备下列之一：（1）供应商提供截至投标（响应）文件提交截止之日前一年内经审计的财务报告（包含审计报告和审计报告中所涉及的财务报表和报表附注）或者提供截至投标（响应）文件提交截止之日前一年内银行出具的资信证明。（2）供应商提供截至投标（响应）文件提交截止之日前一年内未经审计的提供财务报告（包括资产负债表、利润表、现金流量表、所有者权益变动表及其附注）。（3）供应商注册时间截至投标（响应）文件提交截止之日前不足一年的，也可提供在相关主管部门备案的公司章程等证明材料。注：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供应商结合自身实际，按照采购文件要求和关联格式要求，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本项目特殊资格条件</w:t>
            </w:r>
          </w:p>
        </w:tc>
        <w:tc>
          <w:tcPr>
            <w:tcW w:type="dxa" w:w="3322"/>
          </w:tcPr>
          <w:p>
            <w:pPr>
              <w:pStyle w:val="null3"/>
              <w:jc w:val="left"/>
            </w:pPr>
            <w:r>
              <w:rPr>
                <w:rFonts w:ascii="仿宋_GB2312" w:hAnsi="仿宋_GB2312" w:cs="仿宋_GB2312" w:eastAsia="仿宋_GB2312"/>
              </w:rPr>
              <w:t>（1）供应商具有并提供主管部门颁发的公路工程综合乙级及以上检测资质或公路工程乙级及以上检测资质；（2）供应商具有并提供主管部门颁发的计量认证证书（CMA）。注：供应商需在使用投标(响应)客户端编制响应文件时按要求上传相应证明文件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一、评审中出现下列情形之一的，评审委员会应当启动异常低价投标（响应）审查程序：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三、特别说明：本采购文件中采购包预算金额（采购人初步预算）不作为实际采购包预算金额，也不作为评审依据。因万源市地方因素实行了“采购人预算（初步预算）→财政评审预算（最终预算）”，本采购文件编制依据为“财政评审预算（最终预算）=采购包实际预算金额=采购包最高限价”，评审过程中以此为准。</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w:t>
            </w:r>
          </w:p>
        </w:tc>
        <w:tc>
          <w:tcPr>
            <w:tcW w:type="dxa" w:w="3322"/>
          </w:tcPr>
          <w:p>
            <w:pPr>
              <w:pStyle w:val="null3"/>
              <w:jc w:val="left"/>
            </w:pPr>
            <w:r>
              <w:rPr>
                <w:rFonts w:ascii="仿宋_GB2312" w:hAnsi="仿宋_GB2312" w:cs="仿宋_GB2312" w:eastAsia="仿宋_GB2312"/>
              </w:rPr>
              <w:t>1.本采购文件“技术、服务及其他要求”：带“★”要求为实质性要求，供应商必须进行实质性响应，不允许负偏离，否则作无效响应处理；带“▲”要求为重要性要求，供应商结合实际进行响应；其他的为一般性要求，供应商结合实际进行响应。除有明确规定外，不得以承诺函或投标响应函及类似方式进行完全满足或完全响应，否则作无效响应处理。</w:t>
            </w:r>
          </w:p>
        </w:tc>
        <w:tc>
          <w:tcPr>
            <w:tcW w:type="dxa" w:w="1661"/>
          </w:tcPr>
          <w:p>
            <w:pPr>
              <w:pStyle w:val="null3"/>
              <w:jc w:val="left"/>
            </w:pPr>
            <w:r>
              <w:rPr>
                <w:rFonts w:ascii="仿宋_GB2312" w:hAnsi="仿宋_GB2312" w:cs="仿宋_GB2312" w:eastAsia="仿宋_GB2312"/>
              </w:rPr>
              <w:t>技术、服务及其他要求∕产品技术参数响应表.docx,服务应答表,供应商认为应提交的其他相关证明材料.docx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授权</w:t>
            </w:r>
          </w:p>
        </w:tc>
        <w:tc>
          <w:tcPr>
            <w:tcW w:type="dxa" w:w="3322"/>
          </w:tcPr>
          <w:p>
            <w:pPr>
              <w:pStyle w:val="null3"/>
              <w:jc w:val="left"/>
            </w:pPr>
            <w:r>
              <w:rPr>
                <w:rFonts w:ascii="仿宋_GB2312" w:hAnsi="仿宋_GB2312" w:cs="仿宋_GB2312" w:eastAsia="仿宋_GB2312"/>
              </w:rPr>
              <w:t>非法定代表人（负责人）参与采购活动时提供。并进行电子签章。</w:t>
            </w:r>
          </w:p>
        </w:tc>
        <w:tc>
          <w:tcPr>
            <w:tcW w:type="dxa" w:w="1661"/>
          </w:tcPr>
          <w:p>
            <w:pPr>
              <w:pStyle w:val="null3"/>
              <w:jc w:val="left"/>
            </w:pPr>
            <w:r>
              <w:rPr>
                <w:rFonts w:ascii="仿宋_GB2312" w:hAnsi="仿宋_GB2312" w:cs="仿宋_GB2312" w:eastAsia="仿宋_GB2312"/>
              </w:rPr>
              <w:t>响应文件封面,法定代表人（负责人）授权书.docx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见第三章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项目方案</w:t>
            </w:r>
          </w:p>
        </w:tc>
        <w:tc>
          <w:tcPr>
            <w:tcW w:type="dxa" w:w="2575"/>
          </w:tcPr>
          <w:p>
            <w:pPr>
              <w:pStyle w:val="null3"/>
              <w:jc w:val="left"/>
            </w:pPr>
            <w:r>
              <w:rPr>
                <w:rFonts w:ascii="仿宋_GB2312" w:hAnsi="仿宋_GB2312" w:cs="仿宋_GB2312" w:eastAsia="仿宋_GB2312"/>
              </w:rPr>
              <w:t>【1】供应商结合项目服务内容及要求和服务期限，制定针 对本项目的实施方案包括：①对本项目的理解与分析 等；②检测技术方案、重难点分析及对策等；③各关键时间节点进度安排及进度保障措施等；④检测方案及检测数据质量保障措施等；⑤安全应急方案及安全保障措施等；⑥数据审核汇总及试验检测报告编制等方面的内容。供应商针对上述内容在响应文件中进行应答，以上6项方案内容齐全的每项6分共得36分，每缺失一项内容的扣6分，每一项内容每有一处出现存在不足或错误的扣2分，直至该项扣完为止。 【2】根据供应商针对本项目提供的后期服务方案包括：① 后续服务计划；②后续服务机构及服务人员情况；③后续服务保障措施等方面的内容。供应商针对上述内容在响应文件中进行应答，以上3项方案内容齐全的每项4分共得12分，每缺失一项内容的扣4分，每一项内容每有一处出现存在不足或错误的扣2分，直至该项扣完为止。 【注：不足或错误是指：项目名称错误、地点区域错误、 内容与本项目需求无关、方案内容前后矛盾、仅有框架或标题、适用的标准(方法)错误、明显复 制其他项目内容的任意一种情形。】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供应商认为应提交的其他相关证明材料.docx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拟配置人员</w:t>
            </w:r>
          </w:p>
        </w:tc>
        <w:tc>
          <w:tcPr>
            <w:tcW w:type="dxa" w:w="2575"/>
          </w:tcPr>
          <w:p>
            <w:pPr>
              <w:pStyle w:val="null3"/>
              <w:jc w:val="left"/>
            </w:pPr>
            <w:r>
              <w:rPr>
                <w:rFonts w:ascii="仿宋_GB2312" w:hAnsi="仿宋_GB2312" w:cs="仿宋_GB2312" w:eastAsia="仿宋_GB2312"/>
              </w:rPr>
              <w:t>【1】项目负责人：具有主管部门颁发的公路水运工程试验检测师证书得2分； 同时具有公路工程相关专业中级及以上职称加2分；本项最高得4分。 【2】技术负责人：具有主管部门颁发的公路水运工程试验检测师证书得2分；同时具有公路工程相关专业中级以上职称加2分，本项最高得4分。 【3】项目组成员：每投入一名具有公路水运工程试验检测师，并具有公路工程相关专业中级及以上职称，满足得2分；每投入一名公路水运工程检测员或助理试验检测师，并具有公路工程相关专业初级及以上职称，满足得1分。本项最高得6分。 【注：①以上人员不重复加分（即人员重复时，按照顺序首位者得分，后续重复者一律不得分）；②未按要求提供证明材料的不得分】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供应商认为应提交的其他相关证明材料.docx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于投标响应截止时间前（以履约验收结论落款时间为评审依据）具有类似业绩（类似业绩指：公路工程检测服务类项目），提供合同、验收资料的原件扫描件，每满足1个业绩得4分、本项最多得8分，否则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业绩一览表.docx</w:t>
            </w:r>
          </w:p>
          <w:p>
            <w:pPr>
              <w:pStyle w:val="null3"/>
              <w:jc w:val="left"/>
            </w:pPr>
            <w:r>
              <w:rPr>
                <w:rFonts w:ascii="仿宋_GB2312" w:hAnsi="仿宋_GB2312" w:cs="仿宋_GB2312" w:eastAsia="仿宋_GB2312"/>
              </w:rPr>
              <w:t>供应商认为应提交的其他相关证明材料.docx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1.经评审小组评审，通过资格和符合性审查，且投标（响应）报价最低值作为评审基准价。2.报价得分=评审基准价／投标（响应）报价×30。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详见附件：法定代表人（负责人）授权书.docx</w:t>
      </w:r>
    </w:p>
    <w:p>
      <w:pPr>
        <w:pStyle w:val="null3"/>
        <w:ind w:firstLine="960"/>
        <w:jc w:val="left"/>
      </w:pPr>
      <w:r>
        <w:rPr>
          <w:rFonts w:ascii="仿宋_GB2312" w:hAnsi="仿宋_GB2312" w:cs="仿宋_GB2312" w:eastAsia="仿宋_GB2312"/>
        </w:rPr>
        <w:t>详见附件：业绩一览表.docx</w:t>
      </w:r>
    </w:p>
    <w:p>
      <w:pPr>
        <w:pStyle w:val="null3"/>
        <w:ind w:firstLine="960"/>
        <w:jc w:val="left"/>
      </w:pPr>
      <w:r>
        <w:rPr>
          <w:rFonts w:ascii="仿宋_GB2312" w:hAnsi="仿宋_GB2312" w:cs="仿宋_GB2312" w:eastAsia="仿宋_GB2312"/>
        </w:rPr>
        <w:t>详见附件：技术、服务及其他要求∕产品技术参数响应表.docx</w:t>
      </w:r>
    </w:p>
    <w:p>
      <w:pPr>
        <w:pStyle w:val="null3"/>
        <w:ind w:firstLine="960"/>
        <w:jc w:val="left"/>
      </w:pPr>
      <w:r>
        <w:rPr>
          <w:rFonts w:ascii="仿宋_GB2312" w:hAnsi="仿宋_GB2312" w:cs="仿宋_GB2312" w:eastAsia="仿宋_GB2312"/>
        </w:rPr>
        <w:t>详见附件：供应商认为应提交的其他相关证明材料.docx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