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版本号：N513427202600002020260515001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2026年宁南县职业技能培训项目(四次)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N5134272026000020</w:t>
      </w:r>
    </w:p>
    <w:p>
      <w:pPr>
        <w:pStyle w:val="null3"/>
        <w:jc w:val="left"/>
        <w:outlineLvl w:val="2"/>
      </w:pPr>
      <w:r>
        <w:rPr>
          <w:rFonts w:ascii="仿宋_GB2312" w:hAnsi="仿宋_GB2312" w:cs="仿宋_GB2312" w:eastAsia="仿宋_GB2312"/>
          <w:sz w:val="28"/>
          <w:b/>
        </w:rPr>
        <w:t>宁南县人力资源和社会保障局</w:t>
      </w:r>
    </w:p>
    <w:p>
      <w:pPr>
        <w:pStyle w:val="null3"/>
        <w:jc w:val="center"/>
        <w:outlineLvl w:val="2"/>
      </w:pPr>
      <w:r>
        <w:rPr>
          <w:rFonts w:ascii="仿宋_GB2312" w:hAnsi="仿宋_GB2312" w:cs="仿宋_GB2312" w:eastAsia="仿宋_GB2312"/>
          <w:sz w:val="28"/>
          <w:b/>
        </w:rPr>
        <w:t>四川恒泰信诚建设项目管理有限公司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四川恒泰信诚建设项目管理有限公司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宁南县人力资源和社会保障局</w:t>
      </w:r>
      <w:r>
        <w:rPr>
          <w:rFonts w:ascii="仿宋_GB2312" w:hAnsi="仿宋_GB2312" w:cs="仿宋_GB2312" w:eastAsia="仿宋_GB2312"/>
        </w:rPr>
        <w:t xml:space="preserve"> 委托，拟对 </w:t>
      </w:r>
      <w:r>
        <w:rPr>
          <w:rFonts w:ascii="仿宋_GB2312" w:hAnsi="仿宋_GB2312" w:cs="仿宋_GB2312" w:eastAsia="仿宋_GB2312"/>
        </w:rPr>
        <w:t>2026年宁南县职业技能培训项目(四次)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凉山彝族自治州宁南县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N5134272026000020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2026年宁南县职业技能培训项目(四次)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推进“技能照亮前程”大规模职业技能提升培训行动，推动培训和就业协同联动，助力凉山高质量发展和城乡劳动者就业增收，推动《凉山州大规模职业技能提升培训行动方案(2025年一2027年)》及《凉山州补贴性职业技能培训实施细则》落地落实，培育壮大技能型人才队伍，以“大培训”促进“大就业”，助力大产业推动大发展。本项目根据相关规定采用固定价招标，本次拟采购培训工种为起重装卸机械操作工(叉车)、种养殖类，共计2个包（注：项目按培训工种分包共计10个包，已采购8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描述：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描述：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宁南县人力资源和社会保障局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宁南县政务中心4幢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0834-4561195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四川恒泰信诚建设项目管理有限公司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凉山州西昌市正义南路2号君越国际大厦5楼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0834-3280119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采购包1：808,000.00元</w:t>
            </w:r>
          </w:p>
          <w:p>
            <w:pPr>
              <w:pStyle w:val="null3"/>
              <w:jc w:val="left"/>
            </w:pPr>
            <w:r>
              <w:rPr>
                <w:rFonts w:ascii="仿宋_GB2312" w:hAnsi="仿宋_GB2312" w:cs="仿宋_GB2312" w:eastAsia="仿宋_GB2312"/>
              </w:rPr>
              <w:t>采购包2：148,500.00元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原则，参照中华人民共和国国家发展计划委员会计价格〔2002〕1980号《招标代理服务收费管理暂行办法》和发改办价格〔2003〕857号文件以及国家发展改革委关于进一步放开建设项目专业服务价格的通知（发改法规〔2015〕299号）文件向成交人按包收取招标代理服务费。包1：1.3万元；包2：0.7万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宁南县人力资源和社会保障局</w:t>
      </w:r>
      <w:r>
        <w:rPr>
          <w:rFonts w:ascii="仿宋_GB2312" w:hAnsi="仿宋_GB2312" w:cs="仿宋_GB2312" w:eastAsia="仿宋_GB2312"/>
        </w:rPr>
        <w:t xml:space="preserve"> 和 </w:t>
      </w:r>
      <w:r>
        <w:rPr>
          <w:rFonts w:ascii="仿宋_GB2312" w:hAnsi="仿宋_GB2312" w:cs="仿宋_GB2312" w:eastAsia="仿宋_GB2312"/>
        </w:rPr>
        <w:t>四川恒泰信诚建设项目管理有限公司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宁南县人力资源和社会保障局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四川恒泰信诚建设项目管理有限公司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按国家有关规定以及本项目招标文件技术、服务要求及合同条款和投标人投标文件和承诺。</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按国家有关规定以及本项目招标文件技术、服务要求及合同条款和投标人投标文件和承诺。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按国家有关规定以及本项目招标文件技术、服务要求及合同条款和投标人投标文件和承诺。</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按国家有关规定以及本项目招标文件技术、服务要求及合同条款和投标人投标文件和承诺。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成交人与采购人应严格按照《财政部关于进一步加强政府采购需求和履约验收管理的指导意见》（财库〔2016〕205号）的要求、招标文件规定的要求和投标文件及合同承诺的内容进行验收。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成交人与采购人应严格按照《财政部关于进一步加强政府采购需求和履约验收管理的指导意见》（财库〔2016〕205号）的要求、招标文件规定的要求和投标文件及合同承诺的内容进行验收。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宁南县人力资源和社会保障局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四川恒泰信诚建设项目管理有限公司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四川恒泰信诚建设项目管理有限公司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联系人：韦老师</w:t>
      </w:r>
    </w:p>
    <w:p>
      <w:pPr>
        <w:pStyle w:val="null3"/>
        <w:jc w:val="left"/>
      </w:pPr>
      <w:r>
        <w:rPr>
          <w:rFonts w:ascii="仿宋_GB2312" w:hAnsi="仿宋_GB2312" w:cs="仿宋_GB2312" w:eastAsia="仿宋_GB2312"/>
        </w:rPr>
        <w:t>联系电话：0834-4561195</w:t>
      </w:r>
    </w:p>
    <w:p>
      <w:pPr>
        <w:pStyle w:val="null3"/>
        <w:jc w:val="left"/>
      </w:pPr>
      <w:r>
        <w:rPr>
          <w:rFonts w:ascii="仿宋_GB2312" w:hAnsi="仿宋_GB2312" w:cs="仿宋_GB2312" w:eastAsia="仿宋_GB2312"/>
        </w:rPr>
        <w:t>地址：宁南县政务中心4幢</w:t>
      </w:r>
    </w:p>
    <w:p>
      <w:pPr>
        <w:pStyle w:val="null3"/>
        <w:jc w:val="left"/>
      </w:pPr>
      <w:r>
        <w:rPr>
          <w:rFonts w:ascii="仿宋_GB2312" w:hAnsi="仿宋_GB2312" w:cs="仿宋_GB2312" w:eastAsia="仿宋_GB2312"/>
        </w:rPr>
        <w:t>邮编：615400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联系电话：0834-3280119</w:t>
      </w:r>
    </w:p>
    <w:p>
      <w:pPr>
        <w:pStyle w:val="null3"/>
        <w:jc w:val="left"/>
      </w:pPr>
      <w:r>
        <w:rPr>
          <w:rFonts w:ascii="仿宋_GB2312" w:hAnsi="仿宋_GB2312" w:cs="仿宋_GB2312" w:eastAsia="仿宋_GB2312"/>
        </w:rPr>
        <w:t>地址：西昌市正义南路2号君越国际大厦5楼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808,000.00</w:t>
      </w:r>
    </w:p>
    <w:p>
      <w:pPr>
        <w:pStyle w:val="null3"/>
        <w:jc w:val="left"/>
      </w:pPr>
      <w:r>
        <w:rPr>
          <w:rFonts w:ascii="仿宋_GB2312" w:hAnsi="仿宋_GB2312" w:cs="仿宋_GB2312" w:eastAsia="仿宋_GB2312"/>
        </w:rPr>
        <w:t>采购包最高限价（元）: 808,000.00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起重装卸机械 操作工(叉车) （初级）</w:t>
            </w:r>
          </w:p>
        </w:tc>
        <w:tc>
          <w:tcPr>
            <w:tcW w:type="dxa" w:w="821"/>
          </w:tcPr>
          <w:p>
            <w:pPr>
              <w:pStyle w:val="null3"/>
              <w:jc w:val="right"/>
            </w:pPr>
            <w:r>
              <w:rPr>
                <w:rFonts w:ascii="仿宋_GB2312" w:hAnsi="仿宋_GB2312" w:cs="仿宋_GB2312" w:eastAsia="仿宋_GB2312"/>
              </w:rPr>
              <w:t>160.00（人）</w:t>
            </w:r>
          </w:p>
        </w:tc>
        <w:tc>
          <w:tcPr>
            <w:tcW w:type="dxa" w:w="821"/>
          </w:tcPr>
          <w:p>
            <w:pPr>
              <w:pStyle w:val="null3"/>
              <w:jc w:val="right"/>
            </w:pPr>
            <w:r>
              <w:rPr>
                <w:rFonts w:ascii="仿宋_GB2312" w:hAnsi="仿宋_GB2312" w:cs="仿宋_GB2312" w:eastAsia="仿宋_GB2312"/>
              </w:rPr>
              <w:t>808,000.00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148,500.00</w:t>
      </w:r>
    </w:p>
    <w:p>
      <w:pPr>
        <w:pStyle w:val="null3"/>
        <w:jc w:val="left"/>
      </w:pPr>
      <w:r>
        <w:rPr>
          <w:rFonts w:ascii="仿宋_GB2312" w:hAnsi="仿宋_GB2312" w:cs="仿宋_GB2312" w:eastAsia="仿宋_GB2312"/>
        </w:rPr>
        <w:t>采购包最高限价（元）: 148,500.00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种养殖类（专项）</w:t>
            </w:r>
          </w:p>
        </w:tc>
        <w:tc>
          <w:tcPr>
            <w:tcW w:type="dxa" w:w="821"/>
          </w:tcPr>
          <w:p>
            <w:pPr>
              <w:pStyle w:val="null3"/>
              <w:jc w:val="right"/>
            </w:pPr>
            <w:r>
              <w:rPr>
                <w:rFonts w:ascii="仿宋_GB2312" w:hAnsi="仿宋_GB2312" w:cs="仿宋_GB2312" w:eastAsia="仿宋_GB2312"/>
              </w:rPr>
              <w:t>150.00（人）</w:t>
            </w:r>
          </w:p>
        </w:tc>
        <w:tc>
          <w:tcPr>
            <w:tcW w:type="dxa" w:w="821"/>
          </w:tcPr>
          <w:p>
            <w:pPr>
              <w:pStyle w:val="null3"/>
              <w:jc w:val="right"/>
            </w:pPr>
            <w:r>
              <w:rPr>
                <w:rFonts w:ascii="仿宋_GB2312" w:hAnsi="仿宋_GB2312" w:cs="仿宋_GB2312" w:eastAsia="仿宋_GB2312"/>
              </w:rPr>
              <w:t>148,500.00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起重装卸机械 操作工(叉车) （初级）</w:t>
            </w:r>
          </w:p>
        </w:tc>
        <w:tc>
          <w:tcPr>
            <w:tcW w:type="dxa" w:w="977"/>
          </w:tcPr>
          <w:p>
            <w:pPr>
              <w:pStyle w:val="null3"/>
              <w:jc w:val="center"/>
            </w:pPr>
            <w:r>
              <w:rPr>
                <w:rFonts w:ascii="仿宋_GB2312" w:hAnsi="仿宋_GB2312" w:cs="仿宋_GB2312" w:eastAsia="仿宋_GB2312"/>
              </w:rPr>
              <w:t>人</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5,050.00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采用固定单价采购，价格不作为评审因素，但因四川省政府采购一体化平台系统原因，必须包含价格分评审因素，故供应商均按固定单价进行报价，低于或高于单价最高限价的报价为无效报价。本次价格包含完成所有工作所需的所有费用，采购人不再另行支付任何费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种养殖类（专项）</w:t>
            </w:r>
          </w:p>
        </w:tc>
        <w:tc>
          <w:tcPr>
            <w:tcW w:type="dxa" w:w="977"/>
          </w:tcPr>
          <w:p>
            <w:pPr>
              <w:pStyle w:val="null3"/>
              <w:jc w:val="center"/>
            </w:pPr>
            <w:r>
              <w:rPr>
                <w:rFonts w:ascii="仿宋_GB2312" w:hAnsi="仿宋_GB2312" w:cs="仿宋_GB2312" w:eastAsia="仿宋_GB2312"/>
              </w:rPr>
              <w:t>人</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990.00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采用固定单价采购，价格不作为评审因素，但因四川省政府采购一体化平台系统原因，必须包含价格分评审因素，故供应商均按固定单价进行报价，低于或高于单价最高限价的报价为无效报价。本次价格包含完成所有工作所需的所有费用，采购人不再另行支付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标的名称：起重装卸机械 操作工(叉车) （初级）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w:t>
            </w:r>
          </w:p>
        </w:tc>
        <w:tc>
          <w:tcPr>
            <w:tcW w:type="dxa" w:w="5814"/>
          </w:tcPr>
          <w:p>
            <w:pPr>
              <w:pStyle w:val="null3"/>
              <w:jc w:val="both"/>
            </w:pPr>
            <w:r>
              <w:rPr>
                <w:rFonts w:ascii="仿宋_GB2312" w:hAnsi="仿宋_GB2312" w:cs="仿宋_GB2312" w:eastAsia="仿宋_GB2312"/>
                <w:sz w:val="24"/>
              </w:rPr>
              <w:t>（一）培训对象</w:t>
            </w:r>
          </w:p>
          <w:p>
            <w:pPr>
              <w:pStyle w:val="null3"/>
              <w:ind w:firstLine="482"/>
              <w:jc w:val="left"/>
            </w:pPr>
            <w:r>
              <w:rPr>
                <w:rFonts w:ascii="仿宋_GB2312" w:hAnsi="仿宋_GB2312" w:cs="仿宋_GB2312" w:eastAsia="仿宋_GB2312"/>
                <w:sz w:val="24"/>
              </w:rPr>
              <w:t>1. 享受补贴培训的人员应为</w:t>
            </w:r>
            <w:r>
              <w:rPr>
                <w:rFonts w:ascii="仿宋_GB2312" w:hAnsi="仿宋_GB2312" w:cs="仿宋_GB2312" w:eastAsia="仿宋_GB2312"/>
                <w:sz w:val="24"/>
              </w:rPr>
              <w:t>宁南县</w:t>
            </w:r>
            <w:r>
              <w:rPr>
                <w:rFonts w:ascii="仿宋_GB2312" w:hAnsi="仿宋_GB2312" w:cs="仿宋_GB2312" w:eastAsia="仿宋_GB2312"/>
                <w:sz w:val="24"/>
              </w:rPr>
              <w:t>内有培训意愿和就业创业能力的城乡劳动者，年满</w:t>
            </w:r>
            <w:r>
              <w:rPr>
                <w:rFonts w:ascii="仿宋_GB2312" w:hAnsi="仿宋_GB2312" w:cs="仿宋_GB2312" w:eastAsia="仿宋_GB2312"/>
                <w:sz w:val="24"/>
              </w:rPr>
              <w:t>16周岁。主要包括以下人员(就业重点群体):低收入人口、就业困难人员、“两后生"、农村转移就业劳动者、农业实用人才、城镇登记失业人员、退役军人、残疾人、高校毕业生、有创业意愿的人员、其他人员。</w:t>
            </w:r>
          </w:p>
          <w:p>
            <w:pPr>
              <w:pStyle w:val="null3"/>
              <w:ind w:firstLine="482"/>
              <w:jc w:val="left"/>
            </w:pPr>
            <w:r>
              <w:rPr>
                <w:rFonts w:ascii="仿宋_GB2312" w:hAnsi="仿宋_GB2312" w:cs="仿宋_GB2312" w:eastAsia="仿宋_GB2312"/>
                <w:sz w:val="24"/>
              </w:rPr>
              <w:t>2.补贴性职业技能培训的重点对象为“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ind w:firstLine="482"/>
              <w:jc w:val="left"/>
            </w:pPr>
            <w:r>
              <w:rPr>
                <w:rFonts w:ascii="仿宋_GB2312" w:hAnsi="仿宋_GB2312" w:cs="仿宋_GB2312" w:eastAsia="仿宋_GB2312"/>
                <w:sz w:val="24"/>
              </w:rPr>
              <w:t>（二）职业技能培训内容</w:t>
            </w:r>
          </w:p>
          <w:p>
            <w:pPr>
              <w:pStyle w:val="null3"/>
              <w:ind w:firstLine="480"/>
              <w:jc w:val="left"/>
            </w:pPr>
            <w:r>
              <w:rPr>
                <w:rFonts w:ascii="仿宋_GB2312" w:hAnsi="仿宋_GB2312" w:cs="仿宋_GB2312" w:eastAsia="仿宋_GB2312"/>
                <w:sz w:val="24"/>
              </w:rPr>
              <w:t>1.培训内容：</w:t>
            </w:r>
            <w:r>
              <w:rPr>
                <w:rFonts w:ascii="仿宋_GB2312" w:hAnsi="仿宋_GB2312" w:cs="仿宋_GB2312" w:eastAsia="仿宋_GB2312"/>
                <w:sz w:val="24"/>
              </w:rPr>
              <w:t>培训内容</w:t>
            </w:r>
            <w:r>
              <w:rPr>
                <w:rFonts w:ascii="仿宋_GB2312" w:hAnsi="仿宋_GB2312" w:cs="仿宋_GB2312" w:eastAsia="仿宋_GB2312"/>
                <w:sz w:val="24"/>
              </w:rPr>
              <w:t>应紧紧围绕行业与民生领域急需紧缺技术技能人才、企业用工需求、劳动者就业创业需求。按采购文件各包培训种类结合培训者意愿需求，县</w:t>
            </w:r>
            <w:r>
              <w:rPr>
                <w:rFonts w:ascii="仿宋_GB2312" w:hAnsi="仿宋_GB2312" w:cs="仿宋_GB2312" w:eastAsia="仿宋_GB2312"/>
                <w:sz w:val="24"/>
              </w:rPr>
              <w:t>(市)经济社会发展需求,分类组织开展技能培训，保质保量完成各项任务指标。</w:t>
            </w:r>
          </w:p>
          <w:p>
            <w:pPr>
              <w:pStyle w:val="null3"/>
              <w:ind w:firstLine="482"/>
              <w:jc w:val="left"/>
            </w:pPr>
            <w:r>
              <w:rPr>
                <w:rFonts w:ascii="仿宋_GB2312" w:hAnsi="仿宋_GB2312" w:cs="仿宋_GB2312" w:eastAsia="仿宋_GB2312"/>
                <w:sz w:val="24"/>
              </w:rPr>
              <w:t>2.培训课时：按“培训项目及分包表”的培训学时培训。</w:t>
            </w:r>
          </w:p>
          <w:p>
            <w:pPr>
              <w:pStyle w:val="null3"/>
              <w:ind w:firstLine="482"/>
              <w:jc w:val="left"/>
            </w:pPr>
            <w:r>
              <w:rPr>
                <w:rFonts w:ascii="仿宋_GB2312" w:hAnsi="仿宋_GB2312" w:cs="仿宋_GB2312" w:eastAsia="仿宋_GB2312"/>
                <w:sz w:val="24"/>
              </w:rPr>
              <w:t>3.创业培训台账内容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同一培训对象原则上只能享受一次培训补贴。培训对象在参加就业培训前，根据培训入学登记表及评分指南进行筛选面试，培训结束后对参加就业培训后的学员提供不少于</w:t>
            </w:r>
            <w:r>
              <w:rPr>
                <w:rFonts w:ascii="仿宋_GB2312" w:hAnsi="仿宋_GB2312" w:cs="仿宋_GB2312" w:eastAsia="仿宋_GB2312"/>
                <w:sz w:val="24"/>
              </w:rPr>
              <w:t>6个月的后续服务，重点跟踪创业情况。</w:t>
            </w:r>
          </w:p>
          <w:p>
            <w:pPr>
              <w:pStyle w:val="null3"/>
              <w:ind w:firstLine="482"/>
              <w:jc w:val="left"/>
            </w:pPr>
            <w:r>
              <w:rPr>
                <w:rFonts w:ascii="仿宋_GB2312" w:hAnsi="仿宋_GB2312" w:cs="仿宋_GB2312" w:eastAsia="仿宋_GB2312"/>
                <w:sz w:val="24"/>
              </w:rPr>
              <w:t>（三）培训机构要求</w:t>
            </w:r>
          </w:p>
          <w:p>
            <w:pPr>
              <w:pStyle w:val="null3"/>
              <w:ind w:firstLine="480"/>
              <w:jc w:val="left"/>
            </w:pPr>
            <w:r>
              <w:rPr>
                <w:rFonts w:ascii="仿宋_GB2312" w:hAnsi="仿宋_GB2312" w:cs="仿宋_GB2312" w:eastAsia="仿宋_GB2312"/>
                <w:sz w:val="24"/>
              </w:rPr>
              <w:t>1.具备与拟培训项目（工种）相适应的师资力量，配备专职校长及专兼职理论教师和实习指导教师。理论教师和实习指导教师应具有与其教学岗位相应的任职资格。</w:t>
            </w:r>
            <w:r>
              <w:rPr>
                <w:rFonts w:ascii="仿宋_GB2312" w:hAnsi="仿宋_GB2312" w:cs="仿宋_GB2312" w:eastAsia="仿宋_GB2312"/>
                <w:sz w:val="24"/>
              </w:rPr>
              <w:t>每个专业（工种）至少配备</w:t>
            </w:r>
            <w:r>
              <w:rPr>
                <w:rFonts w:ascii="仿宋_GB2312" w:hAnsi="仿宋_GB2312" w:cs="仿宋_GB2312" w:eastAsia="仿宋_GB2312"/>
                <w:sz w:val="24"/>
              </w:rPr>
              <w:t>1名理论教师和2名实习指导教师,应具有相关专业中级及以上技术职称或三级及以上技能等级证书或人社部门认可</w:t>
            </w:r>
            <w:r>
              <w:rPr>
                <w:rFonts w:ascii="仿宋_GB2312" w:hAnsi="仿宋_GB2312" w:cs="仿宋_GB2312" w:eastAsia="仿宋_GB2312"/>
                <w:sz w:val="24"/>
              </w:rPr>
              <w:t>的其他师资证书，并有</w:t>
            </w:r>
            <w:r>
              <w:rPr>
                <w:rFonts w:ascii="仿宋_GB2312" w:hAnsi="仿宋_GB2312" w:cs="仿宋_GB2312" w:eastAsia="仿宋_GB2312"/>
                <w:sz w:val="24"/>
              </w:rPr>
              <w:t>1年或以上职业教育培训经历，且签订了聘任合同。（注：提供身份证、相关证书复印件、合同复印件以及证明</w:t>
            </w:r>
            <w:r>
              <w:rPr>
                <w:rFonts w:ascii="仿宋_GB2312" w:hAnsi="仿宋_GB2312" w:cs="仿宋_GB2312" w:eastAsia="仿宋_GB2312"/>
                <w:sz w:val="24"/>
              </w:rPr>
              <w:t>职业教育培训经历时间的相关证明材料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2.具备与拟培训专业相适应的相对独立、稳定的教学场地。</w:t>
            </w:r>
          </w:p>
          <w:p>
            <w:pPr>
              <w:pStyle w:val="null3"/>
              <w:ind w:firstLine="480"/>
              <w:jc w:val="left"/>
            </w:pPr>
            <w:r>
              <w:rPr>
                <w:rFonts w:ascii="仿宋_GB2312" w:hAnsi="仿宋_GB2312" w:cs="仿宋_GB2312" w:eastAsia="仿宋_GB2312"/>
                <w:sz w:val="24"/>
              </w:rPr>
              <w:t>3.具备满足技能教学需要的设施、设备。</w:t>
            </w:r>
          </w:p>
          <w:p>
            <w:pPr>
              <w:pStyle w:val="null3"/>
              <w:ind w:firstLine="480"/>
              <w:jc w:val="left"/>
            </w:pPr>
            <w:r>
              <w:rPr>
                <w:rFonts w:ascii="仿宋_GB2312" w:hAnsi="仿宋_GB2312" w:cs="仿宋_GB2312" w:eastAsia="仿宋_GB2312"/>
                <w:sz w:val="24"/>
              </w:rPr>
              <w:t>4.具有与培训项目（工种）相适应的教材。教学大纲、教学计划、教材目录，并严格执行。</w:t>
            </w:r>
          </w:p>
          <w:p>
            <w:pPr>
              <w:pStyle w:val="null3"/>
              <w:ind w:firstLine="480"/>
              <w:jc w:val="left"/>
            </w:pPr>
            <w:r>
              <w:rPr>
                <w:rFonts w:ascii="仿宋_GB2312" w:hAnsi="仿宋_GB2312" w:cs="仿宋_GB2312" w:eastAsia="仿宋_GB2312"/>
                <w:sz w:val="24"/>
              </w:rPr>
              <w:t>5.有专职工作人员对学员进行就业指导，并有良好稳定的就业渠道。</w:t>
            </w:r>
          </w:p>
          <w:p>
            <w:pPr>
              <w:pStyle w:val="null3"/>
              <w:ind w:firstLine="482"/>
              <w:jc w:val="left"/>
            </w:pPr>
            <w:r>
              <w:rPr>
                <w:rFonts w:ascii="仿宋_GB2312" w:hAnsi="仿宋_GB2312" w:cs="仿宋_GB2312" w:eastAsia="仿宋_GB2312"/>
                <w:sz w:val="24"/>
              </w:rPr>
              <w:t>（四）培训师资要求</w:t>
            </w:r>
          </w:p>
          <w:p>
            <w:pPr>
              <w:pStyle w:val="null3"/>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山州人力资源和社会保障局关于下达2026年度全州人社系统政府补贴性职业技能培训任务的通知》（凉人社办发[2025]46号)(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州外以及州内暂未进入师资库的教师，培训机构可以在宁南县人社局进行教师人员备案，备案人员须是最终参与培训的教师人员。培训开班前采购人将核实备案人员情况，如有未备案以及备案人员与培训人员不一致的情况将不予开班，并上报监管部门进行处理。</w:t>
            </w:r>
          </w:p>
          <w:p>
            <w:pPr>
              <w:pStyle w:val="null3"/>
              <w:ind w:firstLine="482"/>
              <w:jc w:val="left"/>
            </w:pPr>
            <w:r>
              <w:rPr>
                <w:rFonts w:ascii="仿宋_GB2312" w:hAnsi="仿宋_GB2312" w:cs="仿宋_GB2312" w:eastAsia="仿宋_GB2312"/>
                <w:sz w:val="24"/>
              </w:rPr>
              <w:t>（五）培训内容和质量要求</w:t>
            </w:r>
          </w:p>
          <w:p>
            <w:pPr>
              <w:pStyle w:val="null3"/>
              <w:ind w:firstLine="482"/>
              <w:jc w:val="left"/>
            </w:pPr>
            <w:r>
              <w:rPr>
                <w:rFonts w:ascii="仿宋_GB2312" w:hAnsi="仿宋_GB2312" w:cs="仿宋_GB2312" w:eastAsia="仿宋_GB2312"/>
                <w:sz w:val="24"/>
              </w:rPr>
              <w:t>1.控制培训班人数。切实提高培训质量，挖机和叉车机械司机等培训每班参训人数不超过40人，每5人配备一台机器，其他工种技能培训每班参训人数不超过50人，实操工位不少于参训人数的三分之一，焊工可根据培训地用电承载负荷适当减少实操工位。</w:t>
            </w:r>
          </w:p>
          <w:p>
            <w:pPr>
              <w:pStyle w:val="null3"/>
              <w:ind w:firstLine="482"/>
              <w:jc w:val="left"/>
            </w:pPr>
            <w:r>
              <w:rPr>
                <w:rFonts w:ascii="仿宋_GB2312" w:hAnsi="仿宋_GB2312" w:cs="仿宋_GB2312" w:eastAsia="仿宋_GB2312"/>
                <w:sz w:val="24"/>
              </w:rPr>
              <w:t>2.培训要合理安排理论学习与实际操作时间。以实际操作为主，提高培训实效，技能等级培训实操训练学时原则不少于总学时的60%，专项职业能力培训实操训练学时原则不少于总学时的80%。持续将通识性教育纳入每期培训班教学内容，加强城市生活常识、禁毒防艾、森林草原防灭火、消防安全、食品安全、移风易俗、防范电信网络诈骗等知识，确保每期培训班不少于 3个学时。培训对象、内容、台帐、质量、管理、补贴标准和资金监督拨付等按</w:t>
            </w:r>
            <w:r>
              <w:rPr>
                <w:rFonts w:ascii="仿宋_GB2312" w:hAnsi="仿宋_GB2312" w:cs="仿宋_GB2312" w:eastAsia="仿宋_GB2312"/>
                <w:sz w:val="24"/>
              </w:rPr>
              <w:t>照《凉山州人力资源和社会保障局关于下达</w:t>
            </w:r>
            <w:r>
              <w:rPr>
                <w:rFonts w:ascii="仿宋_GB2312" w:hAnsi="仿宋_GB2312" w:cs="仿宋_GB2312" w:eastAsia="仿宋_GB2312"/>
                <w:sz w:val="24"/>
              </w:rPr>
              <w:t>2026年度全州人社系统政府补贴性职业技能培训任务的通知》（凉人社办发[2025]46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中共凉山州委办公室凉山州人民政府办公室关于构建“大就业”工作责任体系促进农村劳动力高质量充分就业的通知》(凉委办函[2025]21号)、《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等规定执行等文件要求执行（以上文件有新规定的，按新规定要求执行）。培训机构对有就业意愿的学员应积极组织推荐就业，</w:t>
            </w:r>
            <w:r>
              <w:rPr>
                <w:rFonts w:ascii="仿宋_GB2312" w:hAnsi="仿宋_GB2312" w:cs="仿宋_GB2312" w:eastAsia="仿宋_GB2312"/>
                <w:sz w:val="24"/>
              </w:rPr>
              <w:t>并做好就业推荐的跟踪服务记录。</w:t>
            </w:r>
          </w:p>
          <w:p>
            <w:pPr>
              <w:pStyle w:val="null3"/>
              <w:ind w:firstLine="482"/>
              <w:jc w:val="left"/>
            </w:pPr>
            <w:r>
              <w:rPr>
                <w:rFonts w:ascii="仿宋_GB2312" w:hAnsi="仿宋_GB2312" w:cs="仿宋_GB2312" w:eastAsia="仿宋_GB2312"/>
                <w:sz w:val="24"/>
              </w:rPr>
              <w:t>（六）培训监管要求</w:t>
            </w:r>
          </w:p>
          <w:p>
            <w:pPr>
              <w:pStyle w:val="null3"/>
              <w:ind w:firstLine="480"/>
              <w:jc w:val="left"/>
            </w:pPr>
            <w:r>
              <w:rPr>
                <w:rFonts w:ascii="仿宋_GB2312" w:hAnsi="仿宋_GB2312" w:cs="仿宋_GB2312" w:eastAsia="仿宋_GB2312"/>
                <w:sz w:val="24"/>
              </w:rPr>
              <w:t>1.承训机构应严格按照批准的开班方案和教学内容组织开展培训，要加强学员管理，严明培训纪律，严格执行培训考勤制度，每个培训班要签到（按指纹），做到视频实时监管，并将指纹、指静脉、人脸、电子社保卡等数字化方式与纸质签到传统方式相结合。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过程、学员到课、考核评价等情况，核对学员身份、到课人数、教学设施设备、教师资质、培训教材、打卡签到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各承训机构要严格落实参训学员身份核验主体责任，在开班、结业等关键节点，要求学员持本人身份证原件现场拍摄人证同框照片。照片采集必须使用水印相机，且水印信息须包含拍摄时间、具体培训内容和地点，照片需保证人脸、身份证信息、水印内容清晰可辨。水印照片作为学员身份核验、实际参训、申领培训补贴的核心佐证。各承训机构务必严格执行上述各项要求，严格遵守考核评价工作的相关规定和考核评价机构的工作要求，确保考核结果真实有效、公平公正。</w:t>
            </w:r>
          </w:p>
          <w:p>
            <w:pPr>
              <w:pStyle w:val="null3"/>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经审核同意后开班。培训每天不少于6个学时，不超过8个学时(封闭式培训原则上每天不超过12个学时)。</w:t>
            </w:r>
          </w:p>
          <w:p>
            <w:pPr>
              <w:pStyle w:val="null3"/>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ind w:firstLine="482"/>
              <w:jc w:val="left"/>
            </w:pPr>
            <w:r>
              <w:rPr>
                <w:rFonts w:ascii="仿宋_GB2312" w:hAnsi="仿宋_GB2312" w:cs="仿宋_GB2312" w:eastAsia="仿宋_GB2312"/>
                <w:sz w:val="24"/>
              </w:rPr>
              <w:t>（七）培训服务要求</w:t>
            </w:r>
          </w:p>
          <w:p>
            <w:pPr>
              <w:pStyle w:val="null3"/>
              <w:ind w:firstLine="480"/>
              <w:jc w:val="left"/>
            </w:pPr>
            <w:r>
              <w:rPr>
                <w:rFonts w:ascii="仿宋_GB2312" w:hAnsi="仿宋_GB2312" w:cs="仿宋_GB2312" w:eastAsia="仿宋_GB2312"/>
                <w:sz w:val="24"/>
              </w:rPr>
              <w:t>1.投标人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ind w:firstLine="480"/>
              <w:jc w:val="left"/>
            </w:pPr>
            <w:r>
              <w:rPr>
                <w:rFonts w:ascii="仿宋_GB2312" w:hAnsi="仿宋_GB2312" w:cs="仿宋_GB2312" w:eastAsia="仿宋_GB2312"/>
                <w:sz w:val="24"/>
              </w:rPr>
              <w:t>2.培训采取理论学习、技能操作相结合的方式进行。</w:t>
            </w:r>
          </w:p>
          <w:p>
            <w:pPr>
              <w:pStyle w:val="null3"/>
              <w:ind w:firstLine="480"/>
              <w:jc w:val="left"/>
            </w:pPr>
            <w:r>
              <w:rPr>
                <w:rFonts w:ascii="仿宋_GB2312" w:hAnsi="仿宋_GB2312" w:cs="仿宋_GB2312" w:eastAsia="仿宋_GB2312"/>
                <w:sz w:val="24"/>
              </w:rPr>
              <w:t>3.投标人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ind w:firstLine="480"/>
              <w:jc w:val="left"/>
            </w:pPr>
            <w:r>
              <w:rPr>
                <w:rFonts w:ascii="仿宋_GB2312" w:hAnsi="仿宋_GB2312" w:cs="仿宋_GB2312" w:eastAsia="仿宋_GB2312"/>
                <w:sz w:val="24"/>
              </w:rPr>
              <w:t>4.开班过程中实行学员每日签到制度（必须使用考勤机签到）。</w:t>
            </w:r>
          </w:p>
          <w:p>
            <w:pPr>
              <w:pStyle w:val="null3"/>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ind w:firstLine="480"/>
              <w:jc w:val="left"/>
            </w:pPr>
            <w:r>
              <w:rPr>
                <w:rFonts w:ascii="仿宋_GB2312" w:hAnsi="仿宋_GB2312" w:cs="仿宋_GB2312" w:eastAsia="仿宋_GB2312"/>
                <w:sz w:val="24"/>
              </w:rPr>
              <w:t>6.成交人需按照采购人及相关文件规定要求完善各种培训相关材料，并接受各级部门的监督检查。</w:t>
            </w:r>
          </w:p>
          <w:p>
            <w:pPr>
              <w:pStyle w:val="null3"/>
              <w:ind w:firstLine="480"/>
              <w:jc w:val="left"/>
            </w:pPr>
            <w:r>
              <w:rPr>
                <w:rFonts w:ascii="仿宋_GB2312" w:hAnsi="仿宋_GB2312" w:cs="仿宋_GB2312" w:eastAsia="仿宋_GB2312"/>
                <w:sz w:val="24"/>
              </w:rPr>
              <w:t>7.成交人在培训前应根据国家职业标准和当前有关职业发展状况及本机构的实际培训条件，制定职业（工种）的培训方案。</w:t>
            </w:r>
          </w:p>
          <w:p>
            <w:pPr>
              <w:pStyle w:val="null3"/>
              <w:ind w:firstLine="480"/>
              <w:jc w:val="left"/>
            </w:pPr>
            <w:r>
              <w:rPr>
                <w:rFonts w:ascii="仿宋_GB2312" w:hAnsi="仿宋_GB2312" w:cs="仿宋_GB2312" w:eastAsia="仿宋_GB2312"/>
                <w:sz w:val="24"/>
              </w:rPr>
              <w:t>8.成交人需提供培训所需的器材、耗材及其他设施、设备。</w:t>
            </w:r>
          </w:p>
          <w:p>
            <w:pPr>
              <w:pStyle w:val="null3"/>
              <w:ind w:firstLine="480"/>
              <w:jc w:val="left"/>
            </w:pPr>
            <w:r>
              <w:rPr>
                <w:rFonts w:ascii="仿宋_GB2312" w:hAnsi="仿宋_GB2312" w:cs="仿宋_GB2312" w:eastAsia="仿宋_GB2312"/>
                <w:sz w:val="24"/>
              </w:rPr>
              <w:t>9.成交人应具有专人整理资料，对培训过程中形成的文字、图片、音像等资料应及时收集整理，归档备查。成交人教学内容要注重针对性、实用性和规范性，并做好学员的后续跟踪服务,做好培训台账。注册地不在凉山州的培训机构需在中标地配置办公室及资料存档室，在中标地配备专管人员负责后续服务及档案管理，以备各级部门的相关检查。</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ind w:firstLine="482"/>
              <w:jc w:val="left"/>
            </w:pPr>
            <w:r>
              <w:rPr>
                <w:rFonts w:ascii="仿宋_GB2312" w:hAnsi="仿宋_GB2312" w:cs="仿宋_GB2312" w:eastAsia="仿宋_GB2312"/>
                <w:sz w:val="24"/>
                <w:b/>
              </w:rPr>
              <w:t>②投标人可选择多个包进行投标，但每家投标人最多只能中标其中2个包。若一家投标人为3个包及以上的第一</w:t>
            </w:r>
            <w:r>
              <w:rPr>
                <w:rFonts w:ascii="仿宋_GB2312" w:hAnsi="仿宋_GB2312" w:cs="仿宋_GB2312" w:eastAsia="仿宋_GB2312"/>
                <w:sz w:val="24"/>
                <w:b/>
              </w:rPr>
              <w:t>成交</w:t>
            </w:r>
            <w:r>
              <w:rPr>
                <w:rFonts w:ascii="仿宋_GB2312" w:hAnsi="仿宋_GB2312" w:cs="仿宋_GB2312" w:eastAsia="仿宋_GB2312"/>
                <w:sz w:val="24"/>
                <w:b/>
              </w:rPr>
              <w:t>候选人，评标委员会将按照分包序号顺序确定投标人前</w:t>
            </w:r>
            <w:r>
              <w:rPr>
                <w:rFonts w:ascii="仿宋_GB2312" w:hAnsi="仿宋_GB2312" w:cs="仿宋_GB2312" w:eastAsia="仿宋_GB2312"/>
                <w:sz w:val="24"/>
                <w:b/>
              </w:rPr>
              <w:t>2个包为第一</w:t>
            </w:r>
            <w:r>
              <w:rPr>
                <w:rFonts w:ascii="仿宋_GB2312" w:hAnsi="仿宋_GB2312" w:cs="仿宋_GB2312" w:eastAsia="仿宋_GB2312"/>
                <w:sz w:val="24"/>
                <w:b/>
              </w:rPr>
              <w:t>成交</w:t>
            </w:r>
            <w:r>
              <w:rPr>
                <w:rFonts w:ascii="仿宋_GB2312" w:hAnsi="仿宋_GB2312" w:cs="仿宋_GB2312" w:eastAsia="仿宋_GB2312"/>
                <w:sz w:val="24"/>
                <w:b/>
              </w:rPr>
              <w:t>候选人，其余包将不作为</w:t>
            </w:r>
            <w:r>
              <w:rPr>
                <w:rFonts w:ascii="仿宋_GB2312" w:hAnsi="仿宋_GB2312" w:cs="仿宋_GB2312" w:eastAsia="仿宋_GB2312"/>
                <w:sz w:val="24"/>
                <w:b/>
              </w:rPr>
              <w:t>成交</w:t>
            </w:r>
            <w:r>
              <w:rPr>
                <w:rFonts w:ascii="仿宋_GB2312" w:hAnsi="仿宋_GB2312" w:cs="仿宋_GB2312" w:eastAsia="仿宋_GB2312"/>
                <w:sz w:val="24"/>
                <w:b/>
              </w:rPr>
              <w:t>候选人。</w:t>
            </w:r>
          </w:p>
          <w:p>
            <w:pPr>
              <w:pStyle w:val="null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标的名称：种养殖类（专项）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w:t>
            </w:r>
          </w:p>
        </w:tc>
        <w:tc>
          <w:tcPr>
            <w:tcW w:type="dxa" w:w="5814"/>
          </w:tcPr>
          <w:p>
            <w:pPr>
              <w:pStyle w:val="null3"/>
              <w:ind w:firstLine="482"/>
              <w:jc w:val="left"/>
            </w:pPr>
            <w:r>
              <w:rPr>
                <w:rFonts w:ascii="仿宋_GB2312" w:hAnsi="仿宋_GB2312" w:cs="仿宋_GB2312" w:eastAsia="仿宋_GB2312"/>
                <w:sz w:val="24"/>
              </w:rPr>
              <w:t>（一）培训对象</w:t>
            </w:r>
          </w:p>
          <w:p>
            <w:pPr>
              <w:pStyle w:val="null3"/>
              <w:ind w:firstLine="482"/>
              <w:jc w:val="left"/>
            </w:pPr>
            <w:r>
              <w:rPr>
                <w:rFonts w:ascii="仿宋_GB2312" w:hAnsi="仿宋_GB2312" w:cs="仿宋_GB2312" w:eastAsia="仿宋_GB2312"/>
                <w:sz w:val="24"/>
              </w:rPr>
              <w:t>1. 享受补贴培训的人员应为</w:t>
            </w:r>
            <w:r>
              <w:rPr>
                <w:rFonts w:ascii="仿宋_GB2312" w:hAnsi="仿宋_GB2312" w:cs="仿宋_GB2312" w:eastAsia="仿宋_GB2312"/>
                <w:sz w:val="24"/>
              </w:rPr>
              <w:t>宁南县</w:t>
            </w:r>
            <w:r>
              <w:rPr>
                <w:rFonts w:ascii="仿宋_GB2312" w:hAnsi="仿宋_GB2312" w:cs="仿宋_GB2312" w:eastAsia="仿宋_GB2312"/>
                <w:sz w:val="24"/>
              </w:rPr>
              <w:t>内有培训意愿和就业创业能力的城乡劳动者，年满</w:t>
            </w:r>
            <w:r>
              <w:rPr>
                <w:rFonts w:ascii="仿宋_GB2312" w:hAnsi="仿宋_GB2312" w:cs="仿宋_GB2312" w:eastAsia="仿宋_GB2312"/>
                <w:sz w:val="24"/>
              </w:rPr>
              <w:t>16周岁。主要包括以下人员(就业重点群体):低收入人口、就业困难人员、“两后生"、农村转移就业劳动者、农业实用人才、城镇登记失业人员、退役军人、残疾人、高校毕业生、有创业意愿的人员、其他人员。</w:t>
            </w:r>
          </w:p>
          <w:p>
            <w:pPr>
              <w:pStyle w:val="null3"/>
              <w:ind w:firstLine="482"/>
              <w:jc w:val="left"/>
            </w:pPr>
            <w:r>
              <w:rPr>
                <w:rFonts w:ascii="仿宋_GB2312" w:hAnsi="仿宋_GB2312" w:cs="仿宋_GB2312" w:eastAsia="仿宋_GB2312"/>
                <w:sz w:val="24"/>
              </w:rPr>
              <w:t>2.补贴性职业技能培训的重点对象为“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ind w:firstLine="482"/>
              <w:jc w:val="left"/>
            </w:pPr>
            <w:r>
              <w:rPr>
                <w:rFonts w:ascii="仿宋_GB2312" w:hAnsi="仿宋_GB2312" w:cs="仿宋_GB2312" w:eastAsia="仿宋_GB2312"/>
                <w:sz w:val="24"/>
              </w:rPr>
              <w:t>（二）职业技能培训内容</w:t>
            </w:r>
          </w:p>
          <w:p>
            <w:pPr>
              <w:pStyle w:val="null3"/>
              <w:ind w:firstLine="480"/>
              <w:jc w:val="left"/>
            </w:pPr>
            <w:r>
              <w:rPr>
                <w:rFonts w:ascii="仿宋_GB2312" w:hAnsi="仿宋_GB2312" w:cs="仿宋_GB2312" w:eastAsia="仿宋_GB2312"/>
                <w:sz w:val="24"/>
              </w:rPr>
              <w:t>1.培训内容：</w:t>
            </w:r>
            <w:r>
              <w:rPr>
                <w:rFonts w:ascii="仿宋_GB2312" w:hAnsi="仿宋_GB2312" w:cs="仿宋_GB2312" w:eastAsia="仿宋_GB2312"/>
                <w:sz w:val="24"/>
              </w:rPr>
              <w:t>培训内容</w:t>
            </w:r>
            <w:r>
              <w:rPr>
                <w:rFonts w:ascii="仿宋_GB2312" w:hAnsi="仿宋_GB2312" w:cs="仿宋_GB2312" w:eastAsia="仿宋_GB2312"/>
                <w:sz w:val="24"/>
              </w:rPr>
              <w:t>应紧紧围绕行业与民生领域急需紧缺技术技能人才、企业用工需求、劳动者就业创业需求。按采购文件各包培训种类结合培训者意愿需求，县</w:t>
            </w:r>
            <w:r>
              <w:rPr>
                <w:rFonts w:ascii="仿宋_GB2312" w:hAnsi="仿宋_GB2312" w:cs="仿宋_GB2312" w:eastAsia="仿宋_GB2312"/>
                <w:sz w:val="24"/>
              </w:rPr>
              <w:t>(市)经济社会发展需求,分类组织开展技能培训，保质保量完成各项任务指标。</w:t>
            </w:r>
          </w:p>
          <w:p>
            <w:pPr>
              <w:pStyle w:val="null3"/>
              <w:ind w:firstLine="482"/>
              <w:jc w:val="left"/>
            </w:pPr>
            <w:r>
              <w:rPr>
                <w:rFonts w:ascii="仿宋_GB2312" w:hAnsi="仿宋_GB2312" w:cs="仿宋_GB2312" w:eastAsia="仿宋_GB2312"/>
                <w:sz w:val="24"/>
              </w:rPr>
              <w:t>2.培训课时：按“培训项目及分包表”的培训学时培训。</w:t>
            </w:r>
          </w:p>
          <w:p>
            <w:pPr>
              <w:pStyle w:val="null3"/>
              <w:ind w:firstLine="482"/>
              <w:jc w:val="left"/>
            </w:pPr>
            <w:r>
              <w:rPr>
                <w:rFonts w:ascii="仿宋_GB2312" w:hAnsi="仿宋_GB2312" w:cs="仿宋_GB2312" w:eastAsia="仿宋_GB2312"/>
                <w:sz w:val="24"/>
              </w:rPr>
              <w:t>3.创业培训台账内容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同一培训对象原则上只能享受一次培训补贴。培训对象在参加就业培训前，根据培训入学登记表及评分指南进行筛选面试，培训结束后对参加就业培训后的学员提供不少于</w:t>
            </w:r>
            <w:r>
              <w:rPr>
                <w:rFonts w:ascii="仿宋_GB2312" w:hAnsi="仿宋_GB2312" w:cs="仿宋_GB2312" w:eastAsia="仿宋_GB2312"/>
                <w:sz w:val="24"/>
              </w:rPr>
              <w:t>6个月的后续服务，重点跟踪创业情况。</w:t>
            </w:r>
          </w:p>
          <w:p>
            <w:pPr>
              <w:pStyle w:val="null3"/>
              <w:ind w:firstLine="482"/>
              <w:jc w:val="left"/>
            </w:pPr>
            <w:r>
              <w:rPr>
                <w:rFonts w:ascii="仿宋_GB2312" w:hAnsi="仿宋_GB2312" w:cs="仿宋_GB2312" w:eastAsia="仿宋_GB2312"/>
                <w:sz w:val="24"/>
              </w:rPr>
              <w:t>（三）培训机构要求</w:t>
            </w:r>
          </w:p>
          <w:p>
            <w:pPr>
              <w:pStyle w:val="null3"/>
              <w:ind w:firstLine="480"/>
              <w:jc w:val="left"/>
            </w:pPr>
            <w:r>
              <w:rPr>
                <w:rFonts w:ascii="仿宋_GB2312" w:hAnsi="仿宋_GB2312" w:cs="仿宋_GB2312" w:eastAsia="仿宋_GB2312"/>
                <w:sz w:val="24"/>
              </w:rPr>
              <w:t>1.具备与拟培训项目（工种）相适应的师资力量，配备专职校长及专兼职理论教师和实习指导教师。理论教师和实习指导教师应具有与其教学岗位相应的任职资格。</w:t>
            </w:r>
            <w:r>
              <w:rPr>
                <w:rFonts w:ascii="仿宋_GB2312" w:hAnsi="仿宋_GB2312" w:cs="仿宋_GB2312" w:eastAsia="仿宋_GB2312"/>
                <w:sz w:val="24"/>
              </w:rPr>
              <w:t>每个专业（工种）至少配备</w:t>
            </w:r>
            <w:r>
              <w:rPr>
                <w:rFonts w:ascii="仿宋_GB2312" w:hAnsi="仿宋_GB2312" w:cs="仿宋_GB2312" w:eastAsia="仿宋_GB2312"/>
                <w:sz w:val="24"/>
              </w:rPr>
              <w:t>1名理论教师和2名实习指导教师,应具有相关专业中级及以上技术职称或三级及以上技能等级证书或人社部门认可</w:t>
            </w:r>
            <w:r>
              <w:rPr>
                <w:rFonts w:ascii="仿宋_GB2312" w:hAnsi="仿宋_GB2312" w:cs="仿宋_GB2312" w:eastAsia="仿宋_GB2312"/>
                <w:sz w:val="24"/>
              </w:rPr>
              <w:t>的其他师资证书，并有</w:t>
            </w:r>
            <w:r>
              <w:rPr>
                <w:rFonts w:ascii="仿宋_GB2312" w:hAnsi="仿宋_GB2312" w:cs="仿宋_GB2312" w:eastAsia="仿宋_GB2312"/>
                <w:sz w:val="24"/>
              </w:rPr>
              <w:t>1年或以上职业教育培训经历，且签订了聘任合同。（注：提供身份证、相关证书复印件、合同复印件以及证明</w:t>
            </w:r>
            <w:r>
              <w:rPr>
                <w:rFonts w:ascii="仿宋_GB2312" w:hAnsi="仿宋_GB2312" w:cs="仿宋_GB2312" w:eastAsia="仿宋_GB2312"/>
                <w:sz w:val="24"/>
              </w:rPr>
              <w:t>职业教育培训经历时间的相关证明材料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2.具备与拟培训专业相适应的相对独立、稳定的教学场地。</w:t>
            </w:r>
          </w:p>
          <w:p>
            <w:pPr>
              <w:pStyle w:val="null3"/>
              <w:ind w:firstLine="480"/>
              <w:jc w:val="left"/>
            </w:pPr>
            <w:r>
              <w:rPr>
                <w:rFonts w:ascii="仿宋_GB2312" w:hAnsi="仿宋_GB2312" w:cs="仿宋_GB2312" w:eastAsia="仿宋_GB2312"/>
                <w:sz w:val="24"/>
              </w:rPr>
              <w:t>3.具备满足技能教学需要的设施、设备。</w:t>
            </w:r>
          </w:p>
          <w:p>
            <w:pPr>
              <w:pStyle w:val="null3"/>
              <w:ind w:firstLine="480"/>
              <w:jc w:val="left"/>
            </w:pPr>
            <w:r>
              <w:rPr>
                <w:rFonts w:ascii="仿宋_GB2312" w:hAnsi="仿宋_GB2312" w:cs="仿宋_GB2312" w:eastAsia="仿宋_GB2312"/>
                <w:sz w:val="24"/>
              </w:rPr>
              <w:t>4.具有与培训项目（工种）相适应的教材。教学大纲、教学计划、教材目录，并严格执行。</w:t>
            </w:r>
          </w:p>
          <w:p>
            <w:pPr>
              <w:pStyle w:val="null3"/>
              <w:ind w:firstLine="480"/>
              <w:jc w:val="left"/>
            </w:pPr>
            <w:r>
              <w:rPr>
                <w:rFonts w:ascii="仿宋_GB2312" w:hAnsi="仿宋_GB2312" w:cs="仿宋_GB2312" w:eastAsia="仿宋_GB2312"/>
                <w:sz w:val="24"/>
              </w:rPr>
              <w:t>5.有专职工作人员对学员进行就业指导，并有良好稳定的就业渠道。</w:t>
            </w:r>
          </w:p>
          <w:p>
            <w:pPr>
              <w:pStyle w:val="null3"/>
              <w:ind w:firstLine="482"/>
              <w:jc w:val="left"/>
            </w:pPr>
            <w:r>
              <w:rPr>
                <w:rFonts w:ascii="仿宋_GB2312" w:hAnsi="仿宋_GB2312" w:cs="仿宋_GB2312" w:eastAsia="仿宋_GB2312"/>
                <w:sz w:val="24"/>
              </w:rPr>
              <w:t>（四）培训师资要求</w:t>
            </w:r>
          </w:p>
          <w:p>
            <w:pPr>
              <w:pStyle w:val="null3"/>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山州人力资源和社会保障局关于下达2026年度全州人社系统政府补贴性职业技能培训任务的通知》（凉人社办发[2025]46号)(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州外以及州内暂未进入师资库的教师，培训机构可以在宁南县人社局进行教师人员备案，备案人员须是最终参与培训的教师人员。培训开班前采购人将核实备案人员情况，如有未备案以及备案人员与培训人员不一致的情况将不予开班，并上报监管部门进行处理。</w:t>
            </w:r>
          </w:p>
          <w:p>
            <w:pPr>
              <w:pStyle w:val="null3"/>
              <w:ind w:firstLine="482"/>
              <w:jc w:val="left"/>
            </w:pPr>
            <w:r>
              <w:rPr>
                <w:rFonts w:ascii="仿宋_GB2312" w:hAnsi="仿宋_GB2312" w:cs="仿宋_GB2312" w:eastAsia="仿宋_GB2312"/>
                <w:sz w:val="24"/>
              </w:rPr>
              <w:t>（五）培训内容和质量要求</w:t>
            </w:r>
          </w:p>
          <w:p>
            <w:pPr>
              <w:pStyle w:val="null3"/>
              <w:ind w:firstLine="482"/>
              <w:jc w:val="left"/>
            </w:pPr>
            <w:r>
              <w:rPr>
                <w:rFonts w:ascii="仿宋_GB2312" w:hAnsi="仿宋_GB2312" w:cs="仿宋_GB2312" w:eastAsia="仿宋_GB2312"/>
                <w:sz w:val="24"/>
              </w:rPr>
              <w:t>1.控制培训班人数。切实提高培训质量，挖机和叉车机械司机等培训每班参训人数不超过40人，每5人配备一台机器，其他工种技能培训每班参训人数不超过50人，实操工位不少于参训人数的三分之一，焊工可根据培训地用电承载负荷适当减少实操工位。</w:t>
            </w:r>
          </w:p>
          <w:p>
            <w:pPr>
              <w:pStyle w:val="null3"/>
              <w:ind w:firstLine="482"/>
              <w:jc w:val="left"/>
            </w:pPr>
            <w:r>
              <w:rPr>
                <w:rFonts w:ascii="仿宋_GB2312" w:hAnsi="仿宋_GB2312" w:cs="仿宋_GB2312" w:eastAsia="仿宋_GB2312"/>
                <w:sz w:val="24"/>
              </w:rPr>
              <w:t>2.培训要合理安排理论学习与实际操作时间。以实际操作为主，提高培训实效，技能等级培训实操训练学时原则不少于总学时的60%，专项职业能力培训实操训练学时原则不少于总学时的80%。持续将通识性教育纳入每期培训班教学内容，加强城市生活常识、禁毒防艾、森林草原防灭火、消防安全、食品安全、移风易俗、防范电信网络诈骗等知识，确保每期培训班不少于 3个学时。培训对象、内容、台帐、质量、管理、补贴标准和资金监督拨付等按</w:t>
            </w:r>
            <w:r>
              <w:rPr>
                <w:rFonts w:ascii="仿宋_GB2312" w:hAnsi="仿宋_GB2312" w:cs="仿宋_GB2312" w:eastAsia="仿宋_GB2312"/>
                <w:sz w:val="24"/>
              </w:rPr>
              <w:t>照《凉山州人力资源和社会保障局关于下达</w:t>
            </w:r>
            <w:r>
              <w:rPr>
                <w:rFonts w:ascii="仿宋_GB2312" w:hAnsi="仿宋_GB2312" w:cs="仿宋_GB2312" w:eastAsia="仿宋_GB2312"/>
                <w:sz w:val="24"/>
              </w:rPr>
              <w:t>2026年度全州人社系统政府补贴性职业技能培训任务的通知》（凉人社办发[2025]46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中共凉山州委办公室凉山州人民政府办公室关于构建“大就业”工作责任体系促进农村劳动力高质量充分就业的通知》(凉委办函[2025]21号)、《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等规定执行等文件要求执行（以上文件有新规定的，按新规定要求执行）。培训机构对有就业意愿的学员应积极组织推荐就业，</w:t>
            </w:r>
            <w:r>
              <w:rPr>
                <w:rFonts w:ascii="仿宋_GB2312" w:hAnsi="仿宋_GB2312" w:cs="仿宋_GB2312" w:eastAsia="仿宋_GB2312"/>
                <w:sz w:val="24"/>
              </w:rPr>
              <w:t>并做好就业推荐的跟踪服务记录。</w:t>
            </w:r>
          </w:p>
          <w:p>
            <w:pPr>
              <w:pStyle w:val="null3"/>
              <w:ind w:firstLine="482"/>
              <w:jc w:val="left"/>
            </w:pPr>
            <w:r>
              <w:rPr>
                <w:rFonts w:ascii="仿宋_GB2312" w:hAnsi="仿宋_GB2312" w:cs="仿宋_GB2312" w:eastAsia="仿宋_GB2312"/>
                <w:sz w:val="24"/>
              </w:rPr>
              <w:t>（六）培训监管要求</w:t>
            </w:r>
          </w:p>
          <w:p>
            <w:pPr>
              <w:pStyle w:val="null3"/>
              <w:ind w:firstLine="480"/>
              <w:jc w:val="left"/>
            </w:pPr>
            <w:r>
              <w:rPr>
                <w:rFonts w:ascii="仿宋_GB2312" w:hAnsi="仿宋_GB2312" w:cs="仿宋_GB2312" w:eastAsia="仿宋_GB2312"/>
                <w:sz w:val="24"/>
              </w:rPr>
              <w:t>1.承训机构应严格按照批准的开班方案和教学内容组织开展培训，要加强学员管理，严明培训纪律，严格执行培训考勤制度，每个培训班要签到（按指纹），做到视频实时监管，并将指纹、指静脉、人脸、电子社保卡等数字化方式与纸质签到传统方式相结合。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过程、学员到课、考核评价等情况，核对学员身份、到课人数、教学设施设备、教师资质、培训教材、打卡签到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各承训机构要严格落实参训学员身份核验主体责任，在开班、结业等关键节点，要求学员持本人身份证原件现场拍摄人证同框照片。照片采集必须使用水印相机，且水印信息须包含拍摄时间、具体培训内容和地点，照片需保证人脸、身份证信息、水印内容清晰可辨。水印照片作为学员身份核验、实际参训、申领培训补贴的核心佐证。各承训机构务必严格执行上述各项要求，严格遵守考核评价工作的相关规定和考核评价机构的工作要求，确保考核结果真实有效、公平公正。</w:t>
            </w:r>
          </w:p>
          <w:p>
            <w:pPr>
              <w:pStyle w:val="null3"/>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经审核同意后开班。培训每天不少于6个学时，不超过8个学时(封闭式培训原则上每天不超过12个学时)。</w:t>
            </w:r>
          </w:p>
          <w:p>
            <w:pPr>
              <w:pStyle w:val="null3"/>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ind w:firstLine="482"/>
              <w:jc w:val="left"/>
            </w:pPr>
            <w:r>
              <w:rPr>
                <w:rFonts w:ascii="仿宋_GB2312" w:hAnsi="仿宋_GB2312" w:cs="仿宋_GB2312" w:eastAsia="仿宋_GB2312"/>
                <w:sz w:val="24"/>
              </w:rPr>
              <w:t>（七）培训服务要求</w:t>
            </w:r>
          </w:p>
          <w:p>
            <w:pPr>
              <w:pStyle w:val="null3"/>
              <w:ind w:firstLine="480"/>
              <w:jc w:val="left"/>
            </w:pPr>
            <w:r>
              <w:rPr>
                <w:rFonts w:ascii="仿宋_GB2312" w:hAnsi="仿宋_GB2312" w:cs="仿宋_GB2312" w:eastAsia="仿宋_GB2312"/>
                <w:sz w:val="24"/>
              </w:rPr>
              <w:t>1.投标人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ind w:firstLine="480"/>
              <w:jc w:val="left"/>
            </w:pPr>
            <w:r>
              <w:rPr>
                <w:rFonts w:ascii="仿宋_GB2312" w:hAnsi="仿宋_GB2312" w:cs="仿宋_GB2312" w:eastAsia="仿宋_GB2312"/>
                <w:sz w:val="24"/>
              </w:rPr>
              <w:t>2.培训采取理论学习、技能操作相结合的方式进行。</w:t>
            </w:r>
          </w:p>
          <w:p>
            <w:pPr>
              <w:pStyle w:val="null3"/>
              <w:ind w:firstLine="480"/>
              <w:jc w:val="left"/>
            </w:pPr>
            <w:r>
              <w:rPr>
                <w:rFonts w:ascii="仿宋_GB2312" w:hAnsi="仿宋_GB2312" w:cs="仿宋_GB2312" w:eastAsia="仿宋_GB2312"/>
                <w:sz w:val="24"/>
              </w:rPr>
              <w:t>3.投标人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ind w:firstLine="480"/>
              <w:jc w:val="left"/>
            </w:pPr>
            <w:r>
              <w:rPr>
                <w:rFonts w:ascii="仿宋_GB2312" w:hAnsi="仿宋_GB2312" w:cs="仿宋_GB2312" w:eastAsia="仿宋_GB2312"/>
                <w:sz w:val="24"/>
              </w:rPr>
              <w:t>4.开班过程中实行学员每日签到制度（必须使用考勤机签到）。</w:t>
            </w:r>
          </w:p>
          <w:p>
            <w:pPr>
              <w:pStyle w:val="null3"/>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ind w:firstLine="480"/>
              <w:jc w:val="left"/>
            </w:pPr>
            <w:r>
              <w:rPr>
                <w:rFonts w:ascii="仿宋_GB2312" w:hAnsi="仿宋_GB2312" w:cs="仿宋_GB2312" w:eastAsia="仿宋_GB2312"/>
                <w:sz w:val="24"/>
              </w:rPr>
              <w:t>6.成交人需按照采购人及相关文件规定要求完善各种培训相关材料，并接受各级部门的监督检查。</w:t>
            </w:r>
          </w:p>
          <w:p>
            <w:pPr>
              <w:pStyle w:val="null3"/>
              <w:ind w:firstLine="480"/>
              <w:jc w:val="left"/>
            </w:pPr>
            <w:r>
              <w:rPr>
                <w:rFonts w:ascii="仿宋_GB2312" w:hAnsi="仿宋_GB2312" w:cs="仿宋_GB2312" w:eastAsia="仿宋_GB2312"/>
                <w:sz w:val="24"/>
              </w:rPr>
              <w:t>7.成交人在培训前应根据国家职业标准和当前有关职业发展状况及本机构的实际培训条件，制定职业（工种）的培训方案。</w:t>
            </w:r>
          </w:p>
          <w:p>
            <w:pPr>
              <w:pStyle w:val="null3"/>
              <w:ind w:firstLine="480"/>
              <w:jc w:val="left"/>
            </w:pPr>
            <w:r>
              <w:rPr>
                <w:rFonts w:ascii="仿宋_GB2312" w:hAnsi="仿宋_GB2312" w:cs="仿宋_GB2312" w:eastAsia="仿宋_GB2312"/>
                <w:sz w:val="24"/>
              </w:rPr>
              <w:t>8.成交人需提供培训所需的器材、耗材及其他设施、设备。</w:t>
            </w:r>
          </w:p>
          <w:p>
            <w:pPr>
              <w:pStyle w:val="null3"/>
              <w:ind w:firstLine="480"/>
              <w:jc w:val="left"/>
            </w:pPr>
            <w:r>
              <w:rPr>
                <w:rFonts w:ascii="仿宋_GB2312" w:hAnsi="仿宋_GB2312" w:cs="仿宋_GB2312" w:eastAsia="仿宋_GB2312"/>
                <w:sz w:val="24"/>
              </w:rPr>
              <w:t>9.成交人应具有专人整理资料，对培训过程中形成的文字、图片、音像等资料应及时收集整理，归档备查。成交人教学内容要注重针对性、实用性和规范性，并做好学员的后续跟踪服务,做好培训台账。注册地不在凉山州的培训机构需在中标地配置办公室及资料存档室，在中标地配备专管人员负责后续服务及档案管理，以备各级部门的相关检查。</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ind w:firstLine="482"/>
              <w:jc w:val="left"/>
            </w:pPr>
            <w:r>
              <w:rPr>
                <w:rFonts w:ascii="仿宋_GB2312" w:hAnsi="仿宋_GB2312" w:cs="仿宋_GB2312" w:eastAsia="仿宋_GB2312"/>
                <w:sz w:val="24"/>
                <w:b/>
              </w:rPr>
              <w:t>②投标人可选择多个包进行投标，但每家投标人最多只能中标其中2个包。若一家投标人为3个包及以上的第一</w:t>
            </w:r>
            <w:r>
              <w:rPr>
                <w:rFonts w:ascii="仿宋_GB2312" w:hAnsi="仿宋_GB2312" w:cs="仿宋_GB2312" w:eastAsia="仿宋_GB2312"/>
                <w:sz w:val="24"/>
                <w:b/>
              </w:rPr>
              <w:t>成交</w:t>
            </w:r>
            <w:r>
              <w:rPr>
                <w:rFonts w:ascii="仿宋_GB2312" w:hAnsi="仿宋_GB2312" w:cs="仿宋_GB2312" w:eastAsia="仿宋_GB2312"/>
                <w:sz w:val="24"/>
                <w:b/>
              </w:rPr>
              <w:t>候选人，评标委员会将按照分包序号顺序确定投标人前</w:t>
            </w:r>
            <w:r>
              <w:rPr>
                <w:rFonts w:ascii="仿宋_GB2312" w:hAnsi="仿宋_GB2312" w:cs="仿宋_GB2312" w:eastAsia="仿宋_GB2312"/>
                <w:sz w:val="24"/>
                <w:b/>
              </w:rPr>
              <w:t>2个包为第一</w:t>
            </w:r>
            <w:r>
              <w:rPr>
                <w:rFonts w:ascii="仿宋_GB2312" w:hAnsi="仿宋_GB2312" w:cs="仿宋_GB2312" w:eastAsia="仿宋_GB2312"/>
                <w:sz w:val="24"/>
                <w:b/>
              </w:rPr>
              <w:t>成交</w:t>
            </w:r>
            <w:r>
              <w:rPr>
                <w:rFonts w:ascii="仿宋_GB2312" w:hAnsi="仿宋_GB2312" w:cs="仿宋_GB2312" w:eastAsia="仿宋_GB2312"/>
                <w:sz w:val="24"/>
                <w:b/>
              </w:rPr>
              <w:t>候选人，其余包将不作为</w:t>
            </w:r>
            <w:r>
              <w:rPr>
                <w:rFonts w:ascii="仿宋_GB2312" w:hAnsi="仿宋_GB2312" w:cs="仿宋_GB2312" w:eastAsia="仿宋_GB2312"/>
                <w:sz w:val="24"/>
                <w:b/>
              </w:rPr>
              <w:t>成交</w:t>
            </w:r>
            <w:r>
              <w:rPr>
                <w:rFonts w:ascii="仿宋_GB2312" w:hAnsi="仿宋_GB2312" w:cs="仿宋_GB2312" w:eastAsia="仿宋_GB2312"/>
                <w:sz w:val="24"/>
                <w:b/>
              </w:rPr>
              <w:t>候选人。</w:t>
            </w:r>
          </w:p>
          <w:p>
            <w:pPr>
              <w:pStyle w:val="null3"/>
              <w:ind w:firstLine="482"/>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在中标培训学校地完成</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应严格按照《财政部关于进一步加强政府采购需求和履约验收管理的指导意见》（财库〔2016〕205号）的要求、招标文件规定的要求和投标文件及合同承诺的内容进行验收。验收主体：采购人；验收时间：投标人提出验收申请后15日内；验收组织方式：自行验收；验收内容及标准：按国家有关规定以及本项目招标文件技术、服务要求及合同条款和投标人投标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培训全部完成，培训学员取得相关合格证书或专项职业能力以上证书后进行验收，经监管单位验收合格后填写《验收结算单》，由采购人签署验收合格、同意支付意见后，达到付款条件起7日内，据实结算说明为结算金额严格按照招标文件相关文件进行实际结算。最终结算金额＝本包合格人数×本包单价进行据实结算；本包合格率低于70%的不予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（3）供应商必须遵守采购合同按时完成合同相关工作，若由于供应商原因导致合同迟延履行，供应商应承担采购合同中约定的责任。 （4）供应商应当遵守采购人的相关项目需求及相关技术要求及实质性条款，实施完成采购合同应当完全满足相关项目需求及相关技术要求及实质性条款，若供应商瑕疵履行采购合同，采购人有权向供应商要求赔偿违约金，若造成相关损失的，采购人有权要求供应商承担所有赔偿责任。 2. 解决争议的方法 ： 合同履行期间,若双方发生争议，可协商或由有关部门调解解决，协商或调解不成的，向采购人所在地人民法院起诉。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在宁南县完成培训工作。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应严格按照《财政部关于进一步加强政府采购需求和履约验收管理的指导意见》（财库〔2016〕205号）的要求、招标文件规定的要求和投标文件及合同承诺的内容进行验收。验收主体：采购人；验收时间：投标人提出验收申请后15日内；验收组织方式：自行验收；验收内容及标准：按国家有关规定以及本项目招标文件技术、服务要求及合同条款和投标人投标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培训全部完成，培训学员取得相关合格证书或专项职业能力以上证书后进行验收，经监管单位验收合格后填写《验收结算单》，由采购人签署验收合格、同意支付意见后，达到付款条件起7日内，据实结算说明为结算金额严格按照招标文件相关文件进行实际结算。最终结算金额＝本包合格人数×本包单价进行据实结算；本包合格率低于70%的不予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（3）供应商必须遵守采购合同按时完成合同相关工作，若由于供应商原因导致合同迟延履行，供应商应承担采购合同中约定的责任。 （4）供应商应当遵守采购人的相关项目需求及相关技术要求及实质性条款，实施完成采购合同应当完全满足相关项目需求及相关技术要求及实质性条款，若供应商瑕疵履行采购合同，采购人有权向供应商要求赔偿违约金，若造成相关损失的，采购人有权要求供应商承担所有赔偿责任。 2. 解决争议的方法 ： 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★一、退出机制 成交人有下述情形之一的，取消或终止其培训资格，并视情况进行责任追究：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★二、安全责任要求 投标人承诺在本项目实施全部过程中，因自身原因造成的安全事故（意外事故、交通事故等），投标人须承担全部法律责任和赔偿全部经济损失，与采购人无关。 ★三、投标人注册地在凉山州外的培训机构在中标通知书领取后合同签订定签前按照相关文件的规定在州人社局备案。 四、其他条件 1.投标人须配备履行合同所需要的相关专业技术人员。 2.投标人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 3.其他未尽事宜，由采购人与成交人另行协商解决。</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★一、退出机制 成交人有下述情形之一的，取消或终止其培训资格，并视情况进行责任追究：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★二、安全责任要求 投标人承诺在本项目实施全部过程中，因自身原因造成的安全事故（意外事故、交通事故等），投标人须承担全部法律责任和赔偿全部经济损失，与采购人无关。 ★三、投标人注册地在凉山州外的培训机构在中标通知书领取后合同签订定签前按照相关文件的规定在州人社局备案。 四、其他条件 1.投标人须配备履行合同所需要的相关专业技术人员。 2.投标人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 3.其他未尽事宜，由采购人与成交人另行协商解决。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color w:val="0000FF"/>
        </w:rPr>
        <w:t>第三章</w:t>
      </w:r>
      <w:r>
        <w:rPr>
          <w:rFonts w:ascii="仿宋_GB2312" w:hAnsi="仿宋_GB2312" w:cs="仿宋_GB2312" w:eastAsia="仿宋_GB2312"/>
          <w:sz w:val="24"/>
          <w:color w:val="0000FF"/>
        </w:rPr>
        <w:t>“技术、服务及其他要求”中“3.2.技术要求”，“3.3. 服务要求”中全部内容。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color w:val="0000FF"/>
        </w:rPr>
        <w:t>第七章</w:t>
      </w:r>
      <w:r>
        <w:rPr>
          <w:rFonts w:ascii="仿宋_GB2312" w:hAnsi="仿宋_GB2312" w:cs="仿宋_GB2312" w:eastAsia="仿宋_GB2312"/>
          <w:sz w:val="24"/>
          <w:color w:val="0000FF"/>
        </w:rPr>
        <w:t>“拟签订采购合同文本 ”中全部内容。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一年度经审计的财务报告复印件（包含审计报告和审计报告中所涉及的财务报表和报表附注），②也可提供2023年以来任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具有健全的财务会计制度的承诺函，格式自拟；以上五项任选其一。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一年度经审计的财务报告复印件（包含审计报告和审计报告中所涉及的财务报表和报表附注），②也可提供2023年以来任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具有健全的财务会计制度的承诺函，格式自拟；以上五项任选其一。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tc>
        <w:tc>
          <w:tcPr>
            <w:tcW w:type="dxa" w:w="3322"/>
          </w:tcPr>
          <w:p>
            <w:pPr>
              <w:pStyle w:val="null3"/>
              <w:jc w:val="left"/>
            </w:pPr>
            <w:r>
              <w:rPr>
                <w:rFonts w:ascii="仿宋_GB2312" w:hAnsi="仿宋_GB2312" w:cs="仿宋_GB2312" w:eastAsia="仿宋_GB2312"/>
              </w:rPr>
              <w:t>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tc>
        <w:tc>
          <w:tcPr>
            <w:tcW w:type="dxa" w:w="3322"/>
          </w:tcPr>
          <w:p>
            <w:pPr>
              <w:pStyle w:val="null3"/>
              <w:jc w:val="left"/>
            </w:pPr>
            <w:r>
              <w:rPr>
                <w:rFonts w:ascii="仿宋_GB2312" w:hAnsi="仿宋_GB2312" w:cs="仿宋_GB2312" w:eastAsia="仿宋_GB2312"/>
              </w:rPr>
              <w:t>投标人须具有国家行政主管部门颁发的办学许可证明文件（提供办学许可证明文件复印件）;投标人办学范围须涵盖所投包件工种(提供办学许可证明文件复印件或行政主管部门备案凭证或人社部门颁发的定点培训文件)。（提供相关证明材料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3.2.技术要求、3.3.服务要求、3.4.其他要求的响应情况。</w:t>
            </w:r>
          </w:p>
        </w:tc>
        <w:tc>
          <w:tcPr>
            <w:tcW w:type="dxa" w:w="3322"/>
          </w:tcPr>
          <w:p>
            <w:pPr>
              <w:pStyle w:val="null3"/>
              <w:jc w:val="left"/>
            </w:pPr>
            <w:r>
              <w:rPr>
                <w:rFonts w:ascii="仿宋_GB2312" w:hAnsi="仿宋_GB2312" w:cs="仿宋_GB2312" w:eastAsia="仿宋_GB2312"/>
              </w:rPr>
              <w:t>供应商须对磋商文件中3.2.技术要求、3.3.服务要求、3.4.其他要求中实质性内容进行逐条响应，未如实响应或响应内容不符合磋商文件对应项要求或不填写响应情况的，其响应文件作无效处理。磋商文件中明确要求单独提供承诺函或相关证明材料的，供应商须按照磋商文件要求如实提供。</w:t>
            </w:r>
          </w:p>
        </w:tc>
        <w:tc>
          <w:tcPr>
            <w:tcW w:type="dxa" w:w="1661"/>
          </w:tcPr>
          <w:p>
            <w:pPr>
              <w:pStyle w:val="null3"/>
              <w:jc w:val="left"/>
            </w:pPr>
            <w:r>
              <w:rPr>
                <w:rFonts w:ascii="仿宋_GB2312" w:hAnsi="仿宋_GB2312" w:cs="仿宋_GB2312" w:eastAsia="仿宋_GB2312"/>
              </w:rPr>
              <w:t>技术要求应答表.pdf,供应商应提交的相关证明材料,服务应答表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供应商按照采购文件要求进行响应。</w:t>
            </w:r>
          </w:p>
        </w:tc>
        <w:tc>
          <w:tcPr>
            <w:tcW w:type="dxa" w:w="1661"/>
          </w:tcPr>
          <w:p>
            <w:pPr>
              <w:pStyle w:val="null3"/>
              <w:jc w:val="left"/>
            </w:pPr>
            <w:r>
              <w:rPr>
                <w:rFonts w:ascii="仿宋_GB2312" w:hAnsi="仿宋_GB2312" w:cs="仿宋_GB2312" w:eastAsia="仿宋_GB2312"/>
              </w:rPr>
              <w:t>供应商应提交的相关证明材料,报价表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3.2.技术要求、3.3.服务要求、3.4.其他要求的响应情况。</w:t>
            </w:r>
          </w:p>
        </w:tc>
        <w:tc>
          <w:tcPr>
            <w:tcW w:type="dxa" w:w="3322"/>
          </w:tcPr>
          <w:p>
            <w:pPr>
              <w:pStyle w:val="null3"/>
              <w:jc w:val="left"/>
            </w:pPr>
            <w:r>
              <w:rPr>
                <w:rFonts w:ascii="仿宋_GB2312" w:hAnsi="仿宋_GB2312" w:cs="仿宋_GB2312" w:eastAsia="仿宋_GB2312"/>
              </w:rPr>
              <w:t>供应商须对磋商文件中3.2.技术要求、3.3.服务要求、3.4.其他要求中实质性内容进行逐条响应，未如实响应或响应内容不符合磋商文件对应项要求或不填写响应情况的，其响应文件作无效处理。磋商文件中明确要求单独提供承诺函或相关证明材料的，供应商须按照磋商文件要求如实提供。</w:t>
            </w:r>
          </w:p>
        </w:tc>
        <w:tc>
          <w:tcPr>
            <w:tcW w:type="dxa" w:w="1661"/>
          </w:tcPr>
          <w:p>
            <w:pPr>
              <w:pStyle w:val="null3"/>
              <w:jc w:val="left"/>
            </w:pPr>
            <w:r>
              <w:rPr>
                <w:rFonts w:ascii="仿宋_GB2312" w:hAnsi="仿宋_GB2312" w:cs="仿宋_GB2312" w:eastAsia="仿宋_GB2312"/>
              </w:rPr>
              <w:t>技术要求应答表.pdf,供应商应提交的相关证明材料,服务应答表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供应商按照采购文件要求进行响应</w:t>
            </w:r>
          </w:p>
        </w:tc>
        <w:tc>
          <w:tcPr>
            <w:tcW w:type="dxa" w:w="1661"/>
          </w:tcPr>
          <w:p>
            <w:pPr>
              <w:pStyle w:val="null3"/>
              <w:jc w:val="left"/>
            </w:pPr>
            <w:r>
              <w:rPr>
                <w:rFonts w:ascii="仿宋_GB2312" w:hAnsi="仿宋_GB2312" w:cs="仿宋_GB2312" w:eastAsia="仿宋_GB2312"/>
              </w:rPr>
              <w:t>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24分，缺少一项内容扣3分，每有一项内容存在缺陷扣1.5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2.须针对本包实际培训项目编制培训管理制度。</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一、针对本项目的教学管理人员：具有大专学历的得2分，具有本科及以上学历的得4分；同时具有相关专业中级及以上职称证或相关专业三级及以上国家职业资格等级证书加2分，本项最多得6分。 注：提供相关人员学历证明和相关证书复印件并加盖投标人公章。 二、在满足本项目每个专业（工种）至少配备1名理论教师和2名实习指导教师要求基础上： 1.每增加一名与专业相符的专职或兼职培训专业理论课教师具有与所投包相关专业中级及以上职称或三级及以上职业资格等级的加2分，本项最多加4分。 2.每增加一名与专业相符的实习指导老师具有与所投包相关专业中级及以上职称或三级及以上职业资格等级的加2分，本项最多加4分。 注：①以上人员不重复计算。 ②每个专业（工种）至少配备1名理论教师和2名实习指导教师要求为实质性要求，投标人须按招标文件要求提供相关佐证材料，此项须完全满足，不作为评分因素进行打分。 ③需提供身份证复印件、相关证书证明材料复印件及在职证明材料复印件并加盖投标人公章。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自2023年1月1日以来每提供1个类似项目业绩的得2.5分，本项最多得5分，不提供不得分。 注：提供中标/成交通知书或合同复印件并加盖投标人鲜章。时间以合同签订为准。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根据《政府采购竞争性磋商采购方式管理暂行办法》第二十四条 规定“执行统一价格标准的项目，其价格不列为评分因素”。本项目按有关文件规定执行统一价格标准，采用固定单价采购，属于执行统一价格标准的项目，因此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供应商按固定单价进行报价的均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24分，缺少一项内容扣3分，每有一项内容存在缺陷扣1.5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2.须针对本包实际培训项目编制培训管理制度。</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 2.须针对本包实际培训项目编制应急预案。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一、针对本项目的教学管理人员：具有大专学历的得2分，具有本科及以上学历的得4分；同时具有相关专业中级及以上职称证或相关专业三级及以上国家职业资格等级证书加2分，本项最多得6分。 注：提供相关人员学历证明和相关证书复印件并加盖投标人公章。 二、在满足本项目每个专业（工种）至少配备1名理论教师和2名实习指导教师要求基础上： 1.每增加一名与专业相符的专职或兼职培训专业理论课教师具有与所投包相关专业中级及以上职称或三级及以上职业资格等级的加2分，本项最多加4分。 2.每增加一名与专业相符的实习指导老师具有与所投包相关专业中级及以上职称或三级及以上职业资格等级的加2分，本项最多加4分。 注：①以上人员不重复计算。 ②每个专业（工种）至少配备1名理论教师和2名实习指导教师要求为实质性要求，投标人须按招标文件要求提供相关佐证材料，此项须完全满足，不作为评分因素进行打分。 ③需提供身份证复印件、相关证书证明材料复印件及在职证明材料复印件并加盖投标人公章。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自2023年1月1日以来每提供1个类似项目业绩的得2.5分，本项最多得5分，不提供不得分。 注：提供中标/成交通知书或合同复印件并加盖投标人鲜章。时间以合同签订为准。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根据《政府采购竞争性磋商采购方式管理暂行办法》第二十四条 规定“执行统一价格标准的项目，其价格不列为评分因素”。本项目按有关文件规定执行统一价格标准，采用固定单价采购，属于执行统一价格标准的项目，因此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供应商按固定单价进行报价的均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本项目按有关文件规定执行统一价格标准，采用固定单价采购，属于执行统一价格标准的项目，根据《政府采购竞争性磋商采购方式管理暂行办法》第二十四条 规定“执行统一价格标准的项目，其价格不列为评分因素”。因此其价格不列为评审因素，故不涉及报价及价格扣除。在同等条件下优先采购中小企业。但因四川省政府采购一体化平台系统原因，必须包含价格分评审因素和价格扣除，否则无法填写系统，才设置价格分评审因素和价格扣除。综上所述本项目中符合《政府采购促进中小企业发展管理办法》（财库〔2020〕46号）规定的小微企业报价不进行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本项目按有关文件规定执行统一价格标准，采用固定单价采购，属于执行统一价格标准的项目，根据《政府采购竞争性磋商采购方式管理暂行办法》第二十四条 规定“执行统一价格标准的项目，其价格不列为评分因素”。因此其价格不列为评审因素，故不涉及报价及价格扣除。在同等条件下优先采购中小企业。但因四川省政府采购一体化平台系统原因，必须包含价格分评审因素和价格扣除，否则无法填写系统，才设置价格分评审因素和价格扣除。综上所述本项目中符合《政府采购促进中小企业发展管理办法》（财库〔2020〕46号）规定的小微企业报价不进行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详见附件：技术要求应答表.pdf</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