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版本号：N511102202600004020260518003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乐山市市中区国省干线和农村公路32座桥梁定期检查及G348线岷江3号桥特殊检查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N5111022026000040</w:t>
      </w:r>
    </w:p>
    <w:p>
      <w:pPr>
        <w:pStyle w:val="null3"/>
        <w:jc w:val="center"/>
        <w:outlineLvl w:val="2"/>
      </w:pPr>
      <w:r>
        <w:rPr>
          <w:rFonts w:ascii="仿宋_GB2312" w:hAnsi="仿宋_GB2312" w:cs="仿宋_GB2312" w:eastAsia="仿宋_GB2312"/>
          <w:sz w:val="28"/>
          <w:b/>
        </w:rPr>
        <w:t>乐山市市中区国省干线公路建设发展中心</w:t>
      </w:r>
    </w:p>
    <w:p>
      <w:pPr>
        <w:pStyle w:val="null3"/>
        <w:jc w:val="center"/>
        <w:outlineLvl w:val="2"/>
      </w:pPr>
      <w:r>
        <w:rPr>
          <w:rFonts w:ascii="仿宋_GB2312" w:hAnsi="仿宋_GB2312" w:cs="仿宋_GB2312" w:eastAsia="仿宋_GB2312"/>
          <w:sz w:val="28"/>
          <w:b/>
        </w:rPr>
        <w:t>乐山市市中区人民政府采购中心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乐山市市中区人民政府采购中心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乐山市市中区国省干线公路建设发展中心</w:t>
      </w:r>
      <w:r>
        <w:rPr>
          <w:rFonts w:ascii="仿宋_GB2312" w:hAnsi="仿宋_GB2312" w:cs="仿宋_GB2312" w:eastAsia="仿宋_GB2312"/>
        </w:rPr>
        <w:t xml:space="preserve"> 委托，拟对 </w:t>
      </w:r>
      <w:r>
        <w:rPr>
          <w:rFonts w:ascii="仿宋_GB2312" w:hAnsi="仿宋_GB2312" w:cs="仿宋_GB2312" w:eastAsia="仿宋_GB2312"/>
        </w:rPr>
        <w:t>乐山市市中区国省干线和农村公路32座桥梁定期检查及G348线岷江3号桥特殊检查</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N5111022026000040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乐山市市中区国省干线和农村公路32座桥梁定期检查及G348线岷江3号桥特殊检查</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次项目拟对乐山市市中区国省干线公路建设发展中心管养的国省干线和农村公路32座桥梁开展定期检查工作，并对G348线岷江3号桥选定跨径30米10跨及50米4跨进行特殊检查，以确定该大桥的桥梁承载力是否满足通行要求。 管养的桥梁有G348线11座(大桥3座、中桥4座、小桥4座)、S103线1座（中桥1座）、S308线13座（大桥5座、中桥4座、小桥4座)、CL02乐峨大道7座（大桥2座、中桥3座、小桥2座)，共计32座。（具体桥梁情况详见附件）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对供应商参与本项目的特定资格要求。（描述：供应商应当(1)具有交通运输部门颁发的公路水运工程试验检测机构公路工程甲级(或公路工程综合甲级)资质或公路水运工程试验检测机构公路工程桥梁隧道工程专项检测资质;（2）省级以上交通运输主管部门信用评价等级(监理、检测类)结果为D级的供应商的响应文件不予接受(以信用交通·四川（或其他省份）当前（查询时间不早于2026年5月）查询页面截图为依据，提供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乐山市市中区国省干线公路建设发展中心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乐山市市中区龙泓路27号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李德亚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18280065556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乐山市市中区人民政府采购中心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四川省乐山市市中区春华路南段422号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0833-2192933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采购包1：2,114,500.00元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乐山市市中区国省干线公路建设发展中心</w:t>
      </w:r>
      <w:r>
        <w:rPr>
          <w:rFonts w:ascii="仿宋_GB2312" w:hAnsi="仿宋_GB2312" w:cs="仿宋_GB2312" w:eastAsia="仿宋_GB2312"/>
        </w:rPr>
        <w:t xml:space="preserve"> 和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乐山市市中区国省干线公路建设发展中心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乐山市市中区人民政府采购中心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按《公路桥梁技术状况评定标准》（JTG/T H21-2011）、《公路桥涵养护规范》（JTG 5120-2021）、《公路桥梁承载能力检测评定规程》（JTG/T J21-2011）、《混凝土中钢筋检测技术标准》（JGJ/T 152-2019）、《工程测量标准》（GB50026-2020）、《公路桥涵设计通用规范》(JTG D60-2015)及合同约定验收。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按照国家有关规定、采购文件的要求以及合同约定标准对该项目进行验收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按国家有关规定以及采购人磋商文件的质量要求和技术指标、成交供应商的响应文件及承诺与本项目合同约定标准进行验收。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乐山市市中区国省干线公路建设发展中心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联系人：李德亚</w:t>
      </w:r>
    </w:p>
    <w:p>
      <w:pPr>
        <w:pStyle w:val="null3"/>
        <w:jc w:val="left"/>
      </w:pPr>
      <w:r>
        <w:rPr>
          <w:rFonts w:ascii="仿宋_GB2312" w:hAnsi="仿宋_GB2312" w:cs="仿宋_GB2312" w:eastAsia="仿宋_GB2312"/>
        </w:rPr>
        <w:t>联系电话：18280065556</w:t>
      </w:r>
    </w:p>
    <w:p>
      <w:pPr>
        <w:pStyle w:val="null3"/>
        <w:jc w:val="left"/>
      </w:pPr>
      <w:r>
        <w:rPr>
          <w:rFonts w:ascii="仿宋_GB2312" w:hAnsi="仿宋_GB2312" w:cs="仿宋_GB2312" w:eastAsia="仿宋_GB2312"/>
        </w:rPr>
        <w:t>地址：乐山市市中区龙泓路27号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联系人：李先生、毛女士</w:t>
      </w:r>
    </w:p>
    <w:p>
      <w:pPr>
        <w:pStyle w:val="null3"/>
        <w:jc w:val="left"/>
      </w:pPr>
      <w:r>
        <w:rPr>
          <w:rFonts w:ascii="仿宋_GB2312" w:hAnsi="仿宋_GB2312" w:cs="仿宋_GB2312" w:eastAsia="仿宋_GB2312"/>
        </w:rPr>
        <w:t>联系电话：0833-2402767</w:t>
      </w:r>
    </w:p>
    <w:p>
      <w:pPr>
        <w:pStyle w:val="null3"/>
        <w:jc w:val="left"/>
      </w:pPr>
      <w:r>
        <w:rPr>
          <w:rFonts w:ascii="仿宋_GB2312" w:hAnsi="仿宋_GB2312" w:cs="仿宋_GB2312" w:eastAsia="仿宋_GB2312"/>
        </w:rPr>
        <w:t>地址：乐山市春华路南段422号工行3楼</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2,114,500.00</w:t>
      </w:r>
    </w:p>
    <w:p>
      <w:pPr>
        <w:pStyle w:val="null3"/>
        <w:jc w:val="left"/>
      </w:pPr>
      <w:r>
        <w:rPr>
          <w:rFonts w:ascii="仿宋_GB2312" w:hAnsi="仿宋_GB2312" w:cs="仿宋_GB2312" w:eastAsia="仿宋_GB2312"/>
        </w:rPr>
        <w:t>采购包最高限价（元）: 2,114,500.00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乐山市市中区国省干线和农村公路32座桥梁定期检查及G348线岷江3号桥特殊检查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2,114,500.00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乐山市市中区国省干线和农村公路32座桥梁定期检查及G348线岷江3号桥特殊检查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2,114,500.00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标的名称：乐山市市中区国省干线和农村公路32座桥梁定期检查及G348线岷江3号桥特殊检查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规范要求</w:t>
            </w:r>
          </w:p>
        </w:tc>
        <w:tc>
          <w:tcPr>
            <w:tcW w:type="dxa" w:w="5814"/>
          </w:tcPr>
          <w:p>
            <w:pPr>
              <w:pStyle w:val="null3"/>
              <w:ind w:firstLine="480"/>
              <w:jc w:val="left"/>
            </w:pPr>
            <w:r>
              <w:rPr>
                <w:rFonts w:ascii="仿宋_GB2312" w:hAnsi="仿宋_GB2312" w:cs="仿宋_GB2312" w:eastAsia="仿宋_GB2312"/>
                <w:sz w:val="21"/>
              </w:rPr>
              <w:t>1.《公路桥梁技术状况评定标准》（JTG/T H21-2011）；</w:t>
            </w:r>
          </w:p>
          <w:p>
            <w:pPr>
              <w:pStyle w:val="null3"/>
              <w:ind w:firstLine="480"/>
              <w:jc w:val="left"/>
            </w:pPr>
            <w:r>
              <w:rPr>
                <w:rFonts w:ascii="仿宋_GB2312" w:hAnsi="仿宋_GB2312" w:cs="仿宋_GB2312" w:eastAsia="仿宋_GB2312"/>
                <w:sz w:val="21"/>
              </w:rPr>
              <w:t>2.《公路桥涵养护规范》（JTG 5120-2021）；</w:t>
            </w:r>
          </w:p>
          <w:p>
            <w:pPr>
              <w:pStyle w:val="null3"/>
              <w:ind w:firstLine="480"/>
              <w:jc w:val="left"/>
            </w:pPr>
            <w:r>
              <w:rPr>
                <w:rFonts w:ascii="仿宋_GB2312" w:hAnsi="仿宋_GB2312" w:cs="仿宋_GB2312" w:eastAsia="仿宋_GB2312"/>
                <w:sz w:val="21"/>
              </w:rPr>
              <w:t>3.《公路桥梁承载能力检测评定规程》（JTG/T J21-2011）；</w:t>
            </w:r>
          </w:p>
          <w:p>
            <w:pPr>
              <w:pStyle w:val="null3"/>
              <w:ind w:firstLine="480"/>
              <w:jc w:val="left"/>
            </w:pPr>
            <w:r>
              <w:rPr>
                <w:rFonts w:ascii="仿宋_GB2312" w:hAnsi="仿宋_GB2312" w:cs="仿宋_GB2312" w:eastAsia="仿宋_GB2312"/>
                <w:sz w:val="21"/>
              </w:rPr>
              <w:t>4.《混凝土中钢筋检测技术标准》（JGJ/T 152-2019）；</w:t>
            </w:r>
          </w:p>
          <w:p>
            <w:pPr>
              <w:pStyle w:val="null3"/>
              <w:ind w:firstLine="480"/>
              <w:jc w:val="left"/>
            </w:pPr>
            <w:r>
              <w:rPr>
                <w:rFonts w:ascii="仿宋_GB2312" w:hAnsi="仿宋_GB2312" w:cs="仿宋_GB2312" w:eastAsia="仿宋_GB2312"/>
                <w:sz w:val="21"/>
              </w:rPr>
              <w:t>5.《工程测量标准》（GB50026-2020）；</w:t>
            </w:r>
          </w:p>
          <w:p>
            <w:pPr>
              <w:pStyle w:val="null3"/>
              <w:ind w:firstLine="480"/>
              <w:jc w:val="left"/>
            </w:pPr>
            <w:r>
              <w:rPr>
                <w:rFonts w:ascii="仿宋_GB2312" w:hAnsi="仿宋_GB2312" w:cs="仿宋_GB2312" w:eastAsia="仿宋_GB2312"/>
                <w:sz w:val="21"/>
              </w:rPr>
              <w:t>6.《公路桥涵设计通用规范》(JTG D60-2015)。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1"/>
              </w:rPr>
              <w:t>乐山市市中区国省干线公路建设发展中心管养的国省干线和农村公路32座桥梁开展定期检查工作，并对G348线岷江3号桥选定跨径30米10跨及50米4跨进行特殊检查，以确定该大桥的桥梁承载力是否满足通行要求。</w:t>
            </w:r>
          </w:p>
          <w:p>
            <w:pPr>
              <w:pStyle w:val="null3"/>
              <w:ind w:firstLine="480"/>
              <w:jc w:val="left"/>
            </w:pPr>
            <w:r>
              <w:rPr>
                <w:rFonts w:ascii="仿宋_GB2312" w:hAnsi="仿宋_GB2312" w:cs="仿宋_GB2312" w:eastAsia="仿宋_GB2312"/>
                <w:sz w:val="21"/>
              </w:rPr>
              <w:t>1.现场校核桥梁基本数据（桥梁基本状况卡片）。</w:t>
            </w:r>
          </w:p>
          <w:p>
            <w:pPr>
              <w:pStyle w:val="null3"/>
              <w:ind w:firstLine="480"/>
              <w:jc w:val="left"/>
            </w:pPr>
            <w:r>
              <w:rPr>
                <w:rFonts w:ascii="仿宋_GB2312" w:hAnsi="仿宋_GB2312" w:cs="仿宋_GB2312" w:eastAsia="仿宋_GB2312"/>
                <w:sz w:val="21"/>
              </w:rPr>
              <w:t>2.对桥梁进行结构尺寸测绘、外观检查，水下结构调查。记录桥梁上、下部结构及附属设施等各部件缺损状况，判断缺损原因，绘制裂缝分布图，确定维修范围及方式，当场填写“桥梁定期检查记录表”。进一步对全桥结构（含墩体、护体等）无损伤检测，包括变形、裂缝、强度、保护层、钢筋等，并对桥梁材质状况进行检测，编制评定报告。</w:t>
            </w:r>
          </w:p>
          <w:p>
            <w:pPr>
              <w:pStyle w:val="null3"/>
              <w:ind w:firstLine="480"/>
              <w:jc w:val="left"/>
            </w:pPr>
            <w:r>
              <w:rPr>
                <w:rFonts w:ascii="仿宋_GB2312" w:hAnsi="仿宋_GB2312" w:cs="仿宋_GB2312" w:eastAsia="仿宋_GB2312"/>
                <w:sz w:val="21"/>
              </w:rPr>
              <w:t>3.检测中发现的各种缺损均应在现场用油漆等将其范围及日期标记清楚。有严重缺损和难以判明损坏原因和程度，应作影像记录，并附病害状况说明。</w:t>
            </w:r>
          </w:p>
          <w:p>
            <w:pPr>
              <w:pStyle w:val="null3"/>
              <w:ind w:firstLine="480"/>
              <w:jc w:val="left"/>
            </w:pPr>
            <w:r>
              <w:rPr>
                <w:rFonts w:ascii="仿宋_GB2312" w:hAnsi="仿宋_GB2312" w:cs="仿宋_GB2312" w:eastAsia="仿宋_GB2312"/>
                <w:sz w:val="21"/>
              </w:rPr>
              <w:t>4.按交通部《公路桥梁技术状况评定标准》（JTG/T H21-2011）的规定进行技术状况评定。</w:t>
            </w:r>
          </w:p>
          <w:p>
            <w:pPr>
              <w:pStyle w:val="null3"/>
              <w:ind w:firstLine="480"/>
              <w:jc w:val="left"/>
            </w:pPr>
            <w:r>
              <w:rPr>
                <w:rFonts w:ascii="仿宋_GB2312" w:hAnsi="仿宋_GB2312" w:cs="仿宋_GB2312" w:eastAsia="仿宋_GB2312"/>
                <w:sz w:val="21"/>
              </w:rPr>
              <w:t>5.对在检查过程难以判断损坏原因和程度的部件，进行特殊检查（专门检验）。</w:t>
            </w:r>
          </w:p>
          <w:p>
            <w:pPr>
              <w:pStyle w:val="null3"/>
              <w:ind w:firstLine="480"/>
              <w:jc w:val="left"/>
            </w:pPr>
            <w:r>
              <w:rPr>
                <w:rFonts w:ascii="仿宋_GB2312" w:hAnsi="仿宋_GB2312" w:cs="仿宋_GB2312" w:eastAsia="仿宋_GB2312"/>
                <w:sz w:val="21"/>
              </w:rPr>
              <w:t>6.定期检查完成后，提交检查报告。</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质量标准、质量保证及质量控制要求</w:t>
            </w:r>
          </w:p>
        </w:tc>
        <w:tc>
          <w:tcPr>
            <w:tcW w:type="dxa" w:w="5814"/>
          </w:tcPr>
          <w:p>
            <w:pPr>
              <w:pStyle w:val="null3"/>
              <w:ind w:firstLine="480"/>
              <w:jc w:val="left"/>
            </w:pPr>
            <w:r>
              <w:rPr>
                <w:rFonts w:ascii="仿宋_GB2312" w:hAnsi="仿宋_GB2312" w:cs="仿宋_GB2312" w:eastAsia="仿宋_GB2312"/>
                <w:sz w:val="21"/>
              </w:rPr>
              <w:t>1.检测质量及技术标准执行国家现行规定标准。</w:t>
            </w:r>
          </w:p>
          <w:p>
            <w:pPr>
              <w:pStyle w:val="null3"/>
              <w:ind w:firstLine="480"/>
              <w:jc w:val="left"/>
            </w:pPr>
            <w:r>
              <w:rPr>
                <w:rFonts w:ascii="仿宋_GB2312" w:hAnsi="仿宋_GB2312" w:cs="仿宋_GB2312" w:eastAsia="仿宋_GB2312"/>
                <w:sz w:val="21"/>
              </w:rPr>
              <w:t>2.供应商必须具有科学完善的质量管理体系，在竞标时提交描述各阶段的质量保证标准及措施的资料。</w:t>
            </w:r>
          </w:p>
          <w:p>
            <w:pPr>
              <w:pStyle w:val="null3"/>
              <w:ind w:firstLine="480"/>
              <w:jc w:val="left"/>
            </w:pPr>
            <w:r>
              <w:rPr>
                <w:rFonts w:ascii="仿宋_GB2312" w:hAnsi="仿宋_GB2312" w:cs="仿宋_GB2312" w:eastAsia="仿宋_GB2312"/>
                <w:sz w:val="21"/>
              </w:rPr>
              <w:t>3.供应商必须对本项目投入足够的试验检测人员，这些试验检测人员必须经过必要的与其承担任务相适应的教育、培训、并有相应的技术知识和经验。</w:t>
            </w:r>
          </w:p>
          <w:p>
            <w:pPr>
              <w:pStyle w:val="null3"/>
              <w:ind w:firstLine="480"/>
              <w:jc w:val="left"/>
            </w:pPr>
            <w:r>
              <w:rPr>
                <w:rFonts w:ascii="仿宋_GB2312" w:hAnsi="仿宋_GB2312" w:cs="仿宋_GB2312" w:eastAsia="仿宋_GB2312"/>
                <w:sz w:val="21"/>
              </w:rPr>
              <w:t>4.供应商应配备足够的试验检测仪器设备。试验检测仪器设备必须在检定/校准有效期内使用。各计量检测仪器设备都必须严格按要求有明显的标志。</w:t>
            </w:r>
          </w:p>
          <w:p>
            <w:pPr>
              <w:pStyle w:val="null3"/>
              <w:ind w:firstLine="480"/>
              <w:jc w:val="left"/>
            </w:pPr>
            <w:r>
              <w:rPr>
                <w:rFonts w:ascii="仿宋_GB2312" w:hAnsi="仿宋_GB2312" w:cs="仿宋_GB2312" w:eastAsia="仿宋_GB2312"/>
                <w:sz w:val="21"/>
              </w:rPr>
              <w:t>5.检查报告必须严格进行内部三级审核制度：试验检测工作人员要熟悉并严格按照检测规程和方法，做好试验检测工作，同时做好数据记录；各试验检测工作校核者应掌握检测规程和技术，检查数据与原始记录符合，事实符合，严格按照规范进行；报告审核者保证程序合法，报告有效。</w:t>
            </w:r>
          </w:p>
          <w:p>
            <w:pPr>
              <w:pStyle w:val="null3"/>
              <w:ind w:firstLine="480"/>
              <w:jc w:val="left"/>
            </w:pPr>
            <w:r>
              <w:rPr>
                <w:rFonts w:ascii="仿宋_GB2312" w:hAnsi="仿宋_GB2312" w:cs="仿宋_GB2312" w:eastAsia="仿宋_GB2312"/>
                <w:sz w:val="21"/>
              </w:rPr>
              <w:t>6.本项目检测的质量不符合要求或质量不合格者，采购人有权要求成交供应商停工和返工，返工费用由成交供应商承担，工期不予顺延。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项目管理要求</w:t>
            </w:r>
          </w:p>
        </w:tc>
        <w:tc>
          <w:tcPr>
            <w:tcW w:type="dxa" w:w="5814"/>
          </w:tcPr>
          <w:p>
            <w:pPr>
              <w:pStyle w:val="null3"/>
              <w:ind w:firstLine="480"/>
              <w:jc w:val="left"/>
            </w:pPr>
            <w:r>
              <w:rPr>
                <w:rFonts w:ascii="仿宋_GB2312" w:hAnsi="仿宋_GB2312" w:cs="仿宋_GB2312" w:eastAsia="仿宋_GB2312"/>
                <w:sz w:val="21"/>
              </w:rPr>
              <w:t>1.成交供应商必须严格按照已经确认的检测方案组织实施，并应接受采购人对检测质量、工期、安全、文明施工、环保及纪律的管制。</w:t>
            </w:r>
          </w:p>
          <w:p>
            <w:pPr>
              <w:pStyle w:val="null3"/>
              <w:ind w:firstLine="480"/>
              <w:jc w:val="left"/>
            </w:pPr>
            <w:r>
              <w:rPr>
                <w:rFonts w:ascii="仿宋_GB2312" w:hAnsi="仿宋_GB2312" w:cs="仿宋_GB2312" w:eastAsia="仿宋_GB2312"/>
                <w:sz w:val="21"/>
              </w:rPr>
              <w:t>2.在响应文件中承诺的项目负责人、技术负责人及相应资质的专业技术、管理人员，在项目实施过程中必须依时到场，未经采购人同意，成交供应商不得擅自调换和撤离。</w:t>
            </w:r>
          </w:p>
          <w:p>
            <w:pPr>
              <w:pStyle w:val="null3"/>
              <w:ind w:firstLine="480"/>
              <w:jc w:val="left"/>
            </w:pPr>
            <w:r>
              <w:rPr>
                <w:rFonts w:ascii="仿宋_GB2312" w:hAnsi="仿宋_GB2312" w:cs="仿宋_GB2312" w:eastAsia="仿宋_GB2312"/>
                <w:sz w:val="21"/>
              </w:rPr>
              <w:t>3.成交供应商在工程进行期间，须严格遵守当地政府职能部门的各项规章制度，由于管理不善，导致政府职能部门的罚款和停工整改，由其发生的费用与损失由成交供应商自行承担，且采购人保留暂缓支付工程款的权利，以确保文明施工有效实行。</w:t>
            </w:r>
          </w:p>
          <w:p>
            <w:pPr>
              <w:pStyle w:val="null3"/>
              <w:ind w:firstLine="480"/>
              <w:jc w:val="left"/>
            </w:pPr>
            <w:r>
              <w:rPr>
                <w:rFonts w:ascii="仿宋_GB2312" w:hAnsi="仿宋_GB2312" w:cs="仿宋_GB2312" w:eastAsia="仿宋_GB2312"/>
                <w:sz w:val="21"/>
              </w:rPr>
              <w:t>4.安全要求：桥梁检测试验期间完善落实安全防护措施，一切人员及检测设施、设备的安全责任由成交供应商承担。检测期间交通管制费用及其他费用由供应商负责。</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主要仪器设备</w:t>
            </w:r>
          </w:p>
        </w:tc>
        <w:tc>
          <w:tcPr>
            <w:tcW w:type="dxa" w:w="5814"/>
          </w:tcPr>
          <w:p>
            <w:pPr>
              <w:pStyle w:val="null3"/>
              <w:jc w:val="left"/>
            </w:pPr>
            <w:r>
              <w:rPr>
                <w:rFonts w:ascii="仿宋_GB2312" w:hAnsi="仿宋_GB2312" w:cs="仿宋_GB2312" w:eastAsia="仿宋_GB2312"/>
                <w:sz w:val="21"/>
              </w:rPr>
              <w:t>本次检查所使用的仪器设备，按国家《计量法》规定将计量检测仪器、设备送相关法定计量检定单位检定合格，能溯源到国家基准。专用仪器、设备必须按经批准的校验方法定期校验合格后方可使用，确保设备的正常使用、所采集数据信息可靠；同时检测过程中严格按照规范要求进行操作，提高数据采集准确度。检测设备应满足桥涵检测工作内容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本项目采购人不组织集中现场踏勘，由供应商自行现场踏勘，需要采购人介绍情况的，可向采购人提出。无论供应商是否对项目自行实地踏勘或实地踏勘评估结果如何，供应商提交本项目响应文件即表示供应商已对本项目现场实际情况有充分的认知与了解，其响应报价是已包含本项目实地自行勘查结果认知的综合报价，由此给供应商可能带来的响应风险或各类损失，由供应商自行承担。 2.在本采购文件中没有提及的与本项目履约切实相关的事宜，在采购人与成交供应商订立合同时明细约定或后续补充约定(约定的内容须符合国家相关法律法规的规定)。 3.成果要求:合同签订后60日内出具桥梁检测成果，项目验收合格视为考核合格。在桥梁定期检查和特殊检查完成后，向业主提供的成果资料如下: （1）桥梁形成一桥一定期检查报告，包括桥梁定期检查数据表;典型缺损和病害的照片及说明，缺损状况的描述应采用专业标准术语，说明缺损的部位、类型、性质、范围、数量和程度等;两张总体照片，一张桥面正面照片、一张桥梁上游侧立面照片;桥梁基本状况卡片按《公路桥涵养护规范》(JTG5120-2021)桥梁定期检查要求的所有工作内容。 （2）桥梁定期检查总体报告，包括定期检查桥梁清单;桥梁保养小修情况;需要大中修或改建的桥梁计划，说明维修的项目、维修方案，估计费用和实施时间;要求进行特殊检查桥梁的报告，说明检验项目和理由;需限制桥梁交通的建议报告。 （3）桥梁特殊检查报告内容按照《公路桥涵养护规范》(JTG5120-2021)规定执行。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乐山市市中区，采购人指定地点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1.验收标准:按国家有关规定以及采购人磋商文件的质量要求和技术指标、成交供应商的响应文件及承诺与本项目合同约定标准进行验收。 2.其他未尽事宜，严格按照《财政部关于进一步加强政府采购需求和履约验收管理的指导意见》(财库〔2016〕205号)和《乐山市政府采购项目需求论证和履约验收管理实施细则》(乐市财政采〔2018〕16号)的要求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1、签订政府采购合同后，达到付款条件起10日内，据实结算说明为支付合同总金额的30.00%</w:t>
            </w:r>
          </w:p>
          <w:p>
            <w:pPr>
              <w:pStyle w:val="null3"/>
              <w:jc w:val="left"/>
            </w:pPr>
            <w:r>
              <w:rPr>
                <w:rFonts w:ascii="仿宋_GB2312" w:hAnsi="仿宋_GB2312" w:cs="仿宋_GB2312" w:eastAsia="仿宋_GB2312"/>
              </w:rPr>
              <w:t>2、检测完成并按要求提交检测报告验收合格后，达到付款条件起30日内，据实结算说明为支付合同总金额的70.00%（成交供应商需向采购人提供相应金额的增值税发票进行结算）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必须遵守采购合同并执行合同中的各项规定，保证采购合同的正常履行。2.如因供应商的工作人员在履行职务过程中的疏忽、失职、过错等故意或者过失原因给采购人造成损失或侵害，包括但不限于采购人本身的财产损失、由此而导致的采购人对任何第三方的法律责任等，供应商对此均应承担全部的赔偿责任。3.供应商必须遵守采购合同按时完成合同相关工作，若由于供应商原因导致合同延迟履行，供应商应承担采购合同中约定的相关责任。4.供应商应当遵守采购人的相关项目需求及相关技术要求，实施完成采购合同应当完全满足相关项目需求及相关技术要求，否则，采购人有权向供应商要求赔偿合同总价款20%的违约金，若造成相关损失的，采购人有权要求供应商承担所有赔偿责任。5.有下列情形之一的，当事人可以解除合同:（1）因不可抗力致使不能实现合同目的(由于非供应商或采购人原因，致使合同实质性条款无法实现的);（2）当事人一方迟延履行主要债务，经催告后在合理期限内仍未履行;（3）当事人一方迟延履行债务或者有其他违约行为致使不能实现合同目的;（4）法律规定的其他情形。（5）解决争议的方法：1）因服务的质量问题发生争议，由甲方或其指定的第三方机构进行质量鉴定。服务符合标准的，鉴定费由甲方承担;服务不符合质量标准的，鉴定费由乙方承担。2)合同履行期间，若双方发生争议，可协商或由有关部门调解解决，协商或调解不成的，向项目所在地仲裁委员会申请仲裁。3)仲裁裁决应为最终决定，并对双方具有约束力。4)除另有裁决外，仲裁费应由败诉方负担。 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对此约定要求可不作文字响应，但供应商参与本项目投标则视同供应商对以下要求已完全知晓、理解并同意接受或按相关规定提供相应证明材料：1.本文件引用技术规范或标准有误或已废止的，无论供应商如何响应均按现行有效、更新的技术规范或标准执行，成交/中标供应商与采购人在合同签订时予以纠正。2.供应商应对所提供材料、承诺或声明的真实性、合法性及有效性负责。除本项目采购文件已明确要求在投标/响应文件中提供证明材料外，在合同签订前，采购人将重点对中标/成交供应商提供的包括但不限于检验（测）报告、资质证书、强制节能产品认证证书、强制性产品认证证书（3C认证）、产品备案或生产许可材料等采取原件核查或法定第三方平台查询或发函核实等方式进行真实性、合法性及有效性核查。经核查发现不能提供或未查询到或应作无效的，将报同级财政部门处理，供应商自行承担不利后果和相关责任。3.供应商对技术参数中以“以上”、“以下”、“内”、“以内”、“不少于”、“≥”、“≤”等范围值形式表述的指标仍以范围值形式进行响应的，在合同签订时以供应商响应范围值本数作最低标准。同理，“不足”、“低于”、“超过”、“＜”、“＞”的则以优于但不含本数作最低标准。合同签订时，双方应按不低于上述要求确定准确值并作为验收的依据。4.本项目采购文件提供的“拟签订合同文本”中为通用版本，签订合同时对采购文件已有表述或要求的则按采购文件签订，采购文件没有约定的则由合同双方在公平公正且不违反相关法律法规前提下协商签订以及增加本项目必要的相关条款。5.本项目为综合评分法： （1）技术、服务要求中未提出的其他要求在评分细则中列出，供应商应对应评分细则予以提供和响应，评委/评审小组将根据评分细则给予评分。 （2）供应商在资格要求中承诺了具有履行合同所必需的设备和专业技术能力以及响应了项目技术、服务要求的相关要求，只是证明供应商满足了“必需、基本”的配置要求，本项目鼓励供应商优于此要求配置，详见评分细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供应商根据自身情况选择提供其中任意一项（本文件其他地方与此不一致的以此为准）： 1、提供（2024年或2025年）任一年度经审计的财务报告（包含审计报告和审计报告中所涉及的财务报表和报表附注）复印件。 2、提供（2024年或2025年）任一年度供应商财务报表（至少包括资产负债表、利润表、现金流量表）复印件。 3、提供截至投标文件提交截止日一年内银行出具的资信证明复印件。 4、提供具有担保资格的担保机构出具的投标担保函复印件。 5、供应商为个体工商户或自然人的，提供《投标（响应）函》完成承诺并进行电子签章。 6、供应商注册时间截至投标文件提交截止日不足一年的，也可提供营业执照副本或在工商部门备案的公司章程材料复印件。</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对供应商参与本项目的特定资格要求。</w:t>
            </w:r>
          </w:p>
        </w:tc>
        <w:tc>
          <w:tcPr>
            <w:tcW w:type="dxa" w:w="3322"/>
          </w:tcPr>
          <w:p>
            <w:pPr>
              <w:pStyle w:val="null3"/>
              <w:jc w:val="left"/>
            </w:pPr>
            <w:r>
              <w:rPr>
                <w:rFonts w:ascii="仿宋_GB2312" w:hAnsi="仿宋_GB2312" w:cs="仿宋_GB2312" w:eastAsia="仿宋_GB2312"/>
              </w:rPr>
              <w:t>供应商应当(1)具有交通运输部门颁发的公路水运工程试验检测机构公路工程甲级(或公路工程综合甲级)资质或公路水运工程试验检测机构公路工程桥梁隧道工程专项检测资质;（2）省级以上交通运输主管部门信用评价等级(监理、检测类)结果为D级的供应商的响应文件不予接受(以信用交通·四川（或其他省份）当前（查询时间不早于2026年5月）查询页面截图为依据，提供网页截图并加盖供应商电子印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第三章技术、服务及其他要求的响应情况</w:t>
            </w:r>
          </w:p>
        </w:tc>
        <w:tc>
          <w:tcPr>
            <w:tcW w:type="dxa" w:w="3322"/>
          </w:tcPr>
          <w:p>
            <w:pPr>
              <w:pStyle w:val="null3"/>
              <w:jc w:val="left"/>
            </w:pPr>
            <w:r>
              <w:rPr>
                <w:rFonts w:ascii="仿宋_GB2312" w:hAnsi="仿宋_GB2312" w:cs="仿宋_GB2312" w:eastAsia="仿宋_GB2312"/>
              </w:rPr>
              <w:t>供应商需针对第三章技术、服务及其他要求（含：3.1中报价要求、3.2技术要求、3.3服务要求）进行逐项响应或按要求提供相关证明材料。对于“★”项（实质性要求)未响应或不满足的作不通过处理。</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根据供应商自行组织对招标范围内桥梁进行现场踏勘后，依据采购文件要求编制的项目实施方案进行综合评审，供应商提供的项目实施方案需包含： 1、检测方案（包括但不限于）:①桥梁检测流程；②桥梁检测方法；③工作进度计划及措施；④参与本项目人员及仪器设备配置和进度计划等评分因素进行综合评分。内容完善，完整满足项目实际需求的得20分。每有一项缺失扣5分；每有一项方案内容不能满足项目实际需求的扣2.5分。 2、保障措施（包括但不限于）：①检测结果质量保障措施；②项目实施过程安全保障措施；③项目实施过程应急保障措施；④项目档案保密措施；⑤后续服务保障措施等评分因素进行综合评分。内容完善，完整满足项目实际需求的得15分。每有一项缺失扣3分；每有一项方案不能满足项目实际需求的扣1.5分。 3、售后服务方案（包括但不限于）：①售后响应时间；②售后问题解决措施；③后期服务负责人员配置等评分因素进行综合评分。内容完善，完整满足项目实际需求的得6分。每有一项缺失扣2分；每有一项方案内容不能满足项目实际需求的扣1分。</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拟派本项目检测人员</w:t>
            </w:r>
          </w:p>
        </w:tc>
        <w:tc>
          <w:tcPr>
            <w:tcW w:type="dxa" w:w="2575"/>
          </w:tcPr>
          <w:p>
            <w:pPr>
              <w:pStyle w:val="null3"/>
              <w:jc w:val="left"/>
            </w:pPr>
            <w:r>
              <w:rPr>
                <w:rFonts w:ascii="仿宋_GB2312" w:hAnsi="仿宋_GB2312" w:cs="仿宋_GB2312" w:eastAsia="仿宋_GB2312"/>
              </w:rPr>
              <w:t>1、项目负责人(1名):具有道桥相关专业中级职称的得2分；具有道桥相关专业高级及以上职称的得3分；具有交通部公路水运工程试验检测师(桥梁或桥隧专业)资格证书的得5分;本项最多得8分。 2、项目技术负责人(1名):具有道桥相关专业中级职称的得2分；具有道桥相关专业高级及以上职称的得3分；具有交通部公路水运工程试验检测师(桥梁或桥隧专业)资格证书的得5分；本项最多得8分。 3、其他检测人员(1名):具有道桥相关专业中级职称的得1分；具有道桥相关专业高级及以上职称的得2分；具有交通部公路水运工程试验检测师(桥梁或桥隧专业)资格证书的得2分；本项最多得4分。 (注:①道桥相关专业是指公路或道路或桥梁或桥隧等中的任意一类；②提供以上人员职称证书或资格证书复印件并加盖供应商公章；③以上人员不重复计算，且人员须为供应商本单位人员，提供以上人员近半年来任意一个月社保证明材料复印件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以省级以上交通运输主管部门信用评价等级(监理、检测类)给予评分:AA级的投标人得3分，A级的投标人得2.4分，B级的投标人得1.8分，C级的投标人得0分。本项最多得3分。注:以信用交通·四川（或其他省份）当前（查询时间不早于2026年5月）查询页面截图为依据，提供网页截图并加盖供应商电子印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供应商提供自2021年1月1日(含1日)以来的履约业绩，每具有一个得3分，最多得6分。 注:提供2021年1月1日(含1日)以来的中标通知书复印件并加盖供应商公章。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详见附件：评审因素响应情况.docx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