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版本号：N511102202600004720260515001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食堂劳务采购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N5111022026000047</w:t>
      </w:r>
    </w:p>
    <w:p>
      <w:pPr>
        <w:pStyle w:val="null3"/>
        <w:jc w:val="center"/>
        <w:outlineLvl w:val="2"/>
      </w:pPr>
      <w:r>
        <w:rPr>
          <w:rFonts w:ascii="仿宋_GB2312" w:hAnsi="仿宋_GB2312" w:cs="仿宋_GB2312" w:eastAsia="仿宋_GB2312"/>
          <w:sz w:val="28"/>
          <w:b/>
        </w:rPr>
        <w:t>乐山市市中区人民政府办公室</w:t>
      </w:r>
    </w:p>
    <w:p>
      <w:pPr>
        <w:pStyle w:val="null3"/>
        <w:jc w:val="center"/>
        <w:outlineLvl w:val="2"/>
      </w:pPr>
      <w:r>
        <w:rPr>
          <w:rFonts w:ascii="仿宋_GB2312" w:hAnsi="仿宋_GB2312" w:cs="仿宋_GB2312" w:eastAsia="仿宋_GB2312"/>
          <w:sz w:val="28"/>
          <w:b/>
        </w:rPr>
        <w:t>乐山市市中区人民政府采购中心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乐山市市中区人民政府采购中心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乐山市市中区人民政府办公室</w:t>
      </w:r>
      <w:r>
        <w:rPr>
          <w:rFonts w:ascii="仿宋_GB2312" w:hAnsi="仿宋_GB2312" w:cs="仿宋_GB2312" w:eastAsia="仿宋_GB2312"/>
        </w:rPr>
        <w:t xml:space="preserve"> 委托，拟对 </w:t>
      </w:r>
      <w:r>
        <w:rPr>
          <w:rFonts w:ascii="仿宋_GB2312" w:hAnsi="仿宋_GB2312" w:cs="仿宋_GB2312" w:eastAsia="仿宋_GB2312"/>
        </w:rPr>
        <w:t>食堂劳务采购</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乐山市市中区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N5111022026000047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食堂劳务采购</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为区政府食堂食材加工提供劳务服务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乐山市市中区人民政府办公室</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乐山市中区县街116号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陈利</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13990678485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乐山市市中区人民政府采购中心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四川省乐山市市中区春华路南段422号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陈老师、徐老师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0833-2192933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乐山市市中区人民政府办公室</w:t>
      </w:r>
      <w:r>
        <w:rPr>
          <w:rFonts w:ascii="仿宋_GB2312" w:hAnsi="仿宋_GB2312" w:cs="仿宋_GB2312" w:eastAsia="仿宋_GB2312"/>
        </w:rPr>
        <w:t xml:space="preserve"> 和 </w:t>
      </w:r>
      <w:r>
        <w:rPr>
          <w:rFonts w:ascii="仿宋_GB2312" w:hAnsi="仿宋_GB2312" w:cs="仿宋_GB2312" w:eastAsia="仿宋_GB2312"/>
        </w:rPr>
        <w:t>乐山市市中区人民政府采购中心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乐山市市中区人民政府办公室</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乐山市市中区人民政府采购中心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每月验收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每月验收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每月验收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每月验收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每月验收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每月验收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7、</w:t>
      </w:r>
      <w:r>
        <w:rPr>
          <w:rFonts w:ascii="仿宋_GB2312" w:hAnsi="仿宋_GB2312" w:cs="仿宋_GB2312" w:eastAsia="仿宋_GB2312"/>
        </w:rPr>
        <w:t xml:space="preserve"> 验收条件说明： </w:t>
      </w:r>
      <w:r>
        <w:rPr>
          <w:rFonts w:ascii="仿宋_GB2312" w:hAnsi="仿宋_GB2312" w:cs="仿宋_GB2312" w:eastAsia="仿宋_GB2312"/>
        </w:rPr>
        <w:t>每月验收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8、</w:t>
      </w:r>
      <w:r>
        <w:rPr>
          <w:rFonts w:ascii="仿宋_GB2312" w:hAnsi="仿宋_GB2312" w:cs="仿宋_GB2312" w:eastAsia="仿宋_GB2312"/>
        </w:rPr>
        <w:t xml:space="preserve"> 验收条件说明： </w:t>
      </w:r>
      <w:r>
        <w:rPr>
          <w:rFonts w:ascii="仿宋_GB2312" w:hAnsi="仿宋_GB2312" w:cs="仿宋_GB2312" w:eastAsia="仿宋_GB2312"/>
        </w:rPr>
        <w:t>每月验收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9、</w:t>
      </w:r>
      <w:r>
        <w:rPr>
          <w:rFonts w:ascii="仿宋_GB2312" w:hAnsi="仿宋_GB2312" w:cs="仿宋_GB2312" w:eastAsia="仿宋_GB2312"/>
        </w:rPr>
        <w:t xml:space="preserve"> 验收条件说明： </w:t>
      </w:r>
      <w:r>
        <w:rPr>
          <w:rFonts w:ascii="仿宋_GB2312" w:hAnsi="仿宋_GB2312" w:cs="仿宋_GB2312" w:eastAsia="仿宋_GB2312"/>
        </w:rPr>
        <w:t>每月验收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10、</w:t>
      </w:r>
      <w:r>
        <w:rPr>
          <w:rFonts w:ascii="仿宋_GB2312" w:hAnsi="仿宋_GB2312" w:cs="仿宋_GB2312" w:eastAsia="仿宋_GB2312"/>
        </w:rPr>
        <w:t xml:space="preserve"> 验收条件说明： </w:t>
      </w:r>
      <w:r>
        <w:rPr>
          <w:rFonts w:ascii="仿宋_GB2312" w:hAnsi="仿宋_GB2312" w:cs="仿宋_GB2312" w:eastAsia="仿宋_GB2312"/>
        </w:rPr>
        <w:t>每月验收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11、</w:t>
      </w:r>
      <w:r>
        <w:rPr>
          <w:rFonts w:ascii="仿宋_GB2312" w:hAnsi="仿宋_GB2312" w:cs="仿宋_GB2312" w:eastAsia="仿宋_GB2312"/>
        </w:rPr>
        <w:t xml:space="preserve"> 验收条件说明： </w:t>
      </w:r>
      <w:r>
        <w:rPr>
          <w:rFonts w:ascii="仿宋_GB2312" w:hAnsi="仿宋_GB2312" w:cs="仿宋_GB2312" w:eastAsia="仿宋_GB2312"/>
        </w:rPr>
        <w:t>每月验收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12、</w:t>
      </w:r>
      <w:r>
        <w:rPr>
          <w:rFonts w:ascii="仿宋_GB2312" w:hAnsi="仿宋_GB2312" w:cs="仿宋_GB2312" w:eastAsia="仿宋_GB2312"/>
        </w:rPr>
        <w:t xml:space="preserve"> 验收条件说明： </w:t>
      </w:r>
      <w:r>
        <w:rPr>
          <w:rFonts w:ascii="仿宋_GB2312" w:hAnsi="仿宋_GB2312" w:cs="仿宋_GB2312" w:eastAsia="仿宋_GB2312"/>
        </w:rPr>
        <w:t>每月验收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8.37</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对采购标的的服务内容和标准进行验收。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对采购文件中商务要求进行验收。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1.供应商服务标准应严格按照采购文件、响应文件的内容提供服务。 2.本项目采购人应严格按照政府采购相关法律法规以及《财政部关于进一步加强政府采购需求和履约验收管理的指导意见》（财库〔2016〕205 号）的要求组织验收。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乐山市市中区人民政府办公室</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乐山市市中区人民政府采购中心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乐山市市中区人民政府采购中心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联系人：陈利</w:t>
      </w:r>
    </w:p>
    <w:p>
      <w:pPr>
        <w:pStyle w:val="null3"/>
        <w:jc w:val="left"/>
      </w:pPr>
      <w:r>
        <w:rPr>
          <w:rFonts w:ascii="仿宋_GB2312" w:hAnsi="仿宋_GB2312" w:cs="仿宋_GB2312" w:eastAsia="仿宋_GB2312"/>
        </w:rPr>
        <w:t>联系电话： 13990678485</w:t>
      </w:r>
    </w:p>
    <w:p>
      <w:pPr>
        <w:pStyle w:val="null3"/>
        <w:jc w:val="left"/>
      </w:pPr>
      <w:r>
        <w:rPr>
          <w:rFonts w:ascii="仿宋_GB2312" w:hAnsi="仿宋_GB2312" w:cs="仿宋_GB2312" w:eastAsia="仿宋_GB2312"/>
        </w:rPr>
        <w:t>地址：乐山市中区县街116号</w:t>
      </w:r>
    </w:p>
    <w:p>
      <w:pPr>
        <w:pStyle w:val="null3"/>
        <w:jc w:val="left"/>
      </w:pPr>
      <w:r>
        <w:rPr>
          <w:rFonts w:ascii="仿宋_GB2312" w:hAnsi="仿宋_GB2312" w:cs="仿宋_GB2312" w:eastAsia="仿宋_GB2312"/>
        </w:rPr>
        <w:t>邮编：614000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联系人：李先生、毛女士</w:t>
      </w:r>
    </w:p>
    <w:p>
      <w:pPr>
        <w:pStyle w:val="null3"/>
        <w:jc w:val="left"/>
      </w:pPr>
      <w:r>
        <w:rPr>
          <w:rFonts w:ascii="仿宋_GB2312" w:hAnsi="仿宋_GB2312" w:cs="仿宋_GB2312" w:eastAsia="仿宋_GB2312"/>
        </w:rPr>
        <w:t>联系电话：0833-2402767</w:t>
      </w:r>
    </w:p>
    <w:p>
      <w:pPr>
        <w:pStyle w:val="null3"/>
        <w:jc w:val="left"/>
      </w:pPr>
      <w:r>
        <w:rPr>
          <w:rFonts w:ascii="仿宋_GB2312" w:hAnsi="仿宋_GB2312" w:cs="仿宋_GB2312" w:eastAsia="仿宋_GB2312"/>
        </w:rPr>
        <w:t>地址：乐山市春华路南段422号工行3楼</w:t>
      </w:r>
    </w:p>
    <w:p>
      <w:pPr>
        <w:pStyle w:val="null3"/>
        <w:jc w:val="left"/>
      </w:pPr>
      <w:r>
        <w:rPr>
          <w:rFonts w:ascii="仿宋_GB2312" w:hAnsi="仿宋_GB2312" w:cs="仿宋_GB2312" w:eastAsia="仿宋_GB2312"/>
        </w:rPr>
        <w:t>邮编：614000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C22040000 餐饮服务</w:t>
            </w:r>
          </w:p>
        </w:tc>
        <w:tc>
          <w:tcPr>
            <w:tcW w:type="dxa" w:w="821"/>
          </w:tcPr>
          <w:p>
            <w:pPr>
              <w:pStyle w:val="null3"/>
              <w:jc w:val="left"/>
            </w:pPr>
            <w:r>
              <w:rPr>
                <w:rFonts w:ascii="仿宋_GB2312" w:hAnsi="仿宋_GB2312" w:cs="仿宋_GB2312" w:eastAsia="仿宋_GB2312"/>
              </w:rPr>
              <w:t>食堂劳务采购</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500,000.00</w:t>
            </w:r>
          </w:p>
        </w:tc>
        <w:tc>
          <w:tcPr>
            <w:tcW w:type="dxa" w:w="821"/>
          </w:tcPr>
          <w:p>
            <w:pPr>
              <w:pStyle w:val="null3"/>
              <w:jc w:val="left"/>
            </w:pPr>
            <w:r>
              <w:rPr>
                <w:rFonts w:ascii="仿宋_GB2312" w:hAnsi="仿宋_GB2312" w:cs="仿宋_GB2312" w:eastAsia="仿宋_GB2312"/>
              </w:rPr>
              <w:t>餐饮业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食堂劳务采购</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标的名称：食堂劳务采购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482"/>
              <w:jc w:val="left"/>
            </w:pPr>
            <w:r>
              <w:rPr>
                <w:rFonts w:ascii="仿宋_GB2312" w:hAnsi="仿宋_GB2312" w:cs="仿宋_GB2312" w:eastAsia="仿宋_GB2312"/>
                <w:sz w:val="24"/>
              </w:rPr>
              <w:t>一、人员配置及要求</w:t>
            </w:r>
          </w:p>
          <w:p>
            <w:pPr>
              <w:pStyle w:val="null3"/>
              <w:ind w:firstLine="482"/>
              <w:jc w:val="left"/>
            </w:pPr>
            <w:r>
              <w:rPr>
                <w:rFonts w:ascii="仿宋_GB2312" w:hAnsi="仿宋_GB2312" w:cs="仿宋_GB2312" w:eastAsia="仿宋_GB2312"/>
                <w:sz w:val="24"/>
              </w:rPr>
              <w:t>1.为本项目配备的服务人员不得少于8人，岗位有项目负责人兼厨师长1人，厨师2人，厨工兼服务员5人。本项目所有服务人员须专职全日制职设置，不得使用兼职或非全日制人员，合同履约期间上述人员均要未达到法定退休年龄。</w:t>
            </w:r>
          </w:p>
          <w:p>
            <w:pPr>
              <w:pStyle w:val="null3"/>
              <w:ind w:firstLine="482"/>
              <w:jc w:val="left"/>
            </w:pPr>
            <w:r>
              <w:rPr>
                <w:rFonts w:ascii="仿宋_GB2312" w:hAnsi="仿宋_GB2312" w:cs="仿宋_GB2312" w:eastAsia="仿宋_GB2312"/>
                <w:sz w:val="24"/>
              </w:rPr>
              <w:t>2.供应商为本项目配置的所有人员必须全员签订全日制《劳动合同》，承担其员工的薪酬福利（包括工资、加班费、过节费及相关福利），人员薪资不得低于乐山市月最低工资标准，在服务期内如遇政策性调整员工工资等情况，费用增加部分由供应商承担，采购人不再增加费用。为所有人员购买法定的社会保险（养老、医疗、工伤、失业、生育），本项目的雇主责任险、食品安全责任险（保额不低于300万元）、公众责任险及意外伤害保险。</w:t>
            </w:r>
          </w:p>
          <w:p>
            <w:pPr>
              <w:pStyle w:val="null3"/>
              <w:ind w:firstLine="482"/>
              <w:jc w:val="left"/>
            </w:pPr>
            <w:r>
              <w:rPr>
                <w:rFonts w:ascii="仿宋_GB2312" w:hAnsi="仿宋_GB2312" w:cs="仿宋_GB2312" w:eastAsia="仿宋_GB2312"/>
                <w:sz w:val="24"/>
              </w:rPr>
              <w:t>3.供应商对其工作人员服务期间发生包括但不限于安全责任事故、劳务纠纷、伤、亡等，由供应商自行承担相关责任及经济损失，采购人对此不承担任何责任和义务。</w:t>
            </w:r>
          </w:p>
          <w:p>
            <w:pPr>
              <w:pStyle w:val="null3"/>
              <w:ind w:firstLine="482"/>
              <w:jc w:val="left"/>
            </w:pPr>
            <w:r>
              <w:rPr>
                <w:rFonts w:ascii="仿宋_GB2312" w:hAnsi="仿宋_GB2312" w:cs="仿宋_GB2312" w:eastAsia="仿宋_GB2312"/>
                <w:sz w:val="24"/>
              </w:rPr>
              <w:t>4.供应商要加强人员管理和培训，保持队伍稳定性，如人员确须变动，应当提前五个工作日告知采购人，按照原有人员的配置标准配备新的服务人员，人员替换不得出现空档期。对服务质量差、不配合工作的人员，采购人有权责令供应商另行派遣符合要求的人员予以替换。</w:t>
            </w:r>
          </w:p>
          <w:p>
            <w:pPr>
              <w:pStyle w:val="null3"/>
              <w:ind w:firstLine="482"/>
              <w:jc w:val="left"/>
            </w:pPr>
            <w:r>
              <w:rPr>
                <w:rFonts w:ascii="仿宋_GB2312" w:hAnsi="仿宋_GB2312" w:cs="仿宋_GB2312" w:eastAsia="仿宋_GB2312"/>
                <w:sz w:val="24"/>
              </w:rPr>
              <w:t>5.供应商应在工作日全天候及特殊时段安排厨师和工作人员在岗职守，如遇特殊情况，供应商应增加或调配员工，以确保服务质量。</w:t>
            </w:r>
          </w:p>
          <w:p>
            <w:pPr>
              <w:pStyle w:val="null3"/>
              <w:ind w:firstLine="482"/>
              <w:jc w:val="left"/>
            </w:pPr>
            <w:r>
              <w:rPr>
                <w:rFonts w:ascii="仿宋_GB2312" w:hAnsi="仿宋_GB2312" w:cs="仿宋_GB2312" w:eastAsia="仿宋_GB2312"/>
                <w:sz w:val="24"/>
              </w:rPr>
              <w:t>6.供应商拟为本项目配备的厨师长、厨师需具备较好的服从意识、服务意识、管理意识、沟通意识、保密意识。</w:t>
            </w:r>
          </w:p>
          <w:p>
            <w:pPr>
              <w:pStyle w:val="null3"/>
              <w:ind w:firstLine="482"/>
              <w:jc w:val="left"/>
            </w:pPr>
            <w:r>
              <w:rPr>
                <w:rFonts w:ascii="仿宋_GB2312" w:hAnsi="仿宋_GB2312" w:cs="仿宋_GB2312" w:eastAsia="仿宋_GB2312"/>
                <w:sz w:val="24"/>
              </w:rPr>
              <w:t>7.本项目所有服务人员须身心健康、形象良好，无不良习惯，无精神疾病，无重大疾病，无传染病，吃苦耐劳，遵纪守法，无犯罪记录，无吸毒史；管理人员及专业技术人员持证上岗；员工统一着装，佩戴明显标志、工作规范、作风严谨；人员到岗时须提供无违法犯罪记录证明和县级以上医院的健康体检证明。</w:t>
            </w:r>
          </w:p>
          <w:p>
            <w:pPr>
              <w:pStyle w:val="null3"/>
              <w:ind w:firstLine="480"/>
              <w:jc w:val="both"/>
            </w:pPr>
            <w:r>
              <w:rPr>
                <w:rFonts w:ascii="仿宋_GB2312" w:hAnsi="仿宋_GB2312" w:cs="仿宋_GB2312" w:eastAsia="仿宋_GB2312"/>
                <w:sz w:val="24"/>
              </w:rPr>
              <w:t>8.成交供应商合同签订前，供应商须向采购人提交完整的员工名单及其职务、身份证复印件、相关从业证书、体检合格证明等资料,以及业绩要求的所有证明材料查验原件，复印件交采购人存档。如未按时提供或所提交的材料与投标时响应的服务内容不符或人证不符，则视为供应商虚假响应谋取成交，采购人有权终止合同签订。</w:t>
            </w:r>
          </w:p>
          <w:p>
            <w:pPr>
              <w:pStyle w:val="null3"/>
              <w:ind w:firstLine="482"/>
              <w:jc w:val="left"/>
            </w:pPr>
            <w:r>
              <w:rPr>
                <w:rFonts w:ascii="仿宋_GB2312" w:hAnsi="仿宋_GB2312" w:cs="仿宋_GB2312" w:eastAsia="仿宋_GB2312"/>
                <w:sz w:val="24"/>
              </w:rPr>
              <w:t>二、服务内容</w:t>
            </w:r>
          </w:p>
          <w:p>
            <w:pPr>
              <w:pStyle w:val="null3"/>
              <w:ind w:firstLine="480"/>
              <w:jc w:val="left"/>
            </w:pPr>
            <w:r>
              <w:rPr>
                <w:rFonts w:ascii="仿宋_GB2312" w:hAnsi="仿宋_GB2312" w:cs="仿宋_GB2312" w:eastAsia="仿宋_GB2312"/>
                <w:sz w:val="24"/>
              </w:rPr>
              <w:t>供应商委派专业厨房工作人员为采购人提供标准化供餐服务，确保准时供应、营养搭配合理、制作过程安全卫生。</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供餐情况（全年工作日）：早餐 07:30-8:50，用餐人数100人左右，供应包含稀饭、包子、馒头、花卷、面条、鸡蛋、抄手、饺子、牛奶、豆浆、粽子、汤圆等轮流供应；午餐12：00-13:30，用餐人数300人左右，供应包含二荤菜、二素菜、汤品、水果、米饭等；晚餐18：00-19：30，用餐人数50人左右，供应包含二荤菜、二素菜、汤品、水果、米饭等；随机的接待用餐，菜品根据采购人要求提供。</w:t>
            </w:r>
          </w:p>
          <w:p>
            <w:pPr>
              <w:pStyle w:val="null3"/>
              <w:ind w:firstLine="482"/>
              <w:jc w:val="left"/>
            </w:pPr>
            <w:r>
              <w:rPr>
                <w:rFonts w:ascii="仿宋_GB2312" w:hAnsi="仿宋_GB2312" w:cs="仿宋_GB2312" w:eastAsia="仿宋_GB2312"/>
                <w:sz w:val="24"/>
              </w:rPr>
              <w:t>2.制订食材采购计划，提前一周公布菜谱，每天菜谱计划达标率不低于95%。</w:t>
            </w:r>
          </w:p>
          <w:p>
            <w:pPr>
              <w:pStyle w:val="null3"/>
              <w:ind w:firstLine="482"/>
              <w:jc w:val="left"/>
            </w:pPr>
            <w:r>
              <w:rPr>
                <w:rFonts w:ascii="仿宋_GB2312" w:hAnsi="仿宋_GB2312" w:cs="仿宋_GB2312" w:eastAsia="仿宋_GB2312"/>
                <w:sz w:val="24"/>
              </w:rPr>
              <w:t>3.负责机关食堂物品及原材料验收和管理，控制费用开支。</w:t>
            </w:r>
          </w:p>
          <w:p>
            <w:pPr>
              <w:pStyle w:val="null3"/>
              <w:ind w:firstLine="482"/>
              <w:jc w:val="left"/>
            </w:pPr>
            <w:r>
              <w:rPr>
                <w:rFonts w:ascii="仿宋_GB2312" w:hAnsi="仿宋_GB2312" w:cs="仿宋_GB2312" w:eastAsia="仿宋_GB2312"/>
                <w:sz w:val="24"/>
              </w:rPr>
              <w:t>4.负责机关食堂厨房的管理，按规程制作菜品，保证菜品质量，为采购人提供早餐、午餐、晚餐及接待用餐制作等服务，并48小时食品留样。</w:t>
            </w:r>
          </w:p>
          <w:p>
            <w:pPr>
              <w:pStyle w:val="null3"/>
              <w:ind w:firstLine="482"/>
              <w:jc w:val="left"/>
            </w:pPr>
            <w:r>
              <w:rPr>
                <w:rFonts w:ascii="仿宋_GB2312" w:hAnsi="仿宋_GB2312" w:cs="仿宋_GB2312" w:eastAsia="仿宋_GB2312"/>
                <w:sz w:val="24"/>
              </w:rPr>
              <w:t>5.负责食堂就餐区、工作区的日常保洁服务，保证就餐区的清洁度和舒适度，工作区按要求做好卫生及消杀工作。</w:t>
            </w:r>
          </w:p>
          <w:p>
            <w:pPr>
              <w:pStyle w:val="null3"/>
              <w:ind w:firstLine="482"/>
              <w:jc w:val="left"/>
            </w:pPr>
            <w:r>
              <w:rPr>
                <w:rFonts w:ascii="仿宋_GB2312" w:hAnsi="仿宋_GB2312" w:cs="仿宋_GB2312" w:eastAsia="仿宋_GB2312"/>
                <w:sz w:val="24"/>
              </w:rPr>
              <w:t>6.按相关规定对餐厨垃圾进行收集并协助处理。</w:t>
            </w:r>
          </w:p>
          <w:p>
            <w:pPr>
              <w:pStyle w:val="null3"/>
              <w:ind w:firstLine="482"/>
              <w:jc w:val="left"/>
            </w:pPr>
            <w:r>
              <w:rPr>
                <w:rFonts w:ascii="仿宋_GB2312" w:hAnsi="仿宋_GB2312" w:cs="仿宋_GB2312" w:eastAsia="仿宋_GB2312"/>
                <w:sz w:val="24"/>
              </w:rPr>
              <w:t>7.对有效投诉立即整改并书面反馈处理结果，直至投诉方确认解决。</w:t>
            </w:r>
          </w:p>
          <w:p>
            <w:pPr>
              <w:pStyle w:val="null3"/>
              <w:ind w:firstLine="482"/>
              <w:jc w:val="left"/>
            </w:pPr>
            <w:r>
              <w:rPr>
                <w:rFonts w:ascii="仿宋_GB2312" w:hAnsi="仿宋_GB2312" w:cs="仿宋_GB2312" w:eastAsia="仿宋_GB2312"/>
                <w:sz w:val="24"/>
              </w:rPr>
              <w:t>8.完成采购人交办的其他工作任务。</w:t>
            </w:r>
          </w:p>
          <w:p>
            <w:pPr>
              <w:pStyle w:val="null3"/>
              <w:ind w:firstLine="482"/>
              <w:jc w:val="left"/>
            </w:pPr>
            <w:r>
              <w:rPr>
                <w:rFonts w:ascii="仿宋_GB2312" w:hAnsi="仿宋_GB2312" w:cs="仿宋_GB2312" w:eastAsia="仿宋_GB2312"/>
                <w:sz w:val="24"/>
              </w:rPr>
              <w:t>三、质量要求及其他</w:t>
            </w:r>
          </w:p>
          <w:p>
            <w:pPr>
              <w:pStyle w:val="null3"/>
              <w:ind w:firstLine="480"/>
              <w:jc w:val="both"/>
            </w:pPr>
            <w:r>
              <w:rPr>
                <w:rFonts w:ascii="仿宋_GB2312" w:hAnsi="仿宋_GB2312" w:cs="仿宋_GB2312" w:eastAsia="仿宋_GB2312"/>
                <w:sz w:val="24"/>
              </w:rPr>
              <w:t>严格执行《中华人民共和国食品安全法》（2024年修订版）及《食品安全法实施条例》，运营全程符合《食品安全国家标准餐饮服务通用卫生规范》（GB 31654-2021）强制要求。杜绝食品中毒、火灾爆炸、重大设备事故等安全责任事件发生。</w:t>
            </w:r>
          </w:p>
          <w:p>
            <w:pPr>
              <w:pStyle w:val="null3"/>
              <w:ind w:firstLine="482"/>
              <w:jc w:val="left"/>
            </w:pPr>
            <w:r>
              <w:rPr>
                <w:rFonts w:ascii="仿宋_GB2312" w:hAnsi="仿宋_GB2312" w:cs="仿宋_GB2312" w:eastAsia="仿宋_GB2312"/>
                <w:sz w:val="24"/>
              </w:rPr>
              <w:t>1.供应商制定餐饮服务、厨房安全、环境卫生、工作人员行为规范等具体管理制度和突发食品卫生安全应急处置预案；根据食堂的运行情况制定合理的节能管理措施，降低食堂能耗成本；接受食品安全、卫生健康等部门监督检查，遇与食品安全有关的突发事件及时报告并妥善处理。</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人员形象：全员统一工装，使用规范服务用语，实行微笑站立服务。</w:t>
            </w:r>
          </w:p>
          <w:p>
            <w:pPr>
              <w:pStyle w:val="null3"/>
              <w:ind w:firstLine="482"/>
              <w:jc w:val="left"/>
            </w:pPr>
            <w:r>
              <w:rPr>
                <w:rFonts w:ascii="仿宋_GB2312" w:hAnsi="仿宋_GB2312" w:cs="仿宋_GB2312" w:eastAsia="仿宋_GB2312"/>
                <w:sz w:val="24"/>
              </w:rPr>
              <w:t>3.供餐时效：严格按照采购人的开餐时间供餐，非特殊情况下不得提前收餐,遇突发需求应延长服务时间。</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应急储备：每日预留半成品食材，确保供餐连续性。</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环境维护：就餐结束后10分钟内完成餐桌清洁整理，保持就餐区整洁。</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加工安全：执行“四隔离”制度（生熟、荤素、清洁区与污染区、食品与杂物），生熟用具分开，不得混用，保持炊具、灶具清洁卫生。</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每日岗前检查水电气及设备安全，离岗前关闭所有能源阀门并锁闭门窗。</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食品留样：每餐成品按125g/品种、48小时标准留样并记录，采购人随机核查，缺漏按安全责任制度追责。</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原料管控：禁止工作人员私取任何食品原料、成品或调料。</w:t>
            </w:r>
          </w:p>
          <w:p>
            <w:pPr>
              <w:pStyle w:val="null3"/>
              <w:ind w:firstLine="482"/>
              <w:jc w:val="left"/>
            </w:pPr>
            <w:r>
              <w:rPr>
                <w:rFonts w:ascii="仿宋_GB2312" w:hAnsi="仿宋_GB2312" w:cs="仿宋_GB2312" w:eastAsia="仿宋_GB2312"/>
                <w:sz w:val="24"/>
              </w:rPr>
              <w:t>10.餐具、炊具和设备管理：爱护食堂炊事用具，不得损坏，防止丢失，做到存放整齐，使用得当；餐具每餐后及时清洗，消毒后专柜密闭保存；熟练掌握设备性能和操作技术，保证操作人员的自身安全，禁止违规操作；食堂的一切餐具和炊具，均不得自行外借，食堂所有物品，因工作人员人为造成损失的，由供应商照价赔偿。</w:t>
            </w:r>
          </w:p>
          <w:p>
            <w:pPr>
              <w:pStyle w:val="null3"/>
              <w:ind w:firstLine="482"/>
              <w:jc w:val="left"/>
            </w:pPr>
            <w:r>
              <w:rPr>
                <w:rFonts w:ascii="仿宋_GB2312" w:hAnsi="仿宋_GB2312" w:cs="仿宋_GB2312" w:eastAsia="仿宋_GB2312"/>
                <w:sz w:val="24"/>
              </w:rPr>
              <w:t>11.食品卫生管理：定期进行防“四害”处置；食堂仓库要专库专用，原料分类存放，食品生熟分开保管，并有四防（防蝇、防尘、防鼠、防潮）措施，防止食品污染。</w:t>
            </w:r>
          </w:p>
          <w:p>
            <w:pPr>
              <w:pStyle w:val="null3"/>
              <w:ind w:firstLine="482"/>
              <w:jc w:val="left"/>
            </w:pPr>
            <w:r>
              <w:rPr>
                <w:rFonts w:ascii="仿宋_GB2312" w:hAnsi="仿宋_GB2312" w:cs="仿宋_GB2312" w:eastAsia="仿宋_GB2312"/>
                <w:sz w:val="24"/>
              </w:rPr>
              <w:t>12.协助采购人做好食堂物资采购的签收、验收、出入库登记管理工作，严禁弄虚作假、欺上瞒下，造成的一切损失，由供应商承担，违法行为承担法律责任。</w:t>
            </w:r>
          </w:p>
          <w:p>
            <w:pPr>
              <w:pStyle w:val="null3"/>
              <w:ind w:firstLine="482"/>
              <w:jc w:val="left"/>
            </w:pPr>
            <w:r>
              <w:rPr>
                <w:rFonts w:ascii="仿宋_GB2312" w:hAnsi="仿宋_GB2312" w:cs="仿宋_GB2312" w:eastAsia="仿宋_GB2312"/>
                <w:sz w:val="24"/>
              </w:rPr>
              <w:t>13.配合采购人制订食材采购计划，每餐饭菜保质保量，不能出现饭菜不够的现象，明显因供应商原因导致食物铺张浪费，超支部分由供应商承担，从当月服务费当中扣除超支部分。</w:t>
            </w:r>
          </w:p>
          <w:p>
            <w:pPr>
              <w:pStyle w:val="null3"/>
              <w:ind w:firstLine="482"/>
              <w:jc w:val="left"/>
            </w:pPr>
            <w:r>
              <w:rPr>
                <w:rFonts w:ascii="仿宋_GB2312" w:hAnsi="仿宋_GB2312" w:cs="仿宋_GB2312" w:eastAsia="仿宋_GB2312"/>
                <w:sz w:val="24"/>
              </w:rPr>
              <w:t>14.供应商在提供服务过程中，应承担各类安全生产责任。若出现重大问题（如食物中毒、火灾、人员伤亡等），供应商应自付自身损失外，还需对采购人造成的损害予以赔偿，并承担相应法律责任，且采购人有权终止合同。</w:t>
            </w:r>
          </w:p>
          <w:p>
            <w:pPr>
              <w:pStyle w:val="null3"/>
              <w:ind w:firstLine="480"/>
              <w:jc w:val="both"/>
            </w:pPr>
            <w:r>
              <w:rPr>
                <w:rFonts w:ascii="仿宋_GB2312" w:hAnsi="仿宋_GB2312" w:cs="仿宋_GB2312" w:eastAsia="仿宋_GB2312"/>
                <w:sz w:val="24"/>
              </w:rPr>
              <w:t>15.</w:t>
            </w:r>
            <w:r>
              <w:rPr>
                <w:rFonts w:ascii="仿宋_GB2312" w:hAnsi="仿宋_GB2312" w:cs="仿宋_GB2312" w:eastAsia="仿宋_GB2312"/>
                <w:sz w:val="24"/>
              </w:rPr>
              <w:t>食堂运营所需全部固定资产及基础设施（包括场地、设施设备、餐具用具及水电气配套）均由采购人提供。</w:t>
            </w:r>
          </w:p>
          <w:p>
            <w:pPr>
              <w:pStyle w:val="null3"/>
              <w:ind w:firstLine="482"/>
              <w:jc w:val="left"/>
            </w:pPr>
            <w:r>
              <w:rPr>
                <w:rFonts w:ascii="仿宋_GB2312" w:hAnsi="仿宋_GB2312" w:cs="仿宋_GB2312" w:eastAsia="仿宋_GB2312"/>
                <w:sz w:val="24"/>
              </w:rPr>
              <w:t>16.保险承诺：投标方须承诺为本项目购买雇主责任险、食品安全责任险（保额不低于300万元）、公众责任险及工作人员意外伤害保险。</w:t>
            </w:r>
          </w:p>
          <w:p>
            <w:pPr>
              <w:pStyle w:val="null3"/>
              <w:jc w:val="left"/>
            </w:pPr>
            <w:r>
              <w:rPr>
                <w:rFonts w:ascii="仿宋_GB2312" w:hAnsi="仿宋_GB2312" w:cs="仿宋_GB2312" w:eastAsia="仿宋_GB2312"/>
                <w:sz w:val="24"/>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24"/>
                <w:b/>
              </w:rPr>
              <w:t xml:space="preserve">   一、供应商报价应符合政府采购、国家和地方关于税费、社保等相关法律法规，结合项目所在地市场实际，并充分考虑项目所在地最低工资标准和社会保险缴费比率上调等因素。本项目服务期内如遇最低工资标准、社会保险缴费基数及缴费比率等调整，按照最新的政策要求执行。</w:t>
            </w:r>
          </w:p>
          <w:p>
            <w:pPr>
              <w:pStyle w:val="null3"/>
              <w:jc w:val="left"/>
            </w:pPr>
            <w:r>
              <w:rPr>
                <w:rFonts w:ascii="仿宋_GB2312" w:hAnsi="仿宋_GB2312" w:cs="仿宋_GB2312" w:eastAsia="仿宋_GB2312"/>
                <w:sz w:val="24"/>
                <w:b/>
              </w:rPr>
              <w:t xml:space="preserve">  二、响应报价中依法依规享受优惠或减免等政策</w:t>
            </w:r>
            <w:r>
              <w:rPr>
                <w:rFonts w:ascii="仿宋_GB2312" w:hAnsi="仿宋_GB2312" w:cs="仿宋_GB2312" w:eastAsia="仿宋_GB2312"/>
                <w:sz w:val="24"/>
                <w:b/>
              </w:rPr>
              <w:t>的投标人，应提供相关政策文件和相关证明材料（税率减免的提供税务部门相关证明材料；拟派遣人员</w:t>
            </w:r>
            <w:r>
              <w:rPr>
                <w:rFonts w:ascii="仿宋_GB2312" w:hAnsi="仿宋_GB2312" w:cs="仿宋_GB2312" w:eastAsia="仿宋_GB2312"/>
                <w:sz w:val="24"/>
                <w:b/>
              </w:rPr>
              <w:t>享受优惠或减免政策的，还应提供情况说明、人员的身份证扫描件及人员享受优惠或减免的相关证件扫描件，并提供承诺函承诺享受优惠或减免的人员是为本项目实际提供服务的人员），若未按要求提供，视为未实质性响应。</w:t>
            </w:r>
          </w:p>
          <w:p>
            <w:pPr>
              <w:pStyle w:val="null3"/>
              <w:ind w:firstLine="482"/>
              <w:jc w:val="left"/>
            </w:pPr>
            <w:r>
              <w:rPr>
                <w:rFonts w:ascii="仿宋_GB2312" w:hAnsi="仿宋_GB2312" w:cs="仿宋_GB2312" w:eastAsia="仿宋_GB2312"/>
                <w:sz w:val="24"/>
                <w:b/>
              </w:rPr>
              <w:t>三、本项目服务费用不包含食材费用。</w:t>
            </w:r>
          </w:p>
          <w:p>
            <w:pPr>
              <w:pStyle w:val="null3"/>
              <w:ind w:firstLine="482"/>
              <w:jc w:val="left"/>
            </w:pPr>
            <w:r>
              <w:rPr>
                <w:rFonts w:ascii="仿宋_GB2312" w:hAnsi="仿宋_GB2312" w:cs="仿宋_GB2312" w:eastAsia="仿宋_GB2312"/>
                <w:sz w:val="24"/>
                <w:b/>
              </w:rPr>
              <w:t>四、</w:t>
            </w:r>
            <w:r>
              <w:rPr>
                <w:rFonts w:ascii="仿宋_GB2312" w:hAnsi="仿宋_GB2312" w:cs="仿宋_GB2312" w:eastAsia="仿宋_GB2312"/>
                <w:sz w:val="24"/>
                <w:b/>
              </w:rPr>
              <w:t>投标人不得以“企业让利”“已有耗材或设施设备库存”等形式免费或无偿、赠送或零报价提供服务，否则视为未实质性响应。</w:t>
            </w:r>
          </w:p>
          <w:p>
            <w:pPr>
              <w:pStyle w:val="null3"/>
              <w:ind w:firstLine="482"/>
              <w:jc w:val="left"/>
            </w:pPr>
            <w:r>
              <w:rPr>
                <w:rFonts w:ascii="仿宋_GB2312" w:hAnsi="仿宋_GB2312" w:cs="仿宋_GB2312" w:eastAsia="仿宋_GB2312"/>
                <w:sz w:val="24"/>
                <w:b/>
              </w:rPr>
              <w:t>五、服务费用报价组成</w:t>
            </w:r>
          </w:p>
          <w:p>
            <w:pPr>
              <w:pStyle w:val="null3"/>
              <w:ind w:firstLine="482"/>
              <w:jc w:val="left"/>
            </w:pPr>
            <w:r>
              <w:rPr>
                <w:rFonts w:ascii="仿宋_GB2312" w:hAnsi="仿宋_GB2312" w:cs="仿宋_GB2312" w:eastAsia="仿宋_GB2312"/>
                <w:sz w:val="24"/>
                <w:b/>
              </w:rPr>
              <w:t>1.员工工资：供应商应当按国家相关法律法规，合理确定本项目服务人员工资标准、工作时间等，人员月工资不得低于乐山市月最低工资标准，在服务期内如遇政策性调整员工工资等情况，费用增加部分由供应商承担，采购人不再增加费用。</w:t>
            </w:r>
          </w:p>
          <w:p>
            <w:pPr>
              <w:pStyle w:val="null3"/>
              <w:ind w:firstLine="482"/>
              <w:jc w:val="left"/>
            </w:pPr>
            <w:r>
              <w:rPr>
                <w:rFonts w:ascii="仿宋_GB2312" w:hAnsi="仿宋_GB2312" w:cs="仿宋_GB2312" w:eastAsia="仿宋_GB2312"/>
                <w:sz w:val="24"/>
                <w:b/>
              </w:rPr>
              <w:t>2.社会保险：为服务本项目所有人员办理必需的社会保险（养老保险、医疗保险、工伤保险、失业保险、生育保险），单位缴纳社保基数不低于乐山市最新城镇职工最低缴费基数。中标供应商还应为其服务本项目的所有人员购买人身意外伤害保险、雇主责任险以及本项目的公众责任险和食品安全责任险（保额不低于300万元）。以上所有有关保险费用计入投标总报价。</w:t>
            </w:r>
          </w:p>
          <w:p>
            <w:pPr>
              <w:pStyle w:val="null3"/>
              <w:ind w:firstLine="482"/>
              <w:jc w:val="left"/>
            </w:pPr>
            <w:r>
              <w:rPr>
                <w:rFonts w:ascii="仿宋_GB2312" w:hAnsi="仿宋_GB2312" w:cs="仿宋_GB2312" w:eastAsia="仿宋_GB2312"/>
                <w:sz w:val="24"/>
                <w:b/>
              </w:rPr>
              <w:t>3.服装费：供应商为本项目全部工作人员配置全新工作服，且仅供本项目使用。春秋季工作服2套/人、夏季工作服2套/人、冬季工作服2套/人的标准配置，费用计入投标总报价。</w:t>
            </w:r>
          </w:p>
          <w:p>
            <w:pPr>
              <w:pStyle w:val="null3"/>
              <w:ind w:firstLine="482"/>
              <w:jc w:val="left"/>
            </w:pPr>
            <w:r>
              <w:rPr>
                <w:rFonts w:ascii="仿宋_GB2312" w:hAnsi="仿宋_GB2312" w:cs="仿宋_GB2312" w:eastAsia="仿宋_GB2312"/>
                <w:sz w:val="24"/>
                <w:b/>
              </w:rPr>
              <w:t>4.节日福利：本项目所有服务人员发放国家法定节假日福利（春节、五一、端午、中秋、国庆等节日），费用计入投标总报价。</w:t>
            </w:r>
          </w:p>
          <w:p>
            <w:pPr>
              <w:pStyle w:val="null3"/>
              <w:jc w:val="left"/>
            </w:pPr>
            <w:r>
              <w:rPr>
                <w:rFonts w:ascii="仿宋_GB2312" w:hAnsi="仿宋_GB2312" w:cs="仿宋_GB2312" w:eastAsia="仿宋_GB2312"/>
                <w:sz w:val="32"/>
                <w:b/>
              </w:rPr>
              <w:t xml:space="preserve">      5.</w:t>
            </w:r>
            <w:r>
              <w:rPr>
                <w:rFonts w:ascii="仿宋_GB2312" w:hAnsi="仿宋_GB2312" w:cs="仿宋_GB2312" w:eastAsia="仿宋_GB2312"/>
                <w:sz w:val="32"/>
                <w:b/>
              </w:rPr>
              <w:t>本项目费用总价包含以上为采购人提供良好服务所需要的一切费用。包括但不限于：完成此项服务所需的人工工资、保险、服装、安保器材、利润、税费、管理费等所有其他有关各项的含税费用。</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绩效考核办法及标准</w:t>
            </w:r>
          </w:p>
        </w:tc>
        <w:tc>
          <w:tcPr>
            <w:tcW w:type="dxa" w:w="5814"/>
          </w:tcPr>
          <w:p>
            <w:pPr>
              <w:pStyle w:val="null3"/>
              <w:ind w:firstLine="482"/>
              <w:jc w:val="left"/>
            </w:pPr>
            <w:r>
              <w:rPr>
                <w:rFonts w:ascii="仿宋_GB2312" w:hAnsi="仿宋_GB2312" w:cs="仿宋_GB2312" w:eastAsia="仿宋_GB2312"/>
                <w:sz w:val="24"/>
                <w:b/>
              </w:rPr>
              <w:t>考核要求</w:t>
            </w:r>
          </w:p>
          <w:p>
            <w:pPr>
              <w:pStyle w:val="null3"/>
              <w:ind w:firstLine="482"/>
              <w:jc w:val="left"/>
            </w:pPr>
            <w:r>
              <w:rPr>
                <w:rFonts w:ascii="仿宋_GB2312" w:hAnsi="仿宋_GB2312" w:cs="仿宋_GB2312" w:eastAsia="仿宋_GB2312"/>
                <w:sz w:val="24"/>
              </w:rPr>
              <w:t>采购人对供应商的服务进行综合性考评。考评标准详见《乐山市市中区人民政府办公室机关食堂服务考核标准》。</w:t>
            </w:r>
          </w:p>
          <w:p>
            <w:pPr>
              <w:pStyle w:val="null3"/>
              <w:ind w:firstLine="482"/>
              <w:jc w:val="left"/>
            </w:pPr>
            <w:r>
              <w:rPr>
                <w:rFonts w:ascii="仿宋_GB2312" w:hAnsi="仿宋_GB2312" w:cs="仿宋_GB2312" w:eastAsia="仿宋_GB2312"/>
                <w:sz w:val="24"/>
              </w:rPr>
              <w:t>1.</w:t>
            </w:r>
            <w:r>
              <w:rPr>
                <w:rFonts w:ascii="仿宋_GB2312" w:hAnsi="仿宋_GB2312" w:cs="仿宋_GB2312" w:eastAsia="仿宋_GB2312"/>
                <w:sz w:val="24"/>
              </w:rPr>
              <w:t>按百分制实行月度考评，每月考核分在90分以上（含），支付当月费用的100%；考核得分89分以下（含），每降低1分扣减当月服务费2%；考核得分</w:t>
            </w:r>
            <w:r>
              <w:rPr>
                <w:rFonts w:ascii="仿宋_GB2312" w:hAnsi="仿宋_GB2312" w:cs="仿宋_GB2312" w:eastAsia="仿宋_GB2312"/>
                <w:sz w:val="24"/>
              </w:rPr>
              <w:t>79分以下（含）除按上述规定扣除月付款金额外，并由采购人下达书面整改通知，整改通知书下达五个工作日，供应商未整改或整改未达标，采购人可以单方面解除合同。</w:t>
            </w:r>
          </w:p>
          <w:p>
            <w:pPr>
              <w:pStyle w:val="null3"/>
              <w:ind w:firstLine="482"/>
              <w:jc w:val="left"/>
            </w:pPr>
            <w:r>
              <w:rPr>
                <w:rFonts w:ascii="仿宋_GB2312" w:hAnsi="仿宋_GB2312" w:cs="仿宋_GB2312" w:eastAsia="仿宋_GB2312"/>
                <w:sz w:val="24"/>
              </w:rPr>
              <w:t>2.采购人有权单方面无责终止合同项。</w:t>
            </w:r>
          </w:p>
          <w:p>
            <w:pPr>
              <w:pStyle w:val="null3"/>
              <w:ind w:firstLine="480"/>
              <w:jc w:val="left"/>
            </w:pPr>
            <w:r>
              <w:rPr>
                <w:rFonts w:ascii="仿宋_GB2312" w:hAnsi="仿宋_GB2312" w:cs="仿宋_GB2312" w:eastAsia="仿宋_GB2312"/>
                <w:sz w:val="24"/>
              </w:rPr>
              <w:t>发生直接经济损失大于3万元的安全事故（件）；发生重大公共安全事故（件），影响正常办公秩序及社会形象。</w:t>
            </w:r>
          </w:p>
          <w:p>
            <w:pPr>
              <w:pStyle w:val="null3"/>
              <w:ind w:firstLine="482"/>
              <w:jc w:val="left"/>
            </w:pPr>
            <w:r>
              <w:rPr>
                <w:rFonts w:ascii="仿宋_GB2312" w:hAnsi="仿宋_GB2312" w:cs="仿宋_GB2312" w:eastAsia="仿宋_GB2312"/>
                <w:sz w:val="24"/>
              </w:rPr>
              <w:t>3.为保障本项目服务质量，确保工作有序开展，成交供应商在履行合同期间，必须在次月15日前支付上月所有服务人员工资，采购人发现供应商超过2次不在规定时间内支付服务人员工资的，采购人有权无责解除合同。</w:t>
            </w:r>
          </w:p>
          <w:p>
            <w:pPr>
              <w:pStyle w:val="null3"/>
              <w:ind w:firstLine="480"/>
              <w:jc w:val="left"/>
            </w:pPr>
            <w:r>
              <w:rPr>
                <w:rFonts w:ascii="仿宋_GB2312" w:hAnsi="仿宋_GB2312" w:cs="仿宋_GB2312" w:eastAsia="仿宋_GB2312"/>
                <w:sz w:val="24"/>
              </w:rPr>
              <w:t>乐山市市中区人民政府办公室机关食堂服务考核标准</w:t>
            </w:r>
          </w:p>
          <w:tbl>
            <w:tblPr>
              <w:tblBorders>
                <w:top w:val="single"/>
                <w:left w:val="single"/>
                <w:bottom w:val="single"/>
                <w:right w:val="single"/>
                <w:insideH w:val="single"/>
                <w:insideV w:val="single"/>
              </w:tblBorders>
            </w:tblPr>
            <w:tblGrid>
              <w:gridCol w:w="439"/>
              <w:gridCol w:w="2931"/>
              <w:gridCol w:w="745"/>
              <w:gridCol w:w="513"/>
              <w:gridCol w:w="969"/>
            </w:tblGrid>
            <w:tr>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项目</w:t>
                  </w:r>
                </w:p>
              </w:tc>
              <w:tc>
                <w:tcPr>
                  <w:tcW w:type="dxa" w:w="29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rFonts w:ascii="仿宋_GB2312" w:hAnsi="仿宋_GB2312" w:cs="仿宋_GB2312" w:eastAsia="仿宋_GB2312"/>
                      <w:sz w:val="24"/>
                    </w:rPr>
                    <w:t>扣分要求</w:t>
                  </w:r>
                </w:p>
              </w:tc>
              <w:tc>
                <w:tcPr>
                  <w:tcW w:type="dxa" w:w="7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分值</w:t>
                  </w:r>
                </w:p>
              </w:tc>
              <w:tc>
                <w:tcPr>
                  <w:tcW w:type="dxa" w:w="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扣分</w:t>
                  </w:r>
                </w:p>
              </w:tc>
              <w:tc>
                <w:tcPr>
                  <w:tcW w:type="dxa" w:w="9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扣分具体情况</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重大扣分事项</w:t>
                  </w: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发生直接经济损失大于3万元的安全事故（件）。</w:t>
                  </w:r>
                </w:p>
                <w:p>
                  <w:pPr>
                    <w:pStyle w:val="null3"/>
                    <w:jc w:val="left"/>
                  </w:pPr>
                  <w:r>
                    <w:rPr>
                      <w:rFonts w:ascii="仿宋_GB2312" w:hAnsi="仿宋_GB2312" w:cs="仿宋_GB2312" w:eastAsia="仿宋_GB2312"/>
                      <w:sz w:val="24"/>
                    </w:rPr>
                    <w:t>2.发生重大公共安全事故（件），影响正常办公秩序及社会形象（如燃气泄漏隐患等）。</w:t>
                  </w:r>
                </w:p>
                <w:p>
                  <w:pPr>
                    <w:pStyle w:val="null3"/>
                    <w:jc w:val="left"/>
                  </w:pPr>
                  <w:r>
                    <w:rPr>
                      <w:rFonts w:ascii="仿宋_GB2312" w:hAnsi="仿宋_GB2312" w:cs="仿宋_GB2312" w:eastAsia="仿宋_GB2312"/>
                      <w:sz w:val="24"/>
                    </w:rPr>
                    <w:t>3.违规打探或窃取工作秘密，擅自向外界泄露，造成负面影响。</w:t>
                  </w:r>
                </w:p>
                <w:p>
                  <w:pPr>
                    <w:pStyle w:val="null3"/>
                    <w:jc w:val="left"/>
                  </w:pPr>
                  <w:r>
                    <w:rPr>
                      <w:rFonts w:ascii="仿宋_GB2312" w:hAnsi="仿宋_GB2312" w:cs="仿宋_GB2312" w:eastAsia="仿宋_GB2312"/>
                      <w:sz w:val="24"/>
                    </w:rPr>
                    <w:t>4.违反财务规定，存在经济往来上弄虚作假、虚报冒领等行为，经查处后再次违反的。</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造成其他严重负面影响，不适宜继续在党政机关服务的。</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每违反一项，每次扣20分。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人员管理</w:t>
                  </w: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各类人员实际在岗人数低于采购文件要求最低人数</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每少1人扣 5分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rFonts w:ascii="仿宋_GB2312" w:hAnsi="仿宋_GB2312" w:cs="仿宋_GB2312" w:eastAsia="仿宋_GB2312"/>
                      <w:sz w:val="24"/>
                    </w:rPr>
                    <w:t xml:space="preserve"> </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39"/>
                  <w:vMerge/>
                  <w:tcBorders>
                    <w:top w:val="none" w:color="000000" w:sz="4"/>
                    <w:left w:val="single" w:color="000000" w:sz="4"/>
                    <w:bottom w:val="single" w:color="000000" w:sz="4"/>
                    <w:right w:val="single" w:color="000000" w:sz="4"/>
                  </w:tcBorders>
                </w:tcP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人员与供应商未签订劳动合同、未进行岗前培训、未经政审或不符合岗位要求就派驻上岗；不按要求报告人员更换或及时补充人员；需持证上岗人员不具备相应的从业资格证书</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每人次扣2 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vMerge/>
                  <w:tcBorders>
                    <w:top w:val="none" w:color="000000" w:sz="4"/>
                    <w:left w:val="single" w:color="000000" w:sz="4"/>
                    <w:bottom w:val="single" w:color="000000" w:sz="4"/>
                    <w:right w:val="single" w:color="000000" w:sz="4"/>
                  </w:tcBorders>
                </w:tcP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人员不熟悉岗位职责、流程、制度、规范和标准，或出现履职不到位、违反流程和制度、不按规范和标准操作的</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每次扣1 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vMerge/>
                  <w:tcBorders>
                    <w:top w:val="none" w:color="000000" w:sz="4"/>
                    <w:left w:val="single" w:color="000000" w:sz="4"/>
                    <w:bottom w:val="single" w:color="000000" w:sz="4"/>
                    <w:right w:val="single" w:color="000000" w:sz="4"/>
                  </w:tcBorders>
                </w:tcP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放松思想教育，人员出现盗窃或未经允许私拿财物、侵占损坏公物、酗酒滋事、打架斗殴、赌博、等行为；放松保密教育，人员出现泄漏工作秘密的情况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每次扣10 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vMerge/>
                  <w:tcBorders>
                    <w:top w:val="none" w:color="000000" w:sz="4"/>
                    <w:left w:val="single" w:color="000000" w:sz="4"/>
                    <w:bottom w:val="single" w:color="000000" w:sz="4"/>
                    <w:right w:val="single" w:color="000000" w:sz="4"/>
                  </w:tcBorders>
                </w:tcP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工作期间擅离职守，不服从管理和调度，不能完成食堂的各项工作安排任务</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视情况扣2至20分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服务质量</w:t>
                  </w: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工作不到位，被区政府办公室主要领导批评</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每次扣5分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rFonts w:ascii="仿宋_GB2312" w:hAnsi="仿宋_GB2312" w:cs="仿宋_GB2312" w:eastAsia="仿宋_GB2312"/>
                      <w:sz w:val="24"/>
                    </w:rPr>
                    <w:t xml:space="preserve"> </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39"/>
                  <w:vMerge/>
                  <w:tcBorders>
                    <w:top w:val="none" w:color="000000" w:sz="4"/>
                    <w:left w:val="single" w:color="000000" w:sz="4"/>
                    <w:bottom w:val="single" w:color="000000" w:sz="4"/>
                    <w:right w:val="single" w:color="000000" w:sz="4"/>
                  </w:tcBorders>
                </w:tcP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工作人员服务态度是否热情、耐心、礼貌，用语是否文明、规范</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每次扣2分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vMerge/>
                  <w:tcBorders>
                    <w:top w:val="none" w:color="000000" w:sz="4"/>
                    <w:left w:val="single" w:color="000000" w:sz="4"/>
                    <w:bottom w:val="single" w:color="000000" w:sz="4"/>
                    <w:right w:val="single" w:color="000000" w:sz="4"/>
                  </w:tcBorders>
                </w:tcP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饭菜是否足量，新鲜干净，是否按菜谱提供菜品</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每项扣2分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vMerge/>
                  <w:tcBorders>
                    <w:top w:val="none" w:color="000000" w:sz="4"/>
                    <w:left w:val="single" w:color="000000" w:sz="4"/>
                    <w:bottom w:val="single" w:color="000000" w:sz="4"/>
                    <w:right w:val="single" w:color="000000" w:sz="4"/>
                  </w:tcBorders>
                </w:tcP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是否及时轮换菜品，菜品是否符合大多数就餐者的口味偏好，是否能根据就餐者的反馈及时调整口味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每项扣2 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vMerge/>
                  <w:tcBorders>
                    <w:top w:val="none" w:color="000000" w:sz="4"/>
                    <w:left w:val="single" w:color="000000" w:sz="4"/>
                    <w:bottom w:val="single" w:color="000000" w:sz="4"/>
                    <w:right w:val="single" w:color="000000" w:sz="4"/>
                  </w:tcBorders>
                </w:tcP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在物资、设备设施管理使用中有浪费、低效等问题，经采购人提醒不予改正，隐瞒问题，不接受采购人监管的</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每次扣5 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vMerge/>
                  <w:tcBorders>
                    <w:top w:val="none" w:color="000000" w:sz="4"/>
                    <w:left w:val="single" w:color="000000" w:sz="4"/>
                    <w:bottom w:val="single" w:color="000000" w:sz="4"/>
                    <w:right w:val="single" w:color="000000" w:sz="4"/>
                  </w:tcBorders>
                </w:tcP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是否严格按照规定的供餐时间提供服务，是否存在提前结束供餐或延迟开始供餐的情况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每次扣2分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vMerge/>
                  <w:tcBorders>
                    <w:top w:val="none" w:color="000000" w:sz="4"/>
                    <w:left w:val="single" w:color="000000" w:sz="4"/>
                    <w:bottom w:val="single" w:color="000000" w:sz="4"/>
                    <w:right w:val="single" w:color="000000" w:sz="4"/>
                  </w:tcBorders>
                </w:tcP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在供餐高峰期，不能快速、准确地为就餐者提供菜品，出现长时间排队等待的现象</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每次扣2分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vMerge/>
                  <w:tcBorders>
                    <w:top w:val="none" w:color="000000" w:sz="4"/>
                    <w:left w:val="single" w:color="000000" w:sz="4"/>
                    <w:bottom w:val="single" w:color="000000" w:sz="4"/>
                    <w:right w:val="single" w:color="000000" w:sz="4"/>
                  </w:tcBorders>
                </w:tcP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对采购人或就餐人员提出的意见、建议和投诉，是否能及时回应，是否在规定的时间内给予解决或答复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每次扣2 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vMerge/>
                  <w:tcBorders>
                    <w:top w:val="none" w:color="000000" w:sz="4"/>
                    <w:left w:val="single" w:color="000000" w:sz="4"/>
                    <w:bottom w:val="single" w:color="000000" w:sz="4"/>
                    <w:right w:val="single" w:color="000000" w:sz="4"/>
                  </w:tcBorders>
                </w:tcP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提供的餐食中如有头发、昆虫等异物等被就餐人员投诉</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每次扣2 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安全卫生</w:t>
                  </w: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食品加工过程不符合卫生标准，如生熟未分开、厨具餐具未清洁消毒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每次扣2分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vMerge/>
                  <w:tcBorders>
                    <w:top w:val="none" w:color="000000" w:sz="4"/>
                    <w:left w:val="single" w:color="000000" w:sz="4"/>
                    <w:bottom w:val="single" w:color="000000" w:sz="4"/>
                    <w:right w:val="single" w:color="000000" w:sz="4"/>
                  </w:tcBorders>
                </w:tcP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菜品未留样或留样不规范，未做到食品安全可追溯</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每次扣2分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vMerge/>
                  <w:tcBorders>
                    <w:top w:val="none" w:color="000000" w:sz="4"/>
                    <w:left w:val="single" w:color="000000" w:sz="4"/>
                    <w:bottom w:val="single" w:color="000000" w:sz="4"/>
                    <w:right w:val="single" w:color="000000" w:sz="4"/>
                  </w:tcBorders>
                </w:tcP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食堂就餐区域、厨房、储物区域是否干净整洁无异味；厨房垃圾收纳处理是否及时规范，是否做到日产日清，避免滋生细菌和异味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有一项不满足扣5分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vMerge/>
                  <w:tcBorders>
                    <w:top w:val="none" w:color="000000" w:sz="4"/>
                    <w:left w:val="single" w:color="000000" w:sz="4"/>
                    <w:bottom w:val="single" w:color="000000" w:sz="4"/>
                    <w:right w:val="single" w:color="000000" w:sz="4"/>
                  </w:tcBorders>
                </w:tcP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工作人员是否保持良好的个人卫生习惯，如勤洗手、勤剪指甲、工作时穿戴整洁的工作服、帽、口罩等</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有一项不满足扣2分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vMerge/>
                  <w:tcBorders>
                    <w:top w:val="none" w:color="000000" w:sz="4"/>
                    <w:left w:val="single" w:color="000000" w:sz="4"/>
                    <w:bottom w:val="single" w:color="000000" w:sz="4"/>
                    <w:right w:val="single" w:color="000000" w:sz="4"/>
                  </w:tcBorders>
                </w:tcP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未建立安全岗位责任制；不切实履行安全责任，防火、防盗、防爆、防毒等工作落实不到位；违反安全规定或安全操作规程，酿成意外事故或灾害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每次扣2分；造成灾害事故的视情节扣20 -100分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vMerge/>
                  <w:tcBorders>
                    <w:top w:val="none" w:color="000000" w:sz="4"/>
                    <w:left w:val="single" w:color="000000" w:sz="4"/>
                    <w:bottom w:val="single" w:color="000000" w:sz="4"/>
                    <w:right w:val="single" w:color="000000" w:sz="4"/>
                  </w:tcBorders>
                </w:tcP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人员不熟悉安全操作规范、各类应急预案和消防安全常识，不会正确处置突发事件、开展自救互救降低损失的</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每人次扣2 分；造成不良后果的，视情况扣2 至 8 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物资设备及节能管理</w:t>
                  </w: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对采购人移交的物资设备设施登记不详细或无登记；不按要求进行检查和盘点，出现账物不符情况保管不善，出现物资设备被盗、丢失、人为损坏等情况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每次扣5 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vMerge/>
                  <w:tcBorders>
                    <w:top w:val="none" w:color="000000" w:sz="4"/>
                    <w:left w:val="single" w:color="000000" w:sz="4"/>
                    <w:bottom w:val="single" w:color="000000" w:sz="4"/>
                    <w:right w:val="single" w:color="000000" w:sz="4"/>
                  </w:tcBorders>
                </w:tcP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不按操作规程操作、使用设备设施；不及时对设备设施进行保养维护</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每次扣2分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vMerge/>
                  <w:tcBorders>
                    <w:top w:val="none" w:color="000000" w:sz="4"/>
                    <w:left w:val="single" w:color="000000" w:sz="4"/>
                    <w:bottom w:val="single" w:color="000000" w:sz="4"/>
                    <w:right w:val="single" w:color="000000" w:sz="4"/>
                  </w:tcBorders>
                </w:tcP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保洁方式、程序、措施不当，造成设施设备损坏或设备使用寿命缩短的</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每次扣5 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vMerge/>
                  <w:tcBorders>
                    <w:top w:val="none" w:color="000000" w:sz="4"/>
                    <w:left w:val="single" w:color="000000" w:sz="4"/>
                    <w:bottom w:val="single" w:color="000000" w:sz="4"/>
                    <w:right w:val="single" w:color="000000" w:sz="4"/>
                  </w:tcBorders>
                </w:tcP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不注重节能减排，出现不及时关闭自来水、电、空调等浪费能耗的行为</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每次扣2 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其他</w:t>
                  </w:r>
                </w:p>
              </w:tc>
              <w:tc>
                <w:tcPr>
                  <w:tcW w:type="dxa" w:w="2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成交供应商次月15日前未支付上月本项目所有人员工资的</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扣10分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备注：总分为100 分，实际得分为 100 分减去合计扣分。</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供应商成交后，按采购人要求办理食品经营许可证。</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签订合同之日起365日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乐山市市中区人民政府办公室</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1.供应商服务标准应严格按照采购文件、响应文件的内容提供服务。 2.本项目采购人应严格按照政府采购相关法律法规以及《财政部关于进一步加强政府采购需求和履约验收管理的指导意见》（财库〔2016〕205 号）的要求组织验收。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按月分期付款，达到付款条件起15日内，据实结算说明为签订合同后款项按月支付，采购人根据每月考核结果确定每月劳务费金额，成交供应商每月开具正规税务发票交采购人，达到付款条件起15日内，采购人以银行转账的方式支付至供应商对公账号。</w:t>
            </w:r>
          </w:p>
          <w:p>
            <w:pPr>
              <w:pStyle w:val="null3"/>
              <w:jc w:val="left"/>
            </w:pPr>
            <w:r>
              <w:rPr>
                <w:rFonts w:ascii="仿宋_GB2312" w:hAnsi="仿宋_GB2312" w:cs="仿宋_GB2312" w:eastAsia="仿宋_GB2312"/>
              </w:rPr>
              <w:t>2、按月分期付款，达到付款条件起15日内，据实结算说明为签订合同后款项按月支付，采购人根据每月考核结果确定每月劳务费金额，成交供应商每月开具正规税务发票交采购人，达到付款条件起15日内，采购人以银行转账的方式支付至供应商对公账号。</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1、违约责任：（1）双方必须遵守合同并执行合同中的各项约定， 保证合同正常履行，若任意方无正当理由拒不履行合同，则需按照合同总金额20%的标准向对方支付违约金；（2）如因成交人在履行服务过程中的疏忽、失职、过错等故意或过失原因给采购人或第三方造成损失或侵害（包括但不限于食品中毒等事件），包括但不限于采购人本身的财产损失、由此而导致的采购人对任何第三方的法律责任，成交人对此承担全部赔偿责任，同时按上月服务费10%的标准向采购人支付违约金，采购人有权视情况单方解除合同；（3）成交人若擅自将本合同进行转包、分包的，按照合同总金额20%的标准向采购人支付违约金，采购人有权单方解除合同；（4）在合同有效期内，采购人按月度考核表对成交人提供的服务进行考评，考核得分79分以下（含）除按上述规定扣除月付款金额外，并由采购人下达书面整改通知，整改通知书下达五个工作日，供应商未整改或整改未达标，采购人可以单方面解除合同；（五）在合同有效期内，若成交人存在其他违约行为，采购人有权通知整改，成交人拒绝整改或整改不合格，则采购人有权单方解除合同，成交人应向采购人支付合同总金额 10%的违约金。 2、解决争议的方法：在执行本合同中发生的或与本合同有关的争端，双方应通过友好协商解决，协商不成的，可向乐山仲裁委员会申请仲裁。在仲裁期间，成交人不得停止服务，并应保证政府釆购合同的继续履行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对此约定要求可不作文字响应，但供应商参与本项目投标则视同供应商对以下要求已完全知晓、理解并同意接受或按相关规定提供相应证明材料：1、本文件引用技术规范或标准有误或已废止的，无论供应商如何响应均按现行有效、更新的技术规范或标准执行，成交/中标供应商与采购人在合同签订时予以纠正。2、供应商应对所提供材料、承诺或声明的真实性、合法性及有效性负责。除本项目采购文件已明确要求在投标/响应文件中提供证明材料外，在合同签订前，采购人将重点对中标/成交供应商提供的包括但不限于检验（测）报告、资质证书、强制节能产品认证证书、强制性产品认证证书（3C认证）、产品备案或生产许可材料等采取原件核查或法定第三方平台查询或发函核实等方式进行真实性、合法性及有效性核查。经核查发现不能提供或未查询到或应作无效的，将报同级财政部门处理，供应商自行承担不利后果和相关责任。3、供应商对技术参数中以“以上”、“以下”、“内”、“以内”、“不少于”、“≥”、“≤”等范围值形式表述的指标仍以范围值形式进行响应的，在合同签订时以供应商响应范围值本数作最低标准。同理，“不足”、“低于”、“超过”、“＜”、“＞”的则以优于但不含本数作最低标准。合同签订时，双方应按不低于上述要求确定准确值并作为验收的依据。4、本项目采购文件提供的“拟签订合同文本”中为通用版本，签订合同时对采购文件已有表述或要求的则按采购文件签订，采购文件没有约定的则由合同双方在公平公正且不违反相关法律法规前提下协商签订以及增加本项目必要的相关条款。5、本项目为综合评分法： （1）技术、服务要求中未提出的其他要求在评分细则中列出，供应商应对应评分细则予以提供和响应，评委/评审小组将根据评分细则给予评分。 （2）供应商在资格要求中承诺了具有履行合同所必需的设备和专业技术能力以及响应了项目技术、服务要求的相关要求，只是证明供应商满足了“必需、基本”的配置要求，本项目鼓励供应商优于此要求配置，详见评分细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供应商根据自身情况选择提供其中任意一项（本文件其他地方与此不一致的以此为准）： 1、提供（2024年或2025年）任一年度经审计的财务报告（包含审计报告和审计报告中所涉及的财务报表和报表附注）复印件。 2、提供（2024年或2025年）任一年度供应商财务报表（至少包括资产负债表、利润表、现金流量表）复印件。 3、提供截至投标文件提交截止日一年内银行出具的资信证明复印件。 4、提供具有担保资格的担保机构出具的投标担保函复印件。 5、供应商为个体工商户或自然人的，提供《投标（响应）函》完成承诺并进行电子签章。 6、供应商注册时间截至投标文件提交截止日不足一年的，也可提供营业执照副本或在工商部门备案的公司章程材料复印件。</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第三章技术、服务及其他要求的响应情况</w:t>
            </w:r>
          </w:p>
        </w:tc>
        <w:tc>
          <w:tcPr>
            <w:tcW w:type="dxa" w:w="3322"/>
          </w:tcPr>
          <w:p>
            <w:pPr>
              <w:pStyle w:val="null3"/>
              <w:jc w:val="left"/>
            </w:pPr>
            <w:r>
              <w:rPr>
                <w:rFonts w:ascii="仿宋_GB2312" w:hAnsi="仿宋_GB2312" w:cs="仿宋_GB2312" w:eastAsia="仿宋_GB2312"/>
              </w:rPr>
              <w:t>供应商需针对第三章技术、服务及其他要求（含：3.1中报价要求、3.2技术要求、3.3服务要求）进行逐项响应或按要求提供相关证明材料。对于“★”项（实质性要求)未响应或不满足的作不通过处理。</w:t>
            </w:r>
          </w:p>
        </w:tc>
        <w:tc>
          <w:tcPr>
            <w:tcW w:type="dxa" w:w="1661"/>
          </w:tcPr>
          <w:p>
            <w:pPr>
              <w:pStyle w:val="null3"/>
              <w:jc w:val="left"/>
            </w:pPr>
            <w:r>
              <w:rPr>
                <w:rFonts w:ascii="仿宋_GB2312" w:hAnsi="仿宋_GB2312" w:cs="仿宋_GB2312" w:eastAsia="仿宋_GB2312"/>
              </w:rPr>
              <w:t>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应急处置方案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供餐方案</w:t>
            </w:r>
          </w:p>
        </w:tc>
        <w:tc>
          <w:tcPr>
            <w:tcW w:type="dxa" w:w="2575"/>
          </w:tcPr>
          <w:p>
            <w:pPr>
              <w:pStyle w:val="null3"/>
              <w:jc w:val="left"/>
            </w:pPr>
            <w:r>
              <w:rPr>
                <w:rFonts w:ascii="仿宋_GB2312" w:hAnsi="仿宋_GB2312" w:cs="仿宋_GB2312" w:eastAsia="仿宋_GB2312"/>
              </w:rPr>
              <w:t>投标人（供应商）针对本项目提供的供餐方案，包含：①膳食平衡制定方案；②菜品制定方案 ；③临时就餐人员应急安排；④接待餐制定方案 。以上4个要素全部提供，且符合项目实际需求，描述详细的得12分。提供的方案中每缺1个要素内容扣3分，每有一处具有不足/缺陷的扣1.5分，扣完为止。(不足是指：内容不完整、过于简略、分析不满足要求的；缺陷是指：与实际情况不符、表述不清晰、凭空编造、套用其他项目方案、内容前后不一致、前后逻辑错误、涉及的规范及标准错误、地点区域错误、不符合采购需求、不可能实现的情形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评审因素响应情况.docx</w:t>
            </w:r>
          </w:p>
        </w:tc>
      </w:tr>
      <w:tr>
        <w:tc>
          <w:tcPr>
            <w:tcW w:type="dxa" w:w="831"/>
            <w:vMerge/>
          </w:tcPr>
          <w:p/>
        </w:tc>
        <w:tc>
          <w:tcPr>
            <w:tcW w:type="dxa" w:w="1661"/>
          </w:tcPr>
          <w:p>
            <w:pPr>
              <w:pStyle w:val="null3"/>
              <w:jc w:val="left"/>
            </w:pPr>
            <w:r>
              <w:rPr>
                <w:rFonts w:ascii="仿宋_GB2312" w:hAnsi="仿宋_GB2312" w:cs="仿宋_GB2312" w:eastAsia="仿宋_GB2312"/>
              </w:rPr>
              <w:t>经营管理方案</w:t>
            </w:r>
          </w:p>
        </w:tc>
        <w:tc>
          <w:tcPr>
            <w:tcW w:type="dxa" w:w="2575"/>
          </w:tcPr>
          <w:p>
            <w:pPr>
              <w:pStyle w:val="null3"/>
              <w:jc w:val="left"/>
            </w:pPr>
            <w:r>
              <w:rPr>
                <w:rFonts w:ascii="仿宋_GB2312" w:hAnsi="仿宋_GB2312" w:cs="仿宋_GB2312" w:eastAsia="仿宋_GB2312"/>
              </w:rPr>
              <w:t>投标人（供应商）针对本项目提供的经营管理方案，包含：①成本管控；②食堂环境质量管理；③设备维护措施；④防疫管理措施。以上4个要素全部提供，且符合项目实际需求，描述详细的得12分。提供的方案中每缺1个要素内容扣3分，每有一处具有不足/缺陷的扣1.5分，扣完为止。(不足是指：内容不完整、过于简略、分析不满足要求的；缺陷是指：与实际情况不符、表述不清晰、凭空编造、套用其他项目方案、内容前后不一致、前后逻辑错误、涉及的规范及标准错误、地点区域错误、不符合采购需求、不可能实现的情形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评审因素响应情况.docx</w:t>
            </w:r>
          </w:p>
        </w:tc>
      </w:tr>
      <w:tr>
        <w:tc>
          <w:tcPr>
            <w:tcW w:type="dxa" w:w="831"/>
            <w:vMerge/>
          </w:tcPr>
          <w:p/>
        </w:tc>
        <w:tc>
          <w:tcPr>
            <w:tcW w:type="dxa" w:w="1661"/>
          </w:tcPr>
          <w:p>
            <w:pPr>
              <w:pStyle w:val="null3"/>
              <w:jc w:val="left"/>
            </w:pPr>
            <w:r>
              <w:rPr>
                <w:rFonts w:ascii="仿宋_GB2312" w:hAnsi="仿宋_GB2312" w:cs="仿宋_GB2312" w:eastAsia="仿宋_GB2312"/>
              </w:rPr>
              <w:t>食品卫生措施</w:t>
            </w:r>
          </w:p>
        </w:tc>
        <w:tc>
          <w:tcPr>
            <w:tcW w:type="dxa" w:w="2575"/>
          </w:tcPr>
          <w:p>
            <w:pPr>
              <w:pStyle w:val="null3"/>
              <w:jc w:val="left"/>
            </w:pPr>
            <w:r>
              <w:rPr>
                <w:rFonts w:ascii="仿宋_GB2312" w:hAnsi="仿宋_GB2312" w:cs="仿宋_GB2312" w:eastAsia="仿宋_GB2312"/>
              </w:rPr>
              <w:t>投标人（供应商）针对本项目提供的食品卫生方案，应包括： ①卫生责任明确、②食品加工操作程序规范、③食品卫生措施、④餐具卫生消毒措施、⑤留样制度进行详细阐述⑥食材验收制度、⑦人员个人卫生管理制度。以上7个要素全部提供，且符合项目实际需求，描述详细的得14分。提供的方案中每缺1个要素内容扣2分，每有一处具有不足/缺陷的扣1分，扣完为止。(不足是指：内容不完整、过于简略、分析不满足要求的；缺陷是指：与实际情况不符、表述不清晰、凭空编造、套用其他项目方案、内容前后不一致、前后逻辑错误、涉及的规范及标准错误、地点区域错误、不符合采购需求、不可能实现的情形等任意一种情形。)</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评审因素响应情况.docx</w:t>
            </w:r>
          </w:p>
        </w:tc>
      </w:tr>
      <w:tr>
        <w:tc>
          <w:tcPr>
            <w:tcW w:type="dxa" w:w="831"/>
            <w:vMerge/>
          </w:tcPr>
          <w:p/>
        </w:tc>
        <w:tc>
          <w:tcPr>
            <w:tcW w:type="dxa" w:w="1661"/>
          </w:tcPr>
          <w:p>
            <w:pPr>
              <w:pStyle w:val="null3"/>
              <w:jc w:val="left"/>
            </w:pPr>
            <w:r>
              <w:rPr>
                <w:rFonts w:ascii="仿宋_GB2312" w:hAnsi="仿宋_GB2312" w:cs="仿宋_GB2312" w:eastAsia="仿宋_GB2312"/>
              </w:rPr>
              <w:t>应急处置方案</w:t>
            </w:r>
          </w:p>
        </w:tc>
        <w:tc>
          <w:tcPr>
            <w:tcW w:type="dxa" w:w="2575"/>
          </w:tcPr>
          <w:p>
            <w:pPr>
              <w:pStyle w:val="null3"/>
              <w:jc w:val="left"/>
            </w:pPr>
            <w:r>
              <w:rPr>
                <w:rFonts w:ascii="仿宋_GB2312" w:hAnsi="仿宋_GB2312" w:cs="仿宋_GB2312" w:eastAsia="仿宋_GB2312"/>
              </w:rPr>
              <w:t>投标人（供应商）针对本项目提供的应急处置方案，包含：①突发断水、断电、停气等处理；② 突发灾害；③食品中毒等卫生安全事件；④工作人员、就餐人员突发意外人身伤害事件等应急处置预案。以上4个要素全部提供，且符合项目实际需求，描述详细的得20 分。提供的方案中每缺1个要素内容扣5分，每有一处具有不足/缺陷的扣2.5分，扣完为止。(不足是指：内容不完整、过于简略、分析不满足要求的；缺陷是指：与实际情况不符、表述不清晰、凭空编造、套用其他项目方案、内容前后不一致、前后逻辑错误、涉及的规范及标准错误、地点区域错误、不符合采购需求、不可能实现的情形等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评审因素响应情况.docx</w:t>
            </w:r>
          </w:p>
        </w:tc>
      </w:tr>
      <w:tr>
        <w:tc>
          <w:tcPr>
            <w:tcW w:type="dxa" w:w="831"/>
            <w:vMerge/>
          </w:tcPr>
          <w:p/>
        </w:tc>
        <w:tc>
          <w:tcPr>
            <w:tcW w:type="dxa" w:w="1661"/>
          </w:tcPr>
          <w:p>
            <w:pPr>
              <w:pStyle w:val="null3"/>
              <w:jc w:val="left"/>
            </w:pPr>
            <w:r>
              <w:rPr>
                <w:rFonts w:ascii="仿宋_GB2312" w:hAnsi="仿宋_GB2312" w:cs="仿宋_GB2312" w:eastAsia="仿宋_GB2312"/>
              </w:rPr>
              <w:t>人员配置要求</w:t>
            </w:r>
          </w:p>
        </w:tc>
        <w:tc>
          <w:tcPr>
            <w:tcW w:type="dxa" w:w="2575"/>
          </w:tcPr>
          <w:p>
            <w:pPr>
              <w:pStyle w:val="null3"/>
              <w:jc w:val="left"/>
            </w:pPr>
            <w:r>
              <w:rPr>
                <w:rFonts w:ascii="仿宋_GB2312" w:hAnsi="仿宋_GB2312" w:cs="仿宋_GB2312" w:eastAsia="仿宋_GB2312"/>
              </w:rPr>
              <w:t>1.投标人（供应商）拟为本项目配备的厨师长具备中式烹调师一级（高级技师）职业技能等级证书的得4分，三级（高级）或以上（不含一级（高级技师））的得2分，三级（高级）（不含）以下的得1分,本条最多得4分； 2.投标人（供应商）拟为本项目配备的厨师中每具备一个中式烹调师二级（技师）或以上职业技能等级证书的得2分，三级（高级）的得1分，三级（高级）（不含）以下的得0.5分，本条最多得4分。 注： 1.提供对应人员证书证明材料复印件及在职证明材料并加盖公章； 2.在职证明材料可提供劳动合同或工资流水证明等其他有效证明材料复印件或承诺函原件并加盖公章，虚假承诺引起的所有不良后果均由承诺人自行承担； 3.本项评审一人一职，一人多证的，每个证书仅可得一次分，且不跨条重复得分。人员安排重复或未明确职位的，按照最高得分进行计算。</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评审因素响应情况.docx</w:t>
            </w:r>
          </w:p>
        </w:tc>
      </w:tr>
      <w:tr>
        <w:tc>
          <w:tcPr>
            <w:tcW w:type="dxa" w:w="831"/>
            <w:vMerge/>
          </w:tcPr>
          <w:p/>
        </w:tc>
        <w:tc>
          <w:tcPr>
            <w:tcW w:type="dxa" w:w="1661"/>
          </w:tcPr>
          <w:p>
            <w:pPr>
              <w:pStyle w:val="null3"/>
              <w:jc w:val="left"/>
            </w:pPr>
            <w:r>
              <w:rPr>
                <w:rFonts w:ascii="仿宋_GB2312" w:hAnsi="仿宋_GB2312" w:cs="仿宋_GB2312" w:eastAsia="仿宋_GB2312"/>
              </w:rPr>
              <w:t>工作经验和业绩</w:t>
            </w:r>
          </w:p>
        </w:tc>
        <w:tc>
          <w:tcPr>
            <w:tcW w:type="dxa" w:w="2575"/>
          </w:tcPr>
          <w:p>
            <w:pPr>
              <w:pStyle w:val="null3"/>
              <w:jc w:val="left"/>
            </w:pPr>
            <w:r>
              <w:rPr>
                <w:rFonts w:ascii="仿宋_GB2312" w:hAnsi="仿宋_GB2312" w:cs="仿宋_GB2312" w:eastAsia="仿宋_GB2312"/>
              </w:rPr>
              <w:t>1.供应商提供2023年1月1日（含）以来合同履约期间的类似项目履约经验，提供1个得2分，本项最多得4分。注：提供项目合同复印件并加盖公章。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评审因素响应情况.docx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详见附件：评审因素响应情况.docx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