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版本号：N510781202600006420260429001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院内制剂研发及申报备案委托服务项目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N5107812026000064</w:t>
      </w:r>
    </w:p>
    <w:p>
      <w:pPr>
        <w:pStyle w:val="null3"/>
        <w:jc w:val="center"/>
        <w:outlineLvl w:val="2"/>
      </w:pPr>
      <w:r>
        <w:rPr>
          <w:rFonts w:ascii="仿宋_GB2312" w:hAnsi="仿宋_GB2312" w:cs="仿宋_GB2312" w:eastAsia="仿宋_GB2312"/>
          <w:sz w:val="28"/>
          <w:b/>
        </w:rPr>
        <w:t>江油市中医医院</w:t>
      </w:r>
    </w:p>
    <w:p>
      <w:pPr>
        <w:pStyle w:val="null3"/>
        <w:jc w:val="center"/>
        <w:outlineLvl w:val="2"/>
      </w:pPr>
      <w:r>
        <w:rPr>
          <w:rFonts w:ascii="仿宋_GB2312" w:hAnsi="仿宋_GB2312" w:cs="仿宋_GB2312" w:eastAsia="仿宋_GB2312"/>
          <w:sz w:val="28"/>
          <w:b/>
        </w:rPr>
        <w:t>四川聚丰达工程管理服务有限公司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四川聚丰达工程管理服务有限公司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江油市中医医院</w:t>
      </w:r>
      <w:r>
        <w:rPr>
          <w:rFonts w:ascii="仿宋_GB2312" w:hAnsi="仿宋_GB2312" w:cs="仿宋_GB2312" w:eastAsia="仿宋_GB2312"/>
        </w:rPr>
        <w:t xml:space="preserve"> 委托，拟对 </w:t>
      </w:r>
      <w:r>
        <w:rPr>
          <w:rFonts w:ascii="仿宋_GB2312" w:hAnsi="仿宋_GB2312" w:cs="仿宋_GB2312" w:eastAsia="仿宋_GB2312"/>
        </w:rPr>
        <w:t>院内制剂研发及申报备案委托服务项目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N5107812026000064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院内制剂研发及申报备案委托服务项目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本项目拟采购3个院内制剂研发申报备案服务。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江油市中医医院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江油市太平镇仁爱路458号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0816-3326480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四川聚丰达工程管理服务有限公司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绵阳市高新区石桥铺东路中国科技城跨境电子商务产业园6栋502室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胥越妍</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0816-2178328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中华人民共和国国家发展计划委员会计价格〔2002〕1980号《招标代理服务收费管理暂行办法》和发改办价格〔2003〕857号文件标准收取（本项目招标代理服务费按成交金额的1.5%收取；招标代理服务费不足5000元的按5000元计取），向成交供应商收取招标代理服务费。 收款单位：四川聚丰达工程管理服务有限公司 开户银行：中国工商银行股份有限公司绵阳新华支行 银行账号：2308 4171 0910 0134 755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江油市中医医院</w:t>
      </w:r>
      <w:r>
        <w:rPr>
          <w:rFonts w:ascii="仿宋_GB2312" w:hAnsi="仿宋_GB2312" w:cs="仿宋_GB2312" w:eastAsia="仿宋_GB2312"/>
        </w:rPr>
        <w:t xml:space="preserve"> 和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江油市中医医院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制剂取得四川省药品监督管理局应用传统工艺中药制剂备案号，在四川省传统中药制剂备案平台上可查，并由供应商提出验收申请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按照采购文件中“技术要求”“服务要求”及成交供应商响应文件进行验收。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依据采购文件、成交供应商响应文件和国家、行业相关标准、政府采购相关法律法规以及《财政部关于进一步加强政府采购需求和履约验收管理的指导意见》（国家－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江油市中医医院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李斌</w:t>
      </w:r>
    </w:p>
    <w:p>
      <w:pPr>
        <w:pStyle w:val="null3"/>
        <w:jc w:val="left"/>
      </w:pPr>
      <w:r>
        <w:rPr>
          <w:rFonts w:ascii="仿宋_GB2312" w:hAnsi="仿宋_GB2312" w:cs="仿宋_GB2312" w:eastAsia="仿宋_GB2312"/>
        </w:rPr>
        <w:t>联系电话：0816-3326480</w:t>
      </w:r>
    </w:p>
    <w:p>
      <w:pPr>
        <w:pStyle w:val="null3"/>
        <w:jc w:val="left"/>
      </w:pPr>
      <w:r>
        <w:rPr>
          <w:rFonts w:ascii="仿宋_GB2312" w:hAnsi="仿宋_GB2312" w:cs="仿宋_GB2312" w:eastAsia="仿宋_GB2312"/>
        </w:rPr>
        <w:t>地址： 江油市太平镇仁爱路458号</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联系人：胥越妍</w:t>
      </w:r>
    </w:p>
    <w:p>
      <w:pPr>
        <w:pStyle w:val="null3"/>
        <w:jc w:val="left"/>
      </w:pPr>
      <w:r>
        <w:rPr>
          <w:rFonts w:ascii="仿宋_GB2312" w:hAnsi="仿宋_GB2312" w:cs="仿宋_GB2312" w:eastAsia="仿宋_GB2312"/>
        </w:rPr>
        <w:t>联系电话：0816-2178328</w:t>
      </w:r>
    </w:p>
    <w:p>
      <w:pPr>
        <w:pStyle w:val="null3"/>
        <w:jc w:val="left"/>
      </w:pPr>
      <w:r>
        <w:rPr>
          <w:rFonts w:ascii="仿宋_GB2312" w:hAnsi="仿宋_GB2312" w:cs="仿宋_GB2312" w:eastAsia="仿宋_GB2312"/>
        </w:rPr>
        <w:t>地址：绵阳市高新区石桥铺东路中国科技城跨境电子商务产业园6栋502室</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820,000.00</w:t>
      </w:r>
    </w:p>
    <w:p>
      <w:pPr>
        <w:pStyle w:val="null3"/>
        <w:jc w:val="left"/>
      </w:pPr>
      <w:r>
        <w:rPr>
          <w:rFonts w:ascii="仿宋_GB2312" w:hAnsi="仿宋_GB2312" w:cs="仿宋_GB2312" w:eastAsia="仿宋_GB2312"/>
        </w:rPr>
        <w:t>采购包最高限价（元）: 820,000.00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C01050600 中医学与中药学研究服务</w:t>
            </w:r>
          </w:p>
        </w:tc>
        <w:tc>
          <w:tcPr>
            <w:tcW w:type="dxa" w:w="821"/>
          </w:tcPr>
          <w:p>
            <w:pPr>
              <w:pStyle w:val="null3"/>
              <w:jc w:val="left"/>
            </w:pPr>
            <w:r>
              <w:rPr>
                <w:rFonts w:ascii="仿宋_GB2312" w:hAnsi="仿宋_GB2312" w:cs="仿宋_GB2312" w:eastAsia="仿宋_GB2312"/>
              </w:rPr>
              <w:t>院内制剂研发及申报备案委托服务项目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院内制剂研发及申报备案委托服务项目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标的名称：院内制剂研发及申报备案委托服务项目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制剂的基本信息</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38"/>
              <w:gridCol w:w="1624"/>
              <w:gridCol w:w="1634"/>
              <w:gridCol w:w="1700"/>
            </w:tblGrid>
            <w:tr>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spacing w:before="60"/>
                    <w:jc w:val="center"/>
                  </w:pPr>
                  <w:r>
                    <w:rPr>
                      <w:rFonts w:ascii="仿宋_GB2312" w:hAnsi="仿宋_GB2312" w:cs="仿宋_GB2312" w:eastAsia="仿宋_GB2312"/>
                      <w:sz w:val="24"/>
                    </w:rPr>
                    <w:t>序号</w:t>
                  </w:r>
                </w:p>
              </w:tc>
              <w:tc>
                <w:tcPr>
                  <w:tcW w:type="dxa" w:w="16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45"/>
                    <w:jc w:val="center"/>
                  </w:pPr>
                  <w:r>
                    <w:rPr>
                      <w:rFonts w:ascii="仿宋_GB2312" w:hAnsi="仿宋_GB2312" w:cs="仿宋_GB2312" w:eastAsia="仿宋_GB2312"/>
                      <w:sz w:val="24"/>
                    </w:rPr>
                    <w:t>制剂暂定名</w:t>
                  </w:r>
                </w:p>
              </w:tc>
              <w:tc>
                <w:tcPr>
                  <w:tcW w:type="dxa" w:w="163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45"/>
                    <w:ind w:left="180"/>
                    <w:jc w:val="center"/>
                  </w:pPr>
                  <w:r>
                    <w:rPr>
                      <w:rFonts w:ascii="仿宋_GB2312" w:hAnsi="仿宋_GB2312" w:cs="仿宋_GB2312" w:eastAsia="仿宋_GB2312"/>
                      <w:sz w:val="24"/>
                    </w:rPr>
                    <w:t>制剂暂定</w:t>
                  </w:r>
                  <w:r>
                    <w:rPr>
                      <w:rFonts w:ascii="仿宋_GB2312" w:hAnsi="仿宋_GB2312" w:cs="仿宋_GB2312" w:eastAsia="仿宋_GB2312"/>
                      <w:sz w:val="24"/>
                    </w:rPr>
                    <w:t>剂型</w:t>
                  </w:r>
                </w:p>
              </w:tc>
              <w:tc>
                <w:tcPr>
                  <w:tcW w:type="dxa" w:w="170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45"/>
                    <w:ind w:left="180"/>
                    <w:jc w:val="center"/>
                  </w:pPr>
                  <w:r>
                    <w:rPr>
                      <w:rFonts w:ascii="仿宋_GB2312" w:hAnsi="仿宋_GB2312" w:cs="仿宋_GB2312" w:eastAsia="仿宋_GB2312"/>
                      <w:sz w:val="24"/>
                    </w:rPr>
                    <w:t>制剂暂定规</w:t>
                  </w:r>
                  <w:r>
                    <w:rPr>
                      <w:rFonts w:ascii="仿宋_GB2312" w:hAnsi="仿宋_GB2312" w:cs="仿宋_GB2312" w:eastAsia="仿宋_GB2312"/>
                      <w:sz w:val="24"/>
                    </w:rPr>
                    <w:t>格</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ind w:left="480"/>
                    <w:jc w:val="both"/>
                  </w:pPr>
                  <w:r>
                    <w:rPr>
                      <w:rFonts w:ascii="仿宋_GB2312" w:hAnsi="仿宋_GB2312" w:cs="仿宋_GB2312" w:eastAsia="仿宋_GB2312"/>
                      <w:sz w:val="24"/>
                    </w:rPr>
                    <w:t>1</w:t>
                  </w:r>
                </w:p>
              </w:tc>
              <w:tc>
                <w:tcPr>
                  <w:tcW w:type="dxa" w:w="16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jc w:val="center"/>
                  </w:pPr>
                  <w:r>
                    <w:rPr>
                      <w:rFonts w:ascii="仿宋_GB2312" w:hAnsi="仿宋_GB2312" w:cs="仿宋_GB2312" w:eastAsia="仿宋_GB2312"/>
                      <w:sz w:val="24"/>
                    </w:rPr>
                    <w:t>调脂合剂</w:t>
                  </w:r>
                </w:p>
              </w:tc>
              <w:tc>
                <w:tcPr>
                  <w:tcW w:type="dxa" w:w="163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45"/>
                    <w:jc w:val="center"/>
                  </w:pPr>
                  <w:r>
                    <w:rPr>
                      <w:rFonts w:ascii="仿宋_GB2312" w:hAnsi="仿宋_GB2312" w:cs="仿宋_GB2312" w:eastAsia="仿宋_GB2312"/>
                      <w:sz w:val="24"/>
                    </w:rPr>
                    <w:t>合剂</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180"/>
                    <w:jc w:val="center"/>
                  </w:pPr>
                  <w:r>
                    <w:rPr>
                      <w:rFonts w:ascii="仿宋_GB2312" w:hAnsi="仿宋_GB2312" w:cs="仿宋_GB2312" w:eastAsia="仿宋_GB2312"/>
                      <w:sz w:val="24"/>
                    </w:rPr>
                    <w:t>100m1/</w:t>
                  </w:r>
                  <w:r>
                    <w:rPr>
                      <w:rFonts w:ascii="仿宋_GB2312" w:hAnsi="仿宋_GB2312" w:cs="仿宋_GB2312" w:eastAsia="仿宋_GB2312"/>
                      <w:sz w:val="24"/>
                    </w:rPr>
                    <w:t>瓶</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90"/>
                    <w:ind w:left="480"/>
                    <w:jc w:val="both"/>
                  </w:pPr>
                  <w:r>
                    <w:rPr>
                      <w:rFonts w:ascii="仿宋_GB2312" w:hAnsi="仿宋_GB2312" w:cs="仿宋_GB2312" w:eastAsia="仿宋_GB2312"/>
                      <w:sz w:val="24"/>
                    </w:rPr>
                    <w:t>2</w:t>
                  </w:r>
                </w:p>
              </w:tc>
              <w:tc>
                <w:tcPr>
                  <w:tcW w:type="dxa" w:w="16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jc w:val="center"/>
                  </w:pPr>
                  <w:r>
                    <w:rPr>
                      <w:rFonts w:ascii="仿宋_GB2312" w:hAnsi="仿宋_GB2312" w:cs="仿宋_GB2312" w:eastAsia="仿宋_GB2312"/>
                      <w:sz w:val="24"/>
                    </w:rPr>
                    <w:t>降压合剂</w:t>
                  </w:r>
                </w:p>
              </w:tc>
              <w:tc>
                <w:tcPr>
                  <w:tcW w:type="dxa" w:w="163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jc w:val="center"/>
                  </w:pPr>
                  <w:r>
                    <w:rPr>
                      <w:rFonts w:ascii="仿宋_GB2312" w:hAnsi="仿宋_GB2312" w:cs="仿宋_GB2312" w:eastAsia="仿宋_GB2312"/>
                      <w:sz w:val="24"/>
                    </w:rPr>
                    <w:t>合剂</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225"/>
                    <w:jc w:val="center"/>
                  </w:pPr>
                  <w:r>
                    <w:rPr>
                      <w:rFonts w:ascii="仿宋_GB2312" w:hAnsi="仿宋_GB2312" w:cs="仿宋_GB2312" w:eastAsia="仿宋_GB2312"/>
                      <w:sz w:val="24"/>
                    </w:rPr>
                    <w:t>100m1/</w:t>
                  </w:r>
                  <w:r>
                    <w:rPr>
                      <w:rFonts w:ascii="仿宋_GB2312" w:hAnsi="仿宋_GB2312" w:cs="仿宋_GB2312" w:eastAsia="仿宋_GB2312"/>
                      <w:sz w:val="24"/>
                    </w:rPr>
                    <w:t>瓶</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90"/>
                    <w:ind w:left="480"/>
                    <w:jc w:val="both"/>
                  </w:pPr>
                  <w:r>
                    <w:rPr>
                      <w:rFonts w:ascii="仿宋_GB2312" w:hAnsi="仿宋_GB2312" w:cs="仿宋_GB2312" w:eastAsia="仿宋_GB2312"/>
                      <w:sz w:val="24"/>
                    </w:rPr>
                    <w:t>3</w:t>
                  </w:r>
                </w:p>
              </w:tc>
              <w:tc>
                <w:tcPr>
                  <w:tcW w:type="dxa" w:w="16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jc w:val="center"/>
                  </w:pPr>
                  <w:r>
                    <w:rPr>
                      <w:rFonts w:ascii="仿宋_GB2312" w:hAnsi="仿宋_GB2312" w:cs="仿宋_GB2312" w:eastAsia="仿宋_GB2312"/>
                      <w:sz w:val="24"/>
                    </w:rPr>
                    <w:t>滋肾养源颗粒剂</w:t>
                  </w:r>
                </w:p>
              </w:tc>
              <w:tc>
                <w:tcPr>
                  <w:tcW w:type="dxa" w:w="163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jc w:val="center"/>
                  </w:pPr>
                  <w:r>
                    <w:rPr>
                      <w:rFonts w:ascii="仿宋_GB2312" w:hAnsi="仿宋_GB2312" w:cs="仿宋_GB2312" w:eastAsia="仿宋_GB2312"/>
                      <w:sz w:val="24"/>
                    </w:rPr>
                    <w:t>颗粒剂</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225"/>
                    <w:jc w:val="center"/>
                  </w:pPr>
                  <w:r>
                    <w:rPr>
                      <w:rFonts w:ascii="仿宋_GB2312" w:hAnsi="仿宋_GB2312" w:cs="仿宋_GB2312" w:eastAsia="仿宋_GB2312"/>
                      <w:sz w:val="24"/>
                    </w:rPr>
                    <w:t>10-15g/</w:t>
                  </w:r>
                  <w:r>
                    <w:rPr>
                      <w:rFonts w:ascii="仿宋_GB2312" w:hAnsi="仿宋_GB2312" w:cs="仿宋_GB2312" w:eastAsia="仿宋_GB2312"/>
                      <w:sz w:val="24"/>
                    </w:rPr>
                    <w:t>袋</w:t>
                  </w:r>
                </w:p>
              </w:tc>
            </w:tr>
            <w:tr>
              <w:tc>
                <w:tcPr>
                  <w:tcW w:type="dxa" w:w="5596"/>
                  <w:gridSpan w:val="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60"/>
                    <w:ind w:left="225"/>
                    <w:jc w:val="both"/>
                  </w:pPr>
                  <w:r>
                    <w:rPr>
                      <w:rFonts w:ascii="仿宋_GB2312" w:hAnsi="仿宋_GB2312" w:cs="仿宋_GB2312" w:eastAsia="仿宋_GB2312"/>
                      <w:sz w:val="24"/>
                    </w:rPr>
                    <w:t>备注：制剂名称、剂型、规格可根据实际研发与备案需求进行调整。</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服务内容及范围</w:t>
            </w:r>
          </w:p>
        </w:tc>
        <w:tc>
          <w:tcPr>
            <w:tcW w:type="dxa" w:w="5814"/>
          </w:tcPr>
          <w:p>
            <w:pPr>
              <w:pStyle w:val="null3"/>
              <w:ind w:firstLine="484"/>
              <w:jc w:val="left"/>
            </w:pPr>
            <w:r>
              <w:rPr>
                <w:rFonts w:ascii="仿宋_GB2312" w:hAnsi="仿宋_GB2312" w:cs="仿宋_GB2312" w:eastAsia="仿宋_GB2312"/>
                <w:sz w:val="24"/>
              </w:rPr>
              <w:t>1.</w:t>
            </w:r>
            <w:r>
              <w:rPr>
                <w:rFonts w:ascii="仿宋_GB2312" w:hAnsi="仿宋_GB2312" w:cs="仿宋_GB2312" w:eastAsia="仿宋_GB2312"/>
                <w:sz w:val="24"/>
              </w:rPr>
              <w:t>药学研究部分</w:t>
            </w:r>
          </w:p>
          <w:p>
            <w:pPr>
              <w:pStyle w:val="null3"/>
              <w:ind w:firstLine="484"/>
              <w:jc w:val="left"/>
            </w:pPr>
            <w:r>
              <w:rPr>
                <w:rFonts w:ascii="仿宋_GB2312" w:hAnsi="仿宋_GB2312" w:cs="仿宋_GB2312" w:eastAsia="仿宋_GB2312"/>
                <w:sz w:val="24"/>
              </w:rPr>
              <w:t>1.1</w:t>
            </w:r>
            <w:r>
              <w:rPr>
                <w:rFonts w:ascii="仿宋_GB2312" w:hAnsi="仿宋_GB2312" w:cs="仿宋_GB2312" w:eastAsia="仿宋_GB2312"/>
                <w:sz w:val="24"/>
              </w:rPr>
              <w:t>完成5年历史使用资料审核，符合制剂备案要求。</w:t>
            </w:r>
          </w:p>
          <w:p>
            <w:pPr>
              <w:pStyle w:val="null3"/>
              <w:ind w:firstLine="484"/>
              <w:jc w:val="left"/>
            </w:pPr>
            <w:r>
              <w:rPr>
                <w:rFonts w:ascii="仿宋_GB2312" w:hAnsi="仿宋_GB2312" w:cs="仿宋_GB2312" w:eastAsia="仿宋_GB2312"/>
                <w:sz w:val="24"/>
              </w:rPr>
              <w:t>1.2</w:t>
            </w:r>
            <w:r>
              <w:rPr>
                <w:rFonts w:ascii="仿宋_GB2312" w:hAnsi="仿宋_GB2312" w:cs="仿宋_GB2312" w:eastAsia="仿宋_GB2312"/>
                <w:sz w:val="24"/>
              </w:rPr>
              <w:t>完成小试工艺研究：包括</w:t>
            </w:r>
            <w:r>
              <w:rPr>
                <w:rFonts w:ascii="仿宋_GB2312" w:hAnsi="仿宋_GB2312" w:cs="仿宋_GB2312" w:eastAsia="仿宋_GB2312"/>
                <w:sz w:val="24"/>
              </w:rPr>
              <w:t>符合药用要求的</w:t>
            </w:r>
            <w:r>
              <w:rPr>
                <w:rFonts w:ascii="仿宋_GB2312" w:hAnsi="仿宋_GB2312" w:cs="仿宋_GB2312" w:eastAsia="仿宋_GB2312"/>
                <w:sz w:val="24"/>
              </w:rPr>
              <w:t>原辅料包材、工艺流程图、灭菌方式、其他相关工艺等。</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每品种完成不少于3批中试工艺研究：包括</w:t>
            </w:r>
            <w:r>
              <w:rPr>
                <w:rFonts w:ascii="仿宋_GB2312" w:hAnsi="仿宋_GB2312" w:cs="仿宋_GB2312" w:eastAsia="仿宋_GB2312"/>
                <w:sz w:val="24"/>
              </w:rPr>
              <w:t>符合药用要求的</w:t>
            </w:r>
            <w:r>
              <w:rPr>
                <w:rFonts w:ascii="仿宋_GB2312" w:hAnsi="仿宋_GB2312" w:cs="仿宋_GB2312" w:eastAsia="仿宋_GB2312"/>
                <w:sz w:val="24"/>
              </w:rPr>
              <w:t>原辅料包材、工艺流程图、灭菌方式、其他相关工艺等，且保证制剂工艺在采购人指定制剂生产地址完成每品种各3批试生产放大试验及工艺交接。</w:t>
            </w:r>
          </w:p>
          <w:p>
            <w:pPr>
              <w:pStyle w:val="null3"/>
              <w:ind w:firstLine="484"/>
              <w:jc w:val="left"/>
            </w:pPr>
            <w:r>
              <w:rPr>
                <w:rFonts w:ascii="仿宋_GB2312" w:hAnsi="仿宋_GB2312" w:cs="仿宋_GB2312" w:eastAsia="仿宋_GB2312"/>
                <w:sz w:val="24"/>
              </w:rPr>
              <w:t>1.4</w:t>
            </w:r>
            <w:r>
              <w:rPr>
                <w:rFonts w:ascii="仿宋_GB2312" w:hAnsi="仿宋_GB2312" w:cs="仿宋_GB2312" w:eastAsia="仿宋_GB2312"/>
                <w:sz w:val="24"/>
              </w:rPr>
              <w:t>制剂的质量标准研究：包括原辅料的相关检验、内控标准（含性状、鉴别、检查、含量测定等）、微生物限度方法学验证等。</w:t>
            </w:r>
          </w:p>
          <w:p>
            <w:pPr>
              <w:pStyle w:val="null3"/>
              <w:ind w:firstLine="484"/>
              <w:jc w:val="left"/>
            </w:pPr>
            <w:r>
              <w:rPr>
                <w:rFonts w:ascii="仿宋_GB2312" w:hAnsi="仿宋_GB2312" w:cs="仿宋_GB2312" w:eastAsia="仿宋_GB2312"/>
                <w:sz w:val="24"/>
              </w:rPr>
              <w:t>1.5</w:t>
            </w:r>
            <w:r>
              <w:rPr>
                <w:rFonts w:ascii="仿宋_GB2312" w:hAnsi="仿宋_GB2312" w:cs="仿宋_GB2312" w:eastAsia="仿宋_GB2312"/>
                <w:sz w:val="24"/>
              </w:rPr>
              <w:t>制剂的稳定性研究：包括加速与长期稳定性试验，基于稳定性考察结果确定药品效期并制定贮藏条件，药品效期不低于12个月。</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备案申报服务</w:t>
            </w:r>
          </w:p>
          <w:p>
            <w:pPr>
              <w:pStyle w:val="null3"/>
              <w:ind w:firstLine="484"/>
              <w:jc w:val="left"/>
            </w:pPr>
            <w:r>
              <w:rPr>
                <w:rFonts w:ascii="仿宋_GB2312" w:hAnsi="仿宋_GB2312" w:cs="仿宋_GB2312" w:eastAsia="仿宋_GB2312"/>
                <w:sz w:val="24"/>
              </w:rPr>
              <w:t>2.1</w:t>
            </w:r>
            <w:r>
              <w:rPr>
                <w:rFonts w:ascii="仿宋_GB2312" w:hAnsi="仿宋_GB2312" w:cs="仿宋_GB2312" w:eastAsia="仿宋_GB2312"/>
                <w:sz w:val="24"/>
              </w:rPr>
              <w:t>资料整理与收集</w:t>
            </w:r>
          </w:p>
          <w:p>
            <w:pPr>
              <w:pStyle w:val="null3"/>
              <w:ind w:firstLine="484"/>
              <w:jc w:val="left"/>
            </w:pPr>
            <w:r>
              <w:rPr>
                <w:rFonts w:ascii="仿宋_GB2312" w:hAnsi="仿宋_GB2312" w:cs="仿宋_GB2312" w:eastAsia="仿宋_GB2312"/>
                <w:sz w:val="24"/>
              </w:rPr>
              <w:t>供应商按照《四川省医疗机构应用传统工艺配制中药制剂备案管理实施细则》要求，完成《传统工艺配制中药制剂备案申请表》、制剂名称及命名依据、立题目的和依据、证明性文件、说明书及标签设计样稿、处方组成、来源、理论依据及使用背景情况、详细的配制工艺及工艺研究资料、质量研究的试验资料及文献资料、内控制剂标准及起草说明、制剂的稳定性试验资料、连续3批样品的自检报告书、连续3批样品的药检所报告书、原辅料的来源及质量标准、直接接触制剂的包装材料和容器的选择依据及质量标准、主要药效学试验资料及文献资料等。整理所有申报资料，直至备案成功。</w:t>
            </w:r>
          </w:p>
          <w:p>
            <w:pPr>
              <w:pStyle w:val="null3"/>
              <w:ind w:firstLine="484"/>
              <w:jc w:val="left"/>
            </w:pPr>
            <w:r>
              <w:rPr>
                <w:rFonts w:ascii="仿宋_GB2312" w:hAnsi="仿宋_GB2312" w:cs="仿宋_GB2312" w:eastAsia="仿宋_GB2312"/>
                <w:sz w:val="24"/>
              </w:rPr>
              <w:t>2.2</w:t>
            </w:r>
            <w:r>
              <w:rPr>
                <w:rFonts w:ascii="仿宋_GB2312" w:hAnsi="仿宋_GB2312" w:cs="仿宋_GB2312" w:eastAsia="仿宋_GB2312"/>
                <w:sz w:val="24"/>
              </w:rPr>
              <w:t xml:space="preserve">中试服务 </w:t>
            </w:r>
          </w:p>
          <w:p>
            <w:pPr>
              <w:pStyle w:val="null3"/>
              <w:ind w:firstLine="484"/>
              <w:jc w:val="left"/>
            </w:pPr>
            <w:r>
              <w:rPr>
                <w:rFonts w:ascii="仿宋_GB2312" w:hAnsi="仿宋_GB2312" w:cs="仿宋_GB2312" w:eastAsia="仿宋_GB2312"/>
                <w:sz w:val="24"/>
              </w:rPr>
              <w:t>完成每品种各3批中试放大生产试验，原辅料与包材由供应商提供，在符合制剂生产要求的配制地点进行，完成检验工作并出具自检报告和药检所送检报告。</w:t>
            </w:r>
          </w:p>
          <w:p>
            <w:pPr>
              <w:pStyle w:val="null3"/>
              <w:ind w:firstLine="484"/>
              <w:jc w:val="left"/>
            </w:pPr>
            <w:r>
              <w:rPr>
                <w:rFonts w:ascii="仿宋_GB2312" w:hAnsi="仿宋_GB2312" w:cs="仿宋_GB2312" w:eastAsia="仿宋_GB2312"/>
                <w:sz w:val="24"/>
              </w:rPr>
              <w:t>2.3</w:t>
            </w:r>
            <w:r>
              <w:rPr>
                <w:rFonts w:ascii="仿宋_GB2312" w:hAnsi="仿宋_GB2312" w:cs="仿宋_GB2312" w:eastAsia="仿宋_GB2312"/>
                <w:sz w:val="24"/>
              </w:rPr>
              <w:t xml:space="preserve">其他服务 </w:t>
            </w:r>
          </w:p>
          <w:p>
            <w:pPr>
              <w:pStyle w:val="null3"/>
              <w:ind w:firstLine="484"/>
              <w:jc w:val="left"/>
            </w:pPr>
            <w:r>
              <w:rPr>
                <w:rFonts w:ascii="仿宋_GB2312" w:hAnsi="仿宋_GB2312" w:cs="仿宋_GB2312" w:eastAsia="仿宋_GB2312"/>
                <w:sz w:val="24"/>
              </w:rPr>
              <w:t>设计内、外包装，符合备案要求。</w:t>
            </w:r>
          </w:p>
          <w:p>
            <w:pPr>
              <w:pStyle w:val="null3"/>
              <w:ind w:firstLine="484"/>
              <w:jc w:val="left"/>
            </w:pPr>
            <w:r>
              <w:rPr>
                <w:rFonts w:ascii="仿宋_GB2312" w:hAnsi="仿宋_GB2312" w:cs="仿宋_GB2312" w:eastAsia="仿宋_GB2312"/>
                <w:sz w:val="24"/>
              </w:rPr>
              <w:t>协助完成3批次标准化生产和检验。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4"/>
              <w:jc w:val="left"/>
            </w:pPr>
            <w:r>
              <w:rPr>
                <w:rFonts w:ascii="仿宋_GB2312" w:hAnsi="仿宋_GB2312" w:cs="仿宋_GB2312" w:eastAsia="仿宋_GB2312"/>
                <w:sz w:val="24"/>
              </w:rPr>
              <w:t xml:space="preserve">1. </w:t>
            </w:r>
            <w:r>
              <w:rPr>
                <w:rFonts w:ascii="仿宋_GB2312" w:hAnsi="仿宋_GB2312" w:cs="仿宋_GB2312" w:eastAsia="仿宋_GB2312"/>
                <w:sz w:val="24"/>
              </w:rPr>
              <w:t>★</w:t>
            </w:r>
            <w:r>
              <w:rPr>
                <w:rFonts w:ascii="仿宋_GB2312" w:hAnsi="仿宋_GB2312" w:cs="仿宋_GB2312" w:eastAsia="仿宋_GB2312"/>
                <w:sz w:val="24"/>
              </w:rPr>
              <w:t>研究内容：对江油市中医医院3个制剂处方完成五年使用资料审核，审核符合要求后开展工艺研究、质量标准研究、稳定性考察工作，完成中试研究，并形成备案所需全套资料，协助申报备案并通过四川省药品监督管理局备案信息平台核查取得备案号，并保证在后期检查中不会因研发原因导致备案号被取消。</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技术目标：按照四川省药品监督管理局的有关规定及要求，对采购人提供的处方，完成处方审核、工艺研究、质量标准研究、稳定性试验（加速稳定性试验及长期稳定性实验）、完成中试研究并形成备案所需全套资料，协助申报备案并通过四川省药品监督管理局备案信息平台核查取得备案号。</w:t>
            </w:r>
          </w:p>
          <w:p>
            <w:pPr>
              <w:pStyle w:val="null3"/>
              <w:ind w:firstLine="484"/>
              <w:jc w:val="left"/>
            </w:pPr>
            <w:r>
              <w:rPr>
                <w:rFonts w:ascii="仿宋_GB2312" w:hAnsi="仿宋_GB2312" w:cs="仿宋_GB2312" w:eastAsia="仿宋_GB2312"/>
                <w:sz w:val="24"/>
              </w:rPr>
              <w:t>3.</w:t>
            </w:r>
            <w:r>
              <w:rPr>
                <w:rFonts w:ascii="仿宋_GB2312" w:hAnsi="仿宋_GB2312" w:cs="仿宋_GB2312" w:eastAsia="仿宋_GB2312"/>
                <w:sz w:val="24"/>
              </w:rPr>
              <w:t>★研究标准：应符合包括《中国药典》现行版、《四川省医疗机构应用传统工艺配制中药制剂备案管理实施细则》、《国家食品药品监督管理总局关于对医疗机构应用传统工艺配制中药制剂实施备案管理的公告》及相关技术研究标准。根据药物性质、处方剂量、给药途径、用药对象等，通过文献研究或预试验研究，选择适合临床应用的制剂剂型且需经过采购人同意。</w:t>
            </w:r>
          </w:p>
          <w:p>
            <w:pPr>
              <w:pStyle w:val="null3"/>
              <w:ind w:firstLine="484"/>
              <w:jc w:val="left"/>
            </w:pPr>
            <w:r>
              <w:rPr>
                <w:rFonts w:ascii="仿宋_GB2312" w:hAnsi="仿宋_GB2312" w:cs="仿宋_GB2312" w:eastAsia="仿宋_GB2312"/>
                <w:sz w:val="24"/>
              </w:rPr>
              <w:t>4.</w:t>
            </w:r>
            <w:r>
              <w:rPr>
                <w:rFonts w:ascii="仿宋_GB2312" w:hAnsi="仿宋_GB2312" w:cs="仿宋_GB2312" w:eastAsia="仿宋_GB2312"/>
                <w:sz w:val="24"/>
              </w:rPr>
              <w:t>★目标任务：</w:t>
            </w:r>
          </w:p>
          <w:p>
            <w:pPr>
              <w:pStyle w:val="null3"/>
              <w:ind w:firstLine="484"/>
              <w:jc w:val="left"/>
            </w:pPr>
            <w:r>
              <w:rPr>
                <w:rFonts w:ascii="仿宋_GB2312" w:hAnsi="仿宋_GB2312" w:cs="仿宋_GB2312" w:eastAsia="仿宋_GB2312"/>
                <w:sz w:val="24"/>
              </w:rPr>
              <w:t>4.1</w:t>
            </w:r>
            <w:r>
              <w:rPr>
                <w:rFonts w:ascii="仿宋_GB2312" w:hAnsi="仿宋_GB2312" w:cs="仿宋_GB2312" w:eastAsia="仿宋_GB2312"/>
                <w:sz w:val="24"/>
              </w:rPr>
              <w:t>完成相关研究内容的基础上，形成相应的研究资料并交付与采购人。</w:t>
            </w:r>
          </w:p>
          <w:p>
            <w:pPr>
              <w:pStyle w:val="null3"/>
              <w:ind w:firstLine="484"/>
              <w:jc w:val="left"/>
            </w:pPr>
            <w:r>
              <w:rPr>
                <w:rFonts w:ascii="仿宋_GB2312" w:hAnsi="仿宋_GB2312" w:cs="仿宋_GB2312" w:eastAsia="仿宋_GB2312"/>
                <w:sz w:val="24"/>
              </w:rPr>
              <w:t>4.2</w:t>
            </w:r>
            <w:r>
              <w:rPr>
                <w:rFonts w:ascii="仿宋_GB2312" w:hAnsi="仿宋_GB2312" w:cs="仿宋_GB2312" w:eastAsia="仿宋_GB2312"/>
                <w:sz w:val="24"/>
              </w:rPr>
              <w:t>完成该项目研究对应的医疗机构中药制剂备案申报资料，包括但不限于以下资料项目：</w:t>
            </w:r>
          </w:p>
          <w:p>
            <w:pPr>
              <w:pStyle w:val="null3"/>
              <w:ind w:firstLine="560"/>
              <w:jc w:val="left"/>
            </w:pPr>
            <w:r>
              <w:rPr>
                <w:rFonts w:ascii="仿宋_GB2312" w:hAnsi="仿宋_GB2312" w:cs="仿宋_GB2312" w:eastAsia="仿宋_GB2312"/>
                <w:sz w:val="24"/>
              </w:rPr>
              <w:t>①配制工艺的研究资料及文献资料；</w:t>
            </w:r>
          </w:p>
          <w:p>
            <w:pPr>
              <w:pStyle w:val="null3"/>
              <w:ind w:firstLine="560"/>
              <w:jc w:val="left"/>
            </w:pPr>
            <w:r>
              <w:rPr>
                <w:rFonts w:ascii="仿宋_GB2312" w:hAnsi="仿宋_GB2312" w:cs="仿宋_GB2312" w:eastAsia="仿宋_GB2312"/>
                <w:sz w:val="24"/>
              </w:rPr>
              <w:t>②质量研究的试验资料及文献资料；</w:t>
            </w:r>
          </w:p>
          <w:p>
            <w:pPr>
              <w:pStyle w:val="null3"/>
              <w:ind w:firstLine="560"/>
              <w:jc w:val="left"/>
            </w:pPr>
            <w:r>
              <w:rPr>
                <w:rFonts w:ascii="仿宋_GB2312" w:hAnsi="仿宋_GB2312" w:cs="仿宋_GB2312" w:eastAsia="仿宋_GB2312"/>
                <w:sz w:val="24"/>
              </w:rPr>
              <w:t>③制剂的质量标准草案及起草说明；</w:t>
            </w:r>
          </w:p>
          <w:p>
            <w:pPr>
              <w:pStyle w:val="null3"/>
              <w:ind w:firstLine="560"/>
              <w:jc w:val="left"/>
            </w:pPr>
            <w:r>
              <w:rPr>
                <w:rFonts w:ascii="仿宋_GB2312" w:hAnsi="仿宋_GB2312" w:cs="仿宋_GB2312" w:eastAsia="仿宋_GB2312"/>
                <w:sz w:val="24"/>
              </w:rPr>
              <w:t>④制剂的稳定性试验资料；</w:t>
            </w:r>
          </w:p>
          <w:p>
            <w:pPr>
              <w:pStyle w:val="null3"/>
              <w:ind w:firstLine="560"/>
              <w:jc w:val="left"/>
            </w:pPr>
            <w:r>
              <w:rPr>
                <w:rFonts w:ascii="仿宋_GB2312" w:hAnsi="仿宋_GB2312" w:cs="仿宋_GB2312" w:eastAsia="仿宋_GB2312"/>
                <w:sz w:val="24"/>
              </w:rPr>
              <w:t>⑤样品的自检报告书；</w:t>
            </w:r>
          </w:p>
          <w:p>
            <w:pPr>
              <w:pStyle w:val="null3"/>
              <w:ind w:firstLine="560"/>
              <w:jc w:val="left"/>
            </w:pPr>
            <w:r>
              <w:rPr>
                <w:rFonts w:ascii="仿宋_GB2312" w:hAnsi="仿宋_GB2312" w:cs="仿宋_GB2312" w:eastAsia="仿宋_GB2312"/>
                <w:sz w:val="24"/>
              </w:rPr>
              <w:t>⑥制剂的工艺规程及工艺路线图；</w:t>
            </w:r>
          </w:p>
          <w:p>
            <w:pPr>
              <w:pStyle w:val="null3"/>
              <w:ind w:firstLine="560"/>
              <w:jc w:val="left"/>
            </w:pPr>
            <w:r>
              <w:rPr>
                <w:rFonts w:ascii="仿宋_GB2312" w:hAnsi="仿宋_GB2312" w:cs="仿宋_GB2312" w:eastAsia="仿宋_GB2312"/>
                <w:sz w:val="24"/>
              </w:rPr>
              <w:t>⑦说明书样稿及起草说明；</w:t>
            </w:r>
          </w:p>
          <w:p>
            <w:pPr>
              <w:pStyle w:val="null3"/>
              <w:ind w:firstLine="560"/>
              <w:jc w:val="left"/>
            </w:pPr>
            <w:r>
              <w:rPr>
                <w:rFonts w:ascii="仿宋_GB2312" w:hAnsi="仿宋_GB2312" w:cs="仿宋_GB2312" w:eastAsia="仿宋_GB2312"/>
                <w:sz w:val="24"/>
              </w:rPr>
              <w:t>⑧原、辅料的来源及质量标准；</w:t>
            </w:r>
          </w:p>
          <w:p>
            <w:pPr>
              <w:pStyle w:val="null3"/>
              <w:ind w:firstLine="560"/>
              <w:jc w:val="left"/>
            </w:pPr>
            <w:r>
              <w:rPr>
                <w:rFonts w:ascii="仿宋_GB2312" w:hAnsi="仿宋_GB2312" w:cs="仿宋_GB2312" w:eastAsia="仿宋_GB2312"/>
                <w:sz w:val="24"/>
              </w:rPr>
              <w:t>⑨其他备案申报所需资料。</w:t>
            </w:r>
          </w:p>
          <w:p>
            <w:pPr>
              <w:pStyle w:val="null3"/>
              <w:ind w:firstLine="484"/>
              <w:jc w:val="left"/>
            </w:pPr>
            <w:r>
              <w:rPr>
                <w:rFonts w:ascii="仿宋_GB2312" w:hAnsi="仿宋_GB2312" w:cs="仿宋_GB2312" w:eastAsia="仿宋_GB2312"/>
                <w:sz w:val="24"/>
              </w:rPr>
              <w:t>4.3</w:t>
            </w:r>
            <w:r>
              <w:rPr>
                <w:rFonts w:ascii="仿宋_GB2312" w:hAnsi="仿宋_GB2312" w:cs="仿宋_GB2312" w:eastAsia="仿宋_GB2312"/>
                <w:sz w:val="24"/>
              </w:rPr>
              <w:t>协助采购人完成以下资料：</w:t>
            </w:r>
          </w:p>
          <w:p>
            <w:pPr>
              <w:pStyle w:val="null3"/>
              <w:ind w:firstLine="560"/>
              <w:jc w:val="left"/>
            </w:pPr>
            <w:r>
              <w:rPr>
                <w:rFonts w:ascii="仿宋_GB2312" w:hAnsi="仿宋_GB2312" w:cs="仿宋_GB2312" w:eastAsia="仿宋_GB2312"/>
                <w:sz w:val="24"/>
              </w:rPr>
              <w:t>①直接接触制剂的包装材料和容器的选择依据及质量标准；</w:t>
            </w:r>
          </w:p>
          <w:p>
            <w:pPr>
              <w:pStyle w:val="null3"/>
              <w:ind w:firstLine="560"/>
              <w:jc w:val="left"/>
            </w:pPr>
            <w:r>
              <w:rPr>
                <w:rFonts w:ascii="仿宋_GB2312" w:hAnsi="仿宋_GB2312" w:cs="仿宋_GB2312" w:eastAsia="仿宋_GB2312"/>
                <w:sz w:val="24"/>
              </w:rPr>
              <w:t>②制剂名称及命名依据；</w:t>
            </w:r>
          </w:p>
          <w:p>
            <w:pPr>
              <w:pStyle w:val="null3"/>
              <w:ind w:firstLine="560"/>
              <w:jc w:val="left"/>
            </w:pPr>
            <w:r>
              <w:rPr>
                <w:rFonts w:ascii="仿宋_GB2312" w:hAnsi="仿宋_GB2312" w:cs="仿宋_GB2312" w:eastAsia="仿宋_GB2312"/>
                <w:sz w:val="24"/>
              </w:rPr>
              <w:t>③立题目的以及该品种的市场供应情况；</w:t>
            </w:r>
          </w:p>
          <w:p>
            <w:pPr>
              <w:pStyle w:val="null3"/>
              <w:ind w:firstLine="560"/>
              <w:jc w:val="left"/>
            </w:pPr>
            <w:r>
              <w:rPr>
                <w:rFonts w:ascii="仿宋_GB2312" w:hAnsi="仿宋_GB2312" w:cs="仿宋_GB2312" w:eastAsia="仿宋_GB2312"/>
                <w:sz w:val="24"/>
              </w:rPr>
              <w:t>④备案人制剂研发备案所需证明性文件；</w:t>
            </w:r>
          </w:p>
          <w:p>
            <w:pPr>
              <w:pStyle w:val="null3"/>
              <w:ind w:firstLine="560"/>
              <w:jc w:val="left"/>
            </w:pPr>
            <w:r>
              <w:rPr>
                <w:rFonts w:ascii="仿宋_GB2312" w:hAnsi="仿宋_GB2312" w:cs="仿宋_GB2312" w:eastAsia="仿宋_GB2312"/>
                <w:sz w:val="24"/>
              </w:rPr>
              <w:t>⑤处方组成、来源、功能主治、理论依据以及使用背景情况；</w:t>
            </w:r>
          </w:p>
          <w:p>
            <w:pPr>
              <w:pStyle w:val="null3"/>
              <w:ind w:firstLine="560"/>
              <w:jc w:val="left"/>
            </w:pPr>
            <w:r>
              <w:rPr>
                <w:rFonts w:ascii="仿宋_GB2312" w:hAnsi="仿宋_GB2312" w:cs="仿宋_GB2312" w:eastAsia="仿宋_GB2312"/>
                <w:sz w:val="24"/>
              </w:rPr>
              <w:t>⑥协助起草、选择及校正申报产品的临床使用背景资料。</w:t>
            </w:r>
          </w:p>
          <w:p>
            <w:pPr>
              <w:pStyle w:val="null3"/>
              <w:ind w:firstLine="560"/>
              <w:jc w:val="left"/>
            </w:pPr>
            <w:r>
              <w:rPr>
                <w:rFonts w:ascii="仿宋_GB2312" w:hAnsi="仿宋_GB2312" w:cs="仿宋_GB2312" w:eastAsia="仿宋_GB2312"/>
                <w:sz w:val="24"/>
              </w:rPr>
              <w:t>⑦备案成功后，协助完成各制剂的成本核算、医保备案及后期相关手续办理，如年审等。</w:t>
            </w:r>
          </w:p>
          <w:p>
            <w:pPr>
              <w:pStyle w:val="null3"/>
              <w:ind w:firstLine="560"/>
              <w:jc w:val="left"/>
            </w:pPr>
            <w:r>
              <w:rPr>
                <w:rFonts w:ascii="仿宋_GB2312" w:hAnsi="仿宋_GB2312" w:cs="仿宋_GB2312" w:eastAsia="仿宋_GB2312"/>
                <w:sz w:val="24"/>
              </w:rPr>
              <w:t>⑧与本项目有关的采购人要求的其他资料。</w:t>
            </w:r>
          </w:p>
          <w:p>
            <w:pPr>
              <w:pStyle w:val="null3"/>
              <w:ind w:firstLine="484"/>
              <w:jc w:val="left"/>
            </w:pPr>
            <w:r>
              <w:rPr>
                <w:rFonts w:ascii="仿宋_GB2312" w:hAnsi="仿宋_GB2312" w:cs="仿宋_GB2312" w:eastAsia="仿宋_GB2312"/>
                <w:sz w:val="24"/>
              </w:rPr>
              <w:t>4.4</w:t>
            </w:r>
            <w:r>
              <w:rPr>
                <w:rFonts w:ascii="仿宋_GB2312" w:hAnsi="仿宋_GB2312" w:cs="仿宋_GB2312" w:eastAsia="仿宋_GB2312"/>
                <w:sz w:val="24"/>
              </w:rPr>
              <w:t>提供给采购人以下研究用物料：备案或注册检验所需全部样品、核查检验部门需提供的标准品、试剂、耗材及其采购票据等。</w:t>
            </w:r>
          </w:p>
          <w:p>
            <w:pPr>
              <w:pStyle w:val="null3"/>
              <w:ind w:firstLine="484"/>
              <w:jc w:val="left"/>
            </w:pPr>
            <w:r>
              <w:rPr>
                <w:rFonts w:ascii="仿宋_GB2312" w:hAnsi="仿宋_GB2312" w:cs="仿宋_GB2312" w:eastAsia="仿宋_GB2312"/>
                <w:sz w:val="24"/>
              </w:rPr>
              <w:t xml:space="preserve">5. </w:t>
            </w:r>
            <w:r>
              <w:rPr>
                <w:rFonts w:ascii="仿宋_GB2312" w:hAnsi="仿宋_GB2312" w:cs="仿宋_GB2312" w:eastAsia="仿宋_GB2312"/>
                <w:sz w:val="24"/>
              </w:rPr>
              <w:t>★服务内容其他要求：3 个制剂处方均须在合同签订之日起15个月内完成申报并取得备案号。其中供应商须在3个月内进入中试试验，5个月内进入稳定性试验，12个月内须完成至少周期为6个月的加速试验。</w:t>
            </w:r>
          </w:p>
          <w:p>
            <w:pPr>
              <w:pStyle w:val="null3"/>
              <w:ind w:firstLine="484"/>
              <w:jc w:val="left"/>
            </w:pPr>
            <w:r>
              <w:rPr>
                <w:rFonts w:ascii="仿宋_GB2312" w:hAnsi="仿宋_GB2312" w:cs="仿宋_GB2312" w:eastAsia="仿宋_GB2312"/>
                <w:sz w:val="24"/>
              </w:rPr>
              <w:t>5.1</w:t>
            </w:r>
            <w:r>
              <w:rPr>
                <w:rFonts w:ascii="仿宋_GB2312" w:hAnsi="仿宋_GB2312" w:cs="仿宋_GB2312" w:eastAsia="仿宋_GB2312"/>
                <w:sz w:val="24"/>
              </w:rPr>
              <w:t>按照医院制剂技术规范制剂技术要求协助采购人完成申报工作。</w:t>
            </w:r>
          </w:p>
          <w:p>
            <w:pPr>
              <w:pStyle w:val="null3"/>
              <w:ind w:firstLine="484"/>
              <w:jc w:val="left"/>
            </w:pPr>
            <w:r>
              <w:rPr>
                <w:rFonts w:ascii="仿宋_GB2312" w:hAnsi="仿宋_GB2312" w:cs="仿宋_GB2312" w:eastAsia="仿宋_GB2312"/>
                <w:sz w:val="24"/>
              </w:rPr>
              <w:t>5.2</w:t>
            </w:r>
            <w:r>
              <w:rPr>
                <w:rFonts w:ascii="仿宋_GB2312" w:hAnsi="仿宋_GB2312" w:cs="仿宋_GB2312" w:eastAsia="仿宋_GB2312"/>
                <w:sz w:val="24"/>
              </w:rPr>
              <w:t>研究开发及申报成果交付地点：江油市中医医院 。</w:t>
            </w:r>
          </w:p>
          <w:p>
            <w:pPr>
              <w:pStyle w:val="null3"/>
              <w:ind w:firstLine="484"/>
              <w:jc w:val="left"/>
            </w:pPr>
            <w:r>
              <w:rPr>
                <w:rFonts w:ascii="仿宋_GB2312" w:hAnsi="仿宋_GB2312" w:cs="仿宋_GB2312" w:eastAsia="仿宋_GB2312"/>
                <w:sz w:val="24"/>
              </w:rPr>
              <w:t>5.3</w:t>
            </w:r>
            <w:r>
              <w:rPr>
                <w:rFonts w:ascii="仿宋_GB2312" w:hAnsi="仿宋_GB2312" w:cs="仿宋_GB2312" w:eastAsia="仿宋_GB2312"/>
                <w:sz w:val="24"/>
              </w:rPr>
              <w:t>知识产权：本项目制剂申报后的成果产生的知识产权全部归采购人所有。</w:t>
            </w:r>
          </w:p>
          <w:p>
            <w:pPr>
              <w:pStyle w:val="null3"/>
              <w:ind w:firstLine="484"/>
              <w:jc w:val="left"/>
            </w:pPr>
            <w:r>
              <w:rPr>
                <w:rFonts w:ascii="仿宋_GB2312" w:hAnsi="仿宋_GB2312" w:cs="仿宋_GB2312" w:eastAsia="仿宋_GB2312"/>
                <w:sz w:val="24"/>
              </w:rPr>
              <w:t>5.4</w:t>
            </w:r>
            <w:r>
              <w:rPr>
                <w:rFonts w:ascii="仿宋_GB2312" w:hAnsi="仿宋_GB2312" w:cs="仿宋_GB2312" w:eastAsia="仿宋_GB2312"/>
                <w:sz w:val="24"/>
              </w:rPr>
              <w:t>所有申报资料交由采购人保存。</w:t>
            </w:r>
          </w:p>
          <w:p>
            <w:pPr>
              <w:pStyle w:val="null3"/>
              <w:ind w:firstLine="484"/>
              <w:jc w:val="left"/>
            </w:pPr>
            <w:r>
              <w:rPr>
                <w:rFonts w:ascii="仿宋_GB2312" w:hAnsi="仿宋_GB2312" w:cs="仿宋_GB2312" w:eastAsia="仿宋_GB2312"/>
                <w:sz w:val="24"/>
              </w:rPr>
              <w:t>5.5</w:t>
            </w:r>
            <w:r>
              <w:rPr>
                <w:rFonts w:ascii="仿宋_GB2312" w:hAnsi="仿宋_GB2312" w:cs="仿宋_GB2312" w:eastAsia="仿宋_GB2312"/>
                <w:sz w:val="24"/>
              </w:rPr>
              <w:t>人才培养：协助采购人培养院内制剂研究人员骨干 1-2 名，吸纳其参与院内制剂研究和备案的全过程。</w:t>
            </w:r>
          </w:p>
          <w:p>
            <w:pPr>
              <w:pStyle w:val="null3"/>
              <w:ind w:firstLine="484"/>
              <w:jc w:val="left"/>
            </w:pPr>
            <w:r>
              <w:rPr>
                <w:rFonts w:ascii="仿宋_GB2312" w:hAnsi="仿宋_GB2312" w:cs="仿宋_GB2312" w:eastAsia="仿宋_GB2312"/>
                <w:sz w:val="24"/>
              </w:rPr>
              <w:t>5.6</w:t>
            </w:r>
            <w:r>
              <w:rPr>
                <w:rFonts w:ascii="仿宋_GB2312" w:hAnsi="仿宋_GB2312" w:cs="仿宋_GB2312" w:eastAsia="仿宋_GB2312"/>
                <w:sz w:val="24"/>
              </w:rPr>
              <w:t>现场核查要求：若相关部门提出现场核查要求，应协助采购人完成现场核查。</w:t>
            </w:r>
          </w:p>
          <w:p>
            <w:pPr>
              <w:pStyle w:val="null3"/>
              <w:ind w:firstLine="484"/>
              <w:jc w:val="left"/>
            </w:pPr>
            <w:r>
              <w:rPr>
                <w:rFonts w:ascii="仿宋_GB2312" w:hAnsi="仿宋_GB2312" w:cs="仿宋_GB2312" w:eastAsia="仿宋_GB2312"/>
                <w:sz w:val="24"/>
              </w:rPr>
              <w:t>5.7</w:t>
            </w:r>
            <w:r>
              <w:rPr>
                <w:rFonts w:ascii="仿宋_GB2312" w:hAnsi="仿宋_GB2312" w:cs="仿宋_GB2312" w:eastAsia="仿宋_GB2312"/>
                <w:sz w:val="24"/>
              </w:rPr>
              <w:t>保密要求：供应商需对采购人提供的所有信息保密，包括但不仅限于制剂处方（包括处方组成、药物剂量等）和现有的制备工艺（含中药饮片、辅料、剂型）详细资料等。 不得将委托研发内容的申报资料、研究内容、研究成果及其相关知识产权泄露给第三方。</w:t>
            </w:r>
            <w:r>
              <w:rPr>
                <w:rFonts w:ascii="仿宋_GB2312" w:hAnsi="仿宋_GB2312" w:cs="仿宋_GB2312" w:eastAsia="仿宋_GB2312"/>
                <w:sz w:val="24"/>
                <w:b/>
              </w:rPr>
              <w:t>（供应商须针对此项要求，单独提供承诺函并加盖供应商电子印章，格式自拟）</w:t>
            </w:r>
          </w:p>
          <w:p>
            <w:pPr>
              <w:pStyle w:val="null3"/>
              <w:ind w:firstLine="484"/>
              <w:jc w:val="left"/>
            </w:pPr>
            <w:r>
              <w:rPr>
                <w:rFonts w:ascii="仿宋_GB2312" w:hAnsi="仿宋_GB2312" w:cs="仿宋_GB2312" w:eastAsia="仿宋_GB2312"/>
                <w:sz w:val="24"/>
              </w:rPr>
              <w:t>5.8</w:t>
            </w:r>
            <w:r>
              <w:rPr>
                <w:rFonts w:ascii="仿宋_GB2312" w:hAnsi="仿宋_GB2312" w:cs="仿宋_GB2312" w:eastAsia="仿宋_GB2312"/>
                <w:sz w:val="24"/>
              </w:rPr>
              <w:t>其他要求：成交供应商投标报价包含3个制剂品种研发申报备案所涉及的一切费用，成交供应商不得以任何理由追加研发申报备案经费。</w:t>
            </w:r>
          </w:p>
          <w:p>
            <w:pPr>
              <w:pStyle w:val="null3"/>
              <w:ind w:firstLine="484"/>
              <w:jc w:val="left"/>
            </w:pPr>
            <w:r>
              <w:rPr>
                <w:rFonts w:ascii="仿宋_GB2312" w:hAnsi="仿宋_GB2312" w:cs="仿宋_GB2312" w:eastAsia="仿宋_GB2312"/>
                <w:sz w:val="24"/>
              </w:rPr>
              <w:t>6.</w:t>
            </w:r>
            <w:r>
              <w:rPr>
                <w:rFonts w:ascii="仿宋_GB2312" w:hAnsi="仿宋_GB2312" w:cs="仿宋_GB2312" w:eastAsia="仿宋_GB2312"/>
                <w:sz w:val="24"/>
              </w:rPr>
              <w:t>★成果要求：所有制剂取得四川省药品监督管理局应用传统工艺中药制剂备案号，并在四川省传统中药制剂备案平台上可查。</w:t>
            </w:r>
          </w:p>
          <w:p>
            <w:pPr>
              <w:pStyle w:val="null3"/>
              <w:ind w:firstLine="484"/>
              <w:jc w:val="left"/>
            </w:pPr>
            <w:r>
              <w:rPr>
                <w:rFonts w:ascii="仿宋_GB2312" w:hAnsi="仿宋_GB2312" w:cs="仿宋_GB2312" w:eastAsia="仿宋_GB2312"/>
                <w:sz w:val="24"/>
              </w:rPr>
              <w:t>7.</w:t>
            </w:r>
            <w:r>
              <w:rPr>
                <w:rFonts w:ascii="仿宋_GB2312" w:hAnsi="仿宋_GB2312" w:cs="仿宋_GB2312" w:eastAsia="仿宋_GB2312"/>
                <w:sz w:val="24"/>
              </w:rPr>
              <w:t>★售后服务要求：根据提供的备案资料，由采购人使用本采购项目研发结果进行生产和检验（供应商派技术人员协助），成交供应商需保证其提供的研究结果科学真实，包含且不限于制剂工艺能正常应用于生产，并符合质量标准。售后服务期为取得备案号之日起2年。</w:t>
            </w:r>
          </w:p>
          <w:p>
            <w:pPr>
              <w:pStyle w:val="null3"/>
              <w:ind w:firstLine="484"/>
              <w:jc w:val="left"/>
            </w:pPr>
            <w:r>
              <w:rPr>
                <w:rFonts w:ascii="仿宋_GB2312" w:hAnsi="仿宋_GB2312" w:cs="仿宋_GB2312" w:eastAsia="仿宋_GB2312"/>
                <w:sz w:val="24"/>
              </w:rPr>
              <w:t>8.</w:t>
            </w:r>
            <w:r>
              <w:rPr>
                <w:rFonts w:ascii="仿宋_GB2312" w:hAnsi="仿宋_GB2312" w:cs="仿宋_GB2312" w:eastAsia="仿宋_GB2312"/>
                <w:sz w:val="24"/>
              </w:rPr>
              <w:t>人员配置要求：供应商拟投入团队项目负责人及团队人员具备专业技能和相关工作经验。</w:t>
            </w:r>
          </w:p>
          <w:p>
            <w:pPr>
              <w:pStyle w:val="null3"/>
              <w:ind w:firstLine="484"/>
              <w:jc w:val="left"/>
            </w:pPr>
            <w:r>
              <w:rPr>
                <w:rFonts w:ascii="仿宋_GB2312" w:hAnsi="仿宋_GB2312" w:cs="仿宋_GB2312" w:eastAsia="仿宋_GB2312"/>
                <w:sz w:val="24"/>
              </w:rPr>
              <w:t>9.</w:t>
            </w:r>
            <w:r>
              <w:rPr>
                <w:rFonts w:ascii="仿宋_GB2312" w:hAnsi="仿宋_GB2312" w:cs="仿宋_GB2312" w:eastAsia="仿宋_GB2312"/>
                <w:sz w:val="24"/>
              </w:rPr>
              <w:t>供应商应具有承担工艺、质量标准和研究的实验设备设施。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 个制剂处方均须在合同签订之日起15个月内完成申报并取得备案号。其中供应商须在3个月内进入中试试验，5个月内进入稳定性试验，12个月内须完成至少周期为6个月的加速试验。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采购单位指定地点服务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采购人将依据采购文件、成交供应商响应文件和国家、行业相关标准、政府采购相关法律法规以及《财政部关于进一步加强政府采购需求和履约验收管理的指导意见》（国家－财库〔2016〕205号）的要求进行验收。 2.验收方法：成交供应商提出验收申请之日起10日内组织验收。履约验收工作由采购人负责，成交供应商必须在现场。验收合格，双方签署验收报告，验收结果不符合合同约定的，应当通知成交供应商限期达到合同约定的要求。给采购人造成损失的，成交供应商应当承担赔偿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1、采购合同签订生效后（付款前，成交供应商需向采购人提供等额增值税发票），达到付款条件起10日内，支付合同总金额的50.00%</w:t>
            </w:r>
          </w:p>
          <w:p>
            <w:pPr>
              <w:pStyle w:val="null3"/>
              <w:jc w:val="left"/>
            </w:pPr>
            <w:r>
              <w:rPr>
                <w:rFonts w:ascii="仿宋_GB2312" w:hAnsi="仿宋_GB2312" w:cs="仿宋_GB2312" w:eastAsia="仿宋_GB2312"/>
              </w:rPr>
              <w:t>2、完成制剂工艺及质量标准研究，完成制剂工艺研究、质量标准初期研究（草案），且完成中试放大生产研究后（付款前，成交供应商需向采购人提供等额增值税发票），达到付款条件起10日内，支付合同总金额的30.00%</w:t>
            </w:r>
          </w:p>
          <w:p>
            <w:pPr>
              <w:pStyle w:val="null3"/>
              <w:jc w:val="left"/>
            </w:pPr>
            <w:r>
              <w:rPr>
                <w:rFonts w:ascii="仿宋_GB2312" w:hAnsi="仿宋_GB2312" w:cs="仿宋_GB2312" w:eastAsia="仿宋_GB2312"/>
              </w:rPr>
              <w:t>3、制剂获得四川省医疗机构制剂备案号，且在“四川省药品监督管理局•中药制剂备 案公示平台公示”后（付款前，成交供应商需向采购人提供等额增值税发票），达到付款条件起10日内，支付合同总金额的20.00%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1.1违约责任 1.1.1采购人、成交供应商双方必须遵守本合同并执行合同中的各项规定，保证本合同的正常履行。 1.1.2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1.1.3成交供应商应在采购合同约定的时限内完成服务成果的交付，逾期履约的，采购人将扣除采购合同总额的万分之五/天作为违约金。若延迟超过3个月，采购人有权终止采购合同追回已支付采购合同款项，并要求成交供应商按采购合同总额的10%向采购人偿付违约金。 1.1.4如因成交供应商原因导致未取得备案号，则成交供应商应在30日内整改完成并再次提交审核，如整改后仍未取得备案号的，采购人有权终止采购合同追回已支付采购合同款项，并要求成交供应商按采购合同总额的10%向采购人偿付违约金。 1.1.5 如因成交供应商原因在现场检查中被取消备案号，则成交供应商须全额退回采购合同款项。 1.1.6若成交供应商违反知识产权约定，采购人有权要求供应商立即停止侵权、返还全部资料、销毁副本并赔偿因此给采购人造成的全部损失（包括但不限于直接损失、预期利润、维权费用及声誉损害）。若第三方对成果提出权利主张，供应商应在收到采购人 通知后 24 小时内书面回应并独立承担全部法律责任，如采购人因此对外承担责任，有权向供应商追偿。 1.1.7若成交供应商违法保密约定，采购人有权无条件解除采购合同要求成交供应商退回已收取全部费用，并要求成交供应商支付采购合同总额的20%作为违约金，如违约金不足以弥补采购人损失，还应按照采购人实际损失进行赔偿。 1.1.8若采购人无正当理由逾期未按照采购合同约定付款的，则按照未付款金额的1‰向成交供应商偿付违约金，但累计违约金总额不超过未付款总额的1%。 1.1.9任何一方违约，守约方为维护合法权益或消除影响而支出的一切费用（包括但不限于律师费、案件受理费、保全申请费、保全保函费、差旅费、鉴定费、公证费、公告费等） 均由违约方承担。 2.2解决争议的办法 2.2.1合同履行期间,若双方发生争议，可协商或由有关部门调解解决，协商或调解不成的，由一方当事人向采购人项目所在地人民法院提起诉讼。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磋商小组可以根据磋商文件和磋商情况实质性变动以下内容，第三章“技术、服务及其他要求”中“</w:t>
      </w:r>
      <w:r>
        <w:rPr>
          <w:rFonts w:ascii="仿宋_GB2312" w:hAnsi="仿宋_GB2312" w:cs="仿宋_GB2312" w:eastAsia="仿宋_GB2312"/>
          <w:sz w:val="21"/>
        </w:rPr>
        <w:t>3.2.</w:t>
      </w:r>
      <w:r>
        <w:rPr>
          <w:rFonts w:ascii="仿宋_GB2312" w:hAnsi="仿宋_GB2312" w:cs="仿宋_GB2312" w:eastAsia="仿宋_GB2312"/>
          <w:sz w:val="21"/>
        </w:rPr>
        <w:t>技术要求”，“</w:t>
      </w:r>
      <w:r>
        <w:rPr>
          <w:rFonts w:ascii="仿宋_GB2312" w:hAnsi="仿宋_GB2312" w:cs="仿宋_GB2312" w:eastAsia="仿宋_GB2312"/>
          <w:sz w:val="21"/>
        </w:rPr>
        <w:t>3.3.</w:t>
      </w:r>
      <w:r>
        <w:rPr>
          <w:rFonts w:ascii="仿宋_GB2312" w:hAnsi="仿宋_GB2312" w:cs="仿宋_GB2312" w:eastAsia="仿宋_GB2312"/>
          <w:sz w:val="21"/>
        </w:rPr>
        <w:t>服务要求”，但不得变动磋商文件中的其他内容。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磋商小组可以根据磋商文件和磋商情况实质性变动以下内容，第七章“拟签订采购合同文本”，但不得变动磋商文件中的其他内容。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同时需要提供具有独立承担民事责任能力的证明材料：供应商若为企业法人的，提供具有统一社会信用代码的营业执照；投标供应商若为事业法人的，提供具有统一社会信用代码的法人登记证书；供应商若为其他组织的，提供对应主管部门颁发的准许执业证明文件或营业执照；供应商若为自然人的，提供身份证明材料；供应商若为银行、保险、石油石化、电力、电信等有行业特殊情况的企业，提供分支机构具有统一社会信用代码的营业执照。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响应文件封面,法定代表人身份证明、法定代表人授权委托书.docx,供应商基本情况表.docx,供应商应提交的相关证明材料,投标（响应）函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采购预算（实质性要求）</w:t>
            </w:r>
          </w:p>
        </w:tc>
        <w:tc>
          <w:tcPr>
            <w:tcW w:type="dxa" w:w="3322"/>
          </w:tcPr>
          <w:p>
            <w:pPr>
              <w:pStyle w:val="null3"/>
              <w:jc w:val="left"/>
            </w:pPr>
            <w:r>
              <w:rPr>
                <w:rFonts w:ascii="仿宋_GB2312" w:hAnsi="仿宋_GB2312" w:cs="仿宋_GB2312" w:eastAsia="仿宋_GB2312"/>
              </w:rPr>
              <w:t>供应商的采购包响应报价高于采购包采购预算的，其响应文件将按无效处理。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最高限价（实质性要求）</w:t>
            </w:r>
          </w:p>
        </w:tc>
        <w:tc>
          <w:tcPr>
            <w:tcW w:type="dxa" w:w="3322"/>
          </w:tcPr>
          <w:p>
            <w:pPr>
              <w:pStyle w:val="null3"/>
              <w:jc w:val="left"/>
            </w:pPr>
            <w:r>
              <w:rPr>
                <w:rFonts w:ascii="仿宋_GB2312" w:hAnsi="仿宋_GB2312" w:cs="仿宋_GB2312" w:eastAsia="仿宋_GB2312"/>
              </w:rPr>
              <w:t>供应商的采购包响应报价高于采购包最高限价的，其响应文件将按无效处理。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响应有效期（实质性要求）</w:t>
            </w:r>
          </w:p>
        </w:tc>
        <w:tc>
          <w:tcPr>
            <w:tcW w:type="dxa" w:w="3322"/>
          </w:tcPr>
          <w:p>
            <w:pPr>
              <w:pStyle w:val="null3"/>
              <w:jc w:val="left"/>
            </w:pPr>
            <w:r>
              <w:rPr>
                <w:rFonts w:ascii="仿宋_GB2312" w:hAnsi="仿宋_GB2312" w:cs="仿宋_GB2312" w:eastAsia="仿宋_GB2312"/>
              </w:rPr>
              <w:t>响应文件未明确响应有效期或者响应有效期小于“供应商须知附表”中响应有效期要求的，其响应文件按无效处理。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第三章 技术、服务及其他要求 中的带“★”的要求（实质性要求）</w:t>
            </w:r>
          </w:p>
        </w:tc>
        <w:tc>
          <w:tcPr>
            <w:tcW w:type="dxa" w:w="3322"/>
          </w:tcPr>
          <w:p>
            <w:pPr>
              <w:pStyle w:val="null3"/>
              <w:jc w:val="left"/>
            </w:pPr>
            <w:r>
              <w:rPr>
                <w:rFonts w:ascii="仿宋_GB2312" w:hAnsi="仿宋_GB2312" w:cs="仿宋_GB2312" w:eastAsia="仿宋_GB2312"/>
              </w:rPr>
              <w:t>1、第三章 技术、服务及其他要求中的带“★”的要求为实质性要求，供应商应当在响应文件中作出响应；带“★”的技术、服务及其他要求要求提供证明材料的，供应商还应当提供相应的证明材料。 2、供应商未在响应文件中对带“★”的技术、服务及其他要求作出响应，或虽作出响应但未按照采购文件的要求提供相应证明材料的或响应情况存在负偏离的，响应文件按无效处理。</w:t>
            </w:r>
          </w:p>
        </w:tc>
        <w:tc>
          <w:tcPr>
            <w:tcW w:type="dxa" w:w="1661"/>
          </w:tcPr>
          <w:p>
            <w:pPr>
              <w:pStyle w:val="null3"/>
              <w:jc w:val="left"/>
            </w:pPr>
            <w:r>
              <w:rPr>
                <w:rFonts w:ascii="仿宋_GB2312" w:hAnsi="仿宋_GB2312" w:cs="仿宋_GB2312" w:eastAsia="仿宋_GB2312"/>
              </w:rPr>
              <w:t>供应商认为需要提供的其他证明材料.docx,服务应答表,技术应答表.docx,商务应答表.docx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供应商需根据本项目编制实施方案，具体评分细则如下： 1.制剂的工艺流程（15分） 供应商需根据本项目编制制剂的工艺流程方案，方案应包含①制剂工艺研究方案及研发流程图；②制剂工艺质量控制指标、成型工艺研究等；③制剂工艺流程等内容。方案内容齐全不缺项，内容满足需求的得15分，每有一项内容缺项扣5分，每有一项内容存在不足或缺陷扣2.5分，扣完为止。未提供方案的不得分。 2.制剂的稳定性试验（6分） 供应商需根据本项目编制制剂的稳定性试验方案，方案应包含①长期稳定性试验方案和加速稳定性试验方案；②具体试验方法和各剂型全部考察项目等内容。方案内容齐全不缺项，内容满足需求的得6分，每有一项内容缺项扣3分，每有一项内容存在不足或缺陷扣1.5分，扣完为止。未提供方案的不得分。 3.项目全套研究技术路线图、计划时间表（20分） 供应商需根据本项目编制项目全套研究技术路线图、计划时间表，（1）技术路线图应包含①工艺研究及中试生产；②质量标准建立及稳定性考察；③包材及辅料选择等关键步骤；（2）计划时间表应包含④各阶段具有明确的研究内容⑤各阶段具有明确的时间安排等内容。方案内容齐全不缺项，内容满足需求的得20分，每有一项内容缺项扣4分，每有一项内容存在不足或缺陷扣2分，扣完为止。未提供方案的不得分。 注：（1）内容满足需求是指：①内容与项目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的方案缺少重要节点（如仅有框架或标题、单项内容仅有复制招标内容的要求、涉及内容无重点）；②缺陷具体是指：单项方案中出现套用其他项目方案或内容、存在明显与本项目无关的文字内容、内容脱离了实际情况或不适用于本项目、内容涉及适用的规范及标准（方法）出现错误、项目名称、实施地点、采购主体、项目内容错误等任意一种情形。</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1.供应商2023年1月1日（含1日）至今具有类似项目业绩的，一个类似项目业绩得2分，最多得6分。 注：供应商需提供中标（成交）通知书或项目合同复印件，并加盖供应商电子印章，供应商未提供或未按要求提供的不得分。业绩的时间以中标（成交）通知书的发放时间或项目合同的签订时间为准。 2.供应商2023年1月1日（含1日）至今具有类似项目业绩备案成功证明的，每取得1个备案成功证明的得3分，本项最多得9分。 注：供应商需提供项目合同复印件和备案成功的网页截图并加盖供应商电子印章，供应商未提供或未按要求提供的不得分。涉密请作脱密处理，日期以取得备案号之日为准。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1.项目负责人（4分） 项目负责人（1人）：供应商拟投入本项目的项目负责人具有中药学或中医药专业中级职称的得2分；具有中药学或中医药专业副高级职称的得3分；具有中药学或中医药专业正高级职称的得4分。本项最多得4分。 2.其他团队成员（6分） 供应商拟投入本项目的其他团队成员每有一名具有中药学或中医药专业中级职称的得1分；具有中药学或中医药专业副高级及以上职称的得2分；本项最多得6分。 注：以上人员不重复计分，拟投入本项目人员应为供应商在职人员。供应商需提供上述人员的职称证书、在职证明材料（在职证明材料是指：社保证明或用工合同）并加盖供应商电子印章，供应商未提供或未按要求提供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供应商拟投入本项目服务团队人员情况表.docx</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项目实施能力</w:t>
            </w:r>
          </w:p>
        </w:tc>
        <w:tc>
          <w:tcPr>
            <w:tcW w:type="dxa" w:w="2575"/>
          </w:tcPr>
          <w:p>
            <w:pPr>
              <w:pStyle w:val="null3"/>
              <w:jc w:val="left"/>
            </w:pPr>
            <w:r>
              <w:rPr>
                <w:rFonts w:ascii="仿宋_GB2312" w:hAnsi="仿宋_GB2312" w:cs="仿宋_GB2312" w:eastAsia="仿宋_GB2312"/>
              </w:rPr>
              <w:t>1.供应商具有研发基地的得6分。 注：研发基地为供应商自有的，提供产权证明以及现场图片；研发基地为供应商租赁的，提供租赁合同以及现场图片。证明材料均需加盖供应商电子印章，供应商未提供或未按要求提供的不得分。 2.供应商配置有：①高效液相色谱仪；②气相色谱仪；③稳定性试验箱；④薄层成像系统；每有一项得2分，本项最多得8分。 注：设备为供应商自有的，提供购买发票及设备图片（设备图片应当能够体现设备的品牌、型号信息）；设备为供应商租赁的，提供租赁合同及设备图片（设备图片应当能够体现设备的品牌、型号信息）。证明材料均需加盖供应商电子印章，供应商未提供或未按要求提供的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详见附件：供应商拟投入本项目服务团队人员情况表.docx</w:t>
      </w:r>
    </w:p>
    <w:p>
      <w:pPr>
        <w:pStyle w:val="null3"/>
        <w:ind w:firstLine="960"/>
        <w:jc w:val="left"/>
      </w:pPr>
      <w:r>
        <w:rPr>
          <w:rFonts w:ascii="仿宋_GB2312" w:hAnsi="仿宋_GB2312" w:cs="仿宋_GB2312" w:eastAsia="仿宋_GB2312"/>
        </w:rPr>
        <w:t>详见附件：供应商基本情况表.docx</w:t>
      </w:r>
    </w:p>
    <w:p>
      <w:pPr>
        <w:pStyle w:val="null3"/>
        <w:ind w:firstLine="960"/>
        <w:jc w:val="left"/>
      </w:pPr>
      <w:r>
        <w:rPr>
          <w:rFonts w:ascii="仿宋_GB2312" w:hAnsi="仿宋_GB2312" w:cs="仿宋_GB2312" w:eastAsia="仿宋_GB2312"/>
        </w:rPr>
        <w:t>详见附件：法定代表人身份证明、法定代表人授权委托书.docx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