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版本号：N511301202600009220260513001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水上执法指挥船采购(二次)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N5113012026000092</w:t>
      </w:r>
    </w:p>
    <w:p>
      <w:pPr>
        <w:pStyle w:val="null3"/>
        <w:jc w:val="left"/>
        <w:outlineLvl w:val="2"/>
      </w:pPr>
      <w:r>
        <w:rPr>
          <w:rFonts w:ascii="仿宋_GB2312" w:hAnsi="仿宋_GB2312" w:cs="仿宋_GB2312" w:eastAsia="仿宋_GB2312"/>
          <w:sz w:val="28"/>
          <w:b/>
        </w:rPr>
        <w:t>南充市公安局水上公安分局</w:t>
      </w:r>
    </w:p>
    <w:p>
      <w:pPr>
        <w:pStyle w:val="null3"/>
        <w:jc w:val="center"/>
        <w:outlineLvl w:val="2"/>
      </w:pPr>
      <w:r>
        <w:rPr>
          <w:rFonts w:ascii="仿宋_GB2312" w:hAnsi="仿宋_GB2312" w:cs="仿宋_GB2312" w:eastAsia="仿宋_GB2312"/>
          <w:sz w:val="28"/>
          <w:b/>
        </w:rPr>
        <w:t>四川迈进工程管理咨询有限公司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四川迈进工程管理咨询有限公司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南充市公安局水上公安分局</w:t>
      </w:r>
      <w:r>
        <w:rPr>
          <w:rFonts w:ascii="仿宋_GB2312" w:hAnsi="仿宋_GB2312" w:cs="仿宋_GB2312" w:eastAsia="仿宋_GB2312"/>
        </w:rPr>
        <w:t xml:space="preserve"> 委托，拟对 </w:t>
      </w:r>
      <w:r>
        <w:rPr>
          <w:rFonts w:ascii="仿宋_GB2312" w:hAnsi="仿宋_GB2312" w:cs="仿宋_GB2312" w:eastAsia="仿宋_GB2312"/>
        </w:rPr>
        <w:t>水上执法指挥船采购(二次)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南充市市本级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N5113012026000092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水上执法指挥船采购(二次)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掌握全市水域治安管理情况，拟订预防、打击对策，研究拟订水域治安管理工作的政策、规定。组织、指导、监督公安机关依法查处破坏水上治安秩序的行为，协调或直接查处、侦办相关案件。指导、协调公安机关参与水上抢险救援工作和突发事件处置。组织、指导、监督、协调重大活动的水域安全保卫工作。计划购买执法指挥船只一艘。</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1、投标人具有钢质船舶三级Ⅲ类及以上船舶生产能力（描述：供应商具有钢质船舶三级Ⅲ类及以上船舶生产能力，提供相关证书或证明文件扫描件并进行电子签章。）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南充市公安局水上公安分局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四川省南充市顺庆区石油东路1号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0817-6822110</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四川迈进工程管理咨询有限公司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四川省南充市嘉陵区滨江南路78号宏凌中心7层7号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637900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0817-3763148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采购包1：2,937,500.00元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本项目招标代理费按照《四川省政府采购营商环境指标提升专项行动工作方案》的指导收费要求执行，计算标准：招标代理服务费=（成交金额-100万元）*1.1%+100万元*1.5%，由南充市公安局水上公安分局在成交公告挂网后5个工作日内支付。收款账户： 单位名称：四川迈进工程管理咨询有限公司。 开户银行：中国建设银行股份有限公司南充高坪支行。 银行账号：51050173623600000333。</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南充市公安局水上公安分局</w:t>
      </w:r>
      <w:r>
        <w:rPr>
          <w:rFonts w:ascii="仿宋_GB2312" w:hAnsi="仿宋_GB2312" w:cs="仿宋_GB2312" w:eastAsia="仿宋_GB2312"/>
        </w:rPr>
        <w:t xml:space="preserve"> 和 </w:t>
      </w:r>
      <w:r>
        <w:rPr>
          <w:rFonts w:ascii="仿宋_GB2312" w:hAnsi="仿宋_GB2312" w:cs="仿宋_GB2312" w:eastAsia="仿宋_GB2312"/>
        </w:rPr>
        <w:t>四川迈进工程管理咨询有限公司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南充市公安局水上公安分局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四川迈进工程管理咨询有限公司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船舶全部完工经采购人验收合格交付使用后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四川省财政厅印发《财政部关于进一步加强政府采购需求和履约验收管理的指导意见》（财库〔2016〕205号）的要求进行验收。须符合国家有关规定、谈判文件的质量要求和技术指标、成交人的响应文件及承诺以及合同条款。</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四川省财政厅印发《财政部关于进一步加强政府采购需求和履约验收管理的指导意见》（财库〔2016〕205号）的要求进行验收。须符合国家有关规定、谈判文件的质量要求和技术指标、成交人的响应文件及承诺以及合同条款。</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严格按照《财政部关于进一步加强政府采购需求和履约验收管理的指导意见》（财库〔2016〕205号）、《政府采购需求管理办法》（财库〔2021〕22号）和甲方相关要求进行验收。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南充市公安局水上公安分局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四川迈进工程管理咨询有限公司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四川迈进工程管理咨询有限公司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联系电话：0817-6822110</w:t>
      </w:r>
    </w:p>
    <w:p>
      <w:pPr>
        <w:pStyle w:val="null3"/>
        <w:jc w:val="left"/>
      </w:pPr>
      <w:r>
        <w:rPr>
          <w:rFonts w:ascii="仿宋_GB2312" w:hAnsi="仿宋_GB2312" w:cs="仿宋_GB2312" w:eastAsia="仿宋_GB2312"/>
        </w:rPr>
        <w:t>地址：四川省南充市顺庆区石油东路1号</w:t>
      </w:r>
    </w:p>
    <w:p>
      <w:pPr>
        <w:pStyle w:val="null3"/>
        <w:jc w:val="left"/>
      </w:pPr>
      <w:r>
        <w:rPr>
          <w:rFonts w:ascii="仿宋_GB2312" w:hAnsi="仿宋_GB2312" w:cs="仿宋_GB2312" w:eastAsia="仿宋_GB2312"/>
        </w:rPr>
        <w:t>邮编：637000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联系电话：0817-3763148</w:t>
      </w:r>
    </w:p>
    <w:p>
      <w:pPr>
        <w:pStyle w:val="null3"/>
        <w:jc w:val="left"/>
      </w:pPr>
      <w:r>
        <w:rPr>
          <w:rFonts w:ascii="仿宋_GB2312" w:hAnsi="仿宋_GB2312" w:cs="仿宋_GB2312" w:eastAsia="仿宋_GB2312"/>
        </w:rPr>
        <w:t>地址：四川省南充市嘉陵区滨江南路78号宏凌中心7层7号</w:t>
      </w:r>
    </w:p>
    <w:p>
      <w:pPr>
        <w:pStyle w:val="null3"/>
        <w:jc w:val="left"/>
      </w:pPr>
      <w:r>
        <w:rPr>
          <w:rFonts w:ascii="仿宋_GB2312" w:hAnsi="仿宋_GB2312" w:cs="仿宋_GB2312" w:eastAsia="仿宋_GB2312"/>
        </w:rPr>
        <w:t>邮编：637900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2,937,500.00</w:t>
      </w:r>
    </w:p>
    <w:p>
      <w:pPr>
        <w:pStyle w:val="null3"/>
        <w:jc w:val="left"/>
      </w:pPr>
      <w:r>
        <w:rPr>
          <w:rFonts w:ascii="仿宋_GB2312" w:hAnsi="仿宋_GB2312" w:cs="仿宋_GB2312" w:eastAsia="仿宋_GB2312"/>
        </w:rPr>
        <w:t>采购包最高限价（元）: 2,890,000.00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A02429900 其他水上交通运输设备</w:t>
            </w:r>
          </w:p>
        </w:tc>
        <w:tc>
          <w:tcPr>
            <w:tcW w:type="dxa" w:w="821"/>
          </w:tcPr>
          <w:p>
            <w:pPr>
              <w:pStyle w:val="null3"/>
              <w:jc w:val="left"/>
            </w:pPr>
            <w:r>
              <w:rPr>
                <w:rFonts w:ascii="仿宋_GB2312" w:hAnsi="仿宋_GB2312" w:cs="仿宋_GB2312" w:eastAsia="仿宋_GB2312"/>
              </w:rPr>
              <w:t>水上执法指挥船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2,890,000.00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水上执法指挥船</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2,890,000.00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报价为总价包干价，包含材料费用、玻璃钢模具制作费（含模具材料费、图纸设计费）、船舶下水费、送船费（含送船人工、油水）、试车、试航、倾斜试验费、运输、装卸、安装、调试、验收、培训、质保、税费及伴随服务等全部费用。</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A02429900 其他水上交通运输设备</w:t>
            </w:r>
          </w:p>
        </w:tc>
        <w:tc>
          <w:tcPr>
            <w:tcW w:type="dxa" w:w="2492"/>
          </w:tcPr>
          <w:p>
            <w:pPr>
              <w:pStyle w:val="null3"/>
              <w:jc w:val="left"/>
            </w:pPr>
            <w:r>
              <w:rPr>
                <w:rFonts w:ascii="仿宋_GB2312" w:hAnsi="仿宋_GB2312" w:cs="仿宋_GB2312" w:eastAsia="仿宋_GB2312"/>
              </w:rPr>
              <w:t>水上执法指挥船</w:t>
            </w:r>
          </w:p>
        </w:tc>
        <w:tc>
          <w:tcPr>
            <w:tcW w:type="dxa" w:w="2492"/>
          </w:tcPr>
          <w:p>
            <w:pPr>
              <w:pStyle w:val="null3"/>
              <w:jc w:val="left"/>
            </w:pPr>
            <w:r>
              <w:rPr>
                <w:rFonts w:ascii="仿宋_GB2312" w:hAnsi="仿宋_GB2312" w:cs="仿宋_GB2312" w:eastAsia="仿宋_GB2312"/>
              </w:rPr>
              <w:t>水上执法指挥船</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标的名称：水上执法指挥船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船体整体要求</w:t>
            </w:r>
          </w:p>
        </w:tc>
        <w:tc>
          <w:tcPr>
            <w:tcW w:type="dxa" w:w="5814"/>
          </w:tcPr>
          <w:p>
            <w:pPr>
              <w:pStyle w:val="null3"/>
              <w:jc w:val="left"/>
            </w:pPr>
            <w:r>
              <w:rPr>
                <w:rFonts w:ascii="仿宋_GB2312" w:hAnsi="仿宋_GB2312" w:cs="仿宋_GB2312" w:eastAsia="仿宋_GB2312"/>
                <w:sz w:val="24"/>
                <w:color w:val="000000"/>
              </w:rPr>
              <w:t>★A.建造方式：</w:t>
            </w:r>
          </w:p>
          <w:p>
            <w:pPr>
              <w:pStyle w:val="null3"/>
              <w:ind w:firstLine="480"/>
              <w:jc w:val="left"/>
            </w:pPr>
            <w:r>
              <w:rPr>
                <w:rFonts w:ascii="仿宋_GB2312" w:hAnsi="仿宋_GB2312" w:cs="仿宋_GB2312" w:eastAsia="仿宋_GB2312"/>
                <w:sz w:val="24"/>
                <w:color w:val="000000"/>
              </w:rPr>
              <w:t>本项目为详细设计建造一体化，主要包括在船舶总设计图的基础上进行详细设计、建造及所有材料和设备采购、运输、装卸、保管、安装、装饰、调试、试验、交验、交船、技术培训以及不少于一年的免费售后服务等工作，最终经</w:t>
            </w:r>
            <w:r>
              <w:rPr>
                <w:rFonts w:ascii="仿宋_GB2312" w:hAnsi="仿宋_GB2312" w:cs="仿宋_GB2312" w:eastAsia="仿宋_GB2312"/>
                <w:sz w:val="24"/>
              </w:rPr>
              <w:t>船舶建造地的</w:t>
            </w:r>
            <w:r>
              <w:rPr>
                <w:rFonts w:ascii="仿宋_GB2312" w:hAnsi="仿宋_GB2312" w:cs="仿宋_GB2312" w:eastAsia="仿宋_GB2312"/>
                <w:sz w:val="24"/>
                <w:color w:val="000000"/>
              </w:rPr>
              <w:t>船舶检验部门检验合格，取得相关法定证书，并交付采购人使用。质保期为船舶验收合格并交付之日起至少一年。</w:t>
            </w:r>
          </w:p>
          <w:p>
            <w:pPr>
              <w:pStyle w:val="null3"/>
              <w:jc w:val="left"/>
            </w:pPr>
            <w:r>
              <w:rPr>
                <w:rFonts w:ascii="仿宋_GB2312" w:hAnsi="仿宋_GB2312" w:cs="仿宋_GB2312" w:eastAsia="仿宋_GB2312"/>
                <w:sz w:val="24"/>
                <w:color w:val="000000"/>
              </w:rPr>
              <w:t>★B.详细设计要求：</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）.设计总体要求：根据《四川省船舶设计资质管理规定》</w:t>
            </w:r>
            <w:r>
              <w:rPr>
                <w:rFonts w:ascii="仿宋_GB2312" w:hAnsi="仿宋_GB2312" w:cs="仿宋_GB2312" w:eastAsia="仿宋_GB2312"/>
                <w:sz w:val="24"/>
                <w:color w:val="000000"/>
                <w:shd w:fill="FFFFFF" w:val="clear"/>
              </w:rPr>
              <w:t>委托有相应资质</w:t>
            </w:r>
            <w:r>
              <w:rPr>
                <w:rFonts w:ascii="仿宋_GB2312" w:hAnsi="仿宋_GB2312" w:cs="仿宋_GB2312" w:eastAsia="仿宋_GB2312"/>
                <w:sz w:val="24"/>
                <w:color w:val="000000"/>
                <w:shd w:fill="FFFFFF" w:val="clear"/>
              </w:rPr>
              <w:t>和能力</w:t>
            </w:r>
            <w:r>
              <w:rPr>
                <w:rFonts w:ascii="仿宋_GB2312" w:hAnsi="仿宋_GB2312" w:cs="仿宋_GB2312" w:eastAsia="仿宋_GB2312"/>
                <w:sz w:val="24"/>
                <w:color w:val="000000"/>
                <w:shd w:fill="FFFFFF" w:val="clear"/>
              </w:rPr>
              <w:t>的设计单位</w:t>
            </w:r>
            <w:r>
              <w:rPr>
                <w:rFonts w:ascii="仿宋_GB2312" w:hAnsi="仿宋_GB2312" w:cs="仿宋_GB2312" w:eastAsia="仿宋_GB2312"/>
                <w:sz w:val="24"/>
                <w:color w:val="000000"/>
              </w:rPr>
              <w:t>，按照提供的水上执法指挥船方案设计书进行设计，船舶设计应依照中国海事局、中国船级社现行法规、规范要求，满足谈判文件中所列船舶性能和各项技术指标（航区、船型、用途、船籍和船级、动力装置、航速和功率储备、监测监控系统、舱容量、生活设施等）；</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）.设计周期要求：成交供应商在合同签订后45日内完成并提交送审图纸供采购人审查确认，若有调整修改，成交供应商须在15日内按采购人需求完成详细深化设计</w:t>
            </w:r>
            <w:r>
              <w:rPr>
                <w:rFonts w:ascii="仿宋_GB2312" w:hAnsi="仿宋_GB2312" w:cs="仿宋_GB2312" w:eastAsia="仿宋_GB2312"/>
                <w:sz w:val="24"/>
              </w:rPr>
              <w:t>。</w:t>
            </w:r>
            <w:r>
              <w:rPr>
                <w:rFonts w:ascii="仿宋_GB2312" w:hAnsi="仿宋_GB2312" w:cs="仿宋_GB2312" w:eastAsia="仿宋_GB2312"/>
                <w:sz w:val="24"/>
                <w:color w:val="000000"/>
              </w:rPr>
              <w:t>详细深化设计（送审部分）经采购人审查后提交审图机构进行图纸审查，成交供应商根据审图机构的退审意见，在10日内完成详细深化设计（送审部分）的修改完善工作。船舶试航后，30日内向采购人提交完工文件。设计过程中，非成交供应商的原因所引起的设计时间增加，则设计周期顺延或</w:t>
            </w:r>
            <w:r>
              <w:rPr>
                <w:rFonts w:ascii="仿宋_GB2312" w:hAnsi="仿宋_GB2312" w:cs="仿宋_GB2312" w:eastAsia="仿宋_GB2312"/>
                <w:sz w:val="24"/>
              </w:rPr>
              <w:t>经</w:t>
            </w:r>
            <w:r>
              <w:rPr>
                <w:rFonts w:ascii="仿宋_GB2312" w:hAnsi="仿宋_GB2312" w:cs="仿宋_GB2312" w:eastAsia="仿宋_GB2312"/>
                <w:sz w:val="24"/>
                <w:color w:val="000000"/>
              </w:rPr>
              <w:t>双方协商确定。</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）设计责任要求：成交供应商须按照设计任务要求，完成方案设计，并通过方案设计审查， 并负责向</w:t>
            </w:r>
            <w:r>
              <w:rPr>
                <w:rFonts w:ascii="仿宋_GB2312" w:hAnsi="仿宋_GB2312" w:cs="仿宋_GB2312" w:eastAsia="仿宋_GB2312"/>
                <w:sz w:val="24"/>
              </w:rPr>
              <w:t>船检机构送审图纸及按审图</w:t>
            </w:r>
            <w:r>
              <w:rPr>
                <w:rFonts w:ascii="仿宋_GB2312" w:hAnsi="仿宋_GB2312" w:cs="仿宋_GB2312" w:eastAsia="仿宋_GB2312"/>
                <w:sz w:val="24"/>
                <w:color w:val="000000"/>
              </w:rPr>
              <w:t>意见进行答复和图纸文件的修改工作。向采购人及其驻厂代表提交经</w:t>
            </w:r>
            <w:r>
              <w:rPr>
                <w:rFonts w:ascii="仿宋_GB2312" w:hAnsi="仿宋_GB2312" w:cs="仿宋_GB2312" w:eastAsia="仿宋_GB2312"/>
                <w:sz w:val="24"/>
              </w:rPr>
              <w:t>船检机构批</w:t>
            </w:r>
            <w:r>
              <w:rPr>
                <w:rFonts w:ascii="仿宋_GB2312" w:hAnsi="仿宋_GB2312" w:cs="仿宋_GB2312" w:eastAsia="仿宋_GB2312"/>
                <w:sz w:val="24"/>
                <w:color w:val="000000"/>
              </w:rPr>
              <w:t>准的退审图纸和全套详细设计图纸。进行设计交底，解释疑问，配合建造，进行必要的设计修改。在船舶建造期间，设计专业人员应现场监察、指导以保证船舶的建造符合设计的要求，编制船舶系泊及航行试验大纲，参加船舶的倾斜试验、系泊试验、试航和交船。按要求编制和提供完工文件和图纸。</w:t>
            </w:r>
          </w:p>
          <w:p>
            <w:pPr>
              <w:pStyle w:val="null3"/>
              <w:jc w:val="both"/>
            </w:pPr>
            <w:r>
              <w:rPr>
                <w:rFonts w:ascii="仿宋_GB2312" w:hAnsi="仿宋_GB2312" w:cs="仿宋_GB2312" w:eastAsia="仿宋_GB2312"/>
                <w:sz w:val="24"/>
              </w:rPr>
              <w:t>一、船体部分</w:t>
            </w:r>
          </w:p>
          <w:p>
            <w:pPr>
              <w:pStyle w:val="null3"/>
              <w:jc w:val="both"/>
            </w:pPr>
            <w:r>
              <w:rPr>
                <w:rFonts w:ascii="仿宋_GB2312" w:hAnsi="仿宋_GB2312" w:cs="仿宋_GB2312" w:eastAsia="仿宋_GB2312"/>
                <w:sz w:val="24"/>
              </w:rPr>
              <w:t>（一）用途、艇型及航区要求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用途：作为水上公安执法行动临时移动指挥中心；可对小吨位船舶、水上执法指挥船进行补给或提供停靠，支持夜航作业。</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航区要求：满足中华人民共和国海事局《公务船技术规则》2020内河B级航区、J2急流航段全部要求。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艇型：单体、单甲板设计，风浪中失速小，稳定性和操纵性优良，外形和谐美观、操作安全简便，抗风能力强；采用两台船用柴油机驱动，常规双螺旋桨推进；设一层连续主甲板，两舷设外走道。</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材质要求：主船体采用钢质制造，上层建筑采用玻璃钢制造。</w:t>
            </w:r>
          </w:p>
          <w:p>
            <w:pPr>
              <w:pStyle w:val="null3"/>
              <w:jc w:val="both"/>
            </w:pPr>
            <w:r>
              <w:rPr>
                <w:rFonts w:ascii="仿宋_GB2312" w:hAnsi="仿宋_GB2312" w:cs="仿宋_GB2312" w:eastAsia="仿宋_GB2312"/>
                <w:sz w:val="24"/>
              </w:rPr>
              <w:t>（二）设计依据</w:t>
            </w:r>
          </w:p>
          <w:p>
            <w:pPr>
              <w:pStyle w:val="null3"/>
              <w:ind w:firstLine="240"/>
              <w:jc w:val="both"/>
            </w:pPr>
            <w:r>
              <w:rPr>
                <w:rFonts w:ascii="仿宋_GB2312" w:hAnsi="仿宋_GB2312" w:cs="仿宋_GB2312" w:eastAsia="仿宋_GB2312"/>
                <w:sz w:val="24"/>
              </w:rPr>
              <w:t>符合以下规范及修改通报要求，包括但不限于：</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《内河船舶法定检验技术规则》2019及2023/2025修改通报</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中国船级社《钢质内河船舶建造规范》2016及2019/2021/2025修改通报、2023年第1次变更通告</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中国船级社《材料与焊接规范》2025</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《吨位丈量规则》2022</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《公务船技术规则》2020</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《船舶电气设备安装及检验规范》(2024)</w:t>
            </w:r>
          </w:p>
          <w:p>
            <w:pPr>
              <w:pStyle w:val="null3"/>
              <w:jc w:val="both"/>
            </w:pPr>
            <w:r>
              <w:rPr>
                <w:rFonts w:ascii="仿宋_GB2312" w:hAnsi="仿宋_GB2312" w:cs="仿宋_GB2312" w:eastAsia="仿宋_GB2312"/>
                <w:sz w:val="24"/>
              </w:rPr>
              <w:t>（三）主要参数</w:t>
            </w:r>
          </w:p>
          <w:p>
            <w:pPr>
              <w:pStyle w:val="null3"/>
              <w:jc w:val="both"/>
            </w:pPr>
            <w:r>
              <w:rPr>
                <w:rFonts w:ascii="仿宋_GB2312" w:hAnsi="仿宋_GB2312" w:cs="仿宋_GB2312" w:eastAsia="仿宋_GB2312"/>
                <w:sz w:val="24"/>
              </w:rPr>
              <w:t>项目参数要求允许偏差</w:t>
            </w:r>
          </w:p>
          <w:p>
            <w:pPr>
              <w:pStyle w:val="null3"/>
              <w:jc w:val="both"/>
            </w:pPr>
            <w:r>
              <w:rPr>
                <w:rFonts w:ascii="仿宋_GB2312" w:hAnsi="仿宋_GB2312" w:cs="仿宋_GB2312" w:eastAsia="仿宋_GB2312"/>
                <w:sz w:val="24"/>
              </w:rPr>
              <w:t>最大船长27.00m±0.5m</w:t>
            </w:r>
          </w:p>
          <w:p>
            <w:pPr>
              <w:pStyle w:val="null3"/>
              <w:jc w:val="both"/>
            </w:pPr>
            <w:r>
              <w:rPr>
                <w:rFonts w:ascii="仿宋_GB2312" w:hAnsi="仿宋_GB2312" w:cs="仿宋_GB2312" w:eastAsia="仿宋_GB2312"/>
                <w:sz w:val="24"/>
              </w:rPr>
              <w:t>总长25.72m±0.5m</w:t>
            </w:r>
          </w:p>
          <w:p>
            <w:pPr>
              <w:pStyle w:val="null3"/>
              <w:jc w:val="both"/>
            </w:pPr>
            <w:r>
              <w:rPr>
                <w:rFonts w:ascii="仿宋_GB2312" w:hAnsi="仿宋_GB2312" w:cs="仿宋_GB2312" w:eastAsia="仿宋_GB2312"/>
                <w:sz w:val="24"/>
              </w:rPr>
              <w:t>船长23.50m±0.5m</w:t>
            </w:r>
          </w:p>
          <w:p>
            <w:pPr>
              <w:pStyle w:val="null3"/>
              <w:jc w:val="both"/>
            </w:pPr>
            <w:r>
              <w:rPr>
                <w:rFonts w:ascii="仿宋_GB2312" w:hAnsi="仿宋_GB2312" w:cs="仿宋_GB2312" w:eastAsia="仿宋_GB2312"/>
                <w:sz w:val="24"/>
              </w:rPr>
              <w:t>船宽5.30m±0.5m</w:t>
            </w:r>
          </w:p>
          <w:p>
            <w:pPr>
              <w:pStyle w:val="null3"/>
              <w:jc w:val="both"/>
            </w:pPr>
            <w:r>
              <w:rPr>
                <w:rFonts w:ascii="仿宋_GB2312" w:hAnsi="仿宋_GB2312" w:cs="仿宋_GB2312" w:eastAsia="仿宋_GB2312"/>
                <w:sz w:val="24"/>
              </w:rPr>
              <w:t>型深2.10m</w:t>
            </w:r>
          </w:p>
          <w:p>
            <w:pPr>
              <w:pStyle w:val="null3"/>
              <w:jc w:val="both"/>
            </w:pPr>
            <w:r>
              <w:rPr>
                <w:rFonts w:ascii="仿宋_GB2312" w:hAnsi="仿宋_GB2312" w:cs="仿宋_GB2312" w:eastAsia="仿宋_GB2312"/>
                <w:sz w:val="24"/>
              </w:rPr>
              <w:t>吃水1.10m</w:t>
            </w:r>
          </w:p>
          <w:p>
            <w:pPr>
              <w:pStyle w:val="null3"/>
              <w:jc w:val="both"/>
            </w:pPr>
            <w:r>
              <w:rPr>
                <w:rFonts w:ascii="仿宋_GB2312" w:hAnsi="仿宋_GB2312" w:cs="仿宋_GB2312" w:eastAsia="仿宋_GB2312"/>
                <w:sz w:val="24"/>
              </w:rPr>
              <w:t>最大乘客定额运输人员：24人</w:t>
            </w:r>
          </w:p>
          <w:p>
            <w:pPr>
              <w:pStyle w:val="null3"/>
              <w:jc w:val="both"/>
            </w:pPr>
            <w:r>
              <w:rPr>
                <w:rFonts w:ascii="仿宋_GB2312" w:hAnsi="仿宋_GB2312" w:cs="仿宋_GB2312" w:eastAsia="仿宋_GB2312"/>
                <w:sz w:val="24"/>
              </w:rPr>
              <w:t>船舶类型公务船（巡逻船）</w:t>
            </w:r>
          </w:p>
          <w:p>
            <w:pPr>
              <w:pStyle w:val="null3"/>
              <w:jc w:val="both"/>
            </w:pPr>
            <w:r>
              <w:rPr>
                <w:rFonts w:ascii="仿宋_GB2312" w:hAnsi="仿宋_GB2312" w:cs="仿宋_GB2312" w:eastAsia="仿宋_GB2312"/>
                <w:sz w:val="24"/>
              </w:rPr>
              <w:t>（四）航速、续航力要求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航速：船舶在满载排水量下，主机额定功率运行，静水水域航速≥25km/h，巡航速度≥25km/h。</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续航力：满载排水量状态下，以25km/h巡航速度航行时，续航力≥12小时。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稳性：满足《公务船技术规则》2020对内河B级J2航段的所有稳性指标要求。</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船检要求：船检机构为ZC</w:t>
            </w:r>
          </w:p>
          <w:p>
            <w:pPr>
              <w:pStyle w:val="null3"/>
              <w:jc w:val="both"/>
            </w:pPr>
            <w:r>
              <w:rPr>
                <w:rFonts w:ascii="仿宋_GB2312" w:hAnsi="仿宋_GB2312" w:cs="仿宋_GB2312" w:eastAsia="仿宋_GB2312"/>
                <w:sz w:val="24"/>
              </w:rPr>
              <w:t>（五）船体结构及水密性要求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水密舱壁：主船体设6道水密舱壁，分隔成7个水密舱室（自艉至艏：舵机舱、隔离舱、机舱、空舱1、空舱2、空舱3、艏尖舱）；任意一舱进水时，能保证船体及舱壁的水密性和结构强度，无渗漏、变形情况。</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肋骨间距：统一为500mm，型材尺寸、舱壁板结构符合基本结构图要求。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总布置要求：在保证性能和实用的基础上，造型美观大方、线条流畅、快速感强；工作生活设施配套齐全，设计人性化、舒适方便，具体符合总布置图要求。</w:t>
            </w:r>
          </w:p>
          <w:p>
            <w:pPr>
              <w:pStyle w:val="null3"/>
              <w:jc w:val="both"/>
            </w:pPr>
            <w:r>
              <w:rPr>
                <w:rFonts w:ascii="仿宋_GB2312" w:hAnsi="仿宋_GB2312" w:cs="仿宋_GB2312" w:eastAsia="仿宋_GB2312"/>
                <w:sz w:val="24"/>
              </w:rPr>
              <w:t>（六）各甲板区域布置要求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舱底：空舱1内设燃油舱，空舱2内设生活污水舱，各舱室功能分区明确，管路、设备布置合理，便于检修。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下甲板区域（14#～42#）：14#～16#+400左侧设储物间、右侧设茶水间；16+400#～19#设进出会议室梯道；#19~#42设会议室，内设左右3人座长条沙发各3套、实木茶几3张。</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主甲板区域：尾～5#设尾工作甲板区域；5#～14#设机舱棚；16+400#～19#设进出会议室梯道；#19~#42设会议室；左右两舷设外走道；42#～首设首甲板系泊区域，系泊设施布置合理。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驾驶室区域（5#～38#）：5#~19#设尾部露天甲板；19#~28#设指挥室，内布置单人沙发2张、三人沙发1张、双人沙发1张、木质茶几2张；28#~35#设驾驶室，配游艇式驾驶控制台、铝合金可升降驾驶椅，设大面积玻璃，驾驶人员视线无遮挡。</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驾驶舱顶部：设航行信号灯、甚高频天线等装置，安装牢固、布局合理，不影响航行视野。</w:t>
            </w:r>
          </w:p>
          <w:p>
            <w:pPr>
              <w:pStyle w:val="null3"/>
              <w:jc w:val="both"/>
            </w:pPr>
            <w:r>
              <w:rPr>
                <w:rFonts w:ascii="仿宋_GB2312" w:hAnsi="仿宋_GB2312" w:cs="仿宋_GB2312" w:eastAsia="仿宋_GB2312"/>
                <w:sz w:val="24"/>
              </w:rPr>
              <w:t>二、轮机部分</w:t>
            </w:r>
          </w:p>
          <w:p>
            <w:pPr>
              <w:pStyle w:val="null3"/>
              <w:jc w:val="both"/>
            </w:pPr>
            <w:r>
              <w:rPr>
                <w:rFonts w:ascii="仿宋_GB2312" w:hAnsi="仿宋_GB2312" w:cs="仿宋_GB2312" w:eastAsia="仿宋_GB2312"/>
                <w:sz w:val="24"/>
              </w:rPr>
              <w:t>（一）机舱布置</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机舱位置：全船尾部#5-#14肋位，机舱总长约4.5m，宽约5.3m。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内部布置：舱内规范布置2台主机、2台齿轮箱、1台25kW发电机组、2台舱底消防水总用泵、1台生活污水粉碎泵、1台污油和尾轴油手摇泵、2个过滤器、2套底阀、4个闸阀、2组主机起动电瓶、1组发电机组起动电瓶、部分电器设备及全套配套管路；设备间距合理，便于操作、检修及管路敷设。</w:t>
            </w:r>
          </w:p>
          <w:p>
            <w:pPr>
              <w:pStyle w:val="null3"/>
              <w:jc w:val="both"/>
            </w:pPr>
            <w:r>
              <w:rPr>
                <w:rFonts w:ascii="仿宋_GB2312" w:hAnsi="仿宋_GB2312" w:cs="仿宋_GB2312" w:eastAsia="仿宋_GB2312"/>
                <w:sz w:val="24"/>
              </w:rPr>
              <w:t>（二）主机、齿轮箱及控制系统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主机参数：四冲程、增压中冷型船用柴油机，自带充电发电机，主机运转时可自动对起动电瓶充电，燃油消耗率符合船用柴油机规范要求。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控制系统：采用全电遥控系统对双主机、齿轮箱进行远距离控制；驾控台设启停开关，可实现主机遥控起动和停车；驾控台配备主机全参数监控仪表（转速、油温、水温、油压等）及声光报警装置，参数异常时可即时报警。</w:t>
            </w:r>
          </w:p>
          <w:p>
            <w:pPr>
              <w:pStyle w:val="null3"/>
              <w:jc w:val="both"/>
            </w:pPr>
            <w:r>
              <w:rPr>
                <w:rFonts w:ascii="仿宋_GB2312" w:hAnsi="仿宋_GB2312" w:cs="仿宋_GB2312" w:eastAsia="仿宋_GB2312"/>
                <w:sz w:val="24"/>
              </w:rPr>
              <w:t>（三）轴系和舵操纵系统</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全船设有两套轴系，每套轴系全长约为3067mm，与基线倾角为2°，尾轴采用油润滑装置，前后设有轴承和密封装置，尾轴材料为35#钢。螺旋桨与艉轴为键连接，螺旋桨为定距螺旋桨。</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液舵采用电动或主机皮带泵产生液压向推动油缸提供动力源。在驾控台通过操纵系统三位四通电磁阀，达到改变油缸推舵的运动方向，达到改变舵叶转动控制船舶的航向。舵叶可左右转动35°。舵舱设有舵角发讯器，驾控台设有舵角指示器，以便驾控人员掌控船舶的航向。</w:t>
            </w:r>
          </w:p>
          <w:p>
            <w:pPr>
              <w:pStyle w:val="null3"/>
              <w:jc w:val="both"/>
            </w:pPr>
            <w:r>
              <w:rPr>
                <w:rFonts w:ascii="仿宋_GB2312" w:hAnsi="仿宋_GB2312" w:cs="仿宋_GB2312" w:eastAsia="仿宋_GB2312"/>
                <w:sz w:val="24"/>
              </w:rPr>
              <w:t>（四）船舶管路系统（全系统）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燃油系统</w:t>
            </w:r>
          </w:p>
          <w:p>
            <w:pPr>
              <w:pStyle w:val="null3"/>
              <w:ind w:firstLine="480"/>
              <w:jc w:val="left"/>
            </w:pPr>
            <w:r>
              <w:rPr>
                <w:rFonts w:ascii="仿宋_GB2312" w:hAnsi="仿宋_GB2312" w:cs="仿宋_GB2312" w:eastAsia="仿宋_GB2312"/>
                <w:sz w:val="24"/>
              </w:rPr>
              <w:t>本船主辅机均使用闪点不低于60℃的0#柴油。在#21-#25肋位设有一个燃油舱，燃油从主甲板经注入头、注入管注入到燃油舱。燃油舱上设有电子液位计、放泄阀、手动快关阀。日用油柜设有手动快关阀、液位计和接油盘，顶部设有注油口、透气头和溢流观察器。燃油箱流出的燃油，经过分配阀箱和主、辅机各自的燃油滤器，分别为主、辅机供油。在阀件和滤器的下面设接油盘。油箱手动快阀的速闭系统采用手拉钢丝软轴。如发生紧急情况时，驾控人员拉动主甲左舷附近紧急灭火操作盒里的手柄，通过软轴可立即关闭快关阀，切断油路。燃油箱所在的空舱，设有地板盖，方便工作人员打开并进入其中进行一些设备和管路的检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滑油系统</w:t>
            </w:r>
          </w:p>
          <w:p>
            <w:pPr>
              <w:pStyle w:val="null3"/>
              <w:ind w:firstLine="480"/>
              <w:jc w:val="left"/>
            </w:pPr>
            <w:r>
              <w:rPr>
                <w:rFonts w:ascii="仿宋_GB2312" w:hAnsi="仿宋_GB2312" w:cs="仿宋_GB2312" w:eastAsia="仿宋_GB2312"/>
                <w:sz w:val="24"/>
              </w:rPr>
              <w:t>主、辅机的滑油系统机内自成循环系统，无需另设管路，但应根据厂家的要求按时更换新油，本船在机舱右舷设0.1</w:t>
            </w:r>
            <w:r>
              <w:rPr>
                <w:rFonts w:ascii="仿宋_GB2312" w:hAnsi="仿宋_GB2312" w:cs="仿宋_GB2312" w:eastAsia="仿宋_GB2312"/>
                <w:sz w:val="21"/>
              </w:rPr>
              <w:t>m</w:t>
            </w:r>
            <w:r>
              <w:rPr>
                <w:rFonts w:ascii="仿宋_GB2312" w:hAnsi="仿宋_GB2312" w:cs="仿宋_GB2312" w:eastAsia="仿宋_GB2312"/>
                <w:sz w:val="21"/>
              </w:rPr>
              <w:t>³</w:t>
            </w:r>
            <w:r>
              <w:rPr>
                <w:rFonts w:ascii="仿宋_GB2312" w:hAnsi="仿宋_GB2312" w:cs="仿宋_GB2312" w:eastAsia="仿宋_GB2312"/>
                <w:sz w:val="24"/>
              </w:rPr>
              <w:t>滑油贮存柜一个。</w:t>
            </w:r>
          </w:p>
          <w:p>
            <w:pPr>
              <w:pStyle w:val="null3"/>
              <w:jc w:val="left"/>
            </w:pPr>
            <w:r>
              <w:rPr>
                <w:rFonts w:ascii="仿宋_GB2312" w:hAnsi="仿宋_GB2312" w:cs="仿宋_GB2312" w:eastAsia="仿宋_GB2312"/>
                <w:sz w:val="24"/>
              </w:rPr>
              <w:t>本船轴系为油润滑，在机舱壁设有30L的艉轴滑油箱，艉轴和油箱之间的连接全部使用紫铜管。油箱设有加油口、透气口、出油阀、放泄阀和自闭式液位计。</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油污水系统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污油水柜：设0.41m³油污水柜1个，用于收集机舱污油水，材质防腐、密封良好。</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排放方式：通过手摇泵将污油水排出，仅可在具备回收条件的基地/码头岸上回收处理，不得向水体直排。</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冷却水系统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主机冷却：采用水冷双循环系统，淡水为闭式循环；主机自带泵从底阀抽取河水，依次进入淡水冷却器（冷却淡水）、齿轮箱滑油冷却器（冷却机油）、主机排气管水套，最后随主机废气一同排出，冷却效率符合主机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发电机组冷却：发电机组的柴油机冷却水系统与主机冷却水系统结构、原理一致，冷却效果匹配机组功率。</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过滤器：主机、发电机组、船载制冷设备泵及消防水泵均自带过滤器，过滤精度符合设备要求，便于拆卸清洗。</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舱底水系统及机舱油污水系统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舱底泵配置：机舱设2台50CBZ-35舱底消防总用泵（电动、机带各1台），及舱底水阀箱，泵体流量、扬程符合舱底排水要求。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高水位报警：机舱设舱底水高水位报警装置，水位达到预警值时即时声光报警，提醒船员排水。</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排水功能：总用泵兼作舱底泵，可通过阀箱和专用管道抽吸各舱室的舱底水；应急状况下可用手摇泵将机舱舱底水排至污油水箱。</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污油水收集：机舱设0.41m³污油水箱1个，通过手摇泵将舱底污油水排入其中，到港后由港口接受设备抽取回收，全程无直排。</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消防水系统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消防泵配置：机舱设2台自吸式舱底消防总用泵（电动、机带各1台），泵体自吸性能良好，启动迅速。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消防栓布置：艉主甲板设1个消防栓、露天甲板设1个消防栓，消防栓接口符合国标，安装牢固；消防管路敷设至全船消防区域，无死角。</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灭火流程：火情时启动机带/电动消防泵，从海底阀抽取河水，经消防管、消防栓输出，满足应急灭火水压、水量要求。</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生活用水系统</w:t>
            </w:r>
          </w:p>
          <w:p>
            <w:pPr>
              <w:pStyle w:val="null3"/>
              <w:jc w:val="both"/>
            </w:pPr>
            <w:r>
              <w:rPr>
                <w:rFonts w:ascii="仿宋_GB2312" w:hAnsi="仿宋_GB2312" w:cs="仿宋_GB2312" w:eastAsia="仿宋_GB2312"/>
                <w:sz w:val="24"/>
              </w:rPr>
              <w:t>淡水泵配置：机舱设1台24V淡水泵，泵体流量匹配生活用水需求，运行稳定。</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生活污水系统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污水舱布置：25#-28#肋位主甲板地台下设生活污水舱，舱体容积匹配人员配置，防腐、密封良好。</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液位报警：污水舱设液位传感器，驾控台设生活污水舱高位报警装置，当污液达到设定高位时自动发出声光报警。</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机舱通风系统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通风模式：采用自然排风+强制进风模式，通风效率满足机舱设备运行和人员操作要求。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进风机配置：配进风机，为机舱持续提供新鲜空气，保证主机燃烧所需氧气，同时调节机舱空气质量；污浊空气通过送风置换自然排出，机舱内无闷热、异味聚集。</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船载制冷设备系统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配置要求：设3台船载制冷设备，分别为驾驶室、会议室、指挥室；均支持制冷、制热双模式，制冷/制热效率符合国标。</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使用要求：船载制冷设备覆盖驾驶室、指挥室、会议室全部区域，为舱内人员提供舒适环境。</w:t>
            </w:r>
          </w:p>
          <w:p>
            <w:pPr>
              <w:pStyle w:val="null3"/>
              <w:jc w:val="both"/>
            </w:pPr>
            <w:r>
              <w:rPr>
                <w:rFonts w:ascii="仿宋_GB2312" w:hAnsi="仿宋_GB2312" w:cs="仿宋_GB2312" w:eastAsia="仿宋_GB2312"/>
                <w:sz w:val="24"/>
              </w:rPr>
              <w:t>三、电气部分</w:t>
            </w:r>
          </w:p>
          <w:p>
            <w:pPr>
              <w:pStyle w:val="null3"/>
              <w:jc w:val="both"/>
            </w:pPr>
            <w:r>
              <w:rPr>
                <w:rFonts w:ascii="仿宋_GB2312" w:hAnsi="仿宋_GB2312" w:cs="仿宋_GB2312" w:eastAsia="仿宋_GB2312"/>
                <w:sz w:val="24"/>
              </w:rPr>
              <w:t>（一）总体要求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设计与安装：电气设备的选型、线路设计、建造、安装、试验均满足中国船级社和中华人民共和国海事局的全部规范和规则要求。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设备资质：主要电气设备及材料均为船用产品，并经船检机构认可后上船安装。</w:t>
            </w:r>
          </w:p>
          <w:p>
            <w:pPr>
              <w:pStyle w:val="null3"/>
              <w:jc w:val="both"/>
            </w:pPr>
            <w:r>
              <w:rPr>
                <w:rFonts w:ascii="仿宋_GB2312" w:hAnsi="仿宋_GB2312" w:cs="仿宋_GB2312" w:eastAsia="仿宋_GB2312"/>
                <w:sz w:val="24"/>
              </w:rPr>
              <w:t>（二）电制标准</w:t>
            </w:r>
          </w:p>
          <w:p>
            <w:pPr>
              <w:pStyle w:val="null3"/>
              <w:jc w:val="both"/>
            </w:pPr>
            <w:r>
              <w:rPr>
                <w:rFonts w:ascii="仿宋_GB2312" w:hAnsi="仿宋_GB2312" w:cs="仿宋_GB2312" w:eastAsia="仿宋_GB2312"/>
                <w:sz w:val="24"/>
              </w:rPr>
              <w:t>系统类型电制参数使用范围</w:t>
            </w:r>
          </w:p>
          <w:p>
            <w:pPr>
              <w:pStyle w:val="null3"/>
              <w:jc w:val="both"/>
            </w:pPr>
            <w:r>
              <w:rPr>
                <w:rFonts w:ascii="仿宋_GB2312" w:hAnsi="仿宋_GB2312" w:cs="仿宋_GB2312" w:eastAsia="仿宋_GB2312"/>
                <w:sz w:val="24"/>
              </w:rPr>
              <w:t>主电源采用AC400V、50Hz，三相四线中性点接地系统</w:t>
            </w:r>
          </w:p>
          <w:p>
            <w:pPr>
              <w:pStyle w:val="null3"/>
              <w:jc w:val="both"/>
            </w:pPr>
            <w:r>
              <w:rPr>
                <w:rFonts w:ascii="仿宋_GB2312" w:hAnsi="仿宋_GB2312" w:cs="仿宋_GB2312" w:eastAsia="仿宋_GB2312"/>
                <w:sz w:val="24"/>
              </w:rPr>
              <w:t>电力系统：AC380V、50Hz，三相三线系统为动力设备供电</w:t>
            </w:r>
          </w:p>
          <w:p>
            <w:pPr>
              <w:pStyle w:val="null3"/>
              <w:jc w:val="both"/>
            </w:pPr>
            <w:r>
              <w:rPr>
                <w:rFonts w:ascii="仿宋_GB2312" w:hAnsi="仿宋_GB2312" w:cs="仿宋_GB2312" w:eastAsia="仿宋_GB2312"/>
                <w:sz w:val="24"/>
              </w:rPr>
              <w:t>辅助供电：AC220V、50Hz，双线制为助航、照明、船载制冷设备、航行信号设备供电</w:t>
            </w:r>
          </w:p>
          <w:p>
            <w:pPr>
              <w:pStyle w:val="null3"/>
              <w:jc w:val="both"/>
            </w:pPr>
            <w:r>
              <w:rPr>
                <w:rFonts w:ascii="仿宋_GB2312" w:hAnsi="仿宋_GB2312" w:cs="仿宋_GB2312" w:eastAsia="仿宋_GB2312"/>
                <w:sz w:val="24"/>
              </w:rPr>
              <w:t>低压系统如低压照明、航行信号灯、助航设备备用电源等选用DC24V双线绝缘供电系统。</w:t>
            </w:r>
          </w:p>
          <w:p>
            <w:pPr>
              <w:pStyle w:val="null3"/>
              <w:jc w:val="both"/>
            </w:pPr>
            <w:r>
              <w:rPr>
                <w:rFonts w:ascii="仿宋_GB2312" w:hAnsi="仿宋_GB2312" w:cs="仿宋_GB2312" w:eastAsia="仿宋_GB2312"/>
                <w:sz w:val="24"/>
              </w:rPr>
              <w:t>（三）电源配置</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电站</w:t>
            </w:r>
          </w:p>
          <w:p>
            <w:pPr>
              <w:pStyle w:val="null3"/>
              <w:jc w:val="both"/>
            </w:pPr>
            <w:r>
              <w:rPr>
                <w:rFonts w:ascii="仿宋_GB2312" w:hAnsi="仿宋_GB2312" w:cs="仿宋_GB2312" w:eastAsia="仿宋_GB2312"/>
                <w:sz w:val="24"/>
              </w:rPr>
              <w:t>设AC400V25KW/45.1A船用柴油发电机组1台，配套机带舵机泵、机带舱底泵各1台；发电机组运行稳定，电压、频率波动率符合船用要求，可满足全船满负荷用电需求。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蓄电池组</w:t>
            </w:r>
          </w:p>
          <w:p>
            <w:pPr>
              <w:pStyle w:val="null3"/>
              <w:jc w:val="both"/>
            </w:pPr>
            <w:r>
              <w:rPr>
                <w:rFonts w:ascii="仿宋_GB2312" w:hAnsi="仿宋_GB2312" w:cs="仿宋_GB2312" w:eastAsia="仿宋_GB2312"/>
                <w:sz w:val="24"/>
              </w:rPr>
              <w:t>蓄电池类型配置参数使用用途</w:t>
            </w:r>
          </w:p>
          <w:p>
            <w:pPr>
              <w:pStyle w:val="null3"/>
              <w:jc w:val="both"/>
            </w:pPr>
            <w:r>
              <w:rPr>
                <w:rFonts w:ascii="仿宋_GB2312" w:hAnsi="仿宋_GB2312" w:cs="仿宋_GB2312" w:eastAsia="仿宋_GB2312"/>
                <w:sz w:val="24"/>
              </w:rPr>
              <w:t>启动蓄电池组3组，每组2只（12V，200Ah）串联，总电压24V2组用于主机启动，1组用于发电机组启动</w:t>
            </w:r>
          </w:p>
          <w:p>
            <w:pPr>
              <w:pStyle w:val="null3"/>
              <w:jc w:val="both"/>
            </w:pPr>
            <w:r>
              <w:rPr>
                <w:rFonts w:ascii="仿宋_GB2312" w:hAnsi="仿宋_GB2312" w:cs="仿宋_GB2312" w:eastAsia="仿宋_GB2312"/>
                <w:sz w:val="24"/>
              </w:rPr>
              <w:t>备用蓄电池组1组，2只（12V，200Ah）串联，总电压24V/200AH全船DC24V低压设备备用电源</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充电机及稳压电源</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充电机：驾驶室设充电机1台，输入AC220V，输出DC24V20A；采用浮充形式，为备用蓄电池组充电，兼作启动电瓶的充电电源，充电效率高、保护功能完善。</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稳压电源：驾驶室设稳压电源1台，输入AC220V，输出DC24V50A；发电机组供电时，为全船低压设备提供稳定的DC24V备用电源，电压波动率≤±1%。</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岸电箱</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安装位置：主甲板艉部设岸电箱1只。</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技术参数：AC380V50A三相四线，配63A插头，防护等级IP56；带短路、过载保护功能，配急停按钮、相序指示、接线柱、接地柱，保护功能灵敏、指示清晰。</w:t>
            </w:r>
          </w:p>
          <w:p>
            <w:pPr>
              <w:pStyle w:val="null3"/>
              <w:jc w:val="both"/>
            </w:pPr>
            <w:r>
              <w:rPr>
                <w:rFonts w:ascii="仿宋_GB2312" w:hAnsi="仿宋_GB2312" w:cs="仿宋_GB2312" w:eastAsia="仿宋_GB2312"/>
                <w:sz w:val="24"/>
              </w:rPr>
              <w:t>（四）配电系统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主配电板</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安装位置及结构：机舱设主配电板1屏，为发电机控制屏兼负荷屏；框架式结构，落地安装，含底座尺寸为长700×高2200×厚450（mm）；配电板前装绝缘扶手，板前检修，操作方便。</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功能配置：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上面板：设发电机/岸电电压表、电流表、发电机频率表，及相关按钮、指示灯、转换开关；设船岸电联锁装置，防止船电、岸电并联，保护设备安全。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下面板：设全船配电开关，可分别对AC380V电力、220V正常照明、助航设备进行独立配电，开关分合灵敏，过载、短路保护有效。</w:t>
            </w:r>
          </w:p>
          <w:p>
            <w:pPr>
              <w:pStyle w:val="null3"/>
              <w:jc w:val="both"/>
            </w:pPr>
            <w:r>
              <w:rPr>
                <w:rFonts w:ascii="仿宋_GB2312" w:hAnsi="仿宋_GB2312" w:cs="仿宋_GB2312" w:eastAsia="仿宋_GB2312"/>
                <w:sz w:val="24"/>
              </w:rPr>
              <w:t>2.DC24V</w:t>
            </w:r>
            <w:r>
              <w:rPr>
                <w:rFonts w:ascii="仿宋_GB2312" w:hAnsi="仿宋_GB2312" w:cs="仿宋_GB2312" w:eastAsia="仿宋_GB2312"/>
                <w:sz w:val="24"/>
              </w:rPr>
              <w:t>低压充放电箱</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安装位置：驾控台内设置1台DC24V低压充放电箱。</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功能配置：设充电/放电电流表、电压表、绝缘监测仪，及指示灯和配电开关；稳压电源失电时自动投入蓄电池组为全船低压设备配电，稳压电源供电恢复后自动切除蓄电池组，切换过程无缝，无电压波动。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驾控台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定制要求：由船厂定制驾控台1座，整体布局合理，操作面板人性化，按钮、仪表标识清晰，便于驾控人员操作。</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集成配置：集成舵机操纵台、主机遥控板、双主机应急车钟发讯器、甚高频（2台）、AIS（带北斗功能）、长排警灯控制板（带对外扩音功能）、通用报警单元、声力电话单元、主机转速显示表（主机配套）、电笛控制单元、雨刮器控制单元、航行信号灯/闪光灯/探照灯控制单元、液位监测报警单元、风油遥切系统、交流/直流助航分电箱等，所有集成设备运行独立、联动顺畅。</w:t>
            </w:r>
          </w:p>
          <w:p>
            <w:pPr>
              <w:pStyle w:val="null3"/>
              <w:jc w:val="both"/>
            </w:pPr>
            <w:r>
              <w:rPr>
                <w:rFonts w:ascii="仿宋_GB2312" w:hAnsi="仿宋_GB2312" w:cs="仿宋_GB2312" w:eastAsia="仿宋_GB2312"/>
                <w:sz w:val="24"/>
              </w:rPr>
              <w:t>（五）电力系统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动力设备配置及供电：配电动舵机泵（≥3KW）、总用泵（≥4KW）、生活污水粉碎泵（≥1.1KW）、燃油输送泵（≥1.5KW）各1台，机舱风机（≥3KW）2台；所有动力设备电源由主配电板独立分路供电，由磁力启动器控制（设于泵旁），启动、停止灵敏；风机及油泵纳入全船风油遥切系统，紧急情况下可远程切断电源。</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远程控制：生活污水粉碎泵在通岸接口处设遥控按钮，总用泵在驾控台内设遥控按钮，远程操作响应及时，无延迟。</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船载制冷设备供电：由船载制冷设备分电箱独立分路供给AC220V电源；船载制冷设备纳入全船风油遥切系统，紧急情况下可远程切断电源。</w:t>
            </w:r>
          </w:p>
          <w:p>
            <w:pPr>
              <w:pStyle w:val="null3"/>
              <w:jc w:val="both"/>
            </w:pPr>
            <w:r>
              <w:rPr>
                <w:rFonts w:ascii="仿宋_GB2312" w:hAnsi="仿宋_GB2312" w:cs="仿宋_GB2312" w:eastAsia="仿宋_GB2312"/>
                <w:sz w:val="24"/>
              </w:rPr>
              <w:t>（六）航行及通讯设备</w:t>
            </w:r>
          </w:p>
          <w:p>
            <w:pPr>
              <w:pStyle w:val="null3"/>
              <w:jc w:val="both"/>
            </w:pPr>
            <w:r>
              <w:rPr>
                <w:rFonts w:ascii="仿宋_GB2312" w:hAnsi="仿宋_GB2312" w:cs="仿宋_GB2312" w:eastAsia="仿宋_GB2312"/>
                <w:sz w:val="24"/>
              </w:rPr>
              <w:t>所有航行及通讯设备均须为船用合格产品，性能稳定、信号清晰，满足内河B级航区航行要求，具体配置及要求如下：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主机延伸报警板：驾驶室设置，可实时显示主机运行参数（转速、油温、水温等）及转速，参数异常即时报警。</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舵机操纵台：1座，与驾控台组合安装，由舵机系统配套提供；含舵角指示器，舵角显示精准，与实际转角偏差≤1°。</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通用报警系统：控制开关设于驾控台，音响设备为鸣音器；由交流助航分电箱及低压助航分电箱两路电源供电，一路断电另一路自动投入，报警无中断。</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长排警灯：1套，控制板安装于驾控台内，带对外扩音功能；DC24V电源由低压助航分电箱独立分路供电，灯光亮度、扩音音量符合执法要求。</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电动探照灯：3盏，随机配套控制板；AC220V电源由交流助航分电箱独立分路供电，照射距离≥500m，角度可调节，灯光清晰。</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声力电话：1套，实现驾驶室与机舱、舵机舱之间的双向通话，无电源情况下可正常通话，语音清晰、无杂音。</w:t>
            </w:r>
          </w:p>
          <w:p>
            <w:pPr>
              <w:pStyle w:val="null3"/>
              <w:jc w:val="both"/>
            </w:pPr>
            <w:r>
              <w:rPr>
                <w:rFonts w:ascii="仿宋_GB2312" w:hAnsi="仿宋_GB2312" w:cs="仿宋_GB2312" w:eastAsia="仿宋_GB2312"/>
                <w:sz w:val="24"/>
              </w:rPr>
              <w:t>7.B</w:t>
            </w:r>
            <w:r>
              <w:rPr>
                <w:rFonts w:ascii="仿宋_GB2312" w:hAnsi="仿宋_GB2312" w:cs="仿宋_GB2312" w:eastAsia="仿宋_GB2312"/>
                <w:sz w:val="24"/>
              </w:rPr>
              <w:t>级自动识别系统（AIS）：1套，具有北斗定位功能；由交流助航分电箱及低压助航分电箱两路电源供电。</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主机电遥控装置：1套，由主配电板和24V低压充放电箱直接供电，遥控操作灵敏，与主机联动顺畅。</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应急车钟：1套（含左、右主机），由交流助航分电箱及低压助航分电箱两路电源供电；车钟指令清晰，响应及时，无错码。</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雨刮器：1套，控制器设于驾控台；DC24V电源由低压助航分电箱供电，运行平稳、无异响。</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液位报警系统：1套，安装于驾控台；包含机舱舱底水报警、生活污水柜高液位报警、淡水箱低液位报警、燃油舱低液位报警，各报警阈值可设置，报警即时、准确。</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测深仪：1套，随机配套换能器、线束等；由交流助航分电箱及低压助航分电箱两路电源供电，测深精度≤0.1m，数据显示清晰。</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雷达：1套，随机配套内置天线、电源装置、线束等；由主配电板和低压充放电板两路电源供给，探测距离≥10km，目标识别清晰，无杂波。</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电子海图仪：1套，随机配套电源装置；由交流助航分电箱及低压助航分电箱两路电源供电，海图更新及时，定位精准，可与AIS、雷达联动。</w:t>
            </w:r>
          </w:p>
          <w:p>
            <w:pPr>
              <w:pStyle w:val="null3"/>
              <w:jc w:val="both"/>
            </w:pPr>
            <w:r>
              <w:rPr>
                <w:rFonts w:ascii="仿宋_GB2312" w:hAnsi="仿宋_GB2312" w:cs="仿宋_GB2312" w:eastAsia="仿宋_GB2312"/>
                <w:sz w:val="24"/>
              </w:rPr>
              <w:t>（七）无线电设备</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甚高频无线电话：2台，安装于驾控台；由交流助航分电箱及低压助航分电箱两路电源供电，通话频率符合海事规范，信号清晰、无干扰，通讯距离≥5km。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可携式收音机：1部，具有接收安全航行信息的功能，调频清晰，可接收海事安全频道信息。</w:t>
            </w:r>
          </w:p>
          <w:p>
            <w:pPr>
              <w:pStyle w:val="null3"/>
              <w:jc w:val="both"/>
            </w:pPr>
            <w:r>
              <w:rPr>
                <w:rFonts w:ascii="仿宋_GB2312" w:hAnsi="仿宋_GB2312" w:cs="仿宋_GB2312" w:eastAsia="仿宋_GB2312"/>
                <w:sz w:val="24"/>
              </w:rPr>
              <w:t>（八）航行、信号系统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航行信号灯控制板：1块，安装于驾控台；控制左右舷灯、桅灯、艉灯、锚泊灯、白闪光灯、红闪光灯，灯光亮度符合内河航行要求；设断丝报警功能，灯泡损坏时即时声光报警。</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电笛：1套，控制开关装于驾控台；DC24V电源由低压助航分电箱供电，笛声洪亮，声压级符合海事规范，可远距离传播，无破音。</w:t>
            </w:r>
          </w:p>
          <w:p>
            <w:pPr>
              <w:pStyle w:val="null3"/>
              <w:jc w:val="both"/>
            </w:pPr>
            <w:r>
              <w:rPr>
                <w:rFonts w:ascii="仿宋_GB2312" w:hAnsi="仿宋_GB2312" w:cs="仿宋_GB2312" w:eastAsia="仿宋_GB2312"/>
                <w:sz w:val="24"/>
              </w:rPr>
              <w:t>（九）照明系统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照明配置：机舱、会议室、指挥室及驾驶室均设AC220V和DC24V双路照明灯具，两路电源可自动切换，一路断电另一路即时投入，照明无中断；灯具亮度符合舱内操作、使用要求，无眩光。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船名灯箱：预留船名灯箱电源线路，AC220V电源由照明分电箱独立分路供电，线路敷设规范，预留接口匹配灯箱安装。</w:t>
            </w:r>
          </w:p>
          <w:p>
            <w:pPr>
              <w:pStyle w:val="null3"/>
              <w:jc w:val="both"/>
            </w:pPr>
            <w:r>
              <w:rPr>
                <w:rFonts w:ascii="仿宋_GB2312" w:hAnsi="仿宋_GB2312" w:cs="仿宋_GB2312" w:eastAsia="仿宋_GB2312"/>
                <w:sz w:val="24"/>
              </w:rPr>
              <w:t>（十）船载监控预警设备</w:t>
            </w:r>
          </w:p>
          <w:p>
            <w:pPr>
              <w:pStyle w:val="null3"/>
              <w:jc w:val="both"/>
            </w:pPr>
            <w:r>
              <w:rPr>
                <w:rFonts w:ascii="仿宋_GB2312" w:hAnsi="仿宋_GB2312" w:cs="仿宋_GB2312" w:eastAsia="仿宋_GB2312"/>
                <w:sz w:val="24"/>
              </w:rPr>
              <w:t>所有监控设备均需适应船舶航行环境（防震动、防潮湿、防腐蚀）；船载监控预警设备带</w:t>
            </w:r>
            <w:r>
              <w:rPr>
                <w:rFonts w:ascii="仿宋_GB2312" w:hAnsi="仿宋_GB2312" w:cs="仿宋_GB2312" w:eastAsia="仿宋_GB2312"/>
                <w:sz w:val="24"/>
                <w:color w:val="000000"/>
              </w:rPr>
              <w:t>★项的参数在履约验收时提供国家认可的第三方检测检测机构出具的检测报告复印件并加盖供应商鲜章，具体参数要求如下：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传感器：400万像素CMOS传感器，靶面尺寸≥1/1.8"，内置GPU芯片，图像处理速度快。</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★最低照度：彩色≤0.0002lx，黑白≤0.0001lx，低光照环境下可清晰成像（备注：因船舶夜航执法需求，需满足低光照环境成像要求，该参数为执法功能必需）。</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★红外补光距离：≥60米，红外补光均匀，无过曝、暗角，夜间成像清晰。</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故障报警：支持亮度异常、清晰度异常、花屏、雪花、偏色、画面冻结、增益失衡、画面抖动、条纹干扰、信号丢失、视频遮挡、光晕、紫边等全类型画面故障报警，报警即时、准确。</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★编码效率：同一静止场景相同图像质量下，H.265编码方式时，开启智能编码功能较不开启码率节约80%，节省存储和带宽。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客流统计：支持双向统计客流量及统计重复客流数量，统计结果可实时叠加在监控画面上，显示清晰。</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★客流统计准确率：客流统计准确率≥99%，重复人员计数准确率≥99%，统计误差≤1%。</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人员分析：支持人员统计、行为分析、区域关注度和热度图功能，分析结果准确、直观。</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热度图：支持最多8个区域某时间段内的人员密度通过不同颜色显示；可设置生成空间和时间两张热度图，支持热度图查询和导出，导出格式兼容主流办公软件。</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★区域人数报警：支持区域人数检测报警功能，可自定义设置报警阈值人数；当检测区域内人员数量＞阈值、＜阈值、＝阈值或≠阈值时，可触发报警功能，报警方式包括声光、后台推送等。</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存储系统：</w:t>
            </w:r>
          </w:p>
          <w:p>
            <w:pPr>
              <w:pStyle w:val="null3"/>
              <w:jc w:val="both"/>
            </w:pPr>
            <w:r>
              <w:rPr>
                <w:rFonts w:ascii="仿宋_GB2312" w:hAnsi="仿宋_GB2312" w:cs="仿宋_GB2312" w:eastAsia="仿宋_GB2312"/>
                <w:sz w:val="24"/>
              </w:rPr>
              <w:t>存储容量：支持≥16 块硬盘扩展，单盘容量支持 8TB，总存储容量≥36TB；</w:t>
            </w:r>
          </w:p>
          <w:p>
            <w:pPr>
              <w:pStyle w:val="null3"/>
              <w:jc w:val="both"/>
            </w:pPr>
            <w:r>
              <w:rPr>
                <w:rFonts w:ascii="仿宋_GB2312" w:hAnsi="仿宋_GB2312" w:cs="仿宋_GB2312" w:eastAsia="仿宋_GB2312"/>
                <w:sz w:val="24"/>
              </w:rPr>
              <w:t>存储性能：支持 RAID 0/1/5/6 阵列，数据写入速率≥200MB/s，支持视频、音频、文本数据混合存储；</w:t>
            </w:r>
          </w:p>
          <w:p>
            <w:pPr>
              <w:pStyle w:val="null3"/>
              <w:jc w:val="both"/>
            </w:pPr>
            <w:r>
              <w:rPr>
                <w:rFonts w:ascii="仿宋_GB2312" w:hAnsi="仿宋_GB2312" w:cs="仿宋_GB2312" w:eastAsia="仿宋_GB2312"/>
                <w:sz w:val="24"/>
              </w:rPr>
              <w:t>数据安全：支持 AES-256 加密存储，具备数据防篡改、故障自动：恢复功能，确保执法取证数据合法有效</w:t>
            </w:r>
          </w:p>
          <w:p>
            <w:pPr>
              <w:pStyle w:val="null3"/>
              <w:jc w:val="both"/>
            </w:pPr>
            <w:r>
              <w:rPr>
                <w:rFonts w:ascii="仿宋_GB2312" w:hAnsi="仿宋_GB2312" w:cs="仿宋_GB2312" w:eastAsia="仿宋_GB2312"/>
                <w:sz w:val="24"/>
              </w:rPr>
              <w:t>（十一）智能监管软件平台</w:t>
            </w:r>
          </w:p>
          <w:p>
            <w:pPr>
              <w:pStyle w:val="null3"/>
              <w:jc w:val="both"/>
            </w:pPr>
            <w:r>
              <w:rPr>
                <w:rFonts w:ascii="仿宋_GB2312" w:hAnsi="仿宋_GB2312" w:cs="仿宋_GB2312" w:eastAsia="仿宋_GB2312"/>
                <w:sz w:val="24"/>
              </w:rPr>
              <w:t>软件平台需为正版产品，运行稳定、兼容性强，适配船用硬件设备，支持远程升级、维护；</w:t>
            </w:r>
          </w:p>
          <w:p>
            <w:pPr>
              <w:pStyle w:val="null3"/>
              <w:jc w:val="both"/>
            </w:pPr>
            <w:r>
              <w:rPr>
                <w:rFonts w:ascii="仿宋_GB2312" w:hAnsi="仿宋_GB2312" w:cs="仿宋_GB2312" w:eastAsia="仿宋_GB2312"/>
                <w:sz w:val="24"/>
              </w:rPr>
              <w:t>智能监管软件平台技术参数中带★项须提供产品功能截图并加盖供应商电子印章，具体功能要求如下：</w:t>
            </w:r>
          </w:p>
          <w:p>
            <w:pPr>
              <w:pStyle w:val="null3"/>
              <w:jc w:val="both"/>
            </w:pPr>
            <w:r>
              <w:rPr>
                <w:rFonts w:ascii="仿宋_GB2312" w:hAnsi="仿宋_GB2312" w:cs="仿宋_GB2312" w:eastAsia="仿宋_GB2312"/>
                <w:sz w:val="24"/>
              </w:rPr>
              <w:t>11.1</w:t>
            </w:r>
            <w:r>
              <w:rPr>
                <w:rFonts w:ascii="仿宋_GB2312" w:hAnsi="仿宋_GB2312" w:cs="仿宋_GB2312" w:eastAsia="仿宋_GB2312"/>
                <w:sz w:val="24"/>
              </w:rPr>
              <w:t>水上执法指挥船动态监测功能模块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实时监测：实现船舶实时动态位置跟踪、实时视频监控查看、当前水域通航数据展示功能，数据更新频率≤5s，画面无卡顿。</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数据管理与查询：实现渡口基础数据（渡口、执法船、设备设施基础信息）系统展示；支持船舶历史轨迹数据查询（可按时间、航次筛选）；支持水文气象数据、AI分析结果（超载、船舶危险行为等）、航次业务数据（渡口执法船名称、航次起讫时间、载客人数、当时航次水文气象及核验信息、船证人证的证照及核验信息、船舱图片、乘客数量及船舱图片、航程、最大时速、航次视频记录）等全信息查询，查询结果可导出、打印。</w:t>
            </w:r>
          </w:p>
          <w:p>
            <w:pPr>
              <w:pStyle w:val="null3"/>
              <w:jc w:val="both"/>
            </w:pPr>
            <w:r>
              <w:rPr>
                <w:rFonts w:ascii="仿宋_GB2312" w:hAnsi="仿宋_GB2312" w:cs="仿宋_GB2312" w:eastAsia="仿宋_GB2312"/>
                <w:sz w:val="24"/>
              </w:rPr>
              <w:t>11.2</w:t>
            </w:r>
            <w:r>
              <w:rPr>
                <w:rFonts w:ascii="仿宋_GB2312" w:hAnsi="仿宋_GB2312" w:cs="仿宋_GB2312" w:eastAsia="仿宋_GB2312"/>
                <w:sz w:val="24"/>
              </w:rPr>
              <w:t>六不开航监管功能模块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船舶开航资质查验：基于执法船舶的国籍证书、船舶检验证书、船员合格证、船员适任证等运输证书信息，结合船舶移动定位数据，系统自动对证书有效性进行判断；证书有效期内标记为“符合开航”，证书过期仍开航标记为“不符合开航”，并自动提示预警，预警信息可推送至监管终端。</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通航气象条件查验：对接气象设备数据，实时感知当前天气情况（气温、湿度、能见度、风力、降雨量等）；当能见度过低（大雾、大霾）、风力过大等不适合航行时，系统标记为“不符合开航”，并即时预警，监管人员可根据预警决定是否停航。</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通航水文条件查验：建立通航信息台账，对区域范围内通航水域的水文气象信息进行基于地理信息的统一显示，并提供基于列表和地理信息的双重查询方式，数据更新及时。</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乘客超载情况查验：系统自动识别船舱内人数，与船舶荷载量上限对比；超载时系统在监控一张图中标记为“不符合开航”，并及时告警；船舶违规行驶、超载等行为，视频画面中显示预警图标，预警图标醒目、无遮挡。</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★预警提示：船舶出现违规行驶、超载等违章违法行为时，视频画面实时显示预警提示，同时船载喇叭自动播放预警语音，提醒现场人员；预警提示可自定义设置。</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异常自动提醒：船载喇叭可自动提示航行规范，规范语音可自定义录制、播放。</w:t>
            </w:r>
          </w:p>
          <w:p>
            <w:pPr>
              <w:pStyle w:val="null3"/>
              <w:jc w:val="both"/>
            </w:pPr>
            <w:r>
              <w:rPr>
                <w:rFonts w:ascii="仿宋_GB2312" w:hAnsi="仿宋_GB2312" w:cs="仿宋_GB2312" w:eastAsia="仿宋_GB2312"/>
                <w:sz w:val="24"/>
              </w:rPr>
              <w:t>11.3</w:t>
            </w:r>
            <w:r>
              <w:rPr>
                <w:rFonts w:ascii="仿宋_GB2312" w:hAnsi="仿宋_GB2312" w:cs="仿宋_GB2312" w:eastAsia="仿宋_GB2312"/>
                <w:sz w:val="24"/>
              </w:rPr>
              <w:t>移动端功能模块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实时查看：可通过移动端（手机、平板）实现前端画面实时查看，画面分辨率可调节，支持横屏、竖屏切换，无卡顿、延迟。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★驾驶安全预警：可接入船舶驾驶安全主动防御系统，实现移动端对驾驶人员疲劳检测、玩手机、打电话、抽烟等行为的报警提醒，报警信息即时推送，附带现场画面截图。</w:t>
            </w:r>
          </w:p>
          <w:p>
            <w:pPr>
              <w:pStyle w:val="null3"/>
              <w:jc w:val="both"/>
            </w:pPr>
            <w:r>
              <w:rPr>
                <w:rFonts w:ascii="仿宋_GB2312" w:hAnsi="仿宋_GB2312" w:cs="仿宋_GB2312" w:eastAsia="仿宋_GB2312"/>
                <w:sz w:val="24"/>
              </w:rPr>
              <w:t>11.4</w:t>
            </w:r>
            <w:r>
              <w:rPr>
                <w:rFonts w:ascii="仿宋_GB2312" w:hAnsi="仿宋_GB2312" w:cs="仿宋_GB2312" w:eastAsia="仿宋_GB2312"/>
                <w:sz w:val="24"/>
              </w:rPr>
              <w:t>隐患处置功能模块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隐患管理：提供隐患清单展示（按隐患等级、类型、位置筛选），清单信息包含隐患描述、发现时间、所在位置、等级、处置状态等。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流程跟踪：实现隐患处置流程跟踪，记录隐患上报、派单、处理、验收、销号全流程信息，流程可追溯、查询。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异常提醒：隐患未及时处理、处置不合格等情况时，系统即时异常提醒，提醒方式包括后台弹窗、移动端推送等。</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数据推送：隐患相关数据（清单、处置流程、预警信息等）可终端数据推送，推送至监管人员、船方相关终端，确保信息同步。</w:t>
            </w:r>
          </w:p>
          <w:p>
            <w:pPr>
              <w:pStyle w:val="null3"/>
              <w:jc w:val="both"/>
            </w:pPr>
            <w:r>
              <w:rPr>
                <w:rFonts w:ascii="仿宋_GB2312" w:hAnsi="仿宋_GB2312" w:cs="仿宋_GB2312" w:eastAsia="仿宋_GB2312"/>
                <w:sz w:val="24"/>
              </w:rPr>
              <w:t>（十二）电缆及其它电气配套</w:t>
            </w:r>
          </w:p>
          <w:p>
            <w:pPr>
              <w:pStyle w:val="null3"/>
              <w:jc w:val="both"/>
            </w:pPr>
            <w:r>
              <w:rPr>
                <w:rFonts w:ascii="仿宋_GB2312" w:hAnsi="仿宋_GB2312" w:cs="仿宋_GB2312" w:eastAsia="仿宋_GB2312"/>
                <w:sz w:val="24"/>
              </w:rPr>
              <w:t>12.1</w:t>
            </w:r>
            <w:r>
              <w:rPr>
                <w:rFonts w:ascii="仿宋_GB2312" w:hAnsi="仿宋_GB2312" w:cs="仿宋_GB2312" w:eastAsia="仿宋_GB2312"/>
                <w:sz w:val="24"/>
              </w:rPr>
              <w:t>电缆选型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通用要求：除特殊说明外，本船全部采用船用低烟无卤阻燃电缆，防火、阻燃、低烟、无卤，符合船用电缆规范。</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专用型号：电力、照明系统电缆采用CJ96/SC型；遥切系统、警铃系统电缆采用CJ96/NC型，电缆规格符合各系统功率、电流要求。</w:t>
            </w:r>
          </w:p>
          <w:p>
            <w:pPr>
              <w:pStyle w:val="null3"/>
              <w:jc w:val="both"/>
            </w:pPr>
            <w:r>
              <w:rPr>
                <w:rFonts w:ascii="仿宋_GB2312" w:hAnsi="仿宋_GB2312" w:cs="仿宋_GB2312" w:eastAsia="仿宋_GB2312"/>
                <w:sz w:val="24"/>
              </w:rPr>
              <w:t>12.2</w:t>
            </w:r>
            <w:r>
              <w:rPr>
                <w:rFonts w:ascii="仿宋_GB2312" w:hAnsi="仿宋_GB2312" w:cs="仿宋_GB2312" w:eastAsia="仿宋_GB2312"/>
                <w:sz w:val="24"/>
              </w:rPr>
              <w:t>电缆敷设</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敷设要求：按说明书及相关工艺标准安装固定，尽量平直敷设，便于检修；敷设路径避开尖锐棱角、高温设备，防止机械损伤和油水腐蚀。</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水密要求：电缆穿过水密舱壁时，采用专用水密套管，不破坏舱壁的水密性，无渗漏。</w:t>
            </w:r>
          </w:p>
          <w:p>
            <w:pPr>
              <w:pStyle w:val="null3"/>
              <w:jc w:val="both"/>
            </w:pPr>
            <w:r>
              <w:rPr>
                <w:rFonts w:ascii="仿宋_GB2312" w:hAnsi="仿宋_GB2312" w:cs="仿宋_GB2312" w:eastAsia="仿宋_GB2312"/>
                <w:sz w:val="24"/>
              </w:rPr>
              <w:t>12.3</w:t>
            </w:r>
            <w:r>
              <w:rPr>
                <w:rFonts w:ascii="仿宋_GB2312" w:hAnsi="仿宋_GB2312" w:cs="仿宋_GB2312" w:eastAsia="仿宋_GB2312"/>
                <w:sz w:val="24"/>
              </w:rPr>
              <w:t>避雷与接地系统</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避雷针：桅杆最高处设置铜质避雷针，直径≥16mm，顶端高出桅顶电气设备至少300mm；避雷针安装牢固，防腐处理到位。</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避雷引线：通过截面积不小于70mm²的铜质或等效导电材料引至主甲板专用接地装置，引线连接牢固，无松动、腐蚀。</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接地要求：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舱内、主甲围壁高于50V的电气设备、金属构件（管路、栏杆、扶手等），均与钢质船体有效就近接地，接地电阻≤4Ω。</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主甲天花、上甲板高于50V的电气设备、金属构件，连接到专用接地铜排，接地铜排安装牢固，防腐处理到位。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接地线截面积：相线截面积＞2.5mm²时，接地线为相线截面积的1/2；相线截面积≤2.5mm²时，接地线与相线截面积相同，最小不得小于1.5mm²。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无线电设备：单独连接到专用接地铜排，接地线截面积＞5mm²，接地电阻≤2Ω。</w:t>
            </w:r>
          </w:p>
          <w:p>
            <w:pPr>
              <w:pStyle w:val="null3"/>
              <w:jc w:val="both"/>
            </w:pPr>
            <w:r>
              <w:rPr>
                <w:rFonts w:ascii="仿宋_GB2312" w:hAnsi="仿宋_GB2312" w:cs="仿宋_GB2312" w:eastAsia="仿宋_GB2312"/>
                <w:sz w:val="24"/>
              </w:rPr>
              <w:t>12.4</w:t>
            </w:r>
            <w:r>
              <w:rPr>
                <w:rFonts w:ascii="仿宋_GB2312" w:hAnsi="仿宋_GB2312" w:cs="仿宋_GB2312" w:eastAsia="仿宋_GB2312"/>
                <w:sz w:val="24"/>
              </w:rPr>
              <w:t>设备防护</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防护等级：电气设备的防护等级与设备安装处所相适应，露天甲板的电气设备增设防风雨措施（防雨罩、防护箱等），防护等级不低于IP56。</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材料禁用：本船禁止使用含石棉成分的材料和设备，所有电气设备及辅材均无石棉成分。</w:t>
            </w:r>
          </w:p>
          <w:p>
            <w:pPr>
              <w:pStyle w:val="null3"/>
              <w:jc w:val="both"/>
            </w:pPr>
            <w:r>
              <w:rPr>
                <w:rFonts w:ascii="仿宋_GB2312" w:hAnsi="仿宋_GB2312" w:cs="仿宋_GB2312" w:eastAsia="仿宋_GB2312"/>
                <w:sz w:val="24"/>
              </w:rPr>
              <w:t>四、船舶装置和设备</w:t>
            </w:r>
          </w:p>
          <w:p>
            <w:pPr>
              <w:pStyle w:val="null3"/>
              <w:jc w:val="both"/>
            </w:pPr>
            <w:r>
              <w:rPr>
                <w:rFonts w:ascii="仿宋_GB2312" w:hAnsi="仿宋_GB2312" w:cs="仿宋_GB2312" w:eastAsia="仿宋_GB2312"/>
                <w:sz w:val="24"/>
              </w:rPr>
              <w:t>（一）锚泊、系泊设备</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配置要求：按照中国船级社《钢质内河船建造规范》2016及修改通报等有关规范要求配置，锚、锚链、系缆桩等设备规格匹配船舶尺度，承载能力符合要求。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安装要求：设备安装牢固，位置合理，便于操作；锚链敷设规范，无卡滞，系缆桩与船体连接牢固，无变形。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图纸要求：具体配置及安装符合“锚泊、系泊设备布置图”要求。</w:t>
            </w:r>
          </w:p>
          <w:p>
            <w:pPr>
              <w:pStyle w:val="null3"/>
              <w:jc w:val="both"/>
            </w:pPr>
            <w:r>
              <w:rPr>
                <w:rFonts w:ascii="仿宋_GB2312" w:hAnsi="仿宋_GB2312" w:cs="仿宋_GB2312" w:eastAsia="仿宋_GB2312"/>
                <w:sz w:val="24"/>
              </w:rPr>
              <w:t>（二）栏杆、旗杆、扶手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材质要求：首/尾部甲板四周及走道扶手、船尾旗杆、防浪扶手，全部采用不锈钢304材质，防腐、防锈、强度高，符合船用不锈钢材料要求。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尺寸要求：栏杆总高度为1000mm，栏杆间距≤300mm，扶手直径≥32mm，强度符合船舶航行要求，无晃动。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安装要求：船尾设304不锈钢旗杆1支，旗杆高度≥3m，安装牢固；扶手安装位置合理，便于人员抓握，无尖锐棱角。</w:t>
            </w:r>
          </w:p>
          <w:p>
            <w:pPr>
              <w:pStyle w:val="null3"/>
              <w:jc w:val="both"/>
            </w:pPr>
            <w:r>
              <w:rPr>
                <w:rFonts w:ascii="仿宋_GB2312" w:hAnsi="仿宋_GB2312" w:cs="仿宋_GB2312" w:eastAsia="仿宋_GB2312"/>
                <w:sz w:val="24"/>
              </w:rPr>
              <w:t>（三）救生、消防设备</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配置要求：满足中华人民共和国海事局《公务船技术规则》2020相关要求，救生设备（救生衣、救生圈等）数量匹配船员+工作人员配置（不少于24件/套），消防设备（灭火器、消防水带、消防栓等）规格、数量符合内河B级航区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安装要求：救生、消防设备安装在显眼、易取用的位置，标识清晰，固定牢固，无遮挡；消防水带敷设规范，无老化、破损。</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图纸要求：具体配置及安装符合“消防、救生设备布置图”要求。</w:t>
            </w:r>
          </w:p>
          <w:p>
            <w:pPr>
              <w:pStyle w:val="null3"/>
              <w:jc w:val="both"/>
            </w:pPr>
            <w:r>
              <w:rPr>
                <w:rFonts w:ascii="仿宋_GB2312" w:hAnsi="仿宋_GB2312" w:cs="仿宋_GB2312" w:eastAsia="仿宋_GB2312"/>
                <w:sz w:val="24"/>
              </w:rPr>
              <w:t>（四）门、窗、盖</w:t>
            </w:r>
          </w:p>
          <w:p>
            <w:pPr>
              <w:pStyle w:val="null3"/>
              <w:jc w:val="both"/>
            </w:pPr>
            <w:r>
              <w:rPr>
                <w:rFonts w:ascii="仿宋_GB2312" w:hAnsi="仿宋_GB2312" w:cs="仿宋_GB2312" w:eastAsia="仿宋_GB2312"/>
                <w:sz w:val="24"/>
              </w:rPr>
              <w:t>4.1</w:t>
            </w:r>
            <w:r>
              <w:rPr>
                <w:rFonts w:ascii="仿宋_GB2312" w:hAnsi="仿宋_GB2312" w:cs="仿宋_GB2312" w:eastAsia="仿宋_GB2312"/>
                <w:sz w:val="24"/>
              </w:rPr>
              <w:t>门</w:t>
            </w:r>
          </w:p>
          <w:p>
            <w:pPr>
              <w:pStyle w:val="null3"/>
              <w:jc w:val="both"/>
            </w:pPr>
            <w:r>
              <w:rPr>
                <w:rFonts w:ascii="仿宋_GB2312" w:hAnsi="仿宋_GB2312" w:cs="仿宋_GB2312" w:eastAsia="仿宋_GB2312"/>
                <w:sz w:val="24"/>
              </w:rPr>
              <w:t>所有门体均需开关灵活、密封良好，风雨密门需满足水密性要求，具体配置如下：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机舱门：主甲板尾部5#设1扇1750×750mm风雨密铝合金门，用于进出机舱，水密性良好，无渗漏。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会议室门：主甲板#18左右两侧各设1扇1750×900mm风雨密封双外开门，方便船员进出会议室，双门联动顺畅，密封良好。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储物间/茶水间门：17#设2扇木质门，用于进出储物间和茶水间，开关灵活，隔音效果良好。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指挥室门：驾驶甲板19#壁设1扇1750×750mm风雨密铝合金门，方便船员进出指挥室，水密性、隔音性良好。</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窗</w:t>
            </w:r>
          </w:p>
          <w:p>
            <w:pPr>
              <w:pStyle w:val="null3"/>
              <w:jc w:val="both"/>
            </w:pPr>
            <w:r>
              <w:rPr>
                <w:rFonts w:ascii="仿宋_GB2312" w:hAnsi="仿宋_GB2312" w:cs="仿宋_GB2312" w:eastAsia="仿宋_GB2312"/>
                <w:sz w:val="24"/>
              </w:rPr>
              <w:t>所有窗户均需安装牢固、密封良好，钢化玻璃需符合国标，具体配置如下：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会议室/指挥室窗：设钢化玻璃窗，玻璃颜色为茶玻，透光率适中，隔音、隔热效果良好。</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驾驶室前窗：设固定式弧形玻璃，玻璃颜色为白玻，并加贴防晒膜，密封隔音、广视角，颜色为浅色系；前窗外装1个DC24V单臂电动雨刮器，刮扫面积全覆盖，运行平稳。</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应急逃生窗：会议室前部左右两舷设铝合金风雨外开窗，供舱室人员紧急情况下逃生、透气用；开窗开启灵活，关闭后水密性良好。</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舱口盖</w:t>
            </w:r>
          </w:p>
          <w:p>
            <w:pPr>
              <w:pStyle w:val="null3"/>
              <w:jc w:val="both"/>
            </w:pPr>
            <w:r>
              <w:rPr>
                <w:rFonts w:ascii="仿宋_GB2312" w:hAnsi="仿宋_GB2312" w:cs="仿宋_GB2312" w:eastAsia="仿宋_GB2312"/>
                <w:sz w:val="24"/>
              </w:rPr>
              <w:t>所有舱口盖均需密封良好、开启方便，钢质舱口盖需防腐，玻璃钢舱口盖需强度达标，具体配置如下：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钢质舱口盖：舵机舱、艏尖舱各设置1个钢质小型舱口盖，防腐处理到位，密封良好，开启灵活。</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玻璃钢舱口盖：机舱设置1个玻璃钢吊机口舱口盖和1个机舱逃生口盖，强度高、重量轻，密封良好。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埋入式舱口盖：船员室甲板上设置船用埋入式舱口盖，用于进出舱底各空舱，埋入式设计不影响甲板通行，开启、关闭方便。</w:t>
            </w:r>
          </w:p>
          <w:p>
            <w:pPr>
              <w:pStyle w:val="null3"/>
              <w:jc w:val="both"/>
            </w:pPr>
            <w:r>
              <w:rPr>
                <w:rFonts w:ascii="仿宋_GB2312" w:hAnsi="仿宋_GB2312" w:cs="仿宋_GB2312" w:eastAsia="仿宋_GB2312"/>
                <w:sz w:val="24"/>
              </w:rPr>
              <w:t>（五）隔音、隔热及降噪</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机舱：天花、前壁上敷设两层25mm防火隔热隔音岩棉，外加冲孔铝板装饰；岩棉敷设严密，无空隙，冲孔铝板安装牢固，美观大方。</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指挥室/会议室/驾驶室：天花、侧壁、舷侧敷设一层25mm防火隔热隔音岩棉，岩棉敷设严密，与装饰面贴合。</w:t>
            </w:r>
          </w:p>
          <w:p>
            <w:pPr>
              <w:pStyle w:val="null3"/>
              <w:jc w:val="both"/>
            </w:pPr>
            <w:r>
              <w:rPr>
                <w:rFonts w:ascii="仿宋_GB2312" w:hAnsi="仿宋_GB2312" w:cs="仿宋_GB2312" w:eastAsia="仿宋_GB2312"/>
                <w:sz w:val="24"/>
              </w:rPr>
              <w:t>（六）装饰材料要求</w:t>
            </w:r>
          </w:p>
          <w:p>
            <w:pPr>
              <w:pStyle w:val="null3"/>
              <w:jc w:val="both"/>
            </w:pPr>
            <w:r>
              <w:rPr>
                <w:rFonts w:ascii="仿宋_GB2312" w:hAnsi="仿宋_GB2312" w:cs="仿宋_GB2312" w:eastAsia="仿宋_GB2312"/>
                <w:sz w:val="24"/>
              </w:rPr>
              <w:t>所有装饰材料均需符合防火、环保要求，无有毒、有害挥发物，具体要求如下：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不燃材料要求：会议室、指挥室、驾驶室的所有舱壁及其衬板、天花板、衬档及隔热物等均为不燃材料；若衬板、天花板表面需贴面，贴面可使用可燃材料，但需满足本条第2款要求。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可燃材料限制：起居处所、服务处所、控制站的舱壁和天花板衬板外露表面，及隐蔽/不能到达之处的表面和地面，具有低播焰性；贴面用可燃材料按所用厚度的面积计算，发热值≤45MJ/m²，总体积≤各围壁和天花板衬板合计面积上厚2.5mm装饰板的体积。</w:t>
            </w:r>
          </w:p>
          <w:p>
            <w:pPr>
              <w:pStyle w:val="null3"/>
              <w:jc w:val="both"/>
            </w:pPr>
            <w:r>
              <w:rPr>
                <w:rFonts w:ascii="仿宋_GB2312" w:hAnsi="仿宋_GB2312" w:cs="仿宋_GB2312" w:eastAsia="仿宋_GB2312"/>
                <w:sz w:val="24"/>
              </w:rPr>
              <w:t>（七）防污染结构与设备</w:t>
            </w:r>
          </w:p>
          <w:p>
            <w:pPr>
              <w:pStyle w:val="null3"/>
              <w:jc w:val="both"/>
            </w:pPr>
            <w:r>
              <w:rPr>
                <w:rFonts w:ascii="仿宋_GB2312" w:hAnsi="仿宋_GB2312" w:cs="仿宋_GB2312" w:eastAsia="仿宋_GB2312"/>
                <w:sz w:val="24"/>
              </w:rPr>
              <w:t>所有防污染设备均须符合国家及海事局防污染要求，无直排违规设计，具体配置及要求如下：</w:t>
            </w:r>
          </w:p>
          <w:p>
            <w:pPr>
              <w:pStyle w:val="null3"/>
              <w:jc w:val="both"/>
            </w:pPr>
            <w:r>
              <w:rPr>
                <w:rFonts w:ascii="仿宋_GB2312" w:hAnsi="仿宋_GB2312" w:cs="仿宋_GB2312" w:eastAsia="仿宋_GB2312"/>
                <w:sz w:val="24"/>
              </w:rPr>
              <w:t>7.1</w:t>
            </w:r>
            <w:r>
              <w:rPr>
                <w:rFonts w:ascii="仿宋_GB2312" w:hAnsi="仿宋_GB2312" w:cs="仿宋_GB2312" w:eastAsia="仿宋_GB2312"/>
                <w:sz w:val="24"/>
              </w:rPr>
              <w:t>防生活污水污染</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污水舱配置：空舱1内设置生活污水舱，舱体容积匹配人员配置，防腐、密封良好，无渗漏。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排放设备：配备黑水泵1台，泵体流量匹配污水舱容积，运行稳定；船舶到达具有回收生活污水的基地/码头时，通过黑水泵将生活污水排至岸上回收设施，不得向水体直排。</w:t>
            </w:r>
          </w:p>
          <w:p>
            <w:pPr>
              <w:pStyle w:val="null3"/>
              <w:jc w:val="both"/>
            </w:pPr>
            <w:r>
              <w:rPr>
                <w:rFonts w:ascii="仿宋_GB2312" w:hAnsi="仿宋_GB2312" w:cs="仿宋_GB2312" w:eastAsia="仿宋_GB2312"/>
                <w:sz w:val="24"/>
              </w:rPr>
              <w:t>7.2</w:t>
            </w:r>
            <w:r>
              <w:rPr>
                <w:rFonts w:ascii="仿宋_GB2312" w:hAnsi="仿宋_GB2312" w:cs="仿宋_GB2312" w:eastAsia="仿宋_GB2312"/>
                <w:sz w:val="24"/>
              </w:rPr>
              <w:t>防油污水污染</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污油水柜配置：机舱设置污油水柜1个，用于收集船舶运行中产生的污油水，舱体防腐、密封良好，无渗漏。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排放设备：配备手摇泵1台，手摇泵操作方便，密封性良好；到达具有回收污油水的基地/码头时，通过手摇泵将污油水排至岸上回收设施，不得向水体直排。</w:t>
            </w:r>
          </w:p>
          <w:p>
            <w:pPr>
              <w:pStyle w:val="null3"/>
              <w:jc w:val="both"/>
            </w:pPr>
            <w:r>
              <w:rPr>
                <w:rFonts w:ascii="仿宋_GB2312" w:hAnsi="仿宋_GB2312" w:cs="仿宋_GB2312" w:eastAsia="仿宋_GB2312"/>
                <w:sz w:val="24"/>
              </w:rPr>
              <w:t>7.3</w:t>
            </w:r>
            <w:r>
              <w:rPr>
                <w:rFonts w:ascii="仿宋_GB2312" w:hAnsi="仿宋_GB2312" w:cs="仿宋_GB2312" w:eastAsia="仿宋_GB2312"/>
                <w:sz w:val="24"/>
              </w:rPr>
              <w:t>防垃圾污染</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垃圾桶配置：主甲板、驾驶甲板各配置2个10L活动式垃圾桶，垃圾桶为防摔、防腐材质，带密封盖，防止异味扩散。</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垃圾处理：营运期间每1天由人工将垃圾送至趸船或岸上接收装置，交由环保单位统一处理，严禁向江河中排放任何垃圾。</w:t>
            </w:r>
          </w:p>
          <w:p>
            <w:pPr>
              <w:pStyle w:val="null3"/>
              <w:jc w:val="both"/>
            </w:pPr>
            <w:r>
              <w:rPr>
                <w:rFonts w:ascii="仿宋_GB2312" w:hAnsi="仿宋_GB2312" w:cs="仿宋_GB2312" w:eastAsia="仿宋_GB2312"/>
                <w:sz w:val="24"/>
              </w:rPr>
              <w:t>7.4</w:t>
            </w:r>
            <w:r>
              <w:rPr>
                <w:rFonts w:ascii="仿宋_GB2312" w:hAnsi="仿宋_GB2312" w:cs="仿宋_GB2312" w:eastAsia="仿宋_GB2312"/>
                <w:sz w:val="24"/>
              </w:rPr>
              <w:t>防空气污染</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消耗臭氧物质：严禁消耗臭氧物质的任何故意排放；维护、检修、修理或处置系统/设备时，仅允许与回收/再循环相关的微量释放，无故意排放行为。</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柴油机排放：柴油机的排放控制要求符合《内法规》2019及2023、2025修改通报第7篇的相关要求，尾气排放达标，无超标排放。</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燃料油要求：船上仅使用满足船用燃料油国家标准要求的内河船用燃料油，不得使用非标燃料油。</w:t>
            </w:r>
          </w:p>
          <w:p>
            <w:pPr>
              <w:pStyle w:val="null3"/>
              <w:jc w:val="both"/>
            </w:pPr>
            <w:r>
              <w:rPr>
                <w:rFonts w:ascii="仿宋_GB2312" w:hAnsi="仿宋_GB2312" w:cs="仿宋_GB2312" w:eastAsia="仿宋_GB2312"/>
                <w:sz w:val="24"/>
              </w:rPr>
              <w:t>（八）玻璃钢材料及防火分隔</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玻璃钢材料：上层建筑采用的玻璃钢制造，符合《耐火试验程序规则》第10部分规定，为经试验确认的阻火材料，防火性能达标。</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防火分隔：机舱前壁为钢质结构，满足A0级防火分隔要求，防火分隔严密，无空隙，耐火时间符合规范要求。</w:t>
            </w:r>
          </w:p>
          <w:p>
            <w:pPr>
              <w:pStyle w:val="null3"/>
              <w:jc w:val="both"/>
            </w:pPr>
            <w:r>
              <w:rPr>
                <w:rFonts w:ascii="仿宋_GB2312" w:hAnsi="仿宋_GB2312" w:cs="仿宋_GB2312" w:eastAsia="仿宋_GB2312"/>
                <w:sz w:val="24"/>
              </w:rPr>
              <w:t>（九）其他禁用及限制要求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石棉禁用：本船禁止使用含石棉成分的材料和设备。</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有机锡禁用：船舶防污底系统不应用含有作为生物杀灭剂的有机锡化合物。</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执法指挥船建造标准及材料、设备配置表</w:t>
            </w:r>
          </w:p>
        </w:tc>
        <w:tc>
          <w:tcPr>
            <w:tcW w:type="dxa" w:w="5814"/>
          </w:tcPr>
          <w:p>
            <w:pPr>
              <w:pStyle w:val="null3"/>
              <w:jc w:val="both"/>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603"/>
              <w:gridCol w:w="1421"/>
              <w:gridCol w:w="1547"/>
              <w:gridCol w:w="717"/>
              <w:gridCol w:w="591"/>
              <w:gridCol w:w="717"/>
            </w:tblGrid>
            <w:tr>
              <w:tc>
                <w:tcPr>
                  <w:tcW w:type="dxa" w:w="603"/>
                  <w:tcBorders>
                    <w:top w:val="double" w:color="000000" w:sz="8"/>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421"/>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名称</w:t>
                  </w:r>
                </w:p>
              </w:tc>
              <w:tc>
                <w:tcPr>
                  <w:tcW w:type="dxa" w:w="1547"/>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规格型号</w:t>
                  </w:r>
                </w:p>
              </w:tc>
              <w:tc>
                <w:tcPr>
                  <w:tcW w:type="dxa" w:w="717"/>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p>
              </w:tc>
              <w:tc>
                <w:tcPr>
                  <w:tcW w:type="dxa" w:w="591"/>
                  <w:tcBorders>
                    <w:top w:val="double" w:color="000000" w:sz="8"/>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单位</w:t>
                  </w:r>
                </w:p>
              </w:tc>
              <w:tc>
                <w:tcPr>
                  <w:tcW w:type="dxa" w:w="717"/>
                  <w:tcBorders>
                    <w:top w:val="double" w:color="000000" w:sz="8"/>
                    <w:left w:val="none" w:color="000000" w:sz="4"/>
                    <w:bottom w:val="single" w:color="000000" w:sz="4"/>
                    <w:right w:val="double" w:color="000000" w:sz="8"/>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一</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b/>
                    </w:rPr>
                    <w:t>钢质主体部分</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船用钢板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CCSB</w:t>
                  </w:r>
                  <w:r>
                    <w:rPr>
                      <w:rFonts w:ascii="仿宋_GB2312" w:hAnsi="仿宋_GB2312" w:cs="仿宋_GB2312" w:eastAsia="仿宋_GB2312"/>
                      <w:sz w:val="24"/>
                    </w:rPr>
                    <w:t>，4mm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5.40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t</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船用钢板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CCSB</w:t>
                  </w:r>
                  <w:r>
                    <w:rPr>
                      <w:rFonts w:ascii="仿宋_GB2312" w:hAnsi="仿宋_GB2312" w:cs="仿宋_GB2312" w:eastAsia="仿宋_GB2312"/>
                      <w:sz w:val="24"/>
                    </w:rPr>
                    <w:t>，5mm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4.80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t</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船用钢板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CCSB</w:t>
                  </w:r>
                  <w:r>
                    <w:rPr>
                      <w:rFonts w:ascii="仿宋_GB2312" w:hAnsi="仿宋_GB2312" w:cs="仿宋_GB2312" w:eastAsia="仿宋_GB2312"/>
                      <w:sz w:val="24"/>
                    </w:rPr>
                    <w:t>，6mm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11.70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t</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船用钢板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CCSB</w:t>
                  </w:r>
                  <w:r>
                    <w:rPr>
                      <w:rFonts w:ascii="仿宋_GB2312" w:hAnsi="仿宋_GB2312" w:cs="仿宋_GB2312" w:eastAsia="仿宋_GB2312"/>
                      <w:sz w:val="24"/>
                    </w:rPr>
                    <w:t>，8mm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4.60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t</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船用钢板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CCSB</w:t>
                  </w:r>
                  <w:r>
                    <w:rPr>
                      <w:rFonts w:ascii="仿宋_GB2312" w:hAnsi="仿宋_GB2312" w:cs="仿宋_GB2312" w:eastAsia="仿宋_GB2312"/>
                      <w:sz w:val="24"/>
                    </w:rPr>
                    <w:t>，1 0mm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t</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船用钢板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CCSB</w:t>
                  </w:r>
                  <w:r>
                    <w:rPr>
                      <w:rFonts w:ascii="仿宋_GB2312" w:hAnsi="仿宋_GB2312" w:cs="仿宋_GB2312" w:eastAsia="仿宋_GB2312"/>
                      <w:sz w:val="24"/>
                    </w:rPr>
                    <w:t>，12mm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2.30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t</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角钢</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CCSB</w:t>
                  </w:r>
                  <w:r>
                    <w:rPr>
                      <w:rFonts w:ascii="仿宋_GB2312" w:hAnsi="仿宋_GB2312" w:cs="仿宋_GB2312" w:eastAsia="仿宋_GB2312"/>
                      <w:sz w:val="24"/>
                    </w:rPr>
                    <w:t>，L50X32X4</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8.20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t</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钢管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Φ180X6</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3.60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t</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焊材</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国产-E4303，E4315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1.25</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t</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主船体油漆</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1.25</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t</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工装材料及其它辅料</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若干【含数控下料和预处理,氧气、乙炔、水电费、胎架材料等】</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小计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二</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b/>
                    </w:rPr>
                    <w:t>玻璃钢上建部分</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白色胶衣</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～白色～GN189003S</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480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kg</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邻苯树脂</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～PT2597～220kg/桶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3000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kg</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固化剂</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～M-50～25kg/桶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kg</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丙酮</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150kg/</w:t>
                  </w:r>
                  <w:r>
                    <w:rPr>
                      <w:rFonts w:ascii="仿宋_GB2312" w:hAnsi="仿宋_GB2312" w:cs="仿宋_GB2312" w:eastAsia="仿宋_GB2312"/>
                      <w:sz w:val="24"/>
                    </w:rPr>
                    <w:t>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kg</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无碱短切毡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～CSM300～W1040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600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kg</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无碱短切毡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～CSM450～W1040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kg</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无碱方格布</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～WR600～W1040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450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kg</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防水胶合板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§9～1220×2440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张</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center"/>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硬质泡沫板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32-35kg/m</w:t>
                  </w:r>
                  <w:r>
                    <w:rPr>
                      <w:rFonts w:ascii="仿宋_GB2312" w:hAnsi="仿宋_GB2312" w:cs="仿宋_GB2312" w:eastAsia="仿宋_GB2312"/>
                      <w:sz w:val="24"/>
                    </w:rPr>
                    <w:t>3</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w:t>
                  </w:r>
                  <w:r>
                    <w:rPr>
                      <w:rFonts w:ascii="仿宋_GB2312" w:hAnsi="仿宋_GB2312" w:cs="仿宋_GB2312" w:eastAsia="仿宋_GB2312"/>
                      <w:sz w:val="24"/>
                    </w:rPr>
                    <w:t>3</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木材</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20mm-50mm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w:t>
                  </w:r>
                  <w:r>
                    <w:rPr>
                      <w:rFonts w:ascii="仿宋_GB2312" w:hAnsi="仿宋_GB2312" w:cs="仿宋_GB2312" w:eastAsia="仿宋_GB2312"/>
                      <w:sz w:val="24"/>
                    </w:rPr>
                    <w:t>3</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center"/>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硬木方</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～80×80×2000mm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原子灰</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4kg/</w:t>
                  </w:r>
                  <w:r>
                    <w:rPr>
                      <w:rFonts w:ascii="仿宋_GB2312" w:hAnsi="仿宋_GB2312" w:cs="仿宋_GB2312" w:eastAsia="仿宋_GB2312"/>
                      <w:sz w:val="24"/>
                    </w:rPr>
                    <w:t>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桶</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结构胶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～MA550～5gal/桶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桶</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center"/>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其它辅料</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砂纸等若干</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项</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center"/>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小计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三</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b/>
                    </w:rPr>
                    <w:t>轮机部分</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推进系统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主机</w:t>
                  </w:r>
                </w:p>
                <w:p>
                  <w:pPr>
                    <w:pStyle w:val="null3"/>
                    <w:jc w:val="left"/>
                  </w:p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功率：280kw~295kw</w:t>
                  </w:r>
                </w:p>
                <w:p>
                  <w:pPr>
                    <w:pStyle w:val="null3"/>
                    <w:jc w:val="left"/>
                  </w:pPr>
                  <w:r>
                    <w:rPr>
                      <w:rFonts w:ascii="仿宋_GB2312" w:hAnsi="仿宋_GB2312" w:cs="仿宋_GB2312" w:eastAsia="仿宋_GB2312"/>
                      <w:sz w:val="24"/>
                    </w:rPr>
                    <w:t>转速：2000转~2200转</w:t>
                  </w:r>
                </w:p>
                <w:p>
                  <w:pPr>
                    <w:pStyle w:val="null3"/>
                    <w:jc w:val="left"/>
                  </w:pPr>
                  <w:r>
                    <w:rPr>
                      <w:rFonts w:ascii="仿宋_GB2312" w:hAnsi="仿宋_GB2312" w:cs="仿宋_GB2312" w:eastAsia="仿宋_GB2312"/>
                      <w:sz w:val="24"/>
                    </w:rPr>
                    <w:t>型式：直列、四冲程、增压中冷</w:t>
                  </w:r>
                </w:p>
                <w:p>
                  <w:pPr>
                    <w:pStyle w:val="null3"/>
                    <w:jc w:val="left"/>
                  </w:pPr>
                  <w:r>
                    <w:rPr>
                      <w:rFonts w:ascii="仿宋_GB2312" w:hAnsi="仿宋_GB2312" w:cs="仿宋_GB2312" w:eastAsia="仿宋_GB2312"/>
                      <w:sz w:val="24"/>
                    </w:rPr>
                    <w:t>缸数：6缸</w:t>
                  </w:r>
                </w:p>
                <w:p>
                  <w:pPr>
                    <w:pStyle w:val="null3"/>
                    <w:jc w:val="left"/>
                  </w:pPr>
                  <w:r>
                    <w:rPr>
                      <w:rFonts w:ascii="仿宋_GB2312" w:hAnsi="仿宋_GB2312" w:cs="仿宋_GB2312" w:eastAsia="仿宋_GB2312"/>
                      <w:sz w:val="24"/>
                    </w:rPr>
                    <w:t>缸径/行程：126/130mm</w:t>
                  </w:r>
                </w:p>
                <w:p>
                  <w:pPr>
                    <w:pStyle w:val="null3"/>
                    <w:jc w:val="left"/>
                  </w:pPr>
                  <w:r>
                    <w:rPr>
                      <w:rFonts w:ascii="仿宋_GB2312" w:hAnsi="仿宋_GB2312" w:cs="仿宋_GB2312" w:eastAsia="仿宋_GB2312"/>
                      <w:sz w:val="24"/>
                    </w:rPr>
                    <w:t>排放标准:中国二阶段排放</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前进齿轮箱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减速比：3:1</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主机电子遥控系统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带车钟</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联轴器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按盖章图定制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轴系加工（含尾轴管，附件等）</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35#Ø70mm</w:t>
                  </w:r>
                  <w:r>
                    <w:rPr>
                      <w:rFonts w:ascii="仿宋_GB2312" w:hAnsi="仿宋_GB2312" w:cs="仿宋_GB2312" w:eastAsia="仿宋_GB2312"/>
                      <w:sz w:val="24"/>
                    </w:rPr>
                    <w:t>，按图定制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螺旋桨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钢质，按盖章图定制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尾轴密封装置及轴承座</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80JQ/CS39</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尾轴刹车装置</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按盖章图定制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润滑油箱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符合使用要求</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手摇泵</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CS-20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二)</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操舵系统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舵系加工</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按盖章图定制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人力液压舵机</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扭矩：8KN.M带2台助力泵</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液压管</w:t>
                  </w:r>
                </w:p>
              </w:tc>
              <w:tc>
                <w:tcPr>
                  <w:tcW w:type="dxa" w:w="1547"/>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舵角指示器</w:t>
                  </w:r>
                </w:p>
              </w:tc>
              <w:tc>
                <w:tcPr>
                  <w:tcW w:type="dxa" w:w="15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舵机配套</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安装阀件及附件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满足需求</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三)</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冷却水系统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主机过滤器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发电机过滤器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主机冷却水管系及阀件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发电机冷却水管系及阀件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四)</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燃油系统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燃油箱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钢质，船厂自制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油料供给管道系统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燃油箱管式液位计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STCL=500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燃油箱电子液位计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KUSS3DC24VL=1000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电动驳油泵</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流量3.3m3/h,压力0.33MPa,功率1.5KW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主机燃油过滤器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悍滤</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安装附件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五)</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通风系统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茶水间、储物间风机</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 xml:space="preserve">220V  </w:t>
                  </w:r>
                  <w:r>
                    <w:rPr>
                      <w:rFonts w:ascii="仿宋_GB2312" w:hAnsi="仿宋_GB2312" w:cs="仿宋_GB2312" w:eastAsia="仿宋_GB2312"/>
                      <w:sz w:val="24"/>
                    </w:rPr>
                    <w:t>功率不低于50W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机舱轴流风机</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～5400m3/h～380V</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通风管道及附件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满足使用要求。</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六)</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污油水处理系统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污油箱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钢质,150L</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管路及阀件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安装附件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七)</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生活污水处理系统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黑水箱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钢质,500L</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生活污水泵</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排量：5m3/h</w:t>
                  </w:r>
                  <w:r>
                    <w:br/>
                  </w:r>
                  <w:r>
                    <w:rPr>
                      <w:rFonts w:ascii="仿宋_GB2312" w:hAnsi="仿宋_GB2312" w:cs="仿宋_GB2312" w:eastAsia="仿宋_GB2312"/>
                      <w:sz w:val="24"/>
                    </w:rPr>
                    <w:t xml:space="preserve"> 压力：0.15MPa</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管路及阀件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安装附件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八)</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淡水系统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淡水箱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材质为304不锈钢（或优于）</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淡水泵</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流量:14.4L/min</w:t>
                  </w:r>
                  <w:r>
                    <w:br/>
                  </w:r>
                  <w:r>
                    <w:rPr>
                      <w:rFonts w:ascii="仿宋_GB2312" w:hAnsi="仿宋_GB2312" w:cs="仿宋_GB2312" w:eastAsia="仿宋_GB2312"/>
                      <w:sz w:val="24"/>
                    </w:rPr>
                    <w:t xml:space="preserve"> 最大压力：0.28MPa</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管路及阀件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安装附件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九)</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排气系统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主机消音器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FRP</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耐高温硅胶管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硅胶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管路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安装附件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十)</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消防水系统</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舱底、消防总用泵</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流量：14m³/h扬程：35m功率：4kW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机带消防泵</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流量：14m³/h扬程：35m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消防管路及阀件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安装附件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小计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四</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b/>
                    </w:rPr>
                    <w:t>电气部分</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电源设备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静音发电机组</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25KW380V</w:t>
                  </w:r>
                  <w:r>
                    <w:rPr>
                      <w:rFonts w:ascii="仿宋_GB2312" w:hAnsi="仿宋_GB2312" w:cs="仿宋_GB2312" w:eastAsia="仿宋_GB2312"/>
                      <w:sz w:val="24"/>
                    </w:rPr>
                    <w:t>输出三相四线制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蓄电池</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12V200Ah</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充电机</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输入AC220V，输出DC12V/24V(自动选择)</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直流稳压电源</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AC220V/DC24V50A</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电池开关</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400A</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遥切按钮</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DK-7</w:t>
                  </w:r>
                  <w:r>
                    <w:rPr>
                      <w:rFonts w:ascii="仿宋_GB2312" w:hAnsi="仿宋_GB2312" w:cs="仿宋_GB2312" w:eastAsia="仿宋_GB2312"/>
                      <w:sz w:val="24"/>
                    </w:rPr>
                    <w:t>按钮红色</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二)</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配电设备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主配电板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AC380V</w:t>
                  </w:r>
                  <w:r>
                    <w:rPr>
                      <w:rFonts w:ascii="仿宋_GB2312" w:hAnsi="仿宋_GB2312" w:cs="仿宋_GB2312" w:eastAsia="仿宋_GB2312"/>
                      <w:sz w:val="24"/>
                    </w:rPr>
                    <w:t>/220V</w:t>
                  </w:r>
                  <w:r>
                    <w:rPr>
                      <w:rFonts w:ascii="仿宋_GB2312" w:hAnsi="仿宋_GB2312" w:cs="仿宋_GB2312" w:eastAsia="仿宋_GB2312"/>
                      <w:sz w:val="24"/>
                    </w:rPr>
                    <w:t>按图定制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AC220V</w:t>
                  </w:r>
                  <w:r>
                    <w:rPr>
                      <w:rFonts w:ascii="仿宋_GB2312" w:hAnsi="仿宋_GB2312" w:cs="仿宋_GB2312" w:eastAsia="仿宋_GB2312"/>
                      <w:sz w:val="24"/>
                    </w:rPr>
                    <w:t>助航分电箱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AC220V</w:t>
                  </w:r>
                  <w:r>
                    <w:rPr>
                      <w:rFonts w:ascii="仿宋_GB2312" w:hAnsi="仿宋_GB2312" w:cs="仿宋_GB2312" w:eastAsia="仿宋_GB2312"/>
                      <w:sz w:val="24"/>
                    </w:rPr>
                    <w:t>按图定制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left"/>
                  </w:pPr>
                  <w:r>
                    <w:rPr>
                      <w:rFonts w:ascii="仿宋_GB2312" w:hAnsi="仿宋_GB2312" w:cs="仿宋_GB2312" w:eastAsia="仿宋_GB2312"/>
                      <w:sz w:val="24"/>
                    </w:rPr>
                    <w:t>嵌入式</w:t>
                  </w: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岸电箱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AC380V50A</w:t>
                  </w:r>
                  <w:r>
                    <w:rPr>
                      <w:rFonts w:ascii="仿宋_GB2312" w:hAnsi="仿宋_GB2312" w:cs="仿宋_GB2312" w:eastAsia="仿宋_GB2312"/>
                      <w:sz w:val="24"/>
                    </w:rPr>
                    <w:t>三相四线</w:t>
                  </w:r>
                  <w:r>
                    <w:rPr>
                      <w:rFonts w:ascii="仿宋_GB2312" w:hAnsi="仿宋_GB2312" w:cs="仿宋_GB2312" w:eastAsia="仿宋_GB2312"/>
                      <w:sz w:val="24"/>
                    </w:rPr>
                    <w:t>配63A插头</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总用泵控制箱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AC380VQC91-20/135A2.2KW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污水泵控制箱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AC380VQC91-20/133.5A1.5KW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机舱风机控制箱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AC380VQC91-20/133.5A1.5KW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w:t>
                  </w:r>
                  <w:r>
                    <w:rPr>
                      <w:rFonts w:ascii="仿宋_GB2312" w:hAnsi="仿宋_GB2312" w:cs="仿宋_GB2312" w:eastAsia="仿宋_GB2312"/>
                      <w:sz w:val="24"/>
                    </w:rPr>
                    <w:t>照明分电箱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w:t>
                  </w:r>
                  <w:r>
                    <w:rPr>
                      <w:rFonts w:ascii="仿宋_GB2312" w:hAnsi="仿宋_GB2312" w:cs="仿宋_GB2312" w:eastAsia="仿宋_GB2312"/>
                      <w:sz w:val="24"/>
                    </w:rPr>
                    <w:t>按图定制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w:t>
                  </w:r>
                  <w:r>
                    <w:rPr>
                      <w:rFonts w:ascii="仿宋_GB2312" w:hAnsi="仿宋_GB2312" w:cs="仿宋_GB2312" w:eastAsia="仿宋_GB2312"/>
                      <w:sz w:val="24"/>
                    </w:rPr>
                    <w:t>助航分电箱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w:t>
                  </w:r>
                  <w:r>
                    <w:rPr>
                      <w:rFonts w:ascii="仿宋_GB2312" w:hAnsi="仿宋_GB2312" w:cs="仿宋_GB2312" w:eastAsia="仿宋_GB2312"/>
                      <w:sz w:val="24"/>
                    </w:rPr>
                    <w:t>按图定制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left"/>
                  </w:pPr>
                  <w:r>
                    <w:rPr>
                      <w:rFonts w:ascii="仿宋_GB2312" w:hAnsi="仿宋_GB2312" w:cs="仿宋_GB2312" w:eastAsia="仿宋_GB2312"/>
                      <w:sz w:val="24"/>
                    </w:rPr>
                    <w:t>嵌入式</w:t>
                  </w: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w:t>
                  </w:r>
                  <w:r>
                    <w:rPr>
                      <w:rFonts w:ascii="仿宋_GB2312" w:hAnsi="仿宋_GB2312" w:cs="仿宋_GB2312" w:eastAsia="仿宋_GB2312"/>
                      <w:sz w:val="24"/>
                    </w:rPr>
                    <w:t>充放电箱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w:t>
                  </w:r>
                  <w:r>
                    <w:rPr>
                      <w:rFonts w:ascii="仿宋_GB2312" w:hAnsi="仿宋_GB2312" w:cs="仿宋_GB2312" w:eastAsia="仿宋_GB2312"/>
                      <w:sz w:val="24"/>
                    </w:rPr>
                    <w:t>按图定制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left"/>
                  </w:pPr>
                  <w:r>
                    <w:rPr>
                      <w:rFonts w:ascii="仿宋_GB2312" w:hAnsi="仿宋_GB2312" w:cs="仿宋_GB2312" w:eastAsia="仿宋_GB2312"/>
                      <w:sz w:val="24"/>
                    </w:rPr>
                    <w:t>嵌入式</w:t>
                  </w: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船载专用制冷设备1</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AC220V</w:t>
                  </w:r>
                </w:p>
                <w:p>
                  <w:pPr>
                    <w:pStyle w:val="null3"/>
                    <w:jc w:val="left"/>
                  </w:pPr>
                  <w:r>
                    <w:rPr>
                      <w:rFonts w:ascii="仿宋_GB2312" w:hAnsi="仿宋_GB2312" w:cs="仿宋_GB2312" w:eastAsia="仿宋_GB2312"/>
                      <w:sz w:val="24"/>
                    </w:rPr>
                    <w:t>制冷量不低于7210W  制热量不低于9110W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船载专用制冷设备2</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AC220V</w:t>
                  </w:r>
                </w:p>
                <w:p>
                  <w:pPr>
                    <w:pStyle w:val="null3"/>
                    <w:jc w:val="left"/>
                  </w:pPr>
                  <w:r>
                    <w:rPr>
                      <w:rFonts w:ascii="仿宋_GB2312" w:hAnsi="仿宋_GB2312" w:cs="仿宋_GB2312" w:eastAsia="仿宋_GB2312"/>
                      <w:sz w:val="24"/>
                    </w:rPr>
                    <w:t>制冷量不低于18000W，制热量不低于20000W含风管机3台 制冷量不低于6300W  制热量不低于7100W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船载专用制冷设备3</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 xml:space="preserve">AC220V      </w:t>
                  </w:r>
                  <w:r>
                    <w:rPr>
                      <w:rFonts w:ascii="仿宋_GB2312" w:hAnsi="仿宋_GB2312" w:cs="仿宋_GB2312" w:eastAsia="仿宋_GB2312"/>
                      <w:sz w:val="24"/>
                    </w:rPr>
                    <w:t>制冷量不低于3500W  制热量不低于4600W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三)</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导航设备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雷达</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配内置天线，电源装置</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测深仪</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AC220V/DC24V</w:t>
                  </w:r>
                  <w:r>
                    <w:br/>
                  </w:r>
                  <w:r>
                    <w:rPr>
                      <w:rFonts w:ascii="仿宋_GB2312" w:hAnsi="仿宋_GB2312" w:cs="仿宋_GB2312" w:eastAsia="仿宋_GB2312"/>
                      <w:sz w:val="24"/>
                    </w:rPr>
                    <w:t>配套传感器及线束</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电笛</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 xml:space="preserve">DC24V  </w:t>
                  </w:r>
                  <w:r>
                    <w:rPr>
                      <w:rFonts w:ascii="仿宋_GB2312" w:hAnsi="仿宋_GB2312" w:cs="仿宋_GB2312" w:eastAsia="仿宋_GB2312"/>
                      <w:sz w:val="24"/>
                    </w:rPr>
                    <w:t>不低于100W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舵角表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VDO</w:t>
                  </w:r>
                  <w:r>
                    <w:rPr>
                      <w:rFonts w:ascii="仿宋_GB2312" w:hAnsi="仿宋_GB2312" w:cs="仿宋_GB2312" w:eastAsia="仿宋_GB2312"/>
                      <w:sz w:val="24"/>
                    </w:rPr>
                    <w:t>（单站感应器及发讯器）表DC24Vφ85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探照灯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AC220V</w:t>
                  </w:r>
                  <w:r>
                    <w:rPr>
                      <w:rFonts w:ascii="仿宋_GB2312" w:hAnsi="仿宋_GB2312" w:cs="仿宋_GB2312" w:eastAsia="仿宋_GB2312"/>
                      <w:sz w:val="24"/>
                    </w:rPr>
                    <w:t>不低于1000W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AIS</w:t>
                  </w:r>
                  <w:r>
                    <w:rPr>
                      <w:rFonts w:ascii="仿宋_GB2312" w:hAnsi="仿宋_GB2312" w:cs="仿宋_GB2312" w:eastAsia="仿宋_GB2312"/>
                      <w:sz w:val="24"/>
                    </w:rPr>
                    <w:t>自动识别器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B</w:t>
                  </w:r>
                  <w:r>
                    <w:rPr>
                      <w:rFonts w:ascii="仿宋_GB2312" w:hAnsi="仿宋_GB2312" w:cs="仿宋_GB2312" w:eastAsia="仿宋_GB2312"/>
                      <w:sz w:val="24"/>
                    </w:rPr>
                    <w:t>级，具有北斗等功能</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雨刮器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配套喷水器</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电子海图</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产品符合航行安全</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四)</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无线电、通讯设备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甚高频电话</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配套天线及延长线</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直通船用声力电话机</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w:t>
                  </w:r>
                  <w:r>
                    <w:rPr>
                      <w:rFonts w:ascii="仿宋_GB2312" w:hAnsi="仿宋_GB2312" w:cs="仿宋_GB2312" w:eastAsia="仿宋_GB2312"/>
                      <w:sz w:val="24"/>
                    </w:rPr>
                    <w:t>（驾驶室对机舱用）</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vMerge w:val="restart"/>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center"/>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直通电话机</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含头戴</w:t>
                  </w:r>
                  <w:r>
                    <w:rPr>
                      <w:rFonts w:ascii="仿宋_GB2312" w:hAnsi="仿宋_GB2312" w:cs="仿宋_GB2312" w:eastAsia="仿宋_GB2312"/>
                      <w:sz w:val="24"/>
                    </w:rPr>
                    <w:t>EM6(</w:t>
                  </w:r>
                  <w:r>
                    <w:rPr>
                      <w:rFonts w:ascii="仿宋_GB2312" w:hAnsi="仿宋_GB2312" w:cs="仿宋_GB2312" w:eastAsia="仿宋_GB2312"/>
                      <w:sz w:val="24"/>
                    </w:rPr>
                    <w:t>机舱对驾驶室用</w:t>
                  </w:r>
                  <w:r>
                    <w:rPr>
                      <w:rFonts w:ascii="仿宋_GB2312" w:hAnsi="仿宋_GB2312" w:cs="仿宋_GB2312" w:eastAsia="仿宋_GB2312"/>
                      <w:sz w:val="24"/>
                    </w:rPr>
                    <w:t>)</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vMerge/>
                  <w:tcBorders>
                    <w:top w:val="none" w:color="000000" w:sz="4"/>
                    <w:left w:val="none" w:color="000000" w:sz="4"/>
                    <w:bottom w:val="single" w:color="000000" w:sz="4"/>
                    <w:right w:val="double" w:color="000000" w:sz="8"/>
                  </w:tcBorders>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闪光分铃器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长排警灯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w:t>
                  </w:r>
                  <w:r>
                    <w:rPr>
                      <w:rFonts w:ascii="仿宋_GB2312" w:hAnsi="仿宋_GB2312" w:cs="仿宋_GB2312" w:eastAsia="仿宋_GB2312"/>
                      <w:sz w:val="24"/>
                    </w:rPr>
                    <w:t>长：1.4米含警笛喇叭150W,配套嵌入式控制板</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便携式收音机</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具有接收船舶安全航行信息的功能</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五)</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航行灯、信号灯设备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航行信号灯板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定制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右舷灯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124V30W</w:t>
                  </w:r>
                  <w:r>
                    <w:rPr>
                      <w:rFonts w:ascii="仿宋_GB2312" w:hAnsi="仿宋_GB2312" w:cs="仿宋_GB2312" w:eastAsia="仿宋_GB2312"/>
                      <w:sz w:val="24"/>
                    </w:rPr>
                    <w:t>绿色</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左舷灯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124V30W</w:t>
                  </w:r>
                  <w:r>
                    <w:rPr>
                      <w:rFonts w:ascii="仿宋_GB2312" w:hAnsi="仿宋_GB2312" w:cs="仿宋_GB2312" w:eastAsia="仿宋_GB2312"/>
                      <w:sz w:val="24"/>
                    </w:rPr>
                    <w:t>红色</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桅灯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124V30W</w:t>
                  </w:r>
                  <w:r>
                    <w:rPr>
                      <w:rFonts w:ascii="仿宋_GB2312" w:hAnsi="仿宋_GB2312" w:cs="仿宋_GB2312" w:eastAsia="仿宋_GB2312"/>
                      <w:sz w:val="24"/>
                    </w:rPr>
                    <w:t>明色</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艉灯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124V30W</w:t>
                  </w:r>
                  <w:r>
                    <w:rPr>
                      <w:rFonts w:ascii="仿宋_GB2312" w:hAnsi="仿宋_GB2312" w:cs="仿宋_GB2312" w:eastAsia="仿宋_GB2312"/>
                      <w:sz w:val="24"/>
                    </w:rPr>
                    <w:t>明色</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锚灯（信号灯）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24V15WB15d</w:t>
                  </w:r>
                  <w:r>
                    <w:rPr>
                      <w:rFonts w:ascii="仿宋_GB2312" w:hAnsi="仿宋_GB2312" w:cs="仿宋_GB2312" w:eastAsia="仿宋_GB2312"/>
                      <w:sz w:val="24"/>
                    </w:rPr>
                    <w:t>白色</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红闪光灯闪光灯（信号灯）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24V15WB15d</w:t>
                  </w:r>
                  <w:r>
                    <w:rPr>
                      <w:rFonts w:ascii="仿宋_GB2312" w:hAnsi="仿宋_GB2312" w:cs="仿宋_GB2312" w:eastAsia="仿宋_GB2312"/>
                      <w:sz w:val="24"/>
                    </w:rPr>
                    <w:t>红色</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白闪光灯（信号灯）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CXH5-2A24V15WB15d</w:t>
                  </w:r>
                  <w:r>
                    <w:rPr>
                      <w:rFonts w:ascii="仿宋_GB2312" w:hAnsi="仿宋_GB2312" w:cs="仿宋_GB2312" w:eastAsia="仿宋_GB2312"/>
                      <w:sz w:val="24"/>
                    </w:rPr>
                    <w:t>白色</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（六）</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通用报警设备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通用紧急报警板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通用报警电源箱</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AC220V</w:t>
                  </w:r>
                  <w:r>
                    <w:rPr>
                      <w:rFonts w:ascii="仿宋_GB2312" w:hAnsi="仿宋_GB2312" w:cs="仿宋_GB2312" w:eastAsia="仿宋_GB2312"/>
                      <w:sz w:val="24"/>
                    </w:rPr>
                    <w:t>、DC24V</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带灯的铃</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DC24VIP56</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七)</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照明设备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LED</w:t>
                  </w:r>
                  <w:r>
                    <w:rPr>
                      <w:rFonts w:ascii="仿宋_GB2312" w:hAnsi="仿宋_GB2312" w:cs="仿宋_GB2312" w:eastAsia="仿宋_GB2312"/>
                      <w:sz w:val="24"/>
                    </w:rPr>
                    <w:t>应急天花灯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DC24V5W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盏</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LED</w:t>
                  </w:r>
                  <w:r>
                    <w:rPr>
                      <w:rFonts w:ascii="仿宋_GB2312" w:hAnsi="仿宋_GB2312" w:cs="仿宋_GB2312" w:eastAsia="仿宋_GB2312"/>
                      <w:sz w:val="24"/>
                    </w:rPr>
                    <w:t>天花灯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DC24V5W</w:t>
                  </w:r>
                  <w:r>
                    <w:rPr>
                      <w:rFonts w:ascii="仿宋_GB2312" w:hAnsi="仿宋_GB2312" w:cs="仿宋_GB2312" w:eastAsia="仿宋_GB2312"/>
                      <w:sz w:val="24"/>
                    </w:rPr>
                    <w:t>灯体表面带一圆形红色标记</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盏</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机舱舱顶灯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DC24VB15d</w:t>
                  </w:r>
                  <w:r>
                    <w:rPr>
                      <w:rFonts w:ascii="仿宋_GB2312" w:hAnsi="仿宋_GB2312" w:cs="仿宋_GB2312" w:eastAsia="仿宋_GB2312"/>
                      <w:sz w:val="24"/>
                    </w:rPr>
                    <w:t>配灯泡15W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盏</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应急机舱舱顶灯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DC24VB15d</w:t>
                  </w:r>
                  <w:r>
                    <w:rPr>
                      <w:rFonts w:ascii="仿宋_GB2312" w:hAnsi="仿宋_GB2312" w:cs="仿宋_GB2312" w:eastAsia="仿宋_GB2312"/>
                      <w:sz w:val="24"/>
                    </w:rPr>
                    <w:t>配灯泡15W</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盏</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绳灯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DC24V</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25</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米</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位2极开关</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AC220V10A</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位双控2极开关</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AC220V10A</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位2极开关</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AC220V10A</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带开关5孔插座</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AC220V10A3</w:t>
                  </w:r>
                  <w:r>
                    <w:rPr>
                      <w:rFonts w:ascii="仿宋_GB2312" w:hAnsi="仿宋_GB2312" w:cs="仿宋_GB2312" w:eastAsia="仿宋_GB2312"/>
                      <w:sz w:val="24"/>
                    </w:rPr>
                    <w:t>孔+2孔</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28</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水密开关</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AC220V10A</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带开关水密插座</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10A</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水密插头</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10A</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八)</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影视设备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船载影视设备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吸顶式，短焦距，分辨率不低于1080P,配通讯接口</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幕布</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隐藏式安装，规格84英寸，投影面积≥1859*1046mm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台</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九)</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240"/>
                    <w:jc w:val="left"/>
                  </w:pPr>
                  <w:r>
                    <w:rPr>
                      <w:rFonts w:ascii="仿宋_GB2312" w:hAnsi="仿宋_GB2312" w:cs="仿宋_GB2312" w:eastAsia="仿宋_GB2312"/>
                      <w:sz w:val="24"/>
                      <w:b/>
                    </w:rPr>
                    <w:t>船载监控预警设备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包含6个摄像头、电源、硬盘录像机和存储单元</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十)</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电缆电线及其它</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CEFR/SA</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70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米</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CJ96/SC</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满足使用要求</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5500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米</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CJ96/NC</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满足使用要求</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250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米</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双色线接地线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1X2.5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米</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岸电线CEFR/SA</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16+1X10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米</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十一)</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电气施工辅料</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铜避雷针</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紫铜棒</w:t>
                  </w:r>
                  <w:r>
                    <w:rPr>
                      <w:rFonts w:ascii="仿宋_GB2312" w:hAnsi="仿宋_GB2312" w:cs="仿宋_GB2312" w:eastAsia="仿宋_GB2312"/>
                      <w:sz w:val="24"/>
                    </w:rPr>
                    <w:t>Ø</w:t>
                  </w:r>
                  <w:r>
                    <w:rPr>
                      <w:rFonts w:ascii="仿宋_GB2312" w:hAnsi="仿宋_GB2312" w:cs="仿宋_GB2312" w:eastAsia="仿宋_GB2312"/>
                      <w:sz w:val="24"/>
                    </w:rPr>
                    <w:t>12</w:t>
                  </w:r>
                  <w:r>
                    <w:rPr>
                      <w:rFonts w:ascii="仿宋_GB2312" w:hAnsi="仿宋_GB2312" w:cs="仿宋_GB2312" w:eastAsia="仿宋_GB2312"/>
                      <w:sz w:val="24"/>
                    </w:rPr>
                    <w:t>×550mm（针尖镀锡）</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根</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电缆桥板</w:t>
                  </w:r>
                </w:p>
              </w:tc>
              <w:tc>
                <w:tcPr>
                  <w:tcW w:type="dxa" w:w="1547"/>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电缆扎带</w:t>
                  </w:r>
                </w:p>
              </w:tc>
              <w:tc>
                <w:tcPr>
                  <w:tcW w:type="dxa" w:w="15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其它电气施工辅料</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小计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五</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b/>
                    </w:rPr>
                    <w:t>舾装设备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锚泊及系泊设备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人力锚机</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φ12.5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霍尔锚</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铸钢，100kg</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闸刀止链器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φ12.5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导链滚轮</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φ12.5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锚链</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φ12.5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米</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双十字缆桩</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E</w:t>
                  </w:r>
                  <w:r>
                    <w:rPr>
                      <w:rFonts w:ascii="仿宋_GB2312" w:hAnsi="仿宋_GB2312" w:cs="仿宋_GB2312" w:eastAsia="仿宋_GB2312"/>
                      <w:sz w:val="24"/>
                    </w:rPr>
                    <w:t>型φ150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靠把轮胎</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废旧小轿车轮胎。</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吊环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钢质</w:t>
                  </w:r>
                  <w:r>
                    <w:rPr>
                      <w:rFonts w:ascii="仿宋_GB2312" w:hAnsi="仿宋_GB2312" w:cs="仿宋_GB2312" w:eastAsia="仿宋_GB2312"/>
                      <w:sz w:val="24"/>
                    </w:rPr>
                    <w:t>Φ8m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系泊缆绳</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Φ25mm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米</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机舱地板/花纹钢板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二)</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消防设备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消防栓</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符合GB/T2032-2018</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消防水龙带</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DN50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水雾/水柱两用水枪</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×50mm</w:t>
                  </w:r>
                </w:p>
                <w:p>
                  <w:pPr>
                    <w:pStyle w:val="null3"/>
                    <w:jc w:val="left"/>
                  </w:pPr>
                  <w:r>
                    <w:rPr>
                      <w:rFonts w:ascii="仿宋_GB2312" w:hAnsi="仿宋_GB2312" w:cs="仿宋_GB2312" w:eastAsia="仿宋_GB2312"/>
                      <w:sz w:val="24"/>
                    </w:rPr>
                    <w:t>符合CB/T3393-1991</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半圆消防水桶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15L</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太平斧</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把</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干粉灭火器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～5kg</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具</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泡沫灭火器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9L</w:t>
                  </w:r>
                  <w:r>
                    <w:rPr>
                      <w:rFonts w:ascii="仿宋_GB2312" w:hAnsi="仿宋_GB2312" w:cs="仿宋_GB2312" w:eastAsia="仿宋_GB2312"/>
                      <w:sz w:val="24"/>
                    </w:rPr>
                    <w:t>～CCS证书</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具</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其他配套架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304</w:t>
                  </w:r>
                  <w:r>
                    <w:rPr>
                      <w:rFonts w:ascii="仿宋_GB2312" w:hAnsi="仿宋_GB2312" w:cs="仿宋_GB2312" w:eastAsia="仿宋_GB2312"/>
                      <w:sz w:val="24"/>
                    </w:rPr>
                    <w:t>不锈钢</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（三）</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救生设备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救生圈</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WL-5556</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30m</w:t>
                  </w:r>
                  <w:r>
                    <w:rPr>
                      <w:rFonts w:ascii="仿宋_GB2312" w:hAnsi="仿宋_GB2312" w:cs="仿宋_GB2312" w:eastAsia="仿宋_GB2312"/>
                      <w:sz w:val="24"/>
                    </w:rPr>
                    <w:t>救生浮索</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Φ8×30m橘红色</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根</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救生衣</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RHYTD5588-1</w:t>
                  </w:r>
                  <w:r>
                    <w:rPr>
                      <w:rFonts w:ascii="仿宋_GB2312" w:hAnsi="仿宋_GB2312" w:cs="仿宋_GB2312" w:eastAsia="仿宋_GB2312"/>
                      <w:sz w:val="24"/>
                    </w:rPr>
                    <w:t>～成人～带CCS证</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26</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件</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（四）</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航行信号设备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中国国旗5#</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符合国家相关行业规定、规范及标准。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件</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旗杆</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304</w:t>
                  </w:r>
                  <w:r>
                    <w:rPr>
                      <w:rFonts w:ascii="仿宋_GB2312" w:hAnsi="仿宋_GB2312" w:cs="仿宋_GB2312" w:eastAsia="仿宋_GB2312"/>
                      <w:sz w:val="24"/>
                    </w:rPr>
                    <w:t>不锈钢</w:t>
                  </w:r>
                  <w:r>
                    <w:rPr>
                      <w:rFonts w:ascii="仿宋_GB2312" w:hAnsi="仿宋_GB2312" w:cs="仿宋_GB2312" w:eastAsia="仿宋_GB2312"/>
                      <w:sz w:val="24"/>
                    </w:rPr>
                    <w:t>Φ32</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件</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（五）</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通道及开口设备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全船栏杆</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φ38mm,ss304</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全船扶手</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φ32mm,ss304</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下机舱梯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自制钢质，B=400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下舵机舱梯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自制钢质，B=400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下空舱梯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自制钢质，B=400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下首尖舱梯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自制钢质，B=400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上顶甲板直梯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自制304不锈钢，B=400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下会议室梯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自制木质,宽度800mm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上驾驶室甲板梯</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自制玻璃钢,宽度800mm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驾驶室挡风玻璃</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定制，7mm+7mm夹胶玻璃</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会议室挡风玻璃</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定制，6mm+6mm夹胶玻璃</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底层侧壁幕墙</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6mm</w:t>
                  </w:r>
                  <w:r>
                    <w:rPr>
                      <w:rFonts w:ascii="仿宋_GB2312" w:hAnsi="仿宋_GB2312" w:cs="仿宋_GB2312" w:eastAsia="仿宋_GB2312"/>
                      <w:sz w:val="24"/>
                    </w:rPr>
                    <w:t>钢化玻璃</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上层侧壁幕墙</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6mm</w:t>
                  </w:r>
                  <w:r>
                    <w:rPr>
                      <w:rFonts w:ascii="仿宋_GB2312" w:hAnsi="仿宋_GB2312" w:cs="仿宋_GB2312" w:eastAsia="仿宋_GB2312"/>
                      <w:sz w:val="24"/>
                    </w:rPr>
                    <w:t>钢化玻璃</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钢质风雨密舱口盖</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钢质630*630*H=200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船用埋入式水密人孔盖</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C</w:t>
                  </w:r>
                  <w:r>
                    <w:rPr>
                      <w:rFonts w:ascii="仿宋_GB2312" w:hAnsi="仿宋_GB2312" w:cs="仿宋_GB2312" w:eastAsia="仿宋_GB2312"/>
                      <w:sz w:val="24"/>
                    </w:rPr>
                    <w:t>型400*600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船用水密人孔盖</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B</w:t>
                  </w:r>
                  <w:r>
                    <w:rPr>
                      <w:rFonts w:ascii="仿宋_GB2312" w:hAnsi="仿宋_GB2312" w:cs="仿宋_GB2312" w:eastAsia="仿宋_GB2312"/>
                      <w:sz w:val="24"/>
                    </w:rPr>
                    <w:t>型400*600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17</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船用水密手孔盖</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Φ350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18</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进机舱门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铝合金风雨密门,1750×750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19</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会议室双外开门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铝合金风雨密门，1800×900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扇</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进指挥室门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铝合金风雨密门，1800×750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扇</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木质门</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自制， 1750×700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扇</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机舱通风百叶</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左右对称，自制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（六）</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其它室外设备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桅杆</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玻璃钢，自制</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通风头</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φ50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辅助类易耗设备</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螺丝、螺丝、胶类等</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小计</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六</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b/>
                    </w:rPr>
                    <w:t>内装部分</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尺寸根据实际需求为准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（一）</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隔音、隔热、防火处理</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陶瓷防火棉</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1200*500*25</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280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m2</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阻燃吸音棉</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§70×950×2000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98</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m2</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多孔铝板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§1×1000×2000～Φ2.5mm</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98</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m2</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（二）</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地板、天花及壁板装饰</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铝蜂窝板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2440*1220*10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280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m2</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装饰基层</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30*30</w:t>
                  </w:r>
                  <w:r>
                    <w:rPr>
                      <w:rFonts w:ascii="仿宋_GB2312" w:hAnsi="仿宋_GB2312" w:cs="仿宋_GB2312" w:eastAsia="仿宋_GB2312"/>
                      <w:sz w:val="24"/>
                    </w:rPr>
                    <w:t>铝方管</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280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m2</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石塑地板</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1200*200*6</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m2</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防滑瓷砖</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～LJB36002～300×300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m2</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（三）</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舱室家具</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A</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驾驶室</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驾驶台台面</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台面包裹黑色人造革</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组</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侧壁组合柜</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1600*700*400</w:t>
                  </w:r>
                  <w:r>
                    <w:rPr>
                      <w:rFonts w:ascii="仿宋_GB2312" w:hAnsi="仿宋_GB2312" w:cs="仿宋_GB2312" w:eastAsia="仿宋_GB2312"/>
                      <w:sz w:val="24"/>
                    </w:rPr>
                    <w:t>木质免漆板</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铝合金驾驶椅</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仿皮，带踏板，可移动，可升降</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侧壁窗帘盒及窗帘</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布艺</w:t>
                  </w:r>
                  <w:r>
                    <w:rPr>
                      <w:rFonts w:ascii="仿宋_GB2312" w:hAnsi="仿宋_GB2312" w:cs="仿宋_GB2312" w:eastAsia="仿宋_GB2312"/>
                      <w:sz w:val="24"/>
                    </w:rPr>
                    <w:t>窗帘</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B</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指挥室</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仿皮3人沙发</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4"/>
                    </w:rPr>
                    <w:t>980*890*940</w:t>
                  </w:r>
                  <w:r>
                    <w:rPr>
                      <w:rFonts w:ascii="仿宋_GB2312" w:hAnsi="仿宋_GB2312" w:cs="仿宋_GB2312" w:eastAsia="仿宋_GB2312"/>
                      <w:sz w:val="24"/>
                    </w:rPr>
                    <w:t>人造革</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仿皮2人沙发</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4"/>
                    </w:rPr>
                    <w:t>680*890*940</w:t>
                  </w:r>
                  <w:r>
                    <w:rPr>
                      <w:rFonts w:ascii="仿宋_GB2312" w:hAnsi="仿宋_GB2312" w:cs="仿宋_GB2312" w:eastAsia="仿宋_GB2312"/>
                      <w:sz w:val="24"/>
                    </w:rPr>
                    <w:t>人造革</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仿皮单人沙发</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80*890*940</w:t>
                  </w:r>
                  <w:r>
                    <w:rPr>
                      <w:rFonts w:ascii="仿宋_GB2312" w:hAnsi="仿宋_GB2312" w:cs="仿宋_GB2312" w:eastAsia="仿宋_GB2312"/>
                      <w:sz w:val="24"/>
                    </w:rPr>
                    <w:t>人造革</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木质茶几</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1200*600</w:t>
                  </w:r>
                  <w:r>
                    <w:rPr>
                      <w:rFonts w:ascii="仿宋_GB2312" w:hAnsi="仿宋_GB2312" w:cs="仿宋_GB2312" w:eastAsia="仿宋_GB2312"/>
                      <w:sz w:val="24"/>
                    </w:rPr>
                    <w:t>木质</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茶水边柜</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700*500</w:t>
                  </w:r>
                  <w:r>
                    <w:rPr>
                      <w:rFonts w:ascii="仿宋_GB2312" w:hAnsi="仿宋_GB2312" w:cs="仿宋_GB2312" w:eastAsia="仿宋_GB2312"/>
                      <w:sz w:val="24"/>
                    </w:rPr>
                    <w:t>木质免漆板</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窗帘盒及窗帘</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布艺</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C</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储物间</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D</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茶水间</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茶水柜子</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1250**760*500</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窗帘盒及窗帘</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布艺</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E</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会议室</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仿皮3人沙发</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4"/>
                    </w:rPr>
                    <w:t>980*890*940</w:t>
                  </w:r>
                  <w:r>
                    <w:rPr>
                      <w:rFonts w:ascii="仿宋_GB2312" w:hAnsi="仿宋_GB2312" w:cs="仿宋_GB2312" w:eastAsia="仿宋_GB2312"/>
                      <w:sz w:val="24"/>
                    </w:rPr>
                    <w:t>人造革</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仿皮单人沙发</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80*890*940</w:t>
                  </w:r>
                  <w:r>
                    <w:rPr>
                      <w:rFonts w:ascii="仿宋_GB2312" w:hAnsi="仿宋_GB2312" w:cs="仿宋_GB2312" w:eastAsia="仿宋_GB2312"/>
                      <w:sz w:val="24"/>
                    </w:rPr>
                    <w:t>人造革</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茶几</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1200*600</w:t>
                  </w:r>
                  <w:r>
                    <w:rPr>
                      <w:rFonts w:ascii="仿宋_GB2312" w:hAnsi="仿宋_GB2312" w:cs="仿宋_GB2312" w:eastAsia="仿宋_GB2312"/>
                      <w:sz w:val="24"/>
                    </w:rPr>
                    <w:t>木质</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茶水边柜</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700*500</w:t>
                  </w:r>
                  <w:r>
                    <w:rPr>
                      <w:rFonts w:ascii="仿宋_GB2312" w:hAnsi="仿宋_GB2312" w:cs="仿宋_GB2312" w:eastAsia="仿宋_GB2312"/>
                      <w:sz w:val="24"/>
                    </w:rPr>
                    <w:t>木质免漆板</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窗帘盒及窗帘</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布艺</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pPr>
                    <w:pStyle w:val="null3"/>
                    <w:jc w:val="both"/>
                  </w:pPr>
                </w:p>
              </w:tc>
            </w:tr>
            <w:tr>
              <w:tc>
                <w:tcPr>
                  <w:tcW w:type="dxa" w:w="603"/>
                  <w:tcBorders>
                    <w:top w:val="none" w:color="000000" w:sz="4"/>
                    <w:left w:val="double" w:color="000000" w:sz="8"/>
                    <w:bottom w:val="single" w:color="000000" w:sz="4"/>
                    <w:right w:val="single" w:color="000000" w:sz="4"/>
                  </w:tcBorders>
                  <w:tcMar>
                    <w:top w:type="dxa" w:w="0"/>
                    <w:left w:type="dxa" w:w="105"/>
                    <w:bottom w:type="dxa" w:w="0"/>
                    <w:right w:type="dxa" w:w="105"/>
                  </w:tcMar>
                </w:tcPr>
                <w:p/>
              </w:tc>
              <w:tc>
                <w:tcPr>
                  <w:tcW w:type="dxa" w:w="142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17"/>
                  <w:tcBorders>
                    <w:top w:val="none" w:color="000000" w:sz="4"/>
                    <w:left w:val="none" w:color="000000" w:sz="4"/>
                    <w:bottom w:val="single" w:color="000000" w:sz="4"/>
                    <w:right w:val="double" w:color="000000" w:sz="8"/>
                  </w:tcBorders>
                  <w:tcMar>
                    <w:top w:type="dxa" w:w="0"/>
                    <w:left w:type="dxa" w:w="105"/>
                    <w:bottom w:type="dxa" w:w="0"/>
                    <w:right w:type="dxa" w:w="105"/>
                  </w:tcMar>
                </w:tcP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拟投入人员配置</w:t>
            </w:r>
          </w:p>
        </w:tc>
        <w:tc>
          <w:tcPr>
            <w:tcW w:type="dxa" w:w="5814"/>
          </w:tcPr>
          <w:p>
            <w:pPr>
              <w:pStyle w:val="null3"/>
              <w:jc w:val="both"/>
            </w:pPr>
            <w:r>
              <w:rPr>
                <w:rFonts w:ascii="仿宋_GB2312" w:hAnsi="仿宋_GB2312" w:cs="仿宋_GB2312" w:eastAsia="仿宋_GB2312"/>
                <w:sz w:val="24"/>
              </w:rPr>
              <w:t>供应商需为本项目成立专门的项目组，配置足额、专业的实施人员；具体配置要求如下：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项目负责人：1名，具有船舶类高级工程师及以上技术证书，负责项目整体统筹、协调。</w:t>
            </w:r>
            <w:r>
              <w:rPr>
                <w:rFonts w:ascii="仿宋_GB2312" w:hAnsi="仿宋_GB2312" w:cs="仿宋_GB2312" w:eastAsia="仿宋_GB2312"/>
                <w:sz w:val="24"/>
                <w:b/>
              </w:rPr>
              <w:t>（须提供相关证书扫描件）</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技术负责人：1名，具有船舶类高级工程师及以上技术证书，负责项目技术指导、质量把控。</w:t>
            </w:r>
            <w:r>
              <w:rPr>
                <w:rFonts w:ascii="仿宋_GB2312" w:hAnsi="仿宋_GB2312" w:cs="仿宋_GB2312" w:eastAsia="仿宋_GB2312"/>
                <w:sz w:val="24"/>
                <w:b/>
              </w:rPr>
              <w:t>（须提供相关证书扫描件）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技术人员：3名，分别为船体类、轮机类、船舶电气类各1名，均具有对应专业中级工程师及以上技术证书，负责项目现场实施、安装调试。</w:t>
            </w:r>
            <w:r>
              <w:rPr>
                <w:rFonts w:ascii="仿宋_GB2312" w:hAnsi="仿宋_GB2312" w:cs="仿宋_GB2312" w:eastAsia="仿宋_GB2312"/>
                <w:sz w:val="24"/>
                <w:b/>
              </w:rPr>
              <w:t>（须提供相关证书扫描件）</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焊工人员：至少2名，具有2份及以上船级社或海事部门颁发的船舶焊工证。</w:t>
            </w:r>
            <w:r>
              <w:rPr>
                <w:rFonts w:ascii="仿宋_GB2312" w:hAnsi="仿宋_GB2312" w:cs="仿宋_GB2312" w:eastAsia="仿宋_GB2312"/>
                <w:sz w:val="24"/>
                <w:b/>
              </w:rPr>
              <w:t>（须提供相关证书扫描件）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4"/>
              </w:rPr>
              <w:t>供应商须具备本项目所需的造船设施设备及生产场地，具体要求如下：</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起重设备或叉车配置：配备必要的起重设备，或配备</w:t>
            </w:r>
            <w:r>
              <w:rPr>
                <w:rFonts w:ascii="仿宋_GB2312" w:hAnsi="仿宋_GB2312" w:cs="仿宋_GB2312" w:eastAsia="仿宋_GB2312"/>
                <w:sz w:val="24"/>
              </w:rPr>
              <w:t>5T</w:t>
            </w:r>
            <w:r>
              <w:rPr>
                <w:rFonts w:ascii="仿宋_GB2312" w:hAnsi="仿宋_GB2312" w:cs="仿宋_GB2312" w:eastAsia="仿宋_GB2312"/>
                <w:sz w:val="24"/>
              </w:rPr>
              <w:t>及以上叉车</w:t>
            </w:r>
            <w:r>
              <w:rPr>
                <w:rFonts w:ascii="仿宋_GB2312" w:hAnsi="仿宋_GB2312" w:cs="仿宋_GB2312" w:eastAsia="仿宋_GB2312"/>
                <w:sz w:val="24"/>
              </w:rPr>
              <w:t>1</w:t>
            </w:r>
            <w:r>
              <w:rPr>
                <w:rFonts w:ascii="仿宋_GB2312" w:hAnsi="仿宋_GB2312" w:cs="仿宋_GB2312" w:eastAsia="仿宋_GB2312"/>
                <w:sz w:val="24"/>
              </w:rPr>
              <w:t>台及以上；须提供设备所有权证明（设备照片、采购发票），设备运行正常，无故障。</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室内车间：具备室内车间，车间为供应商自有或合法租赁，满足船舶建造、组装、调试要求，车间内设备齐全、布局合理。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若为</w:t>
            </w:r>
            <w:r>
              <w:rPr>
                <w:rFonts w:ascii="仿宋_GB2312" w:hAnsi="仿宋_GB2312" w:cs="仿宋_GB2312" w:eastAsia="仿宋_GB2312"/>
                <w:sz w:val="24"/>
              </w:rPr>
              <w:t>自有车间：</w:t>
            </w:r>
            <w:r>
              <w:rPr>
                <w:rFonts w:ascii="仿宋_GB2312" w:hAnsi="仿宋_GB2312" w:cs="仿宋_GB2312" w:eastAsia="仿宋_GB2312"/>
                <w:sz w:val="24"/>
              </w:rPr>
              <w:t>供应商须</w:t>
            </w:r>
            <w:r>
              <w:rPr>
                <w:rFonts w:ascii="仿宋_GB2312" w:hAnsi="仿宋_GB2312" w:cs="仿宋_GB2312" w:eastAsia="仿宋_GB2312"/>
                <w:sz w:val="24"/>
              </w:rPr>
              <w:t>提供产权证明原件扫描件、车间现场照片。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若为租赁车间：供应商须提供产权证明原件扫描件、车间现场照片、有效期内的租赁合同扫描件、合同有效期内银行出具的任意一次租赁汇款证明扫描件。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技术相关要求</w:t>
            </w:r>
          </w:p>
        </w:tc>
        <w:tc>
          <w:tcPr>
            <w:tcW w:type="dxa" w:w="5814"/>
          </w:tcPr>
          <w:p>
            <w:pPr>
              <w:pStyle w:val="null3"/>
              <w:jc w:val="both"/>
            </w:pPr>
            <w:r>
              <w:rPr>
                <w:rFonts w:ascii="仿宋_GB2312" w:hAnsi="仿宋_GB2312" w:cs="仿宋_GB2312" w:eastAsia="仿宋_GB2312"/>
                <w:sz w:val="24"/>
              </w:rPr>
              <w:t>1.供应商根据本项目发布的总布置图和技术参数及要求中船舶主要参数内容深化完成船舶初步设计图纸，须提供船舶基本结构图、机舱布置图；提供本项目船舶外观设计效果图1张、驾驶室效果图1张、指挥室效果图1张，设计图要素齐全,满足本项目技术参数及要求中船舶主要参数内容需求。</w:t>
            </w:r>
          </w:p>
          <w:p>
            <w:pPr>
              <w:pStyle w:val="null3"/>
              <w:jc w:val="both"/>
            </w:pPr>
            <w:r>
              <w:rPr>
                <w:rFonts w:ascii="仿宋_GB2312" w:hAnsi="仿宋_GB2312" w:cs="仿宋_GB2312" w:eastAsia="仿宋_GB2312"/>
                <w:sz w:val="24"/>
              </w:rPr>
              <w:t>2.供应商具有有效的排放污染物许可证或具有固定污染源排污登记回执，须提供排放污染物许可证扫描件或固定污染源排污登记回执网上查询截图佐证，无违法排污记录。</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项目负责人沟通：成交后提供项目负责人联系方式，其负责与采购人各部门间的沟通协调工作，项目实施期间不可更换；如遇不可抗力原因确需更换，需书面告知采购人并征得采购人书面同意，更换后的人员资质不低于原人员（单独提供承诺函，格式自拟）。</w:t>
            </w:r>
          </w:p>
          <w:p>
            <w:pPr>
              <w:pStyle w:val="null3"/>
              <w:jc w:val="left"/>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运输及安装调试：成交供应商负责所有货物的运输及安装调试工作，运输采用专业船舶运输车辆，确保货物安全；安装调试严格按规范执行，确保船舶各项性能达标（单独提供承诺函，格式自拟）。</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安全责任：货物安装过程中及交付使用后，因安装不当造成的安全事故，其全部责任和损失由成交供应商承担，采购人无连带责任（单独提供承诺函，格式自拟）。</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成交供应商对本项目全部内容负总责，包括但不限于</w:t>
            </w:r>
            <w:r>
              <w:rPr>
                <w:rFonts w:ascii="仿宋_GB2312" w:hAnsi="仿宋_GB2312" w:cs="仿宋_GB2312" w:eastAsia="仿宋_GB2312"/>
                <w:sz w:val="24"/>
              </w:rPr>
              <w:t>船舶的设计、</w:t>
            </w:r>
            <w:r>
              <w:rPr>
                <w:rFonts w:ascii="仿宋_GB2312" w:hAnsi="仿宋_GB2312" w:cs="仿宋_GB2312" w:eastAsia="仿宋_GB2312"/>
                <w:sz w:val="24"/>
              </w:rPr>
              <w:t>船舶建造、安装调试、安全质量、验收通过、售后服务等，不得以任何理由甩项、缺项或加价。</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技术培训要求</w:t>
            </w:r>
          </w:p>
        </w:tc>
        <w:tc>
          <w:tcPr>
            <w:tcW w:type="dxa" w:w="5814"/>
          </w:tcPr>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培训方案：成交供应商须提供详细的技术培训方案，培训方案包含培训目标、培训内容、培训时间、培训地点、培训师资、考核方式等。</w:t>
            </w:r>
          </w:p>
          <w:p>
            <w:pPr>
              <w:pStyle w:val="null3"/>
              <w:jc w:val="both"/>
            </w:pPr>
            <w:r>
              <w:rPr>
                <w:rFonts w:ascii="仿宋_GB2312" w:hAnsi="仿宋_GB2312" w:cs="仿宋_GB2312" w:eastAsia="仿宋_GB2312"/>
                <w:sz w:val="24"/>
              </w:rPr>
              <w:t>②培训内容：包括船舶工作原理、各系统操作使用、日常一般维护、常见故障排查与处理、应急操作流程等，覆盖船舶全系统、全设备。</w:t>
            </w:r>
          </w:p>
          <w:p>
            <w:pPr>
              <w:pStyle w:val="null3"/>
              <w:jc w:val="both"/>
            </w:pPr>
            <w:r>
              <w:rPr>
                <w:rFonts w:ascii="仿宋_GB2312" w:hAnsi="仿宋_GB2312" w:cs="仿宋_GB2312" w:eastAsia="仿宋_GB2312"/>
                <w:sz w:val="24"/>
              </w:rPr>
              <w:t>③培训实施：负责对采购人指定人员进行面对面、手把手技术培训，培训师资为项目技术负责人及各专业技术人员；确保操作者完全熟悉设备的全部功能，能独立完成操作、维护、常见故障处理；培训后进行考核，考核合格后方可交付使用。</w:t>
            </w:r>
          </w:p>
          <w:p>
            <w:pPr>
              <w:pStyle w:val="null3"/>
              <w:jc w:val="left"/>
            </w:pPr>
            <w:r>
              <w:rPr>
                <w:rFonts w:ascii="仿宋_GB2312" w:hAnsi="仿宋_GB2312" w:cs="仿宋_GB2312" w:eastAsia="仿宋_GB2312"/>
                <w:sz w:val="24"/>
              </w:rPr>
              <w:t>④</w:t>
            </w:r>
            <w:r>
              <w:rPr>
                <w:rFonts w:ascii="仿宋_GB2312" w:hAnsi="仿宋_GB2312" w:cs="仿宋_GB2312" w:eastAsia="仿宋_GB2312"/>
                <w:sz w:val="24"/>
              </w:rPr>
              <w:t>培训资料：提供全套培训资料（纸质版+电子版），包括操作手册、维护手册、故障排查手册、图纸等，资料内容清晰、易懂，便于查阅。</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特别说明</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技术参数供应商必须逐条</w:t>
            </w:r>
            <w:r>
              <w:rPr>
                <w:rFonts w:ascii="仿宋_GB2312" w:hAnsi="仿宋_GB2312" w:cs="仿宋_GB2312" w:eastAsia="仿宋_GB2312"/>
                <w:sz w:val="24"/>
              </w:rPr>
              <w:t>据实对应</w:t>
            </w:r>
            <w:r>
              <w:rPr>
                <w:rFonts w:ascii="仿宋_GB2312" w:hAnsi="仿宋_GB2312" w:cs="仿宋_GB2312" w:eastAsia="仿宋_GB2312"/>
                <w:sz w:val="24"/>
              </w:rPr>
              <w:t>响应。</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、设计图和设计图设备明细若涉及生产厂家、品牌和规格型号仅作参考，但设备数量及性能均不低于原设计的要求，并经船检部门审查同意；</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、技术要求中若有漏项，技术参数要求以设计图和清单要求为准</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、本项目标的物为“水上执法指挥船”，组件和辅材不是标的物，供应商在生产配备过程中须采用符合国家、行业节能环保及强制性要求的组件和辅材；</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、除采购文件另有规定外，若出现有关法律、法规和规章有强制性规定但采购文件未列明的情形，则供应商应按照有关法律、法规的强制性规定执行。</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成交供应商应在保险公司对本船投保从船体下料直至签署交船文件止的船舶建造险，投保金额为本合同价格的</w:t>
            </w:r>
            <w:r>
              <w:rPr>
                <w:rFonts w:ascii="仿宋_GB2312" w:hAnsi="仿宋_GB2312" w:cs="仿宋_GB2312" w:eastAsia="仿宋_GB2312"/>
                <w:sz w:val="24"/>
              </w:rPr>
              <w:t>110%</w:t>
            </w:r>
            <w:r>
              <w:rPr>
                <w:rFonts w:ascii="仿宋_GB2312" w:hAnsi="仿宋_GB2312" w:cs="仿宋_GB2312" w:eastAsia="仿宋_GB2312"/>
                <w:sz w:val="24"/>
              </w:rPr>
              <w:t>。保险受益人为成交供应商，采购人有权随时调阅该保险单。如成交供应商未按要求出示合同规定的保险证明，则采购人可办理此类保险，支付的保险费从成交供应商的成交合同金额中扣除。</w:t>
            </w:r>
          </w:p>
          <w:p>
            <w:pPr>
              <w:pStyle w:val="null3"/>
              <w:jc w:val="left"/>
            </w:pPr>
            <w:r>
              <w:rPr>
                <w:rFonts w:ascii="仿宋_GB2312" w:hAnsi="仿宋_GB2312" w:cs="仿宋_GB2312" w:eastAsia="仿宋_GB2312"/>
                <w:sz w:val="24"/>
              </w:rPr>
              <w:t xml:space="preserve">    7</w:t>
            </w:r>
            <w:r>
              <w:rPr>
                <w:rFonts w:ascii="仿宋_GB2312" w:hAnsi="仿宋_GB2312" w:cs="仿宋_GB2312" w:eastAsia="仿宋_GB2312"/>
                <w:sz w:val="24"/>
              </w:rPr>
              <w:t>、因船舶需按照采购人提供的方案进行详细设计，并由成交供应商船舶建造地船检机构审批后方可进行船舶建造，故在设计、审批过程中，因图纸调整等原因引起设备变换，视为已包含在响应报价中，采购人不再另行增加费用</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、若涉及</w:t>
            </w:r>
            <w:r>
              <w:rPr>
                <w:rFonts w:ascii="仿宋_GB2312" w:hAnsi="仿宋_GB2312" w:cs="仿宋_GB2312" w:eastAsia="仿宋_GB2312"/>
                <w:sz w:val="24"/>
              </w:rPr>
              <w:t xml:space="preserve">CCC </w:t>
            </w:r>
            <w:r>
              <w:rPr>
                <w:rFonts w:ascii="仿宋_GB2312" w:hAnsi="仿宋_GB2312" w:cs="仿宋_GB2312" w:eastAsia="仿宋_GB2312"/>
                <w:sz w:val="24"/>
              </w:rPr>
              <w:t>认证范围内产品的，成交供应商须严格执行国家现行的相关政策，按规定予以配置。</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、本文件中引用的所有标准、规范、规程及技术文件，若存在已废止、被修订替代或更新版本发布实施的情形，一律以国家、行业现行有效最新版本及正式替代标准执行。</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自船检部门审图完成并取得开工令后180天内交货。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交接船地点为南充市内采购人指定地点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1、预付款，合同签订生效后支付预付款(因甲方原因延迟支付款项的，则工期顺延)，达到付款条件起5日内，支付合同总金额的40.00%</w:t>
            </w:r>
          </w:p>
          <w:p>
            <w:pPr>
              <w:pStyle w:val="null3"/>
              <w:jc w:val="left"/>
            </w:pPr>
            <w:r>
              <w:rPr>
                <w:rFonts w:ascii="仿宋_GB2312" w:hAnsi="仿宋_GB2312" w:cs="仿宋_GB2312" w:eastAsia="仿宋_GB2312"/>
              </w:rPr>
              <w:t>2、进度款，船舶钢质下体完工后支付进度款(因甲方原因延迟支付款项的，则工期顺延)，达到付款条件起5日内，支付合同总金额的35.00%</w:t>
            </w:r>
          </w:p>
          <w:p>
            <w:pPr>
              <w:pStyle w:val="null3"/>
              <w:jc w:val="left"/>
            </w:pPr>
            <w:r>
              <w:rPr>
                <w:rFonts w:ascii="仿宋_GB2312" w:hAnsi="仿宋_GB2312" w:cs="仿宋_GB2312" w:eastAsia="仿宋_GB2312"/>
              </w:rPr>
              <w:t>3、尾款，船舶全部完工经采购人验收合格交付使用后（成交供应商须向采购人出具正式发票及相关付款凭证资料(因甲方原因延迟支付款项的，则工期顺延)），达到付款条件起15日内，支付合同总金额的25.00%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1）项目验收由采购人组织，供应商配合进行；采购人有权邀请第三方机构或质检部门等共同验收； 2）验收标准：按国家有关规定以及采购人招标文件的质量要求和技术指标、供应商的投标文件及承诺与本合同约定标准进行验收；3）其他未尽事宜应严格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 xml:space="preserve"> 1）本项目整体质保期为验收合格之日起12个月； 2）质保期内，成交供应商应提供7*24小时的响应服务，维护人员随时保持通讯畅通，响应到场时间在4小时以内，同时派经验丰富的维护工程师在初步判断故障部件后，4小时内携带备件到达现场，进行故障检测、维护与排除，保障采购人的正常使用。如果故障4小时内无法排除，需提供全新同款替代产品，以保障船舶正常工作； 3）成交后，供应商指派不少于2名售后服务人员负责提供售后服务； 4）供应商须提供一次及以上的技术培训，并长期提供技术支持； 5）终身零配件供应：供应商应保证船舶所涉及的配件供应不少于10年，质保期满后以优惠的价格提供所需的维修零配件。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①.采购人无正当理由拒收货物、拒付货款的，采购人应向供应商偿付拒付货款10％的违约金； ②.采购人未按合同规定的期限向供应商支付货款的，每逾期1日采购人向供应商偿付欠款总额的0.1‰违约金，但累计违约金总额不超过欠款总额的1％。 2）供应商违约责任 ①.供应商所交付的货物不符合本合同规定的，采购人有权拒收，同时供应商应向采购人支付合同总价20％的违约金。供应商应在得到采购人通知之日起10个工作日内采取补救措施。若供应商上述期限内所提供的货物仍不符合规定，供应商应向采购人另行支付合同总价20%的违约金，同时采购人有权单方面无条件解除合同； ②.成交供应商因自身原因不能按时完成服务内容而违约的，除应及时完成服务内容外，应向采购人支付应收金额万分之五/天的违约金。成交后未能按时完工超过30天，采购人有权终止合同，同时成交供应商退回已支付本项目采购资金，还应向采购人支付赔偿金,赔偿金为本项目成交金额的40%。如出现下列情况，采购人有权停止付款、收回已支付的资金、按上一条款约定的赔偿金追究成交供应商违约责任。1）成交供应商验收考核不合格，整改后仍无法达到项目的要求;2）成交供应商申请拨款时或财务审计时提供虚假的或不完整的资料;3）成交供应商项目资金的使用不符合协议书及其附件的规定。（3）其他未尽事宜按相关法律法规解决； ③.供应商保证本合同货物的权利无瑕疵，包括货物所有权及知识产权等权利无瑕疵。如产生了任何的纠纷、索赔或诉讼等，供应商除应向采购人返还已收款项外，还应另按合同总价的20%向采购人支付违约金并赔偿因此给采购人造成的一切损失； ④.一方偿付的违约金不足以弥补另一方损失的，还应按另一方损失尚未弥补的部分，支付赔偿金给另一方。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①因图片无法显示，总布置图详见附件。②其他未尽事宜以合同签订为准。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详见第三章“技术、服务及其他要求”中“3.2.技术要求”，“3.3.服务要求”。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详见第七章“拟签订采购合同文本”。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 供应商需在项目电子化交易系统中按要求填写《投标（响应）函》完成承诺并进行电子签章。供应商财务状况证明材料还应提供以下（1）-（3）项证明材料之一：（1）2023年度以来至今任意一年度经审计的财务报告（包含审计报告和审计报告中所涉及的财务报表和报表附注）；（2）2023年度至今以来任意一年度供应商内部的财务报表（至少包括资产负债表、利润表、现金流量表）；（3）供应商注册时间截至采购文件提交截止之日前不足一年的，也可提供在相关主管部门备案的公司章程等证明材料，或者提供截⾄采购⽂件提交截⽌之⽇前⼀年内银⾏出具的资信证明。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投标人具有钢质船舶三级Ⅲ类及以上船舶生产能力</w:t>
            </w:r>
          </w:p>
        </w:tc>
        <w:tc>
          <w:tcPr>
            <w:tcW w:type="dxa" w:w="3322"/>
          </w:tcPr>
          <w:p>
            <w:pPr>
              <w:pStyle w:val="null3"/>
              <w:jc w:val="left"/>
            </w:pPr>
            <w:r>
              <w:rPr>
                <w:rFonts w:ascii="仿宋_GB2312" w:hAnsi="仿宋_GB2312" w:cs="仿宋_GB2312" w:eastAsia="仿宋_GB2312"/>
              </w:rPr>
              <w:t>供应商具有钢质船舶三级Ⅲ类及以上船舶生产能力，提供相关证书或证明文件扫描件并进行电子签章。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w:t>
            </w:r>
          </w:p>
        </w:tc>
        <w:tc>
          <w:tcPr>
            <w:tcW w:type="dxa" w:w="3322"/>
          </w:tcPr>
          <w:p>
            <w:pPr>
              <w:pStyle w:val="null3"/>
              <w:jc w:val="left"/>
            </w:pPr>
            <w:r>
              <w:rPr>
                <w:rFonts w:ascii="仿宋_GB2312" w:hAnsi="仿宋_GB2312" w:cs="仿宋_GB2312" w:eastAsia="仿宋_GB2312"/>
              </w:rPr>
              <w:t>供应商按采购文件第三章 技术、服务及其他要求 “ 3.2技术要求”逐条响应。</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服务要求响应</w:t>
            </w:r>
          </w:p>
        </w:tc>
        <w:tc>
          <w:tcPr>
            <w:tcW w:type="dxa" w:w="3322"/>
          </w:tcPr>
          <w:p>
            <w:pPr>
              <w:pStyle w:val="null3"/>
              <w:jc w:val="left"/>
            </w:pPr>
            <w:r>
              <w:rPr>
                <w:rFonts w:ascii="仿宋_GB2312" w:hAnsi="仿宋_GB2312" w:cs="仿宋_GB2312" w:eastAsia="仿宋_GB2312"/>
              </w:rPr>
              <w:t>供应商按采购文件第三章 技术、服务及其他要求 “ 3.3服务要求”逐条响应。</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报价符合采购文件的相关规定。</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