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版本号：N510525202600010420260506001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单雨量自动气象监测站建设项目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N5105252026000104</w:t>
      </w:r>
    </w:p>
    <w:p>
      <w:pPr>
        <w:pStyle w:val="null3"/>
        <w:jc w:val="left"/>
        <w:outlineLvl w:val="2"/>
      </w:pPr>
      <w:r>
        <w:rPr>
          <w:rFonts w:ascii="仿宋_GB2312" w:hAnsi="仿宋_GB2312" w:cs="仿宋_GB2312" w:eastAsia="仿宋_GB2312"/>
          <w:sz w:val="28"/>
          <w:b/>
        </w:rPr>
        <w:t>古蔺县气象局</w:t>
      </w:r>
    </w:p>
    <w:p>
      <w:pPr>
        <w:pStyle w:val="null3"/>
        <w:jc w:val="center"/>
        <w:outlineLvl w:val="2"/>
      </w:pPr>
      <w:r>
        <w:rPr>
          <w:rFonts w:ascii="仿宋_GB2312" w:hAnsi="仿宋_GB2312" w:cs="仿宋_GB2312" w:eastAsia="仿宋_GB2312"/>
          <w:sz w:val="28"/>
          <w:b/>
        </w:rPr>
        <w:t>四川锦创全过程工程项目管理有限公司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古蔺县气象局</w:t>
      </w:r>
      <w:r>
        <w:rPr>
          <w:rFonts w:ascii="仿宋_GB2312" w:hAnsi="仿宋_GB2312" w:cs="仿宋_GB2312" w:eastAsia="仿宋_GB2312"/>
        </w:rPr>
        <w:t xml:space="preserve"> 委托，拟对 </w:t>
      </w:r>
      <w:r>
        <w:rPr>
          <w:rFonts w:ascii="仿宋_GB2312" w:hAnsi="仿宋_GB2312" w:cs="仿宋_GB2312" w:eastAsia="仿宋_GB2312"/>
        </w:rPr>
        <w:t>单雨量自动气象监测站建设项目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泸州市古蔺县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N5105252026000104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单雨量自动气象监测站建设项目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1.本项目1个包，为提升古蔺县地质灾害防治能力，建设单雨量自动气象监测站86套。</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古蔺县气象局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四川省泸州市古蔺县彰德街道迎宾大道865号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17380876561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四川锦创全过程工程项目管理有限公司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四川省泸州市古蔺县彰德街道环城路918号附1号-惜字苑2幢101号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19150899960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采购包1：2,322,000.00元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以总中标金额作为计算基数，按差额定率票进法进行计算，并按以下费率标准(货物采购项目)进行收取，按收费标准计算后代理费用不足5000元的按5000元计算:代理服务费向中标人收取:中标金额100万元以下，费率1.5%;中标金额100-500万元，费率1.1%:中标金额500-1000万元，费车0.8%:中标金额100-500万元，费率0.5%:中标金额5000-10000万元，费率0.25%;中标金额10000-100000万元，费率0.05%:中标金额100000万元以上，费率0.01%。收款单位：四川锦创全过程工程项目管理有限公司古蔺分公司；开户行：泸州银行股份有限公司古蔺支行；账号：9200003725387180。</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古蔺县气象局</w:t>
      </w:r>
      <w:r>
        <w:rPr>
          <w:rFonts w:ascii="仿宋_GB2312" w:hAnsi="仿宋_GB2312" w:cs="仿宋_GB2312" w:eastAsia="仿宋_GB2312"/>
        </w:rPr>
        <w:t xml:space="preserve"> 和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古蔺县气象局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90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履约完成中标人提出验收申请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按国家有关规定、招标文件的质量要求和技术指标、中标人投标文件及承诺以及合同约定标准进行验收。其他未尽事宜将按照《财政部关于进一步加强政府采购需求和履约验收管理的指导意见》(财库(2016) 205号)规定的标准、方法和内容进行验收。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古蔺县气象局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联系人：张先生</w:t>
      </w:r>
    </w:p>
    <w:p>
      <w:pPr>
        <w:pStyle w:val="null3"/>
        <w:jc w:val="left"/>
      </w:pPr>
      <w:r>
        <w:rPr>
          <w:rFonts w:ascii="仿宋_GB2312" w:hAnsi="仿宋_GB2312" w:cs="仿宋_GB2312" w:eastAsia="仿宋_GB2312"/>
        </w:rPr>
        <w:t>联系电话：17380876561</w:t>
      </w:r>
    </w:p>
    <w:p>
      <w:pPr>
        <w:pStyle w:val="null3"/>
        <w:jc w:val="left"/>
      </w:pPr>
      <w:r>
        <w:rPr>
          <w:rFonts w:ascii="仿宋_GB2312" w:hAnsi="仿宋_GB2312" w:cs="仿宋_GB2312" w:eastAsia="仿宋_GB2312"/>
        </w:rPr>
        <w:t>地址：四川省泸州市古蔺县彰德街道迎宾大道865号</w:t>
      </w:r>
    </w:p>
    <w:p>
      <w:pPr>
        <w:pStyle w:val="null3"/>
        <w:jc w:val="left"/>
      </w:pPr>
      <w:r>
        <w:rPr>
          <w:rFonts w:ascii="仿宋_GB2312" w:hAnsi="仿宋_GB2312" w:cs="仿宋_GB2312" w:eastAsia="仿宋_GB2312"/>
        </w:rPr>
        <w:t>邮编：646500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联系人：邓女士</w:t>
      </w:r>
    </w:p>
    <w:p>
      <w:pPr>
        <w:pStyle w:val="null3"/>
        <w:jc w:val="left"/>
      </w:pPr>
      <w:r>
        <w:rPr>
          <w:rFonts w:ascii="仿宋_GB2312" w:hAnsi="仿宋_GB2312" w:cs="仿宋_GB2312" w:eastAsia="仿宋_GB2312"/>
        </w:rPr>
        <w:t>联系电话：19150899960</w:t>
      </w:r>
    </w:p>
    <w:p>
      <w:pPr>
        <w:pStyle w:val="null3"/>
        <w:jc w:val="left"/>
      </w:pPr>
      <w:r>
        <w:rPr>
          <w:rFonts w:ascii="仿宋_GB2312" w:hAnsi="仿宋_GB2312" w:cs="仿宋_GB2312" w:eastAsia="仿宋_GB2312"/>
        </w:rPr>
        <w:t>地址：四川省泸州市古蔺县彰德街道环城路918号附1号-惜字苑2幢101号</w:t>
      </w:r>
    </w:p>
    <w:p>
      <w:pPr>
        <w:pStyle w:val="null3"/>
        <w:jc w:val="left"/>
      </w:pPr>
      <w:r>
        <w:rPr>
          <w:rFonts w:ascii="仿宋_GB2312" w:hAnsi="仿宋_GB2312" w:cs="仿宋_GB2312" w:eastAsia="仿宋_GB2312"/>
        </w:rPr>
        <w:t>邮编：646500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2,322,000.00</w:t>
      </w:r>
    </w:p>
    <w:p>
      <w:pPr>
        <w:pStyle w:val="null3"/>
        <w:jc w:val="left"/>
      </w:pPr>
      <w:r>
        <w:rPr>
          <w:rFonts w:ascii="仿宋_GB2312" w:hAnsi="仿宋_GB2312" w:cs="仿宋_GB2312" w:eastAsia="仿宋_GB2312"/>
        </w:rPr>
        <w:t>采购包最高限价（元）: 2,322,000.00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A02101700 气象仪器</w:t>
            </w:r>
          </w:p>
        </w:tc>
        <w:tc>
          <w:tcPr>
            <w:tcW w:type="dxa" w:w="821"/>
          </w:tcPr>
          <w:p>
            <w:pPr>
              <w:pStyle w:val="null3"/>
              <w:jc w:val="left"/>
            </w:pPr>
            <w:r>
              <w:rPr>
                <w:rFonts w:ascii="仿宋_GB2312" w:hAnsi="仿宋_GB2312" w:cs="仿宋_GB2312" w:eastAsia="仿宋_GB2312"/>
              </w:rPr>
              <w:t>单雨量自动气象监测站</w:t>
            </w:r>
          </w:p>
        </w:tc>
        <w:tc>
          <w:tcPr>
            <w:tcW w:type="dxa" w:w="821"/>
          </w:tcPr>
          <w:p>
            <w:pPr>
              <w:pStyle w:val="null3"/>
              <w:jc w:val="right"/>
            </w:pPr>
            <w:r>
              <w:rPr>
                <w:rFonts w:ascii="仿宋_GB2312" w:hAnsi="仿宋_GB2312" w:cs="仿宋_GB2312" w:eastAsia="仿宋_GB2312"/>
              </w:rPr>
              <w:t>86.00（套）</w:t>
            </w:r>
          </w:p>
        </w:tc>
        <w:tc>
          <w:tcPr>
            <w:tcW w:type="dxa" w:w="821"/>
          </w:tcPr>
          <w:p>
            <w:pPr>
              <w:pStyle w:val="null3"/>
              <w:jc w:val="right"/>
            </w:pPr>
            <w:r>
              <w:rPr>
                <w:rFonts w:ascii="仿宋_GB2312" w:hAnsi="仿宋_GB2312" w:cs="仿宋_GB2312" w:eastAsia="仿宋_GB2312"/>
              </w:rPr>
              <w:t>2,322,000.00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单雨量自动气象监测站</w:t>
            </w:r>
          </w:p>
        </w:tc>
        <w:tc>
          <w:tcPr>
            <w:tcW w:type="dxa" w:w="1138"/>
          </w:tcPr>
          <w:p>
            <w:pPr>
              <w:pStyle w:val="null3"/>
              <w:jc w:val="center"/>
            </w:pPr>
            <w:r>
              <w:rPr>
                <w:rFonts w:ascii="仿宋_GB2312" w:hAnsi="仿宋_GB2312" w:cs="仿宋_GB2312" w:eastAsia="仿宋_GB2312"/>
              </w:rPr>
              <w:t>86.00（套）</w:t>
            </w:r>
          </w:p>
        </w:tc>
        <w:tc>
          <w:tcPr>
            <w:tcW w:type="dxa" w:w="1365"/>
          </w:tcPr>
          <w:p>
            <w:pPr>
              <w:pStyle w:val="null3"/>
              <w:jc w:val="center"/>
            </w:pPr>
            <w:r>
              <w:rPr>
                <w:rFonts w:ascii="仿宋_GB2312" w:hAnsi="仿宋_GB2312" w:cs="仿宋_GB2312" w:eastAsia="仿宋_GB2312"/>
              </w:rPr>
              <w:t>2,322,000.00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1、本项目按总价报价，超过最高限价做无效响应处理。</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A02101700 气象仪器</w:t>
            </w:r>
          </w:p>
        </w:tc>
        <w:tc>
          <w:tcPr>
            <w:tcW w:type="dxa" w:w="2492"/>
          </w:tcPr>
          <w:p>
            <w:pPr>
              <w:pStyle w:val="null3"/>
              <w:jc w:val="left"/>
            </w:pPr>
            <w:r>
              <w:rPr>
                <w:rFonts w:ascii="仿宋_GB2312" w:hAnsi="仿宋_GB2312" w:cs="仿宋_GB2312" w:eastAsia="仿宋_GB2312"/>
              </w:rPr>
              <w:t>单雨量自动气象监测站</w:t>
            </w:r>
          </w:p>
        </w:tc>
        <w:tc>
          <w:tcPr>
            <w:tcW w:type="dxa" w:w="2492"/>
          </w:tcPr>
          <w:p>
            <w:pPr>
              <w:pStyle w:val="null3"/>
              <w:jc w:val="left"/>
            </w:pPr>
            <w:r>
              <w:rPr>
                <w:rFonts w:ascii="仿宋_GB2312" w:hAnsi="仿宋_GB2312" w:cs="仿宋_GB2312" w:eastAsia="仿宋_GB2312"/>
              </w:rPr>
              <w:t>单雨量自动气象监测站</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标的名称：单雨量自动气象监测站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单雨量自动气象监测站</w:t>
            </w:r>
          </w:p>
        </w:tc>
        <w:tc>
          <w:tcPr>
            <w:tcW w:type="dxa" w:w="5814"/>
          </w:tcPr>
          <w:p>
            <w:pPr>
              <w:pStyle w:val="null3"/>
              <w:jc w:val="left"/>
            </w:pPr>
            <w:r>
              <w:rPr>
                <w:rFonts w:ascii="仿宋_GB2312" w:hAnsi="仿宋_GB2312" w:cs="仿宋_GB2312" w:eastAsia="仿宋_GB2312"/>
                <w:sz w:val="21"/>
                <w:b/>
              </w:rPr>
              <w:t>（一）总体要求：</w:t>
            </w:r>
          </w:p>
          <w:p>
            <w:pPr>
              <w:pStyle w:val="null3"/>
              <w:jc w:val="left"/>
            </w:pPr>
            <w:r>
              <w:rPr>
                <w:rFonts w:ascii="仿宋_GB2312" w:hAnsi="仿宋_GB2312" w:cs="仿宋_GB2312" w:eastAsia="仿宋_GB2312"/>
                <w:sz w:val="21"/>
              </w:rPr>
              <w:t>★1、单雨量自动气象监测站核心组件（智能翻斗式雨量测量仪、智能集成处理器)需具备气象专用技术装备使用许可证。提供许可证证书在中国气象局一体化政务服务平台（https://zwfw.cma.gov.cn/）气象专用技术装备（含人工影响天气作业设备）使用许可证名录里面查询到的生产厂家许可证装备名称、装备型号、装备编号、有效截止日期的网站页面截图，并且与许可证证书装备名称、装备型号、编号、有效截止日期一致。（响应文件中提供许可证证书扫描件和网站页面截图，并加盖电子签章）</w:t>
            </w:r>
          </w:p>
          <w:p>
            <w:pPr>
              <w:pStyle w:val="null3"/>
              <w:jc w:val="left"/>
            </w:pPr>
            <w:r>
              <w:rPr>
                <w:rFonts w:ascii="仿宋_GB2312" w:hAnsi="仿宋_GB2312" w:cs="仿宋_GB2312" w:eastAsia="仿宋_GB2312"/>
                <w:sz w:val="21"/>
              </w:rPr>
              <w:t>★2、为保证产品与前期已经建立的产品兼容，同时满足数据的共享性，单雨量自动气象监测站设备数据要求能无缝接入四川省气象局建立的数据统一收集平台，供应商自行了解四川省气象局数据统一收集平台相关技术配置要求，采购人可提供相关配合、协调工作；中标人须在中标后5天内，提供一套雨量站在省局业务运行环境下进行业务运行测试，对照核心指标或重要技术参数进行测试验证，测试通过后方能进行成套设备的安装实施，测试不通过的一切风险和损失由中标供应商承担。(投标人须在投标文件中单独提供承诺函并加盖电子签章）</w:t>
            </w:r>
          </w:p>
          <w:p>
            <w:pPr>
              <w:pStyle w:val="null3"/>
              <w:jc w:val="left"/>
            </w:pPr>
            <w:r>
              <w:rPr>
                <w:rFonts w:ascii="仿宋_GB2312" w:hAnsi="仿宋_GB2312" w:cs="仿宋_GB2312" w:eastAsia="仿宋_GB2312"/>
                <w:sz w:val="21"/>
                <w:b/>
              </w:rPr>
              <w:t>（二）详细的技术要求：</w:t>
            </w:r>
          </w:p>
          <w:p>
            <w:pPr>
              <w:pStyle w:val="null3"/>
              <w:jc w:val="left"/>
            </w:pPr>
            <w:r>
              <w:rPr>
                <w:rFonts w:ascii="仿宋_GB2312" w:hAnsi="仿宋_GB2312" w:cs="仿宋_GB2312" w:eastAsia="仿宋_GB2312"/>
                <w:sz w:val="21"/>
              </w:rPr>
              <w:t>1.积木式结构，各组成单元间具有互换性，采用更换部件的办法维修，部件内部的故障可送制造厂修理。</w:t>
            </w:r>
          </w:p>
          <w:p>
            <w:pPr>
              <w:pStyle w:val="null3"/>
              <w:jc w:val="left"/>
            </w:pPr>
            <w:r>
              <w:rPr>
                <w:rFonts w:ascii="仿宋_GB2312" w:hAnsi="仿宋_GB2312" w:cs="仿宋_GB2312" w:eastAsia="仿宋_GB2312"/>
                <w:sz w:val="21"/>
              </w:rPr>
              <w:t>2.供电方式：采用太阳能，蓄电池组合方式供电，≥12V直流输出，单独使用蓄电池一次充电完成可保障连续供电≥14天。配置自动充放电控制管理器。</w:t>
            </w:r>
          </w:p>
          <w:p>
            <w:pPr>
              <w:pStyle w:val="null3"/>
              <w:jc w:val="left"/>
            </w:pPr>
            <w:r>
              <w:rPr>
                <w:rFonts w:ascii="仿宋_GB2312" w:hAnsi="仿宋_GB2312" w:cs="仿宋_GB2312" w:eastAsia="仿宋_GB2312"/>
                <w:sz w:val="21"/>
              </w:rPr>
              <w:t>3.通信方式：嵌入式处理单元，通过≥4G网络方式传输数据。支持同时向≥3个ip地址发送数据。</w:t>
            </w:r>
          </w:p>
          <w:p>
            <w:pPr>
              <w:pStyle w:val="null3"/>
              <w:jc w:val="left"/>
            </w:pPr>
            <w:r>
              <w:rPr>
                <w:rFonts w:ascii="仿宋_GB2312" w:hAnsi="仿宋_GB2312" w:cs="仿宋_GB2312" w:eastAsia="仿宋_GB2312"/>
                <w:sz w:val="21"/>
              </w:rPr>
              <w:t>4.自动上传数据：各观测站能够按照规定的时间间隔（如1min、5min、10min、1h等）自动上传观测数据，至少每小时上传一次观测站的工作状态参数。</w:t>
            </w:r>
          </w:p>
          <w:p>
            <w:pPr>
              <w:pStyle w:val="null3"/>
              <w:jc w:val="left"/>
            </w:pPr>
            <w:r>
              <w:rPr>
                <w:rFonts w:ascii="仿宋_GB2312" w:hAnsi="仿宋_GB2312" w:cs="仿宋_GB2312" w:eastAsia="仿宋_GB2312"/>
                <w:sz w:val="21"/>
              </w:rPr>
              <w:t>5.遗漏资料补传：接受中心站指令，可补传观测站中存储的某一时间段(如1min、5min、10min、1h等)历史气象数据。</w:t>
            </w:r>
          </w:p>
          <w:p>
            <w:pPr>
              <w:pStyle w:val="null3"/>
              <w:jc w:val="left"/>
            </w:pPr>
            <w:r>
              <w:rPr>
                <w:rFonts w:ascii="仿宋_GB2312" w:hAnsi="仿宋_GB2312" w:cs="仿宋_GB2312" w:eastAsia="仿宋_GB2312"/>
                <w:sz w:val="21"/>
              </w:rPr>
              <w:t>6.测量性能指标：</w:t>
            </w:r>
          </w:p>
          <w:tbl>
            <w:tblPr>
              <w:tblBorders>
                <w:top w:val="none" w:color="000000" w:sz="4"/>
                <w:left w:val="none" w:color="000000" w:sz="4"/>
                <w:bottom w:val="none" w:color="000000" w:sz="4"/>
                <w:right w:val="none" w:color="000000" w:sz="4"/>
                <w:insideH w:val="none"/>
                <w:insideV w:val="none"/>
              </w:tblBorders>
            </w:tblPr>
            <w:tblGrid>
              <w:gridCol w:w="1430"/>
              <w:gridCol w:w="4168"/>
            </w:tblGrid>
            <w:tr>
              <w:tc>
                <w:tcPr>
                  <w:tcW w:type="dxa" w:w="1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名称</w:t>
                  </w:r>
                </w:p>
              </w:tc>
              <w:tc>
                <w:tcPr>
                  <w:tcW w:type="dxa" w:w="4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技能指标</w:t>
                  </w:r>
                </w:p>
              </w:tc>
            </w:tr>
            <w:tr>
              <w:tc>
                <w:tcPr>
                  <w:tcW w:type="dxa" w:w="1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雨量分辨率</w:t>
                  </w:r>
                </w:p>
              </w:tc>
              <w:tc>
                <w:tcPr>
                  <w:tcW w:type="dxa" w:w="4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0.1mm</w:t>
                  </w:r>
                </w:p>
              </w:tc>
            </w:tr>
            <w:tr>
              <w:tc>
                <w:tcPr>
                  <w:tcW w:type="dxa" w:w="1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降雨强度</w:t>
                  </w:r>
                </w:p>
              </w:tc>
              <w:tc>
                <w:tcPr>
                  <w:tcW w:type="dxa" w:w="4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0～4mm/min</w:t>
                  </w:r>
                </w:p>
              </w:tc>
            </w:tr>
            <w:tr>
              <w:tc>
                <w:tcPr>
                  <w:tcW w:type="dxa" w:w="1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准确度</w:t>
                  </w:r>
                </w:p>
              </w:tc>
              <w:tc>
                <w:tcPr>
                  <w:tcW w:type="dxa" w:w="4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±0.4mm（降雨量≤10mm）或±4%（降雨量＞10mm）</w:t>
                  </w:r>
                </w:p>
              </w:tc>
            </w:tr>
            <w:tr>
              <w:tc>
                <w:tcPr>
                  <w:tcW w:type="dxa" w:w="1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加密间隔</w:t>
                  </w:r>
                </w:p>
              </w:tc>
              <w:tc>
                <w:tcPr>
                  <w:tcW w:type="dxa" w:w="4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最密间隔为</w:t>
                  </w:r>
                  <w:r>
                    <w:rPr>
                      <w:rFonts w:ascii="仿宋_GB2312" w:hAnsi="仿宋_GB2312" w:cs="仿宋_GB2312" w:eastAsia="仿宋_GB2312"/>
                      <w:sz w:val="21"/>
                    </w:rPr>
                    <w:t>1分钟</w:t>
                  </w:r>
                </w:p>
              </w:tc>
            </w:tr>
            <w:tr>
              <w:tc>
                <w:tcPr>
                  <w:tcW w:type="dxa" w:w="1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采样频率和算法</w:t>
                  </w:r>
                </w:p>
              </w:tc>
              <w:tc>
                <w:tcPr>
                  <w:tcW w:type="dxa" w:w="4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雨量一分钟累计一次，得到分钟雨量，用分钟雨量累计得到小时雨量</w:t>
                  </w:r>
                </w:p>
              </w:tc>
            </w:tr>
          </w:tbl>
          <w:p>
            <w:pPr>
              <w:pStyle w:val="null3"/>
              <w:jc w:val="left"/>
            </w:pPr>
            <w:r>
              <w:rPr>
                <w:rFonts w:ascii="仿宋_GB2312" w:hAnsi="仿宋_GB2312" w:cs="仿宋_GB2312" w:eastAsia="仿宋_GB2312"/>
                <w:sz w:val="21"/>
              </w:rPr>
              <w:t>▲7、智能集成处理器具备远程升级功能（需提供第三方检测机构出具的检测报告扫描件并加盖电子）；</w:t>
            </w:r>
          </w:p>
          <w:p>
            <w:pPr>
              <w:pStyle w:val="null3"/>
              <w:jc w:val="left"/>
            </w:pPr>
            <w:r>
              <w:rPr>
                <w:rFonts w:ascii="仿宋_GB2312" w:hAnsi="仿宋_GB2312" w:cs="仿宋_GB2312" w:eastAsia="仿宋_GB2312"/>
                <w:sz w:val="21"/>
              </w:rPr>
              <w:t>▲8、智能集成处理器具备环境适应性报告（需提供第三方检测机构出具的检测报告扫描件并加盖电子）；</w:t>
            </w:r>
          </w:p>
          <w:p>
            <w:pPr>
              <w:pStyle w:val="null3"/>
              <w:jc w:val="left"/>
            </w:pPr>
            <w:r>
              <w:rPr>
                <w:rFonts w:ascii="仿宋_GB2312" w:hAnsi="仿宋_GB2312" w:cs="仿宋_GB2312" w:eastAsia="仿宋_GB2312"/>
                <w:sz w:val="21"/>
              </w:rPr>
              <w:t>▲9、智能翻斗式雨量测量仪、智能集成处理器不间断可靠工作时间≥2000小时（需提供第三方检测机构出具的检测报告扫描件并加盖电子）。</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投标人的报价是投标人响应本招标项目要求的全部工作内容的价格体现，包括投标人完成本项目所需的一切费用，采购人不再额外支付任何费用。投标报价包含且不限于以下内容：在实施及质保期间为确保系统正常运行的人工费（含驻场人员的工资社保差旅等所有费用）及配套基建及安装调试技术服务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安全保密性</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中标人</w:t>
            </w:r>
            <w:r>
              <w:rPr>
                <w:rFonts w:ascii="仿宋_GB2312" w:hAnsi="仿宋_GB2312" w:cs="仿宋_GB2312" w:eastAsia="仿宋_GB2312"/>
                <w:sz w:val="21"/>
              </w:rPr>
              <w:t>在项目实施过程中获取的有关采购方的任何信息均须保密，并采取有效的保密措施和手段，严禁泄露给第三方，否则，除承担违约责任外，还应赔偿由此给采购方造成的一切损失。</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配套基建及安装调试技术服务</w:t>
            </w:r>
          </w:p>
        </w:tc>
        <w:tc>
          <w:tcPr>
            <w:tcW w:type="dxa" w:w="5814"/>
          </w:tcPr>
          <w:p>
            <w:pPr>
              <w:pStyle w:val="null3"/>
              <w:jc w:val="both"/>
            </w:pPr>
            <w:r>
              <w:rPr>
                <w:rFonts w:ascii="仿宋_GB2312" w:hAnsi="仿宋_GB2312" w:cs="仿宋_GB2312" w:eastAsia="仿宋_GB2312"/>
                <w:sz w:val="21"/>
              </w:rPr>
              <w:t>1、供应商负责设备的运输、基建及安装调试；</w:t>
            </w:r>
          </w:p>
          <w:p>
            <w:pPr>
              <w:pStyle w:val="null3"/>
              <w:jc w:val="both"/>
            </w:pPr>
            <w:r>
              <w:rPr>
                <w:rFonts w:ascii="仿宋_GB2312" w:hAnsi="仿宋_GB2312" w:cs="仿宋_GB2312" w:eastAsia="仿宋_GB2312"/>
                <w:sz w:val="21"/>
              </w:rPr>
              <w:t>2、仪器布局：常规观测仪器按照北高南低的顺次安置，尽量东西成行，南北成列。</w:t>
            </w:r>
          </w:p>
          <w:p>
            <w:pPr>
              <w:pStyle w:val="null3"/>
              <w:jc w:val="both"/>
            </w:pPr>
            <w:r>
              <w:rPr>
                <w:rFonts w:ascii="仿宋_GB2312" w:hAnsi="仿宋_GB2312" w:cs="仿宋_GB2312" w:eastAsia="仿宋_GB2312"/>
                <w:sz w:val="21"/>
              </w:rPr>
              <w:t>3、安装场地：</w:t>
            </w:r>
            <w:r>
              <w:rPr>
                <w:rFonts w:ascii="仿宋_GB2312" w:hAnsi="仿宋_GB2312" w:cs="仿宋_GB2312" w:eastAsia="仿宋_GB2312"/>
                <w:sz w:val="21"/>
              </w:rPr>
              <w:t>单雨量自动气象监测站</w:t>
            </w:r>
            <w:r>
              <w:rPr>
                <w:rFonts w:ascii="仿宋_GB2312" w:hAnsi="仿宋_GB2312" w:cs="仿宋_GB2312" w:eastAsia="仿宋_GB2312"/>
                <w:sz w:val="21"/>
              </w:rPr>
              <w:t>安装在野外，占地</w:t>
            </w:r>
            <w:r>
              <w:rPr>
                <w:rFonts w:ascii="仿宋_GB2312" w:hAnsi="仿宋_GB2312" w:cs="仿宋_GB2312" w:eastAsia="仿宋_GB2312"/>
                <w:sz w:val="21"/>
              </w:rPr>
              <w:t>≥2*2米，包括土地平整、立杆基座、围栏、标志、防雷设施建设等。</w:t>
            </w:r>
          </w:p>
          <w:p>
            <w:pPr>
              <w:pStyle w:val="null3"/>
              <w:jc w:val="both"/>
            </w:pPr>
            <w:r>
              <w:rPr>
                <w:rFonts w:ascii="仿宋_GB2312" w:hAnsi="仿宋_GB2312" w:cs="仿宋_GB2312" w:eastAsia="仿宋_GB2312"/>
                <w:sz w:val="21"/>
              </w:rPr>
              <w:t>4、观测场四周应设置1.2m高的稀疏围栏，围栏应坚固、美观、耐用，可阻挡野外动物保护观测设备，但不得使用对要素测量有影响的材质，围栏样式可参考《地面气象观测场规范化图册》。对于有特殊观测要求的站点，可以根据实际情况调整围栏高度。</w:t>
            </w:r>
          </w:p>
          <w:p>
            <w:pPr>
              <w:pStyle w:val="null3"/>
              <w:jc w:val="both"/>
            </w:pPr>
            <w:r>
              <w:rPr>
                <w:rFonts w:ascii="仿宋_GB2312" w:hAnsi="仿宋_GB2312" w:cs="仿宋_GB2312" w:eastAsia="仿宋_GB2312"/>
                <w:sz w:val="21"/>
              </w:rPr>
              <w:t>5、仪器基础：传感器等的基础根据设备实际需求制作；基础的顶面要方正、平滑，并高出观测场地面3—5厘米，以减少积水对紧固件的侵蚀；基础内预埋一定口径的铝塑穿线管，与地下管道连通，用于仪器缆线的穿行和保护，全部缆线均应采用带有金属屏蔽层的套管做防护，并埋入地下，确保缆线防护管端口的严密性，防止鼠类进入地下管网。</w:t>
            </w:r>
          </w:p>
          <w:p>
            <w:pPr>
              <w:pStyle w:val="null3"/>
              <w:jc w:val="left"/>
            </w:pPr>
            <w:r>
              <w:rPr>
                <w:rFonts w:ascii="仿宋_GB2312" w:hAnsi="仿宋_GB2312" w:cs="仿宋_GB2312" w:eastAsia="仿宋_GB2312"/>
                <w:sz w:val="21"/>
              </w:rPr>
              <w:t>6、提供1年设备巡检服务：不低于12次设备常规巡检维护。</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left"/>
            </w:pPr>
            <w:r>
              <w:rPr>
                <w:rFonts w:ascii="仿宋_GB2312" w:hAnsi="仿宋_GB2312" w:cs="仿宋_GB2312" w:eastAsia="仿宋_GB2312"/>
                <w:sz w:val="21"/>
              </w:rPr>
              <w:t>1、在质保期内设备出现质量问题，供应商应在接到通知后，1小时内响应，需要现场服务时供应商应在24小时内到场，48小时内完成维修；设备需更换的应在5个工作日内完成更换。</w:t>
            </w:r>
          </w:p>
          <w:p>
            <w:pPr>
              <w:pStyle w:val="null3"/>
              <w:jc w:val="left"/>
            </w:pPr>
            <w:r>
              <w:rPr>
                <w:rFonts w:ascii="仿宋_GB2312" w:hAnsi="仿宋_GB2312" w:cs="仿宋_GB2312" w:eastAsia="仿宋_GB2312"/>
                <w:sz w:val="21"/>
              </w:rPr>
              <w:t>2、成交供应商需在质保期内提供7×24小时远程技术咨询服务。</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合同签订之日起60天内完成交货及安装。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古蔺县区域内采购人指定地点。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1、安装调试完毕，验收合格后，达到付款条件起30日内，支付合同总金额的100.00%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按国家有关规定、招标文件的质量要求和技术指标、中标人的投标文件及承诺以及合同约定标准进行验收。其他未尽事宜将按照《财政部关于进一步加强政府采购需求和履约验收管理的指导意见》(财库(2016) 205号)规定的标准、方法和内容进行验收。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产品验收合格后≥1年，质保期内，产品出现质量问题的由中标人负责维修且不收取任何费用，同样的问题经连续两次维修后仍无法正常使用的，由中标人负责更换同品牌型号设备且不收取任何费用。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采购人、中标人双方必须遵守本合同并执行合同中的各项规定，保证本合同的合法正常履行。 如因中标人工作人员在履行项目过程中的的疏忽、失职、过错等故意或者过失原因给采购人造成损失或侵害，包括但不限于采购人本身的财产损失，由此而导致的采购人对任何第三方的法律责任等，中标人对此均应承担全部的赔偿责任。 中标人未能按本合同规定时间提供服务，逾期一个月以上的，采购人有权解除合同，并有权要求中标人支付相当于合同总金额20%的违约金，违约金不足以弥补采购人损失的，由此造成的采购人经济损失由中标人承担（包括但不限于律师费、诉讼费、保全费、保全保险费、鉴定费、公证费等）。 采购人逾期支付服务款项的，采购人就未支付部分应按全国银行间同业拆借中心公布的贷款市场报价利率标准向中标人支付违约金。 解决争议的方法: （1）因合同引起的或与本合同有关的任何争议，由双方当事人协商解决:也可以向有关部门申请调解。协商或调解不成，当事人可依照有关法律规定将争议向采购人所在地人民法院起诉。 （2）上述过程发生的费用(诉讼费、保全费、胜诉方律师代理费等)由败诉方承担。 （3）在进行法院审理期间，除提交法院审理的事项外，合同仍应继续履行。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（一）供应商在响应文件中提供以下方案： 项目实施方案：①供货方案、②进度安排、③安全质量保障措施、④安装调试方案、⑤应急预案等内容。 售后服务方案：①服务体系及流程、②售后服务承诺、③售后人员配置、④产品退换货处理方案。 （二）“技术要求”中参数佐证方式说明如下（仅作说明，不用响应）：1.“★”条款为实质性要求。技术参数中有佐证要求的，按佐证要求提供材料。未做明确要求的，直接在技术响应表中响应即可；2.其他未做标记的参数，技术参数中有佐证要求的，按佐证要求提供材料。未做明确要求的，直接在技术响应表中响应即可，但投标人必须如实响应，自行承担相关法律责任；3.未提供相关证明材料或者虽提供但无法佐证者，均自行承担被评标委员会视为技术参数负偏离的风险；4.供应商须严格按照招标文件产品参数描述进行响应，不得曲解招标文件产品参数描述意思或以其他参数描述来响应招标文件参数，不得以“正偏离”为由偷换技术参数描述方式进行响应，否则自行承担被评标委员会视为技术参数负偏离的风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提供具有独立承担民事责任能力的证明材料（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分公司参与采购活动的，须提供经总公司授权的相关证明材料；④若为自然人：提供“身份证明材料”）并进行电子签章。</w:t>
            </w:r>
          </w:p>
        </w:tc>
        <w:tc>
          <w:tcPr>
            <w:tcW w:type="dxa" w:w="1661"/>
          </w:tcPr>
          <w:p>
            <w:pPr>
              <w:pStyle w:val="null3"/>
              <w:jc w:val="left"/>
            </w:pPr>
            <w:r>
              <w:rPr>
                <w:rFonts w:ascii="仿宋_GB2312" w:hAnsi="仿宋_GB2312" w:cs="仿宋_GB2312" w:eastAsia="仿宋_GB2312"/>
              </w:rPr>
              <w:t>投标人应提交的相关资格证明材料.docx,投标文件封面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进行电子签章并提供以下任意一项证明材料：①可提供2024或2025年度经审计的财务报告扫描件(包含审计报告和审计报告中所涉及的财务报表和报表附注)；②也可提供2024或2025年度供应商内部的财务报表扫描件(至少包含资产负债表)；③也可提供截至响应文件递交截止日一年内银行出具的资信证明(复印件)；④供应商注册时间截至响应文件递交截止日不足一年的，也可提供工商主管部门备案的公司章程证明材料。</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1.采购文件中没有要求供应商需要提供承诺函或证明资料进行响应的实质性条款，供应商根据系统给定的格式文件“投标（响应）函、实质性要求承诺、技术、服务、商务应答表”等默认响应即可。 2.采购文件如要求供应商需要提供承诺函或证明资料进行响应的实质性条款，则以供应商提供的承诺函或证明资料为准（如：“投标（响应）函、实质性要求承诺”中已经载明了相关承诺的，投标人可以不用重复提供承诺）。</w:t>
            </w:r>
          </w:p>
        </w:tc>
        <w:tc>
          <w:tcPr>
            <w:tcW w:type="dxa" w:w="1661"/>
          </w:tcPr>
          <w:p>
            <w:pPr>
              <w:pStyle w:val="null3"/>
              <w:jc w:val="left"/>
            </w:pPr>
            <w:r>
              <w:rPr>
                <w:rFonts w:ascii="仿宋_GB2312" w:hAnsi="仿宋_GB2312" w:cs="仿宋_GB2312" w:eastAsia="仿宋_GB2312"/>
              </w:rPr>
              <w:t>实质性要求承诺-适用于招标(1).docx,服务要求应答表.docx,商务要求应答表.docx,技术要求应答表.docx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技术、服务要求</w:t>
            </w:r>
          </w:p>
        </w:tc>
        <w:tc>
          <w:tcPr>
            <w:tcW w:type="dxa" w:w="2575"/>
          </w:tcPr>
          <w:p>
            <w:pPr>
              <w:pStyle w:val="null3"/>
              <w:jc w:val="left"/>
            </w:pPr>
            <w:r>
              <w:rPr>
                <w:rFonts w:ascii="仿宋_GB2312" w:hAnsi="仿宋_GB2312" w:cs="仿宋_GB2312" w:eastAsia="仿宋_GB2312"/>
              </w:rPr>
              <w:t>完全符合采购文件3.2技术要求及3.3服务要求没有负偏离得30分;低于采购文件要求的(负偏离)按照以下原则扣分:“▲”项每有1条不满足(负偏离)的扣4分，一般参数（非“▲”、非“★”项）每有1条不满足(负偏离)的扣3分。扣完为止。 注:本项目技术要求共11条，其中，标注“▲”项3条，标注“★”项2条，其他项6条，标注“★”为实质性要求。</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根据投标人提供的项目实施方案进行评审，方案内容包括以下内容：①供货方案、②进度安排、③安全质量保障措施、④安装调试方案、⑤应急预案。 以上方案完整无缺陷的得20分;方案中每缺少一项的扣4分;每项方案中每有一处存在缺陷的扣2分，直至本项分值扣完为止 注:缺陷指项目名称、地点区域等内容存在错误；方案与本项目需求无关或与本项目要求不一致；适用的规范（标准）错误或失效或与本项目涉及的相关规范（标准）不符；仅有框架或标题或方案内容与标题不符；明显复制其他项目内容等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根据投标人提供的售后服务方案进行评审，方案内容包括以下内容：①服务体系及流程、②售后服务承诺、③售后人员配置、④产品退换货处理方案。 以上方案完整无缺陷的得10分;方案中每缺少一项的扣2.5分;每项方案中每有一处存在缺陷的扣1.25分，直至本项分值扣完为止 注:缺陷指项目名称、地点区域等内容存在错误；方案与本项目需求无关或与本项目要求不一致；适用的规范（标准）错误或失效或与本项目涉及的相关规范（标准）不符；仅有框架或标题或方案内容与标题不符；明显复制其他项目内容等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1、投标人拟投入本项目的人员中，每有1名具有气象相关专业技术资格证书的得1.5分，此项最多得6分。注：1.提供以上人员的证书扫描件、身份证扫描件；2.以上人员须为供应商单位员工并提供相关证明材料。</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从2023年1月1日至递交响应文件截止日，具有类似项目业绩的每个得2分，最多得4分，未提供不得分。（注：（1）提供合同扫描件或中标（成交）通知书扫描件；（2）类似业绩是指气象设备类销售业绩）</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详见附件：实质性要求承诺-适用于招标(1).docx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详见附件：业绩.docx</w:t>
      </w:r>
    </w:p>
    <w:p>
      <w:pPr>
        <w:pStyle w:val="null3"/>
        <w:ind w:firstLine="960"/>
        <w:jc w:val="left"/>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