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版本号：N511129202600001920260506001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沐川县城市生活垃圾处理设施设备更新项目第二标段：更新渗滤液处理设备项目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N5111292026000019</w:t>
      </w:r>
    </w:p>
    <w:p>
      <w:pPr>
        <w:pStyle w:val="null3"/>
        <w:jc w:val="left"/>
        <w:outlineLvl w:val="2"/>
      </w:pPr>
      <w:r>
        <w:rPr>
          <w:rFonts w:ascii="仿宋_GB2312" w:hAnsi="仿宋_GB2312" w:cs="仿宋_GB2312" w:eastAsia="仿宋_GB2312"/>
          <w:sz w:val="28"/>
          <w:b/>
        </w:rPr>
        <w:t>沐川县住房和城乡建设局</w:t>
      </w:r>
    </w:p>
    <w:p>
      <w:pPr>
        <w:pStyle w:val="null3"/>
        <w:jc w:val="center"/>
        <w:outlineLvl w:val="2"/>
      </w:pPr>
      <w:r>
        <w:rPr>
          <w:rFonts w:ascii="仿宋_GB2312" w:hAnsi="仿宋_GB2312" w:cs="仿宋_GB2312" w:eastAsia="仿宋_GB2312"/>
          <w:sz w:val="28"/>
          <w:b/>
        </w:rPr>
        <w:t>四川祥聚三江工程项目管理有限公司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四川祥聚三江工程项目管理有限公司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沐川县住房和城乡建设局</w:t>
      </w:r>
      <w:r>
        <w:rPr>
          <w:rFonts w:ascii="仿宋_GB2312" w:hAnsi="仿宋_GB2312" w:cs="仿宋_GB2312" w:eastAsia="仿宋_GB2312"/>
        </w:rPr>
        <w:t xml:space="preserve"> 委托，拟对 </w:t>
      </w:r>
      <w:r>
        <w:rPr>
          <w:rFonts w:ascii="仿宋_GB2312" w:hAnsi="仿宋_GB2312" w:cs="仿宋_GB2312" w:eastAsia="仿宋_GB2312"/>
        </w:rPr>
        <w:t>沐川县城市生活垃圾处理设施设备更新项目第二标段：更新渗滤液处理设备项目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乐山市沐川县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N5111292026000019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沐川县城市生活垃圾处理设施设备更新项目第二标段：更新渗滤液处理设备项目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本项目主要建设内容为渗滤液两级DTRO成套处理系统，处理系统进水处理能力100吨/日，共1个包。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沐川县住房和城乡建设局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沐川县沐溪镇建设街158号附4号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0833-4607852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四川祥聚三江工程项目管理有限公司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四川省乐山市市中区嘉定中路570号22楼8号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文小明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19961466801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本项目履约保证金为合同金额的10%</w:t>
              <w:br/>
              <w:t>交款方式：银行转账，支票/汇票/本票，保函/保险</w:t>
              <w:br/>
              <w:t>交款方式：履约保证金可以以支票、汇票、本票或者金融机构出具的保函等非现金形式提交（包括网银转账，电汇等方式）。</w:t>
              <w:br/>
              <w:t>收款单位：具体在合同中约定</w:t>
              <w:br/>
              <w:t>开户行：具体在合同中约定</w:t>
              <w:br/>
              <w:t>银行账号：具体在合同中约定</w:t>
              <w:br/>
              <w:t>交款时间：中标/成交通知书发放后，政府采购合同签订前。</w:t>
              <w:br/>
              <w:t>若以保函方式缴纳的按以下要求提交：</w:t>
              <w:br/>
              <w:t>①履约保函必须是银行等金融机构出具的见索即付无条件保函。</w:t>
              <w:br/>
              <w:t>②履约保函的内容必须包括但不限于投标人名称、项目名称（如有分包，则应当按中标包件分别出具履约保函并写明包件名称）、项目编号、履约保证金金额、履约保函的有效期（应当算至履约期结束后三十日）、担保的内容（即：如因投标人原因发生合同文件规定的履约保证金不予退还的情况，由担保方向受益人足额支付履约保证金）。受益人为沐川县住房和城乡建设局。</w:t>
              <w:br/>
              <w:t>③投标人必须在签订采购合同前向采购人现场提交履约保函原件供验证。</w:t>
              <w:br/>
              <w:t>退还方式、条件、时间：投标人按招标文件及采购合同的约定事项，完成本项目履约验收工作后，投标人凭采购人出具的项目履约验收合格凭证材料向采购人或采购人指定的履约保证金收款单位申请退还，采购人或采购人指定的履约保证金收款单位在收到投标人申请（含项目履约验收合格凭证材料）后30个工作日内，以投标人交纳履约保证金的方式一次性无息退还给投标人。</w:t>
              <w:br/>
              <w:t>不予退还履约保证金的情形：</w:t>
              <w:br/>
              <w:t>①投标人交纳履约保证金后，但因自身原因被取消中标资格或在中标公示期满之日起30日内无正当理由拒绝与采购人签订采购合同的。</w:t>
              <w:br/>
              <w:t>②投标人违规分包或违法转包的。</w:t>
              <w:br/>
              <w:t>③发生严重质量问题（含提供假冒伪劣产品）。</w:t>
              <w:br/>
              <w:t>④投标人擅自变更、中止或者终止采购合同的。</w:t>
              <w:br/>
              <w:t>⑤履约验收不合格，经整改后仍不合格的。</w:t>
              <w:br/>
              <w:t>⑥其他因投标人原因（不可抗力因素除外）逾期超过5日未完成配送任务的,或者其他原因对采购人造成损失的。</w:t>
              <w:br/>
              <w:t>逾期退还履约保证金的违约责任：投标人按照履约保证金退还方式、条件、时间申请退还履约保证金时，采购人或采购人指定的履约保证金收款单位未按招标文件规定时间退还的，投标人可采用书面形式向采购人申请支付违约金，违约金以逾期之日起未退还金额为本金按全国银行间同业拆借中心发布的贷款市场报价利率按日计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代理服务费收费标准：招标代理服务费参照原国家计委《招标代理服务收费管理暂行办法》(国家计委计价[2002]1980号)规定的收费标准下浮动20%计取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沐川县住房和城乡建设局</w:t>
      </w:r>
      <w:r>
        <w:rPr>
          <w:rFonts w:ascii="仿宋_GB2312" w:hAnsi="仿宋_GB2312" w:cs="仿宋_GB2312" w:eastAsia="仿宋_GB2312"/>
        </w:rPr>
        <w:t xml:space="preserve"> 和 </w:t>
      </w:r>
      <w:r>
        <w:rPr>
          <w:rFonts w:ascii="仿宋_GB2312" w:hAnsi="仿宋_GB2312" w:cs="仿宋_GB2312" w:eastAsia="仿宋_GB2312"/>
        </w:rPr>
        <w:t>四川祥聚三江工程项目管理有限公司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沐川县住房和城乡建设局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四川祥聚三江工程项目管理有限公司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严格按照招标文件和投标文件验收。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严格按照招标文件和投标文件验收。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由采购人组织，中标供应商配合进行。根据《政府采购需求管理办法》（财库〔2021〕22号）、《财政部关于进一步加强政府采购需求和履约验收管理的指导意见》财库[2016]205号和《关于沿用&lt;乐山市政府采购项目需求论证和履约验收管理实施细则&gt;的通知》（乐市财政采〔2021〕8号）等法律法规及采购文件和成交产品的性能、技术参数、中标供应商的响应承诺为准逐项验收，如在验收时间期限内确实不能达到每一项配置、性能、技术参数及商务响应承诺的，由此引起的一切责任由中标供应商承担。 排水水量满足设备设计要求；排水水质标准满足环保标准，需出具第三方检测公司的合格检测报告，如经相关环保部门或者第三方环保单位检查不合格的，采购人有权要求中标单位进行整改，中标单位须无条件配合，一次及以上整改仍不合格的采购人有权不支付剩余的合同价款并保留追究其带来的损失赔偿。 2、验收时如发现所交付的货物有短装、次品、损坏或其它不符合标准及本合同规定之情形者，采购人应做出详尽的现场记录，或由甲乙双方签署备忘录，此现场记录或备忘录可用作补充、缺失和更换损坏部件的有效证据，由此产生的时间延误与有关费用由中标供应商承担，验收期限相应顺延；如质量验收合格，双方签署质量验收报告。 3、中标供应商应将所提供货物的装箱清单、配件、随机工具、用户使用手册、原厂保修卡等资料交付给采购人；中标供应商不能完整交付货物及本款规定的单证和工具的，必须负责补齐，否则视为未按合同约定交货。 4、其他未尽事宜应严格按照《政府采购需求管理办法》（财库〔2021〕22号）、《财政部关于进一步加强政府采购需求和履约验收管理的指导意见》(财库〔2016〕205 号)及《关于沿用&lt;乐山市政府采购项目需求论证和履约验收管理实施细则&gt;的通知》（乐市财政采〔2021〕8号）、本项目中的要求及国家有关标准，由采购人负责成立验收组，对产品进行验收。验收时，如果产品不符合采购文件要求，中标供应商应当及时进行更换，否则视为违约。如多次更换产品后仍不能满足的，采购人有权终止合同，所有后果由中标供应商承担。</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沐川县住房和城乡建设局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四川祥聚三江工程项目管理有限公司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四川祥聚三江工程项目管理有限公司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联系人：彭老师</w:t>
      </w:r>
    </w:p>
    <w:p>
      <w:pPr>
        <w:pStyle w:val="null3"/>
        <w:jc w:val="left"/>
      </w:pPr>
      <w:r>
        <w:rPr>
          <w:rFonts w:ascii="仿宋_GB2312" w:hAnsi="仿宋_GB2312" w:cs="仿宋_GB2312" w:eastAsia="仿宋_GB2312"/>
        </w:rPr>
        <w:t>联系电话：0833-4607852</w:t>
      </w:r>
    </w:p>
    <w:p>
      <w:pPr>
        <w:pStyle w:val="null3"/>
        <w:jc w:val="left"/>
      </w:pPr>
      <w:r>
        <w:rPr>
          <w:rFonts w:ascii="仿宋_GB2312" w:hAnsi="仿宋_GB2312" w:cs="仿宋_GB2312" w:eastAsia="仿宋_GB2312"/>
        </w:rPr>
        <w:t>地址：沐川县沐溪镇建设街158号附4号</w:t>
      </w:r>
    </w:p>
    <w:p>
      <w:pPr>
        <w:pStyle w:val="null3"/>
        <w:jc w:val="left"/>
      </w:pPr>
      <w:r>
        <w:rPr>
          <w:rFonts w:ascii="仿宋_GB2312" w:hAnsi="仿宋_GB2312" w:cs="仿宋_GB2312" w:eastAsia="仿宋_GB2312"/>
        </w:rPr>
        <w:t>邮编：614500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联系人：文老师</w:t>
      </w:r>
    </w:p>
    <w:p>
      <w:pPr>
        <w:pStyle w:val="null3"/>
        <w:jc w:val="left"/>
      </w:pPr>
      <w:r>
        <w:rPr>
          <w:rFonts w:ascii="仿宋_GB2312" w:hAnsi="仿宋_GB2312" w:cs="仿宋_GB2312" w:eastAsia="仿宋_GB2312"/>
        </w:rPr>
        <w:t>联系电话：19961466801</w:t>
      </w:r>
    </w:p>
    <w:p>
      <w:pPr>
        <w:pStyle w:val="null3"/>
        <w:jc w:val="left"/>
      </w:pPr>
      <w:r>
        <w:rPr>
          <w:rFonts w:ascii="仿宋_GB2312" w:hAnsi="仿宋_GB2312" w:cs="仿宋_GB2312" w:eastAsia="仿宋_GB2312"/>
        </w:rPr>
        <w:t>地址：四川省乐山市市中区嘉定中路570号22楼8号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5,500,000.00</w:t>
      </w:r>
    </w:p>
    <w:p>
      <w:pPr>
        <w:pStyle w:val="null3"/>
        <w:jc w:val="left"/>
      </w:pPr>
      <w:r>
        <w:rPr>
          <w:rFonts w:ascii="仿宋_GB2312" w:hAnsi="仿宋_GB2312" w:cs="仿宋_GB2312" w:eastAsia="仿宋_GB2312"/>
        </w:rPr>
        <w:t>采购包最高限价（元）: 3,845,000.00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A02369900 其他环境污染防治设备</w:t>
            </w:r>
          </w:p>
        </w:tc>
        <w:tc>
          <w:tcPr>
            <w:tcW w:type="dxa" w:w="821"/>
          </w:tcPr>
          <w:p>
            <w:pPr>
              <w:pStyle w:val="null3"/>
              <w:jc w:val="left"/>
            </w:pPr>
            <w:r>
              <w:rPr>
                <w:rFonts w:ascii="仿宋_GB2312" w:hAnsi="仿宋_GB2312" w:cs="仿宋_GB2312" w:eastAsia="仿宋_GB2312"/>
              </w:rPr>
              <w:t>沐川县城市生活垃圾处理设施设备更新项目第二标段：更新渗滤液处理设备项目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3,845,000.00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沐川县城市生活垃圾处理设施设备更新项目第二标段：更新渗滤液处理设备项目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3,845,000.00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A02369900 其他环境污染防治设备</w:t>
            </w:r>
          </w:p>
        </w:tc>
        <w:tc>
          <w:tcPr>
            <w:tcW w:type="dxa" w:w="2492"/>
          </w:tcPr>
          <w:p>
            <w:pPr>
              <w:pStyle w:val="null3"/>
              <w:jc w:val="left"/>
            </w:pPr>
            <w:r>
              <w:rPr>
                <w:rFonts w:ascii="仿宋_GB2312" w:hAnsi="仿宋_GB2312" w:cs="仿宋_GB2312" w:eastAsia="仿宋_GB2312"/>
              </w:rPr>
              <w:t>沐川县城市生活垃圾处理设施设备更新项目第二标段：更新渗滤液处理设备项目</w:t>
            </w:r>
          </w:p>
        </w:tc>
        <w:tc>
          <w:tcPr>
            <w:tcW w:type="dxa" w:w="2492"/>
          </w:tcPr>
          <w:p>
            <w:pPr>
              <w:pStyle w:val="null3"/>
              <w:jc w:val="left"/>
            </w:pPr>
            <w:r>
              <w:rPr>
                <w:rFonts w:ascii="仿宋_GB2312" w:hAnsi="仿宋_GB2312" w:cs="仿宋_GB2312" w:eastAsia="仿宋_GB2312"/>
              </w:rPr>
              <w:t>碟管式膜柱1（序号15）</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A02369900 其他环境污染防治设备</w:t>
            </w:r>
          </w:p>
        </w:tc>
        <w:tc>
          <w:tcPr>
            <w:tcW w:type="dxa" w:w="2492"/>
          </w:tcPr>
          <w:p>
            <w:pPr>
              <w:pStyle w:val="null3"/>
              <w:jc w:val="left"/>
            </w:pPr>
            <w:r>
              <w:rPr>
                <w:rFonts w:ascii="仿宋_GB2312" w:hAnsi="仿宋_GB2312" w:cs="仿宋_GB2312" w:eastAsia="仿宋_GB2312"/>
              </w:rPr>
              <w:t>沐川县城市生活垃圾处理设施设备更新项目第二标段：更新渗滤液处理设备项目</w:t>
            </w:r>
          </w:p>
        </w:tc>
        <w:tc>
          <w:tcPr>
            <w:tcW w:type="dxa" w:w="2492"/>
          </w:tcPr>
          <w:p>
            <w:pPr>
              <w:pStyle w:val="null3"/>
              <w:jc w:val="left"/>
            </w:pPr>
            <w:r>
              <w:rPr>
                <w:rFonts w:ascii="仿宋_GB2312" w:hAnsi="仿宋_GB2312" w:cs="仿宋_GB2312" w:eastAsia="仿宋_GB2312"/>
              </w:rPr>
              <w:t>UPVC管1（序号40）、UPVC管2（序号41）、UPVC管3（序号42）、UPVC管4（序号43）、UPVC管5（序号44）</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标的名称：沐川县城市生活垃圾处理设施设备更新项目第二标段：更新渗滤液处理设备项目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项目采购主要设备标的清单</w:t>
            </w:r>
          </w:p>
        </w:tc>
        <w:tc>
          <w:tcPr>
            <w:tcW w:type="dxa" w:w="5814"/>
          </w:tcPr>
          <w:p>
            <w:pPr>
              <w:pStyle w:val="null3"/>
              <w:spacing w:before="150" w:after="150"/>
              <w:jc w:val="both"/>
              <w:outlineLvl w:val="2"/>
            </w:pPr>
            <w:r>
              <w:rPr>
                <w:rFonts w:ascii="仿宋_GB2312" w:hAnsi="仿宋_GB2312" w:cs="仿宋_GB2312" w:eastAsia="仿宋_GB2312"/>
                <w:sz w:val="24"/>
                <w:b/>
              </w:rPr>
              <w:t>★项目采购设备标的清单</w:t>
            </w:r>
          </w:p>
          <w:tbl>
            <w:tblPr>
              <w:tblBorders>
                <w:top w:val="none" w:color="000000" w:sz="4"/>
                <w:left w:val="none" w:color="000000" w:sz="4"/>
                <w:bottom w:val="none" w:color="000000" w:sz="4"/>
                <w:right w:val="none" w:color="000000" w:sz="4"/>
                <w:insideH w:val="none"/>
                <w:insideV w:val="none"/>
              </w:tblBorders>
            </w:tblPr>
            <w:tblGrid>
              <w:gridCol w:w="759"/>
              <w:gridCol w:w="1929"/>
              <w:gridCol w:w="1307"/>
              <w:gridCol w:w="569"/>
              <w:gridCol w:w="31"/>
              <w:gridCol w:w="990"/>
            </w:tblGrid>
            <w:tr>
              <w:tc>
                <w:tcPr>
                  <w:tcW w:type="dxa" w:w="558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100tpd DTRO系统</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（一）原水系统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pH计</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（二）预过滤系统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缓冲水泵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原水泵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清水输送泵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砂滤增压离心泵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砂滤器反洗风机</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砂滤器</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保安过滤器</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篮式过滤器</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消泡剂加药装置</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（三）一级</w:t>
                  </w:r>
                  <w:r>
                    <w:rPr>
                      <w:rFonts w:ascii="仿宋_GB2312" w:hAnsi="仿宋_GB2312" w:cs="仿宋_GB2312" w:eastAsia="仿宋_GB2312"/>
                      <w:sz w:val="24"/>
                      <w:b/>
                    </w:rPr>
                    <w:t>DTRO反渗透系统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高压柱塞泵</w:t>
                  </w:r>
                  <w:r>
                    <w:rPr>
                      <w:rFonts w:ascii="仿宋_GB2312" w:hAnsi="仿宋_GB2312" w:cs="仿宋_GB2312" w:eastAsia="仿宋_GB2312"/>
                      <w:sz w:val="24"/>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高压泵蓄能器</w:t>
                  </w:r>
                  <w:r>
                    <w:rPr>
                      <w:rFonts w:ascii="仿宋_GB2312" w:hAnsi="仿宋_GB2312" w:cs="仿宋_GB2312" w:eastAsia="仿宋_GB2312"/>
                      <w:sz w:val="24"/>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弹簧安全阀</w:t>
                  </w:r>
                  <w:r>
                    <w:rPr>
                      <w:rFonts w:ascii="仿宋_GB2312" w:hAnsi="仿宋_GB2312" w:cs="仿宋_GB2312" w:eastAsia="仿宋_GB2312"/>
                      <w:sz w:val="24"/>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在线增压泵</w:t>
                  </w:r>
                  <w:r>
                    <w:rPr>
                      <w:rFonts w:ascii="仿宋_GB2312" w:hAnsi="仿宋_GB2312" w:cs="仿宋_GB2312" w:eastAsia="仿宋_GB2312"/>
                      <w:sz w:val="24"/>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碟管式膜柱</w:t>
                  </w:r>
                  <w:r>
                    <w:rPr>
                      <w:rFonts w:ascii="仿宋_GB2312" w:hAnsi="仿宋_GB2312" w:cs="仿宋_GB2312" w:eastAsia="仿宋_GB2312"/>
                      <w:sz w:val="24"/>
                      <w:b/>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伺服电机控制阀</w:t>
                  </w:r>
                  <w:r>
                    <w:rPr>
                      <w:rFonts w:ascii="仿宋_GB2312" w:hAnsi="仿宋_GB2312" w:cs="仿宋_GB2312" w:eastAsia="仿宋_GB2312"/>
                      <w:sz w:val="24"/>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清洗剂罐</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进水电导率仪</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进水温度计</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w:t>
                  </w:r>
                  <w:r>
                    <w:rPr>
                      <w:rFonts w:ascii="仿宋_GB2312" w:hAnsi="仿宋_GB2312" w:cs="仿宋_GB2312" w:eastAsia="仿宋_GB2312"/>
                      <w:sz w:val="24"/>
                    </w:rPr>
                    <w:t>pH计</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w:t>
                  </w:r>
                  <w:r>
                    <w:rPr>
                      <w:rFonts w:ascii="仿宋_GB2312" w:hAnsi="仿宋_GB2312" w:cs="仿宋_GB2312" w:eastAsia="仿宋_GB2312"/>
                      <w:sz w:val="24"/>
                    </w:rPr>
                    <w:t>ORP监测仪</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（四）二级</w:t>
                  </w:r>
                  <w:r>
                    <w:rPr>
                      <w:rFonts w:ascii="仿宋_GB2312" w:hAnsi="仿宋_GB2312" w:cs="仿宋_GB2312" w:eastAsia="仿宋_GB2312"/>
                      <w:sz w:val="24"/>
                      <w:b/>
                    </w:rPr>
                    <w:t>DTRO反渗透系统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高压柱塞泵</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高压泵蓄能器</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弹簧安全阀</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在线增压泵</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碟管式膜柱</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伺服电机控制阀</w:t>
                  </w:r>
                  <w:r>
                    <w:rPr>
                      <w:rFonts w:ascii="仿宋_GB2312" w:hAnsi="仿宋_GB2312" w:cs="仿宋_GB2312" w:eastAsia="仿宋_GB2312"/>
                      <w:sz w:val="24"/>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弹簧止回阀</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（五）储罐及化学试剂添加系统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渗滤液原水提升泵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酸添加计量泵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碱添加计量泵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阻垢剂计量泵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清洗剂桶泵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渗沥液原水箱</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缓冲箱</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净水箱</w:t>
                  </w:r>
                  <w:r>
                    <w:rPr>
                      <w:rFonts w:ascii="仿宋_GB2312" w:hAnsi="仿宋_GB2312" w:cs="仿宋_GB2312" w:eastAsia="仿宋_GB2312"/>
                      <w:sz w:val="24"/>
                    </w:rPr>
                    <w:t>+脱气塔</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药剂箱</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硫酸罐</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清洗剂储罐</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）管路系统及阀门</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0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UPVC管1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UPVC管2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UPVC管3</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UPVC管4</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UPVC管5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气动隔膜阀</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气动球阀</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球阀</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）电气及控制系统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动力柜</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控制柜</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变频器</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10t/d MBR系统</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（一）预处理系统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原水提升泵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液位计</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细格栅</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MBR系统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一体化装置</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MBR膜组件</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曝气风机</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抽吸泵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混合液回流泵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加药系统</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通用型液位计</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清水泵</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调节槽</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清水槽</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曝气系统</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8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（三）电气控制系统</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r>
                    <w:rPr>
                      <w:rFonts w:ascii="仿宋_GB2312" w:hAnsi="仿宋_GB2312" w:cs="仿宋_GB2312" w:eastAsia="仿宋_GB2312"/>
                      <w:sz w:val="24"/>
                      <w:b/>
                    </w:rPr>
                    <w:t>/产品名称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控制系统</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bl>
          <w:p>
            <w:pPr>
              <w:pStyle w:val="null3"/>
              <w:ind w:firstLine="964"/>
              <w:jc w:val="both"/>
            </w:pPr>
            <w:r>
              <w:rPr>
                <w:rFonts w:ascii="仿宋_GB2312" w:hAnsi="仿宋_GB2312" w:cs="仿宋_GB2312" w:eastAsia="仿宋_GB2312"/>
                <w:sz w:val="24"/>
                <w:b/>
              </w:rPr>
              <w:t>说明：</w:t>
            </w:r>
          </w:p>
          <w:p>
            <w:pPr>
              <w:pStyle w:val="null3"/>
              <w:ind w:firstLine="960"/>
              <w:jc w:val="both"/>
            </w:pPr>
            <w:r>
              <w:rPr>
                <w:rFonts w:ascii="仿宋_GB2312" w:hAnsi="仿宋_GB2312" w:cs="仿宋_GB2312" w:eastAsia="仿宋_GB2312"/>
                <w:sz w:val="24"/>
              </w:rPr>
              <w:t>1、本项目涉及</w:t>
            </w:r>
            <w:r>
              <w:rPr>
                <w:rFonts w:ascii="仿宋_GB2312" w:hAnsi="仿宋_GB2312" w:cs="仿宋_GB2312" w:eastAsia="仿宋_GB2312"/>
                <w:sz w:val="24"/>
                <w:b/>
              </w:rPr>
              <w:t>核心产品</w:t>
            </w:r>
            <w:r>
              <w:rPr>
                <w:rFonts w:ascii="仿宋_GB2312" w:hAnsi="仿宋_GB2312" w:cs="仿宋_GB2312" w:eastAsia="仿宋_GB2312"/>
                <w:sz w:val="24"/>
              </w:rPr>
              <w:t>：</w:t>
            </w:r>
            <w:r>
              <w:rPr>
                <w:rFonts w:ascii="仿宋_GB2312" w:hAnsi="仿宋_GB2312" w:cs="仿宋_GB2312" w:eastAsia="仿宋_GB2312"/>
                <w:sz w:val="24"/>
                <w:u w:val="single"/>
              </w:rPr>
              <w:t>碟管式膜柱</w:t>
            </w:r>
            <w:r>
              <w:rPr>
                <w:rFonts w:ascii="仿宋_GB2312" w:hAnsi="仿宋_GB2312" w:cs="仿宋_GB2312" w:eastAsia="仿宋_GB2312"/>
                <w:sz w:val="24"/>
                <w:u w:val="single"/>
              </w:rPr>
              <w:t>1（序号15）</w:t>
            </w:r>
            <w:r>
              <w:rPr>
                <w:rFonts w:ascii="仿宋_GB2312" w:hAnsi="仿宋_GB2312" w:cs="仿宋_GB2312" w:eastAsia="仿宋_GB2312"/>
                <w:sz w:val="24"/>
              </w:rPr>
              <w:t>。</w:t>
            </w:r>
          </w:p>
          <w:p>
            <w:pPr>
              <w:pStyle w:val="null3"/>
              <w:ind w:firstLine="964"/>
              <w:jc w:val="both"/>
            </w:pPr>
            <w:r>
              <w:rPr>
                <w:rFonts w:ascii="仿宋_GB2312" w:hAnsi="仿宋_GB2312" w:cs="仿宋_GB2312" w:eastAsia="仿宋_GB2312"/>
              </w:rPr>
              <w:t>★</w:t>
            </w:r>
            <w:r>
              <w:rPr>
                <w:rFonts w:ascii="仿宋_GB2312" w:hAnsi="仿宋_GB2312" w:cs="仿宋_GB2312" w:eastAsia="仿宋_GB2312"/>
                <w:b/>
              </w:rPr>
              <w:t>2、本表中“标的名称/产品名称”、“数量”、“单位”，投标人须按招标文件附件格式《报价明细表》进行完全对应逐一编制响应，不得漏项或增项或合并项报价，否则按无效投标响应处理。</w:t>
            </w:r>
          </w:p>
          <w:p>
            <w:pPr>
              <w:pStyle w:val="null3"/>
              <w:jc w:val="left"/>
            </w:pPr>
            <w:r>
              <w:rPr>
                <w:rFonts w:ascii="仿宋_GB2312" w:hAnsi="仿宋_GB2312" w:cs="仿宋_GB2312" w:eastAsia="仿宋_GB2312"/>
                <w:b/>
              </w:rPr>
              <w:t>3、</w:t>
            </w:r>
            <w:r>
              <w:rPr>
                <w:rFonts w:ascii="仿宋_GB2312" w:hAnsi="仿宋_GB2312" w:cs="仿宋_GB2312" w:eastAsia="仿宋_GB2312"/>
                <w:b/>
              </w:rPr>
              <w:t>本项目投标人若提供《中小企业声明函》或《残疾人福利性单位声明函》或监狱企业的证明文件时，须对项目采购设备标的清单</w:t>
            </w:r>
            <w:r>
              <w:rPr>
                <w:rFonts w:ascii="仿宋_GB2312" w:hAnsi="仿宋_GB2312" w:cs="仿宋_GB2312" w:eastAsia="仿宋_GB2312"/>
                <w:b/>
              </w:rPr>
              <w:t>中各序号标的以及各标的对应的所属行业，按实编制货物制造商情况资料。</w:t>
            </w:r>
          </w:p>
          <w:p>
            <w:pPr>
              <w:pStyle w:val="null3"/>
              <w:jc w:val="left"/>
            </w:pPr>
            <w:r>
              <w:rPr>
                <w:rFonts w:ascii="仿宋_GB2312" w:hAnsi="仿宋_GB2312" w:cs="仿宋_GB2312" w:eastAsia="仿宋_GB2312"/>
                <w:b/>
              </w:rPr>
              <w:t>4、</w:t>
            </w:r>
            <w:r>
              <w:rPr>
                <w:rFonts w:ascii="仿宋_GB2312" w:hAnsi="仿宋_GB2312" w:cs="仿宋_GB2312" w:eastAsia="仿宋_GB2312"/>
              </w:rPr>
              <w:t>本项目不接受进口产品，项目采购设备标的清单中的产品执行《国务院办公厅关于在政府采购中实施本国产品标准及相关政策的通知》国办发〔2025〕34号，投标人须按规定提交所投产品的《关于符合本国产品标准的声明函》。</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项目技术要求</w:t>
            </w:r>
          </w:p>
        </w:tc>
        <w:tc>
          <w:tcPr>
            <w:tcW w:type="dxa" w:w="5814"/>
          </w:tcPr>
          <w:p>
            <w:pPr>
              <w:pStyle w:val="null3"/>
              <w:jc w:val="both"/>
            </w:pPr>
            <w:r>
              <w:rPr>
                <w:rFonts w:ascii="仿宋_GB2312" w:hAnsi="仿宋_GB2312" w:cs="仿宋_GB2312" w:eastAsia="仿宋_GB2312"/>
              </w:rPr>
              <w:t>项目技术要求详见附件。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80"/>
              <w:jc w:val="both"/>
            </w:pPr>
            <w:r>
              <w:rPr>
                <w:rFonts w:ascii="仿宋_GB2312" w:hAnsi="仿宋_GB2312" w:cs="仿宋_GB2312" w:eastAsia="仿宋_GB2312"/>
                <w:sz w:val="24"/>
              </w:rPr>
              <w:t>1、履约期内，供应商须安排技术人员对沐川县城市生活垃圾处理的所有设施、机械进行检查、保养、维护、排除故障隐患，确保其正常运行。</w:t>
            </w:r>
          </w:p>
          <w:p>
            <w:pPr>
              <w:pStyle w:val="null3"/>
              <w:ind w:firstLine="480"/>
              <w:jc w:val="both"/>
            </w:pPr>
            <w:r>
              <w:rPr>
                <w:rFonts w:ascii="仿宋_GB2312" w:hAnsi="仿宋_GB2312" w:cs="仿宋_GB2312" w:eastAsia="仿宋_GB2312"/>
                <w:sz w:val="24"/>
              </w:rPr>
              <w:t>2、质保期内提供全天候的技术支持服务。指派专人与采购人指定的联系人进行售后服务事宜联系，并配置专门固定的售后服务电话，如提供的设备出现故障时，在接到报修电话后立即响应，8小时内派专业技术人员到达现场解决问题，最迟在24小时内修复（遇特殊情况除外）。</w:t>
            </w:r>
          </w:p>
          <w:p>
            <w:pPr>
              <w:pStyle w:val="null3"/>
              <w:ind w:firstLine="480"/>
              <w:jc w:val="both"/>
            </w:pPr>
            <w:r>
              <w:rPr>
                <w:rFonts w:ascii="仿宋_GB2312" w:hAnsi="仿宋_GB2312" w:cs="仿宋_GB2312" w:eastAsia="仿宋_GB2312"/>
                <w:sz w:val="24"/>
              </w:rPr>
              <w:t>3、故障问题解决后24小时内，应向采购人提交问题处理报告，说明问题种类、问题原因、问题解决中使用的方法及造成的损失等情况。</w:t>
            </w:r>
          </w:p>
          <w:p>
            <w:pPr>
              <w:pStyle w:val="null3"/>
              <w:ind w:firstLine="480"/>
              <w:jc w:val="both"/>
            </w:pPr>
            <w:r>
              <w:rPr>
                <w:rFonts w:ascii="仿宋_GB2312" w:hAnsi="仿宋_GB2312" w:cs="仿宋_GB2312" w:eastAsia="仿宋_GB2312"/>
                <w:sz w:val="24"/>
              </w:rPr>
              <w:t>4、供应商</w:t>
            </w:r>
            <w:r>
              <w:rPr>
                <w:rFonts w:ascii="仿宋_GB2312" w:hAnsi="仿宋_GB2312" w:cs="仿宋_GB2312" w:eastAsia="仿宋_GB2312"/>
                <w:sz w:val="24"/>
              </w:rPr>
              <w:t>对</w:t>
            </w:r>
            <w:r>
              <w:rPr>
                <w:rFonts w:ascii="仿宋_GB2312" w:hAnsi="仿宋_GB2312" w:cs="仿宋_GB2312" w:eastAsia="仿宋_GB2312"/>
                <w:sz w:val="24"/>
              </w:rPr>
              <w:t>项目全部设备的各种部件均保证齐备、充足供应，若因设备升级更新等原因不能保障供应造成采购人损失的，供应商承担全部赔偿责任。</w:t>
            </w:r>
          </w:p>
          <w:p>
            <w:pPr>
              <w:pStyle w:val="null3"/>
              <w:jc w:val="left"/>
            </w:pPr>
            <w:r>
              <w:rPr>
                <w:rFonts w:ascii="仿宋_GB2312" w:hAnsi="仿宋_GB2312" w:cs="仿宋_GB2312" w:eastAsia="仿宋_GB2312"/>
                <w:sz w:val="24"/>
              </w:rPr>
              <w:t>5、需对所有操作人员进行设备及系统操作培训，直至操作人员能熟练掌握系统的使用方法，确保项目正常使用。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ind w:firstLine="480"/>
              <w:jc w:val="both"/>
            </w:pPr>
            <w:r>
              <w:rPr>
                <w:rFonts w:ascii="仿宋_GB2312" w:hAnsi="仿宋_GB2312" w:cs="仿宋_GB2312" w:eastAsia="仿宋_GB2312"/>
                <w:sz w:val="24"/>
              </w:rPr>
              <w:t>1、项目服务期间发生的人身安全事故、交通安全等大小事故，一切责任和经济补偿均由中标供应商负责，与采购人无关。中标供应商必须按规定办理有关保险，并采取严格的安全措施，承担由于自身的原因所造成的事故责任及因此发生的一切费用。</w:t>
            </w:r>
          </w:p>
          <w:p>
            <w:pPr>
              <w:pStyle w:val="null3"/>
              <w:ind w:firstLine="480"/>
              <w:jc w:val="both"/>
            </w:pPr>
            <w:r>
              <w:rPr>
                <w:rFonts w:ascii="仿宋_GB2312" w:hAnsi="仿宋_GB2312" w:cs="仿宋_GB2312" w:eastAsia="仿宋_GB2312"/>
                <w:sz w:val="24"/>
              </w:rPr>
              <w:t>2、中标供应商应落实安全服务措施。</w:t>
            </w:r>
          </w:p>
          <w:p>
            <w:pPr>
              <w:pStyle w:val="null3"/>
              <w:ind w:firstLine="480"/>
              <w:jc w:val="both"/>
            </w:pPr>
            <w:r>
              <w:rPr>
                <w:rFonts w:ascii="仿宋_GB2312" w:hAnsi="仿宋_GB2312" w:cs="仿宋_GB2312" w:eastAsia="仿宋_GB2312"/>
                <w:sz w:val="24"/>
              </w:rPr>
              <w:t>3、中标供应商的专业岗位人员必须持证上岗。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合同签订后60日历天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沐川县（投标人中标后组织供货，货到现场后需自行租赁场地，货物到场直至验收前的保管义务由投标人自行承担）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1、预付款：在合同签订生效后，甲方在收到财政拨付款项后的15日内，通知乙方开具书面付款申请与票据凭证资料，在收到申请与票据，达到付款条件起30日内，支付合同总金额的30.00%</w:t>
            </w:r>
          </w:p>
          <w:p>
            <w:pPr>
              <w:pStyle w:val="null3"/>
              <w:jc w:val="left"/>
            </w:pPr>
            <w:r>
              <w:rPr>
                <w:rFonts w:ascii="仿宋_GB2312" w:hAnsi="仿宋_GB2312" w:cs="仿宋_GB2312" w:eastAsia="仿宋_GB2312"/>
              </w:rPr>
              <w:t>2、进度款：货到现场后，甲方在收到财政拨付款项后的15日内，通知乙方开具书面付款申请与票据凭证资料，在收到申请与票据，达到付款条件起30日内，支付合同总金额的40.00%</w:t>
            </w:r>
          </w:p>
          <w:p>
            <w:pPr>
              <w:pStyle w:val="null3"/>
              <w:jc w:val="left"/>
            </w:pPr>
            <w:r>
              <w:rPr>
                <w:rFonts w:ascii="仿宋_GB2312" w:hAnsi="仿宋_GB2312" w:cs="仿宋_GB2312" w:eastAsia="仿宋_GB2312"/>
              </w:rPr>
              <w:t>3、尾款：验收合格后，甲方在收到财政拨付款项后的15日内，通知乙方开具书面付款申请与票据凭证资料，在收到申请与票据，达到付款条件起30日内，支付合同总金额的30.00%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中标供应商配合进行。根据《政府采购需求管理办法》（财库〔2021〕22号）、《财政部关于进一步加强政府采购需求和履约验收管理的指导意见》财库[2016]205号和《关于沿用&lt;乐山市政府采购项目需求论证和履约验收管理实施细则&gt;的通知》（乐市财政采〔2021〕8号）等法律法规及采购文件和成交产品的性能、技术参数、中标供应商的响应承诺为准逐项验收，如在验收时间期限内确实不能达到每一项配置、性能、技术参数及商务响应承诺的，由此引起的一切责任由中标供应商承担。 排水水量满足设备设计要求；排水水质标准满足环保标准，需出具第三方检测公司的合格检测报告，如经相关环保部门或者第三方环保单位检查不合格的，采购人有权要求中标单位进行整改，中标单位须无条件配合，一次及以上整改仍不合格的采购人有权不支付剩余的合同价款并保留追究其带来的损失赔偿。 2、验收时如发现所交付的货物有短装、次品、损坏或其它不符合标准及本合同规定之情形者，采购人应做出详尽的现场记录，或由甲乙双方签署备忘录，此现场记录或备忘录可用作补充、缺失和更换损坏部件的有效证据，由此产生的时间延误与有关费用由中标供应商承担，验收期限相应顺延；如质量验收合格，双方签署质量验收报告。 3、中标供应商应将所提供货物的装箱清单、配件、随机工具、用户使用手册、原厂保修卡等资料交付给采购人；中标供应商不能完整交付货物及本款规定的单证和工具的，必须负责补齐，否则视为未按合同约定交货。 4、其他未尽事宜应严格按照《政府采购需求管理办法》（财库〔2021〕22号）、《财政部关于进一步加强政府采购需求和履约验收管理的指导意见》(财库〔2016〕205 号)及《关于沿用&lt;乐山市政府采购项目需求论证和履约验收管理实施细则&gt;的通知》（乐市财政采〔2021〕8号）、本项目中的要求及国家有关标准，由采购人负责成立验收组，对产品进行验收。验收时，如果产品不符合采购文件要求，中标供应商应当及时进行更换，否则视为违约。如多次更换产品后仍不能满足的，采购人有权终止合同，所有后果由中标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1、质保期：验收合格之日起1年。（质保期不低于国家行业标准规定的期限，产品有另行要求的，以另行要求为准。） 2、在设备验收期或质保期内，如果设备的数量、规格、质量或性能与合同和投标文件不符，或证实设备是有缺陷的，包括潜在的缺陷或使用不符合要求的材料等，以及设备出现某种或某部件出现经常性故障，采购人有权要求中标人退货或采取相应补救措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产品、技术、服务的质量问题发生争议，由质量技术监督部门或其指定的质量鉴定机构进行质量鉴定。产品、技术、服务符合标准的，鉴定费由甲方承担；产品、技术、服务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报价要求：供应商的报价总价中包含但不仅限于完成本项目所需的材料费(包含电气电缆、管道钢材及其它配件等)、人工费、运杂费(包含装卸车费、人工运输费)、安装费（包含但不限于安装过程中所需要的土建改造费用，如场地平整，地面基础改造及水电改造等）、调试费、各种税费等直至验收合格交付使用的一切费用，以及由于原材料工本或其它条件的价格浮动而导致的全部额外费用。采购人在项目结算时不再向中标供应商支付其他任何费用。如出现响应报价估算错误等引起投标人损失的情况由投标人自行承担。 ★2、未尽事宜在合同中详细约定。 3、履约能力要求： （一）投标人需针对本项目提供项目实施方案，内容包括但不限于①本项目的重难点分析及解决措施、②货源的保障措施、③质量管理体系和质量目标、④产品质量保证措施、⑤项目实施进度安排及保障措施、⑥产品配送方案、⑦安装调试方案、⑧项目人员配置及管理制度、⑨项目实施安全管理措施。要求内容完整详尽，切实可行，充分保证本项目的顺利开展。 （二）投标人应针对本项目提供售后服务方案，内容包括但不限于①售后服务范围；②售后服务保障措施；③售后服务人员配备、职责分工；④人员培训方案；⑤定期回访及定期维护；⑥备品备件管理等。要求售后服务能够满足采购人需求，响应及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或复印件并进行电子签章。 注：以上①、②、③、④项均具有同等效力，提供任意一项均可，分支机构还需提供总公司书面授权书。</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对项目技术、服务、商务要求实质性响应的审查。</w:t>
            </w:r>
          </w:p>
        </w:tc>
        <w:tc>
          <w:tcPr>
            <w:tcW w:type="dxa" w:w="3322"/>
          </w:tcPr>
          <w:p>
            <w:pPr>
              <w:pStyle w:val="null3"/>
              <w:jc w:val="left"/>
            </w:pPr>
            <w:r>
              <w:rPr>
                <w:rFonts w:ascii="仿宋_GB2312" w:hAnsi="仿宋_GB2312" w:cs="仿宋_GB2312" w:eastAsia="仿宋_GB2312"/>
              </w:rPr>
              <w:t>供应商须按照招标文件第三章“3.2.技术要求、3.3服务要求、3.4.其他要求”的全部实质性内容逐条进行响应。注:招标文件及相关的证明材料(如要求提供)须加盖供应商公章。</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供应商的投标文件中不存在招标文件规定的无效情形。</w:t>
            </w:r>
          </w:p>
        </w:tc>
        <w:tc>
          <w:tcPr>
            <w:tcW w:type="dxa" w:w="3322"/>
          </w:tcPr>
          <w:p>
            <w:pPr>
              <w:pStyle w:val="null3"/>
              <w:jc w:val="left"/>
            </w:pPr>
            <w:r>
              <w:rPr>
                <w:rFonts w:ascii="仿宋_GB2312" w:hAnsi="仿宋_GB2312" w:cs="仿宋_GB2312" w:eastAsia="仿宋_GB2312"/>
              </w:rPr>
              <w:t>供应商的投标文件中不存在招标文件规定的无效情形</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技术参数和配置</w:t>
            </w:r>
          </w:p>
        </w:tc>
        <w:tc>
          <w:tcPr>
            <w:tcW w:type="dxa" w:w="2575"/>
          </w:tcPr>
          <w:p>
            <w:pPr>
              <w:pStyle w:val="null3"/>
              <w:jc w:val="left"/>
            </w:pPr>
            <w:r>
              <w:rPr>
                <w:rFonts w:ascii="仿宋_GB2312" w:hAnsi="仿宋_GB2312" w:cs="仿宋_GB2312" w:eastAsia="仿宋_GB2312"/>
              </w:rPr>
              <w:t>投标产品的技术参数完全满足招标文件中项目采购主要设备标的技术参数要求的得14分，其中： 1、重要技术参数：标注 “▲”符号的共3项，每负偏离一项，扣4分，共12分，扣完为止。 2、一般技术参数：未标注“★”和“▲”符号的共1项，每负偏离一项，扣2分，共2分，扣完为止。 注:①项数以编号“1、”“2、”“3、”……计算(其下一级序号仅作为本级技术参数所包含的内容，不作为项数计算)。 ②重要技术参数(标注“▲”)按其对应要求的证明材料进行认定；一般技术参数(未标注“▲”）以投标人按照招标文件要求提供的自述响应。 ③评标委员会在评审时，如若发现上述总项数与实际存在差异的，按实际总项数与对应总分值，对应调整单项扣分分值后进行扣分评定。</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本项目实际采购需求，编制项目实施方案，方案至少包括：①本项目的重难点分析及解决措施、②货源的保障措施、③质量管理体系和质量目标、④产品质量保证措施、⑤项目实施进度安排及保障措施、⑥产品配送方案、⑦安装调试方案、⑧项目人员配置及管理制度、⑨项目实施安全管理措施等；方案完全满足采购需求要求得36分，每缺一项扣4分，每有一项内容存在缺陷扣2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本项目实际采购需求，编制售后服务方案，方案至少包括：①售后服务范围；②售后服务保障措施；③售后服务人员配备、职责分工；④人员培训方案；⑤定期回访及定期维护；⑥备品备件管理等；方案完全满足采购需求要求得18分，每缺一项扣3分，每有一项内容存在缺陷扣1.5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方案内容描述笼统过于简略；⑥工作流程或人员安排不符合采购需求等情形中的任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售后服务保障</w:t>
            </w:r>
          </w:p>
        </w:tc>
        <w:tc>
          <w:tcPr>
            <w:tcW w:type="dxa" w:w="2575"/>
          </w:tcPr>
          <w:p>
            <w:pPr>
              <w:pStyle w:val="null3"/>
              <w:jc w:val="left"/>
            </w:pPr>
            <w:r>
              <w:rPr>
                <w:rFonts w:ascii="仿宋_GB2312" w:hAnsi="仿宋_GB2312" w:cs="仿宋_GB2312" w:eastAsia="仿宋_GB2312"/>
              </w:rPr>
              <w:t>投标人在满足招标文件质保期时间要求的基础上每增加1年加1分，本项最多得2分。 注：提供承诺函并进行电子签章，不提供的不得分。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