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版本号：N513311202600014820260518001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稻城县美丽四川建设先行试点培育县技术服务项目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N5133112026000148</w:t>
      </w:r>
    </w:p>
    <w:p>
      <w:pPr>
        <w:pStyle w:val="null3"/>
        <w:jc w:val="center"/>
        <w:outlineLvl w:val="2"/>
      </w:pPr>
      <w:r>
        <w:rPr>
          <w:rFonts w:ascii="仿宋_GB2312" w:hAnsi="仿宋_GB2312" w:cs="仿宋_GB2312" w:eastAsia="仿宋_GB2312"/>
          <w:sz w:val="28"/>
          <w:b/>
        </w:rPr>
        <w:t>甘孜州稻城生态环境局</w:t>
      </w:r>
    </w:p>
    <w:p>
      <w:pPr>
        <w:pStyle w:val="null3"/>
        <w:jc w:val="center"/>
        <w:outlineLvl w:val="2"/>
      </w:pPr>
      <w:r>
        <w:rPr>
          <w:rFonts w:ascii="仿宋_GB2312" w:hAnsi="仿宋_GB2312" w:cs="仿宋_GB2312" w:eastAsia="仿宋_GB2312"/>
          <w:sz w:val="28"/>
          <w:b/>
        </w:rPr>
        <w:t>四川东宸国际招标有限公司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四川东宸国际招标有限公司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甘孜州稻城生态环境局</w:t>
      </w:r>
      <w:r>
        <w:rPr>
          <w:rFonts w:ascii="仿宋_GB2312" w:hAnsi="仿宋_GB2312" w:cs="仿宋_GB2312" w:eastAsia="仿宋_GB2312"/>
        </w:rPr>
        <w:t xml:space="preserve"> 委托，拟对 </w:t>
      </w:r>
      <w:r>
        <w:rPr>
          <w:rFonts w:ascii="仿宋_GB2312" w:hAnsi="仿宋_GB2312" w:cs="仿宋_GB2312" w:eastAsia="仿宋_GB2312"/>
        </w:rPr>
        <w:t>稻城县美丽四川建设先行试点培育县技术服务项目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N5133112026000148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稻城县美丽四川建设先行试点培育县技术服务项目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以美丽中国建设全面推进人与自然和谐共生的现代化，是实现中华民族伟大复兴中国梦的重要内容。党的二十大明确提出，到2035年美丽中国建设目标要基本实现；党的二十届四中全会继续将“建设美丽中国”作为推进中国式现代化的战略任务之一；《中共中央 国务院关于全面推进美丽中国建设的意见》对新时代全面推进美丽中国建设作出系统部署。 稻城县地处青藏高原东南缘，是长江上游重要水源涵养区、青藏高原生态安全屏障的重要节点，也是大香格里拉生态文化区的核心组成部分。稻城县拥有“三怙主雪山”、海子山冰帽群、高寒湿地草地、河谷森林等世界级自然景观，生态地位极为重要；同时拥有康巴文化、宗教文化、传统村落等独特文化资源，是生态本底突出、文化底蕴深厚的高原特色县。近年来，稻城县深入贯彻习近平生态文明思想和省委、州委关于美丽四川、美丽甘孜建设的部署要求，坚持生态立县战略，加快推进山水林田湖草沙冰一体化保护和系统治理，生态环境质量持续保持优良，绿色发展基础不断夯实，生态文明建设取得积极进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甘孜州稻城生态环境局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稻城县金珠镇金珠路一段61号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0836-6961766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四川东宸国际招标有限公司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成都市金牛区蜀西路42号三泰控股C2-501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028-82893696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代理服务费收费标准：按照成本+合理利润的原则,本项目代理服务费定额收取人民币9000元，由成交供应商领取成交通知书前支付。 收款单位：四川东宸国际招标有限公司 开 户 行：中国光大银行股份有限公司成都金牛支行 账 号：3990 0188 0006 83372 行号：303651000907</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甘孜州稻城生态环境局</w:t>
      </w:r>
      <w:r>
        <w:rPr>
          <w:rFonts w:ascii="仿宋_GB2312" w:hAnsi="仿宋_GB2312" w:cs="仿宋_GB2312" w:eastAsia="仿宋_GB2312"/>
        </w:rPr>
        <w:t xml:space="preserve"> 和 </w:t>
      </w:r>
      <w:r>
        <w:rPr>
          <w:rFonts w:ascii="仿宋_GB2312" w:hAnsi="仿宋_GB2312" w:cs="仿宋_GB2312" w:eastAsia="仿宋_GB2312"/>
        </w:rPr>
        <w:t>四川东宸国际招标有限公司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甘孜州稻城生态环境局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四川东宸国际招标有限公司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完成所有服务内容，供应商提交验收申请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按照本项目采购文件中“服务内容及要求”约定执行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按照《财政部关于进-步加强政府采购需求和履约验收管理的指导意见》(财库(2016) 205号)以及主管部门的相关要求进行验收。由采购人组织履约验收小组，开展项目验收工作， 达到国家相关标准、行业标准、地方标准或者其他标准、规范要求为标准，按照本项目采购文件、供应商响应文件和双方签订的《采购合同》，对成交供应商履约情况进行验收，出具验收报告。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甘孜州稻城生态环境局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四川东宸国际招标有限公司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四川东宸国际招标有限公司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联系电话：0836-6961766</w:t>
      </w:r>
    </w:p>
    <w:p>
      <w:pPr>
        <w:pStyle w:val="null3"/>
        <w:jc w:val="left"/>
      </w:pPr>
      <w:r>
        <w:rPr>
          <w:rFonts w:ascii="仿宋_GB2312" w:hAnsi="仿宋_GB2312" w:cs="仿宋_GB2312" w:eastAsia="仿宋_GB2312"/>
        </w:rPr>
        <w:t>地址：稻城县金珠镇金珠路一段61号</w:t>
      </w:r>
    </w:p>
    <w:p>
      <w:pPr>
        <w:pStyle w:val="null3"/>
        <w:jc w:val="left"/>
      </w:pPr>
      <w:r>
        <w:rPr>
          <w:rFonts w:ascii="仿宋_GB2312" w:hAnsi="仿宋_GB2312" w:cs="仿宋_GB2312" w:eastAsia="仿宋_GB2312"/>
        </w:rPr>
        <w:t>邮编：627750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联系电话：028-82893696</w:t>
      </w:r>
    </w:p>
    <w:p>
      <w:pPr>
        <w:pStyle w:val="null3"/>
        <w:jc w:val="left"/>
      </w:pPr>
      <w:r>
        <w:rPr>
          <w:rFonts w:ascii="仿宋_GB2312" w:hAnsi="仿宋_GB2312" w:cs="仿宋_GB2312" w:eastAsia="仿宋_GB2312"/>
        </w:rPr>
        <w:t>地址：成都市金牛区蜀西路42号三泰控股C2-501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C07019900 其他生态环境保护服务</w:t>
            </w:r>
          </w:p>
        </w:tc>
        <w:tc>
          <w:tcPr>
            <w:tcW w:type="dxa" w:w="821"/>
          </w:tcPr>
          <w:p>
            <w:pPr>
              <w:pStyle w:val="null3"/>
              <w:jc w:val="left"/>
            </w:pPr>
            <w:r>
              <w:rPr>
                <w:rFonts w:ascii="仿宋_GB2312" w:hAnsi="仿宋_GB2312" w:cs="仿宋_GB2312" w:eastAsia="仿宋_GB2312"/>
              </w:rPr>
              <w:t>稻城县美丽四川建设先行试点培育县技术服务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稻城县美丽四川建设先行试点培育县技术服务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标的名称：稻城县美丽四川建设先行试点培育县技术服务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ind w:firstLine="480"/>
              <w:jc w:val="left"/>
            </w:pPr>
            <w:r>
              <w:rPr>
                <w:rFonts w:ascii="仿宋_GB2312" w:hAnsi="仿宋_GB2312" w:cs="仿宋_GB2312" w:eastAsia="仿宋_GB2312"/>
                <w:sz w:val="24"/>
                <w:color w:val="000000"/>
              </w:rPr>
              <w:t>以美丽中国建设全面推进人与自然和谐共生的现代化，是实现中华民族伟大复兴中国梦的重要内容。党的二十大明确提出，到</w:t>
            </w:r>
            <w:r>
              <w:rPr>
                <w:rFonts w:ascii="仿宋_GB2312" w:hAnsi="仿宋_GB2312" w:cs="仿宋_GB2312" w:eastAsia="仿宋_GB2312"/>
                <w:sz w:val="24"/>
                <w:color w:val="000000"/>
              </w:rPr>
              <w:t>2035年美丽中国建设目标要基本实现；党的二十届四中全会继续将“建设美丽中国”作为推进中国式现代化的战略任务之一；《中共中央 国务院关于全面推进美丽中国建设的意见》对新时代全面推进美丽中国建设作出系统部署。</w:t>
            </w:r>
          </w:p>
          <w:p>
            <w:pPr>
              <w:pStyle w:val="null3"/>
              <w:ind w:firstLine="480"/>
              <w:jc w:val="left"/>
            </w:pPr>
            <w:r>
              <w:rPr>
                <w:rFonts w:ascii="仿宋_GB2312" w:hAnsi="仿宋_GB2312" w:cs="仿宋_GB2312" w:eastAsia="仿宋_GB2312"/>
                <w:sz w:val="24"/>
                <w:color w:val="000000"/>
              </w:rPr>
              <w:t>稻城县地处青藏高原东南缘，是长江上游重要水源涵养区、青藏高原生态安全屏障的重要节点，也是大香格里拉生态文化区的核心组成部分。稻城县拥有</w:t>
            </w:r>
            <w:r>
              <w:rPr>
                <w:rFonts w:ascii="仿宋_GB2312" w:hAnsi="仿宋_GB2312" w:cs="仿宋_GB2312" w:eastAsia="仿宋_GB2312"/>
                <w:sz w:val="24"/>
                <w:color w:val="000000"/>
              </w:rPr>
              <w:t>“三怙主雪山”、海子山冰帽群、高寒湿地草地、河谷森林等世界级自然景观，生态地位极为重要；同时拥有康巴文化、宗教文化、传统村落等独特文化资源，是生态本底突出、文化底蕴深厚的高原特色县。近年来，稻城县深入贯彻习近平生态文明思想和省委、州委关于美丽四川、美丽甘孜建设的部署要求，坚持生态立县战略，加快推进山水林田湖草沙冰一体化保护和系统治理，生态环境质量持续保持优良，绿色发展基础不断夯实，生态文明建设取得积极进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left"/>
            </w:pPr>
            <w:r>
              <w:rPr>
                <w:rFonts w:ascii="仿宋_GB2312" w:hAnsi="仿宋_GB2312" w:cs="仿宋_GB2312" w:eastAsia="仿宋_GB2312"/>
                <w:sz w:val="24"/>
                <w:color w:val="000000"/>
              </w:rPr>
              <w:t>为全面落实党中央关于建设美丽中国的战略部署，贯彻省委、省政府关于美丽四川建设的总体要求，结合甘孜州“美丽甘孜”建设总体安排，稻城县组织编制《稻城县“美丽四川”先行试点培育县建设实施方案（2026-2030年）》。方案须系统提出稻城县美丽建设的战略定位、发展目标、重点任务和保障措施，指导未来一个时期稻城县推进生态文明建设和绿色高质量发展。</w:t>
            </w:r>
          </w:p>
          <w:p>
            <w:pPr>
              <w:pStyle w:val="null3"/>
              <w:ind w:firstLine="480"/>
              <w:jc w:val="left"/>
            </w:pPr>
            <w:r>
              <w:rPr>
                <w:rFonts w:ascii="仿宋_GB2312" w:hAnsi="仿宋_GB2312" w:cs="仿宋_GB2312" w:eastAsia="仿宋_GB2312"/>
                <w:sz w:val="24"/>
                <w:color w:val="000000"/>
              </w:rPr>
              <w:t>方案</w:t>
            </w:r>
            <w:r>
              <w:rPr>
                <w:rFonts w:ascii="仿宋_GB2312" w:hAnsi="仿宋_GB2312" w:cs="仿宋_GB2312" w:eastAsia="仿宋_GB2312"/>
                <w:sz w:val="24"/>
                <w:color w:val="000000"/>
              </w:rPr>
              <w:t>将围绕强化生态保护、加强环境治理、推动绿色低碳发展、提升城乡品质、繁荣生态文化、健全风险防控体系、推进美丽示范建设等重点领域，突出稻城特色，构建可实施、可考核、可落实的美丽稻城建设体系，为加快建设人与自然和谐共生的现代化美丽稻城奠定坚实基础</w:t>
            </w:r>
            <w:r>
              <w:rPr>
                <w:rFonts w:ascii="仿宋_GB2312" w:hAnsi="仿宋_GB2312" w:cs="仿宋_GB2312" w:eastAsia="仿宋_GB2312"/>
                <w:sz w:val="24"/>
                <w:color w:val="000000"/>
              </w:rPr>
              <w:t>进行编制。</w:t>
            </w:r>
          </w:p>
          <w:p>
            <w:pPr>
              <w:pStyle w:val="null3"/>
              <w:spacing w:after="120"/>
              <w:ind w:firstLine="480"/>
              <w:jc w:val="left"/>
            </w:pPr>
            <w:r>
              <w:rPr>
                <w:rFonts w:ascii="仿宋_GB2312" w:hAnsi="仿宋_GB2312" w:cs="仿宋_GB2312" w:eastAsia="仿宋_GB2312"/>
                <w:sz w:val="24"/>
                <w:color w:val="000000"/>
              </w:rPr>
              <w:t>结合稻城县十五五规划罗列建设任务清单进行编制。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jc w:val="left"/>
            </w:pPr>
            <w:r>
              <w:rPr>
                <w:rFonts w:ascii="仿宋_GB2312" w:hAnsi="仿宋_GB2312" w:cs="仿宋_GB2312" w:eastAsia="仿宋_GB2312"/>
                <w:sz w:val="24"/>
                <w:color w:val="000000"/>
              </w:rPr>
              <w:t>按照项目技术管理要求，形成《稻城县</w:t>
            </w:r>
            <w:r>
              <w:rPr>
                <w:rFonts w:ascii="仿宋_GB2312" w:hAnsi="仿宋_GB2312" w:cs="仿宋_GB2312" w:eastAsia="仿宋_GB2312"/>
                <w:sz w:val="24"/>
                <w:color w:val="000000"/>
              </w:rPr>
              <w:t>“美丽四川”先行试点培育县建设实施方案（2026-2030年）》，并通过主管部门专家组技术审查。成果方案以电子档和纸质版形式提交，电子档1份，纸质版5份。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color w:val="000000"/>
              </w:rPr>
              <w:t>供应商的报价是供应商响应采购项目要求的全部工作内容的价格体现，包括完成本项目所涉及人工劳务、差旅费、方案编制费、专家评审费、利润、风险、税金、招标代理服务等的一切费用。供应商只允许有一个报价，并且在合同履行过程中是固定不变的，任何有选择或可调整的报价将不予接受，并按无效响应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color w:val="000000"/>
              </w:rPr>
              <w:t>供应商结合项目提供项目</w:t>
            </w:r>
            <w:r>
              <w:rPr>
                <w:rFonts w:ascii="仿宋_GB2312" w:hAnsi="仿宋_GB2312" w:cs="仿宋_GB2312" w:eastAsia="仿宋_GB2312"/>
                <w:sz w:val="24"/>
                <w:color w:val="000000"/>
              </w:rPr>
              <w:t>理解与分析</w:t>
            </w:r>
            <w:r>
              <w:rPr>
                <w:rFonts w:ascii="仿宋_GB2312" w:hAnsi="仿宋_GB2312" w:cs="仿宋_GB2312" w:eastAsia="仿宋_GB2312"/>
                <w:sz w:val="24"/>
                <w:color w:val="000000"/>
              </w:rPr>
              <w:t>方案包括：①</w:t>
            </w:r>
            <w:r>
              <w:rPr>
                <w:rFonts w:ascii="仿宋_GB2312" w:hAnsi="仿宋_GB2312" w:cs="仿宋_GB2312" w:eastAsia="仿宋_GB2312"/>
                <w:sz w:val="24"/>
                <w:color w:val="000000"/>
              </w:rPr>
              <w:t>对稻城的</w:t>
            </w:r>
            <w:r>
              <w:rPr>
                <w:rFonts w:ascii="仿宋_GB2312" w:hAnsi="仿宋_GB2312" w:cs="仿宋_GB2312" w:eastAsia="仿宋_GB2312"/>
                <w:sz w:val="24"/>
                <w:color w:val="000000"/>
              </w:rPr>
              <w:t>背景</w:t>
            </w:r>
            <w:r>
              <w:rPr>
                <w:rFonts w:ascii="仿宋_GB2312" w:hAnsi="仿宋_GB2312" w:cs="仿宋_GB2312" w:eastAsia="仿宋_GB2312"/>
                <w:sz w:val="24"/>
                <w:color w:val="000000"/>
              </w:rPr>
              <w:t>了解</w:t>
            </w:r>
            <w:r>
              <w:rPr>
                <w:rFonts w:ascii="仿宋_GB2312" w:hAnsi="仿宋_GB2312" w:cs="仿宋_GB2312" w:eastAsia="仿宋_GB2312"/>
                <w:sz w:val="24"/>
                <w:color w:val="000000"/>
              </w:rPr>
              <w:t>、</w:t>
            </w:r>
            <w:r>
              <w:rPr>
                <w:rFonts w:ascii="仿宋_GB2312" w:hAnsi="仿宋_GB2312" w:cs="仿宋_GB2312" w:eastAsia="仿宋_GB2312"/>
                <w:sz w:val="24"/>
                <w:color w:val="000000"/>
              </w:rPr>
              <w:t>方案</w:t>
            </w:r>
            <w:r>
              <w:rPr>
                <w:rFonts w:ascii="仿宋_GB2312" w:hAnsi="仿宋_GB2312" w:cs="仿宋_GB2312" w:eastAsia="仿宋_GB2312"/>
                <w:sz w:val="24"/>
                <w:color w:val="000000"/>
              </w:rPr>
              <w:t>目标要求</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理解；②对稻城县</w:t>
            </w:r>
            <w:r>
              <w:rPr>
                <w:rFonts w:ascii="仿宋_GB2312" w:hAnsi="仿宋_GB2312" w:cs="仿宋_GB2312" w:eastAsia="仿宋_GB2312"/>
                <w:sz w:val="24"/>
                <w:color w:val="000000"/>
              </w:rPr>
              <w:t>环境及生态</w:t>
            </w:r>
            <w:r>
              <w:rPr>
                <w:rFonts w:ascii="仿宋_GB2312" w:hAnsi="仿宋_GB2312" w:cs="仿宋_GB2312" w:eastAsia="仿宋_GB2312"/>
                <w:sz w:val="24"/>
                <w:color w:val="000000"/>
              </w:rPr>
              <w:t>现状及痛点分析；③</w:t>
            </w:r>
            <w:r>
              <w:rPr>
                <w:rFonts w:ascii="仿宋_GB2312" w:hAnsi="仿宋_GB2312" w:cs="仿宋_GB2312" w:eastAsia="仿宋_GB2312"/>
                <w:sz w:val="24"/>
                <w:color w:val="000000"/>
              </w:rPr>
              <w:t>编制方案的重点难点分析；</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供应商结合项目提供项目总体技术方案包括：①项目开展总体思路；②项目开展技术路线；③</w:t>
            </w:r>
            <w:r>
              <w:rPr>
                <w:rFonts w:ascii="仿宋_GB2312" w:hAnsi="仿宋_GB2312" w:cs="仿宋_GB2312" w:eastAsia="仿宋_GB2312"/>
                <w:sz w:val="24"/>
                <w:color w:val="000000"/>
              </w:rPr>
              <w:t>项目资料的收集整理</w:t>
            </w:r>
            <w:r>
              <w:rPr>
                <w:rFonts w:ascii="仿宋_GB2312" w:hAnsi="仿宋_GB2312" w:cs="仿宋_GB2312" w:eastAsia="仿宋_GB2312"/>
                <w:sz w:val="24"/>
                <w:color w:val="000000"/>
              </w:rPr>
              <w:t>；④与相关部门的</w:t>
            </w:r>
            <w:r>
              <w:rPr>
                <w:rFonts w:ascii="仿宋_GB2312" w:hAnsi="仿宋_GB2312" w:cs="仿宋_GB2312" w:eastAsia="仿宋_GB2312"/>
                <w:sz w:val="24"/>
                <w:color w:val="000000"/>
              </w:rPr>
              <w:t>沟通</w:t>
            </w:r>
            <w:r>
              <w:rPr>
                <w:rFonts w:ascii="仿宋_GB2312" w:hAnsi="仿宋_GB2312" w:cs="仿宋_GB2312" w:eastAsia="仿宋_GB2312"/>
                <w:sz w:val="24"/>
                <w:color w:val="000000"/>
              </w:rPr>
              <w:t>协调方案；</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供应商结合项目提供项目质量及保障方案包括：① 服务团队</w:t>
            </w:r>
            <w:r>
              <w:rPr>
                <w:rFonts w:ascii="仿宋_GB2312" w:hAnsi="仿宋_GB2312" w:cs="仿宋_GB2312" w:eastAsia="仿宋_GB2312"/>
                <w:sz w:val="24"/>
                <w:color w:val="000000"/>
              </w:rPr>
              <w:t>人员及分工</w:t>
            </w:r>
            <w:r>
              <w:rPr>
                <w:rFonts w:ascii="仿宋_GB2312" w:hAnsi="仿宋_GB2312" w:cs="仿宋_GB2312" w:eastAsia="仿宋_GB2312"/>
                <w:sz w:val="24"/>
                <w:color w:val="000000"/>
              </w:rPr>
              <w:t>安排</w:t>
            </w:r>
            <w:r>
              <w:rPr>
                <w:rFonts w:ascii="仿宋_GB2312" w:hAnsi="仿宋_GB2312" w:cs="仿宋_GB2312" w:eastAsia="仿宋_GB2312"/>
                <w:sz w:val="24"/>
                <w:color w:val="000000"/>
              </w:rPr>
              <w:t>，②项目服务及进度质量目标；③</w:t>
            </w:r>
            <w:r>
              <w:rPr>
                <w:rFonts w:ascii="仿宋_GB2312" w:hAnsi="仿宋_GB2312" w:cs="仿宋_GB2312" w:eastAsia="仿宋_GB2312"/>
                <w:sz w:val="24"/>
                <w:color w:val="000000"/>
              </w:rPr>
              <w:t>服务质量保障；④</w:t>
            </w:r>
            <w:r>
              <w:rPr>
                <w:rFonts w:ascii="仿宋_GB2312" w:hAnsi="仿宋_GB2312" w:cs="仿宋_GB2312" w:eastAsia="仿宋_GB2312"/>
                <w:sz w:val="24"/>
                <w:color w:val="000000"/>
              </w:rPr>
              <w:t>风险应对</w:t>
            </w:r>
            <w:r>
              <w:rPr>
                <w:rFonts w:ascii="仿宋_GB2312" w:hAnsi="仿宋_GB2312" w:cs="仿宋_GB2312" w:eastAsia="仿宋_GB2312"/>
                <w:sz w:val="24"/>
                <w:color w:val="000000"/>
              </w:rPr>
              <w:t>措施；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根据供应商针对本项目提供的进度计划和保障措施进行评审，方案内容包括：①项目进度计划</w:t>
            </w:r>
            <w:r>
              <w:rPr>
                <w:rFonts w:ascii="仿宋_GB2312" w:hAnsi="仿宋_GB2312" w:cs="仿宋_GB2312" w:eastAsia="仿宋_GB2312"/>
                <w:sz w:val="24"/>
                <w:color w:val="000000"/>
              </w:rPr>
              <w:t>及</w:t>
            </w:r>
            <w:r>
              <w:rPr>
                <w:rFonts w:ascii="仿宋_GB2312" w:hAnsi="仿宋_GB2312" w:cs="仿宋_GB2312" w:eastAsia="仿宋_GB2312"/>
                <w:sz w:val="24"/>
                <w:color w:val="000000"/>
              </w:rPr>
              <w:t>项目完成时间表；②项目组织管理及关键工序控制；③项目进度保障措施；</w:t>
            </w:r>
          </w:p>
          <w:p>
            <w:pPr>
              <w:pStyle w:val="null3"/>
              <w:jc w:val="left"/>
            </w:pPr>
            <w:r>
              <w:rPr>
                <w:rFonts w:ascii="仿宋_GB2312" w:hAnsi="仿宋_GB2312" w:cs="仿宋_GB2312" w:eastAsia="仿宋_GB2312"/>
                <w:sz w:val="24"/>
              </w:rPr>
              <w:t>5、供应商为本项目配备相关人员、设施设备及具有相关业绩。</w:t>
            </w:r>
            <w:r>
              <w:br/>
            </w:r>
            <w:r>
              <w:rPr>
                <w:rFonts w:ascii="仿宋_GB2312" w:hAnsi="仿宋_GB2312" w:cs="仿宋_GB2312" w:eastAsia="仿宋_GB2312"/>
                <w:sz w:val="24"/>
              </w:rPr>
              <w:t xml:space="preserve"> 6、在项目采购阶段或项目执行阶段，如有新的标准 、规范，按照最新的标准、规范执行。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合同签订生效后90个日历天完成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稻城县，采购人指定地点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按照《财政部关于进-步加强政府采购需求和履约验收管理的指导意见》(财库(2016) 205号)以及主管部门的相关要求进行验收。由采购人组织履约验收小组，开展项目验收工作， 达到国家相关标准、行业标准、地方标准或者其他标准、规范要求为标准，按照本项目采购文件、供应商响应文件和双方签订的《采购合同》，对成交供应商履约情况进行验收，出具验收报告。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1、合同签订生效，供应商按采购人要求提供发票及相关支付凭证材料后，达到付款条件起10日内，支付合同总金额的40.00%</w:t>
            </w:r>
          </w:p>
          <w:p>
            <w:pPr>
              <w:pStyle w:val="null3"/>
              <w:jc w:val="left"/>
            </w:pPr>
            <w:r>
              <w:rPr>
                <w:rFonts w:ascii="仿宋_GB2312" w:hAnsi="仿宋_GB2312" w:cs="仿宋_GB2312" w:eastAsia="仿宋_GB2312"/>
              </w:rPr>
              <w:t>2、供应商提交项目成果文件并通过主管部门组织的专家评审，且经验收合格后；供应商按采购人要求提供发票及相关支付凭证材料后，达到付款条件起10日内，支付合同总金额的60.00%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供应商提供的服务不符合本合同规定的，每出现一次违约（合同涉及“日期”和“天数”的，每逾期一天，视为一次违约），供应商须向采购人支付本合同总价1%的违约金并且按采购人要求进行整改，出现违约3次以上或不按采购人要求整改的，采购人有权无条件解除本合同并要求供应商缴纳罚款。 1.2、供应商保证本合同的权利无瑕疵，包括服务成果所有权及知识产权等权利无瑕疵。如任何第三方经法院（或仲裁机构）裁决有权对上述产品主张权利，由供应商承担经济责任的，供应商除应向采购人返还已收款项及利息外，还应另按合同总价的10%向采购人支付违约金并赔偿因此给采购人造成的一切损失。 1.3、当事人一方不履行合同义务或者履行合同义务不符合约定，给对方造成损失的，损失赔偿额应当相当于因违约所造成的的一切损失，包括由此给对方造成的直接损失以及包括但不限于诉讼费、律师费、保全费等间接损失。但是损失赔偿金额以本合同总额为限。 2、争议管辖： 2.1、因服务的质量问题发生争议，由采购人或其指定的第三方机构进行质量鉴定。服务符合标准的，鉴定费由采购人承担；服务不符合质量标准的，鉴定费由供应商承担。 2.2、合同履行期间,若双方发生争议，可协商或由有关部门调解解决，协商或调解不成的，向所在地人民法院起诉。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项目推荐成交候选供应商按此执行：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总体技术方案，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优先选择少数民族地区的供应商。评审得分且最后报价且技术指标且提供的经评审认定有效的优先采购产品认证证书数量相同且均为少数民族地区供应商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“技术、服务及其他要求”中所有“3.2.技术要求”和“3.3.服务要求”，“3.3.2商务要求”除外</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1.供应商需在使⽤投标(响应)客⼾端编制响应⽂ 件时，按要求填写《投标（响应）函》完成承 诺并进⾏电⼦签章。2.提供以下材料，并加盖电⼦签章：①若供应商为企业法人的，提供具有统一社会信用代码的“营业执照”复印件，未换证的提供“营业执照、税务登记证、组织机构代码证”复印件；②若供应商为其他组织的，提供对应主管部门颁发的准许执业的证明文件或营业执照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实质性要求承诺函.docx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具体按照本项目磋商文件5.3.6相关内容执行。</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磋商小组依据本磋商文件的实质性要求，对符合资格的响应文件进行审查，以确定其是否满足本磋商文件的实质性要求。本项目的符合性审查事项必须以本磋商文件的明确规定的实质性要求为依据。供应商不满足本磋商文件的实质性要求的，磋商小组应当将其响应文件作为无效响应处理。</w:t>
            </w:r>
          </w:p>
        </w:tc>
        <w:tc>
          <w:tcPr>
            <w:tcW w:type="dxa" w:w="1661"/>
          </w:tcPr>
          <w:p>
            <w:pPr>
              <w:pStyle w:val="null3"/>
              <w:jc w:val="left"/>
            </w:pPr>
            <w:r>
              <w:rPr>
                <w:rFonts w:ascii="仿宋_GB2312" w:hAnsi="仿宋_GB2312" w:cs="仿宋_GB2312" w:eastAsia="仿宋_GB2312"/>
              </w:rPr>
              <w:t>技术、服务及其他要求应答表,商务应答表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总体技术方案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项目理解与分析</w:t>
            </w:r>
          </w:p>
        </w:tc>
        <w:tc>
          <w:tcPr>
            <w:tcW w:type="dxa" w:w="2575"/>
          </w:tcPr>
          <w:p>
            <w:pPr>
              <w:pStyle w:val="null3"/>
              <w:jc w:val="left"/>
            </w:pPr>
            <w:r>
              <w:rPr>
                <w:rFonts w:ascii="仿宋_GB2312" w:hAnsi="仿宋_GB2312" w:cs="仿宋_GB2312" w:eastAsia="仿宋_GB2312"/>
              </w:rPr>
              <w:t>根据供应商结合项目提供的项目理解与分析进行综合评审，方案包括：①对稻城的背景了解、方案目标要求的理解；②对稻城县环境及生态现状及痛点分析；③编制方案的重点难点分析。以上3项内容满足本项目需求的得18分；每缺少一项内容扣6分，每一项内容中每有一处内容有缺陷（缺陷是指：项目名称错误、地点区域错误、内容涉及的规范或标准（方法）错误、仅有框架或标题没有与本项目具体实施的方案内容、明显复制其他项目内容、套用其他项目方案与本项目实施无关等任意一种情形。）的扣3分，每项最多扣6分，扣完为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总体技术方案</w:t>
            </w:r>
          </w:p>
        </w:tc>
        <w:tc>
          <w:tcPr>
            <w:tcW w:type="dxa" w:w="2575"/>
          </w:tcPr>
          <w:p>
            <w:pPr>
              <w:pStyle w:val="null3"/>
              <w:jc w:val="left"/>
            </w:pPr>
            <w:r>
              <w:rPr>
                <w:rFonts w:ascii="仿宋_GB2312" w:hAnsi="仿宋_GB2312" w:cs="仿宋_GB2312" w:eastAsia="仿宋_GB2312"/>
              </w:rPr>
              <w:t>根据供应商结合项目提供的项目总体技术方案进行综合评审，方案包括：①项目开展总体思路；②项目开展技术路线；③项目资料的收集整理；④与相关部门的沟通协调方案。以上4项内容满足本项目需求的得20分；每缺少一项内容扣5分，每一项内容中每有一处内容有缺陷（缺陷是指：项目名称错误、地点区域错误、内容涉及的规范或标准（方法）错误、仅有框架或标题没有与本项目具体实施的方案内容、明显复制其他项目内容、套用其他项目方案与本项目实施无关等任意一种情形。）的扣2.5分，每项最多扣5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项目质量及保障方案</w:t>
            </w:r>
          </w:p>
        </w:tc>
        <w:tc>
          <w:tcPr>
            <w:tcW w:type="dxa" w:w="2575"/>
          </w:tcPr>
          <w:p>
            <w:pPr>
              <w:pStyle w:val="null3"/>
              <w:jc w:val="left"/>
            </w:pPr>
            <w:r>
              <w:rPr>
                <w:rFonts w:ascii="仿宋_GB2312" w:hAnsi="仿宋_GB2312" w:cs="仿宋_GB2312" w:eastAsia="仿宋_GB2312"/>
              </w:rPr>
              <w:t>根据供应商结合项目提供的项目质量及保障方案进行综合评审，方案包括：① 服务团队人员及分工安排，②项目服务及进度质量目标；③服务质量保障；④风险应对措施。以上4项内容满足本项目需求的得20分；每缺少一项内容扣5分，每一项内容中每有一处内容有缺陷（缺陷是指：项目名称错误、地点区域错误、内容涉及的规范或标准（方法）错误、仅有框架或标题没有与本项目具体实施的方案内容、明显复制其他项目内容、套用其他项目方案与本项目实施无关等任意一种情形。）的扣2.5分，每项最多扣5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进度计划和保障措施</w:t>
            </w:r>
          </w:p>
        </w:tc>
        <w:tc>
          <w:tcPr>
            <w:tcW w:type="dxa" w:w="2575"/>
          </w:tcPr>
          <w:p>
            <w:pPr>
              <w:pStyle w:val="null3"/>
              <w:jc w:val="left"/>
            </w:pPr>
            <w:r>
              <w:rPr>
                <w:rFonts w:ascii="仿宋_GB2312" w:hAnsi="仿宋_GB2312" w:cs="仿宋_GB2312" w:eastAsia="仿宋_GB2312"/>
              </w:rPr>
              <w:t>根据供应商针对本项目提供的进度计划和保障措施进行综合评审，方案包括：①项目进度计划及项目完成时间表；②项目组织管理及关键工序控制；③项目进度保障措施。以上3项内容满足本项目需求的得15分；每缺少一项内容扣5分，每一项内容中每有一处内容有缺陷（缺陷是指：项目名称错误、地点区域错误、内容涉及的规范或标准（方法）错误、仅有框架或标题没有与本项目具体实施的方案内容、明显复制其他项目内容、套用其他项目方案与本项目实施无关等任意一种情形。）的扣2.5分，每项最多扣5分，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1.项目负责人（1人）：具有环境类或环保类或生态类高级及以上技术职称的得6分，具有环境类或环保类或生态类中级技术职称的得3分；本项满分得6分。 2.项目组其他人员：具有环境类或环保类或生态类中级及以上技术职称的得3分；本项满分得3分。 注：①以上人员不重复计分；②提供以上人员相关证书复印件及人员在供应商处履职的证明材料并加盖供应商公章。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供应商2023年1月1日（含）起至今有类似项目业绩的，每提供1个得4分，本项最多得8分。 注：提供中标（成交）通知书复印件（扫描件）或合同扫复印件（扫描件）并加盖供应商公章，时间以签订合同时间或中标（成交）通知书落款时间为准。未提供不得分。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p>
            <w:pPr>
              <w:pStyle w:val="null3"/>
              <w:jc w:val="left"/>
            </w:pPr>
            <w:r>
              <w:rPr>
                <w:rFonts w:ascii="仿宋_GB2312" w:hAnsi="仿宋_GB2312" w:cs="仿宋_GB2312" w:eastAsia="仿宋_GB2312"/>
              </w:rPr>
              <w:t>供应商认为需要提交的资料（格式自拟）</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详见附件：供应商认为需要提交的资料（格式自拟）</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详见附件：实质性要求承诺函.docx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