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版本号：N511424202600003020260513001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丹棱县2025年度补充耕地质量验收工作项目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N5114242026000030</w:t>
      </w:r>
    </w:p>
    <w:p>
      <w:pPr>
        <w:pStyle w:val="null3"/>
        <w:jc w:val="left"/>
        <w:outlineLvl w:val="2"/>
      </w:pPr>
      <w:r>
        <w:rPr>
          <w:rFonts w:ascii="仿宋_GB2312" w:hAnsi="仿宋_GB2312" w:cs="仿宋_GB2312" w:eastAsia="仿宋_GB2312"/>
          <w:sz w:val="28"/>
          <w:b/>
        </w:rPr>
        <w:t>丹棱县农业农村局</w:t>
      </w:r>
    </w:p>
    <w:p>
      <w:pPr>
        <w:pStyle w:val="null3"/>
        <w:jc w:val="center"/>
        <w:outlineLvl w:val="2"/>
      </w:pPr>
      <w:r>
        <w:rPr>
          <w:rFonts w:ascii="仿宋_GB2312" w:hAnsi="仿宋_GB2312" w:cs="仿宋_GB2312" w:eastAsia="仿宋_GB2312"/>
          <w:sz w:val="28"/>
          <w:b/>
        </w:rPr>
        <w:t>四川远港工程咨询服务有限公司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四川远港工程咨询服务有限公司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丹棱县农业农村局</w:t>
      </w:r>
      <w:r>
        <w:rPr>
          <w:rFonts w:ascii="仿宋_GB2312" w:hAnsi="仿宋_GB2312" w:cs="仿宋_GB2312" w:eastAsia="仿宋_GB2312"/>
        </w:rPr>
        <w:t xml:space="preserve"> 委托，拟对 </w:t>
      </w:r>
      <w:r>
        <w:rPr>
          <w:rFonts w:ascii="仿宋_GB2312" w:hAnsi="仿宋_GB2312" w:cs="仿宋_GB2312" w:eastAsia="仿宋_GB2312"/>
        </w:rPr>
        <w:t>丹棱县2025年度补充耕地质量验收工作项目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眉山市丹棱县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N5114242026000030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丹棱县2025年度补充耕地质量验收工作项目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对我县2025年度补充耕地面积共计 2292.36 亩开展农业生产符合性评价和耕地质量等级评价等内容。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1、需具备行政主管部门颁发的有效的检验检测机构资质认定证书（CMA）（资质能力覆盖：土壤）；（描述：需具备行政主管部门颁发的有效的检验检测机构资质认定证书（CMA）（资质能力覆盖：土壤）；）</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丹棱县农业农村局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丹棱县齐乐镇新村路99号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028-37209139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四川远港工程咨询服务有限公司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眉山市东坡区诗书路北一段69号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028-38188232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采购包1：690,000.00元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代理服务费收费标准：2168元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丹棱县农业农村局</w:t>
      </w:r>
      <w:r>
        <w:rPr>
          <w:rFonts w:ascii="仿宋_GB2312" w:hAnsi="仿宋_GB2312" w:cs="仿宋_GB2312" w:eastAsia="仿宋_GB2312"/>
        </w:rPr>
        <w:t xml:space="preserve"> 和 </w:t>
      </w:r>
      <w:r>
        <w:rPr>
          <w:rFonts w:ascii="仿宋_GB2312" w:hAnsi="仿宋_GB2312" w:cs="仿宋_GB2312" w:eastAsia="仿宋_GB2312"/>
        </w:rPr>
        <w:t>四川远港工程咨询服务有限公司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丹棱县农业农村局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四川远港工程咨询服务有限公司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所有服务内容完成后，供应商提出验收申请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（1）本项目采购人将严格按照政府采购相关法律法规以及 《财政部关于进一步加强政府采购需求和履约验收管理的指导意见》（财库〔2016〕205 号）的要求进行验收。 （2） 验收结果不合格的，不予支付采购资金，还可能会报本项目同级财政部门按照政府采购法律法规给予行政处罚。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四川远港工程咨询服务有限公司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四川远港工程咨询服务有限公司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四川远港工程咨询服务有限公司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联系人：雷老师</w:t>
      </w:r>
    </w:p>
    <w:p>
      <w:pPr>
        <w:pStyle w:val="null3"/>
        <w:jc w:val="left"/>
      </w:pPr>
      <w:r>
        <w:rPr>
          <w:rFonts w:ascii="仿宋_GB2312" w:hAnsi="仿宋_GB2312" w:cs="仿宋_GB2312" w:eastAsia="仿宋_GB2312"/>
        </w:rPr>
        <w:t>联系电话：028-38188232</w:t>
      </w:r>
    </w:p>
    <w:p>
      <w:pPr>
        <w:pStyle w:val="null3"/>
        <w:jc w:val="left"/>
      </w:pPr>
      <w:r>
        <w:rPr>
          <w:rFonts w:ascii="仿宋_GB2312" w:hAnsi="仿宋_GB2312" w:cs="仿宋_GB2312" w:eastAsia="仿宋_GB2312"/>
        </w:rPr>
        <w:t>地址：眉山市东坡区诗书路北一段69号</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690,000.00</w:t>
      </w:r>
    </w:p>
    <w:p>
      <w:pPr>
        <w:pStyle w:val="null3"/>
        <w:jc w:val="left"/>
      </w:pPr>
      <w:r>
        <w:rPr>
          <w:rFonts w:ascii="仿宋_GB2312" w:hAnsi="仿宋_GB2312" w:cs="仿宋_GB2312" w:eastAsia="仿宋_GB2312"/>
        </w:rPr>
        <w:t>采购包最高限价（元）: 690,000.00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C07029900 其他生态环境治理服务</w:t>
            </w:r>
          </w:p>
        </w:tc>
        <w:tc>
          <w:tcPr>
            <w:tcW w:type="dxa" w:w="821"/>
          </w:tcPr>
          <w:p>
            <w:pPr>
              <w:pStyle w:val="null3"/>
              <w:jc w:val="left"/>
            </w:pPr>
            <w:r>
              <w:rPr>
                <w:rFonts w:ascii="仿宋_GB2312" w:hAnsi="仿宋_GB2312" w:cs="仿宋_GB2312" w:eastAsia="仿宋_GB2312"/>
              </w:rPr>
              <w:t>丹棱县2025年度补充耕地质量验收工作项目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690,000.00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丹棱县2025年度补充耕地质量验收工作项目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标的名称：丹棱县2025年度补充耕地质量验收工作项目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工作内容</w:t>
            </w:r>
          </w:p>
        </w:tc>
        <w:tc>
          <w:tcPr>
            <w:tcW w:type="dxa" w:w="5814"/>
          </w:tcPr>
          <w:p>
            <w:pPr>
              <w:pStyle w:val="null3"/>
              <w:jc w:val="left"/>
            </w:pPr>
            <w:r>
              <w:rPr>
                <w:rFonts w:ascii="仿宋_GB2312" w:hAnsi="仿宋_GB2312" w:cs="仿宋_GB2312" w:eastAsia="仿宋_GB2312"/>
                <w:color w:val="0000FF"/>
              </w:rPr>
              <w:t xml:space="preserve">     一、项目概述</w:t>
            </w:r>
          </w:p>
          <w:p>
            <w:pPr>
              <w:pStyle w:val="null3"/>
              <w:ind w:firstLine="400"/>
              <w:jc w:val="left"/>
            </w:pPr>
            <w:r>
              <w:rPr>
                <w:rFonts w:ascii="仿宋_GB2312" w:hAnsi="仿宋_GB2312" w:cs="仿宋_GB2312" w:eastAsia="仿宋_GB2312"/>
                <w:color w:val="0000FF"/>
              </w:rPr>
              <w:t>按照农业农村部、自然资源部关于印发</w:t>
            </w:r>
            <w:r>
              <w:rPr>
                <w:rFonts w:ascii="仿宋_GB2312" w:hAnsi="仿宋_GB2312" w:cs="仿宋_GB2312" w:eastAsia="仿宋_GB2312"/>
                <w:color w:val="0000FF"/>
              </w:rPr>
              <w:t>&lt;&lt;补充耕地质量验收办法(试行)&gt;&gt;的通知(农建发(2025)5号)，四川省农业农村厅、四川省自然资源厅《关于做好补充耕地质量验收准备工作的通知&gt;&gt;(川农函(2025)257号)要求，为落实耕地保护政策、保障县域耕地占补平衡，丹棱县农业农村局拟开展</w:t>
            </w:r>
            <w:r>
              <w:rPr>
                <w:rFonts w:ascii="仿宋_GB2312" w:hAnsi="仿宋_GB2312" w:cs="仿宋_GB2312" w:eastAsia="仿宋_GB2312"/>
                <w:color w:val="0000FF"/>
              </w:rPr>
              <w:t>丹棱县</w:t>
            </w:r>
            <w:r>
              <w:rPr>
                <w:rFonts w:ascii="仿宋_GB2312" w:hAnsi="仿宋_GB2312" w:cs="仿宋_GB2312" w:eastAsia="仿宋_GB2312"/>
                <w:color w:val="0000FF"/>
              </w:rPr>
              <w:t>2025年度补充耕地质量验收工作项目</w:t>
            </w:r>
            <w:r>
              <w:rPr>
                <w:rFonts w:ascii="仿宋_GB2312" w:hAnsi="仿宋_GB2312" w:cs="仿宋_GB2312" w:eastAsia="仿宋_GB2312"/>
                <w:color w:val="0000FF"/>
              </w:rPr>
              <w:t>采购工作</w:t>
            </w:r>
            <w:r>
              <w:rPr>
                <w:rFonts w:ascii="仿宋_GB2312" w:hAnsi="仿宋_GB2312" w:cs="仿宋_GB2312" w:eastAsia="仿宋_GB2312"/>
                <w:color w:val="0000FF"/>
              </w:rPr>
              <w:t>。</w:t>
            </w:r>
          </w:p>
          <w:p>
            <w:pPr>
              <w:pStyle w:val="null3"/>
              <w:ind w:firstLine="400"/>
              <w:jc w:val="left"/>
            </w:pPr>
            <w:r>
              <w:rPr>
                <w:rFonts w:ascii="仿宋_GB2312" w:hAnsi="仿宋_GB2312" w:cs="仿宋_GB2312" w:eastAsia="仿宋_GB2312"/>
                <w:color w:val="0000FF"/>
              </w:rPr>
              <w:t>二、实施内容</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1）资料审查</w:t>
            </w:r>
          </w:p>
          <w:p>
            <w:pPr>
              <w:pStyle w:val="null3"/>
              <w:jc w:val="left"/>
            </w:pPr>
            <w:r>
              <w:rPr>
                <w:rFonts w:ascii="仿宋_GB2312" w:hAnsi="仿宋_GB2312" w:cs="仿宋_GB2312" w:eastAsia="仿宋_GB2312"/>
                <w:color w:val="0000FF"/>
              </w:rPr>
              <w:t>对照资料清单，审查县规划和自然资源局移交资料的完整性、规范性，补充耕地基本情况信息，包括但不限于补充耕地分布、面积、位置坐标等地块</w:t>
            </w:r>
            <w:r>
              <w:rPr>
                <w:rFonts w:ascii="仿宋_GB2312" w:hAnsi="仿宋_GB2312" w:cs="仿宋_GB2312" w:eastAsia="仿宋_GB2312"/>
                <w:color w:val="0000FF"/>
              </w:rPr>
              <w:t>(图斑)数据信息和地类变更前的土地具体用途信息。</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2）划定评价单元</w:t>
            </w:r>
          </w:p>
          <w:p>
            <w:pPr>
              <w:pStyle w:val="null3"/>
              <w:jc w:val="left"/>
            </w:pPr>
            <w:r>
              <w:rPr>
                <w:rFonts w:ascii="仿宋_GB2312" w:hAnsi="仿宋_GB2312" w:cs="仿宋_GB2312" w:eastAsia="仿宋_GB2312"/>
                <w:color w:val="0000FF"/>
              </w:rPr>
              <w:t>综合考虑补充耕地类型、地形地貌、土壤类型、土地利用现状分类、管理水平、行政区划和田间基础设施等因素，合理划定评价单元。</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3）现场踏勘、采样</w:t>
            </w:r>
          </w:p>
          <w:p>
            <w:pPr>
              <w:pStyle w:val="null3"/>
              <w:jc w:val="left"/>
            </w:pPr>
            <w:r>
              <w:rPr>
                <w:rFonts w:ascii="仿宋_GB2312" w:hAnsi="仿宋_GB2312" w:cs="仿宋_GB2312" w:eastAsia="仿宋_GB2312"/>
                <w:color w:val="0000FF"/>
              </w:rPr>
              <w:t>根据图斑分布和评价单元设置情况进行土壤混样点、容重样品采集；组织专家和采样队伍开展农业生产符合性评价和耕地质量等级评价现场踏勘并填写实地踏勘表、土壤混合样品采集记录表，提供有</w:t>
            </w:r>
            <w:r>
              <w:rPr>
                <w:rFonts w:ascii="仿宋_GB2312" w:hAnsi="仿宋_GB2312" w:cs="仿宋_GB2312" w:eastAsia="仿宋_GB2312"/>
                <w:color w:val="0000FF"/>
              </w:rPr>
              <w:t>CMA等资质检验检测机构出具的土壤样品检测报告、补充耕地地理位置图、采样点位图、相关举证照片等，具体实施要求如下：</w:t>
            </w:r>
          </w:p>
          <w:p>
            <w:pPr>
              <w:pStyle w:val="null3"/>
              <w:jc w:val="left"/>
            </w:pPr>
            <w:r>
              <w:rPr>
                <w:rFonts w:ascii="仿宋_GB2312" w:hAnsi="仿宋_GB2312" w:cs="仿宋_GB2312" w:eastAsia="仿宋_GB2312"/>
                <w:color w:val="0000FF"/>
              </w:rPr>
              <w:t>①地形坡度:踏勘前先从坡度图或精度不低于12.5m的数字高程模型(DEM)套合补充耕地图斑获取，实地踏勘时按照补充耕地图斑地块所处地形部位的整体坡度进行核实。</w:t>
            </w:r>
          </w:p>
          <w:p>
            <w:pPr>
              <w:pStyle w:val="null3"/>
              <w:jc w:val="left"/>
            </w:pPr>
            <w:r>
              <w:rPr>
                <w:rFonts w:ascii="仿宋_GB2312" w:hAnsi="仿宋_GB2312" w:cs="仿宋_GB2312" w:eastAsia="仿宋_GB2312"/>
                <w:color w:val="0000FF"/>
              </w:rPr>
              <w:t>②田面平整程度:实地踏勘时，测量补充耕地图斑地块的田面高差和田块横、纵向坡度，并根据土壤条件和灌溉方式，综合判断田面平整程度是否满足农业生产所需，分为平整、基本平整和不平整。</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4）样品检测</w:t>
            </w:r>
          </w:p>
          <w:p>
            <w:pPr>
              <w:pStyle w:val="null3"/>
              <w:jc w:val="left"/>
            </w:pPr>
            <w:r>
              <w:rPr>
                <w:rFonts w:ascii="仿宋_GB2312" w:hAnsi="仿宋_GB2312" w:cs="仿宋_GB2312" w:eastAsia="仿宋_GB2312"/>
                <w:color w:val="0000FF"/>
              </w:rPr>
              <w:t>三方服务机构对采集样品的容重、有机质、</w:t>
            </w:r>
            <w:r>
              <w:rPr>
                <w:rFonts w:ascii="仿宋_GB2312" w:hAnsi="仿宋_GB2312" w:cs="仿宋_GB2312" w:eastAsia="仿宋_GB2312"/>
                <w:color w:val="0000FF"/>
              </w:rPr>
              <w:t>pH等14项指标进行检测化验。</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5）农业生产符合性评价</w:t>
            </w:r>
          </w:p>
          <w:p>
            <w:pPr>
              <w:pStyle w:val="null3"/>
              <w:jc w:val="left"/>
            </w:pPr>
            <w:r>
              <w:rPr>
                <w:rFonts w:ascii="仿宋_GB2312" w:hAnsi="仿宋_GB2312" w:cs="仿宋_GB2312" w:eastAsia="仿宋_GB2312"/>
                <w:color w:val="0000FF"/>
              </w:rPr>
              <w:t>根据踏勘信息和检测数据对所有补充恢复图斑进行农业生产符合性评价，出具评价报告、结果。</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6）耕地质量等级评价</w:t>
            </w:r>
          </w:p>
          <w:p>
            <w:pPr>
              <w:pStyle w:val="null3"/>
              <w:jc w:val="left"/>
            </w:pPr>
            <w:r>
              <w:rPr>
                <w:rFonts w:ascii="仿宋_GB2312" w:hAnsi="仿宋_GB2312" w:cs="仿宋_GB2312" w:eastAsia="仿宋_GB2312"/>
                <w:color w:val="0000FF"/>
              </w:rPr>
              <w:t>根据踏勘信息和检测数据对通过农业生产符合性评价的补充恢复图斑进行耕地质量等级评价，出具评价报告、结果。</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7）鉴定意见与质量核算</w:t>
            </w:r>
          </w:p>
          <w:p>
            <w:pPr>
              <w:pStyle w:val="null3"/>
              <w:jc w:val="left"/>
            </w:pPr>
            <w:r>
              <w:rPr>
                <w:rFonts w:ascii="仿宋_GB2312" w:hAnsi="仿宋_GB2312" w:cs="仿宋_GB2312" w:eastAsia="仿宋_GB2312"/>
                <w:color w:val="0000FF"/>
              </w:rPr>
              <w:t>汇总农业生产符合性评价和耕地质量等级评价结果，撰写补充耕地初步鉴定意见</w:t>
            </w:r>
            <w:r>
              <w:rPr>
                <w:rFonts w:ascii="仿宋_GB2312" w:hAnsi="仿宋_GB2312" w:cs="仿宋_GB2312" w:eastAsia="仿宋_GB2312"/>
                <w:color w:val="0000FF"/>
              </w:rPr>
              <w:t>;依据耕地质量等级数据库分别核算上一年度各类占用耕地、非农建设占用耕地质量平均等级，依据补充耕地质量鉴定意见核算各类补充耕地质量平均等级。对未达到要求的耕地编制配肥方案。</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8）上级验收入库</w:t>
            </w:r>
          </w:p>
          <w:p>
            <w:pPr>
              <w:pStyle w:val="null3"/>
              <w:jc w:val="left"/>
            </w:pPr>
            <w:r>
              <w:rPr>
                <w:rFonts w:ascii="仿宋_GB2312" w:hAnsi="仿宋_GB2312" w:cs="仿宋_GB2312" w:eastAsia="仿宋_GB2312"/>
                <w:color w:val="0000FF"/>
              </w:rPr>
              <w:t xml:space="preserve">  </w:t>
            </w:r>
            <w:r>
              <w:rPr>
                <w:rFonts w:ascii="仿宋_GB2312" w:hAnsi="仿宋_GB2312" w:cs="仿宋_GB2312" w:eastAsia="仿宋_GB2312"/>
                <w:color w:val="0000FF"/>
              </w:rPr>
              <w:t>县农业农村局汇总补充耕地初步鉴定意见和县级质量审核结果报上级主管部门审核、复核</w:t>
            </w:r>
            <w:r>
              <w:rPr>
                <w:rFonts w:ascii="仿宋_GB2312" w:hAnsi="仿宋_GB2312" w:cs="仿宋_GB2312" w:eastAsia="仿宋_GB2312"/>
                <w:color w:val="0000FF"/>
              </w:rPr>
              <w:t>;对通过农业生产符合性评价和耕地质量等级评价(补充耕地质量等级≥上一年度县域内非农建设占用耕地质量平均等级)的补充恢复耕地，由县规划和自然资源局会同县农业农村局申报，经市级、省级自然资源与农业农村主管部门逐级审核复核后，纳入非农建设补充耕地储备库并形成补充耕地指标。</w:t>
            </w:r>
          </w:p>
          <w:p>
            <w:pPr>
              <w:pStyle w:val="null3"/>
              <w:jc w:val="left"/>
            </w:pPr>
            <w:r>
              <w:rPr>
                <w:rFonts w:ascii="仿宋_GB2312" w:hAnsi="仿宋_GB2312" w:cs="仿宋_GB2312" w:eastAsia="仿宋_GB2312"/>
                <w:color w:val="0000FF"/>
              </w:rPr>
              <w:t xml:space="preserve">     三、</w:t>
            </w:r>
            <w:r>
              <w:rPr>
                <w:rFonts w:ascii="仿宋_GB2312" w:hAnsi="仿宋_GB2312" w:cs="仿宋_GB2312" w:eastAsia="仿宋_GB2312"/>
                <w:color w:val="0000FF"/>
              </w:rPr>
              <w:t>工作要求</w:t>
            </w:r>
          </w:p>
          <w:p>
            <w:pPr>
              <w:pStyle w:val="null3"/>
              <w:jc w:val="left"/>
            </w:pPr>
            <w:r>
              <w:rPr>
                <w:rFonts w:ascii="仿宋_GB2312" w:hAnsi="仿宋_GB2312" w:cs="仿宋_GB2312" w:eastAsia="仿宋_GB2312"/>
                <w:color w:val="0000FF"/>
              </w:rPr>
              <w:t>（1）</w:t>
            </w:r>
            <w:r>
              <w:rPr>
                <w:rFonts w:ascii="仿宋_GB2312" w:hAnsi="仿宋_GB2312" w:cs="仿宋_GB2312" w:eastAsia="仿宋_GB2312"/>
                <w:color w:val="0000FF"/>
              </w:rPr>
              <w:t>技术规范</w:t>
            </w:r>
          </w:p>
          <w:p>
            <w:pPr>
              <w:pStyle w:val="null3"/>
              <w:jc w:val="left"/>
            </w:pPr>
            <w:r>
              <w:rPr>
                <w:rFonts w:ascii="仿宋_GB2312" w:hAnsi="仿宋_GB2312" w:cs="仿宋_GB2312" w:eastAsia="仿宋_GB2312"/>
                <w:color w:val="0000FF"/>
              </w:rPr>
              <w:t>1.&lt;&lt;补充耕地质量验收办法(试行)&gt;&gt;的通知(农建发(2025)5号)</w:t>
            </w:r>
          </w:p>
          <w:p>
            <w:pPr>
              <w:pStyle w:val="null3"/>
              <w:jc w:val="left"/>
            </w:pPr>
            <w:r>
              <w:rPr>
                <w:rFonts w:ascii="仿宋_GB2312" w:hAnsi="仿宋_GB2312" w:cs="仿宋_GB2312" w:eastAsia="仿宋_GB2312"/>
                <w:color w:val="0000FF"/>
              </w:rPr>
              <w:t>2.四川省农业农村厅四川省自然资源厅关于做好补充耕地质量验收准备工作的通知&gt;&gt;(川农函(2025)257号)及国家。</w:t>
            </w:r>
          </w:p>
          <w:p>
            <w:pPr>
              <w:pStyle w:val="null3"/>
              <w:jc w:val="left"/>
            </w:pPr>
            <w:r>
              <w:rPr>
                <w:rFonts w:ascii="仿宋_GB2312" w:hAnsi="仿宋_GB2312" w:cs="仿宋_GB2312" w:eastAsia="仿宋_GB2312"/>
                <w:color w:val="0000FF"/>
              </w:rPr>
              <w:t>3.四川省&lt;&lt;补充耕地质量鉴定技术规范&gt;&gt;。</w:t>
            </w:r>
          </w:p>
          <w:p>
            <w:pPr>
              <w:pStyle w:val="null3"/>
              <w:jc w:val="left"/>
            </w:pPr>
            <w:r>
              <w:rPr>
                <w:rFonts w:ascii="仿宋_GB2312" w:hAnsi="仿宋_GB2312" w:cs="仿宋_GB2312" w:eastAsia="仿宋_GB2312"/>
                <w:color w:val="0000FF"/>
              </w:rPr>
              <w:t>4.GB 15618-2018 《土壤环境质量 农用地土壤污染风险管控标准（试行）》</w:t>
            </w:r>
          </w:p>
          <w:p>
            <w:pPr>
              <w:pStyle w:val="null3"/>
              <w:jc w:val="left"/>
            </w:pPr>
            <w:r>
              <w:rPr>
                <w:rFonts w:ascii="仿宋_GB2312" w:hAnsi="仿宋_GB2312" w:cs="仿宋_GB2312" w:eastAsia="仿宋_GB2312"/>
                <w:color w:val="0000FF"/>
              </w:rPr>
              <w:t>5.GB/T 21010-2017 土地利用现状分类</w:t>
            </w:r>
          </w:p>
          <w:p>
            <w:pPr>
              <w:pStyle w:val="null3"/>
              <w:jc w:val="left"/>
            </w:pPr>
            <w:r>
              <w:rPr>
                <w:rFonts w:ascii="仿宋_GB2312" w:hAnsi="仿宋_GB2312" w:cs="仿宋_GB2312" w:eastAsia="仿宋_GB2312"/>
                <w:color w:val="0000FF"/>
              </w:rPr>
              <w:t>6.GB/T 30600-2022 高标准农田建设通则</w:t>
            </w:r>
          </w:p>
          <w:p>
            <w:pPr>
              <w:pStyle w:val="null3"/>
              <w:jc w:val="left"/>
            </w:pPr>
            <w:r>
              <w:rPr>
                <w:rFonts w:ascii="仿宋_GB2312" w:hAnsi="仿宋_GB2312" w:cs="仿宋_GB2312" w:eastAsia="仿宋_GB2312"/>
                <w:color w:val="0000FF"/>
              </w:rPr>
              <w:t>7.GB/T 33130-2024 高标准农田建设评价规范</w:t>
            </w:r>
          </w:p>
          <w:p>
            <w:pPr>
              <w:pStyle w:val="null3"/>
              <w:jc w:val="left"/>
            </w:pPr>
            <w:r>
              <w:rPr>
                <w:rFonts w:ascii="仿宋_GB2312" w:hAnsi="仿宋_GB2312" w:cs="仿宋_GB2312" w:eastAsia="仿宋_GB2312"/>
                <w:color w:val="0000FF"/>
              </w:rPr>
              <w:t>8.GB/T 33469-2016 耕地质量等级</w:t>
            </w:r>
          </w:p>
          <w:p>
            <w:pPr>
              <w:pStyle w:val="null3"/>
              <w:jc w:val="left"/>
            </w:pPr>
            <w:r>
              <w:rPr>
                <w:rFonts w:ascii="仿宋_GB2312" w:hAnsi="仿宋_GB2312" w:cs="仿宋_GB2312" w:eastAsia="仿宋_GB2312"/>
                <w:color w:val="0000FF"/>
              </w:rPr>
              <w:t>9.GB 50288-2018 灌溉与排水工程设计标准</w:t>
            </w:r>
          </w:p>
          <w:p>
            <w:pPr>
              <w:pStyle w:val="null3"/>
              <w:jc w:val="left"/>
            </w:pPr>
            <w:r>
              <w:rPr>
                <w:rFonts w:ascii="仿宋_GB2312" w:hAnsi="仿宋_GB2312" w:cs="仿宋_GB2312" w:eastAsia="仿宋_GB2312"/>
                <w:color w:val="0000FF"/>
              </w:rPr>
              <w:t>10.HJ/T 166-2004 土壤环境检测技术规范</w:t>
            </w:r>
          </w:p>
          <w:p>
            <w:pPr>
              <w:pStyle w:val="null3"/>
              <w:jc w:val="left"/>
            </w:pPr>
            <w:r>
              <w:rPr>
                <w:rFonts w:ascii="仿宋_GB2312" w:hAnsi="仿宋_GB2312" w:cs="仿宋_GB2312" w:eastAsia="仿宋_GB2312"/>
                <w:color w:val="0000FF"/>
              </w:rPr>
              <w:t>11.HJ 192-2015 生态环境状况评价技术规范</w:t>
            </w:r>
          </w:p>
          <w:p>
            <w:pPr>
              <w:pStyle w:val="null3"/>
              <w:jc w:val="left"/>
            </w:pPr>
            <w:r>
              <w:rPr>
                <w:rFonts w:ascii="仿宋_GB2312" w:hAnsi="仿宋_GB2312" w:cs="仿宋_GB2312" w:eastAsia="仿宋_GB2312"/>
                <w:color w:val="0000FF"/>
              </w:rPr>
              <w:t>12.TD/T 1007-2003 耕地后备资源调查与评价技术规程</w:t>
            </w:r>
          </w:p>
          <w:p>
            <w:pPr>
              <w:pStyle w:val="null3"/>
              <w:jc w:val="left"/>
            </w:pPr>
            <w:r>
              <w:rPr>
                <w:rFonts w:ascii="仿宋_GB2312" w:hAnsi="仿宋_GB2312" w:cs="仿宋_GB2312" w:eastAsia="仿宋_GB2312"/>
                <w:color w:val="0000FF"/>
              </w:rPr>
              <w:t>13.TD/T 1036-2013 土地复垦质量控制标准</w:t>
            </w:r>
          </w:p>
          <w:p>
            <w:pPr>
              <w:pStyle w:val="null3"/>
              <w:jc w:val="left"/>
            </w:pPr>
            <w:r>
              <w:rPr>
                <w:rFonts w:ascii="仿宋_GB2312" w:hAnsi="仿宋_GB2312" w:cs="仿宋_GB2312" w:eastAsia="仿宋_GB2312"/>
                <w:color w:val="0000FF"/>
              </w:rPr>
              <w:t>14.TD/T 1055-2019 第三次全国国土调查技术规程</w:t>
            </w:r>
          </w:p>
          <w:p>
            <w:pPr>
              <w:pStyle w:val="null3"/>
              <w:jc w:val="left"/>
            </w:pPr>
            <w:r>
              <w:rPr>
                <w:rFonts w:ascii="仿宋_GB2312" w:hAnsi="仿宋_GB2312" w:cs="仿宋_GB2312" w:eastAsia="仿宋_GB2312"/>
                <w:color w:val="0000FF"/>
              </w:rPr>
              <w:t>注：本项目所引用的规范</w:t>
            </w:r>
            <w:r>
              <w:rPr>
                <w:rFonts w:ascii="仿宋_GB2312" w:hAnsi="仿宋_GB2312" w:cs="仿宋_GB2312" w:eastAsia="仿宋_GB2312"/>
                <w:color w:val="0000FF"/>
              </w:rPr>
              <w:t>/标准/文件，如有最新版本，从其规定执行。</w:t>
            </w:r>
          </w:p>
          <w:p>
            <w:pPr>
              <w:pStyle w:val="null3"/>
              <w:jc w:val="left"/>
            </w:pPr>
            <w:r>
              <w:rPr>
                <w:rFonts w:ascii="仿宋_GB2312" w:hAnsi="仿宋_GB2312" w:cs="仿宋_GB2312" w:eastAsia="仿宋_GB2312"/>
                <w:color w:val="0000FF"/>
              </w:rPr>
              <w:t>（</w:t>
            </w:r>
            <w:r>
              <w:rPr>
                <w:rFonts w:ascii="仿宋_GB2312" w:hAnsi="仿宋_GB2312" w:cs="仿宋_GB2312" w:eastAsia="仿宋_GB2312"/>
                <w:color w:val="0000FF"/>
              </w:rPr>
              <w:t>2）鉴定工作结束后，应及时收集、汇总评审材料。向采购人提交全县耕地质量等级变更数据、全县耕地质量核算报告、全县耕地质量等级评价内业、外业审查工作报告、样品抽检报告、质控报告等。</w:t>
            </w:r>
          </w:p>
          <w:p>
            <w:pPr>
              <w:pStyle w:val="null3"/>
              <w:jc w:val="left"/>
            </w:pPr>
            <w:r>
              <w:rPr>
                <w:rFonts w:ascii="仿宋_GB2312" w:hAnsi="仿宋_GB2312" w:cs="仿宋_GB2312" w:eastAsia="仿宋_GB2312"/>
                <w:color w:val="0000FF"/>
              </w:rPr>
              <w:t xml:space="preserve"> </w:t>
            </w:r>
            <w:r>
              <w:rPr>
                <w:rFonts w:ascii="仿宋_GB2312" w:hAnsi="仿宋_GB2312" w:cs="仿宋_GB2312" w:eastAsia="仿宋_GB2312"/>
                <w:color w:val="0000FF"/>
              </w:rPr>
              <w:t>（</w:t>
            </w:r>
            <w:r>
              <w:rPr>
                <w:rFonts w:ascii="仿宋_GB2312" w:hAnsi="仿宋_GB2312" w:cs="仿宋_GB2312" w:eastAsia="仿宋_GB2312"/>
                <w:color w:val="0000FF"/>
              </w:rPr>
              <w:t>3）严格执行国家信息安全制度，实行数据加密传输和数据使用权限管理等，建立补充耕地质量验收工作保密责任制。参与调查、测试与数据汇总等各环节的人员，不得以任何方式对外澄露本项目的相关内容，并将涉及该项目的所有文字材料、音频、视频、手稿、草稿等在项目结束后交给采购人，如果违反保密协议规定，将承担法律责任。</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w:t>
            </w:r>
            <w:r>
              <w:rPr>
                <w:rFonts w:ascii="仿宋_GB2312" w:hAnsi="仿宋_GB2312" w:cs="仿宋_GB2312" w:eastAsia="仿宋_GB2312"/>
                <w:sz w:val="21"/>
                <w:color w:val="0000FF"/>
              </w:rPr>
              <w:t>4）采购人享有本项目成果的全部知识产权,本次汇总成果所有权和使用权均属于采购人，未经采购人许可不得转让任何第三人，否则承担由此产生的一切法律和经济责任。采购人使用成交供应商提供的项目成果对第三方构成侵权的。应当由成交供承担全部法律责任，给采购人造成损害的，成交供应商应当承担赔偿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color w:val="0000FF"/>
              </w:rPr>
              <w:t>1</w:t>
            </w:r>
            <w:r>
              <w:rPr>
                <w:rFonts w:ascii="仿宋_GB2312" w:hAnsi="仿宋_GB2312" w:cs="仿宋_GB2312" w:eastAsia="仿宋_GB2312"/>
                <w:color w:val="0000FF"/>
              </w:rPr>
              <w:t>、</w:t>
            </w:r>
            <w:r>
              <w:rPr>
                <w:rFonts w:ascii="仿宋_GB2312" w:hAnsi="仿宋_GB2312" w:cs="仿宋_GB2312" w:eastAsia="仿宋_GB2312"/>
                <w:color w:val="0000FF"/>
              </w:rPr>
              <w:t>履约期限：自合同签订之日起</w:t>
            </w:r>
            <w:r>
              <w:rPr>
                <w:rFonts w:ascii="仿宋_GB2312" w:hAnsi="仿宋_GB2312" w:cs="仿宋_GB2312" w:eastAsia="仿宋_GB2312"/>
                <w:color w:val="0000FF"/>
              </w:rPr>
              <w:t>365</w:t>
            </w:r>
            <w:r>
              <w:rPr>
                <w:rFonts w:ascii="仿宋_GB2312" w:hAnsi="仿宋_GB2312" w:cs="仿宋_GB2312" w:eastAsia="仿宋_GB2312"/>
                <w:color w:val="0000FF"/>
              </w:rPr>
              <w:t>日</w:t>
            </w:r>
          </w:p>
          <w:p>
            <w:pPr>
              <w:pStyle w:val="null3"/>
              <w:jc w:val="left"/>
            </w:pPr>
            <w:r>
              <w:rPr>
                <w:rFonts w:ascii="仿宋_GB2312" w:hAnsi="仿宋_GB2312" w:cs="仿宋_GB2312" w:eastAsia="仿宋_GB2312"/>
                <w:color w:val="0000FF"/>
              </w:rPr>
              <w:t>2、服务地点：</w:t>
            </w:r>
            <w:r>
              <w:rPr>
                <w:rFonts w:ascii="仿宋_GB2312" w:hAnsi="仿宋_GB2312" w:cs="仿宋_GB2312" w:eastAsia="仿宋_GB2312"/>
                <w:color w:val="0000FF"/>
              </w:rPr>
              <w:t>采购人指定</w:t>
            </w:r>
            <w:r>
              <w:rPr>
                <w:rFonts w:ascii="仿宋_GB2312" w:hAnsi="仿宋_GB2312" w:cs="仿宋_GB2312" w:eastAsia="仿宋_GB2312"/>
                <w:color w:val="0000FF"/>
              </w:rPr>
              <w:t>。</w:t>
            </w:r>
          </w:p>
          <w:p>
            <w:pPr>
              <w:pStyle w:val="null3"/>
              <w:jc w:val="left"/>
            </w:pPr>
            <w:r>
              <w:rPr>
                <w:rFonts w:ascii="仿宋_GB2312" w:hAnsi="仿宋_GB2312" w:cs="仿宋_GB2312" w:eastAsia="仿宋_GB2312"/>
                <w:color w:val="0000FF"/>
              </w:rPr>
              <w:t>3、支付方式：分期付款；1、合同签订后支付预付款</w:t>
            </w:r>
            <w:r>
              <w:rPr>
                <w:rFonts w:ascii="仿宋_GB2312" w:hAnsi="仿宋_GB2312" w:cs="仿宋_GB2312" w:eastAsia="仿宋_GB2312"/>
                <w:color w:val="0000FF"/>
              </w:rPr>
              <w:t>（若成交供应商为民营中小企业，达到付款条件，支付合同总金额的</w:t>
            </w:r>
            <w:r>
              <w:rPr>
                <w:rFonts w:ascii="仿宋_GB2312" w:hAnsi="仿宋_GB2312" w:cs="仿宋_GB2312" w:eastAsia="仿宋_GB2312"/>
                <w:color w:val="0000FF"/>
              </w:rPr>
              <w:t>40%）</w:t>
            </w:r>
            <w:r>
              <w:rPr>
                <w:rFonts w:ascii="仿宋_GB2312" w:hAnsi="仿宋_GB2312" w:cs="仿宋_GB2312" w:eastAsia="仿宋_GB2312"/>
                <w:color w:val="0000FF"/>
              </w:rPr>
              <w:t>，达到付款条件起</w:t>
            </w:r>
            <w:r>
              <w:rPr>
                <w:rFonts w:ascii="仿宋_GB2312" w:hAnsi="仿宋_GB2312" w:cs="仿宋_GB2312" w:eastAsia="仿宋_GB2312"/>
                <w:color w:val="0000FF"/>
              </w:rPr>
              <w:t>15</w:t>
            </w:r>
            <w:r>
              <w:rPr>
                <w:rFonts w:ascii="仿宋_GB2312" w:hAnsi="仿宋_GB2312" w:cs="仿宋_GB2312" w:eastAsia="仿宋_GB2312"/>
                <w:color w:val="0000FF"/>
              </w:rPr>
              <w:t>日内，支付合同总金额的</w:t>
            </w:r>
            <w:r>
              <w:rPr>
                <w:rFonts w:ascii="仿宋_GB2312" w:hAnsi="仿宋_GB2312" w:cs="仿宋_GB2312" w:eastAsia="仿宋_GB2312"/>
                <w:color w:val="0000FF"/>
              </w:rPr>
              <w:t>3</w:t>
            </w:r>
            <w:r>
              <w:rPr>
                <w:rFonts w:ascii="仿宋_GB2312" w:hAnsi="仿宋_GB2312" w:cs="仿宋_GB2312" w:eastAsia="仿宋_GB2312"/>
                <w:color w:val="0000FF"/>
              </w:rPr>
              <w:t>0.00% ；2、进度款，完成成果编制，通过县级验收并完成整改后</w:t>
            </w:r>
            <w:r>
              <w:rPr>
                <w:rFonts w:ascii="仿宋_GB2312" w:hAnsi="仿宋_GB2312" w:cs="仿宋_GB2312" w:eastAsia="仿宋_GB2312"/>
                <w:color w:val="0000FF"/>
              </w:rPr>
              <w:t>(若成交供应商为民营中小企业，达到付款条件，支付合同总金额的20%）</w:t>
            </w:r>
            <w:r>
              <w:rPr>
                <w:rFonts w:ascii="仿宋_GB2312" w:hAnsi="仿宋_GB2312" w:cs="仿宋_GB2312" w:eastAsia="仿宋_GB2312"/>
                <w:color w:val="0000FF"/>
              </w:rPr>
              <w:t>，达到付款条件起</w:t>
            </w:r>
            <w:r>
              <w:rPr>
                <w:rFonts w:ascii="仿宋_GB2312" w:hAnsi="仿宋_GB2312" w:cs="仿宋_GB2312" w:eastAsia="仿宋_GB2312"/>
                <w:color w:val="0000FF"/>
              </w:rPr>
              <w:t>15</w:t>
            </w:r>
            <w:r>
              <w:rPr>
                <w:rFonts w:ascii="仿宋_GB2312" w:hAnsi="仿宋_GB2312" w:cs="仿宋_GB2312" w:eastAsia="仿宋_GB2312"/>
                <w:color w:val="0000FF"/>
              </w:rPr>
              <w:t>日内，支付合同总金额的</w:t>
            </w:r>
            <w:r>
              <w:rPr>
                <w:rFonts w:ascii="仿宋_GB2312" w:hAnsi="仿宋_GB2312" w:cs="仿宋_GB2312" w:eastAsia="仿宋_GB2312"/>
                <w:color w:val="0000FF"/>
              </w:rPr>
              <w:t>3</w:t>
            </w:r>
            <w:r>
              <w:rPr>
                <w:rFonts w:ascii="仿宋_GB2312" w:hAnsi="仿宋_GB2312" w:cs="仿宋_GB2312" w:eastAsia="仿宋_GB2312"/>
                <w:color w:val="0000FF"/>
              </w:rPr>
              <w:t>0.00% ；3、尾款，全部成果通过上级验收，如有整改内容，则需要整改后经上级部门通过，达到付款条件起</w:t>
            </w:r>
            <w:r>
              <w:rPr>
                <w:rFonts w:ascii="仿宋_GB2312" w:hAnsi="仿宋_GB2312" w:cs="仿宋_GB2312" w:eastAsia="仿宋_GB2312"/>
                <w:color w:val="0000FF"/>
              </w:rPr>
              <w:t>15</w:t>
            </w:r>
            <w:r>
              <w:rPr>
                <w:rFonts w:ascii="仿宋_GB2312" w:hAnsi="仿宋_GB2312" w:cs="仿宋_GB2312" w:eastAsia="仿宋_GB2312"/>
                <w:color w:val="0000FF"/>
              </w:rPr>
              <w:t>日内，支付合同总金额的</w:t>
            </w:r>
            <w:r>
              <w:rPr>
                <w:rFonts w:ascii="仿宋_GB2312" w:hAnsi="仿宋_GB2312" w:cs="仿宋_GB2312" w:eastAsia="仿宋_GB2312"/>
                <w:color w:val="0000FF"/>
              </w:rPr>
              <w:t>40</w:t>
            </w:r>
            <w:r>
              <w:rPr>
                <w:rFonts w:ascii="仿宋_GB2312" w:hAnsi="仿宋_GB2312" w:cs="仿宋_GB2312" w:eastAsia="仿宋_GB2312"/>
                <w:color w:val="0000FF"/>
              </w:rPr>
              <w:t>.00%；</w:t>
            </w:r>
          </w:p>
          <w:p>
            <w:pPr>
              <w:pStyle w:val="null3"/>
              <w:jc w:val="left"/>
            </w:pPr>
            <w:r>
              <w:rPr>
                <w:rFonts w:ascii="仿宋_GB2312" w:hAnsi="仿宋_GB2312" w:cs="仿宋_GB2312" w:eastAsia="仿宋_GB2312"/>
                <w:color w:val="0000FF"/>
              </w:rPr>
              <w:t>4、验收办法：成交人与采购人应严格按照《财政部关于进一步加强政府采购需求和履约验收管理的指导意见》（财库〔2016〕205号）、《政府采购需求管理办法》（财库（2021）22号）及采购文件质量要求和技术指标、成交供应商的响应文件及承诺进行验收。</w:t>
            </w:r>
          </w:p>
          <w:p>
            <w:pPr>
              <w:pStyle w:val="null3"/>
              <w:jc w:val="left"/>
            </w:pPr>
            <w:r>
              <w:rPr>
                <w:rFonts w:ascii="仿宋_GB2312" w:hAnsi="仿宋_GB2312" w:cs="仿宋_GB2312" w:eastAsia="仿宋_GB2312"/>
                <w:sz w:val="21"/>
                <w:color w:val="0000FF"/>
              </w:rPr>
              <w:t>5、其他未尽事宜由双方签订合同时另行约定。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政府采购需求管理办法》（财库（2021）22号）及采购文件质量要求和技术指标、成交供应商的响应文件及承诺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1、预付款，合同签订后支付预付款（若成交供应商为民营中小企业，达到付款条件，支付合同总金额的40%），达到付款条件起15日内，支付合同总金额的30.00%</w:t>
            </w:r>
          </w:p>
          <w:p>
            <w:pPr>
              <w:pStyle w:val="null3"/>
              <w:jc w:val="left"/>
            </w:pPr>
            <w:r>
              <w:rPr>
                <w:rFonts w:ascii="仿宋_GB2312" w:hAnsi="仿宋_GB2312" w:cs="仿宋_GB2312" w:eastAsia="仿宋_GB2312"/>
              </w:rPr>
              <w:t>2、进度款，完成成果编制，通过县级验收并完成整改后(若成交供应商为民营中小企业，达到付款条件，支付合同总金额的20%），达到付款条件起15日内，支付合同总金额的30.00%</w:t>
            </w:r>
          </w:p>
          <w:p>
            <w:pPr>
              <w:pStyle w:val="null3"/>
              <w:jc w:val="left"/>
            </w:pPr>
            <w:r>
              <w:rPr>
                <w:rFonts w:ascii="仿宋_GB2312" w:hAnsi="仿宋_GB2312" w:cs="仿宋_GB2312" w:eastAsia="仿宋_GB2312"/>
              </w:rPr>
              <w:t>3、尾款，全部成果通过上级验收，如有整改内容，则需要整改后经上级部门通过，达到付款条件起15日内，支付合同总金额的40.00%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合同因一方违约而终止的，由违约方承担赔偿责任，合同有约定的，按合同约定赔偿 ，没有约定的，按实际造成损失进行赔偿。出现争 议时由双方及时协商解决。也可由当地行政主管部门调解。调解不成时，双方当事人同意 由项目所在地人民法院仲裁委员会仲裁，未达成仲裁书面协议的，可向项目所在地县人民法院起诉。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需具备行政主管部门颁发的有效的检验检测机构资质认定证书（CMA）（资质能力覆盖：土壤）；</w:t>
            </w:r>
          </w:p>
        </w:tc>
        <w:tc>
          <w:tcPr>
            <w:tcW w:type="dxa" w:w="3322"/>
          </w:tcPr>
          <w:p>
            <w:pPr>
              <w:pStyle w:val="null3"/>
              <w:jc w:val="left"/>
            </w:pPr>
            <w:r>
              <w:rPr>
                <w:rFonts w:ascii="仿宋_GB2312" w:hAnsi="仿宋_GB2312" w:cs="仿宋_GB2312" w:eastAsia="仿宋_GB2312"/>
              </w:rPr>
              <w:t>需具备行政主管部门颁发的有效的检验检测机构资质认定证书（CMA）（资质能力覆盖：土壤）；</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对采购⽂件要求的实质性内容进⾏审查</w:t>
            </w:r>
          </w:p>
        </w:tc>
        <w:tc>
          <w:tcPr>
            <w:tcW w:type="dxa" w:w="1661"/>
          </w:tcPr>
          <w:p>
            <w:pPr>
              <w:pStyle w:val="null3"/>
              <w:jc w:val="left"/>
            </w:pPr>
            <w:r>
              <w:rPr>
                <w:rFonts w:ascii="仿宋_GB2312" w:hAnsi="仿宋_GB2312" w:cs="仿宋_GB2312" w:eastAsia="仿宋_GB2312"/>
              </w:rPr>
              <w:t>响应文件封面,中小企业声明函,残疾人福利性单位声明函,供应商应提交的相关证明材料,具有健全财务会计制度的证明材料,服务应答表,报价表,投标（响应）函,监狱企业的证明文件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技术方案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服务方案进行评审：（1）丹棱县土地现状分类分析；（2）耕地质量等级鉴定及培肥方案；（3）补充耕地质量验收工作安全及保密方案；（4）补充耕地质量验收工作应急方案；（5）项目参与服务人员培训方案；以上5项内容完整，能够充分满足项目需求得25分，在此基础上每缺少一项扣5分，每项内容有一处缺陷扣 2.5分，单项内容要素扣减分值不超过5分，扣完为止。注：缺陷是 指存在项目名称错误、地点区域错误 、内容与本项目需求无关、方案内容矛盾、仅有框架或标题、适用的标准 （方法）错误、明显复制其他项目内容的任意⼀种情形。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根据供应商提供的服务方案进行评审，包括： （1）农业生产符合性评价方案；（2）耕地质量等级评价方案；（3）补充耕地质量验收工作服务重点难点分析方案；（4）现场采样及样品检测技术方案；（5）外业、内业团队服务及质控方案。以上七项内容完整，能够充分满足项目需求得25分，在此基础上每缺少一项扣5分，每项内容有一处缺陷扣 2.5分，单项内容要素扣减分值不超过5分，扣完为止。 注：缺陷是指存在项目名称错误、地点区域错误、内容与本项目需求无关、各方案内容无存在问题分析及建议、无解决方案或表述前后不一致、仅有框架或标题、适用的标准（方法）错误、明显复制其他项目内容。</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评审，包括：（1）售后服务响应时间及期限方案；（2）售后服务人员配置方案；（3）后续保障措施和计划方案；（4）售后服务承诺；（5）成果资料修订和补充调查；（6）项目成果资料移交与留存；以上6项内容完整，能够充分满足项目需求得12分，在此基础上每缺少一项扣2分，每项内容有一处缺陷扣1分，单项内容要素扣减分值不超过2分，扣完为止。 注：缺陷是 指存在项目名称错误、地点区域错误 、内容与本项目需求无关、方案内容矛盾、仅有框架或标题、适用的标准 （方法）错误、明显复制其他项目内容的任意⼀种情形。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根据供应商提供的服务团队进行评审，包括：1、拟派项目负责人（1人）：具有农业类或环境类或地质类相关专业高级及以上职称的得2分，本项最多得2分。 2、拟派技术负责人（3人）：具有一名农业类或环境类或地质类相关专业中级及以上职称的得2分，本项最多得6分。 3.质量负责人（1人）：具有农业类或环境类或测绘类或地质类相关专业中级及以上职称的得2分，本项最多得2分。4.拟为本项目投入的其他人员：每提供1名具有农业类或环境类或测绘类或地质类相关专业中级及以上职称人员得1分，具有高级及以上职称得2分，本项最高得10分。 注：①上诉人员不重复得分。②上诉人员须提供在职证明+，未提供或提供不全均不得分。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供应商自2023年1月1日（含1日）至今，每具有1个类似项目业绩得2分，最多得8分。 注：①提供中标（成交）通知书或合同复印件。以上证明材料公司名称须与供应商名称完全一致，未提供不得分。② 类似业绩指：耕地质量验收或土壤环境监测或土壤普查类业绩。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