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版本号：N510781202600006920260519002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江油市2026年小麦“一喷三防”农药采购项目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N5107812026000069</w:t>
      </w:r>
    </w:p>
    <w:p>
      <w:pPr>
        <w:pStyle w:val="null3"/>
        <w:jc w:val="center"/>
        <w:outlineLvl w:val="2"/>
      </w:pPr>
      <w:r>
        <w:rPr>
          <w:rFonts w:ascii="仿宋_GB2312" w:hAnsi="仿宋_GB2312" w:cs="仿宋_GB2312" w:eastAsia="仿宋_GB2312"/>
          <w:sz w:val="28"/>
          <w:b/>
        </w:rPr>
        <w:t>江油市农业农村局</w:t>
      </w:r>
    </w:p>
    <w:p>
      <w:pPr>
        <w:pStyle w:val="null3"/>
        <w:jc w:val="center"/>
        <w:outlineLvl w:val="2"/>
      </w:pPr>
      <w:r>
        <w:rPr>
          <w:rFonts w:ascii="仿宋_GB2312" w:hAnsi="仿宋_GB2312" w:cs="仿宋_GB2312" w:eastAsia="仿宋_GB2312"/>
          <w:sz w:val="28"/>
          <w:b/>
        </w:rPr>
        <w:t>四川久安工程管理有限公司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四川久安工程管理有限公司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江油市农业农村局</w:t>
      </w:r>
      <w:r>
        <w:rPr>
          <w:rFonts w:ascii="仿宋_GB2312" w:hAnsi="仿宋_GB2312" w:cs="仿宋_GB2312" w:eastAsia="仿宋_GB2312"/>
        </w:rPr>
        <w:t xml:space="preserve"> 委托，拟对 </w:t>
      </w:r>
      <w:r>
        <w:rPr>
          <w:rFonts w:ascii="仿宋_GB2312" w:hAnsi="仿宋_GB2312" w:cs="仿宋_GB2312" w:eastAsia="仿宋_GB2312"/>
        </w:rPr>
        <w:t>江油市2026年小麦“一喷三防”农药采购项目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绵阳市江油市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N5107812026000069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江油市2026年小麦“一喷三防”农药采购项目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江油市2026年小麦“一喷三防”农药采购项目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若为生产厂家的，须具有有效期内的《农药生产许可证》；供应商若非生产厂家的，须具有有效期内的《农药经营许可证》；（描述：供应商若为生产厂家的，提供有效期内的《农药生产许可证》复印件加盖供应商公章；供应商若非生产厂家的，提供有有效期内的《农药经营许可证》复印件加盖供应商公章；）</w:t>
      </w:r>
    </w:p>
    <w:p>
      <w:pPr>
        <w:pStyle w:val="null3"/>
        <w:jc w:val="left"/>
      </w:pPr>
      <w:r>
        <w:rPr>
          <w:rFonts w:ascii="仿宋_GB2312" w:hAnsi="仿宋_GB2312" w:cs="仿宋_GB2312" w:eastAsia="仿宋_GB2312"/>
        </w:rPr>
        <w:t>2、供应商所投农药产品须具有有效期内的《农药登记证》、《农药生产许可证》（或批准文件）、农药产品标准。（描述：提供所投农药产品在有效期内的《农药登记证》、《农药生产许可证》（或批准文件）、农药产品标准（三证齐全的复印件加盖供应商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江油市农业农村局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江油市大鹏路298号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18482623598</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四川久安工程管理有限公司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四川省绵阳市涪城区四川省绵阳市科创园区园艺街20号3号楼C301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薛敬涛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13350023555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采购包1：560,000.00元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代理服务费收费标准：收取固定代理费用1万元整。</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江油市农业农村局</w:t>
      </w:r>
      <w:r>
        <w:rPr>
          <w:rFonts w:ascii="仿宋_GB2312" w:hAnsi="仿宋_GB2312" w:cs="仿宋_GB2312" w:eastAsia="仿宋_GB2312"/>
        </w:rPr>
        <w:t xml:space="preserve"> 和 </w:t>
      </w:r>
      <w:r>
        <w:rPr>
          <w:rFonts w:ascii="仿宋_GB2312" w:hAnsi="仿宋_GB2312" w:cs="仿宋_GB2312" w:eastAsia="仿宋_GB2312"/>
        </w:rPr>
        <w:t>四川久安工程管理有限公司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江油市农业农村局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四川久安工程管理有限公司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货物交付完后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按照《财政部关于进一步加强政府采购需求和履约验收管理的指导意见》（财库〔2016〕205号）的要求及国家现行相关质量验收规范合格标准要求进行验收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技术部分全部内容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商务部分全部内容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按照《财政部关于进一步加强政府采购需求和履约验收管理的指导意见》（财库〔2016〕205号）的要求及国家现行相关质量验收规范合格标准要求进行验收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江油市农业农村局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四川久安工程管理有限公司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四川久安工程管理有限公司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联系人：罗锺</w:t>
      </w:r>
    </w:p>
    <w:p>
      <w:pPr>
        <w:pStyle w:val="null3"/>
        <w:jc w:val="left"/>
      </w:pPr>
      <w:r>
        <w:rPr>
          <w:rFonts w:ascii="仿宋_GB2312" w:hAnsi="仿宋_GB2312" w:cs="仿宋_GB2312" w:eastAsia="仿宋_GB2312"/>
        </w:rPr>
        <w:t>联系电话：18482623598</w:t>
      </w:r>
    </w:p>
    <w:p>
      <w:pPr>
        <w:pStyle w:val="null3"/>
        <w:jc w:val="left"/>
      </w:pPr>
      <w:r>
        <w:rPr>
          <w:rFonts w:ascii="仿宋_GB2312" w:hAnsi="仿宋_GB2312" w:cs="仿宋_GB2312" w:eastAsia="仿宋_GB2312"/>
        </w:rPr>
        <w:t>地址：江油市大鹏路298号</w:t>
      </w:r>
    </w:p>
    <w:p>
      <w:pPr>
        <w:pStyle w:val="null3"/>
        <w:jc w:val="left"/>
      </w:pPr>
      <w:r>
        <w:rPr>
          <w:rFonts w:ascii="仿宋_GB2312" w:hAnsi="仿宋_GB2312" w:cs="仿宋_GB2312" w:eastAsia="仿宋_GB2312"/>
        </w:rPr>
        <w:t>邮编：621700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联系人：廖女士</w:t>
      </w:r>
    </w:p>
    <w:p>
      <w:pPr>
        <w:pStyle w:val="null3"/>
        <w:jc w:val="left"/>
      </w:pPr>
      <w:r>
        <w:rPr>
          <w:rFonts w:ascii="仿宋_GB2312" w:hAnsi="仿宋_GB2312" w:cs="仿宋_GB2312" w:eastAsia="仿宋_GB2312"/>
        </w:rPr>
        <w:t>联系电话：0816-2779007</w:t>
      </w:r>
    </w:p>
    <w:p>
      <w:pPr>
        <w:pStyle w:val="null3"/>
        <w:jc w:val="left"/>
      </w:pPr>
      <w:r>
        <w:rPr>
          <w:rFonts w:ascii="仿宋_GB2312" w:hAnsi="仿宋_GB2312" w:cs="仿宋_GB2312" w:eastAsia="仿宋_GB2312"/>
        </w:rPr>
        <w:t>地址：绵阳市科创园区园艺街20号3号楼C301室</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560,000.00</w:t>
      </w:r>
    </w:p>
    <w:p>
      <w:pPr>
        <w:pStyle w:val="null3"/>
        <w:jc w:val="left"/>
      </w:pPr>
      <w:r>
        <w:rPr>
          <w:rFonts w:ascii="仿宋_GB2312" w:hAnsi="仿宋_GB2312" w:cs="仿宋_GB2312" w:eastAsia="仿宋_GB2312"/>
        </w:rPr>
        <w:t>采购包最高限价（元）: 560,000.00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A07080106 化学农药</w:t>
            </w:r>
          </w:p>
        </w:tc>
        <w:tc>
          <w:tcPr>
            <w:tcW w:type="dxa" w:w="821"/>
          </w:tcPr>
          <w:p>
            <w:pPr>
              <w:pStyle w:val="null3"/>
              <w:jc w:val="left"/>
            </w:pPr>
            <w:r>
              <w:rPr>
                <w:rFonts w:ascii="仿宋_GB2312" w:hAnsi="仿宋_GB2312" w:cs="仿宋_GB2312" w:eastAsia="仿宋_GB2312"/>
              </w:rPr>
              <w:t>江油市2026年小麦“一喷三防”农药采购项目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江油市2026年小麦“一喷三防”农药采购项目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A07080106 化学农药</w:t>
            </w:r>
          </w:p>
        </w:tc>
        <w:tc>
          <w:tcPr>
            <w:tcW w:type="dxa" w:w="2492"/>
          </w:tcPr>
          <w:p>
            <w:pPr>
              <w:pStyle w:val="null3"/>
              <w:jc w:val="left"/>
            </w:pPr>
            <w:r>
              <w:rPr>
                <w:rFonts w:ascii="仿宋_GB2312" w:hAnsi="仿宋_GB2312" w:cs="仿宋_GB2312" w:eastAsia="仿宋_GB2312"/>
              </w:rPr>
              <w:t>江油市2026年小麦“一喷三防”农药采购项目</w:t>
            </w:r>
          </w:p>
        </w:tc>
        <w:tc>
          <w:tcPr>
            <w:tcW w:type="dxa" w:w="2492"/>
          </w:tcPr>
          <w:p>
            <w:pPr>
              <w:pStyle w:val="null3"/>
              <w:jc w:val="left"/>
            </w:pPr>
            <w:r>
              <w:rPr>
                <w:rFonts w:ascii="仿宋_GB2312" w:hAnsi="仿宋_GB2312" w:cs="仿宋_GB2312" w:eastAsia="仿宋_GB2312"/>
              </w:rPr>
              <w:t>丙硫菌唑·戊唑醇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标的名称：江油市2026年小麦“一喷三防”农药采购项目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江油市2026年小麦“一喷三防”农药采购项目</w:t>
            </w:r>
          </w:p>
        </w:tc>
        <w:tc>
          <w:tcPr>
            <w:tcW w:type="dxa" w:w="5814"/>
          </w:tcPr>
          <w:p>
            <w:pPr>
              <w:pStyle w:val="null3"/>
              <w:spacing w:before="105" w:after="105"/>
              <w:jc w:val="left"/>
            </w:pPr>
            <w:r>
              <w:rPr>
                <w:rFonts w:ascii="仿宋_GB2312" w:hAnsi="仿宋_GB2312" w:cs="仿宋_GB2312" w:eastAsia="仿宋_GB2312"/>
                <w:sz w:val="24"/>
                <w:b/>
              </w:rPr>
              <w:t>注：本项目</w:t>
            </w:r>
            <w:r>
              <w:rPr>
                <w:rFonts w:ascii="仿宋_GB2312" w:hAnsi="仿宋_GB2312" w:cs="仿宋_GB2312" w:eastAsia="仿宋_GB2312"/>
                <w:sz w:val="24"/>
                <w:b/>
              </w:rPr>
              <w:t>“</w:t>
            </w:r>
            <w:r>
              <w:rPr>
                <w:rFonts w:ascii="仿宋_GB2312" w:hAnsi="仿宋_GB2312" w:cs="仿宋_GB2312" w:eastAsia="仿宋_GB2312"/>
                <w:sz w:val="24"/>
                <w:b/>
              </w:rPr>
              <w:t>采购标的物</w:t>
            </w:r>
            <w:r>
              <w:rPr>
                <w:rFonts w:ascii="仿宋_GB2312" w:hAnsi="仿宋_GB2312" w:cs="仿宋_GB2312" w:eastAsia="仿宋_GB2312"/>
                <w:sz w:val="24"/>
                <w:b/>
              </w:rPr>
              <w:t>”</w:t>
            </w:r>
            <w:r>
              <w:rPr>
                <w:rFonts w:ascii="仿宋_GB2312" w:hAnsi="仿宋_GB2312" w:cs="仿宋_GB2312" w:eastAsia="仿宋_GB2312"/>
                <w:sz w:val="24"/>
                <w:b/>
              </w:rPr>
              <w:t>以下表产品名称为准，包括可能涉及的报价明细表、中小企业申明函、关于符合本国产品标准的声明函等需要按采购标的物罗列的表格或申明函。</w:t>
            </w:r>
          </w:p>
          <w:tbl>
            <w:tblPr>
              <w:tblBorders>
                <w:top w:val="none" w:color="000000" w:sz="4"/>
                <w:left w:val="none" w:color="000000" w:sz="4"/>
                <w:bottom w:val="none" w:color="000000" w:sz="4"/>
                <w:right w:val="none" w:color="000000" w:sz="4"/>
                <w:insideH w:val="none"/>
                <w:insideV w:val="none"/>
              </w:tblBorders>
            </w:tblPr>
            <w:tblGrid>
              <w:gridCol w:w="611"/>
              <w:gridCol w:w="2691"/>
              <w:gridCol w:w="680"/>
              <w:gridCol w:w="852"/>
              <w:gridCol w:w="761"/>
            </w:tblGrid>
            <w:tr>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产品名称</w:t>
                  </w:r>
                </w:p>
              </w:tc>
              <w:tc>
                <w:tcPr>
                  <w:tcW w:type="dxa" w:w="2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规格型号或配置参数</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数量</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单价</w:t>
                  </w:r>
                  <w:r>
                    <w:rPr>
                      <w:rFonts w:ascii="仿宋_GB2312" w:hAnsi="仿宋_GB2312" w:cs="仿宋_GB2312" w:eastAsia="仿宋_GB2312"/>
                      <w:sz w:val="24"/>
                      <w:color w:val="333333"/>
                    </w:rPr>
                    <w:t>/元（限价）</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小计</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shd w:fill="FFFFFF" w:val="clear"/>
                    </w:rPr>
                    <w:t>丙硫菌唑</w:t>
                  </w:r>
                  <w:r>
                    <w:rPr>
                      <w:rFonts w:ascii="仿宋_GB2312" w:hAnsi="仿宋_GB2312" w:cs="仿宋_GB2312" w:eastAsia="仿宋_GB2312"/>
                      <w:sz w:val="24"/>
                      <w:color w:val="333333"/>
                      <w:shd w:fill="FFFFFF" w:val="clear"/>
                    </w:rPr>
                    <w:t>·戊唑醇（核心产品）</w:t>
                  </w: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333333"/>
                    </w:rPr>
                    <w:t>1、★总有效成分含量：40%（其中丙硫菌唑20%+戊唑醇20%）</w:t>
                  </w:r>
                </w:p>
                <w:p>
                  <w:pPr>
                    <w:pStyle w:val="null3"/>
                    <w:spacing w:before="105" w:after="105"/>
                    <w:jc w:val="left"/>
                  </w:pPr>
                  <w:r>
                    <w:rPr>
                      <w:rFonts w:ascii="仿宋_GB2312" w:hAnsi="仿宋_GB2312" w:cs="仿宋_GB2312" w:eastAsia="仿宋_GB2312"/>
                      <w:sz w:val="24"/>
                      <w:color w:val="333333"/>
                    </w:rPr>
                    <w:t>2、★剂型：悬浮剂</w:t>
                  </w:r>
                </w:p>
                <w:p>
                  <w:pPr>
                    <w:pStyle w:val="null3"/>
                    <w:spacing w:before="105" w:after="105"/>
                    <w:jc w:val="left"/>
                  </w:pPr>
                  <w:r>
                    <w:rPr>
                      <w:rFonts w:ascii="仿宋_GB2312" w:hAnsi="仿宋_GB2312" w:cs="仿宋_GB2312" w:eastAsia="仿宋_GB2312"/>
                      <w:sz w:val="24"/>
                      <w:color w:val="333333"/>
                    </w:rPr>
                    <w:t>3、</w:t>
                  </w:r>
                  <w:r>
                    <w:rPr>
                      <w:rFonts w:ascii="仿宋_GB2312" w:hAnsi="仿宋_GB2312" w:cs="仿宋_GB2312" w:eastAsia="仿宋_GB2312"/>
                      <w:sz w:val="21"/>
                      <w:color w:val="000000"/>
                      <w:shd w:fill="FFFFFF" w:val="clear"/>
                    </w:rPr>
                    <w:t>▲</w:t>
                  </w:r>
                  <w:r>
                    <w:rPr>
                      <w:rFonts w:ascii="仿宋_GB2312" w:hAnsi="仿宋_GB2312" w:cs="仿宋_GB2312" w:eastAsia="仿宋_GB2312"/>
                      <w:sz w:val="24"/>
                      <w:color w:val="333333"/>
                    </w:rPr>
                    <w:t>规格：</w:t>
                  </w:r>
                  <w:r>
                    <w:rPr>
                      <w:rFonts w:ascii="仿宋_GB2312" w:hAnsi="仿宋_GB2312" w:cs="仿宋_GB2312" w:eastAsia="仿宋_GB2312"/>
                      <w:sz w:val="24"/>
                      <w:color w:val="333333"/>
                    </w:rPr>
                    <w:t>40克/袋/瓶</w:t>
                  </w:r>
                </w:p>
                <w:p>
                  <w:pPr>
                    <w:pStyle w:val="null3"/>
                    <w:spacing w:before="105" w:after="105"/>
                    <w:jc w:val="left"/>
                  </w:pPr>
                  <w:r>
                    <w:rPr>
                      <w:rFonts w:ascii="仿宋_GB2312" w:hAnsi="仿宋_GB2312" w:cs="仿宋_GB2312" w:eastAsia="仿宋_GB2312"/>
                      <w:sz w:val="24"/>
                      <w:color w:val="333333"/>
                    </w:rPr>
                    <w:t>4、★要求投标产品登记证登记作物包含：小麦</w:t>
                  </w:r>
                </w:p>
                <w:p>
                  <w:pPr>
                    <w:pStyle w:val="null3"/>
                    <w:spacing w:before="105" w:after="105"/>
                    <w:jc w:val="left"/>
                  </w:pPr>
                  <w:r>
                    <w:rPr>
                      <w:rFonts w:ascii="仿宋_GB2312" w:hAnsi="仿宋_GB2312" w:cs="仿宋_GB2312" w:eastAsia="仿宋_GB2312"/>
                      <w:sz w:val="24"/>
                      <w:color w:val="333333"/>
                    </w:rPr>
                    <w:t>★5、毒性：低毒及以下</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56000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4元</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224000</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shd w:fill="FFFFFF" w:val="clear"/>
                    </w:rPr>
                    <w:t>噻虫</w:t>
                  </w:r>
                  <w:r>
                    <w:rPr>
                      <w:rFonts w:ascii="仿宋_GB2312" w:hAnsi="仿宋_GB2312" w:cs="仿宋_GB2312" w:eastAsia="仿宋_GB2312"/>
                      <w:sz w:val="24"/>
                      <w:color w:val="333333"/>
                      <w:shd w:fill="FFFFFF" w:val="clear"/>
                    </w:rPr>
                    <w:t>·高氯氟</w:t>
                  </w: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333333"/>
                    </w:rPr>
                    <w:t>1、</w:t>
                  </w:r>
                  <w:r>
                    <w:rPr>
                      <w:rFonts w:ascii="仿宋_GB2312" w:hAnsi="仿宋_GB2312" w:cs="仿宋_GB2312" w:eastAsia="仿宋_GB2312"/>
                      <w:sz w:val="24"/>
                      <w:color w:val="333333"/>
                    </w:rPr>
                    <w:t>★总有效成分含量：10%（其中噻虫嗪6%+高效氯氟氰菊酯4%）</w:t>
                  </w:r>
                </w:p>
                <w:p>
                  <w:pPr>
                    <w:pStyle w:val="null3"/>
                    <w:spacing w:before="105" w:after="105"/>
                    <w:jc w:val="left"/>
                  </w:pPr>
                  <w:r>
                    <w:rPr>
                      <w:rFonts w:ascii="仿宋_GB2312" w:hAnsi="仿宋_GB2312" w:cs="仿宋_GB2312" w:eastAsia="仿宋_GB2312"/>
                      <w:sz w:val="24"/>
                      <w:color w:val="333333"/>
                    </w:rPr>
                    <w:t>2、★剂型：悬浮剂</w:t>
                  </w:r>
                </w:p>
                <w:p>
                  <w:pPr>
                    <w:pStyle w:val="null3"/>
                    <w:spacing w:before="105" w:after="105"/>
                    <w:jc w:val="left"/>
                  </w:pPr>
                  <w:r>
                    <w:rPr>
                      <w:rFonts w:ascii="仿宋_GB2312" w:hAnsi="仿宋_GB2312" w:cs="仿宋_GB2312" w:eastAsia="仿宋_GB2312"/>
                      <w:sz w:val="24"/>
                      <w:color w:val="333333"/>
                    </w:rPr>
                    <w:t>3、</w:t>
                  </w:r>
                  <w:r>
                    <w:rPr>
                      <w:rFonts w:ascii="仿宋_GB2312" w:hAnsi="仿宋_GB2312" w:cs="仿宋_GB2312" w:eastAsia="仿宋_GB2312"/>
                      <w:sz w:val="21"/>
                      <w:color w:val="000000"/>
                      <w:shd w:fill="FFFFFF" w:val="clear"/>
                    </w:rPr>
                    <w:t>▲</w:t>
                  </w:r>
                  <w:r>
                    <w:rPr>
                      <w:rFonts w:ascii="仿宋_GB2312" w:hAnsi="仿宋_GB2312" w:cs="仿宋_GB2312" w:eastAsia="仿宋_GB2312"/>
                      <w:sz w:val="24"/>
                      <w:color w:val="333333"/>
                    </w:rPr>
                    <w:t>规格：</w:t>
                  </w:r>
                  <w:r>
                    <w:rPr>
                      <w:rFonts w:ascii="仿宋_GB2312" w:hAnsi="仿宋_GB2312" w:cs="仿宋_GB2312" w:eastAsia="仿宋_GB2312"/>
                      <w:sz w:val="24"/>
                      <w:color w:val="333333"/>
                    </w:rPr>
                    <w:t>25g/袋</w:t>
                  </w:r>
                </w:p>
                <w:p>
                  <w:pPr>
                    <w:pStyle w:val="null3"/>
                    <w:spacing w:before="105" w:after="105"/>
                    <w:jc w:val="left"/>
                  </w:pPr>
                  <w:r>
                    <w:rPr>
                      <w:rFonts w:ascii="仿宋_GB2312" w:hAnsi="仿宋_GB2312" w:cs="仿宋_GB2312" w:eastAsia="仿宋_GB2312"/>
                      <w:sz w:val="24"/>
                      <w:color w:val="333333"/>
                    </w:rPr>
                    <w:t>4、★要求投标产品登记作物须包含：小麦</w:t>
                  </w:r>
                </w:p>
                <w:p>
                  <w:pPr>
                    <w:pStyle w:val="null3"/>
                    <w:spacing w:before="105" w:after="105"/>
                    <w:jc w:val="left"/>
                  </w:pPr>
                  <w:r>
                    <w:rPr>
                      <w:rFonts w:ascii="仿宋_GB2312" w:hAnsi="仿宋_GB2312" w:cs="仿宋_GB2312" w:eastAsia="仿宋_GB2312"/>
                      <w:sz w:val="24"/>
                      <w:color w:val="333333"/>
                    </w:rPr>
                    <w:t>★5、毒性：低毒及以下</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56000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2元</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112000</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shd w:fill="FFFFFF" w:val="clear"/>
                    </w:rPr>
                    <w:t>苄氨</w:t>
                  </w:r>
                  <w:r>
                    <w:rPr>
                      <w:rFonts w:ascii="仿宋_GB2312" w:hAnsi="仿宋_GB2312" w:cs="仿宋_GB2312" w:eastAsia="仿宋_GB2312"/>
                      <w:sz w:val="24"/>
                      <w:color w:val="333333"/>
                      <w:shd w:fill="FFFFFF" w:val="clear"/>
                    </w:rPr>
                    <w:t>·烷醇</w:t>
                  </w: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333333"/>
                    </w:rPr>
                    <w:t>1、</w:t>
                  </w:r>
                  <w:r>
                    <w:rPr>
                      <w:rFonts w:ascii="仿宋_GB2312" w:hAnsi="仿宋_GB2312" w:cs="仿宋_GB2312" w:eastAsia="仿宋_GB2312"/>
                      <w:sz w:val="24"/>
                      <w:color w:val="333333"/>
                    </w:rPr>
                    <w:t>★总有效成分含量：2%（其中</w:t>
                  </w:r>
                  <w:r>
                    <w:rPr>
                      <w:rFonts w:ascii="仿宋_GB2312" w:hAnsi="仿宋_GB2312" w:cs="仿宋_GB2312" w:eastAsia="仿宋_GB2312"/>
                      <w:sz w:val="24"/>
                      <w:color w:val="333333"/>
                      <w:shd w:fill="FFFFFF" w:val="clear"/>
                    </w:rPr>
                    <w:t>苄氨基嘌呤</w:t>
                  </w:r>
                  <w:r>
                    <w:rPr>
                      <w:rFonts w:ascii="仿宋_GB2312" w:hAnsi="仿宋_GB2312" w:cs="仿宋_GB2312" w:eastAsia="仿宋_GB2312"/>
                      <w:sz w:val="24"/>
                      <w:color w:val="333333"/>
                      <w:shd w:fill="FFFFFF" w:val="clear"/>
                    </w:rPr>
                    <w:t>1.9%；三十烷醇0.1%</w:t>
                  </w:r>
                  <w:r>
                    <w:rPr>
                      <w:rFonts w:ascii="仿宋_GB2312" w:hAnsi="仿宋_GB2312" w:cs="仿宋_GB2312" w:eastAsia="仿宋_GB2312"/>
                      <w:sz w:val="24"/>
                      <w:color w:val="333333"/>
                    </w:rPr>
                    <w:t>）</w:t>
                  </w:r>
                </w:p>
                <w:p>
                  <w:pPr>
                    <w:pStyle w:val="null3"/>
                    <w:spacing w:before="105" w:after="105"/>
                    <w:jc w:val="left"/>
                  </w:pPr>
                  <w:r>
                    <w:rPr>
                      <w:rFonts w:ascii="仿宋_GB2312" w:hAnsi="仿宋_GB2312" w:cs="仿宋_GB2312" w:eastAsia="仿宋_GB2312"/>
                      <w:sz w:val="24"/>
                      <w:color w:val="333333"/>
                    </w:rPr>
                    <w:t>2、</w:t>
                  </w:r>
                  <w:r>
                    <w:rPr>
                      <w:rFonts w:ascii="仿宋_GB2312" w:hAnsi="仿宋_GB2312" w:cs="仿宋_GB2312" w:eastAsia="仿宋_GB2312"/>
                      <w:sz w:val="24"/>
                      <w:color w:val="333333"/>
                    </w:rPr>
                    <w:t>★剂型：悬浮剂</w:t>
                  </w:r>
                </w:p>
                <w:p>
                  <w:pPr>
                    <w:pStyle w:val="null3"/>
                    <w:spacing w:before="105" w:after="105"/>
                    <w:jc w:val="left"/>
                  </w:pPr>
                  <w:r>
                    <w:rPr>
                      <w:rFonts w:ascii="仿宋_GB2312" w:hAnsi="仿宋_GB2312" w:cs="仿宋_GB2312" w:eastAsia="仿宋_GB2312"/>
                      <w:sz w:val="24"/>
                      <w:color w:val="333333"/>
                    </w:rPr>
                    <w:t>3、</w:t>
                  </w:r>
                  <w:r>
                    <w:rPr>
                      <w:rFonts w:ascii="仿宋_GB2312" w:hAnsi="仿宋_GB2312" w:cs="仿宋_GB2312" w:eastAsia="仿宋_GB2312"/>
                      <w:sz w:val="21"/>
                      <w:color w:val="000000"/>
                      <w:shd w:fill="FFFFFF" w:val="clear"/>
                    </w:rPr>
                    <w:t>▲</w:t>
                  </w:r>
                  <w:r>
                    <w:rPr>
                      <w:rFonts w:ascii="仿宋_GB2312" w:hAnsi="仿宋_GB2312" w:cs="仿宋_GB2312" w:eastAsia="仿宋_GB2312"/>
                      <w:sz w:val="24"/>
                      <w:color w:val="333333"/>
                    </w:rPr>
                    <w:t>规格：</w:t>
                  </w:r>
                  <w:r>
                    <w:rPr>
                      <w:rFonts w:ascii="仿宋_GB2312" w:hAnsi="仿宋_GB2312" w:cs="仿宋_GB2312" w:eastAsia="仿宋_GB2312"/>
                      <w:sz w:val="24"/>
                      <w:color w:val="333333"/>
                    </w:rPr>
                    <w:t>10克/袋</w:t>
                  </w:r>
                </w:p>
                <w:p>
                  <w:pPr>
                    <w:pStyle w:val="null3"/>
                    <w:spacing w:before="105" w:after="105"/>
                    <w:jc w:val="left"/>
                  </w:pPr>
                  <w:r>
                    <w:rPr>
                      <w:rFonts w:ascii="仿宋_GB2312" w:hAnsi="仿宋_GB2312" w:cs="仿宋_GB2312" w:eastAsia="仿宋_GB2312"/>
                      <w:sz w:val="24"/>
                      <w:color w:val="333333"/>
                    </w:rPr>
                    <w:t>4、★要求投标产品登记证登记作物包含：小麦</w:t>
                  </w:r>
                </w:p>
                <w:p>
                  <w:pPr>
                    <w:pStyle w:val="null3"/>
                    <w:spacing w:before="105" w:after="105"/>
                    <w:jc w:val="left"/>
                  </w:pPr>
                  <w:r>
                    <w:rPr>
                      <w:rFonts w:ascii="仿宋_GB2312" w:hAnsi="仿宋_GB2312" w:cs="仿宋_GB2312" w:eastAsia="仿宋_GB2312"/>
                      <w:sz w:val="24"/>
                      <w:color w:val="333333"/>
                    </w:rPr>
                    <w:t>★5、毒性：低毒及以下</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56000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2.2元</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123200</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105"/>
                    <w:ind w:left="45" w:right="30"/>
                    <w:jc w:val="center"/>
                  </w:pPr>
                  <w:r>
                    <w:rPr>
                      <w:rFonts w:ascii="仿宋_GB2312" w:hAnsi="仿宋_GB2312" w:cs="仿宋_GB2312" w:eastAsia="仿宋_GB2312"/>
                      <w:sz w:val="24"/>
                      <w:color w:val="333333"/>
                    </w:rPr>
                    <w:t>28-表高芸苔素内酯</w:t>
                  </w: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333333"/>
                    </w:rPr>
                    <w:t>1、★总有效成分含量：0.01%</w:t>
                  </w:r>
                </w:p>
                <w:p>
                  <w:pPr>
                    <w:pStyle w:val="null3"/>
                    <w:spacing w:before="105" w:after="105"/>
                    <w:jc w:val="left"/>
                  </w:pPr>
                  <w:r>
                    <w:rPr>
                      <w:rFonts w:ascii="仿宋_GB2312" w:hAnsi="仿宋_GB2312" w:cs="仿宋_GB2312" w:eastAsia="仿宋_GB2312"/>
                      <w:sz w:val="24"/>
                      <w:color w:val="333333"/>
                    </w:rPr>
                    <w:t>2、★剂型：可溶液剂</w:t>
                  </w:r>
                </w:p>
                <w:p>
                  <w:pPr>
                    <w:pStyle w:val="null3"/>
                    <w:spacing w:before="105" w:after="105"/>
                    <w:jc w:val="left"/>
                  </w:pPr>
                  <w:r>
                    <w:rPr>
                      <w:rFonts w:ascii="仿宋_GB2312" w:hAnsi="仿宋_GB2312" w:cs="仿宋_GB2312" w:eastAsia="仿宋_GB2312"/>
                      <w:sz w:val="24"/>
                      <w:color w:val="333333"/>
                    </w:rPr>
                    <w:t>3、</w:t>
                  </w:r>
                  <w:r>
                    <w:rPr>
                      <w:rFonts w:ascii="仿宋_GB2312" w:hAnsi="仿宋_GB2312" w:cs="仿宋_GB2312" w:eastAsia="仿宋_GB2312"/>
                      <w:sz w:val="21"/>
                      <w:color w:val="000000"/>
                      <w:shd w:fill="FFFFFF" w:val="clear"/>
                    </w:rPr>
                    <w:t>▲</w:t>
                  </w:r>
                  <w:r>
                    <w:rPr>
                      <w:rFonts w:ascii="仿宋_GB2312" w:hAnsi="仿宋_GB2312" w:cs="仿宋_GB2312" w:eastAsia="仿宋_GB2312"/>
                      <w:sz w:val="24"/>
                      <w:color w:val="333333"/>
                    </w:rPr>
                    <w:t>规格：</w:t>
                  </w:r>
                  <w:r>
                    <w:rPr>
                      <w:rFonts w:ascii="仿宋_GB2312" w:hAnsi="仿宋_GB2312" w:cs="仿宋_GB2312" w:eastAsia="仿宋_GB2312"/>
                      <w:sz w:val="24"/>
                      <w:color w:val="333333"/>
                    </w:rPr>
                    <w:t>10克/包</w:t>
                  </w:r>
                </w:p>
                <w:p>
                  <w:pPr>
                    <w:pStyle w:val="null3"/>
                    <w:spacing w:before="105" w:after="105"/>
                    <w:jc w:val="left"/>
                  </w:pPr>
                  <w:r>
                    <w:rPr>
                      <w:rFonts w:ascii="仿宋_GB2312" w:hAnsi="仿宋_GB2312" w:cs="仿宋_GB2312" w:eastAsia="仿宋_GB2312"/>
                      <w:sz w:val="24"/>
                      <w:color w:val="333333"/>
                    </w:rPr>
                    <w:t>4、★投标产品登记证登记小麦作物，具有生长调节功能。</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after="105"/>
                    <w:ind w:right="195"/>
                    <w:jc w:val="center"/>
                  </w:pPr>
                  <w:r>
                    <w:rPr>
                      <w:rFonts w:ascii="仿宋_GB2312" w:hAnsi="仿宋_GB2312" w:cs="仿宋_GB2312" w:eastAsia="仿宋_GB2312"/>
                      <w:sz w:val="24"/>
                      <w:color w:val="333333"/>
                    </w:rPr>
                    <w:t>56000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after="105"/>
                    <w:ind w:right="195"/>
                    <w:jc w:val="center"/>
                  </w:pPr>
                  <w:r>
                    <w:rPr>
                      <w:rFonts w:ascii="仿宋_GB2312" w:hAnsi="仿宋_GB2312" w:cs="仿宋_GB2312" w:eastAsia="仿宋_GB2312"/>
                      <w:sz w:val="24"/>
                      <w:color w:val="333333"/>
                    </w:rPr>
                    <w:t>1.8元</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after="105"/>
                    <w:ind w:right="195"/>
                    <w:jc w:val="center"/>
                  </w:pPr>
                  <w:r>
                    <w:rPr>
                      <w:rFonts w:ascii="仿宋_GB2312" w:hAnsi="仿宋_GB2312" w:cs="仿宋_GB2312" w:eastAsia="仿宋_GB2312"/>
                      <w:sz w:val="24"/>
                      <w:color w:val="333333"/>
                    </w:rPr>
                    <w:t>100800</w:t>
                  </w: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333333"/>
                    </w:rPr>
                    <w:t>注：</w:t>
                  </w:r>
                  <w:r>
                    <w:rPr>
                      <w:rFonts w:ascii="仿宋_GB2312" w:hAnsi="仿宋_GB2312" w:cs="仿宋_GB2312" w:eastAsia="仿宋_GB2312"/>
                      <w:sz w:val="24"/>
                      <w:color w:val="333333"/>
                    </w:rPr>
                    <w:t>1、技术参数以农药登记证为准。</w:t>
                  </w:r>
                </w:p>
              </w:tc>
            </w:tr>
          </w:tbl>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 30 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江油市农业农村局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1、货款，验收合格后，供应商出具完整的税务发票及验收报告，达到付款条件起20日内，支付合同总金额的100.00%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成交供应商与采购人应严格按照《财政部关于进一步加强政府采购需求和履约验收管理的指导意见》（财库〔2016〕205号）的要求及国家现行相关质量验收规范合格标准要求进行验收。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按采购文件及相关规定执行。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按采购文件及相关规定执行。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供应商针对本项目提供的项目实施方案（包括:⑴供货运输方案、⑵人员车辆配置、⑶供货期安排、⑷产品质量保障措施、⑸应急措施、⑹货总体进度安排）进⾏评审，6大项具体包括12小项内容分别如下：⑴供货运输方案包含①详细运输计划、②温湿度控制措施；⑵人员车辆配置包含①专业人员资质证明如农药运输资格证、②专用运输车辆清单；⑶供货期安排包含①每日供货量、②节点计划及进度表；⑷产品质量保障措施包含①质检报告频率（如每批次抽检率≥10%）、②仓储管理方案；⑸应急措施包含①运输事故应急预案、②产品召回预案；⑹供货总体进度安排包含①各环节时间节点控制表、②负责人。 2.根据供应商针对本项目提供的项目售后服务方案，（包括：⑴售后服务承诺、⑵服务保障、⑶培训方案、⑷售后服人员、⑸应急方案、⑹废弃物回收方案）进⾏评审，6大项具体包括12小项内容分别如下：⑴售后服务承诺包含①承诺响应时间≤2小时响应、②24小时到场；⑵服务保障包含①质量保证承诺书、②保障措施方案；⑶培训方案包含①培训次数≥2次、②技术指导内容；⑷售后服人员包含①售后团队名单及人员资质、②人员分配方案；⑸应急方案包含①用药事故处理预案、②其他安全应急预案 ；⑹废弃物回收方案包含①回收协议或处理流程文件、②包装回收方案 。 3.若采购文件中引⽤的规范标准有最新版本的均按最新标准执⾏，本采购⽂件不再做调整 ；采购活动过程中，若引⽤的执⾏标准已废⽌的，在评审和履约中⾃动不执⾏。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第三章“技术、服务及其他要求”中“3.2.技术要求”、“3.3.服务要求”中的⾮实质性要求。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合同履约进度、验收细则、违约责任等⾮实质性要求。</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同时提供⼯商营业执照或提供由市场监管部⻔核发的法⼈或者其他组织统⼀社会信⽤代码的营业执照。</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按格式要求提供真实有效的《中⼩企业声明函 》原件，未按格式要求填写或内容前后不⼀致 的可能视为⽆效（注：根据财政部《关于政府 采购⽀持监狱企业发展有关问题的通知》财库 〔2014〕68号和《财政部、⺠政部、中国残疾 ⼈联合会关于促进残疾⼈就业政府采购政策的 通知》（财库〔2017〕141号）⽂件精神，监 狱企业和残疾⼈福利性单位视同⼩型、微型企 业。残疾⼈福利性单位提供《残疾⼈福利性单 位声明函》；监狱企业提供由省级以上监狱管 理局、戒毒管理局（含新疆⽣产建设兵团）出 具的属于监狱企业证明⽂件）。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供应商若为生产厂家的，须具有有效期内的《农药生产许可证》；供应商若非生产厂家的，须具有有效期内的《农药经营许可证》；</w:t>
            </w:r>
          </w:p>
        </w:tc>
        <w:tc>
          <w:tcPr>
            <w:tcW w:type="dxa" w:w="3322"/>
          </w:tcPr>
          <w:p>
            <w:pPr>
              <w:pStyle w:val="null3"/>
              <w:jc w:val="left"/>
            </w:pPr>
            <w:r>
              <w:rPr>
                <w:rFonts w:ascii="仿宋_GB2312" w:hAnsi="仿宋_GB2312" w:cs="仿宋_GB2312" w:eastAsia="仿宋_GB2312"/>
              </w:rPr>
              <w:t>供应商若为生产厂家的，提供有效期内的《农药生产许可证》复印件加盖供应商公章；供应商若非生产厂家的，提供有有效期内的《农药经营许可证》复印件加盖供应商公章；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供应商所投农药产品须具有有效期内的《农药登记证》、《农药生产许可证》（或批准文件）、农药产品标准。</w:t>
            </w:r>
          </w:p>
        </w:tc>
        <w:tc>
          <w:tcPr>
            <w:tcW w:type="dxa" w:w="3322"/>
          </w:tcPr>
          <w:p>
            <w:pPr>
              <w:pStyle w:val="null3"/>
              <w:jc w:val="left"/>
            </w:pPr>
            <w:r>
              <w:rPr>
                <w:rFonts w:ascii="仿宋_GB2312" w:hAnsi="仿宋_GB2312" w:cs="仿宋_GB2312" w:eastAsia="仿宋_GB2312"/>
              </w:rPr>
              <w:t>提供所投农药产品在有效期内的《农药登记证》、《农药生产许可证》（或批准文件）、农药产品标准（三证齐全的复印件加盖供应商公章）。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“第三章 技术、服务及其他要求”中所列实质性要求和标注“★”的条款</w:t>
            </w:r>
          </w:p>
        </w:tc>
        <w:tc>
          <w:tcPr>
            <w:tcW w:type="dxa" w:w="3322"/>
          </w:tcPr>
          <w:p>
            <w:pPr>
              <w:pStyle w:val="null3"/>
              <w:jc w:val="left"/>
            </w:pPr>
            <w:r>
              <w:rPr>
                <w:rFonts w:ascii="仿宋_GB2312" w:hAnsi="仿宋_GB2312" w:cs="仿宋_GB2312" w:eastAsia="仿宋_GB2312"/>
              </w:rPr>
              <w:t>是否完全响应“第三章 技术、服务及其他要求” 中所列实质性要求和标注“★”的条款。</w:t>
            </w:r>
          </w:p>
        </w:tc>
        <w:tc>
          <w:tcPr>
            <w:tcW w:type="dxa" w:w="1661"/>
          </w:tcPr>
          <w:p>
            <w:pPr>
              <w:pStyle w:val="null3"/>
              <w:jc w:val="left"/>
            </w:pPr>
            <w:r>
              <w:rPr>
                <w:rFonts w:ascii="仿宋_GB2312" w:hAnsi="仿宋_GB2312" w:cs="仿宋_GB2312" w:eastAsia="仿宋_GB2312"/>
              </w:rPr>
              <w:t>供应商应提交的相关证明材料,服务、商务及其他要求应答表.docx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采购⽂件中除“第三章 技术、服务及其他要求”中所列实质性要求和标注“★”的条款外的其他实质性要求和标注“★”的条款</w:t>
            </w:r>
          </w:p>
        </w:tc>
        <w:tc>
          <w:tcPr>
            <w:tcW w:type="dxa" w:w="3322"/>
          </w:tcPr>
          <w:p>
            <w:pPr>
              <w:pStyle w:val="null3"/>
              <w:jc w:val="left"/>
            </w:pPr>
            <w:r>
              <w:rPr>
                <w:rFonts w:ascii="仿宋_GB2312" w:hAnsi="仿宋_GB2312" w:cs="仿宋_GB2312" w:eastAsia="仿宋_GB2312"/>
              </w:rPr>
              <w:t>是否响应采购⽂件中除“第三章 技术、服务及其他要求”中所列实质性要求和标注“★”的条款外的其他实质性要求和标注“★”的条款。</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法定代表人身份证明/授权委托书</w:t>
            </w:r>
          </w:p>
        </w:tc>
        <w:tc>
          <w:tcPr>
            <w:tcW w:type="dxa" w:w="3322"/>
          </w:tcPr>
          <w:p>
            <w:pPr>
              <w:pStyle w:val="null3"/>
              <w:jc w:val="left"/>
            </w:pPr>
            <w:r>
              <w:rPr>
                <w:rFonts w:ascii="仿宋_GB2312" w:hAnsi="仿宋_GB2312" w:cs="仿宋_GB2312" w:eastAsia="仿宋_GB2312"/>
              </w:rPr>
              <w:t>供应商需在项目电子化交易系统中按要求填写《法定代表人身份证明/授权委托书》并进行电子签章。</w:t>
            </w:r>
          </w:p>
        </w:tc>
        <w:tc>
          <w:tcPr>
            <w:tcW w:type="dxa" w:w="1661"/>
          </w:tcPr>
          <w:p>
            <w:pPr>
              <w:pStyle w:val="null3"/>
              <w:jc w:val="left"/>
            </w:pPr>
            <w:r>
              <w:rPr>
                <w:rFonts w:ascii="仿宋_GB2312" w:hAnsi="仿宋_GB2312" w:cs="仿宋_GB2312" w:eastAsia="仿宋_GB2312"/>
              </w:rPr>
              <w:t>法定代表人身份证明或授权委托书.docx,供应商应提交的相关证明材料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技术参数及规格</w:t>
            </w:r>
          </w:p>
        </w:tc>
        <w:tc>
          <w:tcPr>
            <w:tcW w:type="dxa" w:w="2575"/>
          </w:tcPr>
          <w:p>
            <w:pPr>
              <w:pStyle w:val="null3"/>
              <w:jc w:val="left"/>
            </w:pPr>
            <w:r>
              <w:rPr>
                <w:rFonts w:ascii="仿宋_GB2312" w:hAnsi="仿宋_GB2312" w:cs="仿宋_GB2312" w:eastAsia="仿宋_GB2312"/>
              </w:rPr>
              <w:t>完全满足招标文件技术参数及规格没有负偏离的得12，带“▲”共4项，有负偏离的每一条扣3分，直至此项分值扣完为止。 注：带★参数为实质性参数不允许负偏离，技术参数若要求提供证明材料的须提供证明材料佐证，否则作无效投标处理。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产品技术响应表.docx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一、评审范围及具体内容： 供应商提供的项目实施方案需完整涵盖以下6大项12小项内容，各项内容需紧密结合本小麦“一喷三防”农药采购项目实际，贴合小麦种植特点、防控节点及农药使用规范，符合小麦专用农药储存、运输、质量管控等相关要求，确保方案针对性、可操作性强： （1）供货运输方案：①详细运输计划；②温湿度控制措施； （2）人员车辆配置：①专业人员资质证明；②专用运输车辆清单； （3）供货期安排：①每日供货量；②节点计划及进度表； （4）产品质量保障措施：①质检报告频率；②仓储管理方案； （5）应急措施：①运输事故应急预案；②产品召回预案； （6）供货总体进度安排：①各环节时间节点控制表；②负责人。 二、评分标准及扣减规则： 1. 满分标准：项目实施方案完整涵盖上述6大项12小项内容，且所有内容均满足“内容满足需求”要求，紧密贴合小麦“一喷三防”项目实际，不存在任何缺项、漏项，得30分。 2. 扣减规则： （1）6大项内容扣减：上述6大项内容中，每存在1项缺项或漏项，扣5分，累计扣减，扣完30分为止； （2）12小项内容扣减：上述12个小项内容中，每存在1项内容缺项或漏项，扣2.5分；每个小项内容中，每存在1处“不足”或“缺陷”，扣1分，单个小项扣减分值不超过5分，累计扣减，扣完30分为止。 注： （1）“内容满足需求”是指：①内容与本小麦“一喷三防”农药采购及相关服务需求高度吻合、层次细化，针对小麦防控各环节、农药供货各节点核心内容有具体详细的阐述，无模糊表述；②阐述能够紧密切合本项目小麦种植背景、小麦“一喷三防”防控实际需求，结合项目涉及的小麦种植区域、种植面积、防控关键期，提出具有可操作性的专业技术建议或者针对性解决方案；③内容严格符合《农药管理条例》、《小麦病虫害防治技术规程》、农业农村部相关规范、地方农业植保相关标准、农药行业惯例以及本小麦“一喷三防”项目的实际特点；④内容完整、全面，不存在任何不足或缺陷，可直接作为项目实施的依据。 （2）“不足”具体是指：对应单项内容缺失（不完整）；对应单项内容的要求缺少重要节点（如仅有框架或标题，无具体实施内容）；实施过程或质量控制措施缺乏有效监督机制；重要环节、重要流程的保障措施不充分，无法满足项目实际需求；应急措施不规范、漏缺项，或与小麦“一喷三防”农业生产实际情况、小麦专用农药防控相关要求不符；时效性差，相关方案或措施无法及时解决项目实施过程中出现的问题；单项内容仅有复制采购人需求内容的表述，未结合自身优势或小麦“一喷三防”项目实际补充具体实施细节，涉及内容无重点、无针对性。 （3）“缺陷”具体是指：单项内容中出现内容脱离小麦“一喷三防”农药采购项目实际情况，不具备实施的可能性；拟投入人员专业与项目岗位要求不匹配；技术环节不规范或漏缺项，不符合国家及行业相关标准；实施操作流程不规范或漏缺项，可能导致项目实施混乱、农药质量受损，影响小麦防控效果；方案内容不清晰或交叉混乱，无法明确执行路径；方案内容与本小麦“一喷三防”农药采购项目实际需求有漏项或者不匹配；存在与本项目无关的文字内容；内容前后矛盾；存在表述错误或涉及的国家、地方、行业规范及标准错误。</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一、评审范围及具体内容： 本项针对供应商提供的本小麦“一喷三防”农药采购项目售后服务方案进行评审，方案需完整涵盖以下6大项12小项内容，各项内容需紧密结合小麦“一喷三防”项目实际，贴合小麦种植特点、农药使用规范及售后保障需求，符合相关法规要求，确保方案针对性、可操作性强： （1）售后服务承诺：①承诺响应时间≤2小时；②24小时到场服务； （2）服务保障：①质量保证承诺书；②保障措施方案； （3）培训方案：①培训次数≥2次；②技术指导内容； （4）售后服务人员：①售后团队名单及人员资质；②人员分配方案； （5）应急方案：①用药事故处理预案；②其他安全应急预案； （6）废弃物回收方案：①回收协议或处理流程文件；②包装回收方案。 二、评分标准及扣减规则： 1. 满分标准：售后服务方案完整涵盖上述6大项12小项内容，且所有内容均满足“内容满足需求”要求，紧密贴合小麦“一喷三防”项目实际，不存在任何缺项、漏项，得24分。 2. 扣减规则： （1）6大项内容扣减：上述6大项内容中，每存在1项缺项或漏项，扣4分，累计扣减，扣完24分为止； （2）12小项内容扣减：上述12个小项内容中，每存在1项内容缺项或漏项，扣2分；每个小项内容中，每存在1处“不足”或“缺陷”，扣1分，单个小项扣减分值不超过4分，累计扣减，扣完24分为止。 注： （1）“内容满足需求”是指：①内容与本小麦“一喷三防”农药采购售后服务需求高度吻合、层次细化，针对售后响应、技术指导、用药保障、废弃物回收等12小项核心内容，有具体、详细、可落地的阐述，无模糊表述、无空泛条款；②阐述能够紧密切合本项目小麦种植背景、小麦“一喷三防”防控实际需求，结合小麦防控关键期、种植区域分布、种植户实际诉求，提出贴合项目场景、可直接落地的专业技术建议或针对性解决方案；③内容严格符合《农药管理条例》、《小麦病虫害防治技术规程》《农药包装废弃物回收处理管理办法》、农业农村部相关规范、地方农业植保相关标准及农药行业惯例，契合小麦“一喷三防”项目季节性、应急性、公益性特点，符合国务院办公厅关于废弃物循环利用的相关要求，确保售后各环节合规有序；④内容完整、全面，无任何不足或缺陷，可直接作为本项目售后服务实施的核心依据，能够有效保障小麦“一喷三防”防控工作顺利推进、保障采购方及种植户合法权益。 （2）“不足”具体是指：对应售后服务单项内容缺失、不完整；对应单项内容的要求缺少重要执行节点（如仅有框架或标题，无具体实施流程）；售后服务实施过程或质量控制措施缺乏有效监督机制；重要环节、重要流程的保障措施不充分，无法满足小麦“一喷三防”项目售后实际需求；应急措施不规范、或与小麦“一喷三防”农业生产实际、小麦专用农药使用规范、废弃物回收要求不符；时效性差，相关方案或措施无法及时解决项目实施过程中出现的售后问题；单项内容仅有复制采购人需求内容的表述，未结合自身服务能力、小麦“一喷三防”项目实际补充具体实施细节，涉及内容无重点、无针对性，不具备可操作性。 （3）“缺陷”具体是指：单项内容中出现内容脱离小麦“一喷三防”农药采购售后服务项目实际情况，不具备实施的可能性；拟投入售后服务人员专业与项目岗位要求不匹配；技术环节不规范或漏缺项，不符合国家及行业相关标准，违反《农药管理条例》《农药包装废弃物回收处理管理办法》及废弃物循环利用相关要求；实施操作流程不规范或漏缺项，可能导致售后服务混乱、影响小麦防控效果、造成农田环境污染或损害采购方及种植户权益；方案内容不清晰或交叉混乱，无法明确执行路径；方案内容与本小麦“一喷三防”农药采购售后服务实际需求有漏项或者不匹配；存在与本项目无关的文字内容；内容前后矛盾；存在表述错误，或涉及的国家、地方、行业规范及标准错误。</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售后服务.docx</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根据供应商⾃2023年1⽉1⽇（含）⾄递交响应⽂件截⽌时间为⽌，⾃⾝取得的类似采购项⽬业绩（类似项⽬业绩指农药采购项目）进⾏评审，每提供⼀个业绩得2分，本项最多得4分。未提供的不得分。 注：供应商应提供类似业绩采购项⽬合同关键⻚扫描件或复印件，合同（或协议）时间以签订时间为准，要求内容清晰可辨，彩⾊或⿊⽩均可，并加盖供应商鲜章。合同关键⻚须包括合同⾦额⻚、服务内容⻚、签署时间、签字盖章⻚（资料不全、签署⽇期不符合要求、评审委员会⽆法确定业绩的不予认可）。</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关于符合本国产品标准的声明函</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详见附件：售后服务.docx</w:t>
      </w:r>
    </w:p>
    <w:p>
      <w:pPr>
        <w:pStyle w:val="null3"/>
        <w:ind w:firstLine="960"/>
        <w:jc w:val="left"/>
      </w:pPr>
      <w:r>
        <w:rPr>
          <w:rFonts w:ascii="仿宋_GB2312" w:hAnsi="仿宋_GB2312" w:cs="仿宋_GB2312" w:eastAsia="仿宋_GB2312"/>
        </w:rPr>
        <w:t>详见附件：服务、商务及其他要求应答表.docx</w:t>
      </w:r>
    </w:p>
    <w:p>
      <w:pPr>
        <w:pStyle w:val="null3"/>
        <w:ind w:firstLine="960"/>
        <w:jc w:val="left"/>
      </w:pPr>
      <w:r>
        <w:rPr>
          <w:rFonts w:ascii="仿宋_GB2312" w:hAnsi="仿宋_GB2312" w:cs="仿宋_GB2312" w:eastAsia="仿宋_GB2312"/>
        </w:rPr>
        <w:t>详见附件：产品技术响应表.docx</w:t>
      </w:r>
    </w:p>
    <w:p>
      <w:pPr>
        <w:pStyle w:val="null3"/>
        <w:ind w:firstLine="960"/>
        <w:jc w:val="left"/>
      </w:pPr>
      <w:r>
        <w:rPr>
          <w:rFonts w:ascii="仿宋_GB2312" w:hAnsi="仿宋_GB2312" w:cs="仿宋_GB2312" w:eastAsia="仿宋_GB2312"/>
        </w:rPr>
        <w:t>详见附件：法定代表人身份证明或授权委托书.docx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