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15CC8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技术、服务及其他要求</w:t>
      </w:r>
    </w:p>
    <w:p w14:paraId="1C716927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（注：本章的技术、服务及其他要求中，带“★”的要求为实质性要求。采购人、代理机构应当根据项目实际要求合理设定，并在第五章符合性审查中明确响应要求。）</w:t>
      </w:r>
    </w:p>
    <w:p w14:paraId="7AFDFCDF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554E312A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3A705A86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500,000.00</w:t>
      </w:r>
    </w:p>
    <w:p w14:paraId="3E022F88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500,000.00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36A58B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E4486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0DFDAB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3ADF98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2BB733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5DB5FA3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0343D5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537FDA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087B44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52BE5D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79EF6D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074E19B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4F029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ECA5CD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45C683A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C07990000 其他生态环境保护和治理服务</w:t>
            </w:r>
          </w:p>
        </w:tc>
        <w:tc>
          <w:tcPr>
            <w:tcW w:w="821" w:type="dxa"/>
          </w:tcPr>
          <w:p w14:paraId="0E2BA9B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绵虒、水磨生活垃圾填埋场环境污染隐患排查</w:t>
            </w:r>
          </w:p>
        </w:tc>
        <w:tc>
          <w:tcPr>
            <w:tcW w:w="821" w:type="dxa"/>
          </w:tcPr>
          <w:p w14:paraId="7388C5A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34CD22A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500,000.00</w:t>
            </w:r>
          </w:p>
        </w:tc>
        <w:tc>
          <w:tcPr>
            <w:tcW w:w="821" w:type="dxa"/>
          </w:tcPr>
          <w:p w14:paraId="73701D3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6D1FBE1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47A5B87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7BACF17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51D4A9A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6E37295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21EAD4A">
      <w:pPr>
        <w:pStyle w:val="4"/>
        <w:jc w:val="left"/>
      </w:pPr>
      <w:r>
        <w:rPr>
          <w:rFonts w:ascii="仿宋_GB2312" w:hAnsi="仿宋_GB2312" w:eastAsia="仿宋_GB2312" w:cs="仿宋_GB2312"/>
        </w:rPr>
        <w:t xml:space="preserve"> 是否适用本国产品标准：</w:t>
      </w:r>
    </w:p>
    <w:p w14:paraId="56A19C29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采购包1：否</w:t>
      </w:r>
    </w:p>
    <w:p w14:paraId="44CF0A57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报价要求</w:t>
      </w:r>
    </w:p>
    <w:p w14:paraId="00057046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365"/>
        <w:gridCol w:w="1138"/>
        <w:gridCol w:w="1934"/>
      </w:tblGrid>
      <w:tr w14:paraId="52D5E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18F5B9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032A6B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31ADD4B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001FBE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3AB7AD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12AAB0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4F3E4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38DEDEE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227CBC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绵虒、水磨生活垃圾填埋场环境污染隐患排查</w:t>
            </w:r>
          </w:p>
        </w:tc>
        <w:tc>
          <w:tcPr>
            <w:tcW w:w="1138" w:type="dxa"/>
          </w:tcPr>
          <w:p w14:paraId="781649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1365" w:type="dxa"/>
          </w:tcPr>
          <w:p w14:paraId="7B1DA4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500,000.00</w:t>
            </w:r>
          </w:p>
        </w:tc>
        <w:tc>
          <w:tcPr>
            <w:tcW w:w="1138" w:type="dxa"/>
          </w:tcPr>
          <w:p w14:paraId="711071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3BEB503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70963820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★注：本采购包涉及采购货物的，供应商响应产品应当明确品牌和规格型号并指向唯一产品，不能指向唯一产品的，应通过报价表唯一产品说明栏补充说明。</w:t>
      </w:r>
    </w:p>
    <w:p w14:paraId="4A9463F8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本项目涉及核心产品：</w:t>
      </w:r>
    </w:p>
    <w:p w14:paraId="47B892E9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11CA6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F52AC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1CC2DC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343DA6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FDDC0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0487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51DF6E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57539CD4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注：涉及核心产品的，具体评审规定见第五章。</w:t>
      </w:r>
    </w:p>
    <w:p w14:paraId="5CE305F8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本项目涉及采购进口产品：</w:t>
      </w:r>
    </w:p>
    <w:p w14:paraId="140F864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4CEDE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138264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175EEC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7B0A56E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802AF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7608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5CBFA3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E118301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★注：不涉及采购进口产品时，供应商不得提供进口产品进行响应；涉及采购进口产品时，如国产产品满足采购需求，也可提供国产产品进行响应。</w:t>
      </w:r>
    </w:p>
    <w:p w14:paraId="101AD5A5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本项目涉及强制采购节能产品：</w:t>
      </w:r>
    </w:p>
    <w:p w14:paraId="5F84B805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338FF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7BD1BE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60A7079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552BA1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553133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09D18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6006E49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3B44D332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响应产品属于《节能产品政府采购品目清单》中政府强制采购的产品，供应商应当提供由国家确定的认证机构出具的、处于有效期之内的节能产品认证证书的原件扫描件或“全国认证认可信息公共服务平台”（http://cx.cnca.cn）的认证信息截图，否则作无效响应处理。具体要求详见第五章符合性审查表。</w:t>
      </w:r>
    </w:p>
    <w:p w14:paraId="2465E2F5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本项目涉及优先采购节能产品：</w:t>
      </w:r>
    </w:p>
    <w:p w14:paraId="7AE33E7D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06E4A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439FE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30E1FE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490FDC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58658A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06E7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6F7CD6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5946160F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节能产品政府采购品目清单》中优先采购的产品，供应商提供由国家确定的认证机构出具的、处于有效期之内的节能产品认证证书的原件扫描件或“全国认证认可信息公共服务平台”（http://cx.cnca.cn）的认证信息截图，可以享受优先采购政策。具体要求详见第五章规定。</w:t>
      </w:r>
    </w:p>
    <w:p w14:paraId="393B0DDC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本项目涉及优先采购环境标志产品：</w:t>
      </w:r>
    </w:p>
    <w:p w14:paraId="043EC8CF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A6D9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4299A6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35E03C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72A557F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6812F2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7D8A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38E666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8DEBEBA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环境标志产品政府采购品目清单》中的产品，供应商提供由国家确定的认证机构出具的、处于有效期之内的环境标志产品认证证书的原件扫描件或“全国认证认可信息公共服务平台”（http://cx.cnca.cn）的认证信息截图，可以享受优先采购政策。具体要求详见第五章规定。</w:t>
      </w:r>
    </w:p>
    <w:p w14:paraId="42449A06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3.2.技术要求</w:t>
      </w:r>
    </w:p>
    <w:p w14:paraId="1E595C8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45A95860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标的名称：绵虒、水磨生活垃圾填埋场环境污染隐患排查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73B75A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564194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52D14C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241EBB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4EDBB4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06E2F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850E4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13B755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1C1FA7E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服务内容及要求</w:t>
            </w:r>
          </w:p>
        </w:tc>
        <w:tc>
          <w:tcPr>
            <w:tcW w:w="5814" w:type="dxa"/>
          </w:tcPr>
          <w:p w14:paraId="223286A1">
            <w:pPr>
              <w:pStyle w:val="4"/>
              <w:ind w:firstLine="472"/>
              <w:jc w:val="left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（一）服务内容</w:t>
            </w:r>
          </w:p>
          <w:p w14:paraId="750B9784">
            <w:pPr>
              <w:pStyle w:val="4"/>
              <w:ind w:firstLine="236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对绵虒垃圾填埋场和水磨垃圾填埋场进行监测，排查环境污染隐患，检查垃圾场底部防渗膜是否有破损，如有需找出漏点在图上进行标识；监测填埋场的库容量和已填垃圾的方量。分别编制绵虒、水磨垃圾填埋场环境污染隐患风险评估及“一场一策”报告等。</w:t>
            </w:r>
          </w:p>
          <w:p w14:paraId="3AAE321A">
            <w:pPr>
              <w:pStyle w:val="4"/>
              <w:ind w:firstLine="472"/>
              <w:jc w:val="left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（二）服务要求</w:t>
            </w:r>
          </w:p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5"/>
              <w:gridCol w:w="1525"/>
              <w:gridCol w:w="483"/>
              <w:gridCol w:w="735"/>
              <w:gridCol w:w="2325"/>
            </w:tblGrid>
            <w:tr w14:paraId="7FC5A93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EE021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序号</w:t>
                  </w:r>
                </w:p>
              </w:tc>
              <w:tc>
                <w:tcPr>
                  <w:tcW w:w="167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2A40C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内容</w:t>
                  </w:r>
                </w:p>
              </w:tc>
              <w:tc>
                <w:tcPr>
                  <w:tcW w:w="4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BB017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单位</w:t>
                  </w:r>
                </w:p>
              </w:tc>
              <w:tc>
                <w:tcPr>
                  <w:tcW w:w="5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3E0ED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数量</w:t>
                  </w:r>
                </w:p>
              </w:tc>
              <w:tc>
                <w:tcPr>
                  <w:tcW w:w="24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7435B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服务要求</w:t>
                  </w:r>
                </w:p>
              </w:tc>
            </w:tr>
            <w:tr w14:paraId="3E93E1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59F52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</w:t>
                  </w:r>
                </w:p>
              </w:tc>
              <w:tc>
                <w:tcPr>
                  <w:tcW w:w="5142" w:type="dxa"/>
                  <w:gridSpan w:val="4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933F6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填埋场防渗膜渗漏探测</w:t>
                  </w:r>
                </w:p>
              </w:tc>
            </w:tr>
            <w:tr w14:paraId="6298DF2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26ACB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1.1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F39F7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填埋场库区防渗膜渗漏探测</w:t>
                  </w:r>
                </w:p>
              </w:tc>
              <w:tc>
                <w:tcPr>
                  <w:tcW w:w="4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C0237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㎡</w:t>
                  </w:r>
                </w:p>
              </w:tc>
              <w:tc>
                <w:tcPr>
                  <w:tcW w:w="5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9E26D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50000</w:t>
                  </w:r>
                </w:p>
              </w:tc>
              <w:tc>
                <w:tcPr>
                  <w:tcW w:w="2443" w:type="dxa"/>
                  <w:vMerge w:val="restart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4550D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按照GB 16889-2024《生活垃圾填埋场污染控制标准》要求开展防渗衬层完整性探测，重点针对填埋库区底部衬层、边坡衬层关键部位。利用专业设备（如电火花法、高密度电阻率法等）对HDPE膜及复合衬层进行完整性扫描，精准定位可能存在的破损点、漏洞或老化渗漏区域，确保防渗系统无渗漏风险。</w:t>
                  </w:r>
                </w:p>
              </w:tc>
            </w:tr>
            <w:tr w14:paraId="41E053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1D327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1.2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C8D89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填埋场边坡防渗膜渗漏探测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2BE18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㎡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61501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9000</w:t>
                  </w:r>
                </w:p>
              </w:tc>
              <w:tc>
                <w:tcPr>
                  <w:tcW w:w="2443" w:type="dxa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</w:tcPr>
                <w:p w14:paraId="3400EC08"/>
              </w:tc>
            </w:tr>
            <w:tr w14:paraId="5F30C94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18D70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</w:t>
                  </w:r>
                </w:p>
              </w:tc>
              <w:tc>
                <w:tcPr>
                  <w:tcW w:w="5142" w:type="dxa"/>
                  <w:gridSpan w:val="4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24124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垃圾堆体稳定安全监测与评估</w:t>
                  </w:r>
                </w:p>
              </w:tc>
            </w:tr>
            <w:tr w14:paraId="115935E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8DF89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2.1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21C9A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地形地貌</w:t>
                  </w:r>
                </w:p>
              </w:tc>
              <w:tc>
                <w:tcPr>
                  <w:tcW w:w="4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A1A59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项</w:t>
                  </w:r>
                </w:p>
              </w:tc>
              <w:tc>
                <w:tcPr>
                  <w:tcW w:w="5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5A221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</w:t>
                  </w:r>
                </w:p>
              </w:tc>
              <w:tc>
                <w:tcPr>
                  <w:tcW w:w="24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9F550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利用无人机等设备航测垃圾填埋场地形地貌，评估垃圾堆体稳定性。</w:t>
                  </w:r>
                </w:p>
              </w:tc>
            </w:tr>
            <w:tr w14:paraId="750B337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9D510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</w:t>
                  </w:r>
                </w:p>
              </w:tc>
              <w:tc>
                <w:tcPr>
                  <w:tcW w:w="5142" w:type="dxa"/>
                  <w:gridSpan w:val="4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CB8D2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地下水、土壤环境监测</w:t>
                  </w:r>
                </w:p>
              </w:tc>
            </w:tr>
            <w:tr w14:paraId="2FC7970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2F11E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3.1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33EDF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地下水水质监测</w:t>
                  </w:r>
                </w:p>
              </w:tc>
              <w:tc>
                <w:tcPr>
                  <w:tcW w:w="4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7C173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组</w:t>
                  </w:r>
                </w:p>
              </w:tc>
              <w:tc>
                <w:tcPr>
                  <w:tcW w:w="5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17F20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8</w:t>
                  </w:r>
                </w:p>
              </w:tc>
              <w:tc>
                <w:tcPr>
                  <w:tcW w:w="24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941715">
                  <w:pPr>
                    <w:pStyle w:val="4"/>
                    <w:ind w:left="105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1.对地下水水质进行监测，按照规范要求进行地下水采样分析，重点监测《排污许可证》涉及到的指标及特定的垃圾渗滤液特征指标。</w:t>
                  </w:r>
                </w:p>
                <w:p w14:paraId="61D79402">
                  <w:pPr>
                    <w:pStyle w:val="4"/>
                    <w:ind w:left="105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2.分析地下水污染的范围、程度、扩散趋势及污染来源，判断地下水水质是否满足相应标准。</w:t>
                  </w:r>
                </w:p>
                <w:p w14:paraId="7400D129">
                  <w:pPr>
                    <w:pStyle w:val="4"/>
                    <w:ind w:left="105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3.监测因子：pH值、溶解性总固体、总硬度、高锰酸盐指数、粪大肠菌群、总汞、总镉、六价铬、总砷、总铅、总铜、总锌、总锰、总铁、氨氮</w:t>
                  </w:r>
                </w:p>
              </w:tc>
            </w:tr>
            <w:tr w14:paraId="1E4E03B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BD77F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3.2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50503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土壤采样监测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CAC9E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组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AA88F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16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DBEEA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对填埋场土壤进行采样监测，监测因子：GB36600-2018《土壤环境质量 建设用地土壤污染风险管控标准（试行）》基本项目45项。</w:t>
                  </w:r>
                </w:p>
              </w:tc>
            </w:tr>
            <w:tr w14:paraId="4B03BB9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61468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4</w:t>
                  </w:r>
                </w:p>
              </w:tc>
              <w:tc>
                <w:tcPr>
                  <w:tcW w:w="5142" w:type="dxa"/>
                  <w:gridSpan w:val="4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39272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渗滤液出水监测报告</w:t>
                  </w:r>
                </w:p>
              </w:tc>
            </w:tr>
            <w:tr w14:paraId="0049711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019D8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4.1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CA8AA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渗滤液原水监测</w:t>
                  </w:r>
                </w:p>
              </w:tc>
              <w:tc>
                <w:tcPr>
                  <w:tcW w:w="4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0E651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组</w:t>
                  </w:r>
                </w:p>
              </w:tc>
              <w:tc>
                <w:tcPr>
                  <w:tcW w:w="5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E6B66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</w:t>
                  </w:r>
                </w:p>
              </w:tc>
              <w:tc>
                <w:tcPr>
                  <w:tcW w:w="2443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6F0B9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对渗滤液原水及处理后废水进行监测，监测因子：CODCr、BOD₅、SS、总氮、氨氮、总磷、总汞、总镉、总铬、六价铬、总砷、总铅。</w:t>
                  </w:r>
                </w:p>
              </w:tc>
            </w:tr>
            <w:tr w14:paraId="5AC2A5B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2AD0C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4.2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9CF43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渗滤液处理后废水监测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76BAD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组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47EBC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</w:t>
                  </w:r>
                </w:p>
              </w:tc>
              <w:tc>
                <w:tcPr>
                  <w:tcW w:w="2443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2812C5F4"/>
              </w:tc>
            </w:tr>
            <w:tr w14:paraId="607C25F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2BDA6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5</w:t>
                  </w:r>
                </w:p>
              </w:tc>
              <w:tc>
                <w:tcPr>
                  <w:tcW w:w="5142" w:type="dxa"/>
                  <w:gridSpan w:val="4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46F3F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填埋气泄漏监测与燃爆风险评估</w:t>
                  </w:r>
                </w:p>
              </w:tc>
            </w:tr>
            <w:tr w14:paraId="1DB229E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1A282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5.1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4AA02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填埋气泄漏监测</w:t>
                  </w:r>
                </w:p>
              </w:tc>
              <w:tc>
                <w:tcPr>
                  <w:tcW w:w="4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95E6A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组</w:t>
                  </w:r>
                </w:p>
              </w:tc>
              <w:tc>
                <w:tcPr>
                  <w:tcW w:w="5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971E6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4</w:t>
                  </w:r>
                </w:p>
              </w:tc>
              <w:tc>
                <w:tcPr>
                  <w:tcW w:w="244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D7797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1.结合当前填埋场运行现状与周边环境敏感点（如居民区、水源保护区、生态红线区），开展风险评估。识别潜在的突发环境事件风险源（如填埋气泄漏、火灾爆炸等），分析风险等级。</w:t>
                  </w:r>
                </w:p>
                <w:p w14:paraId="6CA5BEE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2.监测因子：硫化氢、氨。</w:t>
                  </w:r>
                </w:p>
              </w:tc>
            </w:tr>
            <w:tr w14:paraId="57F388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00DE6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6</w:t>
                  </w:r>
                </w:p>
              </w:tc>
              <w:tc>
                <w:tcPr>
                  <w:tcW w:w="5142" w:type="dxa"/>
                  <w:gridSpan w:val="4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6262E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监测两个垃圾填埋场的库容量和已填埋垃圾的方量</w:t>
                  </w:r>
                </w:p>
              </w:tc>
            </w:tr>
          </w:tbl>
          <w:p w14:paraId="67F77F2F">
            <w:pPr>
              <w:pStyle w:val="4"/>
              <w:ind w:firstLine="236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注：国家出台新标准时，以最新现行标准为准。</w:t>
            </w:r>
          </w:p>
          <w:p w14:paraId="2D1D7C7A">
            <w:pPr>
              <w:pStyle w:val="4"/>
              <w:ind w:firstLine="236"/>
              <w:jc w:val="left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(三）成果要求</w:t>
            </w:r>
          </w:p>
          <w:p w14:paraId="133CCF4E">
            <w:pPr>
              <w:pStyle w:val="4"/>
              <w:ind w:firstLine="472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分别编制绵虒、水磨垃圾填埋场环境污染隐患风险评估及对照《四川省生活垃圾填埋场“一场一策”治理方案编制工作技术指南》要求，结合实际科学制定“一场一策”治理方案（包括整改措施，整改需要的资金概况），确保方案可操作、见实效，并通过专家审核。</w:t>
            </w:r>
          </w:p>
          <w:p w14:paraId="739A9427">
            <w:pPr>
              <w:pStyle w:val="4"/>
              <w:ind w:firstLine="472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2.最终提交成果需满足1套完整电子版（含所有报告的可编辑Word版、 PDF版及原始监测数据）和6套加盖公章的纸质版正式报告。影像资料需标注时间、坐标，做到图文并茂、数据真实可追溯。</w:t>
            </w:r>
          </w:p>
        </w:tc>
      </w:tr>
      <w:tr w14:paraId="6F857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F04AD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16A6162B"/>
        </w:tc>
        <w:tc>
          <w:tcPr>
            <w:tcW w:w="1495" w:type="dxa"/>
          </w:tcPr>
          <w:p w14:paraId="1BAE11A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履约要求</w:t>
            </w:r>
          </w:p>
        </w:tc>
        <w:tc>
          <w:tcPr>
            <w:tcW w:w="5814" w:type="dxa"/>
          </w:tcPr>
          <w:p w14:paraId="60392B8C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  <w:p w14:paraId="65B2844B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1.方案要求：供应商应在响应文件中提供项目理解与分析和项目实施方案。</w:t>
            </w:r>
          </w:p>
          <w:p w14:paraId="02E28496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（1) 项目理解与分析内容包含：①实施背景分析、②工作内容的掌握、③项目的需求分析、④工作预期目标分析、⑤工作重难点分析及解决措施。</w:t>
            </w:r>
          </w:p>
          <w:p w14:paraId="4AC91354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（2）项目实施方案内容包含：①现场踏勘要求、②工作流程安排、③人员组织协调、④进度计划及工期安排、⑤组织架构、⑥质量保障措施、⑦应急预案、⑧安全管理方案、⑨后续服务方案。</w:t>
            </w:r>
          </w:p>
          <w:p w14:paraId="371FF6C8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2.供应商应为本项目的配备服务人员。</w:t>
            </w:r>
          </w:p>
        </w:tc>
      </w:tr>
      <w:tr w14:paraId="7FDDB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2297E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2E2E19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6F28A61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商务要求（因系统固化，本项目商务要求以此为准）</w:t>
            </w:r>
          </w:p>
        </w:tc>
        <w:tc>
          <w:tcPr>
            <w:tcW w:w="5814" w:type="dxa"/>
          </w:tcPr>
          <w:p w14:paraId="0072CDD6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(一)服务期限和服务地点</w:t>
            </w:r>
          </w:p>
          <w:p w14:paraId="2B088013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1.服务期限：自合同签订之日起45日内完成。</w:t>
            </w:r>
          </w:p>
          <w:p w14:paraId="035AD4EA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2.服务地点：绵虒、水磨生活垃圾填埋场。</w:t>
            </w:r>
          </w:p>
          <w:p w14:paraId="42D9A6EB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(二)付款方式：</w:t>
            </w:r>
          </w:p>
          <w:p w14:paraId="3EFC5185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1.预付款，合同签订生效，接到供应商通知与票据凭证资料后，达到付款条件起10日内，支付合同总金额的30.00%</w:t>
            </w:r>
          </w:p>
          <w:p w14:paraId="2A120F6E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2.尾款，完成报告编制并通过评审后，接到供应商通知与票据凭证资料后，达到付款条件起10日内，支付合同总金额的70.00%。</w:t>
            </w:r>
          </w:p>
          <w:p w14:paraId="2420F4B1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注：合同价是供应商响应采购项目要求的全部工作内容的价格体现，包括采样费、分析测试费、数据处理费、人员外勤费、交通费、报告编制费、办公费、印务费及税费等所有费用；供应商需自行考虑所有不确定因素，如出现因投标报价估算错误等引起的损失由供应商自行承担，采购人不承担任何费用。</w:t>
            </w:r>
          </w:p>
          <w:p w14:paraId="405F66FE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(三)验收方法和标准</w:t>
            </w:r>
          </w:p>
          <w:p w14:paraId="38A69322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1.验收组织方式：自行验收</w:t>
            </w:r>
          </w:p>
          <w:p w14:paraId="5263EA2A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2.是否邀请本项目的其他供应商：否</w:t>
            </w:r>
          </w:p>
          <w:p w14:paraId="6F65F041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3.是否邀请专家：是</w:t>
            </w:r>
          </w:p>
          <w:p w14:paraId="581588FF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4.是否邀请服务对象：否</w:t>
            </w:r>
          </w:p>
          <w:p w14:paraId="5325B375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5.是否邀请第三方检测机构：否</w:t>
            </w:r>
          </w:p>
          <w:p w14:paraId="16998156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6.履约验收程序：一次性验收</w:t>
            </w:r>
          </w:p>
          <w:p w14:paraId="559C2ED4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7.履约验收时间：供应商提出验收申请之日起 ，达到验收条件起 10 日内，验收合同总金额的100%。</w:t>
            </w:r>
          </w:p>
          <w:p w14:paraId="384D157F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8.验收组织的其他事项：本项目验收方式为专家评审会。</w:t>
            </w:r>
          </w:p>
          <w:p w14:paraId="205DF1F7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9.技术履约验收内容：根据磋商文件，供应商的响应文件等内容进行验收。</w:t>
            </w:r>
          </w:p>
          <w:p w14:paraId="50839438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10.商务履约验收内容：根据磋商文件，供应商的响应文件等内容进行验收。</w:t>
            </w:r>
          </w:p>
          <w:p w14:paraId="17FDA41D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11.履约验收标准：</w:t>
            </w:r>
          </w:p>
          <w:p w14:paraId="37E2AE4E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按照政府采购相关法律法规以及《财政部关于进一步加强政府采购需求和履约验收管理的指导意见》（财库〔2016〕205 号）、《政府采购需求管理办法》（财库〔2021〕22 号）的要求进行验收，按磋商文件要求、供应商的响应文件及承诺、签订的合同、国家及行业相关规范标准进行。</w:t>
            </w:r>
          </w:p>
          <w:p w14:paraId="3BA27769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12.履约验收其他事项：其他未尽事宜应严格按照《财政部关于进一步加强政府采购需求和履约验收管理的指导意见》(财库〔2016〕205号)、《政府采购需求管理办法》(财库〔2021〕22 号)的规定，国家相关标准、行业标准、地方标准或者其他标准、规范以及甲方验收相关要求进行验收。</w:t>
            </w:r>
          </w:p>
          <w:p w14:paraId="0C639FB6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（四）违约责任与解决争议的方法</w:t>
            </w:r>
          </w:p>
          <w:p w14:paraId="0C67AF31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1.甲乙双方必须遵守本合同并执行合同中的各项规定，保证本合同的正常履行。</w:t>
            </w:r>
          </w:p>
          <w:p w14:paraId="085ACAFC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2.因国家政策调整、公共利益需要导致甲方无法履行合同义务的，甲方可书面通知乙方解除或变更合同，双方协商解决后续事宜。</w:t>
            </w:r>
          </w:p>
          <w:p w14:paraId="257A2330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如因乙方工作人员在履行职务过程中的疏忽、失职、过错等故意或者过失原因给甲方造成损失或侵害，但不限于甲方本身的财产损失、由此而导致的甲方对任何第三方的法律责任等，乙方对此均应承担全部的赔偿责任。</w:t>
            </w:r>
          </w:p>
          <w:p w14:paraId="1FEB46A5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4.解决争议的方法：（1）在执行本合同中发生的或与本合同有关的争端，双方应通过友好协商解决，经协商不能达成协议时，可依法向甲方所在地的人民法院提起诉讼。</w:t>
            </w:r>
          </w:p>
          <w:p w14:paraId="5485CF46">
            <w:pPr>
              <w:pStyle w:val="4"/>
              <w:ind w:firstLine="46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（2）在诉讼期间，除正在进行诉讼部分外，合同其他部分继续执行。</w:t>
            </w:r>
          </w:p>
        </w:tc>
      </w:tr>
    </w:tbl>
    <w:p w14:paraId="06A59922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3.3.服务要求</w:t>
      </w:r>
    </w:p>
    <w:p w14:paraId="793634AE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3.3.1服务内容要求</w:t>
      </w:r>
    </w:p>
    <w:p w14:paraId="2D375A4C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56E31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870BA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373AD45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390554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35F1AD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5A5FB5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6F8710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2032A104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3.3.2.商务要求</w:t>
      </w:r>
    </w:p>
    <w:p w14:paraId="7BE4670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0CDF3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6853C8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1B70A4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2ED0F0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4FCA816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3689E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AA6D8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71A30A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6583D1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服务期限</w:t>
            </w:r>
          </w:p>
        </w:tc>
        <w:tc>
          <w:tcPr>
            <w:tcW w:w="5814" w:type="dxa"/>
          </w:tcPr>
          <w:p w14:paraId="5E67EDD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自合同签订之日起45日内完成</w:t>
            </w:r>
          </w:p>
        </w:tc>
      </w:tr>
      <w:tr w14:paraId="10AC6C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96BC3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1994B0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47A6EFB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服务地点</w:t>
            </w:r>
          </w:p>
        </w:tc>
        <w:tc>
          <w:tcPr>
            <w:tcW w:w="5814" w:type="dxa"/>
          </w:tcPr>
          <w:p w14:paraId="6EABE4B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绵虒、水磨生活垃圾填埋场</w:t>
            </w:r>
          </w:p>
        </w:tc>
      </w:tr>
      <w:tr w14:paraId="3CFE4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867B2C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33F365E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0145614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2DE82A8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1.验收组织方式：自行验收 2.是否邀请本项目的其他供应商：否 3.是否邀请专家：是 4.是否邀请服务对象：否 5.是否邀请第三方检测机构：否 6.履约验收程序：一次性验收 7.履约验收时间：供应商提出验收申请之日起 ，达到验收条件起 10 日内，验收合同总金额的100%。 8.验收组织的其他事项：本项目验收方式为专家评审会。 9.技术履约验收内容：根据磋商文件，供应商的响应文件等内容进行验收。 10.商务履约验收内容：根据磋商文件，供应商的响应文件等内容进行验收。 11.履约验收标准： 按照政府采购相关法律法规以及《财政部关于进一步加强政府采购需求和履约验收管理的指导意见》（财库〔2016〕205 号）、《政府采购需求管理办法》（财库〔2021〕22 号）的要求进行验收，按磋商文件要求、供应商的响应文件及承诺、签订的合同、国家及行业相关规范标准进行。 12.履约验收其他事项：其他未尽事宜应严格按照《财政部关于进一步加强政府采购需求和履约验收管理的指导意见》(财库〔2016〕205号)、《政府采购需求管理办法》(财库〔2021〕22 号)的规定，国家相关标准、行业标准、地方标准或者其他标准、规范以及甲方验收相关要求进行验收。</w:t>
            </w:r>
          </w:p>
        </w:tc>
      </w:tr>
      <w:tr w14:paraId="4217A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E35700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7B93D2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1F22847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5BA5069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分期付款</w:t>
            </w:r>
          </w:p>
        </w:tc>
      </w:tr>
      <w:tr w14:paraId="7496D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62CD1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2BE434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68CBF5A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177512C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1、合同签订生效，接到供应商通知与票据凭证资料后，达到付款条件起10日内，支付合同总金额的30.00%</w:t>
            </w:r>
          </w:p>
          <w:p w14:paraId="2923DF1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2、完成报告编制并通过评审后，接到供应商通知与票据凭证资料后，达到付款条件起10日内，支付合同总金额的70.00%</w:t>
            </w:r>
          </w:p>
        </w:tc>
      </w:tr>
      <w:tr w14:paraId="111F9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57D9C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6F3B6B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2398F54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440117C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1.甲乙双方必须遵守本合同并执行合同中的各项规定，保证本合同的正常履行。 2.因国家政策调整、公共利益需要导致甲方无法履行合同义务的，甲方可书面通知乙方解除或变更合同，双方协商解决后续事宜。 3.如因乙方工作人员在履行职务过程中的疏忽、失职、过错等故意或者过失原因给甲方造成损失或侵害，但不限于甲方本身的财产损失、由此而导致的甲方对任何第三方的法律责任等，乙方对此均应承担全部的赔偿责任。 4.解决争议的方法：（1）在执行本合同中发生的或与本合同有关的争端，双方应通过友好协商解决，经协商不能达成协议时，可依法向甲方所在地的人民法院提起诉讼。 （2）在诉讼期间，除正在进行诉讼部分外，合同其他部分继续执行。</w:t>
            </w:r>
          </w:p>
        </w:tc>
      </w:tr>
    </w:tbl>
    <w:p w14:paraId="2D481D93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3.4.其他要求</w:t>
      </w:r>
    </w:p>
    <w:p w14:paraId="3DC882E8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5EE34793">
      <w:pPr>
        <w:pStyle w:val="4"/>
        <w:jc w:val="left"/>
      </w:pPr>
      <w:r>
        <w:rPr>
          <w:rFonts w:ascii="仿宋_GB2312" w:hAnsi="仿宋_GB2312" w:eastAsia="仿宋_GB2312" w:cs="仿宋_GB2312"/>
        </w:rPr>
        <w:t>无。</w:t>
      </w:r>
    </w:p>
    <w:p w14:paraId="5B5DD5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344D3"/>
    <w:rsid w:val="2FB3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2026-06-01T01:56:00Z</dcterms:created>
  <dc:creator>   _</dc:creator>
  <cp:lastModifiedBy>   _</cp:lastModifiedBy>
  <dcterms:modified xsi:type="dcterms:W3CDTF">2026-06-01T01:58:32Z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F1B528975EE04779B185A4B468027EE5_11</vt:lpwstr>
  </property>
  <property fmtid="{D5CDD505-2E9C-101B-9397-08002B2CF9AE}" pid="4" name="KSOTemplateDocerSaveRecord">
    <vt:lpwstr>eyJoZGlkIjoiZTZkZTM3OWQwMWVmNGYxNDJmNWNmMTkzNjczZjczMWMiLCJ1c2VySWQiOiI0NzMwMTY0NDUifQ==</vt:lpwstr>
  </property>
</Properties>
</file>