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99CD2">
      <w:pPr>
        <w:spacing w:line="360" w:lineRule="auto"/>
        <w:jc w:val="center"/>
        <w:rPr>
          <w:rFonts w:hint="eastAsia" w:ascii="宋体" w:hAnsi="宋体"/>
          <w:b/>
          <w:sz w:val="36"/>
          <w:szCs w:val="36"/>
          <w:lang w:eastAsia="zh-CN"/>
        </w:rPr>
      </w:pPr>
      <w:r>
        <w:rPr>
          <w:rFonts w:hint="eastAsia" w:ascii="宋体" w:hAnsi="宋体"/>
          <w:b/>
          <w:bCs/>
          <w:sz w:val="36"/>
          <w:szCs w:val="36"/>
        </w:rPr>
        <w:t>昆明市第一人民医院北院区NICU(神经重症监护室)改造项目</w:t>
      </w:r>
      <w:r>
        <w:rPr>
          <w:rFonts w:hint="eastAsia" w:ascii="宋体" w:hAnsi="宋体"/>
          <w:b/>
          <w:sz w:val="36"/>
          <w:szCs w:val="36"/>
          <w:lang w:val="en-US" w:eastAsia="zh-CN"/>
        </w:rPr>
        <w:t>招标工程量清单</w:t>
      </w:r>
      <w:r>
        <w:rPr>
          <w:rFonts w:hint="eastAsia" w:ascii="宋体" w:hAnsi="宋体"/>
          <w:b/>
          <w:sz w:val="36"/>
          <w:szCs w:val="36"/>
          <w:lang w:eastAsia="zh-CN"/>
        </w:rPr>
        <w:t>编制说明</w:t>
      </w:r>
    </w:p>
    <w:p w14:paraId="3BD7039B">
      <w:pPr>
        <w:numPr>
          <w:ilvl w:val="0"/>
          <w:numId w:val="1"/>
        </w:numPr>
        <w:spacing w:line="360" w:lineRule="auto"/>
        <w:rPr>
          <w:rFonts w:hint="eastAsia" w:ascii="宋体" w:hAnsi="宋体"/>
          <w:sz w:val="28"/>
          <w:szCs w:val="28"/>
        </w:rPr>
      </w:pPr>
      <w:r>
        <w:rPr>
          <w:rFonts w:hint="eastAsia" w:ascii="宋体" w:hAnsi="宋体"/>
          <w:b/>
          <w:sz w:val="28"/>
          <w:szCs w:val="28"/>
        </w:rPr>
        <w:t>工程概况</w:t>
      </w:r>
    </w:p>
    <w:p w14:paraId="066FDB06">
      <w:pPr>
        <w:numPr>
          <w:ilvl w:val="0"/>
          <w:numId w:val="2"/>
        </w:numPr>
        <w:snapToGri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项目名称：昆明市第一人民医院北院区NICU(神经重症监护室)改造项目</w:t>
      </w:r>
    </w:p>
    <w:p w14:paraId="7F242C70">
      <w:pPr>
        <w:pStyle w:val="8"/>
        <w:keepNext w:val="0"/>
        <w:keepLines w:val="0"/>
        <w:widowControl/>
        <w:suppressLineNumbers w:val="0"/>
        <w:spacing w:before="0" w:beforeAutospacing="0" w:after="0" w:afterAutospacing="0"/>
        <w:ind w:left="0" w:right="0" w:firstLine="560" w:firstLineChars="200"/>
      </w:pPr>
      <w:r>
        <w:rPr>
          <w:rFonts w:hint="eastAsia" w:ascii="宋体" w:hAnsi="宋体" w:cs="宋体"/>
          <w:bCs/>
          <w:sz w:val="28"/>
          <w:szCs w:val="28"/>
          <w:lang w:val="en-US" w:eastAsia="zh-CN"/>
        </w:rPr>
        <w:t>2、</w:t>
      </w:r>
      <w:r>
        <w:rPr>
          <w:rFonts w:hint="eastAsia" w:ascii="宋体" w:hAnsi="宋体" w:cs="宋体"/>
          <w:bCs/>
          <w:sz w:val="28"/>
          <w:szCs w:val="28"/>
        </w:rPr>
        <w:t>建设地点：</w:t>
      </w:r>
      <w:r>
        <w:rPr>
          <w:rFonts w:hint="eastAsia" w:ascii="宋体" w:hAnsi="宋体" w:cs="宋体"/>
          <w:bCs/>
          <w:sz w:val="28"/>
          <w:szCs w:val="28"/>
          <w:lang w:val="en-US" w:eastAsia="zh-CN"/>
        </w:rPr>
        <w:t>云南省昆明</w:t>
      </w:r>
      <w:r>
        <w:rPr>
          <w:rFonts w:hint="eastAsia" w:ascii="宋体" w:hAnsi="宋体" w:eastAsia="宋体" w:cs="宋体"/>
          <w:bCs/>
          <w:kern w:val="2"/>
          <w:sz w:val="28"/>
          <w:szCs w:val="28"/>
          <w:lang w:val="en-US" w:eastAsia="zh-CN" w:bidi="ar-SA"/>
        </w:rPr>
        <w:t>市盘龙区北京路1228号昆明市第一人民医院甘美医院住院部</w:t>
      </w:r>
    </w:p>
    <w:p w14:paraId="2BCDECF7">
      <w:pPr>
        <w:pStyle w:val="8"/>
        <w:keepNext w:val="0"/>
        <w:keepLines w:val="0"/>
        <w:widowControl/>
        <w:suppressLineNumbers w:val="0"/>
        <w:spacing w:before="0" w:beforeAutospacing="0" w:after="0" w:afterAutospacing="0"/>
        <w:ind w:left="0" w:right="0" w:firstLine="560" w:firstLineChars="200"/>
      </w:pPr>
      <w:r>
        <w:rPr>
          <w:rFonts w:hint="eastAsia" w:ascii="宋体" w:hAnsi="宋体" w:cs="宋体"/>
          <w:bCs/>
          <w:sz w:val="28"/>
          <w:szCs w:val="28"/>
          <w:lang w:val="en-US" w:eastAsia="zh-CN"/>
        </w:rPr>
        <w:t>3、</w:t>
      </w:r>
      <w:r>
        <w:rPr>
          <w:rFonts w:hint="eastAsia" w:ascii="宋体" w:hAnsi="宋体" w:cs="宋体"/>
          <w:bCs/>
          <w:sz w:val="28"/>
          <w:szCs w:val="28"/>
        </w:rPr>
        <w:t>建设单位</w:t>
      </w:r>
      <w:r>
        <w:rPr>
          <w:rFonts w:hint="eastAsia" w:ascii="宋体" w:hAnsi="宋体" w:cs="宋体"/>
          <w:bCs/>
          <w:sz w:val="28"/>
          <w:szCs w:val="28"/>
          <w:lang w:val="en-US" w:eastAsia="zh-CN"/>
        </w:rPr>
        <w:t>：昆明市第一人民医院</w:t>
      </w:r>
    </w:p>
    <w:p w14:paraId="37542E44">
      <w:pPr>
        <w:spacing w:line="360" w:lineRule="auto"/>
        <w:rPr>
          <w:rFonts w:hint="eastAsia" w:ascii="宋体" w:hAnsi="宋体"/>
          <w:b/>
          <w:sz w:val="28"/>
          <w:szCs w:val="28"/>
        </w:rPr>
      </w:pPr>
      <w:r>
        <w:rPr>
          <w:rFonts w:hint="eastAsia" w:ascii="宋体" w:hAnsi="宋体"/>
          <w:sz w:val="28"/>
          <w:szCs w:val="28"/>
        </w:rPr>
        <w:t>二、</w:t>
      </w:r>
      <w:r>
        <w:rPr>
          <w:rFonts w:hint="eastAsia" w:ascii="宋体" w:hAnsi="宋体"/>
          <w:b/>
          <w:sz w:val="28"/>
          <w:szCs w:val="28"/>
        </w:rPr>
        <w:t>编制范围</w:t>
      </w:r>
    </w:p>
    <w:p w14:paraId="2009CEC0">
      <w:pPr>
        <w:numPr>
          <w:ilvl w:val="0"/>
          <w:numId w:val="0"/>
        </w:numPr>
        <w:snapToGrid w:val="0"/>
        <w:spacing w:line="360" w:lineRule="auto"/>
        <w:ind w:firstLine="560" w:firstLineChars="200"/>
        <w:rPr>
          <w:rFonts w:hint="eastAsia" w:ascii="宋体" w:hAnsi="宋体" w:cs="宋体"/>
          <w:bCs/>
          <w:sz w:val="28"/>
          <w:szCs w:val="28"/>
          <w:lang w:eastAsia="zh-CN"/>
        </w:rPr>
      </w:pPr>
      <w:r>
        <w:rPr>
          <w:rFonts w:hint="eastAsia" w:ascii="宋体" w:hAnsi="宋体" w:cs="宋体"/>
          <w:bCs/>
          <w:sz w:val="28"/>
          <w:szCs w:val="28"/>
        </w:rPr>
        <w:t>本次编制范围为</w:t>
      </w:r>
      <w:r>
        <w:rPr>
          <w:rFonts w:hint="eastAsia" w:ascii="宋体" w:hAnsi="宋体" w:cs="宋体"/>
          <w:bCs/>
          <w:sz w:val="28"/>
          <w:szCs w:val="28"/>
          <w:lang w:eastAsia="zh-CN"/>
        </w:rPr>
        <w:t>昆明市第一人民医院北院区NICU(神经重症监护室)改造项目</w:t>
      </w:r>
      <w:r>
        <w:rPr>
          <w:rFonts w:hint="eastAsia" w:ascii="宋体" w:hAnsi="宋体" w:cs="宋体"/>
          <w:bCs/>
          <w:sz w:val="28"/>
          <w:szCs w:val="28"/>
          <w:lang w:val="en-US" w:eastAsia="zh-CN"/>
        </w:rPr>
        <w:t>，具体内容详见施工图纸及招标工程量清单。</w:t>
      </w:r>
    </w:p>
    <w:p w14:paraId="021BE1C5">
      <w:pPr>
        <w:spacing w:line="360" w:lineRule="auto"/>
        <w:rPr>
          <w:rFonts w:hint="eastAsia" w:ascii="宋体" w:hAnsi="宋体"/>
          <w:b/>
          <w:sz w:val="28"/>
          <w:szCs w:val="28"/>
        </w:rPr>
      </w:pPr>
      <w:r>
        <w:rPr>
          <w:rFonts w:hint="eastAsia" w:ascii="宋体" w:hAnsi="宋体"/>
          <w:sz w:val="28"/>
          <w:szCs w:val="28"/>
        </w:rPr>
        <w:t>三、</w:t>
      </w:r>
      <w:r>
        <w:rPr>
          <w:rFonts w:hint="eastAsia" w:ascii="宋体" w:hAnsi="宋体"/>
          <w:b/>
          <w:sz w:val="28"/>
          <w:szCs w:val="28"/>
        </w:rPr>
        <w:t>编制依据</w:t>
      </w:r>
    </w:p>
    <w:p w14:paraId="6B237143">
      <w:pPr>
        <w:keepNext w:val="0"/>
        <w:keepLines w:val="0"/>
        <w:pageBreakBefore w:val="0"/>
        <w:widowControl w:val="0"/>
        <w:kinsoku/>
        <w:wordWrap/>
        <w:overflowPunct/>
        <w:topLinePunct w:val="0"/>
        <w:autoSpaceDE/>
        <w:autoSpaceDN/>
        <w:bidi w:val="0"/>
        <w:adjustRightInd/>
        <w:snapToGrid w:val="0"/>
        <w:spacing w:line="360" w:lineRule="auto"/>
        <w:ind w:firstLine="601"/>
        <w:textAlignment w:val="auto"/>
        <w:rPr>
          <w:rFonts w:hint="eastAsia" w:ascii="宋体" w:hAnsi="宋体" w:cs="宋体"/>
          <w:bCs/>
          <w:sz w:val="28"/>
          <w:szCs w:val="28"/>
          <w:lang w:eastAsia="zh-CN"/>
        </w:rPr>
      </w:pPr>
      <w:r>
        <w:rPr>
          <w:rFonts w:hint="eastAsia" w:ascii="宋体" w:hAnsi="宋体" w:cs="宋体"/>
          <w:bCs/>
          <w:sz w:val="28"/>
          <w:szCs w:val="28"/>
        </w:rPr>
        <w:t>1</w:t>
      </w:r>
      <w:r>
        <w:rPr>
          <w:rFonts w:hint="eastAsia" w:ascii="宋体" w:hAnsi="宋体" w:cs="宋体"/>
          <w:bCs/>
          <w:sz w:val="28"/>
          <w:szCs w:val="28"/>
          <w:lang w:eastAsia="zh-CN"/>
        </w:rPr>
        <w:t>、</w:t>
      </w:r>
      <w:r>
        <w:rPr>
          <w:rFonts w:hint="eastAsia" w:ascii="宋体" w:hAnsi="宋体" w:cs="宋体"/>
          <w:bCs/>
          <w:sz w:val="28"/>
          <w:szCs w:val="28"/>
          <w:lang w:val="en-US" w:eastAsia="zh-CN"/>
        </w:rPr>
        <w:t>建设单位提供的</w:t>
      </w:r>
      <w:r>
        <w:rPr>
          <w:rFonts w:hint="eastAsia" w:ascii="宋体" w:hAnsi="宋体" w:cs="宋体"/>
          <w:bCs/>
          <w:sz w:val="28"/>
          <w:szCs w:val="28"/>
          <w:lang w:eastAsia="zh-CN"/>
        </w:rPr>
        <w:t>项目</w:t>
      </w:r>
      <w:r>
        <w:rPr>
          <w:rFonts w:hint="eastAsia" w:ascii="宋体" w:hAnsi="宋体" w:cs="宋体"/>
          <w:bCs/>
          <w:sz w:val="28"/>
          <w:szCs w:val="28"/>
          <w:lang w:val="en-US" w:eastAsia="zh-CN"/>
        </w:rPr>
        <w:t>施工图</w:t>
      </w:r>
      <w:r>
        <w:rPr>
          <w:rFonts w:hint="eastAsia" w:ascii="宋体" w:hAnsi="宋体" w:cs="宋体"/>
          <w:bCs/>
          <w:sz w:val="28"/>
          <w:szCs w:val="28"/>
          <w:lang w:eastAsia="zh-CN"/>
        </w:rPr>
        <w:t>；</w:t>
      </w:r>
    </w:p>
    <w:p w14:paraId="7FB81202">
      <w:pPr>
        <w:keepNext w:val="0"/>
        <w:keepLines w:val="0"/>
        <w:pageBreakBefore w:val="0"/>
        <w:widowControl w:val="0"/>
        <w:kinsoku/>
        <w:wordWrap/>
        <w:overflowPunct/>
        <w:topLinePunct w:val="0"/>
        <w:autoSpaceDE/>
        <w:autoSpaceDN/>
        <w:bidi w:val="0"/>
        <w:adjustRightInd/>
        <w:snapToGrid w:val="0"/>
        <w:spacing w:line="360" w:lineRule="auto"/>
        <w:ind w:firstLine="601"/>
        <w:textAlignment w:val="auto"/>
        <w:rPr>
          <w:rFonts w:hint="eastAsia" w:ascii="宋体" w:hAnsi="宋体" w:cs="宋体"/>
          <w:bCs/>
          <w:sz w:val="28"/>
          <w:szCs w:val="28"/>
          <w:lang w:val="en-US" w:eastAsia="zh-CN"/>
        </w:rPr>
      </w:pPr>
      <w:r>
        <w:rPr>
          <w:rFonts w:hint="eastAsia" w:ascii="宋体" w:hAnsi="宋体" w:cs="宋体"/>
          <w:bCs/>
          <w:sz w:val="28"/>
          <w:szCs w:val="28"/>
          <w:lang w:val="en-US" w:eastAsia="zh-CN"/>
        </w:rPr>
        <w:t>2、</w:t>
      </w:r>
      <w:r>
        <w:rPr>
          <w:rFonts w:hint="eastAsia" w:ascii="宋体" w:hAnsi="宋体" w:eastAsia="宋体" w:cs="宋体"/>
          <w:color w:val="000000"/>
          <w:sz w:val="28"/>
          <w:szCs w:val="28"/>
        </w:rPr>
        <w:t>《房屋建筑与装饰工程工程量计算标准》GB</w:t>
      </w:r>
      <w:r>
        <w:rPr>
          <w:rFonts w:hint="eastAsia" w:ascii="宋体" w:hAnsi="宋体" w:eastAsia="宋体" w:cs="宋体"/>
          <w:color w:val="000000"/>
          <w:sz w:val="28"/>
          <w:szCs w:val="28"/>
          <w:lang w:val="en-US" w:eastAsia="zh-CN"/>
        </w:rPr>
        <w:t xml:space="preserve">/T </w:t>
      </w:r>
      <w:r>
        <w:rPr>
          <w:rFonts w:hint="eastAsia" w:ascii="宋体" w:hAnsi="宋体" w:eastAsia="宋体" w:cs="宋体"/>
          <w:color w:val="000000"/>
          <w:sz w:val="28"/>
          <w:szCs w:val="28"/>
        </w:rPr>
        <w:t>505</w:t>
      </w:r>
      <w:r>
        <w:rPr>
          <w:rFonts w:hint="eastAsia" w:ascii="宋体" w:hAnsi="宋体" w:eastAsia="宋体" w:cs="宋体"/>
          <w:color w:val="000000"/>
          <w:sz w:val="28"/>
          <w:szCs w:val="28"/>
          <w:lang w:val="en-US" w:eastAsia="zh-CN"/>
        </w:rPr>
        <w:t>854</w:t>
      </w: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24</w:t>
      </w:r>
      <w:r>
        <w:rPr>
          <w:rFonts w:hint="eastAsia" w:ascii="宋体" w:hAnsi="宋体" w:cs="宋体"/>
          <w:bCs/>
          <w:sz w:val="28"/>
          <w:szCs w:val="28"/>
          <w:lang w:val="en-US" w:eastAsia="zh-CN"/>
        </w:rPr>
        <w:t>；</w:t>
      </w:r>
    </w:p>
    <w:p w14:paraId="4521C09F">
      <w:pPr>
        <w:keepNext w:val="0"/>
        <w:keepLines w:val="0"/>
        <w:pageBreakBefore w:val="0"/>
        <w:widowControl w:val="0"/>
        <w:kinsoku/>
        <w:wordWrap/>
        <w:overflowPunct/>
        <w:topLinePunct w:val="0"/>
        <w:autoSpaceDE/>
        <w:autoSpaceDN/>
        <w:bidi w:val="0"/>
        <w:adjustRightInd/>
        <w:snapToGrid w:val="0"/>
        <w:spacing w:line="360" w:lineRule="auto"/>
        <w:ind w:firstLine="601"/>
        <w:textAlignment w:val="auto"/>
        <w:rPr>
          <w:rFonts w:hint="eastAsia" w:ascii="宋体" w:hAnsi="宋体" w:cs="宋体"/>
          <w:bCs/>
          <w:sz w:val="28"/>
          <w:szCs w:val="28"/>
          <w:lang w:val="en-US" w:eastAsia="zh-CN"/>
        </w:rPr>
      </w:pPr>
      <w:r>
        <w:rPr>
          <w:rFonts w:hint="eastAsia" w:ascii="宋体" w:hAnsi="宋体" w:cs="宋体"/>
          <w:bCs/>
          <w:sz w:val="28"/>
          <w:szCs w:val="28"/>
          <w:lang w:val="en-US" w:eastAsia="zh-CN"/>
        </w:rPr>
        <w:t>3、《建设工程工程量清单计价标准》（GB/T 50500-2024）；</w:t>
      </w:r>
    </w:p>
    <w:p w14:paraId="41C63DCA">
      <w:pPr>
        <w:keepNext w:val="0"/>
        <w:keepLines w:val="0"/>
        <w:pageBreakBefore w:val="0"/>
        <w:widowControl w:val="0"/>
        <w:kinsoku/>
        <w:wordWrap/>
        <w:overflowPunct/>
        <w:topLinePunct w:val="0"/>
        <w:autoSpaceDE/>
        <w:autoSpaceDN/>
        <w:bidi w:val="0"/>
        <w:adjustRightInd/>
        <w:snapToGrid w:val="0"/>
        <w:spacing w:line="360" w:lineRule="auto"/>
        <w:ind w:firstLine="601"/>
        <w:textAlignment w:val="auto"/>
        <w:rPr>
          <w:rFonts w:hint="eastAsia" w:ascii="宋体" w:hAnsi="宋体" w:cs="宋体"/>
          <w:bCs/>
          <w:sz w:val="28"/>
          <w:szCs w:val="28"/>
          <w:lang w:val="en-US" w:eastAsia="zh-CN"/>
        </w:rPr>
      </w:pPr>
      <w:r>
        <w:rPr>
          <w:rFonts w:hint="eastAsia" w:ascii="宋体" w:hAnsi="宋体" w:cs="宋体"/>
          <w:bCs/>
          <w:sz w:val="28"/>
          <w:szCs w:val="28"/>
          <w:lang w:val="en-US" w:eastAsia="zh-CN"/>
        </w:rPr>
        <w:t>4、《建设工程工程量清单计价标准(2024)》云南省过渡期实施规定；</w:t>
      </w:r>
    </w:p>
    <w:p w14:paraId="103B8400">
      <w:pPr>
        <w:keepNext w:val="0"/>
        <w:keepLines w:val="0"/>
        <w:pageBreakBefore w:val="0"/>
        <w:widowControl w:val="0"/>
        <w:kinsoku/>
        <w:wordWrap/>
        <w:overflowPunct/>
        <w:topLinePunct w:val="0"/>
        <w:autoSpaceDE/>
        <w:autoSpaceDN/>
        <w:bidi w:val="0"/>
        <w:adjustRightInd/>
        <w:snapToGrid w:val="0"/>
        <w:spacing w:line="360" w:lineRule="auto"/>
        <w:ind w:firstLine="601"/>
        <w:textAlignment w:val="auto"/>
        <w:rPr>
          <w:rFonts w:hint="default" w:ascii="宋体" w:hAnsi="宋体" w:cs="宋体"/>
          <w:bCs/>
          <w:sz w:val="28"/>
          <w:szCs w:val="28"/>
          <w:lang w:val="en-US" w:eastAsia="zh-CN"/>
        </w:rPr>
      </w:pPr>
      <w:r>
        <w:rPr>
          <w:rFonts w:hint="eastAsia" w:ascii="宋体" w:hAnsi="宋体" w:cs="宋体"/>
          <w:bCs/>
          <w:sz w:val="28"/>
          <w:szCs w:val="28"/>
          <w:lang w:val="en-US" w:eastAsia="zh-CN"/>
        </w:rPr>
        <w:t>5、</w:t>
      </w:r>
      <w:r>
        <w:rPr>
          <w:rFonts w:hint="default" w:ascii="宋体" w:hAnsi="宋体" w:cs="宋体"/>
          <w:bCs/>
          <w:sz w:val="28"/>
          <w:szCs w:val="28"/>
          <w:lang w:val="en-US" w:eastAsia="zh-CN"/>
        </w:rPr>
        <w:t>《建设工程相关专业工程量计算标准云南省过渡期使用指南》</w:t>
      </w:r>
      <w:r>
        <w:rPr>
          <w:rFonts w:hint="eastAsia" w:ascii="宋体" w:hAnsi="宋体" w:cs="宋体"/>
          <w:bCs/>
          <w:sz w:val="28"/>
          <w:szCs w:val="28"/>
          <w:lang w:val="en-US" w:eastAsia="zh-CN"/>
        </w:rPr>
        <w:t>；</w:t>
      </w:r>
    </w:p>
    <w:p w14:paraId="291E79F2">
      <w:pPr>
        <w:keepNext w:val="0"/>
        <w:keepLines w:val="0"/>
        <w:pageBreakBefore w:val="0"/>
        <w:widowControl w:val="0"/>
        <w:kinsoku/>
        <w:wordWrap/>
        <w:overflowPunct/>
        <w:topLinePunct w:val="0"/>
        <w:autoSpaceDE/>
        <w:autoSpaceDN/>
        <w:bidi w:val="0"/>
        <w:adjustRightInd/>
        <w:snapToGrid w:val="0"/>
        <w:spacing w:line="360" w:lineRule="auto"/>
        <w:ind w:firstLine="601"/>
        <w:textAlignment w:val="auto"/>
        <w:rPr>
          <w:rFonts w:hint="eastAsia" w:ascii="宋体" w:hAnsi="宋体" w:cs="宋体"/>
          <w:bCs/>
          <w:sz w:val="28"/>
          <w:szCs w:val="28"/>
          <w:lang w:val="en-US" w:eastAsia="zh-CN"/>
        </w:rPr>
      </w:pPr>
      <w:r>
        <w:rPr>
          <w:rFonts w:hint="eastAsia" w:ascii="宋体" w:hAnsi="宋体" w:cs="宋体"/>
          <w:bCs/>
          <w:sz w:val="28"/>
          <w:szCs w:val="28"/>
          <w:lang w:val="en-US" w:eastAsia="zh-CN"/>
        </w:rPr>
        <w:t>6、《云南省建筑工程计价标准》（上、下）DBJ53/T-61-2020；</w:t>
      </w:r>
    </w:p>
    <w:p w14:paraId="7D6201BD">
      <w:pPr>
        <w:keepNext w:val="0"/>
        <w:keepLines w:val="0"/>
        <w:pageBreakBefore w:val="0"/>
        <w:widowControl w:val="0"/>
        <w:kinsoku/>
        <w:wordWrap/>
        <w:overflowPunct/>
        <w:topLinePunct w:val="0"/>
        <w:autoSpaceDE/>
        <w:autoSpaceDN/>
        <w:bidi w:val="0"/>
        <w:adjustRightInd/>
        <w:snapToGrid w:val="0"/>
        <w:spacing w:line="360" w:lineRule="auto"/>
        <w:ind w:firstLine="601"/>
        <w:textAlignment w:val="auto"/>
        <w:rPr>
          <w:rFonts w:hint="eastAsia" w:ascii="宋体" w:hAnsi="宋体" w:eastAsia="宋体" w:cs="宋体"/>
          <w:bCs/>
          <w:sz w:val="28"/>
          <w:szCs w:val="28"/>
          <w:lang w:val="en-US" w:eastAsia="zh-CN"/>
        </w:rPr>
      </w:pPr>
      <w:r>
        <w:rPr>
          <w:rFonts w:hint="eastAsia" w:ascii="宋体" w:hAnsi="宋体" w:cs="宋体"/>
          <w:color w:val="000000"/>
          <w:sz w:val="28"/>
          <w:szCs w:val="28"/>
          <w:lang w:val="en-US" w:eastAsia="zh-CN"/>
        </w:rPr>
        <w:t>7</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《云南省通用安装工程计价标准》（DBJ 53/T-63-2020）</w:t>
      </w:r>
      <w:r>
        <w:rPr>
          <w:rFonts w:hint="eastAsia" w:ascii="宋体" w:hAnsi="宋体" w:cs="宋体"/>
          <w:color w:val="000000"/>
          <w:sz w:val="28"/>
          <w:szCs w:val="28"/>
          <w:lang w:eastAsia="zh-CN"/>
        </w:rPr>
        <w:t>；</w:t>
      </w:r>
    </w:p>
    <w:p w14:paraId="16357C99">
      <w:pPr>
        <w:keepNext w:val="0"/>
        <w:keepLines w:val="0"/>
        <w:pageBreakBefore w:val="0"/>
        <w:widowControl w:val="0"/>
        <w:kinsoku/>
        <w:wordWrap/>
        <w:overflowPunct/>
        <w:topLinePunct w:val="0"/>
        <w:autoSpaceDE/>
        <w:autoSpaceDN/>
        <w:bidi w:val="0"/>
        <w:adjustRightInd/>
        <w:snapToGrid w:val="0"/>
        <w:spacing w:line="360" w:lineRule="auto"/>
        <w:ind w:firstLine="601"/>
        <w:textAlignment w:val="auto"/>
        <w:rPr>
          <w:rFonts w:hint="eastAsia" w:ascii="宋体" w:hAnsi="宋体" w:cs="宋体"/>
          <w:bCs/>
          <w:sz w:val="28"/>
          <w:szCs w:val="28"/>
          <w:lang w:val="en-US" w:eastAsia="zh-CN"/>
        </w:rPr>
      </w:pPr>
      <w:r>
        <w:rPr>
          <w:rFonts w:hint="eastAsia" w:ascii="宋体" w:hAnsi="宋体" w:cs="宋体"/>
          <w:bCs/>
          <w:sz w:val="28"/>
          <w:szCs w:val="28"/>
          <w:lang w:val="en-US" w:eastAsia="zh-CN"/>
        </w:rPr>
        <w:t>8、云南省住房和城乡建设厅关于《云南省建设工程造价计价标准（2020版）》发布实施的通知（云建科[2021]15号）及与其配套的现行有关政策、法规、文件、计价依据及计价办法等；</w:t>
      </w:r>
    </w:p>
    <w:p w14:paraId="6E9D1B52">
      <w:pPr>
        <w:snapToGrid w:val="0"/>
        <w:spacing w:line="360" w:lineRule="auto"/>
        <w:ind w:firstLine="600"/>
        <w:rPr>
          <w:rFonts w:hint="eastAsia" w:ascii="宋体" w:hAnsi="宋体" w:cs="宋体"/>
          <w:bCs/>
          <w:sz w:val="28"/>
          <w:szCs w:val="28"/>
          <w:lang w:val="en-US" w:eastAsia="zh-CN"/>
        </w:rPr>
      </w:pPr>
      <w:r>
        <w:rPr>
          <w:rFonts w:hint="eastAsia" w:ascii="宋体" w:hAnsi="宋体" w:cs="宋体"/>
          <w:bCs/>
          <w:sz w:val="28"/>
          <w:szCs w:val="28"/>
          <w:lang w:val="en-US" w:eastAsia="zh-CN"/>
        </w:rPr>
        <w:t>9、云建科函（2019）62号《云南省住房和城乡建设厅关于重新调整云南省建设工程造价计价依据中税金综合税率》的通知；</w:t>
      </w:r>
    </w:p>
    <w:p w14:paraId="77DB6905">
      <w:pPr>
        <w:snapToGrid w:val="0"/>
        <w:spacing w:line="360" w:lineRule="auto"/>
        <w:ind w:firstLine="600"/>
        <w:rPr>
          <w:rFonts w:hint="default" w:ascii="宋体" w:hAnsi="宋体" w:cs="宋体"/>
          <w:bCs/>
          <w:sz w:val="28"/>
          <w:szCs w:val="28"/>
          <w:lang w:val="en-US" w:eastAsia="zh-CN"/>
        </w:rPr>
      </w:pPr>
      <w:r>
        <w:rPr>
          <w:rFonts w:hint="eastAsia" w:ascii="宋体" w:hAnsi="宋体" w:cs="宋体"/>
          <w:bCs/>
          <w:sz w:val="28"/>
          <w:szCs w:val="28"/>
          <w:lang w:val="en-US" w:eastAsia="zh-CN"/>
        </w:rPr>
        <w:t>10、云建科函（2023）54号《云南省住房和城乡建设厅关于云南省建设工程造价计价标准调整定额人工费的通知》；</w:t>
      </w:r>
    </w:p>
    <w:p w14:paraId="13C26F6A">
      <w:pPr>
        <w:snapToGrid w:val="0"/>
        <w:spacing w:line="360" w:lineRule="auto"/>
        <w:ind w:firstLine="600"/>
        <w:rPr>
          <w:rFonts w:hint="eastAsia" w:ascii="宋体" w:hAnsi="宋体" w:cs="宋体"/>
          <w:bCs/>
          <w:sz w:val="28"/>
          <w:szCs w:val="28"/>
          <w:lang w:val="en-US" w:eastAsia="zh-CN"/>
        </w:rPr>
      </w:pPr>
      <w:r>
        <w:rPr>
          <w:rFonts w:hint="eastAsia" w:ascii="宋体" w:hAnsi="宋体" w:cs="宋体"/>
          <w:bCs/>
          <w:sz w:val="28"/>
          <w:szCs w:val="28"/>
          <w:lang w:val="en-US" w:eastAsia="zh-CN"/>
        </w:rPr>
        <w:t>11、其他与建设工程有关的标准、规范、技术资料、标准图集及省市配套文件等。</w:t>
      </w:r>
    </w:p>
    <w:p w14:paraId="330E5724">
      <w:pPr>
        <w:pStyle w:val="15"/>
        <w:numPr>
          <w:ilvl w:val="0"/>
          <w:numId w:val="0"/>
        </w:numPr>
        <w:spacing w:line="360" w:lineRule="auto"/>
        <w:ind w:leftChars="0"/>
        <w:rPr>
          <w:rFonts w:hint="eastAsia" w:ascii="宋体" w:hAnsi="宋体"/>
          <w:b/>
          <w:bCs/>
          <w:sz w:val="28"/>
          <w:szCs w:val="28"/>
        </w:rPr>
      </w:pPr>
      <w:r>
        <w:rPr>
          <w:rFonts w:hint="eastAsia" w:ascii="宋体" w:hAnsi="宋体"/>
          <w:b/>
          <w:bCs/>
          <w:sz w:val="28"/>
          <w:szCs w:val="28"/>
          <w:lang w:val="en-US" w:eastAsia="zh-CN"/>
        </w:rPr>
        <w:t>四、</w:t>
      </w:r>
      <w:r>
        <w:rPr>
          <w:rFonts w:hint="eastAsia" w:ascii="宋体" w:hAnsi="宋体"/>
          <w:b/>
          <w:bCs/>
          <w:sz w:val="28"/>
          <w:szCs w:val="28"/>
        </w:rPr>
        <w:t>其他需要说明的问题</w:t>
      </w:r>
      <w:bookmarkStart w:id="0" w:name="_GoBack"/>
      <w:bookmarkEnd w:id="0"/>
    </w:p>
    <w:p w14:paraId="46562967">
      <w:pPr>
        <w:snapToGrid w:val="0"/>
        <w:spacing w:line="360" w:lineRule="auto"/>
        <w:ind w:firstLine="600"/>
        <w:rPr>
          <w:rFonts w:hint="eastAsia" w:ascii="宋体" w:hAnsi="宋体" w:cs="宋体"/>
          <w:bCs/>
          <w:sz w:val="28"/>
          <w:szCs w:val="28"/>
          <w:lang w:eastAsia="zh-CN"/>
        </w:rPr>
      </w:pPr>
      <w:r>
        <w:rPr>
          <w:rFonts w:hint="eastAsia" w:ascii="宋体" w:hAnsi="宋体" w:cs="宋体"/>
          <w:bCs/>
          <w:sz w:val="28"/>
          <w:szCs w:val="28"/>
        </w:rPr>
        <w:t>1、工程量清单应与招标文件、投标报价须知、合同条款、现行技术规范、验收规范及设计方案等文件结合起来阅读与理解</w:t>
      </w:r>
      <w:r>
        <w:rPr>
          <w:rFonts w:hint="eastAsia" w:ascii="宋体" w:hAnsi="宋体" w:cs="宋体"/>
          <w:bCs/>
          <w:sz w:val="28"/>
          <w:szCs w:val="28"/>
          <w:lang w:eastAsia="zh-CN"/>
        </w:rPr>
        <w:t>；</w:t>
      </w:r>
    </w:p>
    <w:p w14:paraId="5A66B877">
      <w:pPr>
        <w:snapToGrid w:val="0"/>
        <w:spacing w:line="360" w:lineRule="auto"/>
        <w:ind w:firstLine="600"/>
        <w:rPr>
          <w:rFonts w:hint="eastAsia" w:ascii="宋体" w:hAnsi="宋体" w:cs="宋体"/>
          <w:bCs/>
          <w:sz w:val="28"/>
          <w:szCs w:val="28"/>
          <w:lang w:eastAsia="zh-CN"/>
        </w:rPr>
      </w:pPr>
      <w:r>
        <w:rPr>
          <w:rFonts w:hint="eastAsia" w:ascii="宋体" w:hAnsi="宋体" w:cs="宋体"/>
          <w:bCs/>
          <w:sz w:val="28"/>
          <w:szCs w:val="28"/>
        </w:rPr>
        <w:t>2、本工程采用工程</w:t>
      </w:r>
      <w:r>
        <w:rPr>
          <w:rFonts w:hint="eastAsia" w:ascii="宋体" w:hAnsi="宋体" w:cs="宋体"/>
          <w:bCs/>
          <w:sz w:val="28"/>
          <w:szCs w:val="28"/>
          <w:highlight w:val="none"/>
        </w:rPr>
        <w:t>量清单综合单价的计价方式，综合单价包含人工费、材料费、机械费、管理费、利润</w:t>
      </w:r>
      <w:r>
        <w:rPr>
          <w:rFonts w:hint="eastAsia" w:ascii="宋体" w:hAnsi="宋体" w:cs="宋体"/>
          <w:bCs/>
          <w:sz w:val="28"/>
          <w:szCs w:val="28"/>
          <w:highlight w:val="none"/>
          <w:lang w:eastAsia="zh-CN"/>
        </w:rPr>
        <w:t>、风险费用；</w:t>
      </w:r>
    </w:p>
    <w:p w14:paraId="56CF8E65">
      <w:pPr>
        <w:snapToGrid w:val="0"/>
        <w:spacing w:line="360" w:lineRule="auto"/>
        <w:ind w:firstLine="600"/>
        <w:rPr>
          <w:rFonts w:hint="eastAsia" w:ascii="宋体" w:hAnsi="宋体" w:cs="宋体"/>
          <w:bCs/>
          <w:sz w:val="28"/>
          <w:szCs w:val="28"/>
          <w:lang w:eastAsia="zh-CN"/>
        </w:rPr>
      </w:pPr>
      <w:r>
        <w:rPr>
          <w:rFonts w:hint="eastAsia" w:ascii="宋体" w:hAnsi="宋体" w:cs="宋体"/>
          <w:bCs/>
          <w:sz w:val="28"/>
          <w:szCs w:val="28"/>
          <w:lang w:val="en-US" w:eastAsia="zh-CN"/>
        </w:rPr>
        <w:t>3</w:t>
      </w:r>
      <w:r>
        <w:rPr>
          <w:rFonts w:hint="eastAsia" w:ascii="宋体" w:hAnsi="宋体" w:cs="宋体"/>
          <w:bCs/>
          <w:sz w:val="28"/>
          <w:szCs w:val="28"/>
        </w:rPr>
        <w:t>、工程量清单中的工程数量，仅作为投标报价的共同基础，不能作为最终结算与支付的依据，具体工程量以现场施工实际发生工程量为准</w:t>
      </w:r>
      <w:r>
        <w:rPr>
          <w:rFonts w:hint="eastAsia" w:ascii="宋体" w:hAnsi="宋体" w:cs="宋体"/>
          <w:bCs/>
          <w:sz w:val="28"/>
          <w:szCs w:val="28"/>
          <w:lang w:eastAsia="zh-CN"/>
        </w:rPr>
        <w:t>；</w:t>
      </w:r>
    </w:p>
    <w:p w14:paraId="0C91AEF2">
      <w:pPr>
        <w:snapToGrid w:val="0"/>
        <w:spacing w:line="360" w:lineRule="auto"/>
        <w:ind w:firstLine="600"/>
        <w:rPr>
          <w:rFonts w:hint="eastAsia" w:ascii="宋体" w:hAnsi="宋体" w:cs="宋体"/>
          <w:bCs/>
          <w:sz w:val="28"/>
          <w:szCs w:val="28"/>
          <w:lang w:eastAsia="zh-CN"/>
        </w:rPr>
      </w:pPr>
      <w:r>
        <w:rPr>
          <w:rFonts w:hint="eastAsia" w:ascii="宋体" w:hAnsi="宋体" w:cs="宋体"/>
          <w:bCs/>
          <w:sz w:val="28"/>
          <w:szCs w:val="28"/>
          <w:lang w:val="en-US" w:eastAsia="zh-CN"/>
        </w:rPr>
        <w:t>4、</w:t>
      </w:r>
      <w:r>
        <w:rPr>
          <w:rFonts w:hint="eastAsia" w:ascii="宋体" w:hAnsi="宋体" w:cs="宋体"/>
          <w:bCs/>
          <w:sz w:val="28"/>
          <w:szCs w:val="28"/>
          <w:lang w:eastAsia="zh-CN"/>
        </w:rPr>
        <w:t>本次招标工程量清单及</w:t>
      </w:r>
      <w:r>
        <w:rPr>
          <w:rFonts w:hint="eastAsia" w:ascii="宋体" w:hAnsi="宋体" w:cs="宋体"/>
          <w:bCs/>
          <w:sz w:val="28"/>
          <w:szCs w:val="28"/>
          <w:lang w:val="en-US" w:eastAsia="zh-CN"/>
        </w:rPr>
        <w:t>最高投标限</w:t>
      </w:r>
      <w:r>
        <w:rPr>
          <w:rFonts w:hint="eastAsia" w:ascii="宋体" w:hAnsi="宋体" w:cs="宋体"/>
          <w:bCs/>
          <w:sz w:val="28"/>
          <w:szCs w:val="28"/>
          <w:lang w:eastAsia="zh-CN"/>
        </w:rPr>
        <w:t>价的项目特征及具体做法只作重点描述，未反映出或未完善表述的未尽事宜，均须满足相关规范的要求。除项目特征描述中已注明外，需符合业主方要求；满足质量、验收及相关规范等要求，其余未尽之处，参照相应</w:t>
      </w:r>
      <w:r>
        <w:rPr>
          <w:rFonts w:hint="eastAsia" w:ascii="宋体" w:hAnsi="宋体" w:cs="宋体"/>
          <w:bCs/>
          <w:sz w:val="28"/>
          <w:szCs w:val="28"/>
          <w:lang w:val="en-US" w:eastAsia="zh-CN"/>
        </w:rPr>
        <w:t>施工规范及</w:t>
      </w:r>
      <w:r>
        <w:rPr>
          <w:rFonts w:hint="eastAsia" w:ascii="宋体" w:hAnsi="宋体" w:cs="宋体"/>
          <w:bCs/>
          <w:sz w:val="28"/>
          <w:szCs w:val="28"/>
          <w:lang w:eastAsia="zh-CN"/>
        </w:rPr>
        <w:t>国家标准执行；</w:t>
      </w:r>
    </w:p>
    <w:p w14:paraId="74E13609">
      <w:pPr>
        <w:snapToGrid w:val="0"/>
        <w:spacing w:line="360" w:lineRule="auto"/>
        <w:ind w:firstLine="600"/>
        <w:rPr>
          <w:rFonts w:hint="eastAsia" w:ascii="宋体" w:hAnsi="宋体" w:cs="宋体"/>
          <w:bCs/>
          <w:sz w:val="28"/>
          <w:szCs w:val="28"/>
          <w:lang w:val="en-US" w:eastAsia="zh-CN"/>
        </w:rPr>
      </w:pPr>
      <w:r>
        <w:rPr>
          <w:rFonts w:hint="eastAsia" w:ascii="宋体" w:hAnsi="宋体" w:cs="宋体"/>
          <w:bCs/>
          <w:sz w:val="28"/>
          <w:szCs w:val="28"/>
          <w:lang w:val="en-US" w:eastAsia="zh-CN"/>
        </w:rPr>
        <w:t>5、所有材料价均为到工地的价格；</w:t>
      </w:r>
    </w:p>
    <w:p w14:paraId="2AEE1F51">
      <w:pPr>
        <w:snapToGrid w:val="0"/>
        <w:spacing w:line="360" w:lineRule="auto"/>
        <w:ind w:firstLine="600"/>
        <w:rPr>
          <w:rFonts w:hint="default" w:ascii="宋体" w:hAnsi="宋体" w:cs="宋体"/>
          <w:bCs/>
          <w:sz w:val="28"/>
          <w:szCs w:val="28"/>
          <w:lang w:val="en-US" w:eastAsia="zh-CN"/>
        </w:rPr>
      </w:pPr>
      <w:r>
        <w:rPr>
          <w:rFonts w:hint="eastAsia" w:ascii="宋体" w:hAnsi="宋体" w:cs="宋体"/>
          <w:bCs/>
          <w:sz w:val="28"/>
          <w:szCs w:val="28"/>
          <w:lang w:val="en-US" w:eastAsia="zh-CN"/>
        </w:rPr>
        <w:t>6、4*95+1*50主备供电缆不在本次编制范围内；</w:t>
      </w:r>
    </w:p>
    <w:p w14:paraId="73213CC6">
      <w:pPr>
        <w:snapToGrid w:val="0"/>
        <w:spacing w:line="360" w:lineRule="auto"/>
        <w:ind w:firstLine="600"/>
        <w:rPr>
          <w:rFonts w:hint="eastAsia" w:ascii="宋体" w:hAnsi="宋体" w:cs="宋体"/>
          <w:bCs/>
          <w:sz w:val="28"/>
          <w:szCs w:val="28"/>
          <w:lang w:val="en-US" w:eastAsia="zh-CN"/>
        </w:rPr>
      </w:pPr>
      <w:r>
        <w:rPr>
          <w:rFonts w:hint="eastAsia" w:ascii="宋体" w:hAnsi="宋体" w:cs="宋体"/>
          <w:bCs/>
          <w:sz w:val="28"/>
          <w:szCs w:val="28"/>
          <w:lang w:val="en-US" w:eastAsia="zh-CN"/>
        </w:rPr>
        <w:t>7、本项目增值税税率按一般纳税人9%计取；</w:t>
      </w:r>
    </w:p>
    <w:p w14:paraId="2CAC943E">
      <w:pPr>
        <w:keepNext w:val="0"/>
        <w:keepLines w:val="0"/>
        <w:pageBreakBefore w:val="0"/>
        <w:widowControl w:val="0"/>
        <w:kinsoku/>
        <w:wordWrap/>
        <w:overflowPunct/>
        <w:topLinePunct w:val="0"/>
        <w:autoSpaceDE/>
        <w:autoSpaceDN/>
        <w:bidi w:val="0"/>
        <w:adjustRightInd/>
        <w:snapToGrid w:val="0"/>
        <w:spacing w:line="360" w:lineRule="auto"/>
        <w:ind w:firstLine="600"/>
        <w:textAlignment w:val="auto"/>
        <w:rPr>
          <w:rFonts w:hint="default" w:ascii="宋体" w:hAnsi="宋体" w:cs="宋体"/>
          <w:bCs/>
          <w:sz w:val="28"/>
          <w:szCs w:val="28"/>
          <w:lang w:val="en-US" w:eastAsia="zh-CN"/>
        </w:rPr>
      </w:pPr>
      <w:r>
        <w:rPr>
          <w:rFonts w:hint="eastAsia" w:ascii="宋体" w:hAnsi="宋体" w:cs="宋体"/>
          <w:bCs/>
          <w:sz w:val="28"/>
          <w:szCs w:val="28"/>
          <w:lang w:val="en-US" w:eastAsia="zh-CN"/>
        </w:rPr>
        <w:t>8、本项目暂列金额按115000元（不含增值税）计入，投标人报价时不得更改；</w:t>
      </w:r>
    </w:p>
    <w:p w14:paraId="7BBF171F">
      <w:pPr>
        <w:keepNext w:val="0"/>
        <w:keepLines w:val="0"/>
        <w:pageBreakBefore w:val="0"/>
        <w:widowControl w:val="0"/>
        <w:kinsoku/>
        <w:wordWrap/>
        <w:overflowPunct/>
        <w:topLinePunct w:val="0"/>
        <w:autoSpaceDE/>
        <w:autoSpaceDN/>
        <w:bidi w:val="0"/>
        <w:adjustRightInd/>
        <w:snapToGrid w:val="0"/>
        <w:spacing w:line="360" w:lineRule="auto"/>
        <w:ind w:firstLine="600"/>
        <w:textAlignment w:val="auto"/>
        <w:rPr>
          <w:rFonts w:hint="eastAsia" w:ascii="宋体" w:hAnsi="宋体" w:cs="宋体"/>
          <w:bCs/>
          <w:sz w:val="28"/>
          <w:szCs w:val="28"/>
          <w:lang w:val="en-US" w:eastAsia="zh-CN"/>
        </w:rPr>
      </w:pPr>
      <w:r>
        <w:rPr>
          <w:rFonts w:hint="eastAsia" w:ascii="宋体" w:hAnsi="宋体" w:cs="宋体"/>
          <w:bCs/>
          <w:sz w:val="28"/>
          <w:szCs w:val="28"/>
          <w:lang w:val="en-US" w:eastAsia="zh-CN"/>
        </w:rPr>
        <w:t>9</w:t>
      </w:r>
      <w:r>
        <w:rPr>
          <w:rFonts w:hint="eastAsia" w:ascii="宋体" w:hAnsi="宋体" w:eastAsia="宋体" w:cs="宋体"/>
          <w:bCs/>
          <w:sz w:val="28"/>
          <w:szCs w:val="28"/>
          <w:lang w:val="en-US" w:eastAsia="zh-CN"/>
        </w:rPr>
        <w:t>、本项目中所产生的二次及以上搬运费、施工垃圾清理、施工期临时占地用地及场内施工便道修整均应包含于工程单价中</w:t>
      </w:r>
      <w:r>
        <w:rPr>
          <w:rFonts w:hint="eastAsia" w:ascii="宋体" w:hAnsi="宋体" w:cs="宋体"/>
          <w:bCs/>
          <w:sz w:val="28"/>
          <w:szCs w:val="28"/>
          <w:lang w:val="en-US" w:eastAsia="zh-CN"/>
        </w:rPr>
        <w:t>；</w:t>
      </w:r>
    </w:p>
    <w:p w14:paraId="349EEDEA">
      <w:pPr>
        <w:keepNext w:val="0"/>
        <w:keepLines w:val="0"/>
        <w:pageBreakBefore w:val="0"/>
        <w:widowControl w:val="0"/>
        <w:kinsoku/>
        <w:wordWrap/>
        <w:overflowPunct/>
        <w:topLinePunct w:val="0"/>
        <w:autoSpaceDE/>
        <w:autoSpaceDN/>
        <w:bidi w:val="0"/>
        <w:adjustRightInd/>
        <w:snapToGrid w:val="0"/>
        <w:spacing w:line="360" w:lineRule="auto"/>
        <w:ind w:firstLine="600"/>
        <w:textAlignment w:val="auto"/>
        <w:rPr>
          <w:rFonts w:hint="eastAsia" w:ascii="宋体" w:hAnsi="宋体" w:cs="宋体"/>
          <w:bCs/>
          <w:sz w:val="28"/>
          <w:szCs w:val="28"/>
          <w:lang w:val="en-US" w:eastAsia="zh-CN"/>
        </w:rPr>
      </w:pPr>
      <w:r>
        <w:rPr>
          <w:rFonts w:hint="eastAsia" w:ascii="宋体" w:hAnsi="宋体" w:cs="宋体"/>
          <w:bCs/>
          <w:sz w:val="28"/>
          <w:szCs w:val="28"/>
          <w:lang w:val="en-US" w:eastAsia="zh-CN"/>
        </w:rPr>
        <w:t>10、本项目安全文明施工费已按现行计价规定足额计取，该费用已综合考虑现场硬质围挡搭设、维护、拆除及现场安全文明施工所需的所有措施内容。投标人须在报价中充分考虑相关风险，除合同约定的调整情形外，该费用不再另行支付。</w:t>
      </w:r>
    </w:p>
    <w:p w14:paraId="7D56F74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bCs/>
          <w:sz w:val="28"/>
          <w:szCs w:val="28"/>
          <w:highlight w:val="none"/>
          <w:lang w:val="en-US" w:eastAsia="zh-CN"/>
        </w:rPr>
      </w:pPr>
      <w:r>
        <w:rPr>
          <w:rFonts w:hint="eastAsia" w:ascii="宋体" w:hAnsi="宋体" w:cs="宋体"/>
          <w:bCs/>
          <w:sz w:val="28"/>
          <w:szCs w:val="28"/>
          <w:highlight w:val="none"/>
          <w:lang w:val="en-US" w:eastAsia="zh-CN"/>
        </w:rPr>
        <w:t>11</w:t>
      </w:r>
      <w:r>
        <w:rPr>
          <w:rFonts w:hint="eastAsia" w:ascii="宋体" w:hAnsi="宋体" w:eastAsia="宋体" w:cs="宋体"/>
          <w:bCs/>
          <w:sz w:val="28"/>
          <w:szCs w:val="28"/>
          <w:highlight w:val="none"/>
          <w:lang w:val="en-US" w:eastAsia="zh-CN"/>
        </w:rPr>
        <w:t>、</w:t>
      </w:r>
      <w:r>
        <w:rPr>
          <w:rFonts w:hint="eastAsia" w:ascii="宋体" w:hAnsi="宋体" w:eastAsia="宋体" w:cs="宋体"/>
          <w:sz w:val="28"/>
          <w:szCs w:val="28"/>
          <w:highlight w:val="none"/>
          <w:lang w:val="en-US" w:eastAsia="zh-CN"/>
        </w:rPr>
        <w:t>本项目涉及拆除部分，拆除回收的材料残值暂未考虑，后根据实际情况调整该部分费用。</w:t>
      </w:r>
    </w:p>
    <w:p w14:paraId="659DC786">
      <w:pPr>
        <w:pStyle w:val="2"/>
        <w:rPr>
          <w:rFonts w:hint="eastAsia"/>
        </w:rPr>
      </w:pPr>
    </w:p>
    <w:p w14:paraId="56C1BA8B">
      <w:pPr>
        <w:spacing w:line="360" w:lineRule="auto"/>
        <w:jc w:val="both"/>
        <w:rPr>
          <w:rFonts w:hint="eastAsia" w:ascii="宋体" w:hAnsi="宋体"/>
          <w:sz w:val="28"/>
          <w:szCs w:val="28"/>
        </w:rPr>
      </w:pPr>
    </w:p>
    <w:p w14:paraId="06B92B44">
      <w:pPr>
        <w:spacing w:line="360" w:lineRule="auto"/>
        <w:jc w:val="both"/>
        <w:rPr>
          <w:rFonts w:hint="eastAsia" w:ascii="宋体" w:hAnsi="宋体"/>
          <w:sz w:val="28"/>
          <w:szCs w:val="28"/>
        </w:rPr>
      </w:pPr>
      <w:r>
        <w:rPr>
          <w:rFonts w:hint="eastAsia" w:ascii="宋体" w:hAnsi="宋体"/>
          <w:sz w:val="28"/>
          <w:szCs w:val="28"/>
        </w:rPr>
        <w:t xml:space="preserve">注册造价工程师：              </w:t>
      </w:r>
      <w:r>
        <w:rPr>
          <w:rFonts w:hint="eastAsia" w:ascii="宋体" w:hAnsi="宋体"/>
          <w:sz w:val="28"/>
          <w:szCs w:val="28"/>
          <w:lang w:val="en-US" w:eastAsia="zh-CN"/>
        </w:rPr>
        <w:t xml:space="preserve">            </w:t>
      </w:r>
      <w:r>
        <w:rPr>
          <w:rFonts w:hint="eastAsia" w:ascii="宋体" w:hAnsi="宋体"/>
          <w:sz w:val="28"/>
          <w:szCs w:val="28"/>
        </w:rPr>
        <w:t xml:space="preserve">云南恒业工程造价咨询有限公司              </w:t>
      </w:r>
    </w:p>
    <w:p w14:paraId="15994150">
      <w:pPr>
        <w:widowControl/>
        <w:spacing w:line="360" w:lineRule="auto"/>
        <w:ind w:firstLine="560" w:firstLineChars="200"/>
        <w:jc w:val="center"/>
      </w:pPr>
      <w:r>
        <w:rPr>
          <w:rFonts w:hint="eastAsia" w:ascii="宋体" w:hAnsi="宋体"/>
          <w:sz w:val="28"/>
          <w:szCs w:val="28"/>
        </w:rPr>
        <w:t xml:space="preserve">                                           </w:t>
      </w:r>
      <w:r>
        <w:rPr>
          <w:rFonts w:hint="eastAsia" w:ascii="宋体" w:hAnsi="宋体"/>
          <w:sz w:val="28"/>
          <w:szCs w:val="28"/>
          <w:lang w:eastAsia="zh-CN"/>
        </w:rPr>
        <w:t>202</w:t>
      </w:r>
      <w:r>
        <w:rPr>
          <w:rFonts w:hint="eastAsia" w:ascii="宋体" w:hAnsi="宋体"/>
          <w:sz w:val="28"/>
          <w:szCs w:val="28"/>
          <w:lang w:val="en-US" w:eastAsia="zh-CN"/>
        </w:rPr>
        <w:t>6</w:t>
      </w:r>
      <w:r>
        <w:rPr>
          <w:rFonts w:hint="eastAsia" w:ascii="宋体" w:hAnsi="宋体"/>
          <w:sz w:val="28"/>
          <w:szCs w:val="28"/>
          <w:lang w:eastAsia="zh-CN"/>
        </w:rPr>
        <w:t>年</w:t>
      </w:r>
      <w:r>
        <w:rPr>
          <w:rFonts w:hint="eastAsia" w:ascii="宋体" w:hAnsi="宋体"/>
          <w:sz w:val="28"/>
          <w:szCs w:val="28"/>
          <w:lang w:val="en-US" w:eastAsia="zh-CN"/>
        </w:rPr>
        <w:t>4</w:t>
      </w:r>
      <w:r>
        <w:rPr>
          <w:rFonts w:hint="eastAsia" w:ascii="宋体" w:hAnsi="宋体"/>
          <w:sz w:val="28"/>
          <w:szCs w:val="28"/>
          <w:lang w:eastAsia="zh-CN"/>
        </w:rPr>
        <w:t>月</w:t>
      </w:r>
      <w:r>
        <w:rPr>
          <w:rFonts w:hint="eastAsia" w:ascii="宋体" w:hAnsi="宋体"/>
          <w:sz w:val="28"/>
          <w:szCs w:val="28"/>
          <w:lang w:val="en-US" w:eastAsia="zh-CN"/>
        </w:rPr>
        <w:t>23</w:t>
      </w:r>
      <w:r>
        <w:rPr>
          <w:rFonts w:hint="eastAsia" w:ascii="宋体" w:hAnsi="宋体"/>
          <w:sz w:val="28"/>
          <w:szCs w:val="28"/>
          <w:lang w:eastAsia="zh-CN"/>
        </w:rPr>
        <w:t>日</w:t>
      </w:r>
    </w:p>
    <w:sectPr>
      <w:headerReference r:id="rId3" w:type="default"/>
      <w:footerReference r:id="rId4" w:type="default"/>
      <w:footerReference r:id="rId5"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A2D92">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945349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45166">
    <w:pPr>
      <w:pStyle w:val="6"/>
      <w:framePr w:wrap="around" w:vAnchor="text" w:hAnchor="margin" w:xAlign="center" w:y="1"/>
      <w:rPr>
        <w:rStyle w:val="11"/>
      </w:rPr>
    </w:pPr>
    <w:r>
      <w:fldChar w:fldCharType="begin"/>
    </w:r>
    <w:r>
      <w:rPr>
        <w:rStyle w:val="11"/>
      </w:rPr>
      <w:instrText xml:space="preserve">PAGE  </w:instrText>
    </w:r>
    <w:r>
      <w:fldChar w:fldCharType="end"/>
    </w:r>
  </w:p>
  <w:p w14:paraId="5ADFF124">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62E1E">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E9086C"/>
    <w:multiLevelType w:val="multilevel"/>
    <w:tmpl w:val="25E9086C"/>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833F978"/>
    <w:multiLevelType w:val="singleLevel"/>
    <w:tmpl w:val="7833F97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4NTk1YTlmMzA2YjVmMzRhZDUyYjA1N2MwNjlhMTgifQ=="/>
  </w:docVars>
  <w:rsids>
    <w:rsidRoot w:val="00E66D0E"/>
    <w:rsid w:val="000A5AE8"/>
    <w:rsid w:val="00123114"/>
    <w:rsid w:val="00180D62"/>
    <w:rsid w:val="004439B3"/>
    <w:rsid w:val="00475DEA"/>
    <w:rsid w:val="005128A5"/>
    <w:rsid w:val="00573FFF"/>
    <w:rsid w:val="006B0C15"/>
    <w:rsid w:val="00751985"/>
    <w:rsid w:val="009528CD"/>
    <w:rsid w:val="00A51E7E"/>
    <w:rsid w:val="00E66D0E"/>
    <w:rsid w:val="01405C2F"/>
    <w:rsid w:val="0145620F"/>
    <w:rsid w:val="01714809"/>
    <w:rsid w:val="027155B8"/>
    <w:rsid w:val="02E50098"/>
    <w:rsid w:val="03C52BEB"/>
    <w:rsid w:val="03FE2EB3"/>
    <w:rsid w:val="05361921"/>
    <w:rsid w:val="05366F8B"/>
    <w:rsid w:val="060D06A8"/>
    <w:rsid w:val="0616597F"/>
    <w:rsid w:val="06B4469A"/>
    <w:rsid w:val="06E710CA"/>
    <w:rsid w:val="07487CBB"/>
    <w:rsid w:val="07B86C87"/>
    <w:rsid w:val="08DF44CB"/>
    <w:rsid w:val="09381ABA"/>
    <w:rsid w:val="0B04224A"/>
    <w:rsid w:val="0CFB51EE"/>
    <w:rsid w:val="0DE025A6"/>
    <w:rsid w:val="0E121056"/>
    <w:rsid w:val="0E8C2C83"/>
    <w:rsid w:val="0EA2314E"/>
    <w:rsid w:val="0EDD34DE"/>
    <w:rsid w:val="0F5475A4"/>
    <w:rsid w:val="0F883FCF"/>
    <w:rsid w:val="0FA41CAF"/>
    <w:rsid w:val="106317C1"/>
    <w:rsid w:val="10BA2C0E"/>
    <w:rsid w:val="10EC76D3"/>
    <w:rsid w:val="11032FA4"/>
    <w:rsid w:val="12114C58"/>
    <w:rsid w:val="12277634"/>
    <w:rsid w:val="12E84C13"/>
    <w:rsid w:val="134B44D9"/>
    <w:rsid w:val="1356385F"/>
    <w:rsid w:val="138403CC"/>
    <w:rsid w:val="1396641E"/>
    <w:rsid w:val="13A275AD"/>
    <w:rsid w:val="146124BC"/>
    <w:rsid w:val="156264CE"/>
    <w:rsid w:val="169C3C7F"/>
    <w:rsid w:val="169F7CF1"/>
    <w:rsid w:val="1735109D"/>
    <w:rsid w:val="17A600E3"/>
    <w:rsid w:val="17CC1480"/>
    <w:rsid w:val="191B2E1A"/>
    <w:rsid w:val="197C1B46"/>
    <w:rsid w:val="1A17172A"/>
    <w:rsid w:val="1A1E203C"/>
    <w:rsid w:val="1A22449B"/>
    <w:rsid w:val="1B9503D8"/>
    <w:rsid w:val="1C254DC1"/>
    <w:rsid w:val="1C631745"/>
    <w:rsid w:val="1CF71C0F"/>
    <w:rsid w:val="1D44297A"/>
    <w:rsid w:val="1D551131"/>
    <w:rsid w:val="1D56727D"/>
    <w:rsid w:val="1DAE0890"/>
    <w:rsid w:val="203E6240"/>
    <w:rsid w:val="2141089E"/>
    <w:rsid w:val="21A66E01"/>
    <w:rsid w:val="246765DF"/>
    <w:rsid w:val="258D6E68"/>
    <w:rsid w:val="26130315"/>
    <w:rsid w:val="26883A52"/>
    <w:rsid w:val="26D833AB"/>
    <w:rsid w:val="27D92BF8"/>
    <w:rsid w:val="27F136FF"/>
    <w:rsid w:val="281A5069"/>
    <w:rsid w:val="28B9608E"/>
    <w:rsid w:val="28C90E95"/>
    <w:rsid w:val="28DD039D"/>
    <w:rsid w:val="29E75002"/>
    <w:rsid w:val="2AB70C30"/>
    <w:rsid w:val="2AEF2177"/>
    <w:rsid w:val="2AFB2A11"/>
    <w:rsid w:val="2C6D3C9C"/>
    <w:rsid w:val="2CBC285C"/>
    <w:rsid w:val="2D455B8E"/>
    <w:rsid w:val="2DBC1CCF"/>
    <w:rsid w:val="2DE60D6D"/>
    <w:rsid w:val="2EA96433"/>
    <w:rsid w:val="2FFC1F59"/>
    <w:rsid w:val="305E12B6"/>
    <w:rsid w:val="30961F34"/>
    <w:rsid w:val="315106CA"/>
    <w:rsid w:val="32075AFB"/>
    <w:rsid w:val="33394C2F"/>
    <w:rsid w:val="33953B86"/>
    <w:rsid w:val="339C6DCD"/>
    <w:rsid w:val="33EB36F8"/>
    <w:rsid w:val="34081197"/>
    <w:rsid w:val="343B553A"/>
    <w:rsid w:val="35731BF7"/>
    <w:rsid w:val="35747E49"/>
    <w:rsid w:val="3640209E"/>
    <w:rsid w:val="368B438D"/>
    <w:rsid w:val="36E72DCE"/>
    <w:rsid w:val="372F0430"/>
    <w:rsid w:val="38E06356"/>
    <w:rsid w:val="38E31B50"/>
    <w:rsid w:val="39042BD0"/>
    <w:rsid w:val="39426BB0"/>
    <w:rsid w:val="3B124EDD"/>
    <w:rsid w:val="3B5C4B69"/>
    <w:rsid w:val="3B603DD7"/>
    <w:rsid w:val="3B704D07"/>
    <w:rsid w:val="3B82118B"/>
    <w:rsid w:val="3C2A39D2"/>
    <w:rsid w:val="3C524093"/>
    <w:rsid w:val="3CEF4259"/>
    <w:rsid w:val="3E1E2D7D"/>
    <w:rsid w:val="3FC90D91"/>
    <w:rsid w:val="3FE94F8F"/>
    <w:rsid w:val="4046451F"/>
    <w:rsid w:val="41A906BB"/>
    <w:rsid w:val="43721740"/>
    <w:rsid w:val="43A06030"/>
    <w:rsid w:val="44244FDC"/>
    <w:rsid w:val="4560249E"/>
    <w:rsid w:val="4645658B"/>
    <w:rsid w:val="464A3349"/>
    <w:rsid w:val="471C3E9C"/>
    <w:rsid w:val="47E33174"/>
    <w:rsid w:val="48B725F8"/>
    <w:rsid w:val="495E6D91"/>
    <w:rsid w:val="499C2A4E"/>
    <w:rsid w:val="4A802248"/>
    <w:rsid w:val="4AA76173"/>
    <w:rsid w:val="4AAA7A11"/>
    <w:rsid w:val="4B483B4D"/>
    <w:rsid w:val="4B6F5DF6"/>
    <w:rsid w:val="4BA508C4"/>
    <w:rsid w:val="4C255A6B"/>
    <w:rsid w:val="4C9C6C93"/>
    <w:rsid w:val="4D546CE9"/>
    <w:rsid w:val="4E6A58E5"/>
    <w:rsid w:val="4EBA770C"/>
    <w:rsid w:val="50212524"/>
    <w:rsid w:val="50BB0282"/>
    <w:rsid w:val="513E25E6"/>
    <w:rsid w:val="51AB2ECD"/>
    <w:rsid w:val="52171576"/>
    <w:rsid w:val="52274597"/>
    <w:rsid w:val="53113464"/>
    <w:rsid w:val="546926EB"/>
    <w:rsid w:val="54732B85"/>
    <w:rsid w:val="55567BE4"/>
    <w:rsid w:val="55F52488"/>
    <w:rsid w:val="56637655"/>
    <w:rsid w:val="566C513C"/>
    <w:rsid w:val="57A8598D"/>
    <w:rsid w:val="57AC6B77"/>
    <w:rsid w:val="5801376F"/>
    <w:rsid w:val="585960A8"/>
    <w:rsid w:val="59020456"/>
    <w:rsid w:val="59C767EA"/>
    <w:rsid w:val="5A10070B"/>
    <w:rsid w:val="5C702869"/>
    <w:rsid w:val="5CB62246"/>
    <w:rsid w:val="5CC76F20"/>
    <w:rsid w:val="5F4D19A3"/>
    <w:rsid w:val="60367925"/>
    <w:rsid w:val="60CE3122"/>
    <w:rsid w:val="61AB4B8A"/>
    <w:rsid w:val="61E909C7"/>
    <w:rsid w:val="621974FF"/>
    <w:rsid w:val="62201DA6"/>
    <w:rsid w:val="628030DA"/>
    <w:rsid w:val="62DA1F7E"/>
    <w:rsid w:val="62F472AA"/>
    <w:rsid w:val="63F576E5"/>
    <w:rsid w:val="64055F8C"/>
    <w:rsid w:val="64FA19AF"/>
    <w:rsid w:val="657F592F"/>
    <w:rsid w:val="65C04FB5"/>
    <w:rsid w:val="669C2066"/>
    <w:rsid w:val="66D46353"/>
    <w:rsid w:val="671B7875"/>
    <w:rsid w:val="67E70A94"/>
    <w:rsid w:val="69280027"/>
    <w:rsid w:val="69773451"/>
    <w:rsid w:val="69AF5A53"/>
    <w:rsid w:val="6C481C67"/>
    <w:rsid w:val="6C9609AC"/>
    <w:rsid w:val="6DD07F60"/>
    <w:rsid w:val="6E9739B1"/>
    <w:rsid w:val="6EA04641"/>
    <w:rsid w:val="6F3445AF"/>
    <w:rsid w:val="6F38459B"/>
    <w:rsid w:val="6F547DC8"/>
    <w:rsid w:val="6F6D3BF0"/>
    <w:rsid w:val="7005236E"/>
    <w:rsid w:val="71F5000E"/>
    <w:rsid w:val="729B1F44"/>
    <w:rsid w:val="72E51FF9"/>
    <w:rsid w:val="730E11DD"/>
    <w:rsid w:val="73147204"/>
    <w:rsid w:val="73AB6CC3"/>
    <w:rsid w:val="74690B00"/>
    <w:rsid w:val="76106A7D"/>
    <w:rsid w:val="79312715"/>
    <w:rsid w:val="7961380D"/>
    <w:rsid w:val="7A311A69"/>
    <w:rsid w:val="7C7575D0"/>
    <w:rsid w:val="7CFB4983"/>
    <w:rsid w:val="7DD41A0F"/>
    <w:rsid w:val="7DED1996"/>
    <w:rsid w:val="7F43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0"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autoRedefine/>
    <w:qFormat/>
    <w:uiPriority w:val="0"/>
    <w:pPr>
      <w:keepNext/>
      <w:keepLines/>
      <w:widowControl w:val="0"/>
      <w:adjustRightInd/>
      <w:snapToGrid/>
      <w:spacing w:before="340" w:after="330" w:line="240" w:lineRule="auto"/>
      <w:jc w:val="both"/>
      <w:outlineLvl w:val="0"/>
    </w:pPr>
    <w:rPr>
      <w:rFonts w:eastAsia="黑体"/>
      <w:bCs/>
      <w:kern w:val="44"/>
      <w:sz w:val="36"/>
      <w:szCs w:val="44"/>
    </w:rPr>
  </w:style>
  <w:style w:type="paragraph" w:styleId="2">
    <w:name w:val="heading 4"/>
    <w:basedOn w:val="1"/>
    <w:next w:val="1"/>
    <w:qFormat/>
    <w:uiPriority w:val="0"/>
    <w:pPr>
      <w:keepNext/>
      <w:keepLines/>
      <w:widowControl/>
      <w:spacing w:before="280" w:after="290" w:line="376" w:lineRule="auto"/>
      <w:jc w:val="left"/>
      <w:outlineLvl w:val="3"/>
    </w:pPr>
    <w:rPr>
      <w:rFonts w:ascii="Arial" w:hAnsi="Arial" w:eastAsia="黑体"/>
      <w:b/>
      <w:bCs/>
      <w:szCs w:val="28"/>
    </w:rPr>
  </w:style>
  <w:style w:type="character" w:default="1" w:styleId="10">
    <w:name w:val="Default Paragraph Font"/>
    <w:autoRedefine/>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4">
    <w:name w:val="Note Heading"/>
    <w:basedOn w:val="1"/>
    <w:next w:val="1"/>
    <w:autoRedefine/>
    <w:qFormat/>
    <w:uiPriority w:val="0"/>
    <w:pPr>
      <w:widowControl w:val="0"/>
      <w:adjustRightInd/>
      <w:snapToGrid/>
      <w:spacing w:after="0"/>
      <w:jc w:val="center"/>
    </w:pPr>
    <w:rPr>
      <w:rFonts w:ascii="Times New Roman" w:hAnsi="Times New Roman"/>
      <w:kern w:val="2"/>
      <w:sz w:val="21"/>
      <w:szCs w:val="20"/>
    </w:rPr>
  </w:style>
  <w:style w:type="paragraph" w:styleId="5">
    <w:name w:val="Balloon Text"/>
    <w:basedOn w:val="1"/>
    <w:link w:val="16"/>
    <w:autoRedefine/>
    <w:semiHidden/>
    <w:unhideWhenUsed/>
    <w:qFormat/>
    <w:uiPriority w:val="99"/>
    <w:rPr>
      <w:sz w:val="18"/>
      <w:szCs w:val="18"/>
    </w:rPr>
  </w:style>
  <w:style w:type="paragraph" w:styleId="6">
    <w:name w:val="footer"/>
    <w:basedOn w:val="1"/>
    <w:link w:val="13"/>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styleId="11">
    <w:name w:val="page number"/>
    <w:basedOn w:val="10"/>
    <w:autoRedefine/>
    <w:qFormat/>
    <w:uiPriority w:val="0"/>
  </w:style>
  <w:style w:type="character" w:customStyle="1" w:styleId="12">
    <w:name w:val="页眉 Char"/>
    <w:basedOn w:val="10"/>
    <w:link w:val="7"/>
    <w:autoRedefine/>
    <w:qFormat/>
    <w:uiPriority w:val="0"/>
    <w:rPr>
      <w:sz w:val="18"/>
      <w:szCs w:val="18"/>
    </w:rPr>
  </w:style>
  <w:style w:type="character" w:customStyle="1" w:styleId="13">
    <w:name w:val="页脚 Char"/>
    <w:basedOn w:val="10"/>
    <w:link w:val="6"/>
    <w:autoRedefine/>
    <w:qFormat/>
    <w:uiPriority w:val="0"/>
    <w:rPr>
      <w:rFonts w:ascii="Times New Roman" w:hAnsi="Times New Roman" w:eastAsia="宋体" w:cs="Times New Roman"/>
      <w:sz w:val="18"/>
      <w:szCs w:val="18"/>
    </w:rPr>
  </w:style>
  <w:style w:type="character" w:customStyle="1" w:styleId="14">
    <w:name w:val="页眉 Char1"/>
    <w:basedOn w:val="10"/>
    <w:link w:val="7"/>
    <w:autoRedefine/>
    <w:semiHidden/>
    <w:qFormat/>
    <w:uiPriority w:val="99"/>
    <w:rPr>
      <w:rFonts w:ascii="Times New Roman" w:hAnsi="Times New Roman" w:eastAsia="宋体" w:cs="Times New Roman"/>
      <w:sz w:val="18"/>
      <w:szCs w:val="18"/>
    </w:rPr>
  </w:style>
  <w:style w:type="paragraph" w:styleId="15">
    <w:name w:val="List Paragraph"/>
    <w:basedOn w:val="1"/>
    <w:autoRedefine/>
    <w:qFormat/>
    <w:uiPriority w:val="34"/>
    <w:pPr>
      <w:ind w:firstLine="420" w:firstLineChars="200"/>
    </w:pPr>
  </w:style>
  <w:style w:type="character" w:customStyle="1" w:styleId="16">
    <w:name w:val="批注框文本 Char"/>
    <w:basedOn w:val="10"/>
    <w:link w:val="5"/>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1270</Words>
  <Characters>1386</Characters>
  <Lines>9</Lines>
  <Paragraphs>2</Paragraphs>
  <TotalTime>24</TotalTime>
  <ScaleCrop>false</ScaleCrop>
  <LinksUpToDate>false</LinksUpToDate>
  <CharactersWithSpaces>1472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2019-03-11T02:45:00Z</dcterms:created>
  <dc:creator>Administrator</dc:creator>
  <cp:lastModifiedBy>Leamon</cp:lastModifiedBy>
  <cp:lastPrinted>2025-07-30T12:18:00Z</cp:lastPrinted>
  <dcterms:modified xsi:type="dcterms:W3CDTF">2026-04-23T08:50:25Z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BA3A1CB717004C88830455764F4B5346</vt:lpwstr>
  </property>
  <property fmtid="{D5CDD505-2E9C-101B-9397-08002B2CF9AE}" pid="4" name="KSOTemplateDocerSaveRecord">
    <vt:lpwstr>eyJoZGlkIjoiOGFhMTAxYTliYjQ3MDVmZTNmMDRjZGUwNzE3YTBiM2UiLCJ1c2VySWQiOiI0ODM3NjA2NzcifQ==</vt:lpwstr>
  </property>
</Properties>
</file>