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版本号：N510115202600004820260428001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2026年主要维护材料政府采购项目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N5101152026000048</w:t>
      </w:r>
    </w:p>
    <w:p>
      <w:pPr>
        <w:pStyle w:val="null3"/>
        <w:jc w:val="left"/>
        <w:outlineLvl w:val="2"/>
      </w:pPr>
      <w:r>
        <w:rPr>
          <w:rFonts w:ascii="仿宋_GB2312" w:hAnsi="仿宋_GB2312" w:cs="仿宋_GB2312" w:eastAsia="仿宋_GB2312"/>
          <w:sz w:val="28"/>
          <w:b/>
        </w:rPr>
        <w:t>成都市温江区城市道路桥梁管护中心</w:t>
      </w:r>
    </w:p>
    <w:p>
      <w:pPr>
        <w:pStyle w:val="null3"/>
        <w:jc w:val="center"/>
        <w:outlineLvl w:val="2"/>
      </w:pPr>
      <w:r>
        <w:rPr>
          <w:rFonts w:ascii="仿宋_GB2312" w:hAnsi="仿宋_GB2312" w:cs="仿宋_GB2312" w:eastAsia="仿宋_GB2312"/>
          <w:sz w:val="28"/>
          <w:b/>
        </w:rPr>
        <w:t>四川中悦德工程咨询有限公司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四川中悦德工程咨询有限公司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成都市温江区城市道路桥梁管护中心</w:t>
      </w:r>
      <w:r>
        <w:rPr>
          <w:rFonts w:ascii="仿宋_GB2312" w:hAnsi="仿宋_GB2312" w:cs="仿宋_GB2312" w:eastAsia="仿宋_GB2312"/>
        </w:rPr>
        <w:t xml:space="preserve"> 委托，拟对 </w:t>
      </w:r>
      <w:r>
        <w:rPr>
          <w:rFonts w:ascii="仿宋_GB2312" w:hAnsi="仿宋_GB2312" w:cs="仿宋_GB2312" w:eastAsia="仿宋_GB2312"/>
        </w:rPr>
        <w:t>2026年主要维护材料政府采购项目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成都市温江区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N5101152026000048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2026年主要维护材料政府采购项目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主要涉及2026年中砂、各类规格型号的透水砼地砖、盲道砖、青石板地砖、花岗岩地砖、陶瓷透水砖、沥青冷补料、袋装水泥、路沿石（石材类）、沥青灌缝胶等大宗、常用维护材料，以保障全年道桥设施的维护工作正常开展。</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成都市温江区城市道路桥梁管护中心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温江区新南路166号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611130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李丹</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82719324</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四川中悦德工程咨询有限公司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四川省成都市青羊区成都市青羊区敬业路108号28栋1单元5层1号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610091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丁汝涵</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13438175291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采购包1：3,000,000.00元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代理服务费收费标准：按照“成本+合理利润”原则及与采购人签订的委托代理协议之相关规定，以中标金额作为计算基数，下浮20%计算后进行收取。账户名称：四川中悦德工程咨询有限公司； 开户银行：中国银行股份有限公司四川省分行； 帐 号：123970816560</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成都市温江区城市道路桥梁管护中心</w:t>
      </w:r>
      <w:r>
        <w:rPr>
          <w:rFonts w:ascii="仿宋_GB2312" w:hAnsi="仿宋_GB2312" w:cs="仿宋_GB2312" w:eastAsia="仿宋_GB2312"/>
        </w:rPr>
        <w:t xml:space="preserve"> 和 </w:t>
      </w:r>
      <w:r>
        <w:rPr>
          <w:rFonts w:ascii="仿宋_GB2312" w:hAnsi="仿宋_GB2312" w:cs="仿宋_GB2312" w:eastAsia="仿宋_GB2312"/>
        </w:rPr>
        <w:t>四川中悦德工程咨询有限公司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成都市温江区城市道路桥梁管护中心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四川中悦德工程咨询有限公司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签订合同后，采购人接到项目验收书面通知后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40</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供货单位供货量达到总供货量的70%，采购人接到项目验收书面通知后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30</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w:t>
      </w:r>
      <w:r>
        <w:rPr>
          <w:rFonts w:ascii="仿宋_GB2312" w:hAnsi="仿宋_GB2312" w:cs="仿宋_GB2312" w:eastAsia="仿宋_GB2312"/>
        </w:rPr>
        <w:t xml:space="preserve"> 验收条件说明： </w:t>
      </w:r>
      <w:r>
        <w:rPr>
          <w:rFonts w:ascii="仿宋_GB2312" w:hAnsi="仿宋_GB2312" w:cs="仿宋_GB2312" w:eastAsia="仿宋_GB2312"/>
        </w:rPr>
        <w:t>完成服务后，采购人接到项目验收书面通知后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30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根据《中华人民共和国政府采购法实施条例》《财政部关于进一步加强政府采购需求和履约验收管理的指导意见》（财库〔2016〕205 号）《成都市温江区采购项目履约验收实施细则（试行）》（温财发[2026]8号）的规定、招标文件及投标文件内容进行验收。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根据《中华人民共和国政府采购法实施条例》《财政部关于进一步加强政府采购需求和履约验收管理的指导意见》（财库〔2016〕205 号）的规定、招标文件及投标文件内容进行验收。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本项目采购人将严格按照政府采购相关法律法规、《财政部关于进一步加强政府采购需求和履约验收管理的指导意见》(财库〔2016〕205 号)以及《政府采购需求管理办法》(财库〔2021〕22 号)与《成都市温江区采购项目履约验收实施细则（试行）》（温财发[2026]8号） 的要求进行验收，以招标文件、投标文件和双方签订的合同为验收依据。</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四川中悦德工程咨询有限公司</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四川中悦德工程咨询有限公司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四川中悦德工程咨询有限公司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联系人：丁老师</w:t>
      </w:r>
    </w:p>
    <w:p>
      <w:pPr>
        <w:pStyle w:val="null3"/>
        <w:jc w:val="left"/>
      </w:pPr>
      <w:r>
        <w:rPr>
          <w:rFonts w:ascii="仿宋_GB2312" w:hAnsi="仿宋_GB2312" w:cs="仿宋_GB2312" w:eastAsia="仿宋_GB2312"/>
        </w:rPr>
        <w:t>联系电话：028-81706086</w:t>
      </w:r>
    </w:p>
    <w:p>
      <w:pPr>
        <w:pStyle w:val="null3"/>
        <w:jc w:val="left"/>
      </w:pPr>
      <w:r>
        <w:rPr>
          <w:rFonts w:ascii="仿宋_GB2312" w:hAnsi="仿宋_GB2312" w:cs="仿宋_GB2312" w:eastAsia="仿宋_GB2312"/>
        </w:rPr>
        <w:t>地址：四川省成都市青羊区敬业路108号28栋1单元5层1号</w:t>
      </w:r>
    </w:p>
    <w:p>
      <w:pPr>
        <w:pStyle w:val="null3"/>
        <w:jc w:val="left"/>
      </w:pPr>
      <w:r>
        <w:rPr>
          <w:rFonts w:ascii="仿宋_GB2312" w:hAnsi="仿宋_GB2312" w:cs="仿宋_GB2312" w:eastAsia="仿宋_GB2312"/>
        </w:rPr>
        <w:t>邮编：610031</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3,000,000.00</w:t>
      </w:r>
    </w:p>
    <w:p>
      <w:pPr>
        <w:pStyle w:val="null3"/>
        <w:jc w:val="left"/>
      </w:pPr>
      <w:r>
        <w:rPr>
          <w:rFonts w:ascii="仿宋_GB2312" w:hAnsi="仿宋_GB2312" w:cs="仿宋_GB2312" w:eastAsia="仿宋_GB2312"/>
        </w:rPr>
        <w:t>采购包最高限价（元）: 3,000,000.00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A07010335 加工天然石材、石料</w:t>
            </w:r>
          </w:p>
        </w:tc>
        <w:tc>
          <w:tcPr>
            <w:tcW w:type="dxa" w:w="821"/>
          </w:tcPr>
          <w:p>
            <w:pPr>
              <w:pStyle w:val="null3"/>
              <w:jc w:val="left"/>
            </w:pPr>
            <w:r>
              <w:rPr>
                <w:rFonts w:ascii="仿宋_GB2312" w:hAnsi="仿宋_GB2312" w:cs="仿宋_GB2312" w:eastAsia="仿宋_GB2312"/>
              </w:rPr>
              <w:t>2026年主要维护材料政府采购项目</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3,000,000.00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2026年主要维护材料政府采购项目</w:t>
            </w:r>
          </w:p>
        </w:tc>
        <w:tc>
          <w:tcPr>
            <w:tcW w:type="dxa" w:w="977"/>
          </w:tcPr>
          <w:p>
            <w:pPr>
              <w:pStyle w:val="null3"/>
              <w:jc w:val="center"/>
            </w:pPr>
            <w:r>
              <w:rPr>
                <w:rFonts w:ascii="仿宋_GB2312" w:hAnsi="仿宋_GB2312" w:cs="仿宋_GB2312" w:eastAsia="仿宋_GB2312"/>
              </w:rPr>
              <w:t>批</w:t>
            </w:r>
          </w:p>
        </w:tc>
        <w:tc>
          <w:tcPr>
            <w:tcW w:type="dxa" w:w="977"/>
          </w:tcPr>
          <w:p>
            <w:pPr>
              <w:pStyle w:val="null3"/>
              <w:jc w:val="center"/>
            </w:pPr>
            <w:r>
              <w:rPr>
                <w:rFonts w:ascii="仿宋_GB2312" w:hAnsi="仿宋_GB2312" w:cs="仿宋_GB2312" w:eastAsia="仿宋_GB2312"/>
              </w:rPr>
              <w:t>元</w:t>
            </w:r>
          </w:p>
        </w:tc>
        <w:tc>
          <w:tcPr>
            <w:tcW w:type="dxa" w:w="1466"/>
          </w:tcPr>
          <w:p>
            <w:pPr>
              <w:pStyle w:val="null3"/>
              <w:jc w:val="center"/>
            </w:pPr>
            <w:r>
              <w:rPr>
                <w:rFonts w:ascii="仿宋_GB2312" w:hAnsi="仿宋_GB2312" w:cs="仿宋_GB2312" w:eastAsia="仿宋_GB2312"/>
              </w:rPr>
              <w:t>21,953.00</w:t>
            </w:r>
          </w:p>
        </w:tc>
        <w:tc>
          <w:tcPr>
            <w:tcW w:type="dxa" w:w="977"/>
          </w:tcPr>
          <w:p>
            <w:pPr>
              <w:pStyle w:val="null3"/>
              <w:jc w:val="center"/>
            </w:pPr>
            <w:r>
              <w:rPr>
                <w:rFonts w:ascii="仿宋_GB2312" w:hAnsi="仿宋_GB2312" w:cs="仿宋_GB2312" w:eastAsia="仿宋_GB2312"/>
              </w:rPr>
              <w:t>单价</w:t>
            </w:r>
          </w:p>
        </w:tc>
        <w:tc>
          <w:tcPr>
            <w:tcW w:type="dxa" w:w="1466"/>
          </w:tcPr>
          <w:p>
            <w:pPr>
              <w:pStyle w:val="null3"/>
              <w:jc w:val="left"/>
            </w:pPr>
            <w:r>
              <w:rPr>
                <w:rFonts w:ascii="仿宋_GB2312" w:hAnsi="仿宋_GB2312" w:cs="仿宋_GB2312" w:eastAsia="仿宋_GB2312"/>
              </w:rPr>
              <w:t>本项目实行分项明细报价，评审委员会以单价汇总金额作为评审价。</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A07010335 加工天然石材、石料</w:t>
            </w:r>
          </w:p>
        </w:tc>
        <w:tc>
          <w:tcPr>
            <w:tcW w:type="dxa" w:w="2492"/>
          </w:tcPr>
          <w:p>
            <w:pPr>
              <w:pStyle w:val="null3"/>
              <w:jc w:val="left"/>
            </w:pPr>
            <w:r>
              <w:rPr>
                <w:rFonts w:ascii="仿宋_GB2312" w:hAnsi="仿宋_GB2312" w:cs="仿宋_GB2312" w:eastAsia="仿宋_GB2312"/>
              </w:rPr>
              <w:t>2026年主要维护材料政府采购项目</w:t>
            </w:r>
          </w:p>
        </w:tc>
        <w:tc>
          <w:tcPr>
            <w:tcW w:type="dxa" w:w="2492"/>
          </w:tcPr>
          <w:p>
            <w:pPr>
              <w:pStyle w:val="null3"/>
              <w:jc w:val="left"/>
            </w:pPr>
            <w:r>
              <w:rPr>
                <w:rFonts w:ascii="仿宋_GB2312" w:hAnsi="仿宋_GB2312" w:cs="仿宋_GB2312" w:eastAsia="仿宋_GB2312"/>
              </w:rPr>
              <w:t>花岗石路沿石(芝麻白)</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A07010335 加工天然石材、石料</w:t>
            </w:r>
          </w:p>
        </w:tc>
        <w:tc>
          <w:tcPr>
            <w:tcW w:type="dxa" w:w="2492"/>
          </w:tcPr>
          <w:p>
            <w:pPr>
              <w:pStyle w:val="null3"/>
              <w:jc w:val="left"/>
            </w:pPr>
            <w:r>
              <w:rPr>
                <w:rFonts w:ascii="仿宋_GB2312" w:hAnsi="仿宋_GB2312" w:cs="仿宋_GB2312" w:eastAsia="仿宋_GB2312"/>
              </w:rPr>
              <w:t>2026年主要维护材料政府采购项目</w:t>
            </w:r>
          </w:p>
        </w:tc>
        <w:tc>
          <w:tcPr>
            <w:tcW w:type="dxa" w:w="2492"/>
          </w:tcPr>
          <w:p>
            <w:pPr>
              <w:pStyle w:val="null3"/>
              <w:jc w:val="left"/>
            </w:pPr>
            <w:r>
              <w:rPr>
                <w:rFonts w:ascii="仿宋_GB2312" w:hAnsi="仿宋_GB2312" w:cs="仿宋_GB2312" w:eastAsia="仿宋_GB2312"/>
              </w:rPr>
              <w:t>陶瓷透水砖及盲砖</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A07010335 加工天然石材、石料</w:t>
            </w:r>
          </w:p>
        </w:tc>
        <w:tc>
          <w:tcPr>
            <w:tcW w:type="dxa" w:w="2492"/>
          </w:tcPr>
          <w:p>
            <w:pPr>
              <w:pStyle w:val="null3"/>
              <w:jc w:val="left"/>
            </w:pPr>
            <w:r>
              <w:rPr>
                <w:rFonts w:ascii="仿宋_GB2312" w:hAnsi="仿宋_GB2312" w:cs="仿宋_GB2312" w:eastAsia="仿宋_GB2312"/>
              </w:rPr>
              <w:t>2026年主要维护材料政府采购项目</w:t>
            </w:r>
          </w:p>
        </w:tc>
        <w:tc>
          <w:tcPr>
            <w:tcW w:type="dxa" w:w="2492"/>
          </w:tcPr>
          <w:p>
            <w:pPr>
              <w:pStyle w:val="null3"/>
              <w:jc w:val="left"/>
            </w:pPr>
            <w:r>
              <w:rPr>
                <w:rFonts w:ascii="仿宋_GB2312" w:hAnsi="仿宋_GB2312" w:cs="仿宋_GB2312" w:eastAsia="仿宋_GB2312"/>
              </w:rPr>
              <w:t>水泥</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A07010335 加工天然石材、石料</w:t>
            </w:r>
          </w:p>
        </w:tc>
        <w:tc>
          <w:tcPr>
            <w:tcW w:type="dxa" w:w="2492"/>
          </w:tcPr>
          <w:p>
            <w:pPr>
              <w:pStyle w:val="null3"/>
              <w:jc w:val="left"/>
            </w:pPr>
            <w:r>
              <w:rPr>
                <w:rFonts w:ascii="仿宋_GB2312" w:hAnsi="仿宋_GB2312" w:cs="仿宋_GB2312" w:eastAsia="仿宋_GB2312"/>
              </w:rPr>
              <w:t>2026年主要维护材料政府采购项目</w:t>
            </w:r>
          </w:p>
        </w:tc>
        <w:tc>
          <w:tcPr>
            <w:tcW w:type="dxa" w:w="2492"/>
          </w:tcPr>
          <w:p>
            <w:pPr>
              <w:pStyle w:val="null3"/>
              <w:jc w:val="left"/>
            </w:pPr>
            <w:r>
              <w:rPr>
                <w:rFonts w:ascii="仿宋_GB2312" w:hAnsi="仿宋_GB2312" w:cs="仿宋_GB2312" w:eastAsia="仿宋_GB2312"/>
              </w:rPr>
              <w:t>快干高强水泥</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A07010335 加工天然石材、石料</w:t>
            </w:r>
          </w:p>
        </w:tc>
        <w:tc>
          <w:tcPr>
            <w:tcW w:type="dxa" w:w="2492"/>
          </w:tcPr>
          <w:p>
            <w:pPr>
              <w:pStyle w:val="null3"/>
              <w:jc w:val="left"/>
            </w:pPr>
            <w:r>
              <w:rPr>
                <w:rFonts w:ascii="仿宋_GB2312" w:hAnsi="仿宋_GB2312" w:cs="仿宋_GB2312" w:eastAsia="仿宋_GB2312"/>
              </w:rPr>
              <w:t>2026年主要维护材料政府采购项目</w:t>
            </w:r>
          </w:p>
        </w:tc>
        <w:tc>
          <w:tcPr>
            <w:tcW w:type="dxa" w:w="2492"/>
          </w:tcPr>
          <w:p>
            <w:pPr>
              <w:pStyle w:val="null3"/>
              <w:jc w:val="left"/>
            </w:pPr>
            <w:r>
              <w:rPr>
                <w:rFonts w:ascii="仿宋_GB2312" w:hAnsi="仿宋_GB2312" w:cs="仿宋_GB2312" w:eastAsia="仿宋_GB2312"/>
              </w:rPr>
              <w:t>商品混凝土</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标的名称：2026年主要维护材料政府采购项目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06"/>
              <w:gridCol w:w="941"/>
              <w:gridCol w:w="997"/>
              <w:gridCol w:w="418"/>
              <w:gridCol w:w="675"/>
              <w:gridCol w:w="820"/>
              <w:gridCol w:w="2147"/>
              <w:gridCol w:w="667"/>
              <w:gridCol w:w="667"/>
              <w:gridCol w:w="796"/>
              <w:gridCol w:w="587"/>
              <w:gridCol w:w="482"/>
              <w:gridCol w:w="24"/>
            </w:tblGrid>
            <w:tr>
              <w:tc>
                <w:tcPr>
                  <w:tcW w:type="dxa" w:w="5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序号</w:t>
                  </w:r>
                </w:p>
              </w:tc>
              <w:tc>
                <w:tcPr>
                  <w:tcW w:type="dxa" w:w="9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产品名称</w:t>
                  </w:r>
                </w:p>
              </w:tc>
              <w:tc>
                <w:tcPr>
                  <w:tcW w:type="dxa" w:w="9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规格/型号</w:t>
                  </w:r>
                </w:p>
              </w:tc>
              <w:tc>
                <w:tcPr>
                  <w:tcW w:type="dxa" w:w="4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单位</w:t>
                  </w:r>
                </w:p>
              </w:tc>
              <w:tc>
                <w:tcPr>
                  <w:tcW w:type="dxa" w:w="6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数量</w:t>
                  </w:r>
                </w:p>
              </w:tc>
              <w:tc>
                <w:tcPr>
                  <w:tcW w:type="dxa" w:w="8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单价限价(元)</w:t>
                  </w:r>
                </w:p>
              </w:tc>
              <w:tc>
                <w:tcPr>
                  <w:tcW w:type="dxa" w:w="21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技术参数要求</w:t>
                  </w:r>
                </w:p>
              </w:tc>
              <w:tc>
                <w:tcPr>
                  <w:tcW w:type="dxa" w:w="6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是否</w:t>
                  </w:r>
                </w:p>
                <w:p>
                  <w:pPr>
                    <w:pStyle w:val="null3"/>
                    <w:jc w:val="left"/>
                  </w:pPr>
                  <w:r>
                    <w:rPr>
                      <w:rFonts w:ascii="仿宋_GB2312" w:hAnsi="仿宋_GB2312" w:cs="仿宋_GB2312" w:eastAsia="仿宋_GB2312"/>
                      <w:sz w:val="24"/>
                    </w:rPr>
                    <w:t>核心产品</w:t>
                  </w:r>
                </w:p>
              </w:tc>
              <w:tc>
                <w:tcPr>
                  <w:tcW w:type="dxa" w:w="6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是否节能环保产品</w:t>
                  </w:r>
                </w:p>
              </w:tc>
              <w:tc>
                <w:tcPr>
                  <w:tcW w:type="dxa" w:w="7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是否环境标志产品</w:t>
                  </w:r>
                </w:p>
              </w:tc>
              <w:tc>
                <w:tcPr>
                  <w:tcW w:type="dxa" w:w="5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所属行业</w:t>
                  </w:r>
                </w:p>
              </w:tc>
              <w:tc>
                <w:tcPr>
                  <w:tcW w:type="dxa" w:w="4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是否</w:t>
                  </w:r>
                </w:p>
                <w:p>
                  <w:pPr>
                    <w:pStyle w:val="null3"/>
                    <w:jc w:val="left"/>
                  </w:pPr>
                  <w:r>
                    <w:rPr>
                      <w:rFonts w:ascii="仿宋_GB2312" w:hAnsi="仿宋_GB2312" w:cs="仿宋_GB2312" w:eastAsia="仿宋_GB2312"/>
                      <w:sz w:val="24"/>
                    </w:rPr>
                    <w:t>进口</w:t>
                  </w:r>
                </w:p>
              </w:tc>
              <w:tc>
                <w:tcPr>
                  <w:tcW w:type="dxa" w:w="24"/>
                  <w:tcBorders>
                    <w:top w:val="none" w:color="000000" w:sz="4"/>
                    <w:left w:val="none" w:color="000000" w:sz="4"/>
                    <w:bottom w:val="none" w:color="000000" w:sz="4"/>
                    <w:right w:val="none" w:color="000000" w:sz="4"/>
                  </w:tcBorders>
                </w:tcPr>
                <w:p>
                  <w:pPr>
                    <w:pStyle w:val="null3"/>
                    <w:jc w:val="left"/>
                  </w:pP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砂基透水砖1</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300*300*60mm、500*250*60mm</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暂定为每规格平均分配，具体以实际为准</w:t>
                  </w:r>
                  <w:r>
                    <w:rPr>
                      <w:rFonts w:ascii="仿宋_GB2312" w:hAnsi="仿宋_GB2312" w:cs="仿宋_GB2312" w:eastAsia="仿宋_GB2312"/>
                      <w:sz w:val="24"/>
                      <w:color w:val="000000"/>
                    </w:rPr>
                    <w:t>）</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49.00</w:t>
                  </w:r>
                </w:p>
              </w:tc>
              <w:tc>
                <w:tcPr>
                  <w:tcW w:type="dxa" w:w="2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外观尺寸要求：厚度偏差±2毫米；垂直度偏差±2毫米；单块抗压强度不低于30MPa。</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工业</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24"/>
                  <w:tcBorders>
                    <w:top w:val="none" w:color="000000" w:sz="4"/>
                    <w:left w:val="none" w:color="000000" w:sz="4"/>
                    <w:bottom w:val="none" w:color="000000" w:sz="4"/>
                    <w:right w:val="none" w:color="000000" w:sz="4"/>
                  </w:tcBorders>
                </w:tcPr>
                <w:p>
                  <w:pPr>
                    <w:pStyle w:val="null3"/>
                    <w:jc w:val="left"/>
                  </w:pP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砂基透水砖2</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600*300*60mm</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2000</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49.00</w:t>
                  </w:r>
                </w:p>
              </w:tc>
              <w:tc>
                <w:tcPr>
                  <w:tcW w:type="dxa" w:w="2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外观尺寸要求：厚度偏差±2毫米；垂直度偏差±2毫米；单块抗压强度不低于30MPa。</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工业</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24"/>
                  <w:tcBorders>
                    <w:top w:val="none" w:color="000000" w:sz="4"/>
                    <w:left w:val="none" w:color="000000" w:sz="4"/>
                    <w:bottom w:val="none" w:color="000000" w:sz="4"/>
                    <w:right w:val="none" w:color="000000" w:sz="4"/>
                  </w:tcBorders>
                </w:tcPr>
                <w:p>
                  <w:pPr>
                    <w:pStyle w:val="null3"/>
                    <w:jc w:val="left"/>
                  </w:pP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陶瓷透水砖及盲砖</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300*300*50mm、600*300*50mm</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2000</w:t>
                  </w:r>
                  <w:r>
                    <w:rPr>
                      <w:rFonts w:ascii="仿宋_GB2312" w:hAnsi="仿宋_GB2312" w:cs="仿宋_GB2312" w:eastAsia="仿宋_GB2312"/>
                      <w:sz w:val="24"/>
                      <w:color w:val="000000"/>
                    </w:rPr>
                    <w:t>（</w:t>
                  </w:r>
                  <w:r>
                    <w:rPr>
                      <w:rFonts w:ascii="仿宋_GB2312" w:hAnsi="仿宋_GB2312" w:cs="仿宋_GB2312" w:eastAsia="仿宋_GB2312"/>
                      <w:sz w:val="24"/>
                      <w:color w:val="000000"/>
                    </w:rPr>
                    <w:t>暂定为每规格平均分配，具体以实际为准</w:t>
                  </w:r>
                  <w:r>
                    <w:rPr>
                      <w:rFonts w:ascii="仿宋_GB2312" w:hAnsi="仿宋_GB2312" w:cs="仿宋_GB2312" w:eastAsia="仿宋_GB2312"/>
                      <w:sz w:val="24"/>
                      <w:color w:val="000000"/>
                    </w:rPr>
                    <w:t>）</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200.00</w:t>
                  </w:r>
                </w:p>
              </w:tc>
              <w:tc>
                <w:tcPr>
                  <w:tcW w:type="dxa" w:w="2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外观尺寸要求：厚度偏差±2毫米；垂直度偏差±2毫米；单块抗压强度不低于45MPa。</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是</w:t>
                  </w:r>
                </w:p>
              </w:tc>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工业</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24"/>
                  <w:tcBorders>
                    <w:top w:val="none" w:color="000000" w:sz="4"/>
                    <w:left w:val="none" w:color="000000" w:sz="4"/>
                    <w:bottom w:val="none" w:color="000000" w:sz="4"/>
                    <w:right w:val="none" w:color="000000" w:sz="4"/>
                  </w:tcBorders>
                </w:tcPr>
                <w:p>
                  <w:pPr>
                    <w:pStyle w:val="null3"/>
                    <w:jc w:val="left"/>
                  </w:pP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芝麻白花岗石地砖</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500*500*50mm、600*300*50mm、</w:t>
                  </w:r>
                </w:p>
                <w:p>
                  <w:pPr>
                    <w:pStyle w:val="null3"/>
                    <w:jc w:val="left"/>
                  </w:pPr>
                  <w:r>
                    <w:rPr>
                      <w:rFonts w:ascii="仿宋_GB2312" w:hAnsi="仿宋_GB2312" w:cs="仿宋_GB2312" w:eastAsia="仿宋_GB2312"/>
                      <w:sz w:val="24"/>
                    </w:rPr>
                    <w:t>600*600*50mm、400*200*50mm</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3000</w:t>
                  </w:r>
                  <w:r>
                    <w:rPr>
                      <w:rFonts w:ascii="仿宋_GB2312" w:hAnsi="仿宋_GB2312" w:cs="仿宋_GB2312" w:eastAsia="仿宋_GB2312"/>
                      <w:sz w:val="24"/>
                      <w:color w:val="000000"/>
                    </w:rPr>
                    <w:t>（</w:t>
                  </w:r>
                  <w:r>
                    <w:rPr>
                      <w:rFonts w:ascii="仿宋_GB2312" w:hAnsi="仿宋_GB2312" w:cs="仿宋_GB2312" w:eastAsia="仿宋_GB2312"/>
                      <w:sz w:val="24"/>
                      <w:color w:val="000000"/>
                    </w:rPr>
                    <w:t>暂定为每规格平均分配，具体以实际为准</w:t>
                  </w:r>
                  <w:r>
                    <w:rPr>
                      <w:rFonts w:ascii="仿宋_GB2312" w:hAnsi="仿宋_GB2312" w:cs="仿宋_GB2312" w:eastAsia="仿宋_GB2312"/>
                      <w:sz w:val="24"/>
                      <w:color w:val="000000"/>
                    </w:rPr>
                    <w:t>）</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180.00</w:t>
                  </w:r>
                </w:p>
              </w:tc>
              <w:tc>
                <w:tcPr>
                  <w:tcW w:type="dxa" w:w="2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外观尺寸要求：厚度偏差±2毫米；垂直度偏差±2毫米；单块抗压强度不低于150MPa。</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工业</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24"/>
                  <w:tcBorders>
                    <w:top w:val="none" w:color="000000" w:sz="4"/>
                    <w:left w:val="none" w:color="000000" w:sz="4"/>
                    <w:bottom w:val="none" w:color="000000" w:sz="4"/>
                    <w:right w:val="none" w:color="000000" w:sz="4"/>
                  </w:tcBorders>
                </w:tcPr>
                <w:p>
                  <w:pPr>
                    <w:pStyle w:val="null3"/>
                    <w:jc w:val="left"/>
                  </w:pP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小方块</w:t>
                  </w:r>
                </w:p>
                <w:p>
                  <w:pPr>
                    <w:pStyle w:val="null3"/>
                    <w:jc w:val="left"/>
                  </w:pPr>
                  <w:r>
                    <w:rPr>
                      <w:rFonts w:ascii="仿宋_GB2312" w:hAnsi="仿宋_GB2312" w:cs="仿宋_GB2312" w:eastAsia="仿宋_GB2312"/>
                      <w:sz w:val="24"/>
                    </w:rPr>
                    <w:t>黑色花岗石</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100*100*50mm</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140.00</w:t>
                  </w:r>
                </w:p>
              </w:tc>
              <w:tc>
                <w:tcPr>
                  <w:tcW w:type="dxa" w:w="2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外观尺寸要求：厚度偏差±2毫米；垂直度偏差±2毫米；单块抗压强度不低于150MPa。</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工业</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24"/>
                  <w:tcBorders>
                    <w:top w:val="none" w:color="000000" w:sz="4"/>
                    <w:left w:val="none" w:color="000000" w:sz="4"/>
                    <w:bottom w:val="none" w:color="000000" w:sz="4"/>
                    <w:right w:val="none" w:color="000000" w:sz="4"/>
                  </w:tcBorders>
                </w:tcPr>
                <w:p>
                  <w:pPr>
                    <w:pStyle w:val="null3"/>
                    <w:jc w:val="left"/>
                  </w:pP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水泥</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PC42.5R</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T</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600.00</w:t>
                  </w:r>
                </w:p>
              </w:tc>
              <w:tc>
                <w:tcPr>
                  <w:tcW w:type="dxa" w:w="2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★外包装符合国家相关要求，净含量符合国家标准GB/T 9774-2020要求。</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是</w:t>
                  </w:r>
                </w:p>
              </w:tc>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工业</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24"/>
                  <w:tcBorders>
                    <w:top w:val="none" w:color="000000" w:sz="4"/>
                    <w:left w:val="none" w:color="000000" w:sz="4"/>
                    <w:bottom w:val="none" w:color="000000" w:sz="4"/>
                    <w:right w:val="none" w:color="000000" w:sz="4"/>
                  </w:tcBorders>
                </w:tcPr>
                <w:p>
                  <w:pPr>
                    <w:pStyle w:val="null3"/>
                    <w:jc w:val="left"/>
                  </w:pP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中砂</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m³</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230.00</w:t>
                  </w:r>
                </w:p>
              </w:tc>
              <w:tc>
                <w:tcPr>
                  <w:tcW w:type="dxa" w:w="2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★符合JGJ 52-2006《普通混凝土用砂、石质量及检验方法标准》要求，含泥量≤５％。</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工业</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24"/>
                  <w:tcBorders>
                    <w:top w:val="none" w:color="000000" w:sz="4"/>
                    <w:left w:val="none" w:color="000000" w:sz="4"/>
                    <w:bottom w:val="none" w:color="000000" w:sz="4"/>
                    <w:right w:val="none" w:color="000000" w:sz="4"/>
                  </w:tcBorders>
                </w:tcPr>
                <w:p>
                  <w:pPr>
                    <w:pStyle w:val="null3"/>
                    <w:jc w:val="left"/>
                  </w:pP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石屑</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m³</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980</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226.00</w:t>
                  </w:r>
                </w:p>
              </w:tc>
              <w:tc>
                <w:tcPr>
                  <w:tcW w:type="dxa" w:w="2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★符合JGJ 52-2006《普通混凝土用砂、石质量及检验方法标准》要求，含泥量≤５％。</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工业</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24"/>
                  <w:tcBorders>
                    <w:top w:val="none" w:color="000000" w:sz="4"/>
                    <w:left w:val="none" w:color="000000" w:sz="4"/>
                    <w:bottom w:val="none" w:color="000000" w:sz="4"/>
                    <w:right w:val="none" w:color="000000" w:sz="4"/>
                  </w:tcBorders>
                </w:tcPr>
                <w:p>
                  <w:pPr>
                    <w:pStyle w:val="null3"/>
                    <w:jc w:val="left"/>
                  </w:pP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碎石</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10-20mm</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m³</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201.00</w:t>
                  </w:r>
                </w:p>
              </w:tc>
              <w:tc>
                <w:tcPr>
                  <w:tcW w:type="dxa" w:w="2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★符合JGJ 52-2006《普通混凝土用砂、石质量及检验方法标准》要求，含泥量≤１％</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工业</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24"/>
                  <w:tcBorders>
                    <w:top w:val="none" w:color="000000" w:sz="4"/>
                    <w:left w:val="none" w:color="000000" w:sz="4"/>
                    <w:bottom w:val="none" w:color="000000" w:sz="4"/>
                    <w:right w:val="none" w:color="000000" w:sz="4"/>
                  </w:tcBorders>
                </w:tcPr>
                <w:p>
                  <w:pPr>
                    <w:pStyle w:val="null3"/>
                    <w:jc w:val="left"/>
                  </w:pP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水洗米石</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3-5mm</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m³</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226.00</w:t>
                  </w:r>
                </w:p>
              </w:tc>
              <w:tc>
                <w:tcPr>
                  <w:tcW w:type="dxa" w:w="2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★符合JGJ 52-2006《普通混凝土用砂、石质量及检验方法标准》要求，含泥量≤１％</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工业</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24"/>
                  <w:tcBorders>
                    <w:top w:val="none" w:color="000000" w:sz="4"/>
                    <w:left w:val="none" w:color="000000" w:sz="4"/>
                    <w:bottom w:val="none" w:color="000000" w:sz="4"/>
                    <w:right w:val="none" w:color="000000" w:sz="4"/>
                  </w:tcBorders>
                </w:tcPr>
                <w:p>
                  <w:pPr>
                    <w:pStyle w:val="null3"/>
                    <w:jc w:val="left"/>
                  </w:pP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芝麻白花岗石盲道砖</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300*300*30mm</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152.00</w:t>
                  </w:r>
                </w:p>
              </w:tc>
              <w:tc>
                <w:tcPr>
                  <w:tcW w:type="dxa" w:w="2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外观尺寸要求：厚度偏差±2毫米；垂直度偏差±2毫米；单块抗压强度不低于150MPa。</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工业</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24"/>
                  <w:tcBorders>
                    <w:top w:val="none" w:color="000000" w:sz="4"/>
                    <w:left w:val="none" w:color="000000" w:sz="4"/>
                    <w:bottom w:val="none" w:color="000000" w:sz="4"/>
                    <w:right w:val="none" w:color="000000" w:sz="4"/>
                  </w:tcBorders>
                </w:tcPr>
                <w:p>
                  <w:pPr>
                    <w:pStyle w:val="null3"/>
                    <w:jc w:val="left"/>
                  </w:pP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砂基透水盲道砖</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300*300*60mm</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50.00</w:t>
                  </w:r>
                </w:p>
              </w:tc>
              <w:tc>
                <w:tcPr>
                  <w:tcW w:type="dxa" w:w="2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外观尺寸要求：厚度偏差±2毫米；垂直度偏差±2毫米；单块抗压强度不低于30MPa。</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工业</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24"/>
                  <w:tcBorders>
                    <w:top w:val="none" w:color="000000" w:sz="4"/>
                    <w:left w:val="none" w:color="000000" w:sz="4"/>
                    <w:bottom w:val="none" w:color="000000" w:sz="4"/>
                    <w:right w:val="none" w:color="000000" w:sz="4"/>
                  </w:tcBorders>
                </w:tcPr>
                <w:p>
                  <w:pPr>
                    <w:pStyle w:val="null3"/>
                    <w:jc w:val="left"/>
                  </w:pP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PC砖</w:t>
                  </w:r>
                  <w:r>
                    <w:rPr>
                      <w:rFonts w:ascii="仿宋_GB2312" w:hAnsi="仿宋_GB2312" w:cs="仿宋_GB2312" w:eastAsia="仿宋_GB2312"/>
                      <w:sz w:val="24"/>
                    </w:rPr>
                    <w:t>地铺石</w:t>
                  </w:r>
                  <w:r>
                    <w:rPr>
                      <w:rFonts w:ascii="仿宋_GB2312" w:hAnsi="仿宋_GB2312" w:cs="仿宋_GB2312" w:eastAsia="仿宋_GB2312"/>
                      <w:sz w:val="24"/>
                    </w:rPr>
                    <w:t>(芝麻白、芝麻黑、 黄金麻、藏青等)</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600*300*20mm、300*300*20mm</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w:t>
                  </w:r>
                  <w:r>
                    <w:rPr>
                      <w:rFonts w:ascii="仿宋_GB2312" w:hAnsi="仿宋_GB2312" w:cs="仿宋_GB2312" w:eastAsia="仿宋_GB2312"/>
                      <w:sz w:val="24"/>
                      <w:color w:val="000000"/>
                    </w:rPr>
                    <w:t>（</w:t>
                  </w:r>
                  <w:r>
                    <w:rPr>
                      <w:rFonts w:ascii="仿宋_GB2312" w:hAnsi="仿宋_GB2312" w:cs="仿宋_GB2312" w:eastAsia="仿宋_GB2312"/>
                      <w:sz w:val="24"/>
                      <w:color w:val="000000"/>
                    </w:rPr>
                    <w:t>暂定为每规格平均分配，具体以实际为准</w:t>
                  </w:r>
                  <w:r>
                    <w:rPr>
                      <w:rFonts w:ascii="仿宋_GB2312" w:hAnsi="仿宋_GB2312" w:cs="仿宋_GB2312" w:eastAsia="仿宋_GB2312"/>
                      <w:sz w:val="24"/>
                      <w:color w:val="000000"/>
                    </w:rPr>
                    <w:t>）</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91.00</w:t>
                  </w:r>
                </w:p>
              </w:tc>
              <w:tc>
                <w:tcPr>
                  <w:tcW w:type="dxa" w:w="2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外观尺寸要求：厚度偏差±１毫米；长度偏差±２毫米；单块抗压强度大于８０MPa，防滑要求符合</w:t>
                  </w:r>
                  <w:r>
                    <w:rPr>
                      <w:rFonts w:ascii="仿宋_GB2312" w:hAnsi="仿宋_GB2312" w:cs="仿宋_GB2312" w:eastAsia="仿宋_GB2312"/>
                      <w:sz w:val="24"/>
                      <w:color w:val="000000"/>
                    </w:rPr>
                    <w:t>JC/T 1050-2007</w:t>
                  </w:r>
                  <w:r>
                    <w:rPr>
                      <w:rFonts w:ascii="仿宋_GB2312" w:hAnsi="仿宋_GB2312" w:cs="仿宋_GB2312" w:eastAsia="仿宋_GB2312"/>
                      <w:sz w:val="24"/>
                    </w:rPr>
                    <w:t>要求。</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工业</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24"/>
                  <w:tcBorders>
                    <w:top w:val="none" w:color="000000" w:sz="4"/>
                    <w:left w:val="none" w:color="000000" w:sz="4"/>
                    <w:bottom w:val="none" w:color="000000" w:sz="4"/>
                    <w:right w:val="none" w:color="000000" w:sz="4"/>
                  </w:tcBorders>
                </w:tcPr>
                <w:p>
                  <w:pPr>
                    <w:pStyle w:val="null3"/>
                    <w:jc w:val="left"/>
                  </w:pP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14</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花岗石路沿石(芝麻白)</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900*300*120mm、</w:t>
                  </w:r>
                </w:p>
                <w:p>
                  <w:pPr>
                    <w:pStyle w:val="null3"/>
                    <w:jc w:val="left"/>
                  </w:pPr>
                  <w:r>
                    <w:rPr>
                      <w:rFonts w:ascii="仿宋_GB2312" w:hAnsi="仿宋_GB2312" w:cs="仿宋_GB2312" w:eastAsia="仿宋_GB2312"/>
                      <w:sz w:val="24"/>
                    </w:rPr>
                    <w:t>200*300*120mm、</w:t>
                  </w:r>
                </w:p>
                <w:p>
                  <w:pPr>
                    <w:pStyle w:val="null3"/>
                    <w:jc w:val="left"/>
                  </w:pPr>
                  <w:r>
                    <w:rPr>
                      <w:rFonts w:ascii="仿宋_GB2312" w:hAnsi="仿宋_GB2312" w:cs="仿宋_GB2312" w:eastAsia="仿宋_GB2312"/>
                      <w:sz w:val="24"/>
                    </w:rPr>
                    <w:t>900*350*120mm</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m</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3800</w:t>
                  </w:r>
                  <w:r>
                    <w:rPr>
                      <w:rFonts w:ascii="仿宋_GB2312" w:hAnsi="仿宋_GB2312" w:cs="仿宋_GB2312" w:eastAsia="仿宋_GB2312"/>
                      <w:sz w:val="24"/>
                      <w:color w:val="000000"/>
                    </w:rPr>
                    <w:t>（</w:t>
                  </w:r>
                  <w:r>
                    <w:rPr>
                      <w:rFonts w:ascii="仿宋_GB2312" w:hAnsi="仿宋_GB2312" w:cs="仿宋_GB2312" w:eastAsia="仿宋_GB2312"/>
                      <w:sz w:val="24"/>
                      <w:color w:val="000000"/>
                    </w:rPr>
                    <w:t>暂定为每规格平均分配，具体以实际为准</w:t>
                  </w:r>
                  <w:r>
                    <w:rPr>
                      <w:rFonts w:ascii="仿宋_GB2312" w:hAnsi="仿宋_GB2312" w:cs="仿宋_GB2312" w:eastAsia="仿宋_GB2312"/>
                      <w:sz w:val="24"/>
                      <w:color w:val="000000"/>
                    </w:rPr>
                    <w:t>）</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170.00</w:t>
                  </w:r>
                </w:p>
              </w:tc>
              <w:tc>
                <w:tcPr>
                  <w:tcW w:type="dxa" w:w="2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外观尺寸要求：厚度偏差±2毫米；垂直度偏差±2毫米；单块抗压强度不低于150MPa。</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是</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工业</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24"/>
                  <w:tcBorders>
                    <w:top w:val="none" w:color="000000" w:sz="4"/>
                    <w:left w:val="none" w:color="000000" w:sz="4"/>
                    <w:bottom w:val="none" w:color="000000" w:sz="4"/>
                    <w:right w:val="none" w:color="000000" w:sz="4"/>
                  </w:tcBorders>
                </w:tcPr>
                <w:p>
                  <w:pPr>
                    <w:pStyle w:val="null3"/>
                    <w:jc w:val="left"/>
                  </w:pP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C30 混凝土路沿石、嵌边石</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1000*300*120mm、</w:t>
                  </w:r>
                </w:p>
                <w:p>
                  <w:pPr>
                    <w:pStyle w:val="null3"/>
                    <w:jc w:val="left"/>
                  </w:pPr>
                  <w:r>
                    <w:rPr>
                      <w:rFonts w:ascii="仿宋_GB2312" w:hAnsi="仿宋_GB2312" w:cs="仿宋_GB2312" w:eastAsia="仿宋_GB2312"/>
                      <w:sz w:val="24"/>
                    </w:rPr>
                    <w:t>300*300*120mm、500*100*100mm</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m</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r>
                    <w:rPr>
                      <w:rFonts w:ascii="仿宋_GB2312" w:hAnsi="仿宋_GB2312" w:cs="仿宋_GB2312" w:eastAsia="仿宋_GB2312"/>
                      <w:sz w:val="24"/>
                      <w:color w:val="000000"/>
                    </w:rPr>
                    <w:t>（</w:t>
                  </w:r>
                  <w:r>
                    <w:rPr>
                      <w:rFonts w:ascii="仿宋_GB2312" w:hAnsi="仿宋_GB2312" w:cs="仿宋_GB2312" w:eastAsia="仿宋_GB2312"/>
                      <w:sz w:val="24"/>
                      <w:color w:val="000000"/>
                    </w:rPr>
                    <w:t>暂定为每规格平均分配，具体以实际为准</w:t>
                  </w:r>
                  <w:r>
                    <w:rPr>
                      <w:rFonts w:ascii="仿宋_GB2312" w:hAnsi="仿宋_GB2312" w:cs="仿宋_GB2312" w:eastAsia="仿宋_GB2312"/>
                      <w:sz w:val="24"/>
                      <w:color w:val="000000"/>
                    </w:rPr>
                    <w:t>）</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50.00</w:t>
                  </w:r>
                </w:p>
              </w:tc>
              <w:tc>
                <w:tcPr>
                  <w:tcW w:type="dxa" w:w="2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外观尺寸要求：厚度偏差±2毫米；垂直度偏差±2毫米；单块抗压强度不低于30MPa。</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工业</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24"/>
                  <w:tcBorders>
                    <w:top w:val="none" w:color="000000" w:sz="4"/>
                    <w:left w:val="none" w:color="000000" w:sz="4"/>
                    <w:bottom w:val="none" w:color="000000" w:sz="4"/>
                    <w:right w:val="none" w:color="000000" w:sz="4"/>
                  </w:tcBorders>
                </w:tcPr>
                <w:p>
                  <w:pPr>
                    <w:pStyle w:val="null3"/>
                    <w:jc w:val="left"/>
                  </w:pP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花岗石隔离桩</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d200*600</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个</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235.00</w:t>
                  </w:r>
                </w:p>
              </w:tc>
              <w:tc>
                <w:tcPr>
                  <w:tcW w:type="dxa" w:w="2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外观尺寸要求：厚度偏差±2毫米；垂直度偏差±2毫米；单块抗压强度不低于150MPa。</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工业</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24"/>
                  <w:tcBorders>
                    <w:top w:val="none" w:color="000000" w:sz="4"/>
                    <w:left w:val="none" w:color="000000" w:sz="4"/>
                    <w:bottom w:val="none" w:color="000000" w:sz="4"/>
                    <w:right w:val="none" w:color="000000" w:sz="4"/>
                  </w:tcBorders>
                </w:tcPr>
                <w:p>
                  <w:pPr>
                    <w:pStyle w:val="null3"/>
                    <w:jc w:val="left"/>
                  </w:pP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17</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铁质隔离柱</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d114×1000，厚度大于4.5mm</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个</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155.00</w:t>
                  </w:r>
                </w:p>
              </w:tc>
              <w:tc>
                <w:tcPr>
                  <w:tcW w:type="dxa" w:w="2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工业</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24"/>
                  <w:tcBorders>
                    <w:top w:val="none" w:color="000000" w:sz="4"/>
                    <w:left w:val="none" w:color="000000" w:sz="4"/>
                    <w:bottom w:val="none" w:color="000000" w:sz="4"/>
                    <w:right w:val="none" w:color="000000" w:sz="4"/>
                  </w:tcBorders>
                </w:tcPr>
                <w:p>
                  <w:pPr>
                    <w:pStyle w:val="null3"/>
                    <w:jc w:val="left"/>
                  </w:pP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18</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沥青灌缝胶</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吨</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7500.00</w:t>
                  </w:r>
                </w:p>
              </w:tc>
              <w:tc>
                <w:tcPr>
                  <w:tcW w:type="dxa" w:w="2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★符合JT/T 740-2024《路面加热型灌缝胶》中Ⅱ型的技术要求。</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工业</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24"/>
                  <w:tcBorders>
                    <w:top w:val="none" w:color="000000" w:sz="4"/>
                    <w:left w:val="none" w:color="000000" w:sz="4"/>
                    <w:bottom w:val="none" w:color="000000" w:sz="4"/>
                    <w:right w:val="none" w:color="000000" w:sz="4"/>
                  </w:tcBorders>
                </w:tcPr>
                <w:p>
                  <w:pPr>
                    <w:pStyle w:val="null3"/>
                    <w:jc w:val="left"/>
                  </w:pP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19</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快干高强水泥</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52.5 快硬</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吨</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2048.00</w:t>
                  </w:r>
                </w:p>
              </w:tc>
              <w:tc>
                <w:tcPr>
                  <w:tcW w:type="dxa" w:w="2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★净含量符合国家标准GB/T 9774-2020要求。</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是</w:t>
                  </w:r>
                </w:p>
              </w:tc>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工业</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24"/>
                  <w:tcBorders>
                    <w:top w:val="none" w:color="000000" w:sz="4"/>
                    <w:left w:val="none" w:color="000000" w:sz="4"/>
                    <w:bottom w:val="none" w:color="000000" w:sz="4"/>
                    <w:right w:val="none" w:color="000000" w:sz="4"/>
                  </w:tcBorders>
                </w:tcPr>
                <w:p>
                  <w:pPr>
                    <w:pStyle w:val="null3"/>
                    <w:jc w:val="left"/>
                  </w:pP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改性沥青</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聚乙烯（PE）改性沥青</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吨</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5500.00</w:t>
                  </w:r>
                </w:p>
              </w:tc>
              <w:tc>
                <w:tcPr>
                  <w:tcW w:type="dxa" w:w="2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★符合JTGF 40-2004《公路沥青路面施工技术规范》要求</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工业</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24"/>
                  <w:tcBorders>
                    <w:top w:val="none" w:color="000000" w:sz="4"/>
                    <w:left w:val="none" w:color="000000" w:sz="4"/>
                    <w:bottom w:val="none" w:color="000000" w:sz="4"/>
                    <w:right w:val="none" w:color="000000" w:sz="4"/>
                  </w:tcBorders>
                </w:tcPr>
                <w:p>
                  <w:pPr>
                    <w:pStyle w:val="null3"/>
                    <w:jc w:val="left"/>
                  </w:pP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21</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商品混凝土</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C30</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m3</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650</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455.00</w:t>
                  </w:r>
                </w:p>
              </w:tc>
              <w:tc>
                <w:tcPr>
                  <w:tcW w:type="dxa" w:w="2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★符合GB/T 14902-2012要求。</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是</w:t>
                  </w:r>
                </w:p>
              </w:tc>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工业</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24"/>
                  <w:tcBorders>
                    <w:top w:val="none" w:color="000000" w:sz="4"/>
                    <w:left w:val="none" w:color="000000" w:sz="4"/>
                    <w:bottom w:val="none" w:color="000000" w:sz="4"/>
                    <w:right w:val="none" w:color="000000" w:sz="4"/>
                  </w:tcBorders>
                </w:tcPr>
                <w:p>
                  <w:pPr>
                    <w:pStyle w:val="null3"/>
                    <w:jc w:val="left"/>
                  </w:pP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22</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石英砂</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40目</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吨</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2696.00</w:t>
                  </w:r>
                </w:p>
              </w:tc>
              <w:tc>
                <w:tcPr>
                  <w:tcW w:type="dxa" w:w="2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★无重金属超标，符合GB5085.3-2007危险废物鉴别标准。</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工业</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24"/>
                  <w:tcBorders>
                    <w:top w:val="none" w:color="000000" w:sz="4"/>
                    <w:left w:val="none" w:color="000000" w:sz="4"/>
                    <w:bottom w:val="none" w:color="000000" w:sz="4"/>
                    <w:right w:val="none" w:color="000000" w:sz="4"/>
                  </w:tcBorders>
                </w:tcPr>
                <w:p>
                  <w:pPr>
                    <w:pStyle w:val="null3"/>
                    <w:jc w:val="left"/>
                  </w:pP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23</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户外休闲座椅</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宽度550mm以上，长度1200mm以上，有扶手座椅</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把</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750.00</w:t>
                  </w:r>
                </w:p>
              </w:tc>
              <w:tc>
                <w:tcPr>
                  <w:tcW w:type="dxa" w:w="2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材质：铝合金+塑木</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工业</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24"/>
                  <w:tcBorders>
                    <w:top w:val="none" w:color="000000" w:sz="4"/>
                    <w:left w:val="none" w:color="000000" w:sz="4"/>
                    <w:bottom w:val="none" w:color="000000" w:sz="4"/>
                    <w:right w:val="none" w:color="000000" w:sz="4"/>
                  </w:tcBorders>
                </w:tcPr>
                <w:p>
                  <w:pPr>
                    <w:pStyle w:val="null3"/>
                    <w:jc w:val="left"/>
                  </w:pPr>
                </w:p>
              </w:tc>
            </w:tr>
          </w:tbl>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注</w:t>
            </w:r>
          </w:p>
        </w:tc>
        <w:tc>
          <w:tcPr>
            <w:tcW w:type="dxa" w:w="5814"/>
          </w:tcPr>
          <w:p>
            <w:pPr>
              <w:pStyle w:val="null3"/>
              <w:jc w:val="left"/>
            </w:pPr>
            <w:r>
              <w:rPr>
                <w:rFonts w:ascii="仿宋_GB2312" w:hAnsi="仿宋_GB2312" w:cs="仿宋_GB2312" w:eastAsia="仿宋_GB2312"/>
                <w:sz w:val="24"/>
              </w:rPr>
              <w:t>1、本项目核心产品为“花岗石路沿石(芝麻白)”（投标文件“报价明细表”中必须填报所有产品品牌。）；投标人所提供的中小企业声明中函须按采购清单产品的名称提供，如未按采购清单产品名称提供视为无效投标。</w:t>
            </w:r>
          </w:p>
          <w:p>
            <w:pPr>
              <w:pStyle w:val="null3"/>
              <w:jc w:val="left"/>
            </w:pPr>
            <w:r>
              <w:rPr>
                <w:rFonts w:ascii="仿宋_GB2312" w:hAnsi="仿宋_GB2312" w:cs="仿宋_GB2312" w:eastAsia="仿宋_GB2312"/>
                <w:sz w:val="24"/>
              </w:rPr>
              <w:t>2、本项目实行分项明细报价，超过最高单价限价或最高总价限价均视为无效报价。最终以实际供货量为准进行结算为准。</w:t>
            </w:r>
          </w:p>
          <w:p>
            <w:pPr>
              <w:pStyle w:val="null3"/>
              <w:jc w:val="left"/>
            </w:pPr>
            <w:r>
              <w:rPr>
                <w:rFonts w:ascii="仿宋_GB2312" w:hAnsi="仿宋_GB2312" w:cs="仿宋_GB2312" w:eastAsia="仿宋_GB2312"/>
                <w:sz w:val="24"/>
              </w:rPr>
              <w:t>3、产品单价为综合单价，包含成本、运输、税收、利润、保险等国家规定的所有费用构成。</w:t>
            </w:r>
          </w:p>
          <w:p>
            <w:pPr>
              <w:pStyle w:val="null3"/>
              <w:jc w:val="left"/>
            </w:pPr>
            <w:r>
              <w:rPr>
                <w:rFonts w:ascii="仿宋_GB2312" w:hAnsi="仿宋_GB2312" w:cs="仿宋_GB2312" w:eastAsia="仿宋_GB2312"/>
                <w:sz w:val="24"/>
              </w:rPr>
              <w:t>4、上述标准如在服务期限内作出调整则按最新标准执行。</w:t>
            </w:r>
          </w:p>
          <w:p>
            <w:pPr>
              <w:pStyle w:val="null3"/>
              <w:jc w:val="left"/>
            </w:pPr>
            <w:r>
              <w:rPr>
                <w:rFonts w:ascii="仿宋_GB2312" w:hAnsi="仿宋_GB2312" w:cs="仿宋_GB2312" w:eastAsia="仿宋_GB2312"/>
                <w:sz w:val="24"/>
              </w:rPr>
              <w:t>5、本章节中★项为实质性要求，不允许有负偏离，否则作无效投标处理，如需提供证明材料的，投标人需按要求提供。</w:t>
            </w:r>
          </w:p>
          <w:p>
            <w:pPr>
              <w:pStyle w:val="null3"/>
              <w:jc w:val="left"/>
            </w:pPr>
            <w:r>
              <w:rPr>
                <w:rFonts w:ascii="仿宋_GB2312" w:hAnsi="仿宋_GB2312" w:cs="仿宋_GB2312" w:eastAsia="仿宋_GB2312"/>
                <w:sz w:val="24"/>
              </w:rPr>
              <w:t>6、本项目采购的产品不属于品目清单中的强制采购范围。</w:t>
            </w:r>
          </w:p>
          <w:p>
            <w:pPr>
              <w:pStyle w:val="null3"/>
              <w:jc w:val="left"/>
            </w:pPr>
            <w:r>
              <w:rPr>
                <w:rFonts w:ascii="仿宋_GB2312" w:hAnsi="仿宋_GB2312" w:cs="仿宋_GB2312" w:eastAsia="仿宋_GB2312"/>
                <w:sz w:val="24"/>
              </w:rPr>
              <w:t>7、若有国家强制性要求的均为实质性要求。</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sz w:val="24"/>
              </w:rPr>
              <w:t>1、采购人在材料使用过程中，如因中标人产品质量问题发生安全相关问题，其责任和赔偿费用由中标人承担。（单独提交承诺函，格式自拟）</w:t>
            </w:r>
          </w:p>
          <w:p>
            <w:pPr>
              <w:pStyle w:val="null3"/>
              <w:jc w:val="left"/>
            </w:pPr>
            <w:r>
              <w:rPr>
                <w:rFonts w:ascii="仿宋_GB2312" w:hAnsi="仿宋_GB2312" w:cs="仿宋_GB2312" w:eastAsia="仿宋_GB2312"/>
                <w:sz w:val="24"/>
              </w:rPr>
              <w:t>2、维修响应时间：中标人应在1小时内电话响应，两个工作日内到排除故障或更换。（单独提交承诺函，格式自拟）</w:t>
            </w:r>
          </w:p>
          <w:p>
            <w:pPr>
              <w:pStyle w:val="null3"/>
              <w:jc w:val="left"/>
            </w:pPr>
            <w:r>
              <w:rPr>
                <w:rFonts w:ascii="仿宋_GB2312" w:hAnsi="仿宋_GB2312" w:cs="仿宋_GB2312" w:eastAsia="仿宋_GB2312"/>
                <w:sz w:val="24"/>
              </w:rPr>
              <w:t>3、在合同规定的服务期内，如发现货物的质量或规格或功能与本合同规定不符，或证明货物有缺陷，包括潜在的缺陷、安全隐患或使用不合适的原材料或器件等，中标供应商需承诺出现以上情况后2日内免费更换合格材料，同时采购人保留向中标人提出索赔的权利。（单独提交承诺函，格式自拟）</w:t>
            </w:r>
          </w:p>
          <w:p>
            <w:pPr>
              <w:pStyle w:val="null3"/>
              <w:jc w:val="left"/>
            </w:pPr>
            <w:r>
              <w:rPr>
                <w:rFonts w:ascii="仿宋_GB2312" w:hAnsi="仿宋_GB2312" w:cs="仿宋_GB2312" w:eastAsia="仿宋_GB2312"/>
                <w:sz w:val="24"/>
              </w:rPr>
              <w:t>4、安全责任：中标人须严格遵守相关法律、法规，并自行负责材料运输等履约过程中一切安全问题，如发生安全事故和其他事故由中标人自行承担。履约服务期间一切安全责任由投标人自负。（单独提交承诺函，格式自拟）</w:t>
            </w:r>
          </w:p>
          <w:p>
            <w:pPr>
              <w:pStyle w:val="null3"/>
              <w:jc w:val="left"/>
            </w:pPr>
            <w:r>
              <w:rPr>
                <w:rFonts w:ascii="仿宋_GB2312" w:hAnsi="仿宋_GB2312" w:cs="仿宋_GB2312" w:eastAsia="仿宋_GB2312"/>
                <w:sz w:val="24"/>
              </w:rPr>
              <w:t>5、中标人在发货之前，应对货物的有关内在和外观质量、规格、性能数量和重量进行准确的和全面的检验，并出具其货物符合本合同规定的质量合格证书。该证书可作为提交给出个付款单据的组成部分，但不应视为是对质量、规格、性能、数量的最终确认。</w:t>
            </w:r>
          </w:p>
          <w:p>
            <w:pPr>
              <w:pStyle w:val="null3"/>
              <w:jc w:val="left"/>
            </w:pPr>
            <w:r>
              <w:rPr>
                <w:rFonts w:ascii="仿宋_GB2312" w:hAnsi="仿宋_GB2312" w:cs="仿宋_GB2312" w:eastAsia="仿宋_GB2312"/>
                <w:sz w:val="24"/>
              </w:rPr>
              <w:t>6、投标人需为本项目配备服务团队，至少指派一名项目负责人负责项目对接工作。</w:t>
            </w:r>
          </w:p>
          <w:p>
            <w:pPr>
              <w:pStyle w:val="null3"/>
              <w:jc w:val="left"/>
            </w:pPr>
            <w:r>
              <w:rPr>
                <w:rFonts w:ascii="仿宋_GB2312" w:hAnsi="仿宋_GB2312" w:cs="仿宋_GB2312" w:eastAsia="仿宋_GB2312"/>
                <w:sz w:val="24"/>
              </w:rPr>
              <w:t>7、投标人所提供货物及服务需符合国家的有关规定，确保项目安全实施。</w:t>
            </w:r>
          </w:p>
          <w:p>
            <w:pPr>
              <w:pStyle w:val="null3"/>
              <w:jc w:val="left"/>
            </w:pPr>
            <w:r>
              <w:rPr>
                <w:rFonts w:ascii="仿宋_GB2312" w:hAnsi="仿宋_GB2312" w:cs="仿宋_GB2312" w:eastAsia="仿宋_GB2312"/>
                <w:sz w:val="24"/>
              </w:rPr>
              <w:t>8、强制认证产品：投标人所提供的产品若涉及国家强制认证的（CCC）或前置许可、认证的，在投标文件中需提供符合国家强制认证（CCC）或前置许可、认证的承诺函，在供货时一并提供相关许可、认证材料。（单独提交承诺函，格式自拟）</w:t>
            </w:r>
          </w:p>
          <w:p>
            <w:pPr>
              <w:pStyle w:val="null3"/>
              <w:jc w:val="left"/>
            </w:pPr>
            <w:r>
              <w:rPr>
                <w:rFonts w:ascii="仿宋_GB2312" w:hAnsi="仿宋_GB2312" w:cs="仿宋_GB2312" w:eastAsia="仿宋_GB2312"/>
                <w:sz w:val="24"/>
              </w:rPr>
              <w:t>9、投标人承诺项目全部材料配备供应充足，若投标人未及时送达货物或未及时调换故障材料造成采购人损失的，投标人承担全部赔偿责任。（单独提交承诺函，格式自拟）</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sz w:val="24"/>
              </w:rPr>
              <w:t>项目实施方案编制要求投标人根据本项目要求及自身经营情况，编写如下服务方案：</w:t>
            </w:r>
          </w:p>
          <w:p>
            <w:pPr>
              <w:pStyle w:val="null3"/>
              <w:jc w:val="left"/>
            </w:pPr>
            <w:r>
              <w:rPr>
                <w:rFonts w:ascii="仿宋_GB2312" w:hAnsi="仿宋_GB2312" w:cs="仿宋_GB2312" w:eastAsia="仿宋_GB2312"/>
                <w:sz w:val="24"/>
              </w:rPr>
              <w:t>（1）项目实施方案，内容包括但不限于：①供货总体实施方案；②产品货源组织方案；③供货进度计划；④运输及防护措施、安全措施；⑤项目进度保证措施；</w:t>
            </w:r>
          </w:p>
          <w:p>
            <w:pPr>
              <w:pStyle w:val="null3"/>
              <w:jc w:val="left"/>
            </w:pPr>
            <w:r>
              <w:rPr>
                <w:rFonts w:ascii="仿宋_GB2312" w:hAnsi="仿宋_GB2312" w:cs="仿宋_GB2312" w:eastAsia="仿宋_GB2312"/>
                <w:sz w:val="24"/>
              </w:rPr>
              <w:t>（2）售后服务方案，内容包括但不限于：①售后服务机构设置（应明确人员及联系方式）；②运输途中的突发状况的处理；③临时供货的应急预案；</w:t>
            </w:r>
          </w:p>
          <w:p>
            <w:pPr>
              <w:pStyle w:val="null3"/>
              <w:jc w:val="left"/>
            </w:pPr>
            <w:r>
              <w:rPr>
                <w:rFonts w:ascii="仿宋_GB2312" w:hAnsi="仿宋_GB2312" w:cs="仿宋_GB2312" w:eastAsia="仿宋_GB2312"/>
                <w:sz w:val="24"/>
              </w:rPr>
              <w:t>注：1.本项目服务方案要求不作为实质性要求，仅作为评审因素，投标人应当根据实际情况提供真实、客观的证明材料，具体评审标准详见“评审标准”表。</w:t>
            </w:r>
            <w:r>
              <w:rPr>
                <w:rFonts w:ascii="仿宋_GB2312" w:hAnsi="仿宋_GB2312" w:cs="仿宋_GB2312" w:eastAsia="仿宋_GB2312"/>
                <w:sz w:val="24"/>
              </w:rPr>
              <w:t>2.技术参数清单中除明确标注“</w:t>
            </w:r>
            <w:r>
              <w:rPr>
                <w:rFonts w:ascii="仿宋_GB2312" w:hAnsi="仿宋_GB2312" w:cs="仿宋_GB2312" w:eastAsia="仿宋_GB2312"/>
                <w:sz w:val="24"/>
                <w:b/>
              </w:rPr>
              <w:t>★”</w:t>
            </w:r>
            <w:r>
              <w:rPr>
                <w:rFonts w:ascii="仿宋_GB2312" w:hAnsi="仿宋_GB2312" w:cs="仿宋_GB2312" w:eastAsia="仿宋_GB2312"/>
                <w:sz w:val="24"/>
              </w:rPr>
              <w:t>外的参数每一项序号为一条参数。</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合同价款支付方式和条件</w:t>
            </w:r>
          </w:p>
        </w:tc>
        <w:tc>
          <w:tcPr>
            <w:tcW w:type="dxa" w:w="5814"/>
          </w:tcPr>
          <w:p>
            <w:pPr>
              <w:pStyle w:val="null3"/>
              <w:jc w:val="left"/>
            </w:pPr>
            <w:r>
              <w:rPr>
                <w:rFonts w:ascii="仿宋_GB2312" w:hAnsi="仿宋_GB2312" w:cs="仿宋_GB2312" w:eastAsia="仿宋_GB2312"/>
                <w:sz w:val="24"/>
              </w:rPr>
              <w:t>①合同签订后，采购人自收到中标人提供的等额合法发票及相关凭证材料后 ，达到付款条件起 10日内，支付合同总金额的40%；②供货单位供货量达到总供货量的70%，所供产品经采购人验收合格，中标人开具增值税发票后，达到付款条件起 10日内，支付合同总金额的30%；③供货结束后，经采购人验收合格，中标人开具增值税发票，达到付款条件起10日内，支付结算总金额的剩余款项。</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合同签订之日起180日历天。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成都市温江区</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1、/，此处付款进度安排不适用本项目，以本章3.3.1.服务内容要求中“3.★合同价款支付方式和条件”为准，达到付款条件起10日内，据实结算说明为成交单价*实际结算数量</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本项目采购人将严格按照政府采购相关法律法规、《财政部关于进一步加强政府采购需求和履约验收管理的指导意见》(财库〔2016〕205 号)以及《政府采购需求管理办法》(财库〔2021〕22 号) 与《成都市温江区采购项目履约验收实施细则（试行）》（温财发[2026]8号）的要求进行验收，以招标文件、投标文件和双方签订的合同为验收依据。</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供货周期内出现产品质量问题，供应商承诺无条件更换且维修及更换所产生的费用由投标人承担。（须提供承诺函并加盖电子印章，格式自拟。）</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 ①中标人必须按照采购合同履行义务，保质按时履行采购合同的各项约定。 ②有下列情形之一的，当事人可以解除合同： 因不可抗力致使不能实现合同目的（由于非中标人或采购人原因，致使合同实质性条款无法实现的）；当事人一方延迟履行主要债务，经催告后在合理期限内仍未履行；当事人一方延迟履行债务或者有其他违约行为致使不能实现合同目的；法律规定的其他情形。 （2）解决争议的方法：①因货物的质量问题发生争议，由质量技术监督部门或其指定的质量鉴定机构进行质量鉴定。货物符合标准的，鉴定费由甲方承担；货物不符合质量标准的，鉴定费由乙方承担。②合同履行期间,若双方发生争议，可协商或由有关部门调解解决，协商或调解不成的，由当事人依法维护其合法权益。</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实施涉及的商品包装和快递包装，均符合财政部等三部门联合印发商品包装和快递包装政府采购需求标准（试行）（财办库[2020]123号）的要求，包装应适应于远距离运输、防潮、防震、防锈和防野蛮装卸，以确保货物安全无损运抵指定地点。货物在运输途中毁损灭失的风险均由中标人承担。（须提供承诺函并加盖电子印章，格式自拟。）</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1.对本国产品的支持政策： （1）根据《国务院办公厅关于在政府采购中实施本国产品标准及相关政策的通知》国办发〔2025〕34号，符合本国产品标准的可享受价格扣除，本国产品应当符合以下条件： （一）在中国境内生产； （二）在中国境内生产的组件成本占比达到规定比例； （三）特定产品的关键组件、关键工序符合相关要求。 （2）政府采购活动中既有本国产品又有非本国产品参与竞争的，依法对本国产品给予价格评审优惠，对本国产品的报价给予20%的价格扣除，用扣除后的价格参与评审。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3）供应商应对提供的产品出具符合《国务院办公厅关于在政府采购中实施本国产品标准及相关政策的通知》规定的《关于符合本国产品标准的声明函》加盖供应商电子印章（格式见附件：《关于符合本国产品标准的声明函》），当采购项目或者采购包中含有多种产品时，供应商还需提供《本国产品成本比例的声明函》加盖供应商电子印章（格式见附件：《本国产品成本比例的声明函》），否则不得享受本国产品价格扣除优惠政策。2.招标文件第二章2.4.5.投标报价中评审委员会应当启动异常低价投标审查程序的比例为每项单价金额的65%，单价汇总金额仅作为评审价。3.因系统固化原因，无法显示图片，本项目“第三章技术、服务及其他要求”中“3.2技术要求”以附件“3.2技术要求”为准。4.因系统原因，前序条款中所提及的合同总金额为预算金额，总量为预算量，本项目为单价合同，最终结算金额和数量均以审核结算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复印件。供应商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具有独立承担民事责任的能力的证明材料.docx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如投标人以联合体形式参加的，联合体各方提供的货物由中小企业制造；如投标人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符合招标文件第三章的实质性要求。</w:t>
            </w:r>
          </w:p>
        </w:tc>
        <w:tc>
          <w:tcPr>
            <w:tcW w:type="dxa" w:w="3322"/>
          </w:tcPr>
          <w:p>
            <w:pPr>
              <w:pStyle w:val="null3"/>
              <w:jc w:val="left"/>
            </w:pPr>
            <w:r>
              <w:rPr>
                <w:rFonts w:ascii="仿宋_GB2312" w:hAnsi="仿宋_GB2312" w:cs="仿宋_GB2312" w:eastAsia="仿宋_GB2312"/>
              </w:rPr>
              <w:t>供应商按照招标文件要求上传相应材料。</w:t>
            </w:r>
          </w:p>
        </w:tc>
        <w:tc>
          <w:tcPr>
            <w:tcW w:type="dxa" w:w="1661"/>
          </w:tcPr>
          <w:p>
            <w:pPr>
              <w:pStyle w:val="null3"/>
              <w:jc w:val="left"/>
            </w:pPr>
            <w:r>
              <w:rPr>
                <w:rFonts w:ascii="仿宋_GB2312" w:hAnsi="仿宋_GB2312" w:cs="仿宋_GB2312" w:eastAsia="仿宋_GB2312"/>
              </w:rPr>
              <w:t>服务要求、商务要求应答表.docx,其他应当提供的证明材料或供应商认为应当提供的材料.docx,技术要求响应表.docx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不属于招标文件规定的无效情形。</w:t>
            </w:r>
          </w:p>
        </w:tc>
        <w:tc>
          <w:tcPr>
            <w:tcW w:type="dxa" w:w="3322"/>
          </w:tcPr>
          <w:p>
            <w:pPr>
              <w:pStyle w:val="null3"/>
              <w:jc w:val="left"/>
            </w:pPr>
            <w:r>
              <w:rPr>
                <w:rFonts w:ascii="仿宋_GB2312" w:hAnsi="仿宋_GB2312" w:cs="仿宋_GB2312" w:eastAsia="仿宋_GB2312"/>
              </w:rPr>
              <w:t>供应商的投标文件中不存在招标文件规定的无效情形。</w:t>
            </w:r>
          </w:p>
        </w:tc>
        <w:tc>
          <w:tcPr>
            <w:tcW w:type="dxa" w:w="1661"/>
          </w:tcPr>
          <w:p>
            <w:pPr>
              <w:pStyle w:val="null3"/>
              <w:jc w:val="left"/>
            </w:pPr>
            <w:r>
              <w:rPr>
                <w:rFonts w:ascii="仿宋_GB2312" w:hAnsi="仿宋_GB2312" w:cs="仿宋_GB2312" w:eastAsia="仿宋_GB2312"/>
              </w:rPr>
              <w:t>其他应当提供的证明材料或供应商认为应当提供的材料.docx,投标（响应）函</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技术及功能要求</w:t>
            </w:r>
          </w:p>
        </w:tc>
        <w:tc>
          <w:tcPr>
            <w:tcW w:type="dxa" w:w="2575"/>
          </w:tcPr>
          <w:p>
            <w:pPr>
              <w:pStyle w:val="null3"/>
              <w:jc w:val="left"/>
            </w:pPr>
            <w:r>
              <w:rPr>
                <w:rFonts w:ascii="仿宋_GB2312" w:hAnsi="仿宋_GB2312" w:cs="仿宋_GB2312" w:eastAsia="仿宋_GB2312"/>
              </w:rPr>
              <w:t>投标人针对招标文件技术参数要求中的非“★”项技术参数条款的响应得分规则如下： 1、技术参数响应得分=（投标人满足技术参数的数量÷技术参数的总数量）×14分。 （注：①注:在采购清单及技术参数要求中有明确要求的按要求提供佐证材料，未明确要求的提供国家认可的检测机构出具的检验报告或制造商技术白皮书或产品彩页等技术资料予以佐证；②“★”项技术参数为实质性要求不允许负偏离；③技术参数得分取小数点后两位，第三位四舍五入。</w:t>
            </w:r>
          </w:p>
        </w:tc>
        <w:tc>
          <w:tcPr>
            <w:tcW w:type="dxa" w:w="831"/>
          </w:tcPr>
          <w:p>
            <w:pPr>
              <w:pStyle w:val="null3"/>
              <w:jc w:val="center"/>
            </w:pPr>
            <w:r>
              <w:rPr>
                <w:rFonts w:ascii="仿宋_GB2312" w:hAnsi="仿宋_GB2312" w:cs="仿宋_GB2312" w:eastAsia="仿宋_GB2312"/>
              </w:rPr>
              <w:t>14.0000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满足评分要求的相关材料.docx</w:t>
            </w:r>
          </w:p>
          <w:p>
            <w:pPr>
              <w:pStyle w:val="null3"/>
              <w:jc w:val="left"/>
            </w:pPr>
            <w:r>
              <w:rPr>
                <w:rFonts w:ascii="仿宋_GB2312" w:hAnsi="仿宋_GB2312" w:cs="仿宋_GB2312" w:eastAsia="仿宋_GB2312"/>
              </w:rPr>
              <w:t>技术要求响应表.docx</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投标人针对本项目提供的项目实施方案，包括但不限于：①供货总体实施方案；②产品货源组织方案；③供货进度计划；④运输及防护措施、安全措施；⑤项目进度保证措施等内容进行综合评审，以上内容完全符合项目需求及项目情况的(注：完全符合项目需求指方案包含但不限于上述内容的文字、图片、表格等形式详细呈现方案内容，方案内容符合行业政策要求、满足本项目要求）得30分，每有一项内容缺项扣6分，每有一处存在内容缺陷扣3分，扣完为止。 （注：内容存在缺陷是指①本项目提供的方案中引用法律、规范、标准存在失效或错误，项目名称、实施地点、时间错误；②内容与本项目需求无关；③内容矛盾或表述前后不一致；④复制或套用其他项目内容；⑤重要内容缺失等以上任意一种情形。）</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满足评分要求的相关材料.docx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对投标人针对本项目提供的售后服务方案，包括但不限于：①售后服务机构设置（应明确人员及联系方式）；②运输途中的突发状况的处理；③临时供货的应急预案等内容进行综合评审，以上内容完全符合项目需求及项目情况的(注：完全符合项目需求指方案包含但不限于上述内容的文字、图片、表格等形式详细呈现方案内容，方案内容符合行业政策要求、满足本项目要求）得18分，每有一项内容缺项扣6分，每有一处存在内容缺陷扣3分，扣完为止。 （注：内容存在缺陷是指①本项目提供的方案中引用法律、规范、标准存在失效或错误，项目名称、实施地点、时间错误；②内容与本项目需求无关；③内容矛盾或表述前后不一致；④复制或套用其他项目内容；⑤重要内容缺失等以上任意一种情形。）</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满足评分要求的相关材料.docx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2023年1月1日至今投标人每具有一个类似项目业绩得2分，最多得6分。 注：提供有效合同复印件或中标(成交通知书)，并加盖投标人电子签章。</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满足评分要求的相关材料.docx</w:t>
            </w:r>
          </w:p>
        </w:tc>
      </w:tr>
      <w:tr>
        <w:tc>
          <w:tcPr>
            <w:tcW w:type="dxa" w:w="831"/>
            <w:vMerge/>
          </w:tcPr>
          <w:p/>
        </w:tc>
        <w:tc>
          <w:tcPr>
            <w:tcW w:type="dxa" w:w="1661"/>
          </w:tcPr>
          <w:p>
            <w:pPr>
              <w:pStyle w:val="null3"/>
              <w:jc w:val="left"/>
            </w:pPr>
            <w:r>
              <w:rPr>
                <w:rFonts w:ascii="仿宋_GB2312" w:hAnsi="仿宋_GB2312" w:cs="仿宋_GB2312" w:eastAsia="仿宋_GB2312"/>
              </w:rPr>
              <w:t>节能环保产品</w:t>
            </w:r>
          </w:p>
        </w:tc>
        <w:tc>
          <w:tcPr>
            <w:tcW w:type="dxa" w:w="2575"/>
          </w:tcPr>
          <w:p>
            <w:pPr>
              <w:pStyle w:val="null3"/>
              <w:jc w:val="left"/>
            </w:pPr>
            <w:r>
              <w:rPr>
                <w:rFonts w:ascii="仿宋_GB2312" w:hAnsi="仿宋_GB2312" w:cs="仿宋_GB2312" w:eastAsia="仿宋_GB2312"/>
              </w:rPr>
              <w:t>投标产品中属于政府采购优先采购范围的，则每有一项为节能产品或者环境标志产品的得1分，非节能、环境标志产品的不得分。本项最多得2分。 注：1.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2.投标产品属于优先采购范围内的节能产品或者环境标志产品的，提供国家确定的认证机构出具的、处于有效期之内的节能产品、环境标志产品认证证书复印件加盖投标人电子签章。</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满足评分要求的相关材料.docx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价格评审</w:t>
            </w:r>
          </w:p>
        </w:tc>
        <w:tc>
          <w:tcPr>
            <w:tcW w:type="dxa" w:w="2575"/>
          </w:tcPr>
          <w:p>
            <w:pPr>
              <w:pStyle w:val="null3"/>
              <w:jc w:val="left"/>
            </w:pPr>
            <w:r>
              <w:rPr>
                <w:rFonts w:ascii="仿宋_GB2312" w:hAnsi="仿宋_GB2312" w:cs="仿宋_GB2312" w:eastAsia="仿宋_GB2312"/>
              </w:rPr>
              <w:t>满足招标文件要求且单价汇总金额最低的报价为基准价，其价格分为满分。 其他投标人的价格分统一按照下列公式计算:报价得分=(基准价/最终单价汇总报价*10)。 注：评分的取值按四舍五入法，保留小数点后两位。</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投标文件封面</w:t>
            </w:r>
          </w:p>
          <w:p>
            <w:pPr>
              <w:pStyle w:val="null3"/>
              <w:jc w:val="left"/>
            </w:pPr>
            <w:r>
              <w:rPr>
                <w:rFonts w:ascii="仿宋_GB2312" w:hAnsi="仿宋_GB2312" w:cs="仿宋_GB2312" w:eastAsia="仿宋_GB2312"/>
              </w:rPr>
              <w:t>本国产品成本比例的声明函.docx</w:t>
            </w:r>
          </w:p>
          <w:p>
            <w:pPr>
              <w:pStyle w:val="null3"/>
              <w:jc w:val="left"/>
            </w:pPr>
            <w:r>
              <w:rPr>
                <w:rFonts w:ascii="仿宋_GB2312" w:hAnsi="仿宋_GB2312" w:cs="仿宋_GB2312" w:eastAsia="仿宋_GB2312"/>
              </w:rPr>
              <w:t>关于符合本国产品标准的声明函.docx</w:t>
            </w:r>
          </w:p>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满足评分要求的相关材料.docx</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详见附件：服务要求、商务要求应答表.docx</w:t>
      </w:r>
    </w:p>
    <w:p>
      <w:pPr>
        <w:pStyle w:val="null3"/>
        <w:ind w:firstLine="960"/>
        <w:jc w:val="left"/>
      </w:pPr>
      <w:r>
        <w:rPr>
          <w:rFonts w:ascii="仿宋_GB2312" w:hAnsi="仿宋_GB2312" w:cs="仿宋_GB2312" w:eastAsia="仿宋_GB2312"/>
        </w:rPr>
        <w:t>详见附件：具有独立承担民事责任的能力的证明材料.docx</w:t>
      </w:r>
    </w:p>
    <w:p>
      <w:pPr>
        <w:pStyle w:val="null3"/>
        <w:ind w:firstLine="960"/>
        <w:jc w:val="left"/>
      </w:pPr>
      <w:r>
        <w:rPr>
          <w:rFonts w:ascii="仿宋_GB2312" w:hAnsi="仿宋_GB2312" w:cs="仿宋_GB2312" w:eastAsia="仿宋_GB2312"/>
        </w:rPr>
        <w:t>详见附件：其他应当提供的证明材料或供应商认为应当提供的材料.docx</w:t>
      </w:r>
    </w:p>
    <w:p>
      <w:pPr>
        <w:pStyle w:val="null3"/>
        <w:ind w:firstLine="960"/>
        <w:jc w:val="left"/>
      </w:pPr>
      <w:r>
        <w:rPr>
          <w:rFonts w:ascii="仿宋_GB2312" w:hAnsi="仿宋_GB2312" w:cs="仿宋_GB2312" w:eastAsia="仿宋_GB2312"/>
        </w:rPr>
        <w:t>详见附件：满足评分要求的相关材料.docx</w:t>
      </w:r>
    </w:p>
    <w:p>
      <w:pPr>
        <w:pStyle w:val="null3"/>
        <w:ind w:firstLine="960"/>
        <w:jc w:val="left"/>
      </w:pPr>
      <w:r>
        <w:rPr>
          <w:rFonts w:ascii="仿宋_GB2312" w:hAnsi="仿宋_GB2312" w:cs="仿宋_GB2312" w:eastAsia="仿宋_GB2312"/>
        </w:rPr>
        <w:t>详见附件：技术要求响应表.docx</w:t>
      </w:r>
    </w:p>
    <w:p>
      <w:pPr>
        <w:pStyle w:val="null3"/>
        <w:ind w:firstLine="960"/>
        <w:jc w:val="left"/>
      </w:pPr>
      <w:r>
        <w:rPr>
          <w:rFonts w:ascii="仿宋_GB2312" w:hAnsi="仿宋_GB2312" w:cs="仿宋_GB2312" w:eastAsia="仿宋_GB2312"/>
        </w:rPr>
        <w:t>详见附件：本国产品成本比例的声明函.docx</w:t>
      </w:r>
    </w:p>
    <w:p>
      <w:pPr>
        <w:pStyle w:val="null3"/>
        <w:ind w:firstLine="960"/>
        <w:jc w:val="left"/>
      </w:pPr>
      <w:r>
        <w:rPr>
          <w:rFonts w:ascii="仿宋_GB2312" w:hAnsi="仿宋_GB2312" w:cs="仿宋_GB2312" w:eastAsia="仿宋_GB2312"/>
        </w:rPr>
        <w:t>详见附件：关于符合本国产品标准的声明函.docx</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