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版本号：N511702202600003420260508001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区委区政府机关保安实施政府采购项目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N5117022026000034</w:t>
      </w:r>
    </w:p>
    <w:p>
      <w:pPr>
        <w:pStyle w:val="null3"/>
        <w:jc w:val="center"/>
        <w:outlineLvl w:val="2"/>
      </w:pPr>
      <w:r>
        <w:rPr>
          <w:rFonts w:ascii="仿宋_GB2312" w:hAnsi="仿宋_GB2312" w:cs="仿宋_GB2312" w:eastAsia="仿宋_GB2312"/>
          <w:sz w:val="28"/>
          <w:b/>
        </w:rPr>
        <w:t>达州市通川区机关事务服务中心</w:t>
      </w:r>
    </w:p>
    <w:p>
      <w:pPr>
        <w:pStyle w:val="null3"/>
        <w:jc w:val="center"/>
        <w:outlineLvl w:val="2"/>
      </w:pPr>
      <w:r>
        <w:rPr>
          <w:rFonts w:ascii="仿宋_GB2312" w:hAnsi="仿宋_GB2312" w:cs="仿宋_GB2312" w:eastAsia="仿宋_GB2312"/>
          <w:sz w:val="28"/>
          <w:b/>
        </w:rPr>
        <w:t>四川亿达利工程项目管理有限公司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四川亿达利工程项目管理有限公司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达州市通川区机关事务服务中心</w:t>
      </w:r>
      <w:r>
        <w:rPr>
          <w:rFonts w:ascii="仿宋_GB2312" w:hAnsi="仿宋_GB2312" w:cs="仿宋_GB2312" w:eastAsia="仿宋_GB2312"/>
        </w:rPr>
        <w:t xml:space="preserve"> 委托，拟对 </w:t>
      </w:r>
      <w:r>
        <w:rPr>
          <w:rFonts w:ascii="仿宋_GB2312" w:hAnsi="仿宋_GB2312" w:cs="仿宋_GB2312" w:eastAsia="仿宋_GB2312"/>
        </w:rPr>
        <w:t>区委区政府机关保安实施政府采购项目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达州市通川区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N5117022026000034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区委区政府机关保安实施政府采购项目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sz w:val="21"/>
        </w:rPr>
        <w:t>1.项目概述：为建立安保管理制度，确保达州市通川区采购人指定区域内的安全，引导车辆停放有序；保障防盗、防火等设备的正常运行；及时排查和处理各种安全事故隐患，迅速有效处置突发事件。现达州市通川区机关事务服务中心拟对区委区政府机关保安服务进行采购。</w:t>
      </w:r>
    </w:p>
    <w:p>
      <w:pPr>
        <w:pStyle w:val="null3"/>
        <w:jc w:val="left"/>
      </w:pPr>
      <w:r>
        <w:rPr>
          <w:rFonts w:ascii="仿宋_GB2312" w:hAnsi="仿宋_GB2312" w:cs="仿宋_GB2312" w:eastAsia="仿宋_GB2312"/>
          <w:sz w:val="21"/>
        </w:rPr>
        <w:t>2.根据《四川省政府采购营商环境指标提升专项行动工作方案》要求“每个采购项目采购文件中要明确质疑、投诉的渠道和方式”，本项目投诉受理部门：达州市通川区财政局；投诉受理电话：0818-5909925；投诉受理地址：达州市柴市街80号。</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1、供应商须具有行业主管部门颁发的《保安服务许可证》。（描述：供应商须具有行业主管部门颁发的《保安服务许可证》。（投标时提供有效期内的证书扫描件））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达州市通川区机关事务服务中心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通川区通川中路196号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0818-2390369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四川亿达利工程项目管理有限公司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达州市通川区朝阳西路246号A1栋2层2号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0818-2377771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采购包1：3,253,400.00元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代理服务费收费标准：参照《招标代理服务收费管理暂行办法》(计价格[2002]1980号) 文件收费标准收取，由成交供应商向采购代理机构支付。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达州市通川区机关事务服务中心</w:t>
      </w:r>
      <w:r>
        <w:rPr>
          <w:rFonts w:ascii="仿宋_GB2312" w:hAnsi="仿宋_GB2312" w:cs="仿宋_GB2312" w:eastAsia="仿宋_GB2312"/>
        </w:rPr>
        <w:t xml:space="preserve"> 和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达州市通川区机关事务服务中心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项目服务期限结束后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根据采购文件技术服务要求及成交供应商响应文件响应情况进行验收。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根据采购文件商务要求及成交供应商响应文件响应情况进行验收。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府采购需求和履约验收管理的指导意见》（财库〔2016〕205号）、《政府采购需求管理办法》财库〔2021〕22号的要求、采购文件规定的要求和响应文件及合同承诺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达州市通川区机关事务服务中心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联系电话：0818-2390369</w:t>
      </w:r>
    </w:p>
    <w:p>
      <w:pPr>
        <w:pStyle w:val="null3"/>
        <w:jc w:val="left"/>
      </w:pPr>
      <w:r>
        <w:rPr>
          <w:rFonts w:ascii="仿宋_GB2312" w:hAnsi="仿宋_GB2312" w:cs="仿宋_GB2312" w:eastAsia="仿宋_GB2312"/>
        </w:rPr>
        <w:t>地址：通川区通川中路196号</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联系电话：0818-2377771</w:t>
      </w:r>
    </w:p>
    <w:p>
      <w:pPr>
        <w:pStyle w:val="null3"/>
        <w:jc w:val="left"/>
      </w:pPr>
      <w:r>
        <w:rPr>
          <w:rFonts w:ascii="仿宋_GB2312" w:hAnsi="仿宋_GB2312" w:cs="仿宋_GB2312" w:eastAsia="仿宋_GB2312"/>
        </w:rPr>
        <w:t>地址：达州市通川区朝阳西路246号A1栋2层2号</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3,253,400.00</w:t>
      </w:r>
    </w:p>
    <w:p>
      <w:pPr>
        <w:pStyle w:val="null3"/>
        <w:jc w:val="left"/>
      </w:pPr>
      <w:r>
        <w:rPr>
          <w:rFonts w:ascii="仿宋_GB2312" w:hAnsi="仿宋_GB2312" w:cs="仿宋_GB2312" w:eastAsia="仿宋_GB2312"/>
        </w:rPr>
        <w:t>采购包最高限价（元）: 3,253,400.00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区委区政府机关保安实施政府采购项目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3,253,400.00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区委区政府机关保安实施政府采购项目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3,253,400.00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标的名称：区委区政府机关保安实施政府采购项目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项目基本服务要求</w:t>
            </w:r>
          </w:p>
        </w:tc>
        <w:tc>
          <w:tcPr>
            <w:tcW w:type="dxa" w:w="5814"/>
          </w:tcPr>
          <w:p>
            <w:pPr>
              <w:pStyle w:val="null3"/>
              <w:jc w:val="both"/>
            </w:pPr>
            <w:r>
              <w:rPr>
                <w:rFonts w:ascii="仿宋_GB2312" w:hAnsi="仿宋_GB2312" w:cs="仿宋_GB2312" w:eastAsia="仿宋_GB2312"/>
                <w:sz w:val="24"/>
                <w:b/>
                <w:shd w:fill="FFFFFF" w:val="clear"/>
              </w:rPr>
              <w:t>一、服务要求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服务范围：采购人指定区域内（达州市通川区内）</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2、保安人员配</w:t>
            </w:r>
            <w:r>
              <w:rPr>
                <w:rFonts w:ascii="仿宋_GB2312" w:hAnsi="仿宋_GB2312" w:cs="仿宋_GB2312" w:eastAsia="仿宋_GB2312"/>
                <w:sz w:val="24"/>
                <w:color w:val="000000"/>
              </w:rPr>
              <w:t>置：</w:t>
            </w:r>
          </w:p>
          <w:p>
            <w:pPr>
              <w:pStyle w:val="null3"/>
              <w:ind w:firstLine="480"/>
              <w:jc w:val="both"/>
            </w:pPr>
            <w:r>
              <w:rPr>
                <w:rFonts w:ascii="仿宋_GB2312" w:hAnsi="仿宋_GB2312" w:cs="仿宋_GB2312" w:eastAsia="仿宋_GB2312"/>
                <w:sz w:val="24"/>
              </w:rPr>
              <w:t>（1）人数：83人。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）身体条件：男性身高</w:t>
            </w:r>
            <w:r>
              <w:rPr>
                <w:rFonts w:ascii="仿宋_GB2312" w:hAnsi="仿宋_GB2312" w:cs="仿宋_GB2312" w:eastAsia="仿宋_GB2312"/>
                <w:sz w:val="24"/>
              </w:rPr>
              <w:t>不低于</w:t>
            </w:r>
            <w:r>
              <w:rPr>
                <w:rFonts w:ascii="仿宋_GB2312" w:hAnsi="仿宋_GB2312" w:cs="仿宋_GB2312" w:eastAsia="仿宋_GB2312"/>
                <w:sz w:val="24"/>
              </w:rPr>
              <w:t>165cm（包含165cm），</w:t>
            </w:r>
            <w:r>
              <w:rPr>
                <w:rFonts w:ascii="仿宋_GB2312" w:hAnsi="仿宋_GB2312" w:cs="仿宋_GB2312" w:eastAsia="仿宋_GB2312"/>
                <w:sz w:val="24"/>
              </w:rPr>
              <w:t>女性身高不低于</w:t>
            </w:r>
            <w:r>
              <w:rPr>
                <w:rFonts w:ascii="仿宋_GB2312" w:hAnsi="仿宋_GB2312" w:cs="仿宋_GB2312" w:eastAsia="仿宋_GB2312"/>
                <w:sz w:val="24"/>
              </w:rPr>
              <w:t>155cm（包含165cm）；</w:t>
            </w:r>
            <w:r>
              <w:rPr>
                <w:rFonts w:ascii="仿宋_GB2312" w:hAnsi="仿宋_GB2312" w:cs="仿宋_GB2312" w:eastAsia="仿宋_GB2312"/>
                <w:sz w:val="24"/>
              </w:rPr>
              <w:t>身体健康，相貌端正，仪表大方，无传染性疾病</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（3）女性</w:t>
            </w:r>
            <w:r>
              <w:rPr>
                <w:rFonts w:ascii="仿宋_GB2312" w:hAnsi="仿宋_GB2312" w:cs="仿宋_GB2312" w:eastAsia="仿宋_GB2312"/>
                <w:sz w:val="24"/>
              </w:rPr>
              <w:t>年龄</w:t>
            </w:r>
            <w:r>
              <w:rPr>
                <w:rFonts w:ascii="仿宋_GB2312" w:hAnsi="仿宋_GB2312" w:cs="仿宋_GB2312" w:eastAsia="仿宋_GB2312"/>
                <w:sz w:val="24"/>
              </w:rPr>
              <w:t>18</w:t>
            </w:r>
            <w:r>
              <w:rPr>
                <w:rFonts w:ascii="仿宋_GB2312" w:hAnsi="仿宋_GB2312" w:cs="仿宋_GB2312" w:eastAsia="仿宋_GB2312"/>
                <w:sz w:val="24"/>
              </w:rPr>
              <w:t>周岁</w:t>
            </w:r>
            <w:r>
              <w:rPr>
                <w:rFonts w:ascii="仿宋_GB2312" w:hAnsi="仿宋_GB2312" w:cs="仿宋_GB2312" w:eastAsia="仿宋_GB2312"/>
                <w:sz w:val="24"/>
              </w:rPr>
              <w:t>—5</w:t>
            </w:r>
            <w:r>
              <w:rPr>
                <w:rFonts w:ascii="仿宋_GB2312" w:hAnsi="仿宋_GB2312" w:cs="仿宋_GB2312" w:eastAsia="仿宋_GB2312"/>
                <w:sz w:val="24"/>
              </w:rPr>
              <w:t>0周</w:t>
            </w:r>
            <w:r>
              <w:rPr>
                <w:rFonts w:ascii="仿宋_GB2312" w:hAnsi="仿宋_GB2312" w:cs="仿宋_GB2312" w:eastAsia="仿宋_GB2312"/>
                <w:sz w:val="24"/>
              </w:rPr>
              <w:t>岁</w:t>
            </w:r>
            <w:r>
              <w:rPr>
                <w:rFonts w:ascii="仿宋_GB2312" w:hAnsi="仿宋_GB2312" w:cs="仿宋_GB2312" w:eastAsia="仿宋_GB2312"/>
                <w:sz w:val="24"/>
              </w:rPr>
              <w:t>；男性年龄</w:t>
            </w:r>
            <w:r>
              <w:rPr>
                <w:rFonts w:ascii="仿宋_GB2312" w:hAnsi="仿宋_GB2312" w:cs="仿宋_GB2312" w:eastAsia="仿宋_GB2312"/>
                <w:sz w:val="24"/>
              </w:rPr>
              <w:t>18周岁</w:t>
            </w:r>
            <w:r>
              <w:rPr>
                <w:rFonts w:ascii="仿宋_GB2312" w:hAnsi="仿宋_GB2312" w:cs="仿宋_GB2312" w:eastAsia="仿宋_GB2312"/>
                <w:sz w:val="24"/>
              </w:rPr>
              <w:t>—</w:t>
            </w:r>
            <w:r>
              <w:rPr>
                <w:rFonts w:ascii="仿宋_GB2312" w:hAnsi="仿宋_GB2312" w:cs="仿宋_GB2312" w:eastAsia="仿宋_GB2312"/>
                <w:sz w:val="24"/>
              </w:rPr>
              <w:t>60周岁</w:t>
            </w:r>
            <w:r>
              <w:rPr>
                <w:rFonts w:ascii="仿宋_GB2312" w:hAnsi="仿宋_GB2312" w:cs="仿宋_GB2312" w:eastAsia="仿宋_GB2312"/>
                <w:sz w:val="24"/>
              </w:rPr>
              <w:t>，</w:t>
            </w:r>
            <w:r>
              <w:rPr>
                <w:rFonts w:ascii="仿宋_GB2312" w:hAnsi="仿宋_GB2312" w:cs="仿宋_GB2312" w:eastAsia="仿宋_GB2312"/>
                <w:sz w:val="24"/>
              </w:rPr>
              <w:t>其中</w:t>
            </w:r>
            <w:r>
              <w:rPr>
                <w:rFonts w:ascii="仿宋_GB2312" w:hAnsi="仿宋_GB2312" w:cs="仿宋_GB2312" w:eastAsia="仿宋_GB2312"/>
                <w:sz w:val="24"/>
              </w:rPr>
              <w:t>18岁—50周岁不低于</w:t>
            </w:r>
            <w:r>
              <w:rPr>
                <w:rFonts w:ascii="仿宋_GB2312" w:hAnsi="仿宋_GB2312" w:cs="仿宋_GB2312" w:eastAsia="仿宋_GB2312"/>
                <w:sz w:val="24"/>
              </w:rPr>
              <w:t>3</w:t>
            </w:r>
            <w:r>
              <w:rPr>
                <w:rFonts w:ascii="仿宋_GB2312" w:hAnsi="仿宋_GB2312" w:cs="仿宋_GB2312" w:eastAsia="仿宋_GB2312"/>
                <w:sz w:val="24"/>
              </w:rPr>
              <w:t>0人，</w:t>
            </w:r>
            <w:r>
              <w:rPr>
                <w:rFonts w:ascii="仿宋_GB2312" w:hAnsi="仿宋_GB2312" w:cs="仿宋_GB2312" w:eastAsia="仿宋_GB2312"/>
                <w:sz w:val="24"/>
              </w:rPr>
              <w:t>合计</w:t>
            </w:r>
            <w:r>
              <w:rPr>
                <w:rFonts w:ascii="仿宋_GB2312" w:hAnsi="仿宋_GB2312" w:cs="仿宋_GB2312" w:eastAsia="仿宋_GB2312"/>
                <w:sz w:val="24"/>
              </w:rPr>
              <w:t>83</w:t>
            </w:r>
            <w:r>
              <w:rPr>
                <w:rFonts w:ascii="仿宋_GB2312" w:hAnsi="仿宋_GB2312" w:cs="仿宋_GB2312" w:eastAsia="仿宋_GB2312"/>
                <w:sz w:val="24"/>
              </w:rPr>
              <w:t>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）政治素质：拥护党的路线、方针、政策，尊重领导和服务对象，服从安排，听从指挥，无违法犯罪记录等。爱岗敬业，恪尽职守，遵纪守法，文明执勤，礼貌待人，敢于同违法犯罪现象作斗争。</w:t>
            </w:r>
          </w:p>
          <w:p>
            <w:pPr>
              <w:pStyle w:val="null3"/>
              <w:ind w:firstLine="480"/>
              <w:jc w:val="both"/>
            </w:pPr>
            <w:r>
              <w:rPr>
                <w:rFonts w:ascii="仿宋_GB2312" w:hAnsi="仿宋_GB2312" w:cs="仿宋_GB2312" w:eastAsia="仿宋_GB2312"/>
                <w:sz w:val="24"/>
              </w:rPr>
              <w:t>（5）成交供应商在服务过程中拟投入的保安人员必须具备《保安员证》，否则不得上岗；成交供应商在合同签订时需向采购人提交所配备保安人员的</w:t>
            </w:r>
            <w:r>
              <w:rPr>
                <w:rFonts w:ascii="仿宋_GB2312" w:hAnsi="仿宋_GB2312" w:cs="仿宋_GB2312" w:eastAsia="仿宋_GB2312"/>
                <w:sz w:val="24"/>
              </w:rPr>
              <w:t>《保安员证》及身份证复印件。</w:t>
            </w:r>
          </w:p>
          <w:p>
            <w:pPr>
              <w:pStyle w:val="null3"/>
              <w:ind w:firstLine="480"/>
              <w:jc w:val="both"/>
            </w:pPr>
            <w:r>
              <w:rPr>
                <w:rFonts w:ascii="仿宋_GB2312" w:hAnsi="仿宋_GB2312" w:cs="仿宋_GB2312" w:eastAsia="仿宋_GB2312"/>
                <w:sz w:val="24"/>
                <w:color w:val="000000"/>
              </w:rPr>
              <w:t>3、业务技能：具备相关法律法规知识及安保知识和消防知识，具备一定安保应急处置能力。</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4、文化条件：具备初中以上文化，具备良好的语言表达及沟通协调能力。</w:t>
            </w:r>
          </w:p>
          <w:p>
            <w:pPr>
              <w:pStyle w:val="null3"/>
              <w:ind w:firstLine="480"/>
              <w:jc w:val="both"/>
            </w:pPr>
            <w:r>
              <w:rPr>
                <w:rFonts w:ascii="仿宋_GB2312" w:hAnsi="仿宋_GB2312" w:cs="仿宋_GB2312" w:eastAsia="仿宋_GB2312"/>
                <w:sz w:val="24"/>
                <w:color w:val="000000"/>
              </w:rPr>
              <w:t>5、安保要求：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1）保安人员统一由采购人协调安排使用；完成采购人交办的其他工作，严格履行岗位职责，做好本职工作，做好交接班记录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遵守中心的各项规章制度，服从管理，听从安排。</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安保巡查服务，着装整洁，举止端庄，文明用语。</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加强巡逻，实行定岗定员轮班</w:t>
            </w:r>
            <w:r>
              <w:rPr>
                <w:rFonts w:ascii="仿宋_GB2312" w:hAnsi="仿宋_GB2312" w:cs="仿宋_GB2312" w:eastAsia="仿宋_GB2312"/>
                <w:sz w:val="24"/>
              </w:rPr>
              <w:t>24小时巡视责任区域，及时制止寻衅滋事、非法集会、缠闹围攻、扰乱正常办公事件，及时调解民事纠纷事件，预防和及时制止破坏公共设施、偷盗、纵火行为。</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熟悉责任区域消防设备、设施的位置和使用方法。按照消防防火有关规定，每日进行安全巡视检查，做好巡视检查记录，发现隐患及时上报</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工作期间不得擅自离岗、串岗、脱岗、喝酒。</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阻止任何单位或个人在办公区大门内（外）摆摊设点、倾倒建筑垃圾；劝阻损坏公物、攀折树枝和乱扔垃圾等不良行为。</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来客来访人员出入登记，禁止无关人员进入；指挥、疏导车辆，维护出入口正常秩序；对出入人员、车辆及其携带或装运的物品进行查验，防止单位和个人财物流失及违禁物品流失；协助单位做好来访人员接待、控烟宣传、桶装水更换和报纸发放等工作。</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）成交供应商除完成日常安保服务工作之外，如遇大型活动应临时增派保安服务，以便处置突发事件的发生，协助采购人做好安保工作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）所有保安人员确保无任何的犯罪前科，所有保安人员的身份证复印件和个人简历要交由采购人备案，如人员发生变动时必须向采购人报备</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成交供应商必须保证与保安人员的劳务关系合法有效，若保安人员与成交供应商发生劳资纠纷，不能影响采购人的正常公共秩序，成交供应商必须按规定给劳务人员缴纳社会保险相关费用，并承担由此造成的一切责任和损失</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成交供应商必须保证按照采购人规定的保安服务人员数量和工作时间、班次从事服务活动。如采购人发现成交供应商在未经得采购人同意的情况下，擅自减少保安人员数量或擅自延长保安人员工作时间的，采购人可解除其服务合同，并由供应商承担由此造成的一切责任和损失</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13）成交供应商按照要求定期组织治安、消防、应急处突各类演练，大型活动有工作预案，确保应对反恐、火灾及突发情况能够及时处置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14）能够按岗位要求，独立完善本职（门卫、巡逻、守护、安检等）工作及应急保障任务；做好详细的执勤记录，原始台账保存完好，以备核查，在保安服务过程中，因保安员过失，造成采购人资产丢失或损坏的，由成交供应商负责赔偿。</w:t>
            </w:r>
          </w:p>
          <w:p>
            <w:pPr>
              <w:pStyle w:val="null3"/>
              <w:jc w:val="left"/>
            </w:pPr>
            <w:r>
              <w:rPr>
                <w:rFonts w:ascii="仿宋_GB2312" w:hAnsi="仿宋_GB2312" w:cs="仿宋_GB2312" w:eastAsia="仿宋_GB2312"/>
                <w:sz w:val="24"/>
                <w:b/>
              </w:rPr>
              <w:t>二、岗位职责及标准</w:t>
            </w:r>
          </w:p>
          <w:p>
            <w:pPr>
              <w:pStyle w:val="null3"/>
              <w:ind w:firstLine="480"/>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门岗要求</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门岗人员应精神饱满，着装整齐、举止大方、文明执勤、礼貌待人，树立良好的固定岗形象。</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保持岗位周边卫生的整洁，引导进出车辆确保通道畅通。</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认真盘查外来人员，访客应先联系得到允许后并认真填写《来访登记表》方可引导进入办公区，对推销产品、贴小广告或其它闲杂人员应劝其离开辖区。</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上岗前检查灭火器或消防带情况，遇火灾发生时持灭火装备，快速赶到事故现场。</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外来车辆</w:t>
            </w:r>
            <w:r>
              <w:rPr>
                <w:rFonts w:ascii="仿宋_GB2312" w:hAnsi="仿宋_GB2312" w:cs="仿宋_GB2312" w:eastAsia="仿宋_GB2312"/>
                <w:sz w:val="24"/>
                <w:shd w:fill="FFFFFF" w:val="clear"/>
              </w:rPr>
              <w:t>未经允许不可进入办公区，对携有大件或贵重物品和形迹可疑人员应进行盘查</w:t>
            </w:r>
            <w:r>
              <w:rPr>
                <w:rFonts w:ascii="仿宋_GB2312" w:hAnsi="仿宋_GB2312" w:cs="仿宋_GB2312" w:eastAsia="仿宋_GB2312"/>
                <w:sz w:val="24"/>
                <w:shd w:fill="FFFFFF" w:val="clear"/>
              </w:rPr>
              <w:t>。</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值班人员应文明执勤，纠正违章时应先敬礼，认真接受单位提出的批评、意见或建议，接到投诉时应在第一时间反馈给相关部门。</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如遇突发事件，应保护现场，并及时通知班长、队长并做好记录。</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8</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增强责任心，牢固树立</w:t>
            </w:r>
            <w:r>
              <w:rPr>
                <w:rFonts w:ascii="仿宋_GB2312" w:hAnsi="仿宋_GB2312" w:cs="仿宋_GB2312" w:eastAsia="仿宋_GB2312"/>
                <w:sz w:val="24"/>
                <w:shd w:fill="FFFFFF" w:val="clear"/>
              </w:rPr>
              <w:t>“为辖区安全，让业主放心的思想”，遵纪守法、服从命令、尊重领导、团结同事，安心本职工作。</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9</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认真完成上级领导交给的其它工作任务。</w:t>
            </w:r>
          </w:p>
          <w:p>
            <w:pPr>
              <w:pStyle w:val="null3"/>
              <w:ind w:firstLine="480"/>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巡逻岗位要求</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当业主、顾客有困难求助时，应及时提供热情的帮助。</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若遇领导或前来指导、参观的社会各界人士，应敬礼、致谢。</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巡逻时要多走、多看、多听、多嗅。重点检查治安、防火、防盗等情况，消防等公共设备、设施是否完好，防盗门是否关好等。发现问题立即处理，做好《值班记录表》，并上报固定岗班长或项目经理。</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巡逻中发现可疑人员，要前往盘查，必要时检查其所带物品。属三无人员，应驱赶出辖区；属推销、摆卖人员，应劝其离开辖区。</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对于出现的紧急情况，应参照《紧急事件处理程序》处理。</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协助其他班组（部门）做好有关管理工作</w:t>
            </w:r>
            <w:r>
              <w:rPr>
                <w:rFonts w:ascii="仿宋_GB2312" w:hAnsi="仿宋_GB2312" w:cs="仿宋_GB2312" w:eastAsia="仿宋_GB2312"/>
                <w:sz w:val="24"/>
                <w:shd w:fill="FFFFFF" w:val="clear"/>
              </w:rPr>
              <w:t>。</w:t>
            </w:r>
          </w:p>
          <w:p>
            <w:pPr>
              <w:pStyle w:val="null3"/>
              <w:ind w:firstLine="480"/>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停车岗</w:t>
            </w:r>
            <w:r>
              <w:rPr>
                <w:rFonts w:ascii="仿宋_GB2312" w:hAnsi="仿宋_GB2312" w:cs="仿宋_GB2312" w:eastAsia="仿宋_GB2312"/>
                <w:sz w:val="24"/>
                <w:shd w:fill="FFFFFF" w:val="clear"/>
              </w:rPr>
              <w:t>要求</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按规定每半小时巡视办公区临时停放车辆情况，发现漏水、漏油、未关好车门窗、未上锁等现象及时处理并通知车主，并在《停车场交接班记录表》上做好记录。</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清点车场内车辆及停放位置，随时与岗亭联系，以核对车辆数量。</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发现无关人员或可疑人员到车场（库），要及时劝其离开，若有紧急情况按有关规定进行处理。</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引导车辆有序停放，严密注视车辆情况和驾驶员的行为，若遇酒后或疲劳驾车者，应及时劝阻，并报告值班队长及时处理，避免交通意外的发生。</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检查车场内设备设施是否完好，发现异常情况在《停车场交接班记录表》记录并及时上报，以便及时处理。</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协助保洁员维护好车场（库）内的清洁卫生，保持停车场（库）的整洁。</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7）岗位人员划分（具体可根据采购人要求调整）。</w:t>
            </w:r>
          </w:p>
          <w:tbl>
            <w:tblPr>
              <w:tblBorders>
                <w:top w:val="none" w:color="000000" w:sz="4"/>
                <w:left w:val="none" w:color="000000" w:sz="4"/>
                <w:bottom w:val="none" w:color="000000" w:sz="4"/>
                <w:right w:val="none" w:color="000000" w:sz="4"/>
                <w:insideH w:val="none"/>
                <w:insideV w:val="none"/>
              </w:tblBorders>
            </w:tblPr>
            <w:tblGrid>
              <w:gridCol w:w="588"/>
              <w:gridCol w:w="4117"/>
              <w:gridCol w:w="882"/>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岗位/服务地点</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人数（人）</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通川区区委政府大院保安队长</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通川区区委办公楼</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通川区政府办公楼</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通川区综合办公楼</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通川区信访局</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通川区区委区政府大门及停车场</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通川区区委政府侧门</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通川区人大</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通川区财政局</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通川区行政审批局</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通川区文化街办公区</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通川区彭家湾办公区</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通川区纪委办公区（石龙溪）</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通川区江湾城办公区（</w:t>
                  </w:r>
                  <w:r>
                    <w:rPr>
                      <w:rFonts w:ascii="仿宋_GB2312" w:hAnsi="仿宋_GB2312" w:cs="仿宋_GB2312" w:eastAsia="仿宋_GB2312"/>
                      <w:sz w:val="24"/>
                      <w:color w:val="000000"/>
                    </w:rPr>
                    <w:t>1区和2区）</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通川区政府家属院（张家湾）</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通川区公安分局办公楼</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通川区公安分局涉案财物堆放中心</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通川区公安分局大门</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通川区公安分局停车场</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通川区公安分局第二办公区（吴家沟）</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4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人员基本素质及管理要求</w:t>
            </w:r>
          </w:p>
        </w:tc>
        <w:tc>
          <w:tcPr>
            <w:tcW w:type="dxa" w:w="5814"/>
          </w:tcPr>
          <w:p>
            <w:pPr>
              <w:pStyle w:val="null3"/>
              <w:ind w:firstLine="495"/>
              <w:jc w:val="both"/>
            </w:pPr>
            <w:r>
              <w:rPr>
                <w:rFonts w:ascii="仿宋_GB2312" w:hAnsi="仿宋_GB2312" w:cs="仿宋_GB2312" w:eastAsia="仿宋_GB2312"/>
                <w:sz w:val="24"/>
                <w:color w:val="000000"/>
              </w:rPr>
              <w:t>1、经过正规培训</w:t>
            </w:r>
            <w:r>
              <w:rPr>
                <w:rFonts w:ascii="仿宋_GB2312" w:hAnsi="仿宋_GB2312" w:cs="仿宋_GB2312" w:eastAsia="仿宋_GB2312"/>
                <w:sz w:val="24"/>
                <w:color w:val="000000"/>
              </w:rPr>
              <w:t>，具</w:t>
            </w:r>
            <w:r>
              <w:rPr>
                <w:rFonts w:ascii="仿宋_GB2312" w:hAnsi="仿宋_GB2312" w:cs="仿宋_GB2312" w:eastAsia="仿宋_GB2312"/>
                <w:sz w:val="24"/>
                <w:color w:val="000000"/>
              </w:rPr>
              <w:t>有较高的业务素质，思想品质良好，讲求职业道德，身体健康，讲究卫生。</w:t>
            </w:r>
          </w:p>
          <w:p>
            <w:pPr>
              <w:pStyle w:val="null3"/>
              <w:ind w:firstLine="495"/>
              <w:jc w:val="both"/>
            </w:pPr>
            <w:r>
              <w:rPr>
                <w:rFonts w:ascii="仿宋_GB2312" w:hAnsi="仿宋_GB2312" w:cs="仿宋_GB2312" w:eastAsia="仿宋_GB2312"/>
                <w:sz w:val="24"/>
                <w:color w:val="000000"/>
              </w:rPr>
              <w:t>2、保安人员应服从</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的监督和指导。</w:t>
            </w:r>
          </w:p>
          <w:p>
            <w:pPr>
              <w:pStyle w:val="null3"/>
              <w:ind w:firstLine="495"/>
              <w:jc w:val="both"/>
            </w:pPr>
            <w:r>
              <w:rPr>
                <w:rFonts w:ascii="仿宋_GB2312" w:hAnsi="仿宋_GB2312" w:cs="仿宋_GB2312" w:eastAsia="仿宋_GB2312"/>
                <w:sz w:val="24"/>
                <w:color w:val="000000"/>
              </w:rPr>
              <w:t>3、具备正常履行职责所需的身体条件</w:t>
            </w:r>
            <w:r>
              <w:rPr>
                <w:rFonts w:ascii="仿宋_GB2312" w:hAnsi="仿宋_GB2312" w:cs="仿宋_GB2312" w:eastAsia="仿宋_GB2312"/>
                <w:sz w:val="24"/>
                <w:color w:val="000000"/>
              </w:rPr>
              <w:t>。</w:t>
            </w:r>
          </w:p>
          <w:p>
            <w:pPr>
              <w:pStyle w:val="null3"/>
              <w:ind w:firstLine="495"/>
              <w:jc w:val="both"/>
            </w:pPr>
            <w:r>
              <w:rPr>
                <w:rFonts w:ascii="仿宋_GB2312" w:hAnsi="仿宋_GB2312" w:cs="仿宋_GB2312" w:eastAsia="仿宋_GB2312"/>
                <w:sz w:val="24"/>
                <w:color w:val="000000"/>
              </w:rPr>
              <w:t>4、工作期间员工应佩证上岗，统一着装，衣着端正，服务态度和蔼</w:t>
            </w:r>
            <w:r>
              <w:rPr>
                <w:rFonts w:ascii="仿宋_GB2312" w:hAnsi="仿宋_GB2312" w:cs="仿宋_GB2312" w:eastAsia="仿宋_GB2312"/>
                <w:sz w:val="24"/>
                <w:color w:val="000000"/>
              </w:rPr>
              <w:t>。</w:t>
            </w:r>
          </w:p>
          <w:p>
            <w:pPr>
              <w:pStyle w:val="null3"/>
              <w:ind w:firstLine="495"/>
              <w:jc w:val="both"/>
            </w:pPr>
            <w:r>
              <w:rPr>
                <w:rFonts w:ascii="仿宋_GB2312" w:hAnsi="仿宋_GB2312" w:cs="仿宋_GB2312" w:eastAsia="仿宋_GB2312"/>
                <w:sz w:val="24"/>
                <w:color w:val="000000"/>
              </w:rPr>
              <w:t>5、供应商应定期对员工进行岗位培训，职业道德教育，提高服务质量，遵守采购人的各项规章制度。员工应遵守国家法律法规、采购人的规章制度及各项安全操作规章制度，接受采购人的指导和管理。</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95"/>
              <w:jc w:val="both"/>
            </w:pPr>
            <w:r>
              <w:rPr>
                <w:rFonts w:ascii="仿宋_GB2312" w:hAnsi="仿宋_GB2312" w:cs="仿宋_GB2312" w:eastAsia="仿宋_GB2312"/>
                <w:sz w:val="24"/>
                <w:color w:val="000000"/>
              </w:rPr>
              <w:t>1、成交供应商必须按月发放工作人员工资，不得将工资</w:t>
            </w:r>
            <w:r>
              <w:rPr>
                <w:rFonts w:ascii="仿宋_GB2312" w:hAnsi="仿宋_GB2312" w:cs="仿宋_GB2312" w:eastAsia="仿宋_GB2312"/>
                <w:sz w:val="24"/>
                <w:color w:val="000000"/>
              </w:rPr>
              <w:t>挪作他用</w:t>
            </w:r>
            <w:r>
              <w:rPr>
                <w:rFonts w:ascii="仿宋_GB2312" w:hAnsi="仿宋_GB2312" w:cs="仿宋_GB2312" w:eastAsia="仿宋_GB2312"/>
                <w:sz w:val="24"/>
                <w:color w:val="000000"/>
              </w:rPr>
              <w:t>或拖欠发放支付，不得无依据乱扣不发。</w:t>
            </w:r>
          </w:p>
          <w:p>
            <w:pPr>
              <w:pStyle w:val="null3"/>
              <w:ind w:firstLine="495"/>
              <w:jc w:val="both"/>
            </w:pPr>
            <w:r>
              <w:rPr>
                <w:rFonts w:ascii="仿宋_GB2312" w:hAnsi="仿宋_GB2312" w:cs="仿宋_GB2312" w:eastAsia="仿宋_GB2312"/>
                <w:sz w:val="24"/>
                <w:color w:val="000000"/>
              </w:rPr>
              <w:t>2、成交供应商在提供服务时不得将服务内容及职责转给第三方。</w:t>
            </w:r>
          </w:p>
          <w:p>
            <w:pPr>
              <w:pStyle w:val="null3"/>
              <w:ind w:firstLine="480"/>
              <w:jc w:val="both"/>
            </w:pPr>
            <w:r>
              <w:rPr>
                <w:rFonts w:ascii="仿宋_GB2312" w:hAnsi="仿宋_GB2312" w:cs="仿宋_GB2312" w:eastAsia="仿宋_GB2312"/>
                <w:sz w:val="24"/>
                <w:shd w:fill="FFFFFF" w:val="clear"/>
              </w:rPr>
              <w:t>3、成交供应商应对本单位派遣工作人员工作期间及上、下班途中人身、财产安全自行负责，采购人不承担相关责任。</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、劳务风险要求</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劳务风险：保安人员的劳动关系在项目成交供应商，保安人员与成交供应商签订《劳动合同》，由成交供应商负责保安人员工资、福利的发放和各类社会保险的缴纳。用工期间因劳动者造成的劳务纠纷由项目成交供应商负责进行处理。保安人员离职时，成交供应商负责按照国家现行法律法规向保安人员发放经济补偿金，采购人不因此承担其他费用。</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用工风险：保安人员在采购人工作范围内因工作致伤、致死、致残和遭遇不测时，依据《中华人民共和国劳动合同法》由成交供应商按国家有关规定承担相应责任，采购人不承担工伤保险责任。保安人员非因公受伤的，由成交供应商依法处理。保安人员在工作期间导致第三方人身损害的，应当由成交供应商承担全部赔偿责任及法律责任（由于采购人的指挥或不正当的要求除外）。</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3）工资</w:t>
            </w:r>
            <w:r>
              <w:rPr>
                <w:rFonts w:ascii="仿宋_GB2312" w:hAnsi="仿宋_GB2312" w:cs="仿宋_GB2312" w:eastAsia="仿宋_GB2312"/>
                <w:sz w:val="24"/>
                <w:shd w:fill="FFFFFF" w:val="clear"/>
              </w:rPr>
              <w:t>福利保障：成交供应商不违背《中华人民共和国劳动法》相关法律法规，需为保安人员购买相关的社会保险，涉及员工各种劳动福利、养老保险、劳动保险、医疗保险、劳动安全等政府颁布的相关法律法规的责任由成交供应商承担；</w:t>
            </w:r>
            <w:r>
              <w:rPr>
                <w:rFonts w:ascii="仿宋_GB2312" w:hAnsi="仿宋_GB2312" w:cs="仿宋_GB2312" w:eastAsia="仿宋_GB2312"/>
                <w:sz w:val="24"/>
                <w:shd w:fill="FFFFFF" w:val="clear"/>
              </w:rPr>
              <w:t>本项目</w:t>
            </w:r>
            <w:r>
              <w:rPr>
                <w:rFonts w:ascii="仿宋_GB2312" w:hAnsi="仿宋_GB2312" w:cs="仿宋_GB2312" w:eastAsia="仿宋_GB2312"/>
                <w:sz w:val="24"/>
                <w:shd w:fill="FFFFFF" w:val="clear"/>
              </w:rPr>
              <w:t>服务</w:t>
            </w:r>
            <w:r>
              <w:rPr>
                <w:rFonts w:ascii="仿宋_GB2312" w:hAnsi="仿宋_GB2312" w:cs="仿宋_GB2312" w:eastAsia="仿宋_GB2312"/>
                <w:sz w:val="24"/>
                <w:shd w:fill="FFFFFF" w:val="clear"/>
              </w:rPr>
              <w:t>人员薪资不得低于达州市最低薪酬标准</w:t>
            </w:r>
            <w:r>
              <w:rPr>
                <w:rFonts w:ascii="仿宋_GB2312" w:hAnsi="仿宋_GB2312" w:cs="仿宋_GB2312" w:eastAsia="仿宋_GB2312"/>
                <w:sz w:val="24"/>
                <w:shd w:fill="FFFFFF" w:val="clear"/>
              </w:rPr>
              <w:t>（投标时提供承诺函，格式自拟）。</w:t>
            </w:r>
          </w:p>
          <w:p>
            <w:pPr>
              <w:pStyle w:val="null3"/>
              <w:ind w:firstLine="480"/>
              <w:jc w:val="both"/>
            </w:pP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人员储备：按项目设想，成交供应商应为专业保安服务企业，拥有充足的人员储备，可为采购人提供全方位的人员支持，能够按照采购人用工需要配备、增减、调换从业人员。在采购人业务扩展或突发事件需要人员支持时，成交供应商应在短时间内向指定地点、区域抽调、派驻服务人员，完成采购人指定的工作任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人员管理：每月由成交供应商项目管理人员向采购人报送安全隐患排查信息，制定控制措施。每月定期与采购人进行工作意见信息交流，了解保安人员的工作状况，对出现的问题及时整改。每季度向采购人呈送《征求意见信息书》，由采购人对保安人员进行全面工作评估，并以此作为保安人员工作评定的标准。</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保安服务绩效考核表</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34"/>
              <w:gridCol w:w="3453"/>
              <w:gridCol w:w="692"/>
              <w:gridCol w:w="798"/>
            </w:tblGrid>
            <w:tr>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shd w:fill="FFFFFF" w:val="clear"/>
                    </w:rPr>
                    <w:t>序号</w:t>
                  </w:r>
                </w:p>
              </w:tc>
              <w:tc>
                <w:tcPr>
                  <w:tcW w:type="dxa" w:w="3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考核内容</w:t>
                  </w:r>
                </w:p>
              </w:tc>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分值</w:t>
                  </w:r>
                </w:p>
              </w:tc>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考核分数</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1</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着装规范</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5分）</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2</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熟悉安保设施、设备的位置和使用</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10分）</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3</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所在岗位整洁</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5分）</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4</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每半小时巡查工作区域</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10分）</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5</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按时开关大门、栏栅等</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5分）</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6</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按规定定期定时检查消防安全隐患并做好记录</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5分）</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7</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及时按工作指令执行，不打折扣</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10分）</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8</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及时制止工作区域内不文明、不规范行为</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5分）</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9</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及时调解外来纠纷</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5分）</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10</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发现问题及时汇报</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5分）</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11</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遵守安保规章制度</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5分）</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12</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工作时间内坚守岗位，不擅自离岗、串岗、脱岗</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10分）</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13</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工作时间内不做与工作无关的事</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5分）</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14</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自觉遵守公共场所行为规范</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5分）</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15</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无群众意见</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5分）</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16</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积极配合临时性工作任务</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5分）</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注：</w:t>
                  </w:r>
                  <w:r>
                    <w:rPr>
                      <w:rFonts w:ascii="仿宋_GB2312" w:hAnsi="仿宋_GB2312" w:cs="仿宋_GB2312" w:eastAsia="仿宋_GB2312"/>
                      <w:sz w:val="24"/>
                      <w:color w:val="000000"/>
                    </w:rPr>
                    <w:t>95分及以上为优，94分至90分为良，89分至80分为一般，80分以下为不合格。</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自合同签订之日起365日（考核合格一年期满后可以续签下一年度合同，但续签年限最多不超过两年。）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达州市通川区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以及《财政部关于进一步加强政府采购需求和履约验收管理的指导意见》（财库〔2016〕205号）、《政府采购需求管理办法》财库〔2021〕22号的要求、采购文件规定的要求和响应文件及合同承诺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1、验收合格后月付，达到付款条件起5日内，支付合同总金额的8.30%</w:t>
            </w:r>
          </w:p>
          <w:p>
            <w:pPr>
              <w:pStyle w:val="null3"/>
              <w:jc w:val="left"/>
            </w:pPr>
            <w:r>
              <w:rPr>
                <w:rFonts w:ascii="仿宋_GB2312" w:hAnsi="仿宋_GB2312" w:cs="仿宋_GB2312" w:eastAsia="仿宋_GB2312"/>
              </w:rPr>
              <w:t>2、验收合格后月付，达到付款条件起5日内，支付合同总金额的8.30%</w:t>
            </w:r>
          </w:p>
          <w:p>
            <w:pPr>
              <w:pStyle w:val="null3"/>
              <w:jc w:val="left"/>
            </w:pPr>
            <w:r>
              <w:rPr>
                <w:rFonts w:ascii="仿宋_GB2312" w:hAnsi="仿宋_GB2312" w:cs="仿宋_GB2312" w:eastAsia="仿宋_GB2312"/>
              </w:rPr>
              <w:t>3、验收合格后月付，达到付款条件起5日内，支付合同总金额的8.30%</w:t>
            </w:r>
          </w:p>
          <w:p>
            <w:pPr>
              <w:pStyle w:val="null3"/>
              <w:jc w:val="left"/>
            </w:pPr>
            <w:r>
              <w:rPr>
                <w:rFonts w:ascii="仿宋_GB2312" w:hAnsi="仿宋_GB2312" w:cs="仿宋_GB2312" w:eastAsia="仿宋_GB2312"/>
              </w:rPr>
              <w:t>4、验收合格后月付，达到付款条件起5日内，支付合同总金额的8.30%</w:t>
            </w:r>
          </w:p>
          <w:p>
            <w:pPr>
              <w:pStyle w:val="null3"/>
              <w:jc w:val="left"/>
            </w:pPr>
            <w:r>
              <w:rPr>
                <w:rFonts w:ascii="仿宋_GB2312" w:hAnsi="仿宋_GB2312" w:cs="仿宋_GB2312" w:eastAsia="仿宋_GB2312"/>
              </w:rPr>
              <w:t>5、验收合格后月付，达到付款条件起5日内，支付合同总金额的8.30%</w:t>
            </w:r>
          </w:p>
          <w:p>
            <w:pPr>
              <w:pStyle w:val="null3"/>
              <w:jc w:val="left"/>
            </w:pPr>
            <w:r>
              <w:rPr>
                <w:rFonts w:ascii="仿宋_GB2312" w:hAnsi="仿宋_GB2312" w:cs="仿宋_GB2312" w:eastAsia="仿宋_GB2312"/>
              </w:rPr>
              <w:t>6、验收合格后月付，达到付款条件起5日内，支付合同总金额的8.30%</w:t>
            </w:r>
          </w:p>
          <w:p>
            <w:pPr>
              <w:pStyle w:val="null3"/>
              <w:jc w:val="left"/>
            </w:pPr>
            <w:r>
              <w:rPr>
                <w:rFonts w:ascii="仿宋_GB2312" w:hAnsi="仿宋_GB2312" w:cs="仿宋_GB2312" w:eastAsia="仿宋_GB2312"/>
              </w:rPr>
              <w:t>7、验收合格后月付，达到付款条件起5日内，支付合同总金额的8.30%</w:t>
            </w:r>
          </w:p>
          <w:p>
            <w:pPr>
              <w:pStyle w:val="null3"/>
              <w:jc w:val="left"/>
            </w:pPr>
            <w:r>
              <w:rPr>
                <w:rFonts w:ascii="仿宋_GB2312" w:hAnsi="仿宋_GB2312" w:cs="仿宋_GB2312" w:eastAsia="仿宋_GB2312"/>
              </w:rPr>
              <w:t>8、验收合格后月付，达到付款条件起5日内，支付合同总金额的8.30%</w:t>
            </w:r>
          </w:p>
          <w:p>
            <w:pPr>
              <w:pStyle w:val="null3"/>
              <w:jc w:val="left"/>
            </w:pPr>
            <w:r>
              <w:rPr>
                <w:rFonts w:ascii="仿宋_GB2312" w:hAnsi="仿宋_GB2312" w:cs="仿宋_GB2312" w:eastAsia="仿宋_GB2312"/>
              </w:rPr>
              <w:t>9、验收合格后月付，达到付款条件起5日内，支付合同总金额的8.40%</w:t>
            </w:r>
          </w:p>
          <w:p>
            <w:pPr>
              <w:pStyle w:val="null3"/>
              <w:jc w:val="left"/>
            </w:pPr>
            <w:r>
              <w:rPr>
                <w:rFonts w:ascii="仿宋_GB2312" w:hAnsi="仿宋_GB2312" w:cs="仿宋_GB2312" w:eastAsia="仿宋_GB2312"/>
              </w:rPr>
              <w:t>10、验收合格后月付，达到付款条件起5日内，支付合同总金额的8.40%</w:t>
            </w:r>
          </w:p>
          <w:p>
            <w:pPr>
              <w:pStyle w:val="null3"/>
              <w:jc w:val="left"/>
            </w:pPr>
            <w:r>
              <w:rPr>
                <w:rFonts w:ascii="仿宋_GB2312" w:hAnsi="仿宋_GB2312" w:cs="仿宋_GB2312" w:eastAsia="仿宋_GB2312"/>
              </w:rPr>
              <w:t>11、验收合格后月付，达到付款条件起5日内，支付合同总金额的8.40%</w:t>
            </w:r>
          </w:p>
          <w:p>
            <w:pPr>
              <w:pStyle w:val="null3"/>
              <w:jc w:val="left"/>
            </w:pPr>
            <w:r>
              <w:rPr>
                <w:rFonts w:ascii="仿宋_GB2312" w:hAnsi="仿宋_GB2312" w:cs="仿宋_GB2312" w:eastAsia="仿宋_GB2312"/>
              </w:rPr>
              <w:t>12、验收合格后月付，达到付款条件起5日内，支付合同总金额的8.40%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供应商根据项目实际情况提供的安保服务实施方案，包括以下内容：1）人员管理职责；2）人员派驻方案；3）安全管理制度；4）职业道德及操作规范培训制度；5）执勤巡逻检查制度；6）上岗培训方案和岗前考核措施。 （二）供应商根据项目实际情况提供的整体应急方案，包括以下内容：1）火灾应急预案；2）治安应急预案；3）人员意外伤亡或因公伤亡应急预案；4）整体规划及解决方案。 （三）供应商根据项目实际情况提供的秩序维护方案，包括以下内容：1）岗位设置；2）工作职责；3）服务标准；4）公共秩序维护；5）安全管理；6）车辆停放管理。（四）供应商可根据项目及自身情况提供相关人员及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 ②若为事业法人：提供“统一社会信用代码法人登记证书”； ③若为其他组织：提供“对应主管部门颁发的准许执业证明文件或营业执照”； ④若为自然人：提供“身份证明材料”。</w:t>
            </w:r>
          </w:p>
        </w:tc>
        <w:tc>
          <w:tcPr>
            <w:tcW w:type="dxa" w:w="1661"/>
          </w:tcPr>
          <w:p>
            <w:pPr>
              <w:pStyle w:val="null3"/>
              <w:jc w:val="left"/>
            </w:pPr>
            <w:r>
              <w:rPr>
                <w:rFonts w:ascii="仿宋_GB2312" w:hAnsi="仿宋_GB2312" w:cs="仿宋_GB2312" w:eastAsia="仿宋_GB2312"/>
              </w:rPr>
              <w:t>响应文件封面,供应商认为需要提供的其他资格证明材料.docx,投标（响应）函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①可提供近三年任一年度经审计的完整财务报告复印件（包含审计报告和审计报告中所涉及的财务报表、报表附注等）。 ②可提供供应商内部的近三年任一年度财务报表复印件（至少包含资产负债表、利润表、现金流量表）。 ③可提供截至响应文件递交截止日一年内银行出具的资信证明（复印件）。 ④供应商注册时间截至响应文件递交截止日不足两年的，也可提供加盖工商备案主管部门印章的公司章程（复印件）。 ⑤自然人或个体工商户参与投标的，可提供具有健全的财务会计制度的承诺函。</w:t>
            </w:r>
          </w:p>
        </w:tc>
        <w:tc>
          <w:tcPr>
            <w:tcW w:type="dxa" w:w="1661"/>
          </w:tcPr>
          <w:p>
            <w:pPr>
              <w:pStyle w:val="null3"/>
              <w:jc w:val="left"/>
            </w:pPr>
            <w:r>
              <w:rPr>
                <w:rFonts w:ascii="仿宋_GB2312" w:hAnsi="仿宋_GB2312" w:cs="仿宋_GB2312" w:eastAsia="仿宋_GB2312"/>
              </w:rPr>
              <w:t>供应商认为需要提供的其他资格证明材料.docx,投标（响应）函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供应商须具有行业主管部门颁发的《保安服务许可证》。</w:t>
            </w:r>
          </w:p>
        </w:tc>
        <w:tc>
          <w:tcPr>
            <w:tcW w:type="dxa" w:w="3322"/>
          </w:tcPr>
          <w:p>
            <w:pPr>
              <w:pStyle w:val="null3"/>
              <w:jc w:val="left"/>
            </w:pPr>
            <w:r>
              <w:rPr>
                <w:rFonts w:ascii="仿宋_GB2312" w:hAnsi="仿宋_GB2312" w:cs="仿宋_GB2312" w:eastAsia="仿宋_GB2312"/>
              </w:rPr>
              <w:t>供应商须具有行业主管部门颁发的《保安服务许可证》。（投标时提供有效期内的证书扫描件）</w:t>
            </w:r>
          </w:p>
        </w:tc>
        <w:tc>
          <w:tcPr>
            <w:tcW w:type="dxa" w:w="1661"/>
          </w:tcPr>
          <w:p>
            <w:pPr>
              <w:pStyle w:val="null3"/>
              <w:jc w:val="left"/>
            </w:pPr>
            <w:r>
              <w:rPr>
                <w:rFonts w:ascii="仿宋_GB2312" w:hAnsi="仿宋_GB2312" w:cs="仿宋_GB2312" w:eastAsia="仿宋_GB2312"/>
              </w:rPr>
              <w:t>供应商认为需要提供的其他资格证明材料.docx,投标（响应）函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本项目技术服务及商务要求响应程度审查。</w:t>
            </w:r>
          </w:p>
        </w:tc>
        <w:tc>
          <w:tcPr>
            <w:tcW w:type="dxa" w:w="3322"/>
          </w:tcPr>
          <w:p>
            <w:pPr>
              <w:pStyle w:val="null3"/>
              <w:jc w:val="left"/>
            </w:pPr>
            <w:r>
              <w:rPr>
                <w:rFonts w:ascii="仿宋_GB2312" w:hAnsi="仿宋_GB2312" w:cs="仿宋_GB2312" w:eastAsia="仿宋_GB2312"/>
              </w:rPr>
              <w:t>审查投标供应商对本项目技术服务及商务要求的响应情况。</w:t>
            </w:r>
          </w:p>
        </w:tc>
        <w:tc>
          <w:tcPr>
            <w:tcW w:type="dxa" w:w="1661"/>
          </w:tcPr>
          <w:p>
            <w:pPr>
              <w:pStyle w:val="null3"/>
              <w:jc w:val="left"/>
            </w:pPr>
            <w:r>
              <w:rPr>
                <w:rFonts w:ascii="仿宋_GB2312" w:hAnsi="仿宋_GB2312" w:cs="仿宋_GB2312" w:eastAsia="仿宋_GB2312"/>
              </w:rPr>
              <w:t>供应商认为需要提供的其他证明材料.docx,技术服务及商务要求应答表.docx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安保服务实施方案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安保服务实施方案</w:t>
            </w:r>
          </w:p>
        </w:tc>
        <w:tc>
          <w:tcPr>
            <w:tcW w:type="dxa" w:w="2575"/>
          </w:tcPr>
          <w:p>
            <w:pPr>
              <w:pStyle w:val="null3"/>
              <w:jc w:val="left"/>
            </w:pPr>
            <w:r>
              <w:rPr>
                <w:rFonts w:ascii="仿宋_GB2312" w:hAnsi="仿宋_GB2312" w:cs="仿宋_GB2312" w:eastAsia="仿宋_GB2312"/>
              </w:rPr>
              <w:t>供应商根据项目实际情况提供的安保服务实施方案，包括以下内容： 1）人员管理职责； 2）人员派驻方案； 3）安全管理制度； 4）职业道德及操作规范培训制度； 5）执勤巡逻检查制度； 6）上岗培训方案和岗前考核措施； 以上各分项内容均能满足采购需求的得24分，方案每缺少一项扣4分，每有一项内容存在不足或不能完全符合本项目要求的扣2分，扣完为止，不提供的不得分。（注：内容存在不足或不能完全符合本项目要求指：方案内容不切合行业实际、不符合行业政策；或方案内容生搬硬造，与实际情况不符，存在偏差；或存在与项目无关的文字内容；或内容不适用项目实际情况；或方案中内容前后不一致、涉及的规范及标准错误；或方案中存在地点区域错误，不符合项目实际情况；或照抄照搬采购文件；或套用其他项目方案；或只有方案框架无实质性内容等。）</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整体应急方案</w:t>
            </w:r>
          </w:p>
        </w:tc>
        <w:tc>
          <w:tcPr>
            <w:tcW w:type="dxa" w:w="2575"/>
          </w:tcPr>
          <w:p>
            <w:pPr>
              <w:pStyle w:val="null3"/>
              <w:jc w:val="left"/>
            </w:pPr>
            <w:r>
              <w:rPr>
                <w:rFonts w:ascii="仿宋_GB2312" w:hAnsi="仿宋_GB2312" w:cs="仿宋_GB2312" w:eastAsia="仿宋_GB2312"/>
              </w:rPr>
              <w:t>供应商根据项目实际情况提供的整体应急方案，包括以下内容： 1）火灾应急预案； 2）治安应急预案； 3）人员意外伤亡或因公伤亡应急预案； 4）整体规划及解决方案； 以上各分项内容均能满足采购需求的得16分，方案每缺少一项扣4分，每有一项内容存在不足或不能完全符合本项目要求的扣2分，扣完为止，不提供的不得分。（注：内容存在不足或不能完全符合本项目要求指：方案内容不切合行业实际、不符合行业政策；或方案内容生搬硬造，与实际情况不符，存在偏差；或存在与项目无关的文字内容；或内容不适用项目实际情况；或方案中内容前后不一致、涉及的规范及标准错误；或方案中存在地点区域错误，不符合项目实际情况；或照抄照搬采购文件；或套用其他项目方案；或只有方案框架无实质性内容等。）</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秩序维护方案</w:t>
            </w:r>
          </w:p>
        </w:tc>
        <w:tc>
          <w:tcPr>
            <w:tcW w:type="dxa" w:w="2575"/>
          </w:tcPr>
          <w:p>
            <w:pPr>
              <w:pStyle w:val="null3"/>
              <w:jc w:val="left"/>
            </w:pPr>
            <w:r>
              <w:rPr>
                <w:rFonts w:ascii="仿宋_GB2312" w:hAnsi="仿宋_GB2312" w:cs="仿宋_GB2312" w:eastAsia="仿宋_GB2312"/>
              </w:rPr>
              <w:t>供应商根据项目实际情况提供的秩序维护方案，包括以下内容： 1）岗位设置； 2）工作职责； 3）服务标准； 4）公共秩序维护； 5）安全管理； 6）车辆停放管理； 以上各分项内容均能满足采购需求的得18分，方案每缺少一项扣3分，每有一项内容存在不足或不能完全符合本项目要求的扣1.5分，扣完为止，不提供的不得分。（注：内容存在不足或不能完全符合本项目要求指：方案内容不切合行业实际、不符合行业政策；或方案内容生搬硬造，与实际情况不符，存在偏差；或存在与项目无关的文字内容；或内容不适用项目实际情况；或方案中内容前后不一致、涉及的规范及标准错误；或方案中存在地点区域错误，不符合项目实际情况；或照抄照搬采购文件；或套用其他项目方案；或只有方案框架无实质性内容等。）</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拟配备本项目的保安人员每有一名具有消防设施操作员证书四级/中级工及以上证书的得2分，本项最多得6分。 注：（1）以上人员不重复计分；（2）提供相关证书复印件；否则不得得分。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供应商本项目管理、技术、服务人员情况表.docx</w:t>
            </w:r>
          </w:p>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供应商具有类似项目业绩的，每有一个得2分，本项最多得6分。 备注：提供合同或中标（成交）通知书复印件或合同复印件。</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p>
            <w:pPr>
              <w:pStyle w:val="null3"/>
              <w:jc w:val="left"/>
            </w:pPr>
            <w:r>
              <w:rPr>
                <w:rFonts w:ascii="仿宋_GB2312" w:hAnsi="仿宋_GB2312" w:cs="仿宋_GB2312" w:eastAsia="仿宋_GB2312"/>
              </w:rPr>
              <w:t>供应商认为需要提供的其他证明材料.docx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详见附件：供应商本项目管理、技术、服务人员情况表.docx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详见附件：供应商认为需要提供的其他证明材料.docx</w:t>
      </w:r>
    </w:p>
    <w:p>
      <w:pPr>
        <w:pStyle w:val="null3"/>
        <w:ind w:firstLine="960"/>
        <w:jc w:val="left"/>
      </w:pPr>
      <w:r>
        <w:rPr>
          <w:rFonts w:ascii="仿宋_GB2312" w:hAnsi="仿宋_GB2312" w:cs="仿宋_GB2312" w:eastAsia="仿宋_GB2312"/>
        </w:rPr>
        <w:t>详见附件：技术服务及商务要求应答表.docx</w:t>
      </w:r>
    </w:p>
    <w:p>
      <w:pPr>
        <w:pStyle w:val="null3"/>
        <w:ind w:firstLine="960"/>
        <w:jc w:val="left"/>
      </w:pPr>
      <w:r>
        <w:rPr>
          <w:rFonts w:ascii="仿宋_GB2312" w:hAnsi="仿宋_GB2312" w:cs="仿宋_GB2312" w:eastAsia="仿宋_GB2312"/>
        </w:rPr>
        <w:t>详见附件：供应商认为需要提供的其他资格证明材料.docx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