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版本号：N511301202600001620260520001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AI算力资源服务器(二次)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N5113012026000016</w:t>
      </w:r>
    </w:p>
    <w:p>
      <w:pPr>
        <w:pStyle w:val="null3"/>
        <w:jc w:val="left"/>
        <w:outlineLvl w:val="2"/>
      </w:pPr>
      <w:r>
        <w:rPr>
          <w:rFonts w:ascii="仿宋_GB2312" w:hAnsi="仿宋_GB2312" w:cs="仿宋_GB2312" w:eastAsia="仿宋_GB2312"/>
          <w:sz w:val="28"/>
          <w:b/>
        </w:rPr>
        <w:t>南充市身心医院</w:t>
      </w:r>
    </w:p>
    <w:p>
      <w:pPr>
        <w:pStyle w:val="null3"/>
        <w:jc w:val="center"/>
        <w:outlineLvl w:val="2"/>
      </w:pPr>
      <w:r>
        <w:rPr>
          <w:rFonts w:ascii="仿宋_GB2312" w:hAnsi="仿宋_GB2312" w:cs="仿宋_GB2312" w:eastAsia="仿宋_GB2312"/>
          <w:sz w:val="28"/>
          <w:b/>
        </w:rPr>
        <w:t>南充市政府采购中心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南充市政府采购中心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南充市身心医院</w:t>
      </w:r>
      <w:r>
        <w:rPr>
          <w:rFonts w:ascii="仿宋_GB2312" w:hAnsi="仿宋_GB2312" w:cs="仿宋_GB2312" w:eastAsia="仿宋_GB2312"/>
        </w:rPr>
        <w:t xml:space="preserve"> 委托，拟对 </w:t>
      </w:r>
      <w:r>
        <w:rPr>
          <w:rFonts w:ascii="仿宋_GB2312" w:hAnsi="仿宋_GB2312" w:cs="仿宋_GB2312" w:eastAsia="仿宋_GB2312"/>
        </w:rPr>
        <w:t>AI算力资源服务器(二次)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南充市市本级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N5113012026000016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AI算力资源服务器(二次)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南充市身心医院拟采购AI算力资源服务器，本项目共1个包。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南充市身心医院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四川省南充市营山县锦城街99号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于建军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0817-8281818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南充市政府采购中心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四川省南充市顺庆区南充市顺庆区涪江路19号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邱棵</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咨询电话⽂件2395683；评审2338861、2666592；开标2928699（区号：0817）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收款账号：采购人指定</w:t>
              <w:br/>
              <w:t>开户银行：采购人指定</w:t>
              <w:br/>
              <w:t>银行账号：采购人指定</w:t>
              <w:br/>
              <w:t>交款时间：成交通知书发放后，政府采购合同签订前。</w:t>
              <w:br/>
              <w:t>履约保证金退还方式：原账号返回。</w:t>
              <w:br/>
              <w:t>履约保证金退还时间：项目履约验收完成后。</w:t>
              <w:br/>
              <w:t>履约保证金不予退还情形：成交供应商不履行与采购人订立的合同的，履约保证金不予退还。履约保证金不予退还的，将按照有关规定上缴国库。</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南充市身心医院</w:t>
      </w:r>
      <w:r>
        <w:rPr>
          <w:rFonts w:ascii="仿宋_GB2312" w:hAnsi="仿宋_GB2312" w:cs="仿宋_GB2312" w:eastAsia="仿宋_GB2312"/>
        </w:rPr>
        <w:t xml:space="preserve"> 和 </w:t>
      </w:r>
      <w:r>
        <w:rPr>
          <w:rFonts w:ascii="仿宋_GB2312" w:hAnsi="仿宋_GB2312" w:cs="仿宋_GB2312" w:eastAsia="仿宋_GB2312"/>
        </w:rPr>
        <w:t>南充市政府采购中心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南充市身心医院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南充市政府采购中心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根据采购文件、响应文件及合同中的服务内容及要求进行验收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根据采购文件、响应文件及合同中的商务内容及要求进行验收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 205号）等政府采购相关法律法规的要求进行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南充市身心医院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南充市政府采购中心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南充市政府采购中心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联系人：于建军</w:t>
      </w:r>
    </w:p>
    <w:p>
      <w:pPr>
        <w:pStyle w:val="null3"/>
        <w:jc w:val="left"/>
      </w:pPr>
      <w:r>
        <w:rPr>
          <w:rFonts w:ascii="仿宋_GB2312" w:hAnsi="仿宋_GB2312" w:cs="仿宋_GB2312" w:eastAsia="仿宋_GB2312"/>
        </w:rPr>
        <w:t>联系电话： 0817-8281818</w:t>
      </w:r>
    </w:p>
    <w:p>
      <w:pPr>
        <w:pStyle w:val="null3"/>
        <w:jc w:val="left"/>
      </w:pPr>
      <w:r>
        <w:rPr>
          <w:rFonts w:ascii="仿宋_GB2312" w:hAnsi="仿宋_GB2312" w:cs="仿宋_GB2312" w:eastAsia="仿宋_GB2312"/>
        </w:rPr>
        <w:t>地址： 四川省南充市营山县锦城街99号</w:t>
      </w:r>
    </w:p>
    <w:p>
      <w:pPr>
        <w:pStyle w:val="null3"/>
        <w:jc w:val="left"/>
      </w:pPr>
      <w:r>
        <w:rPr>
          <w:rFonts w:ascii="仿宋_GB2312" w:hAnsi="仿宋_GB2312" w:cs="仿宋_GB2312" w:eastAsia="仿宋_GB2312"/>
        </w:rPr>
        <w:t>邮编：637700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联系人：现场监督科</w:t>
      </w:r>
    </w:p>
    <w:p>
      <w:pPr>
        <w:pStyle w:val="null3"/>
        <w:jc w:val="left"/>
      </w:pPr>
      <w:r>
        <w:rPr>
          <w:rFonts w:ascii="仿宋_GB2312" w:hAnsi="仿宋_GB2312" w:cs="仿宋_GB2312" w:eastAsia="仿宋_GB2312"/>
        </w:rPr>
        <w:t>联系电话：0817-2697475</w:t>
      </w:r>
    </w:p>
    <w:p>
      <w:pPr>
        <w:pStyle w:val="null3"/>
        <w:jc w:val="left"/>
      </w:pPr>
      <w:r>
        <w:rPr>
          <w:rFonts w:ascii="仿宋_GB2312" w:hAnsi="仿宋_GB2312" w:cs="仿宋_GB2312" w:eastAsia="仿宋_GB2312"/>
        </w:rPr>
        <w:t>地址：南充市顺庆区涪江路19号</w:t>
      </w:r>
    </w:p>
    <w:p>
      <w:pPr>
        <w:pStyle w:val="null3"/>
        <w:jc w:val="left"/>
      </w:pPr>
      <w:r>
        <w:rPr>
          <w:rFonts w:ascii="仿宋_GB2312" w:hAnsi="仿宋_GB2312" w:cs="仿宋_GB2312" w:eastAsia="仿宋_GB2312"/>
        </w:rPr>
        <w:t>邮编：637000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AI算力资源服务器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AI算力资源服务器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AI算力资源服务器</w:t>
            </w:r>
          </w:p>
        </w:tc>
        <w:tc>
          <w:tcPr>
            <w:tcW w:type="dxa" w:w="2492"/>
          </w:tcPr>
          <w:p>
            <w:pPr>
              <w:pStyle w:val="null3"/>
              <w:jc w:val="left"/>
            </w:pPr>
            <w:r>
              <w:rPr>
                <w:rFonts w:ascii="仿宋_GB2312" w:hAnsi="仿宋_GB2312" w:cs="仿宋_GB2312" w:eastAsia="仿宋_GB2312"/>
              </w:rPr>
              <w:t>AI智算一体机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AI算力资源服务器</w:t>
            </w:r>
          </w:p>
        </w:tc>
        <w:tc>
          <w:tcPr>
            <w:tcW w:type="dxa" w:w="2492"/>
          </w:tcPr>
          <w:p>
            <w:pPr>
              <w:pStyle w:val="null3"/>
              <w:jc w:val="left"/>
            </w:pPr>
            <w:r>
              <w:rPr>
                <w:rFonts w:ascii="仿宋_GB2312" w:hAnsi="仿宋_GB2312" w:cs="仿宋_GB2312" w:eastAsia="仿宋_GB2312"/>
              </w:rPr>
              <w:t>AI智算一体机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标的名称：AI算力资源服务器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AI智算一体机</w:t>
            </w:r>
          </w:p>
        </w:tc>
        <w:tc>
          <w:tcPr>
            <w:tcW w:type="dxa" w:w="5814"/>
          </w:tcPr>
          <w:p>
            <w:pPr>
              <w:pStyle w:val="null3"/>
              <w:spacing w:after="120"/>
              <w:ind w:firstLine="689"/>
              <w:jc w:val="both"/>
            </w:pPr>
            <w:r>
              <w:rPr>
                <w:rFonts w:ascii="仿宋_GB2312" w:hAnsi="仿宋_GB2312" w:cs="仿宋_GB2312" w:eastAsia="仿宋_GB2312"/>
                <w:sz w:val="24"/>
                <w:color w:val="000000"/>
              </w:rPr>
              <w:t>1.配置支持70B参数规模大模型部署的机架式服务器（一体机），</w:t>
            </w:r>
            <w:r>
              <w:rPr>
                <w:rFonts w:ascii="仿宋_GB2312" w:hAnsi="仿宋_GB2312" w:cs="仿宋_GB2312" w:eastAsia="仿宋_GB2312"/>
                <w:sz w:val="24"/>
                <w:color w:val="000000"/>
              </w:rPr>
              <w:t>设备高度</w:t>
            </w:r>
            <w:r>
              <w:rPr>
                <w:rFonts w:ascii="仿宋_GB2312" w:hAnsi="仿宋_GB2312" w:cs="仿宋_GB2312" w:eastAsia="仿宋_GB2312"/>
                <w:sz w:val="24"/>
                <w:color w:val="000000"/>
              </w:rPr>
              <w:t>≤4U，标配</w:t>
            </w:r>
            <w:r>
              <w:rPr>
                <w:rFonts w:ascii="仿宋_GB2312" w:hAnsi="仿宋_GB2312" w:cs="仿宋_GB2312" w:eastAsia="仿宋_GB2312"/>
                <w:sz w:val="24"/>
                <w:color w:val="000000"/>
              </w:rPr>
              <w:t>相应</w:t>
            </w:r>
            <w:r>
              <w:rPr>
                <w:rFonts w:ascii="仿宋_GB2312" w:hAnsi="仿宋_GB2312" w:cs="仿宋_GB2312" w:eastAsia="仿宋_GB2312"/>
                <w:sz w:val="24"/>
                <w:color w:val="000000"/>
              </w:rPr>
              <w:t>导轨；</w:t>
            </w:r>
          </w:p>
          <w:p>
            <w:pPr>
              <w:pStyle w:val="null3"/>
              <w:spacing w:after="120"/>
              <w:ind w:firstLine="689"/>
              <w:jc w:val="both"/>
            </w:pPr>
            <w:r>
              <w:rPr>
                <w:rFonts w:ascii="仿宋_GB2312" w:hAnsi="仿宋_GB2312" w:cs="仿宋_GB2312" w:eastAsia="仿宋_GB2312"/>
                <w:sz w:val="24"/>
                <w:color w:val="000000"/>
              </w:rPr>
              <w:t>2.配置≥2颗X86架构处理器 ，单颗物理核心数≥32核，基础主频≥2.1GHz，三级缓存≥160MB，支持超线程技术；</w:t>
            </w:r>
          </w:p>
          <w:p>
            <w:pPr>
              <w:pStyle w:val="null3"/>
              <w:spacing w:after="120"/>
              <w:ind w:firstLine="689"/>
              <w:jc w:val="both"/>
            </w:pPr>
            <w:r>
              <w:rPr>
                <w:rFonts w:ascii="仿宋_GB2312" w:hAnsi="仿宋_GB2312" w:cs="仿宋_GB2312" w:eastAsia="仿宋_GB2312"/>
                <w:sz w:val="24"/>
                <w:color w:val="000000"/>
              </w:rPr>
              <w:t>3.配置≥512GB DDR5内存（可扩展至最大支持容量），单根内存模块容量≥32GB，内存速率≥4800MT/s，最大支持≥32个内存插槽，支持ECC纠错功能；</w:t>
            </w:r>
          </w:p>
          <w:p>
            <w:pPr>
              <w:pStyle w:val="null3"/>
              <w:spacing w:after="120"/>
              <w:ind w:firstLine="689"/>
              <w:jc w:val="both"/>
            </w:pPr>
            <w:r>
              <w:rPr>
                <w:rFonts w:ascii="仿宋_GB2312" w:hAnsi="仿宋_GB2312" w:cs="仿宋_GB2312" w:eastAsia="仿宋_GB2312"/>
                <w:sz w:val="24"/>
                <w:color w:val="000000"/>
              </w:rPr>
              <w:t>4.存储系统：</w:t>
            </w:r>
          </w:p>
          <w:p>
            <w:pPr>
              <w:pStyle w:val="null3"/>
              <w:spacing w:after="120"/>
              <w:ind w:firstLine="689"/>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1）硬盘插槽：≥8个2.5英寸热插拔SAS/SATA硬盘插槽。机框最大支持扩展≥24 个 2.5 英寸硬盘，或≥12个3.5英寸硬盘，支持扩展≥4个U.2 NVMe SSD；</w:t>
            </w:r>
          </w:p>
          <w:p>
            <w:pPr>
              <w:pStyle w:val="null3"/>
              <w:spacing w:after="120"/>
              <w:ind w:firstLine="689"/>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2）系统盘：≥2块960GB SSD 。</w:t>
            </w:r>
          </w:p>
          <w:p>
            <w:pPr>
              <w:pStyle w:val="null3"/>
              <w:spacing w:after="120"/>
              <w:ind w:firstLine="689"/>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3）数据盘：≥4块3.84TB NVMe SSD 。</w:t>
            </w:r>
          </w:p>
          <w:p>
            <w:pPr>
              <w:pStyle w:val="null3"/>
              <w:spacing w:after="120"/>
              <w:ind w:firstLine="689"/>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4）阵列卡：配置≥1个12Gbps SAS阵列控制器，支持RAID0/1/10/5/6/50/60，缓存≥2GB；</w:t>
            </w:r>
          </w:p>
          <w:p>
            <w:pPr>
              <w:pStyle w:val="null3"/>
              <w:spacing w:after="120"/>
              <w:ind w:firstLine="689"/>
              <w:jc w:val="both"/>
            </w:pPr>
            <w:r>
              <w:rPr>
                <w:rFonts w:ascii="仿宋_GB2312" w:hAnsi="仿宋_GB2312" w:cs="仿宋_GB2312" w:eastAsia="仿宋_GB2312"/>
                <w:sz w:val="24"/>
                <w:color w:val="000000"/>
              </w:rPr>
              <w:t>5.配置≥8张GPU模块，单卡显存≥48GB，FP32算力≥50TFLOPS，配置至少</w:t>
            </w:r>
            <w:r>
              <w:rPr>
                <w:rFonts w:ascii="仿宋_GB2312" w:hAnsi="仿宋_GB2312" w:cs="仿宋_GB2312" w:eastAsia="仿宋_GB2312"/>
                <w:sz w:val="24"/>
                <w:color w:val="000000"/>
              </w:rPr>
              <w:t>8</w:t>
            </w:r>
            <w:r>
              <w:rPr>
                <w:rFonts w:ascii="仿宋_GB2312" w:hAnsi="仿宋_GB2312" w:cs="仿宋_GB2312" w:eastAsia="仿宋_GB2312"/>
                <w:sz w:val="24"/>
                <w:color w:val="000000"/>
              </w:rPr>
              <w:t>张</w:t>
            </w:r>
            <w:r>
              <w:rPr>
                <w:rFonts w:ascii="仿宋_GB2312" w:hAnsi="仿宋_GB2312" w:cs="仿宋_GB2312" w:eastAsia="仿宋_GB2312"/>
                <w:sz w:val="24"/>
                <w:color w:val="000000"/>
              </w:rPr>
              <w:t>GPU</w:t>
            </w:r>
            <w:r>
              <w:rPr>
                <w:rFonts w:ascii="仿宋_GB2312" w:hAnsi="仿宋_GB2312" w:cs="仿宋_GB2312" w:eastAsia="仿宋_GB2312"/>
                <w:sz w:val="24"/>
                <w:color w:val="000000"/>
              </w:rPr>
              <w:t>显卡后，标称整机算力不低于</w:t>
            </w:r>
            <w:r>
              <w:rPr>
                <w:rFonts w:ascii="仿宋_GB2312" w:hAnsi="仿宋_GB2312" w:cs="仿宋_GB2312" w:eastAsia="仿宋_GB2312"/>
                <w:sz w:val="24"/>
                <w:color w:val="000000"/>
              </w:rPr>
              <w:t>FP8</w:t>
            </w:r>
            <w:r>
              <w:rPr>
                <w:rFonts w:ascii="仿宋_GB2312" w:hAnsi="仿宋_GB2312" w:cs="仿宋_GB2312" w:eastAsia="仿宋_GB2312"/>
                <w:sz w:val="24"/>
                <w:color w:val="000000"/>
              </w:rPr>
              <w:t>≥</w:t>
            </w:r>
            <w:r>
              <w:rPr>
                <w:rFonts w:ascii="仿宋_GB2312" w:hAnsi="仿宋_GB2312" w:cs="仿宋_GB2312" w:eastAsia="仿宋_GB2312"/>
                <w:sz w:val="24"/>
                <w:color w:val="000000"/>
              </w:rPr>
              <w:t>1.9P</w:t>
            </w:r>
            <w:r>
              <w:rPr>
                <w:rFonts w:ascii="仿宋_GB2312" w:hAnsi="仿宋_GB2312" w:cs="仿宋_GB2312" w:eastAsia="仿宋_GB2312"/>
                <w:sz w:val="24"/>
                <w:color w:val="000000"/>
              </w:rPr>
              <w:t>；机框最高支持扩展</w:t>
            </w:r>
            <w:r>
              <w:rPr>
                <w:rFonts w:ascii="仿宋_GB2312" w:hAnsi="仿宋_GB2312" w:cs="仿宋_GB2312" w:eastAsia="仿宋_GB2312"/>
                <w:sz w:val="24"/>
                <w:color w:val="000000"/>
              </w:rPr>
              <w:t>≥10 块450W双宽 GPU 卡；</w:t>
            </w:r>
          </w:p>
          <w:p>
            <w:pPr>
              <w:pStyle w:val="null3"/>
              <w:spacing w:after="120"/>
              <w:ind w:firstLine="689"/>
              <w:jc w:val="both"/>
            </w:pPr>
            <w:r>
              <w:rPr>
                <w:rFonts w:ascii="仿宋_GB2312" w:hAnsi="仿宋_GB2312" w:cs="仿宋_GB2312" w:eastAsia="仿宋_GB2312"/>
                <w:sz w:val="24"/>
                <w:color w:val="000000"/>
              </w:rPr>
              <w:t>6.配置≥2个25Gbps SFP28光口，满配25Gbps多模光模块。支持</w:t>
            </w:r>
            <w:r>
              <w:rPr>
                <w:rFonts w:ascii="仿宋_GB2312" w:hAnsi="仿宋_GB2312" w:cs="仿宋_GB2312" w:eastAsia="仿宋_GB2312"/>
                <w:sz w:val="24"/>
                <w:color w:val="000000"/>
              </w:rPr>
              <w:t>后期扩展</w:t>
            </w:r>
            <w:r>
              <w:rPr>
                <w:rFonts w:ascii="仿宋_GB2312" w:hAnsi="仿宋_GB2312" w:cs="仿宋_GB2312" w:eastAsia="仿宋_GB2312"/>
                <w:sz w:val="24"/>
                <w:color w:val="000000"/>
              </w:rPr>
              <w:t>OCP网卡；</w:t>
            </w:r>
          </w:p>
          <w:p>
            <w:pPr>
              <w:pStyle w:val="null3"/>
              <w:spacing w:after="120"/>
              <w:ind w:firstLine="689"/>
              <w:jc w:val="both"/>
            </w:pPr>
            <w:r>
              <w:rPr>
                <w:rFonts w:ascii="仿宋_GB2312" w:hAnsi="仿宋_GB2312" w:cs="仿宋_GB2312" w:eastAsia="仿宋_GB2312"/>
                <w:sz w:val="24"/>
                <w:color w:val="000000"/>
              </w:rPr>
              <w:t>7.I/O配置支持</w:t>
            </w:r>
            <w:r>
              <w:rPr>
                <w:rFonts w:ascii="仿宋_GB2312" w:hAnsi="仿宋_GB2312" w:cs="仿宋_GB2312" w:eastAsia="仿宋_GB2312"/>
                <w:sz w:val="21"/>
                <w:color w:val="000000"/>
              </w:rPr>
              <w:t>≥</w:t>
            </w:r>
            <w:r>
              <w:rPr>
                <w:rFonts w:ascii="仿宋_GB2312" w:hAnsi="仿宋_GB2312" w:cs="仿宋_GB2312" w:eastAsia="仿宋_GB2312"/>
                <w:sz w:val="24"/>
                <w:color w:val="000000"/>
              </w:rPr>
              <w:t>2×VGA 接口，</w:t>
            </w:r>
            <w:r>
              <w:rPr>
                <w:rFonts w:ascii="仿宋_GB2312" w:hAnsi="仿宋_GB2312" w:cs="仿宋_GB2312" w:eastAsia="仿宋_GB2312"/>
                <w:sz w:val="21"/>
                <w:color w:val="000000"/>
              </w:rPr>
              <w:t>≥</w:t>
            </w:r>
            <w:r>
              <w:rPr>
                <w:rFonts w:ascii="仿宋_GB2312" w:hAnsi="仿宋_GB2312" w:cs="仿宋_GB2312" w:eastAsia="仿宋_GB2312"/>
                <w:sz w:val="24"/>
                <w:color w:val="000000"/>
              </w:rPr>
              <w:t>2×USB2.0 接口，</w:t>
            </w:r>
            <w:r>
              <w:rPr>
                <w:rFonts w:ascii="仿宋_GB2312" w:hAnsi="仿宋_GB2312" w:cs="仿宋_GB2312" w:eastAsia="仿宋_GB2312"/>
                <w:sz w:val="21"/>
                <w:color w:val="000000"/>
              </w:rPr>
              <w:t>≥</w:t>
            </w:r>
            <w:r>
              <w:rPr>
                <w:rFonts w:ascii="仿宋_GB2312" w:hAnsi="仿宋_GB2312" w:cs="仿宋_GB2312" w:eastAsia="仿宋_GB2312"/>
                <w:sz w:val="24"/>
                <w:color w:val="000000"/>
              </w:rPr>
              <w:t>2×USB3.0 接口，</w:t>
            </w:r>
            <w:r>
              <w:rPr>
                <w:rFonts w:ascii="仿宋_GB2312" w:hAnsi="仿宋_GB2312" w:cs="仿宋_GB2312" w:eastAsia="仿宋_GB2312"/>
                <w:sz w:val="21"/>
                <w:color w:val="000000"/>
              </w:rPr>
              <w:t>≥</w:t>
            </w:r>
            <w:r>
              <w:rPr>
                <w:rFonts w:ascii="仿宋_GB2312" w:hAnsi="仿宋_GB2312" w:cs="仿宋_GB2312" w:eastAsia="仿宋_GB2312"/>
                <w:sz w:val="24"/>
                <w:color w:val="000000"/>
              </w:rPr>
              <w:t>1xRJ45 管理接口，</w:t>
            </w:r>
            <w:r>
              <w:rPr>
                <w:rFonts w:ascii="仿宋_GB2312" w:hAnsi="仿宋_GB2312" w:cs="仿宋_GB2312" w:eastAsia="仿宋_GB2312"/>
                <w:sz w:val="21"/>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Type-C</w:t>
            </w:r>
            <w:r>
              <w:rPr>
                <w:rFonts w:ascii="仿宋_GB2312" w:hAnsi="仿宋_GB2312" w:cs="仿宋_GB2312" w:eastAsia="仿宋_GB2312"/>
                <w:sz w:val="24"/>
                <w:color w:val="000000"/>
              </w:rPr>
              <w:t>接口；</w:t>
            </w:r>
          </w:p>
          <w:p>
            <w:pPr>
              <w:pStyle w:val="null3"/>
              <w:spacing w:after="120"/>
              <w:ind w:firstLine="480"/>
              <w:jc w:val="both"/>
            </w:pPr>
            <w:r>
              <w:rPr>
                <w:rFonts w:ascii="仿宋_GB2312" w:hAnsi="仿宋_GB2312" w:cs="仿宋_GB2312" w:eastAsia="仿宋_GB2312"/>
                <w:sz w:val="24"/>
                <w:color w:val="000000"/>
              </w:rPr>
              <w:t>8.支持IPMI带外管理网口，兼容IPv4/IPv6协议</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提供本地管理功能，具有本地机器状态显示功能，可实现独立于操作系统的远程操作，包括远程的开机、关机、重启、监控</w:t>
            </w:r>
            <w:r>
              <w:rPr>
                <w:rFonts w:ascii="仿宋_GB2312" w:hAnsi="仿宋_GB2312" w:cs="仿宋_GB2312" w:eastAsia="仿宋_GB2312"/>
                <w:sz w:val="24"/>
                <w:color w:val="000000"/>
              </w:rPr>
              <w:t>CPU，电源状态，温度等；</w:t>
            </w:r>
          </w:p>
          <w:p>
            <w:pPr>
              <w:pStyle w:val="null3"/>
              <w:spacing w:after="120"/>
              <w:ind w:firstLine="689"/>
              <w:jc w:val="both"/>
            </w:pPr>
            <w:r>
              <w:rPr>
                <w:rFonts w:ascii="仿宋_GB2312" w:hAnsi="仿宋_GB2312" w:cs="仿宋_GB2312" w:eastAsia="仿宋_GB2312"/>
                <w:sz w:val="24"/>
                <w:color w:val="000000"/>
              </w:rPr>
              <w:t>9.配置≥4个冗余电源模块，单电源功率≥2700W，支持热插拔（1个故障不影响运行）。整机配置≥4个风扇，支持CPU节点、GPU节点分层散热，支持智能调速与故障报警；</w:t>
            </w:r>
          </w:p>
          <w:p>
            <w:pPr>
              <w:pStyle w:val="null3"/>
              <w:spacing w:after="120"/>
              <w:ind w:firstLine="689"/>
              <w:jc w:val="both"/>
            </w:pPr>
            <w:r>
              <w:rPr>
                <w:rFonts w:ascii="仿宋_GB2312" w:hAnsi="仿宋_GB2312" w:cs="仿宋_GB2312" w:eastAsia="仿宋_GB2312"/>
                <w:sz w:val="24"/>
                <w:color w:val="000000"/>
              </w:rPr>
              <w:t>10.大模型部署能力：支持70B参数规模大模型（如Llama2-70B、Qwen-70B、Baichuan2-70B等）的本地化部署。</w:t>
            </w:r>
          </w:p>
          <w:p>
            <w:pPr>
              <w:pStyle w:val="null3"/>
              <w:spacing w:after="120"/>
              <w:ind w:firstLine="480"/>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应急AI算力资源</w:t>
            </w:r>
          </w:p>
        </w:tc>
        <w:tc>
          <w:tcPr>
            <w:tcW w:type="dxa" w:w="5814"/>
          </w:tcPr>
          <w:p>
            <w:pPr>
              <w:pStyle w:val="null3"/>
              <w:spacing w:after="120"/>
              <w:ind w:firstLine="480"/>
              <w:jc w:val="both"/>
            </w:pPr>
            <w:r>
              <w:rPr>
                <w:rFonts w:ascii="仿宋_GB2312" w:hAnsi="仿宋_GB2312" w:cs="仿宋_GB2312" w:eastAsia="仿宋_GB2312"/>
                <w:sz w:val="24"/>
                <w:color w:val="000000"/>
              </w:rPr>
              <w:t>1.核心算力配置</w:t>
            </w:r>
            <w:r>
              <w:rPr>
                <w:rFonts w:ascii="仿宋_GB2312" w:hAnsi="仿宋_GB2312" w:cs="仿宋_GB2312" w:eastAsia="仿宋_GB2312"/>
                <w:sz w:val="24"/>
                <w:color w:val="000000"/>
              </w:rPr>
              <w:t>：</w:t>
            </w:r>
          </w:p>
          <w:p>
            <w:pPr>
              <w:pStyle w:val="null3"/>
              <w:spacing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1）GPU节点：单节点≥4张物理GPU（显存≥48GB，FP32算力≥50TFLOPS，单卡标称FP8算力不低于≥239TFLOPS；单节点CPU≥2颗32核，基础主频≥2.1GHz，三级缓存≥160MB，支持超线程技术；</w:t>
            </w:r>
          </w:p>
          <w:p>
            <w:pPr>
              <w:pStyle w:val="null3"/>
              <w:spacing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2）存储：≥2TB共享存储（读写≥1GB/s，IOPS≥10万），支持24小时内数据备份，留存最长30天。</w:t>
            </w:r>
          </w:p>
          <w:p>
            <w:pPr>
              <w:pStyle w:val="null3"/>
              <w:spacing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3）网络：医院－算力中心链路带宽≥100M，最大支持万兆带宽扩展，时延≤20ms，专用专网与公网隔离，配置万兆光模块。</w:t>
            </w:r>
          </w:p>
          <w:p>
            <w:pPr>
              <w:pStyle w:val="null3"/>
              <w:spacing w:after="120"/>
              <w:ind w:firstLine="689"/>
              <w:jc w:val="both"/>
            </w:pPr>
            <w:r>
              <w:rPr>
                <w:rFonts w:ascii="仿宋_GB2312" w:hAnsi="仿宋_GB2312" w:cs="仿宋_GB2312" w:eastAsia="仿宋_GB2312"/>
                <w:sz w:val="24"/>
                <w:color w:val="000000"/>
              </w:rPr>
              <w:t>2.算力规模：单次调用可提供≥1张单卡标称</w:t>
            </w:r>
            <w:r>
              <w:rPr>
                <w:rFonts w:ascii="仿宋_GB2312" w:hAnsi="仿宋_GB2312" w:cs="仿宋_GB2312" w:eastAsia="仿宋_GB2312"/>
                <w:sz w:val="24"/>
                <w:color w:val="000000"/>
              </w:rPr>
              <w:t>FP8</w:t>
            </w:r>
            <w:r>
              <w:rPr>
                <w:rFonts w:ascii="仿宋_GB2312" w:hAnsi="仿宋_GB2312" w:cs="仿宋_GB2312" w:eastAsia="仿宋_GB2312"/>
                <w:sz w:val="24"/>
                <w:color w:val="000000"/>
              </w:rPr>
              <w:t>算力不低于</w:t>
            </w:r>
            <w:r>
              <w:rPr>
                <w:rFonts w:ascii="仿宋_GB2312" w:hAnsi="仿宋_GB2312" w:cs="仿宋_GB2312" w:eastAsia="仿宋_GB2312"/>
                <w:sz w:val="24"/>
                <w:color w:val="000000"/>
              </w:rPr>
              <w:t>≥</w:t>
            </w:r>
            <w:r>
              <w:rPr>
                <w:rFonts w:ascii="仿宋_GB2312" w:hAnsi="仿宋_GB2312" w:cs="仿宋_GB2312" w:eastAsia="仿宋_GB2312"/>
                <w:sz w:val="24"/>
                <w:color w:val="000000"/>
              </w:rPr>
              <w:t>239TFLOPS</w:t>
            </w:r>
            <w:r>
              <w:rPr>
                <w:rFonts w:ascii="仿宋_GB2312" w:hAnsi="仿宋_GB2312" w:cs="仿宋_GB2312" w:eastAsia="仿宋_GB2312"/>
                <w:sz w:val="24"/>
                <w:color w:val="000000"/>
              </w:rPr>
              <w:t>，单卡显存不低于</w:t>
            </w:r>
            <w:r>
              <w:rPr>
                <w:rFonts w:ascii="仿宋_GB2312" w:hAnsi="仿宋_GB2312" w:cs="仿宋_GB2312" w:eastAsia="仿宋_GB2312"/>
                <w:sz w:val="24"/>
                <w:color w:val="000000"/>
              </w:rPr>
              <w:t>48G</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GDDR6规格及以上性能的GPU算力资源（或按需弹性扩展，最大支持≥4张并行调用）。</w:t>
            </w:r>
          </w:p>
          <w:p>
            <w:pPr>
              <w:pStyle w:val="null3"/>
              <w:jc w:val="left"/>
            </w:pPr>
            <w:r>
              <w:rPr>
                <w:rFonts w:ascii="仿宋_GB2312" w:hAnsi="仿宋_GB2312" w:cs="仿宋_GB2312" w:eastAsia="仿宋_GB2312"/>
                <w:sz w:val="24"/>
                <w:color w:val="000000"/>
              </w:rPr>
              <w:t xml:space="preserve">      3.模型适配性：支持70B参数规模大模型（如Llama2-70B、Qwen-70B、Baichuan2-70B等）的推理调用。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采购人指定地点（南充市项目所在地）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1、预付款，自政府采购合同签订后，项目具备实施条件起，达到付款条件起10日内，支付合同总金额的40.00%</w:t>
            </w:r>
          </w:p>
          <w:p>
            <w:pPr>
              <w:pStyle w:val="null3"/>
              <w:jc w:val="left"/>
            </w:pPr>
            <w:r>
              <w:rPr>
                <w:rFonts w:ascii="仿宋_GB2312" w:hAnsi="仿宋_GB2312" w:cs="仿宋_GB2312" w:eastAsia="仿宋_GB2312"/>
              </w:rPr>
              <w:t>2、进度款，货物验收合格，采购人收到供应商发票及请款函等凭证资料之日起，达到付款条件起10日内，支付合同总金额的55.00%</w:t>
            </w:r>
          </w:p>
          <w:p>
            <w:pPr>
              <w:pStyle w:val="null3"/>
              <w:jc w:val="left"/>
            </w:pPr>
            <w:r>
              <w:rPr>
                <w:rFonts w:ascii="仿宋_GB2312" w:hAnsi="仿宋_GB2312" w:cs="仿宋_GB2312" w:eastAsia="仿宋_GB2312"/>
              </w:rPr>
              <w:t>3、尾款，验收合格满1年后，达到付款条件起10日内，支付合同总金额的5.00%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证AI智算一体机配置（CPU、GPU、存储等）达标，70B模型（如Llama2-70B）加载正常；应急算力开通≤12小时，上线试运行7天无重大故障（如设备停机超1小时、算力中断），提交验收报告、测试记录，资料齐全即验收合格。②符合国家、行业标准、四川省地方标准规定的验收标准。③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质保期为验收合格之日起3年，质保期内： （1）应保证不少于1名运维人员，为采购人提供技术服务热线，负责解答采购人在使用中遇到的问题，并及时提出解决问题的建议和操作方法。 （2）在特殊时期重大活动保障期间，按采购人要求提供7*24小时现场值守和远程技术支持保障服务。 （3）要求提供全面的售后支持服务，提供7×24小时的故障处理服务和工单处理服务。 （4）提供完善的系统文档和运维手册，指导采购人进行日常管理和维护。 （5）应急响应：算力开通≤12小时，故障响应≤60分钟、恢复≤12小时，7×24小时专属团队支持。 （6）设备在安装或接入等过程中，应保证采购人业务不中断、数据不丢失和业务的正常运行。 （7）如货物经供应商三次维修仍不能达到合同约定的质量标准，视作供应商未能按时交货，采购人有权退货并追究供应商的违约责任。货到现场后由于采购人保管不当造成的问题，供应商亦应负责修复，但费用由采购人负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②合同履行期间，若双方发生争议，可协商或由有关部门调解解决，协商或调解不成的，由当事人依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供应商根据自身情况选择提供以下任意一项证明材料： ①供应商若为企业法人：提供“统一社会信用代码营业执照”；未换证的提供“营业执照、税务登记证、组 织机构代码证或三证合一的营业执照”；②若为事业法人：提供“统一社 会信用代码法人登记证书”；未换证的提交“事业法人登记证书、组织机 构代码证”；③若为其他组织：提供“对应主管部门颁发的准许执业证明 文件或营业执照”；④若为个体工商户：提供“统一社会信用代码营业执照”或“营业执照、税务登记证”；⑤若为自然人：提供“身份证明材料”。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供应商根据自身情况选择提供以下任意一项证明材料： ①提供2023年度（含）至今（任意一年度）经审计的财务报告（包含审计报告和审计报告中所涉及的财务报表和报表附注）；②提供2023年度（含）至今（任意一年度）供应商内部的财务报表（财务报表内容至少包含并体现资产负债及利润情况）；③提供截止响应文件递交截止日一年内其基本开户银行出具的资信证明；④供应商注册时间截止响应文件递交截止日不足一年的，也可提供经工商备案的公司章程。</w:t>
            </w:r>
          </w:p>
        </w:tc>
        <w:tc>
          <w:tcPr>
            <w:tcW w:type="dxa" w:w="1661"/>
          </w:tcPr>
          <w:p>
            <w:pPr>
              <w:pStyle w:val="null3"/>
              <w:jc w:val="left"/>
            </w:pPr>
            <w:r>
              <w:rPr>
                <w:rFonts w:ascii="仿宋_GB2312" w:hAnsi="仿宋_GB2312" w:cs="仿宋_GB2312" w:eastAsia="仿宋_GB2312"/>
              </w:rPr>
              <w:t>具有健全的财务会计制度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 “★”的实质性要求。</w:t>
            </w:r>
          </w:p>
        </w:tc>
        <w:tc>
          <w:tcPr>
            <w:tcW w:type="dxa" w:w="3322"/>
          </w:tcPr>
          <w:p>
            <w:pPr>
              <w:pStyle w:val="null3"/>
              <w:jc w:val="left"/>
            </w:pPr>
            <w:r>
              <w:rPr>
                <w:rFonts w:ascii="仿宋_GB2312" w:hAnsi="仿宋_GB2312" w:cs="仿宋_GB2312" w:eastAsia="仿宋_GB2312"/>
              </w:rPr>
              <w:t>供应商须针对采购文件的要求进行响应或提供 相关证明材料。</w:t>
            </w:r>
          </w:p>
        </w:tc>
        <w:tc>
          <w:tcPr>
            <w:tcW w:type="dxa" w:w="1661"/>
          </w:tcPr>
          <w:p>
            <w:pPr>
              <w:pStyle w:val="null3"/>
              <w:jc w:val="left"/>
            </w:pPr>
            <w:r>
              <w:rPr>
                <w:rFonts w:ascii="仿宋_GB2312" w:hAnsi="仿宋_GB2312" w:cs="仿宋_GB2312" w:eastAsia="仿宋_GB2312"/>
              </w:rPr>
              <w:t>响应文件封面,产品技术参数响应表,商务应答表,供应商应提交的相关证明材料,服务应答表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