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版本号：N511389202600000620260506001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“安全管家”服务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N5113892026000006</w:t>
      </w:r>
    </w:p>
    <w:p>
      <w:pPr>
        <w:pStyle w:val="null3"/>
        <w:jc w:val="center"/>
        <w:outlineLvl w:val="2"/>
      </w:pPr>
      <w:r>
        <w:rPr>
          <w:rFonts w:ascii="仿宋_GB2312" w:hAnsi="仿宋_GB2312" w:cs="仿宋_GB2312" w:eastAsia="仿宋_GB2312"/>
          <w:sz w:val="28"/>
          <w:b/>
        </w:rPr>
        <w:t>四川南充经济开发区应急管理局</w:t>
      </w:r>
    </w:p>
    <w:p>
      <w:pPr>
        <w:pStyle w:val="null3"/>
        <w:jc w:val="center"/>
        <w:outlineLvl w:val="2"/>
      </w:pPr>
      <w:r>
        <w:rPr>
          <w:rFonts w:ascii="仿宋_GB2312" w:hAnsi="仿宋_GB2312" w:cs="仿宋_GB2312" w:eastAsia="仿宋_GB2312"/>
          <w:sz w:val="28"/>
          <w:b/>
        </w:rPr>
        <w:t>四川凯亿工程管理咨询有限公司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四川凯亿工程管理咨询有限公司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四川南充经济开发区应急管理局</w:t>
      </w:r>
      <w:r>
        <w:rPr>
          <w:rFonts w:ascii="仿宋_GB2312" w:hAnsi="仿宋_GB2312" w:cs="仿宋_GB2312" w:eastAsia="仿宋_GB2312"/>
        </w:rPr>
        <w:t xml:space="preserve"> 委托，拟对 </w:t>
      </w:r>
      <w:r>
        <w:rPr>
          <w:rFonts w:ascii="仿宋_GB2312" w:hAnsi="仿宋_GB2312" w:cs="仿宋_GB2312" w:eastAsia="仿宋_GB2312"/>
        </w:rPr>
        <w:t>“安全管家”服务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南充市经济开发区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N5113892026000006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“安全管家”服务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本项目为四川南充经济开发区应急管理局“安全管家”服务。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四川南充经济开发区应急管理局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南充市嘉陵区文峰大道经济开发区企业服务中心1127号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637500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尹老师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0817-3698056</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四川凯亿工程管理咨询有限公司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四川省成都市武侯区成都市武科西一路3号2号楼5层</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廖先生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028-85179390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采购包1：835,250.00元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代理服务费收费标准：按照成本加合理利润的原则，本项目按人民币12,500.00元定额收取代理服务费。</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四川南充经济开发区应急管理局</w:t>
      </w:r>
      <w:r>
        <w:rPr>
          <w:rFonts w:ascii="仿宋_GB2312" w:hAnsi="仿宋_GB2312" w:cs="仿宋_GB2312" w:eastAsia="仿宋_GB2312"/>
        </w:rPr>
        <w:t xml:space="preserve"> 和 </w:t>
      </w:r>
      <w:r>
        <w:rPr>
          <w:rFonts w:ascii="仿宋_GB2312" w:hAnsi="仿宋_GB2312" w:cs="仿宋_GB2312" w:eastAsia="仿宋_GB2312"/>
        </w:rPr>
        <w:t>四川凯亿工程管理咨询有限公司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四川南充经济开发区应急管理局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四川凯亿工程管理咨询有限公司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供应商提出验收之日起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服务要求、履约要求是否满足，是否符合国家相关管理要求等；按国家有关规定、磋商文件的质量要求和技术指标、供应商的响应文件及承诺、本合同约定标准进行验收。其他严格按照《财政部关于进一步加强政府采购需求和履约验收管理的指导意见》（财库（2016）205号）的要求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服务期限、付款方式等；按国家有关规定、磋商文件的质量要求和技术指标、供应商的响应文件及承诺、本合同约定标准进行验收。其他严格按照《财政部关于进一步加强政府采购需求和履约验收管理的指导意见》（财库（2016）205号）的要求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采购文件的服务要求和技术要求、供应商的响应文件及承诺、本合同约定标准进行验收。其他严格按照《财政部关于进一步加强政府采购需求和履约验收管理的指导意见》（财库（2016）205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验收的主体为采购人。</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四川南充经济开发区应急管理局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四川凯亿工程管理咨询有限公司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四川凯亿工程管理咨询有限公司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联系人：尹老师</w:t>
      </w:r>
    </w:p>
    <w:p>
      <w:pPr>
        <w:pStyle w:val="null3"/>
        <w:jc w:val="left"/>
      </w:pPr>
      <w:r>
        <w:rPr>
          <w:rFonts w:ascii="仿宋_GB2312" w:hAnsi="仿宋_GB2312" w:cs="仿宋_GB2312" w:eastAsia="仿宋_GB2312"/>
        </w:rPr>
        <w:t>联系电话：0817-3698056</w:t>
      </w:r>
    </w:p>
    <w:p>
      <w:pPr>
        <w:pStyle w:val="null3"/>
        <w:jc w:val="left"/>
      </w:pPr>
      <w:r>
        <w:rPr>
          <w:rFonts w:ascii="仿宋_GB2312" w:hAnsi="仿宋_GB2312" w:cs="仿宋_GB2312" w:eastAsia="仿宋_GB2312"/>
        </w:rPr>
        <w:t>地址：南充市嘉陵区文峰大道经济开发区企业服务中心1127号</w:t>
      </w:r>
    </w:p>
    <w:p>
      <w:pPr>
        <w:pStyle w:val="null3"/>
        <w:jc w:val="left"/>
      </w:pPr>
      <w:r>
        <w:rPr>
          <w:rFonts w:ascii="仿宋_GB2312" w:hAnsi="仿宋_GB2312" w:cs="仿宋_GB2312" w:eastAsia="仿宋_GB2312"/>
        </w:rPr>
        <w:t>邮编：637500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联系人：廖先生</w:t>
      </w:r>
    </w:p>
    <w:p>
      <w:pPr>
        <w:pStyle w:val="null3"/>
        <w:jc w:val="left"/>
      </w:pPr>
      <w:r>
        <w:rPr>
          <w:rFonts w:ascii="仿宋_GB2312" w:hAnsi="仿宋_GB2312" w:cs="仿宋_GB2312" w:eastAsia="仿宋_GB2312"/>
        </w:rPr>
        <w:t>联系电话：028-85179390</w:t>
      </w:r>
    </w:p>
    <w:p>
      <w:pPr>
        <w:pStyle w:val="null3"/>
        <w:jc w:val="left"/>
      </w:pPr>
      <w:r>
        <w:rPr>
          <w:rFonts w:ascii="仿宋_GB2312" w:hAnsi="仿宋_GB2312" w:cs="仿宋_GB2312" w:eastAsia="仿宋_GB2312"/>
        </w:rPr>
        <w:t>地址：成都市武侯区武科西一路3号2栋1单元5层（注：关于本项目的所有质疑均递交至代理机构，由代理机构统一协调处理）</w:t>
      </w:r>
    </w:p>
    <w:p>
      <w:pPr>
        <w:pStyle w:val="null3"/>
        <w:jc w:val="left"/>
      </w:pPr>
      <w:r>
        <w:rPr>
          <w:rFonts w:ascii="仿宋_GB2312" w:hAnsi="仿宋_GB2312" w:cs="仿宋_GB2312" w:eastAsia="仿宋_GB2312"/>
        </w:rPr>
        <w:t>邮编：610041</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835,250.00</w:t>
      </w:r>
    </w:p>
    <w:p>
      <w:pPr>
        <w:pStyle w:val="null3"/>
        <w:jc w:val="left"/>
      </w:pPr>
      <w:r>
        <w:rPr>
          <w:rFonts w:ascii="仿宋_GB2312" w:hAnsi="仿宋_GB2312" w:cs="仿宋_GB2312" w:eastAsia="仿宋_GB2312"/>
        </w:rPr>
        <w:t>采购包最高限价（元）: 835,250.00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C99000000 其他服务</w:t>
            </w:r>
          </w:p>
        </w:tc>
        <w:tc>
          <w:tcPr>
            <w:tcW w:type="dxa" w:w="821"/>
          </w:tcPr>
          <w:p>
            <w:pPr>
              <w:pStyle w:val="null3"/>
              <w:jc w:val="left"/>
            </w:pPr>
            <w:r>
              <w:rPr>
                <w:rFonts w:ascii="仿宋_GB2312" w:hAnsi="仿宋_GB2312" w:cs="仿宋_GB2312" w:eastAsia="仿宋_GB2312"/>
              </w:rPr>
              <w:t>“安全管家”服务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835,250.00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“安全管家”服务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835,250.00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各服务内容报价以“分项报价明细表”为准。</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标的名称：“安全管家”服务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一、服务内容（实质性要求）</w:t>
            </w:r>
          </w:p>
        </w:tc>
        <w:tc>
          <w:tcPr>
            <w:tcW w:type="dxa" w:w="5814"/>
          </w:tcPr>
          <w:p>
            <w:pPr>
              <w:pStyle w:val="null3"/>
              <w:ind w:firstLine="472"/>
              <w:jc w:val="both"/>
            </w:pPr>
            <w:r>
              <w:rPr>
                <w:rFonts w:ascii="仿宋_GB2312" w:hAnsi="仿宋_GB2312" w:cs="仿宋_GB2312" w:eastAsia="仿宋_GB2312"/>
                <w:sz w:val="24"/>
                <w:b/>
              </w:rPr>
              <w:t>一、服务内容（实质性要求）</w:t>
            </w:r>
          </w:p>
          <w:p>
            <w:pPr>
              <w:pStyle w:val="null3"/>
              <w:jc w:val="both"/>
              <w:outlineLvl w:val="2"/>
            </w:pPr>
            <w:r>
              <w:rPr>
                <w:rFonts w:ascii="仿宋_GB2312" w:hAnsi="仿宋_GB2312" w:cs="仿宋_GB2312" w:eastAsia="仿宋_GB2312"/>
                <w:sz w:val="24"/>
                <w:b/>
              </w:rPr>
              <w:t>（一）</w:t>
            </w:r>
            <w:r>
              <w:rPr>
                <w:rFonts w:ascii="仿宋_GB2312" w:hAnsi="仿宋_GB2312" w:cs="仿宋_GB2312" w:eastAsia="仿宋_GB2312"/>
                <w:sz w:val="24"/>
                <w:b/>
              </w:rPr>
              <w:t>安全技术咨询服务（最高限价：</w:t>
            </w:r>
            <w:r>
              <w:rPr>
                <w:rFonts w:ascii="仿宋_GB2312" w:hAnsi="仿宋_GB2312" w:cs="仿宋_GB2312" w:eastAsia="仿宋_GB2312"/>
                <w:sz w:val="24"/>
                <w:b/>
              </w:rPr>
              <w:t>13.0514万元）</w:t>
            </w:r>
          </w:p>
          <w:tbl>
            <w:tblPr>
              <w:tblBorders>
                <w:top w:val="none" w:color="000000" w:sz="4"/>
                <w:left w:val="none" w:color="000000" w:sz="4"/>
                <w:bottom w:val="none" w:color="000000" w:sz="4"/>
                <w:right w:val="none" w:color="000000" w:sz="4"/>
                <w:insideH w:val="none"/>
                <w:insideV w:val="none"/>
              </w:tblBorders>
            </w:tblPr>
            <w:tblGrid>
              <w:gridCol w:w="1400"/>
              <w:gridCol w:w="381"/>
              <w:gridCol w:w="2736"/>
              <w:gridCol w:w="1081"/>
            </w:tblGrid>
            <w:tr>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3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服务内容</w:t>
                  </w:r>
                </w:p>
              </w:tc>
              <w:tc>
                <w:tcPr>
                  <w:tcW w:type="dxa" w:w="27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服务要求</w:t>
                  </w:r>
                </w:p>
              </w:tc>
              <w:tc>
                <w:tcPr>
                  <w:tcW w:type="dxa" w:w="10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项目入园安全咨询服务</w:t>
                  </w:r>
                </w:p>
              </w:tc>
              <w:tc>
                <w:tcPr>
                  <w:tcW w:type="dxa" w:w="2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72"/>
                    <w:jc w:val="left"/>
                  </w:pPr>
                  <w:r>
                    <w:rPr>
                      <w:rFonts w:ascii="仿宋_GB2312" w:hAnsi="仿宋_GB2312" w:cs="仿宋_GB2312" w:eastAsia="仿宋_GB2312"/>
                      <w:sz w:val="24"/>
                    </w:rPr>
                    <w:t>项目入园安全咨询服务</w:t>
                  </w:r>
                  <w:r>
                    <w:rPr>
                      <w:rFonts w:ascii="仿宋_GB2312" w:hAnsi="仿宋_GB2312" w:cs="仿宋_GB2312" w:eastAsia="仿宋_GB2312"/>
                      <w:sz w:val="24"/>
                    </w:rPr>
                    <w:t>：</w:t>
                  </w:r>
                  <w:r>
                    <w:rPr>
                      <w:rFonts w:ascii="仿宋_GB2312" w:hAnsi="仿宋_GB2312" w:cs="仿宋_GB2312" w:eastAsia="仿宋_GB2312"/>
                      <w:sz w:val="24"/>
                    </w:rPr>
                    <w:t>对南充经开化工园区化工项目根据国家及地方政策法规、《四川省危险化学品禁限控目录》、园区整体安全风险评估等要求，就园区拟引入的项目，组织对项目的产业政策符合性、规划符合性、选址合理性、安全隐患防范措施可行性、安全风险可接受性、多米诺效应等严格把关，提供项目入园安全准入意见，为项目落地实施以及下一步项目实施需重点关注的问题提供回复意见</w:t>
                  </w:r>
                  <w:r>
                    <w:rPr>
                      <w:rFonts w:ascii="仿宋_GB2312" w:hAnsi="仿宋_GB2312" w:cs="仿宋_GB2312" w:eastAsia="仿宋_GB2312"/>
                      <w:sz w:val="24"/>
                    </w:rPr>
                    <w:t>（</w:t>
                  </w:r>
                  <w:r>
                    <w:rPr>
                      <w:rFonts w:ascii="仿宋_GB2312" w:hAnsi="仿宋_GB2312" w:cs="仿宋_GB2312" w:eastAsia="仿宋_GB2312"/>
                      <w:sz w:val="24"/>
                    </w:rPr>
                    <w:t>重点项目、存有争议的项目应咨询省内多位专家严格把关</w:t>
                  </w:r>
                  <w:r>
                    <w:rPr>
                      <w:rFonts w:ascii="仿宋_GB2312" w:hAnsi="仿宋_GB2312" w:cs="仿宋_GB2312" w:eastAsia="仿宋_GB2312"/>
                      <w:sz w:val="24"/>
                    </w:rPr>
                    <w:t>）</w:t>
                  </w:r>
                  <w:r>
                    <w:rPr>
                      <w:rFonts w:ascii="仿宋_GB2312" w:hAnsi="仿宋_GB2312" w:cs="仿宋_GB2312" w:eastAsia="仿宋_GB2312"/>
                      <w:sz w:val="24"/>
                    </w:rPr>
                    <w:t>。</w:t>
                  </w:r>
                </w:p>
              </w:tc>
              <w:tc>
                <w:tcPr>
                  <w:tcW w:type="dxa" w:w="10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202</w:t>
                  </w:r>
                  <w:r>
                    <w:rPr>
                      <w:rFonts w:ascii="仿宋_GB2312" w:hAnsi="仿宋_GB2312" w:cs="仿宋_GB2312" w:eastAsia="仿宋_GB2312"/>
                      <w:sz w:val="24"/>
                    </w:rPr>
                    <w:t>6</w:t>
                  </w:r>
                  <w:r>
                    <w:rPr>
                      <w:rFonts w:ascii="仿宋_GB2312" w:hAnsi="仿宋_GB2312" w:cs="仿宋_GB2312" w:eastAsia="仿宋_GB2312"/>
                      <w:sz w:val="24"/>
                    </w:rPr>
                    <w:t>-202</w:t>
                  </w:r>
                  <w:r>
                    <w:rPr>
                      <w:rFonts w:ascii="仿宋_GB2312" w:hAnsi="仿宋_GB2312" w:cs="仿宋_GB2312" w:eastAsia="仿宋_GB2312"/>
                      <w:sz w:val="24"/>
                    </w:rPr>
                    <w:t>7</w:t>
                  </w:r>
                  <w:r>
                    <w:rPr>
                      <w:rFonts w:ascii="仿宋_GB2312" w:hAnsi="仿宋_GB2312" w:cs="仿宋_GB2312" w:eastAsia="仿宋_GB2312"/>
                      <w:sz w:val="24"/>
                    </w:rPr>
                    <w:t>年每年约</w:t>
                  </w:r>
                  <w:r>
                    <w:rPr>
                      <w:rFonts w:ascii="仿宋_GB2312" w:hAnsi="仿宋_GB2312" w:cs="仿宋_GB2312" w:eastAsia="仿宋_GB2312"/>
                      <w:sz w:val="24"/>
                    </w:rPr>
                    <w:t>25个项目需要出具准入意见，其中重点项目按5个考虑。</w:t>
                  </w:r>
                </w:p>
                <w:p>
                  <w:pPr>
                    <w:pStyle w:val="null3"/>
                    <w:jc w:val="left"/>
                  </w:pPr>
                  <w:r>
                    <w:rPr>
                      <w:rFonts w:ascii="仿宋_GB2312" w:hAnsi="仿宋_GB2312" w:cs="仿宋_GB2312" w:eastAsia="仿宋_GB2312"/>
                      <w:sz w:val="24"/>
                    </w:rPr>
                    <w:t>2.按照实际服务次数据实结算服务费，超额部分不累计</w:t>
                  </w:r>
                  <w:r>
                    <w:rPr>
                      <w:rFonts w:ascii="仿宋_GB2312" w:hAnsi="仿宋_GB2312" w:cs="仿宋_GB2312" w:eastAsia="仿宋_GB2312"/>
                      <w:sz w:val="24"/>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日常安全技术咨询服务</w:t>
                  </w:r>
                </w:p>
              </w:tc>
              <w:tc>
                <w:tcPr>
                  <w:tcW w:type="dxa" w:w="2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日常安全技术咨询服务</w:t>
                  </w:r>
                  <w:r>
                    <w:rPr>
                      <w:rFonts w:ascii="仿宋_GB2312" w:hAnsi="仿宋_GB2312" w:cs="仿宋_GB2312" w:eastAsia="仿宋_GB2312"/>
                      <w:sz w:val="24"/>
                    </w:rPr>
                    <w:t>：</w:t>
                  </w:r>
                  <w:r>
                    <w:rPr>
                      <w:rFonts w:ascii="仿宋_GB2312" w:hAnsi="仿宋_GB2312" w:cs="仿宋_GB2312" w:eastAsia="仿宋_GB2312"/>
                      <w:sz w:val="24"/>
                    </w:rPr>
                    <w:t>根据园区实际需求，为园区及入园企业提供安全设施运行、日常安全管理、建设项目</w:t>
                  </w:r>
                  <w:r>
                    <w:rPr>
                      <w:rFonts w:ascii="仿宋_GB2312" w:hAnsi="仿宋_GB2312" w:cs="仿宋_GB2312" w:eastAsia="仿宋_GB2312"/>
                      <w:sz w:val="24"/>
                    </w:rPr>
                    <w:t>“三同时”资料审核、安全生产相关方案审核</w:t>
                  </w:r>
                  <w:r>
                    <w:rPr>
                      <w:rFonts w:ascii="仿宋_GB2312" w:hAnsi="仿宋_GB2312" w:cs="仿宋_GB2312" w:eastAsia="仿宋_GB2312"/>
                      <w:sz w:val="24"/>
                    </w:rPr>
                    <w:t>（</w:t>
                  </w:r>
                  <w:r>
                    <w:rPr>
                      <w:rFonts w:ascii="仿宋_GB2312" w:hAnsi="仿宋_GB2312" w:cs="仿宋_GB2312" w:eastAsia="仿宋_GB2312"/>
                      <w:sz w:val="24"/>
                    </w:rPr>
                    <w:t>例如试生产</w:t>
                  </w:r>
                  <w:r>
                    <w:rPr>
                      <w:rFonts w:ascii="仿宋_GB2312" w:hAnsi="仿宋_GB2312" w:cs="仿宋_GB2312" w:eastAsia="仿宋_GB2312"/>
                      <w:sz w:val="24"/>
                    </w:rPr>
                    <w:t>）</w:t>
                  </w:r>
                  <w:r>
                    <w:rPr>
                      <w:rFonts w:ascii="仿宋_GB2312" w:hAnsi="仿宋_GB2312" w:cs="仿宋_GB2312" w:eastAsia="仿宋_GB2312"/>
                      <w:sz w:val="24"/>
                    </w:rPr>
                    <w:t>、安全生产机制体制工作建议、安全生产事故调查分析等咨询服务；指派专业技术人员或组织专家对安全信访投诉问题进行现场排查、梳理，协助园区追踪溯源，就企业安全设施是否需要进一步达标升级改造等提供技术咨询服务。</w:t>
                  </w:r>
                </w:p>
              </w:tc>
              <w:tc>
                <w:tcPr>
                  <w:tcW w:type="dxa" w:w="10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园区目前共有</w:t>
                  </w:r>
                  <w:r>
                    <w:rPr>
                      <w:rFonts w:ascii="仿宋_GB2312" w:hAnsi="仿宋_GB2312" w:cs="仿宋_GB2312" w:eastAsia="仿宋_GB2312"/>
                      <w:sz w:val="24"/>
                    </w:rPr>
                    <w:t>12家</w:t>
                  </w:r>
                  <w:r>
                    <w:rPr>
                      <w:rFonts w:ascii="仿宋_GB2312" w:hAnsi="仿宋_GB2312" w:cs="仿宋_GB2312" w:eastAsia="仿宋_GB2312"/>
                      <w:sz w:val="24"/>
                    </w:rPr>
                    <w:t>危险化学品（含化工）企业，</w:t>
                  </w:r>
                  <w:r>
                    <w:rPr>
                      <w:rFonts w:ascii="仿宋_GB2312" w:hAnsi="仿宋_GB2312" w:cs="仿宋_GB2312" w:eastAsia="仿宋_GB2312"/>
                      <w:sz w:val="24"/>
                    </w:rPr>
                    <w:t>4家工贸企业，每年按照危险化学品（化工）企业2次，工贸企业1次考虑，每次不少于2名相关专业类别的高级职称专家。</w:t>
                  </w:r>
                </w:p>
              </w:tc>
            </w:tr>
          </w:tbl>
          <w:p>
            <w:pPr>
              <w:pStyle w:val="null3"/>
              <w:jc w:val="both"/>
              <w:outlineLvl w:val="2"/>
            </w:pPr>
            <w:r>
              <w:rPr>
                <w:rFonts w:ascii="仿宋_GB2312" w:hAnsi="仿宋_GB2312" w:cs="仿宋_GB2312" w:eastAsia="仿宋_GB2312"/>
                <w:sz w:val="24"/>
                <w:b/>
              </w:rPr>
              <w:t>（二）</w:t>
            </w:r>
            <w:r>
              <w:rPr>
                <w:rFonts w:ascii="仿宋_GB2312" w:hAnsi="仿宋_GB2312" w:cs="仿宋_GB2312" w:eastAsia="仿宋_GB2312"/>
                <w:sz w:val="24"/>
                <w:b/>
              </w:rPr>
              <w:t>安全培训服务</w:t>
            </w:r>
            <w:r>
              <w:rPr>
                <w:rFonts w:ascii="仿宋_GB2312" w:hAnsi="仿宋_GB2312" w:cs="仿宋_GB2312" w:eastAsia="仿宋_GB2312"/>
                <w:sz w:val="24"/>
                <w:b/>
              </w:rPr>
              <w:t>（最高限价：</w:t>
            </w:r>
            <w:r>
              <w:rPr>
                <w:rFonts w:ascii="仿宋_GB2312" w:hAnsi="仿宋_GB2312" w:cs="仿宋_GB2312" w:eastAsia="仿宋_GB2312"/>
                <w:sz w:val="24"/>
                <w:b/>
              </w:rPr>
              <w:t>8.0381万元）</w:t>
            </w:r>
          </w:p>
          <w:tbl>
            <w:tblPr>
              <w:tblBorders>
                <w:top w:val="none" w:color="000000" w:sz="4"/>
                <w:left w:val="none" w:color="000000" w:sz="4"/>
                <w:bottom w:val="none" w:color="000000" w:sz="4"/>
                <w:right w:val="none" w:color="000000" w:sz="4"/>
                <w:insideH w:val="none"/>
                <w:insideV w:val="none"/>
              </w:tblBorders>
            </w:tblPr>
            <w:tblGrid>
              <w:gridCol w:w="1400"/>
              <w:gridCol w:w="381"/>
              <w:gridCol w:w="2373"/>
              <w:gridCol w:w="1445"/>
            </w:tblGrid>
            <w:tr>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3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服务内容</w:t>
                  </w:r>
                </w:p>
              </w:tc>
              <w:tc>
                <w:tcPr>
                  <w:tcW w:type="dxa" w:w="2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服务要求</w:t>
                  </w:r>
                </w:p>
              </w:tc>
              <w:tc>
                <w:tcPr>
                  <w:tcW w:type="dxa" w:w="14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安全培训</w:t>
                  </w:r>
                  <w:r>
                    <w:rPr>
                      <w:rFonts w:ascii="仿宋_GB2312" w:hAnsi="仿宋_GB2312" w:cs="仿宋_GB2312" w:eastAsia="仿宋_GB2312"/>
                      <w:sz w:val="24"/>
                    </w:rPr>
                    <w:t>服务</w:t>
                  </w:r>
                </w:p>
              </w:tc>
              <w:tc>
                <w:tcPr>
                  <w:tcW w:type="dxa" w:w="2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72"/>
                    <w:jc w:val="left"/>
                  </w:pPr>
                  <w:r>
                    <w:rPr>
                      <w:rFonts w:ascii="仿宋_GB2312" w:hAnsi="仿宋_GB2312" w:cs="仿宋_GB2312" w:eastAsia="仿宋_GB2312"/>
                      <w:sz w:val="24"/>
                    </w:rPr>
                    <w:t>追踪国家新发布实施的法规、政策及标准，对其进行解读、培训。负责定期对园区相关部门及企业举办个性化的安全培训和技术指导，针对国家、地方安全法律法规、方针政策、产业政策、开发区整体风险评估报告书及其审查意见等进行解读，避免园区管理及企业违反相关法律法规、方针政策。</w:t>
                  </w:r>
                  <w:r>
                    <w:rPr>
                      <w:rFonts w:ascii="仿宋_GB2312" w:hAnsi="仿宋_GB2312" w:cs="仿宋_GB2312" w:eastAsia="仿宋_GB2312"/>
                      <w:sz w:val="24"/>
                    </w:rPr>
                    <w:t>（</w:t>
                  </w:r>
                  <w:r>
                    <w:rPr>
                      <w:rFonts w:ascii="仿宋_GB2312" w:hAnsi="仿宋_GB2312" w:cs="仿宋_GB2312" w:eastAsia="仿宋_GB2312"/>
                      <w:sz w:val="24"/>
                    </w:rPr>
                    <w:t>每年</w:t>
                  </w:r>
                  <w:r>
                    <w:rPr>
                      <w:rFonts w:ascii="仿宋_GB2312" w:hAnsi="仿宋_GB2312" w:cs="仿宋_GB2312" w:eastAsia="仿宋_GB2312"/>
                      <w:sz w:val="24"/>
                    </w:rPr>
                    <w:t>4个专题培训，主要包括重大事故隐患判定标准、特殊作业、双重预防机制建设、信息化建设、自动化升级改造、安全生产标准化等，每次培训需制定详细的培训工作方案，明确培训内容和培训目标；同时负责会务筹备、会场布置等；培训需邀请</w:t>
                  </w:r>
                  <w:r>
                    <w:rPr>
                      <w:rFonts w:ascii="仿宋_GB2312" w:hAnsi="仿宋_GB2312" w:cs="仿宋_GB2312" w:eastAsia="仿宋_GB2312"/>
                      <w:sz w:val="24"/>
                    </w:rPr>
                    <w:t>相关领域</w:t>
                  </w:r>
                  <w:r>
                    <w:rPr>
                      <w:rFonts w:ascii="仿宋_GB2312" w:hAnsi="仿宋_GB2312" w:cs="仿宋_GB2312" w:eastAsia="仿宋_GB2312"/>
                      <w:sz w:val="24"/>
                    </w:rPr>
                    <w:t>专家</w:t>
                  </w:r>
                  <w:r>
                    <w:rPr>
                      <w:rFonts w:ascii="仿宋_GB2312" w:hAnsi="仿宋_GB2312" w:cs="仿宋_GB2312" w:eastAsia="仿宋_GB2312"/>
                      <w:sz w:val="24"/>
                    </w:rPr>
                    <w:t>）</w:t>
                  </w:r>
                  <w:r>
                    <w:rPr>
                      <w:rFonts w:ascii="仿宋_GB2312" w:hAnsi="仿宋_GB2312" w:cs="仿宋_GB2312" w:eastAsia="仿宋_GB2312"/>
                      <w:sz w:val="24"/>
                    </w:rPr>
                    <w:t>。</w:t>
                  </w:r>
                </w:p>
              </w:tc>
              <w:tc>
                <w:tcPr>
                  <w:tcW w:type="dxa" w:w="1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专家需要结合园区实际，考察调研园区，并有针对性的制作</w:t>
                  </w:r>
                  <w:r>
                    <w:rPr>
                      <w:rFonts w:ascii="仿宋_GB2312" w:hAnsi="仿宋_GB2312" w:cs="仿宋_GB2312" w:eastAsia="仿宋_GB2312"/>
                      <w:sz w:val="24"/>
                    </w:rPr>
                    <w:t>PPT等内容（调研+培训内容PPT制作+培训）</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2.每次培训培训讲师构成：①</w:t>
                  </w:r>
                  <w:r>
                    <w:rPr>
                      <w:rFonts w:ascii="仿宋_GB2312" w:hAnsi="仿宋_GB2312" w:cs="仿宋_GB2312" w:eastAsia="仿宋_GB2312"/>
                      <w:sz w:val="24"/>
                    </w:rPr>
                    <w:t>至少</w:t>
                  </w:r>
                  <w:r>
                    <w:rPr>
                      <w:rFonts w:ascii="仿宋_GB2312" w:hAnsi="仿宋_GB2312" w:cs="仿宋_GB2312" w:eastAsia="仿宋_GB2312"/>
                      <w:sz w:val="24"/>
                    </w:rPr>
                    <w:t>1名省级高级职称专家</w:t>
                  </w:r>
                  <w:r>
                    <w:rPr>
                      <w:rFonts w:ascii="仿宋_GB2312" w:hAnsi="仿宋_GB2312" w:cs="仿宋_GB2312" w:eastAsia="仿宋_GB2312"/>
                      <w:sz w:val="24"/>
                    </w:rPr>
                    <w:t>。</w:t>
                  </w:r>
                  <w:r>
                    <w:rPr>
                      <w:rFonts w:ascii="仿宋_GB2312" w:hAnsi="仿宋_GB2312" w:cs="仿宋_GB2312" w:eastAsia="仿宋_GB2312"/>
                      <w:sz w:val="24"/>
                    </w:rPr>
                    <w:t>②至少3名（化工类）注册安全工程师。</w:t>
                  </w:r>
                </w:p>
                <w:p>
                  <w:pPr>
                    <w:pStyle w:val="null3"/>
                    <w:jc w:val="left"/>
                  </w:pPr>
                  <w:r>
                    <w:rPr>
                      <w:rFonts w:ascii="仿宋_GB2312" w:hAnsi="仿宋_GB2312" w:cs="仿宋_GB2312" w:eastAsia="仿宋_GB2312"/>
                      <w:sz w:val="24"/>
                    </w:rPr>
                    <w:t>3.按照实际培训次数据实结算服务费，超额部分不累计</w:t>
                  </w:r>
                  <w:r>
                    <w:rPr>
                      <w:rFonts w:ascii="仿宋_GB2312" w:hAnsi="仿宋_GB2312" w:cs="仿宋_GB2312" w:eastAsia="仿宋_GB2312"/>
                      <w:sz w:val="24"/>
                    </w:rPr>
                    <w:t>。</w:t>
                  </w:r>
                </w:p>
              </w:tc>
            </w:tr>
          </w:tbl>
          <w:p>
            <w:pPr>
              <w:pStyle w:val="null3"/>
              <w:jc w:val="both"/>
              <w:outlineLvl w:val="2"/>
            </w:pPr>
            <w:r>
              <w:rPr>
                <w:rFonts w:ascii="仿宋_GB2312" w:hAnsi="仿宋_GB2312" w:cs="仿宋_GB2312" w:eastAsia="仿宋_GB2312"/>
                <w:sz w:val="24"/>
                <w:b/>
              </w:rPr>
              <w:t>（三）</w:t>
            </w:r>
            <w:r>
              <w:rPr>
                <w:rFonts w:ascii="仿宋_GB2312" w:hAnsi="仿宋_GB2312" w:cs="仿宋_GB2312" w:eastAsia="仿宋_GB2312"/>
                <w:sz w:val="24"/>
                <w:b/>
              </w:rPr>
              <w:t>安全风险隐患排查</w:t>
            </w:r>
            <w:r>
              <w:rPr>
                <w:rFonts w:ascii="仿宋_GB2312" w:hAnsi="仿宋_GB2312" w:cs="仿宋_GB2312" w:eastAsia="仿宋_GB2312"/>
                <w:sz w:val="24"/>
                <w:b/>
              </w:rPr>
              <w:t>（最高限价：</w:t>
            </w:r>
            <w:r>
              <w:rPr>
                <w:rFonts w:ascii="仿宋_GB2312" w:hAnsi="仿宋_GB2312" w:cs="仿宋_GB2312" w:eastAsia="仿宋_GB2312"/>
                <w:sz w:val="24"/>
                <w:b/>
              </w:rPr>
              <w:t>57.1511万元）</w:t>
            </w:r>
          </w:p>
          <w:tbl>
            <w:tblPr>
              <w:tblBorders>
                <w:top w:val="none" w:color="000000" w:sz="4"/>
                <w:left w:val="none" w:color="000000" w:sz="4"/>
                <w:bottom w:val="none" w:color="000000" w:sz="4"/>
                <w:right w:val="none" w:color="000000" w:sz="4"/>
                <w:insideH w:val="none"/>
                <w:insideV w:val="none"/>
              </w:tblBorders>
            </w:tblPr>
            <w:tblGrid>
              <w:gridCol w:w="1400"/>
              <w:gridCol w:w="381"/>
              <w:gridCol w:w="2373"/>
              <w:gridCol w:w="1445"/>
            </w:tblGrid>
            <w:tr>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3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服务内容</w:t>
                  </w:r>
                </w:p>
              </w:tc>
              <w:tc>
                <w:tcPr>
                  <w:tcW w:type="dxa" w:w="2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服务要求</w:t>
                  </w:r>
                </w:p>
              </w:tc>
              <w:tc>
                <w:tcPr>
                  <w:tcW w:type="dxa" w:w="14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安全风险隐患排查</w:t>
                  </w:r>
                </w:p>
              </w:tc>
              <w:tc>
                <w:tcPr>
                  <w:tcW w:type="dxa" w:w="2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72"/>
                    <w:jc w:val="left"/>
                  </w:pPr>
                  <w:r>
                    <w:rPr>
                      <w:rFonts w:ascii="仿宋_GB2312" w:hAnsi="仿宋_GB2312" w:cs="仿宋_GB2312" w:eastAsia="仿宋_GB2312"/>
                      <w:sz w:val="24"/>
                    </w:rPr>
                    <w:t>负责园区安全风险隐患排查。结合园区实际需求，定期组织电气、工艺、设备、仪表、自动化、安全管理等</w:t>
                  </w:r>
                  <w:r>
                    <w:rPr>
                      <w:rFonts w:ascii="仿宋_GB2312" w:hAnsi="仿宋_GB2312" w:cs="仿宋_GB2312" w:eastAsia="仿宋_GB2312"/>
                      <w:sz w:val="24"/>
                    </w:rPr>
                    <w:t>领域</w:t>
                  </w:r>
                  <w:r>
                    <w:rPr>
                      <w:rFonts w:ascii="仿宋_GB2312" w:hAnsi="仿宋_GB2312" w:cs="仿宋_GB2312" w:eastAsia="仿宋_GB2312"/>
                      <w:sz w:val="24"/>
                    </w:rPr>
                    <w:t>专家对园区及企业开展全方位安全风险隐患排查，针对发现的问题提出整改方案并指导实施，并对整改项目验收把关；对前期已排查企业，复查前期已发现问题是否整改落实到位。排查主要内容</w:t>
                  </w:r>
                  <w:r>
                    <w:rPr>
                      <w:rFonts w:ascii="仿宋_GB2312" w:hAnsi="仿宋_GB2312" w:cs="仿宋_GB2312" w:eastAsia="仿宋_GB2312"/>
                      <w:sz w:val="24"/>
                    </w:rPr>
                    <w:t>:企业生产情况、安全手续(安全设施“三同时”、设计变更等)落实情况、安全设施配套建设及运行情况、安全管理台账落实情况、承包商管理情况、企业生产装置、厂房、储罐、仓库、管道完整性、安全性检查，并对企业的检测、报警、联锁、防雷、防爆、防静电等设施全方位排查，形成问题清单，提出相应的整改措施及应达到的标准和要求，供园区主管部门参考和决策。</w:t>
                  </w:r>
                </w:p>
              </w:tc>
              <w:tc>
                <w:tcPr>
                  <w:tcW w:type="dxa" w:w="1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1.安全风险隐患排查危险化学品（化工）企业（12家）每年4次，工贸企业（4家）每年2次。</w:t>
                  </w:r>
                  <w:r>
                    <w:rPr>
                      <w:rFonts w:ascii="仿宋_GB2312" w:hAnsi="仿宋_GB2312" w:cs="仿宋_GB2312" w:eastAsia="仿宋_GB2312"/>
                      <w:sz w:val="24"/>
                    </w:rPr>
                    <w:t>每次隐患排查需制定详细的排查工作方案，明确排查内容和培训目标，排查结束后形成排查报告，并对每次排查的问题隐患进行复</w:t>
                  </w:r>
                  <w:r>
                    <w:rPr>
                      <w:rFonts w:ascii="仿宋_GB2312" w:hAnsi="仿宋_GB2312" w:cs="仿宋_GB2312" w:eastAsia="仿宋_GB2312"/>
                      <w:sz w:val="24"/>
                    </w:rPr>
                    <w:t>查</w:t>
                  </w:r>
                  <w:r>
                    <w:rPr>
                      <w:rFonts w:ascii="仿宋_GB2312" w:hAnsi="仿宋_GB2312" w:cs="仿宋_GB2312" w:eastAsia="仿宋_GB2312"/>
                      <w:sz w:val="24"/>
                    </w:rPr>
                    <w:t>确认，闭环销号。</w:t>
                  </w:r>
                </w:p>
                <w:p>
                  <w:pPr>
                    <w:pStyle w:val="null3"/>
                    <w:jc w:val="left"/>
                  </w:pPr>
                  <w:r>
                    <w:rPr>
                      <w:rFonts w:ascii="仿宋_GB2312" w:hAnsi="仿宋_GB2312" w:cs="仿宋_GB2312" w:eastAsia="仿宋_GB2312"/>
                      <w:sz w:val="24"/>
                    </w:rPr>
                    <w:t>2.单次排查、复查人员构成：①</w:t>
                  </w:r>
                  <w:r>
                    <w:rPr>
                      <w:rFonts w:ascii="仿宋_GB2312" w:hAnsi="仿宋_GB2312" w:cs="仿宋_GB2312" w:eastAsia="仿宋_GB2312"/>
                      <w:sz w:val="24"/>
                    </w:rPr>
                    <w:t>至少</w:t>
                  </w:r>
                  <w:r>
                    <w:rPr>
                      <w:rFonts w:ascii="仿宋_GB2312" w:hAnsi="仿宋_GB2312" w:cs="仿宋_GB2312" w:eastAsia="仿宋_GB2312"/>
                      <w:sz w:val="24"/>
                    </w:rPr>
                    <w:t>1名省级高级职称专家</w:t>
                  </w:r>
                  <w:r>
                    <w:rPr>
                      <w:rFonts w:ascii="仿宋_GB2312" w:hAnsi="仿宋_GB2312" w:cs="仿宋_GB2312" w:eastAsia="仿宋_GB2312"/>
                      <w:sz w:val="24"/>
                    </w:rPr>
                    <w:t>，</w:t>
                  </w:r>
                  <w:r>
                    <w:rPr>
                      <w:rFonts w:ascii="仿宋_GB2312" w:hAnsi="仿宋_GB2312" w:cs="仿宋_GB2312" w:eastAsia="仿宋_GB2312"/>
                      <w:sz w:val="24"/>
                    </w:rPr>
                    <w:t>②至少2名（化工类）注册安全工程师。</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排查或复查</w:t>
                  </w:r>
                  <w:r>
                    <w:rPr>
                      <w:rFonts w:ascii="仿宋_GB2312" w:hAnsi="仿宋_GB2312" w:cs="仿宋_GB2312" w:eastAsia="仿宋_GB2312"/>
                      <w:sz w:val="24"/>
                    </w:rPr>
                    <w:t>1家企业按一次记，</w:t>
                  </w:r>
                  <w:r>
                    <w:rPr>
                      <w:rFonts w:ascii="仿宋_GB2312" w:hAnsi="仿宋_GB2312" w:cs="仿宋_GB2312" w:eastAsia="仿宋_GB2312"/>
                      <w:sz w:val="24"/>
                    </w:rPr>
                    <w:t>按照实际次数据实结算服务费，超额部分不累计</w:t>
                  </w:r>
                  <w:r>
                    <w:rPr>
                      <w:rFonts w:ascii="仿宋_GB2312" w:hAnsi="仿宋_GB2312" w:cs="仿宋_GB2312" w:eastAsia="仿宋_GB2312"/>
                      <w:sz w:val="24"/>
                    </w:rPr>
                    <w:t>。</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报告编制</w:t>
                  </w:r>
                </w:p>
              </w:tc>
              <w:tc>
                <w:tcPr>
                  <w:tcW w:type="dxa" w:w="2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72"/>
                    <w:jc w:val="left"/>
                  </w:pPr>
                  <w:r>
                    <w:rPr>
                      <w:rFonts w:ascii="仿宋_GB2312" w:hAnsi="仿宋_GB2312" w:cs="仿宋_GB2312" w:eastAsia="仿宋_GB2312"/>
                      <w:sz w:val="24"/>
                    </w:rPr>
                    <w:t>编写安全风险隐患排查报告</w:t>
                  </w:r>
                  <w:r>
                    <w:rPr>
                      <w:rFonts w:ascii="仿宋_GB2312" w:hAnsi="仿宋_GB2312" w:cs="仿宋_GB2312" w:eastAsia="仿宋_GB2312"/>
                      <w:sz w:val="24"/>
                    </w:rPr>
                    <w:t>（</w:t>
                  </w:r>
                  <w:r>
                    <w:rPr>
                      <w:rFonts w:ascii="仿宋_GB2312" w:hAnsi="仿宋_GB2312" w:cs="仿宋_GB2312" w:eastAsia="仿宋_GB2312"/>
                      <w:sz w:val="24"/>
                    </w:rPr>
                    <w:t>结合每次隐患排查情况梳理园区总体安全风险情况，梳理存在的问题和提出解决建议，形成季度排查成果报告，最终形成年度排查成果报告</w:t>
                  </w:r>
                  <w:r>
                    <w:rPr>
                      <w:rFonts w:ascii="仿宋_GB2312" w:hAnsi="仿宋_GB2312" w:cs="仿宋_GB2312" w:eastAsia="仿宋_GB2312"/>
                      <w:sz w:val="24"/>
                    </w:rPr>
                    <w:t>）</w:t>
                  </w:r>
                  <w:r>
                    <w:rPr>
                      <w:rFonts w:ascii="仿宋_GB2312" w:hAnsi="仿宋_GB2312" w:cs="仿宋_GB2312" w:eastAsia="仿宋_GB2312"/>
                      <w:sz w:val="24"/>
                    </w:rPr>
                    <w:t>。</w:t>
                  </w:r>
                </w:p>
              </w:tc>
              <w:tc>
                <w:tcPr>
                  <w:tcW w:type="dxa" w:w="1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both"/>
              <w:outlineLvl w:val="2"/>
            </w:pPr>
            <w:r>
              <w:rPr>
                <w:rFonts w:ascii="仿宋_GB2312" w:hAnsi="仿宋_GB2312" w:cs="仿宋_GB2312" w:eastAsia="仿宋_GB2312"/>
                <w:sz w:val="24"/>
                <w:b/>
              </w:rPr>
              <w:t>（四）</w:t>
            </w:r>
            <w:r>
              <w:rPr>
                <w:rFonts w:ascii="仿宋_GB2312" w:hAnsi="仿宋_GB2312" w:cs="仿宋_GB2312" w:eastAsia="仿宋_GB2312"/>
                <w:sz w:val="24"/>
                <w:b/>
              </w:rPr>
              <w:t>协助园区做好各类安全隐患问题整改</w:t>
            </w:r>
            <w:r>
              <w:rPr>
                <w:rFonts w:ascii="仿宋_GB2312" w:hAnsi="仿宋_GB2312" w:cs="仿宋_GB2312" w:eastAsia="仿宋_GB2312"/>
                <w:sz w:val="24"/>
                <w:b/>
              </w:rPr>
              <w:t>（最高限价：</w:t>
            </w:r>
            <w:r>
              <w:rPr>
                <w:rFonts w:ascii="仿宋_GB2312" w:hAnsi="仿宋_GB2312" w:cs="仿宋_GB2312" w:eastAsia="仿宋_GB2312"/>
                <w:sz w:val="24"/>
                <w:b/>
              </w:rPr>
              <w:t>5.2844万元）</w:t>
            </w:r>
          </w:p>
          <w:tbl>
            <w:tblPr>
              <w:tblBorders>
                <w:top w:val="none" w:color="000000" w:sz="4"/>
                <w:left w:val="none" w:color="000000" w:sz="4"/>
                <w:bottom w:val="none" w:color="000000" w:sz="4"/>
                <w:right w:val="none" w:color="000000" w:sz="4"/>
                <w:insideH w:val="none"/>
                <w:insideV w:val="none"/>
              </w:tblBorders>
            </w:tblPr>
            <w:tblGrid>
              <w:gridCol w:w="1400"/>
              <w:gridCol w:w="908"/>
              <w:gridCol w:w="1612"/>
              <w:gridCol w:w="1679"/>
            </w:tblGrid>
            <w:tr>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9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服务内容</w:t>
                  </w:r>
                </w:p>
              </w:tc>
              <w:tc>
                <w:tcPr>
                  <w:tcW w:type="dxa" w:w="16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服务要求</w:t>
                  </w:r>
                </w:p>
              </w:tc>
              <w:tc>
                <w:tcPr>
                  <w:tcW w:type="dxa" w:w="16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协助园区做好各类安全隐患问题整改</w:t>
                  </w:r>
                </w:p>
              </w:tc>
              <w:tc>
                <w:tcPr>
                  <w:tcW w:type="dxa" w:w="1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72"/>
                    <w:jc w:val="left"/>
                  </w:pPr>
                  <w:r>
                    <w:rPr>
                      <w:rFonts w:ascii="仿宋_GB2312" w:hAnsi="仿宋_GB2312" w:cs="仿宋_GB2312" w:eastAsia="仿宋_GB2312"/>
                      <w:sz w:val="24"/>
                    </w:rPr>
                    <w:t>对中省市安全生产督察等各类涉及园区的安全问题隐患及企业的重难点问题，组织技术专家对反馈问题全面剖析和解读，提出整改意见和整改方案，确保顺利完成重难点问题的整改任务。</w:t>
                  </w:r>
                </w:p>
              </w:tc>
              <w:tc>
                <w:tcPr>
                  <w:tcW w:type="dxa" w:w="1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1.预计服务次数：10次。</w:t>
                  </w:r>
                </w:p>
                <w:p>
                  <w:pPr>
                    <w:pStyle w:val="null3"/>
                    <w:jc w:val="left"/>
                  </w:pPr>
                  <w:r>
                    <w:rPr>
                      <w:rFonts w:ascii="仿宋_GB2312" w:hAnsi="仿宋_GB2312" w:cs="仿宋_GB2312" w:eastAsia="仿宋_GB2312"/>
                      <w:sz w:val="24"/>
                    </w:rPr>
                    <w:t>2.单次人员配置：</w:t>
                  </w:r>
                  <w:r>
                    <w:rPr>
                      <w:rFonts w:ascii="仿宋_GB2312" w:hAnsi="仿宋_GB2312" w:cs="仿宋_GB2312" w:eastAsia="仿宋_GB2312"/>
                      <w:sz w:val="24"/>
                    </w:rPr>
                    <w:t>①</w:t>
                  </w:r>
                  <w:r>
                    <w:rPr>
                      <w:rFonts w:ascii="仿宋_GB2312" w:hAnsi="仿宋_GB2312" w:cs="仿宋_GB2312" w:eastAsia="仿宋_GB2312"/>
                      <w:sz w:val="24"/>
                    </w:rPr>
                    <w:t>至少</w:t>
                  </w:r>
                  <w:r>
                    <w:rPr>
                      <w:rFonts w:ascii="仿宋_GB2312" w:hAnsi="仿宋_GB2312" w:cs="仿宋_GB2312" w:eastAsia="仿宋_GB2312"/>
                      <w:sz w:val="24"/>
                    </w:rPr>
                    <w:t>1</w:t>
                  </w:r>
                  <w:r>
                    <w:rPr>
                      <w:rFonts w:ascii="仿宋_GB2312" w:hAnsi="仿宋_GB2312" w:cs="仿宋_GB2312" w:eastAsia="仿宋_GB2312"/>
                      <w:sz w:val="24"/>
                    </w:rPr>
                    <w:t>省级高级职称专家</w:t>
                  </w:r>
                  <w:r>
                    <w:rPr>
                      <w:rFonts w:ascii="仿宋_GB2312" w:hAnsi="仿宋_GB2312" w:cs="仿宋_GB2312" w:eastAsia="仿宋_GB2312"/>
                      <w:sz w:val="24"/>
                    </w:rPr>
                    <w:t>，</w:t>
                  </w:r>
                  <w:r>
                    <w:rPr>
                      <w:rFonts w:ascii="仿宋_GB2312" w:hAnsi="仿宋_GB2312" w:cs="仿宋_GB2312" w:eastAsia="仿宋_GB2312"/>
                      <w:sz w:val="24"/>
                    </w:rPr>
                    <w:t>②至少2名（化工类）注册安全工程师。</w:t>
                  </w:r>
                </w:p>
                <w:p>
                  <w:pPr>
                    <w:pStyle w:val="null3"/>
                    <w:jc w:val="left"/>
                  </w:pPr>
                  <w:r>
                    <w:rPr>
                      <w:rFonts w:ascii="仿宋_GB2312" w:hAnsi="仿宋_GB2312" w:cs="仿宋_GB2312" w:eastAsia="仿宋_GB2312"/>
                      <w:sz w:val="24"/>
                    </w:rPr>
                    <w:t>3.按照实际次数据实结算服务费，超额部分不累计</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sz w:val="24"/>
                <w:b/>
              </w:rPr>
              <w:t>注</w:t>
            </w:r>
            <w:r>
              <w:rPr>
                <w:rFonts w:ascii="仿宋_GB2312" w:hAnsi="仿宋_GB2312" w:cs="仿宋_GB2312" w:eastAsia="仿宋_GB2312"/>
                <w:sz w:val="24"/>
                <w:b/>
              </w:rPr>
              <w:t>:省级高级技术职称专家是指列入省级安评专家库、应急专家库、安全专家库等省级主管部门颁布的专家库内并具有副高及以上职称的专家。</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二、商务要求（实质性要求）</w:t>
            </w:r>
          </w:p>
        </w:tc>
        <w:tc>
          <w:tcPr>
            <w:tcW w:type="dxa" w:w="5814"/>
          </w:tcPr>
          <w:p>
            <w:pPr>
              <w:pStyle w:val="null3"/>
              <w:ind w:firstLine="472"/>
              <w:jc w:val="both"/>
            </w:pPr>
            <w:r>
              <w:rPr>
                <w:rFonts w:ascii="仿宋_GB2312" w:hAnsi="仿宋_GB2312" w:cs="仿宋_GB2312" w:eastAsia="仿宋_GB2312"/>
                <w:sz w:val="24"/>
                <w:b/>
              </w:rPr>
              <w:t>二、商务要求（实质性要求）</w:t>
            </w:r>
          </w:p>
          <w:p>
            <w:pPr>
              <w:pStyle w:val="null3"/>
              <w:ind w:firstLine="448"/>
              <w:jc w:val="both"/>
            </w:pP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w:t>
            </w:r>
            <w:r>
              <w:rPr>
                <w:rFonts w:ascii="仿宋_GB2312" w:hAnsi="仿宋_GB2312" w:cs="仿宋_GB2312" w:eastAsia="仿宋_GB2312"/>
                <w:sz w:val="24"/>
              </w:rPr>
              <w:t>合同管理安排</w:t>
            </w:r>
          </w:p>
          <w:p>
            <w:pPr>
              <w:pStyle w:val="null3"/>
              <w:ind w:firstLine="476"/>
              <w:jc w:val="both"/>
            </w:pPr>
            <w:r>
              <w:rPr>
                <w:rFonts w:ascii="仿宋_GB2312" w:hAnsi="仿宋_GB2312" w:cs="仿宋_GB2312" w:eastAsia="仿宋_GB2312"/>
                <w:sz w:val="24"/>
              </w:rPr>
              <w:t>1)合同类型</w:t>
            </w:r>
            <w:r>
              <w:rPr>
                <w:rFonts w:ascii="仿宋_GB2312" w:hAnsi="仿宋_GB2312" w:cs="仿宋_GB2312" w:eastAsia="仿宋_GB2312"/>
                <w:sz w:val="24"/>
              </w:rPr>
              <w:t>：</w:t>
            </w:r>
            <w:r>
              <w:rPr>
                <w:rFonts w:ascii="仿宋_GB2312" w:hAnsi="仿宋_GB2312" w:cs="仿宋_GB2312" w:eastAsia="仿宋_GB2312"/>
                <w:sz w:val="24"/>
              </w:rPr>
              <w:t>委托</w:t>
            </w:r>
            <w:r>
              <w:rPr>
                <w:rFonts w:ascii="仿宋_GB2312" w:hAnsi="仿宋_GB2312" w:cs="仿宋_GB2312" w:eastAsia="仿宋_GB2312"/>
                <w:sz w:val="24"/>
              </w:rPr>
              <w:t>合同</w:t>
            </w:r>
          </w:p>
          <w:p>
            <w:pPr>
              <w:pStyle w:val="null3"/>
              <w:ind w:firstLine="480"/>
              <w:jc w:val="both"/>
            </w:pPr>
            <w:r>
              <w:rPr>
                <w:rFonts w:ascii="仿宋_GB2312" w:hAnsi="仿宋_GB2312" w:cs="仿宋_GB2312" w:eastAsia="仿宋_GB2312"/>
                <w:sz w:val="24"/>
              </w:rPr>
              <w:t>2)合</w:t>
            </w:r>
            <w:r>
              <w:rPr>
                <w:rFonts w:ascii="仿宋_GB2312" w:hAnsi="仿宋_GB2312" w:cs="仿宋_GB2312" w:eastAsia="仿宋_GB2312"/>
                <w:sz w:val="24"/>
              </w:rPr>
              <w:t>同定价方式：固定</w:t>
            </w:r>
            <w:r>
              <w:rPr>
                <w:rFonts w:ascii="仿宋_GB2312" w:hAnsi="仿宋_GB2312" w:cs="仿宋_GB2312" w:eastAsia="仿宋_GB2312"/>
                <w:sz w:val="24"/>
              </w:rPr>
              <w:t>单价</w:t>
            </w:r>
            <w:r>
              <w:rPr>
                <w:rFonts w:ascii="仿宋_GB2312" w:hAnsi="仿宋_GB2312" w:cs="仿宋_GB2312" w:eastAsia="仿宋_GB2312"/>
                <w:sz w:val="24"/>
              </w:rPr>
              <w:t>合同</w:t>
            </w:r>
          </w:p>
          <w:p>
            <w:pPr>
              <w:pStyle w:val="null3"/>
              <w:ind w:firstLine="448"/>
              <w:jc w:val="both"/>
            </w:pPr>
            <w:r>
              <w:rPr>
                <w:rFonts w:ascii="仿宋_GB2312" w:hAnsi="仿宋_GB2312" w:cs="仿宋_GB2312" w:eastAsia="仿宋_GB2312"/>
                <w:sz w:val="24"/>
              </w:rPr>
              <w:t>3)</w:t>
            </w:r>
            <w:r>
              <w:rPr>
                <w:rFonts w:ascii="仿宋_GB2312" w:hAnsi="仿宋_GB2312" w:cs="仿宋_GB2312" w:eastAsia="仿宋_GB2312"/>
                <w:sz w:val="24"/>
              </w:rPr>
              <w:t>合同履行期限：合同签订之日起</w:t>
            </w:r>
            <w:r>
              <w:rPr>
                <w:rFonts w:ascii="仿宋_GB2312" w:hAnsi="仿宋_GB2312" w:cs="仿宋_GB2312" w:eastAsia="仿宋_GB2312"/>
                <w:sz w:val="24"/>
              </w:rPr>
              <w:t>365天</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4)合同履约地点</w:t>
            </w:r>
            <w:r>
              <w:rPr>
                <w:rFonts w:ascii="仿宋_GB2312" w:hAnsi="仿宋_GB2312" w:cs="仿宋_GB2312" w:eastAsia="仿宋_GB2312"/>
                <w:sz w:val="24"/>
              </w:rPr>
              <w:t>：采购人指定地点。</w:t>
            </w:r>
          </w:p>
          <w:p>
            <w:pPr>
              <w:pStyle w:val="null3"/>
              <w:ind w:firstLine="476"/>
              <w:jc w:val="both"/>
            </w:pPr>
            <w:r>
              <w:rPr>
                <w:rFonts w:ascii="仿宋_GB2312" w:hAnsi="仿宋_GB2312" w:cs="仿宋_GB2312" w:eastAsia="仿宋_GB2312"/>
                <w:sz w:val="24"/>
              </w:rPr>
              <w:t>5)支</w:t>
            </w:r>
            <w:r>
              <w:rPr>
                <w:rFonts w:ascii="仿宋_GB2312" w:hAnsi="仿宋_GB2312" w:cs="仿宋_GB2312" w:eastAsia="仿宋_GB2312"/>
                <w:sz w:val="24"/>
              </w:rPr>
              <w:t>付方式：</w:t>
            </w:r>
            <w:r>
              <w:rPr>
                <w:rFonts w:ascii="仿宋_GB2312" w:hAnsi="仿宋_GB2312" w:cs="仿宋_GB2312" w:eastAsia="仿宋_GB2312"/>
                <w:sz w:val="24"/>
              </w:rPr>
              <w:t>分期付款</w:t>
            </w:r>
          </w:p>
          <w:p>
            <w:pPr>
              <w:pStyle w:val="null3"/>
              <w:ind w:firstLine="476"/>
              <w:jc w:val="both"/>
            </w:pPr>
            <w:r>
              <w:rPr>
                <w:rFonts w:ascii="仿宋_GB2312" w:hAnsi="仿宋_GB2312" w:cs="仿宋_GB2312" w:eastAsia="仿宋_GB2312"/>
                <w:sz w:val="24"/>
              </w:rPr>
              <w:t>6)履约保证</w:t>
            </w:r>
            <w:r>
              <w:rPr>
                <w:rFonts w:ascii="仿宋_GB2312" w:hAnsi="仿宋_GB2312" w:cs="仿宋_GB2312" w:eastAsia="仿宋_GB2312"/>
                <w:sz w:val="24"/>
              </w:rPr>
              <w:t>金及缴纳形式：</w:t>
            </w:r>
          </w:p>
          <w:p>
            <w:pPr>
              <w:pStyle w:val="null3"/>
              <w:ind w:firstLine="468"/>
              <w:jc w:val="both"/>
            </w:pPr>
            <w:r>
              <w:rPr>
                <w:rFonts w:ascii="仿宋_GB2312" w:hAnsi="仿宋_GB2312" w:cs="仿宋_GB2312" w:eastAsia="仿宋_GB2312"/>
                <w:sz w:val="24"/>
              </w:rPr>
              <w:t>中标</w:t>
            </w:r>
            <w:r>
              <w:rPr>
                <w:rFonts w:ascii="仿宋_GB2312" w:hAnsi="仿宋_GB2312" w:cs="仿宋_GB2312" w:eastAsia="仿宋_GB2312"/>
                <w:sz w:val="24"/>
              </w:rPr>
              <w:t>/成交供应商是否需要缴</w:t>
            </w:r>
            <w:r>
              <w:rPr>
                <w:rFonts w:ascii="仿宋_GB2312" w:hAnsi="仿宋_GB2312" w:cs="仿宋_GB2312" w:eastAsia="仿宋_GB2312"/>
                <w:sz w:val="24"/>
              </w:rPr>
              <w:t>纳履约保证金：否</w:t>
            </w:r>
          </w:p>
          <w:p>
            <w:pPr>
              <w:pStyle w:val="null3"/>
              <w:ind w:firstLine="476"/>
              <w:jc w:val="both"/>
            </w:pPr>
            <w:r>
              <w:rPr>
                <w:rFonts w:ascii="仿宋_GB2312" w:hAnsi="仿宋_GB2312" w:cs="仿宋_GB2312" w:eastAsia="仿宋_GB2312"/>
                <w:sz w:val="24"/>
              </w:rPr>
              <w:t>7)质量</w:t>
            </w:r>
            <w:r>
              <w:rPr>
                <w:rFonts w:ascii="仿宋_GB2312" w:hAnsi="仿宋_GB2312" w:cs="仿宋_GB2312" w:eastAsia="仿宋_GB2312"/>
                <w:sz w:val="24"/>
              </w:rPr>
              <w:t>保证金及缴纳形式：</w:t>
            </w:r>
          </w:p>
          <w:p>
            <w:pPr>
              <w:pStyle w:val="null3"/>
              <w:ind w:firstLine="468"/>
              <w:jc w:val="both"/>
            </w:pPr>
            <w:r>
              <w:rPr>
                <w:rFonts w:ascii="仿宋_GB2312" w:hAnsi="仿宋_GB2312" w:cs="仿宋_GB2312" w:eastAsia="仿宋_GB2312"/>
                <w:sz w:val="24"/>
              </w:rPr>
              <w:t>中标</w:t>
            </w:r>
            <w:r>
              <w:rPr>
                <w:rFonts w:ascii="仿宋_GB2312" w:hAnsi="仿宋_GB2312" w:cs="仿宋_GB2312" w:eastAsia="仿宋_GB2312"/>
                <w:sz w:val="24"/>
              </w:rPr>
              <w:t>/成交供应商是否需要缴</w:t>
            </w:r>
            <w:r>
              <w:rPr>
                <w:rFonts w:ascii="仿宋_GB2312" w:hAnsi="仿宋_GB2312" w:cs="仿宋_GB2312" w:eastAsia="仿宋_GB2312"/>
                <w:sz w:val="24"/>
              </w:rPr>
              <w:t>纳质量保证金：否</w:t>
            </w:r>
          </w:p>
          <w:p>
            <w:pPr>
              <w:pStyle w:val="null3"/>
              <w:ind w:firstLine="468"/>
              <w:jc w:val="both"/>
            </w:pPr>
            <w:r>
              <w:rPr>
                <w:rFonts w:ascii="仿宋_GB2312" w:hAnsi="仿宋_GB2312" w:cs="仿宋_GB2312" w:eastAsia="仿宋_GB2312"/>
                <w:sz w:val="24"/>
              </w:rPr>
              <w:t>8</w:t>
            </w:r>
            <w:r>
              <w:rPr>
                <w:rFonts w:ascii="仿宋_GB2312" w:hAnsi="仿宋_GB2312" w:cs="仿宋_GB2312" w:eastAsia="仿宋_GB2312"/>
                <w:sz w:val="24"/>
              </w:rPr>
              <w:t>)合同支付约定：</w:t>
            </w:r>
          </w:p>
          <w:p>
            <w:pPr>
              <w:pStyle w:val="null3"/>
              <w:ind w:firstLine="440"/>
              <w:jc w:val="left"/>
            </w:pPr>
            <w:r>
              <w:rPr>
                <w:rFonts w:ascii="仿宋_GB2312" w:hAnsi="仿宋_GB2312" w:cs="仿宋_GB2312" w:eastAsia="仿宋_GB2312"/>
                <w:sz w:val="24"/>
              </w:rPr>
              <w:t>付</w:t>
            </w:r>
            <w:r>
              <w:rPr>
                <w:rFonts w:ascii="仿宋_GB2312" w:hAnsi="仿宋_GB2312" w:cs="仿宋_GB2312" w:eastAsia="仿宋_GB2312"/>
                <w:sz w:val="24"/>
              </w:rPr>
              <w:t>款条件说明：</w:t>
            </w:r>
            <w:r>
              <w:rPr>
                <w:rFonts w:ascii="仿宋_GB2312" w:hAnsi="仿宋_GB2312" w:cs="仿宋_GB2312" w:eastAsia="仿宋_GB2312"/>
                <w:sz w:val="24"/>
              </w:rPr>
              <w:t>签订合同后由供应商提供合法有效完整的完税发票，采购人收到相关资料后</w:t>
            </w:r>
            <w:r>
              <w:rPr>
                <w:rFonts w:ascii="仿宋_GB2312" w:hAnsi="仿宋_GB2312" w:cs="仿宋_GB2312" w:eastAsia="仿宋_GB2312"/>
                <w:sz w:val="24"/>
              </w:rPr>
              <w:t>10个工作日内支付合同金额的30%，服务期满半年后10个工作日内支付合同金额的30%，服务期满并通过履约验收后据实结算合同服务金额。</w:t>
            </w:r>
          </w:p>
          <w:p>
            <w:pPr>
              <w:pStyle w:val="null3"/>
              <w:ind w:firstLine="480"/>
              <w:jc w:val="both"/>
            </w:pPr>
            <w:r>
              <w:rPr>
                <w:rFonts w:ascii="仿宋_GB2312" w:hAnsi="仿宋_GB2312" w:cs="仿宋_GB2312" w:eastAsia="仿宋_GB2312"/>
                <w:sz w:val="24"/>
              </w:rPr>
              <w:t>9)验收交付标准和方法：采购人按照《政府采购需求管理办法》(财库(2021)22号)、《财政部关于进一步加强政府采购需求和履约验收管理的指导意见》财库〔2016〕205号文件执行，验收内容包含采购文件中的所有技术和商务要求的履约情况。</w:t>
            </w:r>
          </w:p>
          <w:p>
            <w:pPr>
              <w:pStyle w:val="null3"/>
              <w:ind w:firstLine="476"/>
              <w:jc w:val="both"/>
            </w:pPr>
            <w:r>
              <w:rPr>
                <w:rFonts w:ascii="仿宋_GB2312" w:hAnsi="仿宋_GB2312" w:cs="仿宋_GB2312" w:eastAsia="仿宋_GB2312"/>
                <w:sz w:val="24"/>
              </w:rPr>
              <w:t>10)质量保修范围和保</w:t>
            </w:r>
            <w:r>
              <w:rPr>
                <w:rFonts w:ascii="仿宋_GB2312" w:hAnsi="仿宋_GB2312" w:cs="仿宋_GB2312" w:eastAsia="仿宋_GB2312"/>
                <w:sz w:val="24"/>
              </w:rPr>
              <w:t>修期：</w:t>
            </w:r>
            <w:r>
              <w:rPr>
                <w:rFonts w:ascii="仿宋_GB2312" w:hAnsi="仿宋_GB2312" w:cs="仿宋_GB2312" w:eastAsia="仿宋_GB2312"/>
                <w:sz w:val="24"/>
              </w:rPr>
              <w:t>本项目不涉及。</w:t>
            </w:r>
          </w:p>
          <w:p>
            <w:pPr>
              <w:pStyle w:val="null3"/>
              <w:ind w:firstLine="480"/>
              <w:jc w:val="both"/>
            </w:pPr>
            <w:r>
              <w:rPr>
                <w:rFonts w:ascii="仿宋_GB2312" w:hAnsi="仿宋_GB2312" w:cs="仿宋_GB2312" w:eastAsia="仿宋_GB2312"/>
                <w:sz w:val="24"/>
              </w:rPr>
              <w:t>11)知识产权归属和处理方式：</w:t>
            </w:r>
            <w:r>
              <w:rPr>
                <w:rFonts w:ascii="仿宋_GB2312" w:hAnsi="仿宋_GB2312" w:cs="仿宋_GB2312" w:eastAsia="仿宋_GB2312"/>
                <w:sz w:val="24"/>
              </w:rPr>
              <w:t>1、供应商</w:t>
            </w:r>
            <w:r>
              <w:rPr>
                <w:rFonts w:ascii="仿宋_GB2312" w:hAnsi="仿宋_GB2312" w:cs="仿宋_GB2312" w:eastAsia="仿宋_GB2312"/>
                <w:sz w:val="24"/>
              </w:rPr>
              <w:t>应保证所提供的服务或其任何一部分均不会侵犯任何第三方的知识产权</w:t>
            </w:r>
            <w:r>
              <w:rPr>
                <w:rFonts w:ascii="仿宋_GB2312" w:hAnsi="仿宋_GB2312" w:cs="仿宋_GB2312" w:eastAsia="仿宋_GB2312"/>
                <w:sz w:val="24"/>
              </w:rPr>
              <w:t>(包括但不限于专利权、商标权、著作权等)</w:t>
            </w:r>
            <w:r>
              <w:rPr>
                <w:rFonts w:ascii="仿宋_GB2312" w:hAnsi="仿宋_GB2312" w:cs="仿宋_GB2312" w:eastAsia="仿宋_GB2312"/>
                <w:sz w:val="24"/>
              </w:rPr>
              <w:t>，</w:t>
            </w:r>
            <w:r>
              <w:rPr>
                <w:rFonts w:ascii="仿宋_GB2312" w:hAnsi="仿宋_GB2312" w:cs="仿宋_GB2312" w:eastAsia="仿宋_GB2312"/>
                <w:sz w:val="24"/>
              </w:rPr>
              <w:t>否则视为供应商违约，由此产生的一切损失由供应商承担。</w:t>
            </w:r>
          </w:p>
          <w:p>
            <w:pPr>
              <w:pStyle w:val="null3"/>
              <w:ind w:firstLine="480"/>
              <w:jc w:val="both"/>
            </w:pPr>
            <w:r>
              <w:rPr>
                <w:rFonts w:ascii="仿宋_GB2312" w:hAnsi="仿宋_GB2312" w:cs="仿宋_GB2312" w:eastAsia="仿宋_GB2312"/>
                <w:sz w:val="24"/>
              </w:rPr>
              <w:t>12)成本补偿和风险分担约定：</w:t>
            </w:r>
            <w:r>
              <w:rPr>
                <w:rFonts w:ascii="仿宋_GB2312" w:hAnsi="仿宋_GB2312" w:cs="仿宋_GB2312" w:eastAsia="仿宋_GB2312"/>
                <w:sz w:val="24"/>
              </w:rPr>
              <w:t>本项目不涉及。</w:t>
            </w:r>
          </w:p>
          <w:p>
            <w:pPr>
              <w:pStyle w:val="null3"/>
              <w:ind w:firstLine="480"/>
              <w:jc w:val="both"/>
            </w:pPr>
            <w:r>
              <w:rPr>
                <w:rFonts w:ascii="仿宋_GB2312" w:hAnsi="仿宋_GB2312" w:cs="仿宋_GB2312" w:eastAsia="仿宋_GB2312"/>
                <w:sz w:val="24"/>
              </w:rPr>
              <w:t>13)违约责任与解决争议的方法：1</w:t>
            </w:r>
            <w:r>
              <w:rPr>
                <w:rFonts w:ascii="仿宋_GB2312" w:hAnsi="仿宋_GB2312" w:cs="仿宋_GB2312" w:eastAsia="仿宋_GB2312"/>
                <w:sz w:val="24"/>
              </w:rPr>
              <w:t>.</w:t>
            </w:r>
            <w:r>
              <w:rPr>
                <w:rFonts w:ascii="仿宋_GB2312" w:hAnsi="仿宋_GB2312" w:cs="仿宋_GB2312" w:eastAsia="仿宋_GB2312"/>
                <w:sz w:val="24"/>
              </w:rPr>
              <w:t>甲乙双方必须遵守本合同并执行合同中的各项规定，保证本合同的</w:t>
            </w:r>
            <w:r>
              <w:rPr>
                <w:rFonts w:ascii="仿宋_GB2312" w:hAnsi="仿宋_GB2312" w:cs="仿宋_GB2312" w:eastAsia="仿宋_GB2312"/>
                <w:sz w:val="24"/>
              </w:rPr>
              <w:t>正常履行。</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如因乙方工作</w:t>
            </w:r>
            <w:r>
              <w:rPr>
                <w:rFonts w:ascii="仿宋_GB2312" w:hAnsi="仿宋_GB2312" w:cs="仿宋_GB2312" w:eastAsia="仿宋_GB2312"/>
                <w:sz w:val="24"/>
              </w:rPr>
              <w:t>人员在履行职务过程中的的疏忽、失职、过错等故意或者过失原因给甲方造成损失或侵害，包括</w:t>
            </w:r>
            <w:r>
              <w:rPr>
                <w:rFonts w:ascii="仿宋_GB2312" w:hAnsi="仿宋_GB2312" w:cs="仿宋_GB2312" w:eastAsia="仿宋_GB2312"/>
                <w:sz w:val="24"/>
              </w:rPr>
              <w:t>但不限于甲方本身的财</w:t>
            </w:r>
            <w:r>
              <w:rPr>
                <w:rFonts w:ascii="仿宋_GB2312" w:hAnsi="仿宋_GB2312" w:cs="仿宋_GB2312" w:eastAsia="仿宋_GB2312"/>
                <w:sz w:val="24"/>
              </w:rPr>
              <w:t>产损失、由此而导致的甲方对任何第三方的法律责任等，乙方对此均应承担全部的赔偿责任。</w:t>
            </w:r>
          </w:p>
          <w:p>
            <w:pPr>
              <w:pStyle w:val="null3"/>
              <w:ind w:firstLine="472"/>
              <w:jc w:val="both"/>
            </w:pPr>
            <w:r>
              <w:rPr>
                <w:rFonts w:ascii="仿宋_GB2312" w:hAnsi="仿宋_GB2312" w:cs="仿宋_GB2312" w:eastAsia="仿宋_GB2312"/>
                <w:sz w:val="24"/>
              </w:rPr>
              <w:t>解决合</w:t>
            </w:r>
            <w:r>
              <w:rPr>
                <w:rFonts w:ascii="仿宋_GB2312" w:hAnsi="仿宋_GB2312" w:cs="仿宋_GB2312" w:eastAsia="仿宋_GB2312"/>
                <w:sz w:val="24"/>
              </w:rPr>
              <w:t>同纠纷的方式：</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在执行合同中发生的或与本合同有关的争端，双方应通过友好协商解决，经协商在</w:t>
            </w:r>
            <w:r>
              <w:rPr>
                <w:rFonts w:ascii="仿宋_GB2312" w:hAnsi="仿宋_GB2312" w:cs="仿宋_GB2312" w:eastAsia="仿宋_GB2312"/>
                <w:sz w:val="24"/>
              </w:rPr>
              <w:t>30</w:t>
            </w:r>
            <w:r>
              <w:rPr>
                <w:rFonts w:ascii="仿宋_GB2312" w:hAnsi="仿宋_GB2312" w:cs="仿宋_GB2312" w:eastAsia="仿宋_GB2312"/>
                <w:sz w:val="24"/>
              </w:rPr>
              <w:t>天内不能达成协</w:t>
            </w:r>
            <w:r>
              <w:rPr>
                <w:rFonts w:ascii="仿宋_GB2312" w:hAnsi="仿宋_GB2312" w:cs="仿宋_GB2312" w:eastAsia="仿宋_GB2312"/>
                <w:sz w:val="24"/>
              </w:rPr>
              <w:t>议</w:t>
            </w:r>
            <w:r>
              <w:rPr>
                <w:rFonts w:ascii="仿宋_GB2312" w:hAnsi="仿宋_GB2312" w:cs="仿宋_GB2312" w:eastAsia="仿宋_GB2312"/>
                <w:sz w:val="24"/>
              </w:rPr>
              <w:t>时，提交甲方所在地人</w:t>
            </w:r>
            <w:r>
              <w:rPr>
                <w:rFonts w:ascii="仿宋_GB2312" w:hAnsi="仿宋_GB2312" w:cs="仿宋_GB2312" w:eastAsia="仿宋_GB2312"/>
                <w:sz w:val="24"/>
              </w:rPr>
              <w:t>民法院裁决。</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除另有裁决外，诉讼费应由败诉方负担。</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在诉讼期间，除正在进行诉讼部分外，</w:t>
            </w:r>
            <w:r>
              <w:rPr>
                <w:rFonts w:ascii="仿宋_GB2312" w:hAnsi="仿宋_GB2312" w:cs="仿宋_GB2312" w:eastAsia="仿宋_GB2312"/>
                <w:sz w:val="24"/>
              </w:rPr>
              <w:t>合同其他部分继续执行</w:t>
            </w:r>
            <w:r>
              <w:rPr>
                <w:rFonts w:ascii="仿宋_GB2312" w:hAnsi="仿宋_GB2312" w:cs="仿宋_GB2312" w:eastAsia="仿宋_GB2312"/>
                <w:sz w:val="24"/>
              </w:rPr>
              <w:t>。</w:t>
            </w:r>
          </w:p>
          <w:p>
            <w:pPr>
              <w:pStyle w:val="null3"/>
              <w:ind w:firstLine="468"/>
              <w:jc w:val="both"/>
            </w:pPr>
            <w:r>
              <w:rPr>
                <w:rFonts w:ascii="仿宋_GB2312" w:hAnsi="仿宋_GB2312" w:cs="仿宋_GB2312" w:eastAsia="仿宋_GB2312"/>
                <w:sz w:val="24"/>
              </w:rPr>
              <w:t>14)合同其他条款：</w:t>
            </w:r>
          </w:p>
          <w:p>
            <w:pPr>
              <w:pStyle w:val="null3"/>
              <w:ind w:firstLine="472"/>
              <w:jc w:val="both"/>
            </w:pPr>
            <w:r>
              <w:rPr>
                <w:rFonts w:ascii="仿宋_GB2312" w:hAnsi="仿宋_GB2312" w:cs="仿宋_GB2312" w:eastAsia="仿宋_GB2312"/>
                <w:sz w:val="24"/>
              </w:rPr>
              <w:t>14.1供应商在项目执行过程中</w:t>
            </w:r>
            <w:r>
              <w:rPr>
                <w:rFonts w:ascii="仿宋_GB2312" w:hAnsi="仿宋_GB2312" w:cs="仿宋_GB2312" w:eastAsia="仿宋_GB2312"/>
                <w:sz w:val="24"/>
              </w:rPr>
              <w:t>每周</w:t>
            </w:r>
            <w:r>
              <w:rPr>
                <w:rFonts w:ascii="仿宋_GB2312" w:hAnsi="仿宋_GB2312" w:cs="仿宋_GB2312" w:eastAsia="仿宋_GB2312"/>
                <w:sz w:val="24"/>
              </w:rPr>
              <w:t>向采购人通告其</w:t>
            </w:r>
            <w:r>
              <w:rPr>
                <w:rFonts w:ascii="仿宋_GB2312" w:hAnsi="仿宋_GB2312" w:cs="仿宋_GB2312" w:eastAsia="仿宋_GB2312"/>
                <w:sz w:val="24"/>
              </w:rPr>
              <w:t>履约</w:t>
            </w:r>
            <w:r>
              <w:rPr>
                <w:rFonts w:ascii="仿宋_GB2312" w:hAnsi="仿宋_GB2312" w:cs="仿宋_GB2312" w:eastAsia="仿宋_GB2312"/>
                <w:sz w:val="24"/>
              </w:rPr>
              <w:t>情况</w:t>
            </w:r>
            <w:r>
              <w:rPr>
                <w:rFonts w:ascii="仿宋_GB2312" w:hAnsi="仿宋_GB2312" w:cs="仿宋_GB2312" w:eastAsia="仿宋_GB2312"/>
                <w:sz w:val="24"/>
              </w:rPr>
              <w:t>，</w:t>
            </w:r>
            <w:r>
              <w:rPr>
                <w:rFonts w:ascii="仿宋_GB2312" w:hAnsi="仿宋_GB2312" w:cs="仿宋_GB2312" w:eastAsia="仿宋_GB2312"/>
                <w:sz w:val="24"/>
              </w:rPr>
              <w:t>对于项目服务范围内有关服务的重大事项在发生后</w:t>
            </w:r>
            <w:r>
              <w:rPr>
                <w:rFonts w:ascii="仿宋_GB2312" w:hAnsi="仿宋_GB2312" w:cs="仿宋_GB2312" w:eastAsia="仿宋_GB2312"/>
                <w:sz w:val="24"/>
              </w:rPr>
              <w:t>12小时内向采购人通告</w:t>
            </w:r>
            <w:r>
              <w:rPr>
                <w:rFonts w:ascii="仿宋_GB2312" w:hAnsi="仿宋_GB2312" w:cs="仿宋_GB2312" w:eastAsia="仿宋_GB2312"/>
                <w:sz w:val="24"/>
              </w:rPr>
              <w:t>。</w:t>
            </w:r>
          </w:p>
          <w:p>
            <w:pPr>
              <w:pStyle w:val="null3"/>
              <w:ind w:firstLine="472"/>
              <w:jc w:val="both"/>
            </w:pPr>
            <w:r>
              <w:rPr>
                <w:rFonts w:ascii="仿宋_GB2312" w:hAnsi="仿宋_GB2312" w:cs="仿宋_GB2312" w:eastAsia="仿宋_GB2312"/>
                <w:sz w:val="24"/>
              </w:rPr>
              <w:t>14.2接受项目行业管理部门及政府有关部门的指导，接受采购人的监督。</w:t>
            </w:r>
          </w:p>
          <w:p>
            <w:pPr>
              <w:pStyle w:val="null3"/>
              <w:ind w:firstLine="472"/>
              <w:jc w:val="both"/>
            </w:pPr>
            <w:r>
              <w:rPr>
                <w:rFonts w:ascii="仿宋_GB2312" w:hAnsi="仿宋_GB2312" w:cs="仿宋_GB2312" w:eastAsia="仿宋_GB2312"/>
                <w:sz w:val="24"/>
              </w:rPr>
              <w:t>14.3其他“合同草案条款”：见</w:t>
            </w:r>
            <w:r>
              <w:rPr>
                <w:rFonts w:ascii="仿宋_GB2312" w:hAnsi="仿宋_GB2312" w:cs="仿宋_GB2312" w:eastAsia="仿宋_GB2312"/>
                <w:sz w:val="24"/>
              </w:rPr>
              <w:t>磋商</w:t>
            </w:r>
            <w:r>
              <w:rPr>
                <w:rFonts w:ascii="仿宋_GB2312" w:hAnsi="仿宋_GB2312" w:cs="仿宋_GB2312" w:eastAsia="仿宋_GB2312"/>
                <w:sz w:val="24"/>
              </w:rPr>
              <w:t>文件</w:t>
            </w:r>
            <w:r>
              <w:rPr>
                <w:rFonts w:ascii="仿宋_GB2312" w:hAnsi="仿宋_GB2312" w:cs="仿宋_GB2312" w:eastAsia="仿宋_GB2312"/>
                <w:sz w:val="24"/>
              </w:rPr>
              <w:t>“政府采购合同（草案）”。</w:t>
            </w:r>
          </w:p>
          <w:p>
            <w:pPr>
              <w:pStyle w:val="null3"/>
              <w:ind w:firstLine="468"/>
              <w:jc w:val="both"/>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w:t>
            </w:r>
            <w:r>
              <w:rPr>
                <w:rFonts w:ascii="仿宋_GB2312" w:hAnsi="仿宋_GB2312" w:cs="仿宋_GB2312" w:eastAsia="仿宋_GB2312"/>
                <w:sz w:val="24"/>
              </w:rPr>
              <w:t>履约验收方案</w:t>
            </w:r>
          </w:p>
          <w:p>
            <w:pPr>
              <w:pStyle w:val="null3"/>
              <w:ind w:firstLine="432"/>
              <w:jc w:val="both"/>
            </w:pPr>
            <w:r>
              <w:rPr>
                <w:rFonts w:ascii="仿宋_GB2312" w:hAnsi="仿宋_GB2312" w:cs="仿宋_GB2312" w:eastAsia="仿宋_GB2312"/>
                <w:sz w:val="24"/>
              </w:rPr>
              <w:t>1</w:t>
            </w:r>
            <w:r>
              <w:rPr>
                <w:rFonts w:ascii="仿宋_GB2312" w:hAnsi="仿宋_GB2312" w:cs="仿宋_GB2312" w:eastAsia="仿宋_GB2312"/>
                <w:sz w:val="24"/>
              </w:rPr>
              <w:t>)验收组织方式：自行验收</w:t>
            </w:r>
          </w:p>
          <w:p>
            <w:pPr>
              <w:pStyle w:val="null3"/>
              <w:ind w:firstLine="480"/>
              <w:jc w:val="both"/>
            </w:pPr>
            <w:r>
              <w:rPr>
                <w:rFonts w:ascii="仿宋_GB2312" w:hAnsi="仿宋_GB2312" w:cs="仿宋_GB2312" w:eastAsia="仿宋_GB2312"/>
                <w:sz w:val="24"/>
              </w:rPr>
              <w:t>2)是否邀请本项目的其</w:t>
            </w:r>
            <w:r>
              <w:rPr>
                <w:rFonts w:ascii="仿宋_GB2312" w:hAnsi="仿宋_GB2312" w:cs="仿宋_GB2312" w:eastAsia="仿宋_GB2312"/>
                <w:sz w:val="24"/>
              </w:rPr>
              <w:t>他供应商：否</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)是否邀请专家：否</w:t>
            </w:r>
          </w:p>
          <w:p>
            <w:pPr>
              <w:pStyle w:val="null3"/>
              <w:ind w:firstLine="480"/>
              <w:jc w:val="both"/>
            </w:pPr>
            <w:r>
              <w:rPr>
                <w:rFonts w:ascii="仿宋_GB2312" w:hAnsi="仿宋_GB2312" w:cs="仿宋_GB2312" w:eastAsia="仿宋_GB2312"/>
                <w:sz w:val="24"/>
              </w:rPr>
              <w:t>4)是否邀请服务对象：是</w:t>
            </w:r>
          </w:p>
          <w:p>
            <w:pPr>
              <w:pStyle w:val="null3"/>
              <w:ind w:firstLine="480"/>
              <w:jc w:val="both"/>
            </w:pPr>
            <w:r>
              <w:rPr>
                <w:rFonts w:ascii="仿宋_GB2312" w:hAnsi="仿宋_GB2312" w:cs="仿宋_GB2312" w:eastAsia="仿宋_GB2312"/>
                <w:sz w:val="24"/>
              </w:rPr>
              <w:t>5)是否邀请第三</w:t>
            </w:r>
            <w:r>
              <w:rPr>
                <w:rFonts w:ascii="仿宋_GB2312" w:hAnsi="仿宋_GB2312" w:cs="仿宋_GB2312" w:eastAsia="仿宋_GB2312"/>
                <w:sz w:val="24"/>
              </w:rPr>
              <w:t>方检测机构：否</w:t>
            </w:r>
          </w:p>
          <w:p>
            <w:pPr>
              <w:pStyle w:val="null3"/>
              <w:ind w:firstLine="464"/>
              <w:jc w:val="both"/>
            </w:pPr>
            <w:r>
              <w:rPr>
                <w:rFonts w:ascii="仿宋_GB2312" w:hAnsi="仿宋_GB2312" w:cs="仿宋_GB2312" w:eastAsia="仿宋_GB2312"/>
                <w:sz w:val="24"/>
              </w:rPr>
              <w:t>6)履约验收程序</w:t>
            </w:r>
            <w:r>
              <w:rPr>
                <w:rFonts w:ascii="仿宋_GB2312" w:hAnsi="仿宋_GB2312" w:cs="仿宋_GB2312" w:eastAsia="仿宋_GB2312"/>
                <w:sz w:val="24"/>
              </w:rPr>
              <w:t>：</w:t>
            </w:r>
            <w:r>
              <w:rPr>
                <w:rFonts w:ascii="仿宋_GB2312" w:hAnsi="仿宋_GB2312" w:cs="仿宋_GB2312" w:eastAsia="仿宋_GB2312"/>
                <w:sz w:val="24"/>
              </w:rPr>
              <w:t>一次性验收</w:t>
            </w:r>
          </w:p>
          <w:p>
            <w:pPr>
              <w:pStyle w:val="null3"/>
              <w:ind w:firstLine="468"/>
              <w:jc w:val="both"/>
            </w:pPr>
            <w:r>
              <w:rPr>
                <w:rFonts w:ascii="仿宋_GB2312" w:hAnsi="仿宋_GB2312" w:cs="仿宋_GB2312" w:eastAsia="仿宋_GB2312"/>
                <w:sz w:val="24"/>
              </w:rPr>
              <w:t>7)履</w:t>
            </w:r>
            <w:r>
              <w:rPr>
                <w:rFonts w:ascii="仿宋_GB2312" w:hAnsi="仿宋_GB2312" w:cs="仿宋_GB2312" w:eastAsia="仿宋_GB2312"/>
                <w:sz w:val="24"/>
              </w:rPr>
              <w:t>约验收时间：</w:t>
            </w:r>
            <w:r>
              <w:rPr>
                <w:rFonts w:ascii="仿宋_GB2312" w:hAnsi="仿宋_GB2312" w:cs="仿宋_GB2312" w:eastAsia="仿宋_GB2312"/>
                <w:sz w:val="24"/>
              </w:rPr>
              <w:t>供应商提出验收之日起</w:t>
            </w:r>
            <w:r>
              <w:rPr>
                <w:rFonts w:ascii="仿宋_GB2312" w:hAnsi="仿宋_GB2312" w:cs="仿宋_GB2312" w:eastAsia="仿宋_GB2312"/>
                <w:sz w:val="24"/>
              </w:rPr>
              <w:t>15日内</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8)验</w:t>
            </w:r>
            <w:r>
              <w:rPr>
                <w:rFonts w:ascii="仿宋_GB2312" w:hAnsi="仿宋_GB2312" w:cs="仿宋_GB2312" w:eastAsia="仿宋_GB2312"/>
                <w:sz w:val="24"/>
              </w:rPr>
              <w:t>收组织的其他事项：无</w:t>
            </w:r>
          </w:p>
          <w:p>
            <w:pPr>
              <w:pStyle w:val="null3"/>
              <w:ind w:firstLine="472"/>
              <w:jc w:val="both"/>
            </w:pPr>
            <w:r>
              <w:rPr>
                <w:rFonts w:ascii="仿宋_GB2312" w:hAnsi="仿宋_GB2312" w:cs="仿宋_GB2312" w:eastAsia="仿宋_GB2312"/>
                <w:sz w:val="24"/>
              </w:rPr>
              <w:t>9)技术履约验收内容：</w:t>
            </w:r>
            <w:r>
              <w:rPr>
                <w:rFonts w:ascii="仿宋_GB2312" w:hAnsi="仿宋_GB2312" w:cs="仿宋_GB2312" w:eastAsia="仿宋_GB2312"/>
                <w:sz w:val="24"/>
              </w:rPr>
              <w:t>服务要求</w:t>
            </w:r>
            <w:r>
              <w:rPr>
                <w:rFonts w:ascii="仿宋_GB2312" w:hAnsi="仿宋_GB2312" w:cs="仿宋_GB2312" w:eastAsia="仿宋_GB2312"/>
                <w:sz w:val="24"/>
              </w:rPr>
              <w:t>、履约要求是否满足，是否符合国家相关管理要求等；按国家有关规定、</w:t>
            </w:r>
            <w:r>
              <w:rPr>
                <w:rFonts w:ascii="仿宋_GB2312" w:hAnsi="仿宋_GB2312" w:cs="仿宋_GB2312" w:eastAsia="仿宋_GB2312"/>
                <w:sz w:val="24"/>
              </w:rPr>
              <w:t>磋商</w:t>
            </w:r>
            <w:r>
              <w:rPr>
                <w:rFonts w:ascii="仿宋_GB2312" w:hAnsi="仿宋_GB2312" w:cs="仿宋_GB2312" w:eastAsia="仿宋_GB2312"/>
                <w:sz w:val="24"/>
              </w:rPr>
              <w:t>文件的质量要求和技术指标、供应商的响应文件及承诺、本合同约定标准进行验收。其他严格按照《财政部关于进一步加强政府采购需求和履约验收管理的指导意见》（财库（</w:t>
            </w:r>
            <w:r>
              <w:rPr>
                <w:rFonts w:ascii="仿宋_GB2312" w:hAnsi="仿宋_GB2312" w:cs="仿宋_GB2312" w:eastAsia="仿宋_GB2312"/>
                <w:sz w:val="24"/>
              </w:rPr>
              <w:t>2016）205号）的要求进行验收。</w:t>
            </w:r>
          </w:p>
          <w:p>
            <w:pPr>
              <w:pStyle w:val="null3"/>
              <w:ind w:firstLine="480"/>
              <w:jc w:val="both"/>
            </w:pPr>
            <w:r>
              <w:rPr>
                <w:rFonts w:ascii="仿宋_GB2312" w:hAnsi="仿宋_GB2312" w:cs="仿宋_GB2312" w:eastAsia="仿宋_GB2312"/>
                <w:sz w:val="24"/>
              </w:rPr>
              <w:t>10)</w:t>
            </w:r>
            <w:r>
              <w:rPr>
                <w:rFonts w:ascii="仿宋_GB2312" w:hAnsi="仿宋_GB2312" w:cs="仿宋_GB2312" w:eastAsia="仿宋_GB2312"/>
                <w:sz w:val="24"/>
              </w:rPr>
              <w:t>商务履约验收内容</w:t>
            </w:r>
            <w:r>
              <w:rPr>
                <w:rFonts w:ascii="仿宋_GB2312" w:hAnsi="仿宋_GB2312" w:cs="仿宋_GB2312" w:eastAsia="仿宋_GB2312"/>
                <w:sz w:val="24"/>
              </w:rPr>
              <w:t>：</w:t>
            </w:r>
            <w:r>
              <w:rPr>
                <w:rFonts w:ascii="仿宋_GB2312" w:hAnsi="仿宋_GB2312" w:cs="仿宋_GB2312" w:eastAsia="仿宋_GB2312"/>
                <w:sz w:val="24"/>
              </w:rPr>
              <w:t>服务期限</w:t>
            </w:r>
            <w:r>
              <w:rPr>
                <w:rFonts w:ascii="仿宋_GB2312" w:hAnsi="仿宋_GB2312" w:cs="仿宋_GB2312" w:eastAsia="仿宋_GB2312"/>
                <w:sz w:val="24"/>
              </w:rPr>
              <w:t>、付款方式等；按国家有关规定、</w:t>
            </w:r>
            <w:r>
              <w:rPr>
                <w:rFonts w:ascii="仿宋_GB2312" w:hAnsi="仿宋_GB2312" w:cs="仿宋_GB2312" w:eastAsia="仿宋_GB2312"/>
                <w:sz w:val="24"/>
              </w:rPr>
              <w:t>磋商</w:t>
            </w:r>
            <w:r>
              <w:rPr>
                <w:rFonts w:ascii="仿宋_GB2312" w:hAnsi="仿宋_GB2312" w:cs="仿宋_GB2312" w:eastAsia="仿宋_GB2312"/>
                <w:sz w:val="24"/>
              </w:rPr>
              <w:t>文件的质量要求和技术指标、供应商的响应文件及承诺、本合同约定标准进行验收。其他严格按照《财政部关于进一步加强政府采购需求和履约验收管理的指导意见》（财库（</w:t>
            </w:r>
            <w:r>
              <w:rPr>
                <w:rFonts w:ascii="仿宋_GB2312" w:hAnsi="仿宋_GB2312" w:cs="仿宋_GB2312" w:eastAsia="仿宋_GB2312"/>
                <w:sz w:val="24"/>
              </w:rPr>
              <w:t>2016）205号）的要求进行验收。</w:t>
            </w:r>
          </w:p>
          <w:p>
            <w:pPr>
              <w:pStyle w:val="null3"/>
              <w:ind w:firstLine="480"/>
              <w:jc w:val="both"/>
            </w:pPr>
            <w:r>
              <w:rPr>
                <w:rFonts w:ascii="仿宋_GB2312" w:hAnsi="仿宋_GB2312" w:cs="仿宋_GB2312" w:eastAsia="仿宋_GB2312"/>
                <w:sz w:val="24"/>
              </w:rPr>
              <w:t>11)履约验收标准：按国家有关规定、</w:t>
            </w:r>
            <w:r>
              <w:rPr>
                <w:rFonts w:ascii="仿宋_GB2312" w:hAnsi="仿宋_GB2312" w:cs="仿宋_GB2312" w:eastAsia="仿宋_GB2312"/>
                <w:sz w:val="24"/>
              </w:rPr>
              <w:t>采购文件</w:t>
            </w:r>
            <w:r>
              <w:rPr>
                <w:rFonts w:ascii="仿宋_GB2312" w:hAnsi="仿宋_GB2312" w:cs="仿宋_GB2312" w:eastAsia="仿宋_GB2312"/>
                <w:sz w:val="24"/>
              </w:rPr>
              <w:t>的</w:t>
            </w:r>
            <w:r>
              <w:rPr>
                <w:rFonts w:ascii="仿宋_GB2312" w:hAnsi="仿宋_GB2312" w:cs="仿宋_GB2312" w:eastAsia="仿宋_GB2312"/>
                <w:sz w:val="24"/>
              </w:rPr>
              <w:t>服务</w:t>
            </w:r>
            <w:r>
              <w:rPr>
                <w:rFonts w:ascii="仿宋_GB2312" w:hAnsi="仿宋_GB2312" w:cs="仿宋_GB2312" w:eastAsia="仿宋_GB2312"/>
                <w:sz w:val="24"/>
              </w:rPr>
              <w:t>要求和技术</w:t>
            </w:r>
            <w:r>
              <w:rPr>
                <w:rFonts w:ascii="仿宋_GB2312" w:hAnsi="仿宋_GB2312" w:cs="仿宋_GB2312" w:eastAsia="仿宋_GB2312"/>
                <w:sz w:val="24"/>
              </w:rPr>
              <w:t>要求</w:t>
            </w:r>
            <w:r>
              <w:rPr>
                <w:rFonts w:ascii="仿宋_GB2312" w:hAnsi="仿宋_GB2312" w:cs="仿宋_GB2312" w:eastAsia="仿宋_GB2312"/>
                <w:sz w:val="24"/>
              </w:rPr>
              <w:t>、供应商的</w:t>
            </w:r>
            <w:r>
              <w:rPr>
                <w:rFonts w:ascii="仿宋_GB2312" w:hAnsi="仿宋_GB2312" w:cs="仿宋_GB2312" w:eastAsia="仿宋_GB2312"/>
                <w:sz w:val="24"/>
              </w:rPr>
              <w:t>响应文件</w:t>
            </w:r>
            <w:r>
              <w:rPr>
                <w:rFonts w:ascii="仿宋_GB2312" w:hAnsi="仿宋_GB2312" w:cs="仿宋_GB2312" w:eastAsia="仿宋_GB2312"/>
                <w:sz w:val="24"/>
              </w:rPr>
              <w:t>及承</w:t>
            </w:r>
            <w:r>
              <w:rPr>
                <w:rFonts w:ascii="仿宋_GB2312" w:hAnsi="仿宋_GB2312" w:cs="仿宋_GB2312" w:eastAsia="仿宋_GB2312"/>
                <w:sz w:val="24"/>
              </w:rPr>
              <w:t>诺、本合同约定标准进行验收。其他严格按照《财政部关于进一步加强政府采购需求和履约验收管理的指导意见》（财库（</w:t>
            </w:r>
            <w:r>
              <w:rPr>
                <w:rFonts w:ascii="仿宋_GB2312" w:hAnsi="仿宋_GB2312" w:cs="仿宋_GB2312" w:eastAsia="仿宋_GB2312"/>
                <w:sz w:val="24"/>
              </w:rPr>
              <w:t>2016）205号）的要求进行验收。</w:t>
            </w:r>
          </w:p>
          <w:p>
            <w:pPr>
              <w:pStyle w:val="null3"/>
              <w:ind w:firstLine="480"/>
              <w:jc w:val="both"/>
            </w:pPr>
            <w:r>
              <w:rPr>
                <w:rFonts w:ascii="仿宋_GB2312" w:hAnsi="仿宋_GB2312" w:cs="仿宋_GB2312" w:eastAsia="仿宋_GB2312"/>
                <w:sz w:val="24"/>
              </w:rPr>
              <w:t>12)履约验收其他事项：</w:t>
            </w:r>
            <w:r>
              <w:rPr>
                <w:rFonts w:ascii="仿宋_GB2312" w:hAnsi="仿宋_GB2312" w:cs="仿宋_GB2312" w:eastAsia="仿宋_GB2312"/>
                <w:sz w:val="24"/>
              </w:rPr>
              <w:t>验收的主体为</w:t>
            </w:r>
            <w:r>
              <w:rPr>
                <w:rFonts w:ascii="仿宋_GB2312" w:hAnsi="仿宋_GB2312" w:cs="仿宋_GB2312" w:eastAsia="仿宋_GB2312"/>
                <w:sz w:val="24"/>
              </w:rPr>
              <w:t>采购人。</w:t>
            </w:r>
          </w:p>
          <w:p>
            <w:pPr>
              <w:pStyle w:val="null3"/>
              <w:ind w:firstLine="480"/>
              <w:jc w:val="both"/>
            </w:pPr>
            <w:r>
              <w:rPr>
                <w:rFonts w:ascii="仿宋_GB2312" w:hAnsi="仿宋_GB2312" w:cs="仿宋_GB2312" w:eastAsia="仿宋_GB2312"/>
                <w:sz w:val="24"/>
              </w:rPr>
              <w:t>注：因系统固化原因，本项目“商务要求”以此为准。</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合同签订之日起365天</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采购人按照《政府采购需求管理办法》(财库(2021)22号)、《财政部关于进一步加强政府采购需求和履约验收管理的指导意见》财库〔2016〕205号文件执行，验收内容包含采购文件中的所有技术和商务要求的履约情况。</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1、签订合同后由供应商提供合法有效完整的完税发票，采购人收到相关资料后10个工作日内支付合同金额的30%，达到付款条件起10日内，据实结算说明为预付款</w:t>
            </w:r>
          </w:p>
          <w:p>
            <w:pPr>
              <w:pStyle w:val="null3"/>
              <w:jc w:val="left"/>
            </w:pPr>
            <w:r>
              <w:rPr>
                <w:rFonts w:ascii="仿宋_GB2312" w:hAnsi="仿宋_GB2312" w:cs="仿宋_GB2312" w:eastAsia="仿宋_GB2312"/>
              </w:rPr>
              <w:t>2、服务期满半年后10个工作日内支付合同金额的30%，达到付款条件起10日内，据实结算说明为进度款</w:t>
            </w:r>
          </w:p>
          <w:p>
            <w:pPr>
              <w:pStyle w:val="null3"/>
              <w:jc w:val="left"/>
            </w:pPr>
            <w:r>
              <w:rPr>
                <w:rFonts w:ascii="仿宋_GB2312" w:hAnsi="仿宋_GB2312" w:cs="仿宋_GB2312" w:eastAsia="仿宋_GB2312"/>
              </w:rPr>
              <w:t>3、服务期满并通过履约验收后据实结算合同服务金额，达到付款条件起10日内，据实结算说明为据实结算尾款</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乙双方必须遵守本合同并执行合同中的各项规定，保证本合同的正常履行。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解决合同纠纷的方式：1.在执行合同中发生的或与本合同有关的争端，双方应通过友好协商解决，经协商在30天内不能达成协议时，提交甲方所在地人民法院裁决。2.除另有裁决外，诉讼费应由败诉方负担。3.在诉讼期间，除正在进行诉讼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1.供应商具备类似业绩并提供相关证明材料。 2.供应商具备相关的技术人员。 3.供应商根据项目情况提供安全技术咨询方案，方案包含：①技术咨询工作重难点分析；②工作程序及内容；③预期效果。 4.供应商根据项目情况提供安全教育培训方案，方案包含：①培训需求分析；②培训方式和对象；③培训讲师资质及培训内容；④培训课件针对性及预期效果；⑤回访调查的工作程序及内容。 5.供应商根据项目情况提供企业安全巡查方案，方案包含：①项目基本情况；②企业安全巡查重难点分析；③巡查人员安排及分工；④工作程序及巡查内容；⑤巡查成果提交；⑥巡查中突发事件处置方案。 6.供应商根据项目情况提供项目管理方案，方案包含：①内部管控制度；②质量保障措施；③进度安排；④突发事件处置方案。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4"/>
        </w:rPr>
        <w:t>（一）磋商文件：“第三章技术、服务及其他要求 3.2.技术要求 一、服务内容（实质性要求）”。</w:t>
      </w:r>
      <w:r>
        <w:br/>
      </w:r>
      <w:r>
        <w:rPr>
          <w:rFonts w:ascii="仿宋_GB2312" w:hAnsi="仿宋_GB2312" w:cs="仿宋_GB2312" w:eastAsia="仿宋_GB2312"/>
          <w:sz w:val="24"/>
        </w:rPr>
        <w:t xml:space="preserve"> （二）磋商文件：“第三章技术、服务及其他要求 3.2.技术要求 二、商务要求（实质性要求）”。</w:t>
      </w:r>
    </w:p>
    <w:p>
      <w:pPr>
        <w:pStyle w:val="null3"/>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合同文件均为可实质性变动的内容。</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1.投标人需在使用投标(响应)客户端编制投标文件时，按要求填写《投标（响应）函》完成承诺并进行电子签章。 2.①投标人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文件”；⑤分公司投标须获得具有法人资格的总公司承担本项目投标产生的一切法律责任及风险的声明或授权。</w:t>
            </w:r>
          </w:p>
        </w:tc>
        <w:tc>
          <w:tcPr>
            <w:tcW w:type="dxa" w:w="1661"/>
          </w:tcPr>
          <w:p>
            <w:pPr>
              <w:pStyle w:val="null3"/>
              <w:jc w:val="left"/>
            </w:pPr>
            <w:r>
              <w:rPr>
                <w:rFonts w:ascii="仿宋_GB2312" w:hAnsi="仿宋_GB2312" w:cs="仿宋_GB2312" w:eastAsia="仿宋_GB2312"/>
              </w:rPr>
              <w:t>响应文件封面,投标（响应）函,营业执照.docx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采购文件明确要求在响应时提供证明资料或承诺函的实质性要求。</w:t>
            </w:r>
          </w:p>
        </w:tc>
        <w:tc>
          <w:tcPr>
            <w:tcW w:type="dxa" w:w="3322"/>
          </w:tcPr>
          <w:p>
            <w:pPr>
              <w:pStyle w:val="null3"/>
              <w:jc w:val="left"/>
            </w:pPr>
            <w:r>
              <w:rPr>
                <w:rFonts w:ascii="仿宋_GB2312" w:hAnsi="仿宋_GB2312" w:cs="仿宋_GB2312" w:eastAsia="仿宋_GB2312"/>
              </w:rPr>
              <w:t>提供证明材料或承诺函原件</w:t>
            </w:r>
          </w:p>
        </w:tc>
        <w:tc>
          <w:tcPr>
            <w:tcW w:type="dxa" w:w="1661"/>
          </w:tcPr>
          <w:p>
            <w:pPr>
              <w:pStyle w:val="null3"/>
              <w:jc w:val="left"/>
            </w:pPr>
            <w:r>
              <w:rPr>
                <w:rFonts w:ascii="仿宋_GB2312" w:hAnsi="仿宋_GB2312" w:cs="仿宋_GB2312" w:eastAsia="仿宋_GB2312"/>
              </w:rPr>
              <w:t>供应商认为需要提供的其他证明材料.docx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针对采购文件第三章实质性要求响应的要求</w:t>
            </w:r>
          </w:p>
        </w:tc>
        <w:tc>
          <w:tcPr>
            <w:tcW w:type="dxa" w:w="3322"/>
          </w:tcPr>
          <w:p>
            <w:pPr>
              <w:pStyle w:val="null3"/>
              <w:jc w:val="left"/>
            </w:pPr>
            <w:r>
              <w:rPr>
                <w:rFonts w:ascii="仿宋_GB2312" w:hAnsi="仿宋_GB2312" w:cs="仿宋_GB2312" w:eastAsia="仿宋_GB2312"/>
              </w:rPr>
              <w:t>1.供应商针对采购文件第三章 “3.2.技术要求 采购包1： 一、服务内容（实质性要求）”提供“技术/服务要求应答表”。 2.供应商针对采购文件第三章“3.2.技术要求 采购包1： 二、商务要求（实质性要求）”提供商务应答表。</w:t>
            </w:r>
          </w:p>
        </w:tc>
        <w:tc>
          <w:tcPr>
            <w:tcW w:type="dxa" w:w="1661"/>
          </w:tcPr>
          <w:p>
            <w:pPr>
              <w:pStyle w:val="null3"/>
              <w:jc w:val="left"/>
            </w:pPr>
            <w:r>
              <w:rPr>
                <w:rFonts w:ascii="仿宋_GB2312" w:hAnsi="仿宋_GB2312" w:cs="仿宋_GB2312" w:eastAsia="仿宋_GB2312"/>
              </w:rPr>
              <w:t>技术服务要求应答表-上传.docx,商务应答表-上传.docx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采购文件中明确标明“实质性要求”或“★”标注内容。除明确要求在响应时提供证明资料或承诺函外，在评审时，仅对响应文件是否违背实质性要求进行评判。</w:t>
            </w:r>
          </w:p>
        </w:tc>
        <w:tc>
          <w:tcPr>
            <w:tcW w:type="dxa" w:w="1661"/>
          </w:tcPr>
          <w:p>
            <w:pPr>
              <w:pStyle w:val="null3"/>
              <w:jc w:val="left"/>
            </w:pPr>
            <w:r>
              <w:rPr>
                <w:rFonts w:ascii="仿宋_GB2312" w:hAnsi="仿宋_GB2312" w:cs="仿宋_GB2312" w:eastAsia="仿宋_GB2312"/>
              </w:rPr>
              <w:t>供应商认为需要提供的其他证明材料.docx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技术人员配置</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安全技术咨询方案</w:t>
            </w:r>
          </w:p>
        </w:tc>
        <w:tc>
          <w:tcPr>
            <w:tcW w:type="dxa" w:w="2575"/>
          </w:tcPr>
          <w:p>
            <w:pPr>
              <w:pStyle w:val="null3"/>
              <w:jc w:val="left"/>
            </w:pPr>
            <w:r>
              <w:rPr>
                <w:rFonts w:ascii="仿宋_GB2312" w:hAnsi="仿宋_GB2312" w:cs="仿宋_GB2312" w:eastAsia="仿宋_GB2312"/>
              </w:rPr>
              <w:t>根据供应商提供的安全技术咨询方案进行评分，包括：①技术咨询工作重难点分析；②工作程序及内容；③预期效果。每具有一项得4分，最多得12分。在此基础上，方案中存在缺陷或不足，不利于项目实施的，每有一处扣2分；不提供不得分。 注：缺陷是指内容与实际情况不匹配、凭空编造、存在逻辑漏洞、科学原理错误、不可能实现的夸大情形以及涉及的规范标准与本项目要求不一致、内容简略、内容与本项目无关等任意一种情形。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安全技术咨询方案.docx</w:t>
            </w:r>
          </w:p>
        </w:tc>
      </w:tr>
      <w:tr>
        <w:tc>
          <w:tcPr>
            <w:tcW w:type="dxa" w:w="831"/>
            <w:vMerge/>
          </w:tcPr>
          <w:p/>
        </w:tc>
        <w:tc>
          <w:tcPr>
            <w:tcW w:type="dxa" w:w="1661"/>
          </w:tcPr>
          <w:p>
            <w:pPr>
              <w:pStyle w:val="null3"/>
              <w:jc w:val="left"/>
            </w:pPr>
            <w:r>
              <w:rPr>
                <w:rFonts w:ascii="仿宋_GB2312" w:hAnsi="仿宋_GB2312" w:cs="仿宋_GB2312" w:eastAsia="仿宋_GB2312"/>
              </w:rPr>
              <w:t>安全教育培训方案</w:t>
            </w:r>
          </w:p>
        </w:tc>
        <w:tc>
          <w:tcPr>
            <w:tcW w:type="dxa" w:w="2575"/>
          </w:tcPr>
          <w:p>
            <w:pPr>
              <w:pStyle w:val="null3"/>
              <w:jc w:val="left"/>
            </w:pPr>
            <w:r>
              <w:rPr>
                <w:rFonts w:ascii="仿宋_GB2312" w:hAnsi="仿宋_GB2312" w:cs="仿宋_GB2312" w:eastAsia="仿宋_GB2312"/>
              </w:rPr>
              <w:t>根据供应商提供的安全教育培训方案进行评分，包括：①培训需求分析；②培训方式和对象；③培训讲师资质及培训内容；④培训课件针对性及预期效果；⑤回访调查的工作程序及内容。每具有一项得2分，最多得10分。在此基础上，方案中存在缺陷或不足，不利于项目实施的，每有一处扣1分；不提供不得分。 注：缺陷是指内容与实际情况不匹配、凭空编造、存在逻辑漏洞、科学原理错误、不可能实现的夸大情形以及涉及的规范标准与本项目要求不一致、内容简略、内容与本项目无关等任意一种情形。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安全教育培训方案.docx</w:t>
            </w:r>
          </w:p>
        </w:tc>
      </w:tr>
      <w:tr>
        <w:tc>
          <w:tcPr>
            <w:tcW w:type="dxa" w:w="831"/>
            <w:vMerge/>
          </w:tcPr>
          <w:p/>
        </w:tc>
        <w:tc>
          <w:tcPr>
            <w:tcW w:type="dxa" w:w="1661"/>
          </w:tcPr>
          <w:p>
            <w:pPr>
              <w:pStyle w:val="null3"/>
              <w:jc w:val="left"/>
            </w:pPr>
            <w:r>
              <w:rPr>
                <w:rFonts w:ascii="仿宋_GB2312" w:hAnsi="仿宋_GB2312" w:cs="仿宋_GB2312" w:eastAsia="仿宋_GB2312"/>
              </w:rPr>
              <w:t>企业安全巡查方案</w:t>
            </w:r>
          </w:p>
        </w:tc>
        <w:tc>
          <w:tcPr>
            <w:tcW w:type="dxa" w:w="2575"/>
          </w:tcPr>
          <w:p>
            <w:pPr>
              <w:pStyle w:val="null3"/>
              <w:jc w:val="left"/>
            </w:pPr>
            <w:r>
              <w:rPr>
                <w:rFonts w:ascii="仿宋_GB2312" w:hAnsi="仿宋_GB2312" w:cs="仿宋_GB2312" w:eastAsia="仿宋_GB2312"/>
              </w:rPr>
              <w:t>根据供应商提供的企业安全巡查方案进行评分，包括：①项目基本情况；②企业安全巡查重难点分析；③巡查人员安排及分工；④工作程序及巡查内容；⑤巡查成果提交；⑥巡查中突发事件处置方案。每具有一项得4分，最多得24分。在此基础上，方案中存在缺陷或不足，不利于项目实施的，每有一处扣2分；不提供不得分。 注：缺陷是指内容与实际情况不匹配、凭空编造、存在逻辑漏洞、科学原理错误、不可能实现的夸大情形以及涉及的规范标准与本项目要求不一致、内容简略、内容与本项目无关等任意一种情形。</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企业安全巡查方案.docx</w:t>
            </w:r>
          </w:p>
        </w:tc>
      </w:tr>
      <w:tr>
        <w:tc>
          <w:tcPr>
            <w:tcW w:type="dxa" w:w="831"/>
            <w:vMerge/>
          </w:tcPr>
          <w:p/>
        </w:tc>
        <w:tc>
          <w:tcPr>
            <w:tcW w:type="dxa" w:w="1661"/>
          </w:tcPr>
          <w:p>
            <w:pPr>
              <w:pStyle w:val="null3"/>
              <w:jc w:val="left"/>
            </w:pPr>
            <w:r>
              <w:rPr>
                <w:rFonts w:ascii="仿宋_GB2312" w:hAnsi="仿宋_GB2312" w:cs="仿宋_GB2312" w:eastAsia="仿宋_GB2312"/>
              </w:rPr>
              <w:t>项目管理方案</w:t>
            </w:r>
          </w:p>
        </w:tc>
        <w:tc>
          <w:tcPr>
            <w:tcW w:type="dxa" w:w="2575"/>
          </w:tcPr>
          <w:p>
            <w:pPr>
              <w:pStyle w:val="null3"/>
              <w:jc w:val="left"/>
            </w:pPr>
            <w:r>
              <w:rPr>
                <w:rFonts w:ascii="仿宋_GB2312" w:hAnsi="仿宋_GB2312" w:cs="仿宋_GB2312" w:eastAsia="仿宋_GB2312"/>
              </w:rPr>
              <w:t>根据供应商提供的项目管理方案进行评分，包括：①内部管控制度；②质量保障措施；③进度安排；④突发事件处置方案。每具有一项得3分，最多得12分。在此基础上，方案中存在缺陷或不足，不利于项目实施的，每有一处扣1.5分；不提供不得分。 注：缺陷是指内容与实际情况不匹配、凭空编造、存在逻辑漏洞、科学原理错误、不可能实现的夸大情形以及涉及的规范标准与本项目要求不一致、内容简略、内容与本项目无关等任意一种情形。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项目管理方案.docx</w:t>
            </w:r>
          </w:p>
        </w:tc>
      </w:tr>
      <w:tr>
        <w:tc>
          <w:tcPr>
            <w:tcW w:type="dxa" w:w="831"/>
            <w:vMerge/>
          </w:tcPr>
          <w:p/>
        </w:tc>
        <w:tc>
          <w:tcPr>
            <w:tcW w:type="dxa" w:w="1661"/>
          </w:tcPr>
          <w:p>
            <w:pPr>
              <w:pStyle w:val="null3"/>
              <w:jc w:val="left"/>
            </w:pPr>
            <w:r>
              <w:rPr>
                <w:rFonts w:ascii="仿宋_GB2312" w:hAnsi="仿宋_GB2312" w:cs="仿宋_GB2312" w:eastAsia="仿宋_GB2312"/>
              </w:rPr>
              <w:t>技术人员配置</w:t>
            </w:r>
          </w:p>
        </w:tc>
        <w:tc>
          <w:tcPr>
            <w:tcW w:type="dxa" w:w="2575"/>
          </w:tcPr>
          <w:p>
            <w:pPr>
              <w:pStyle w:val="null3"/>
              <w:jc w:val="left"/>
            </w:pPr>
            <w:r>
              <w:rPr>
                <w:rFonts w:ascii="仿宋_GB2312" w:hAnsi="仿宋_GB2312" w:cs="仿宋_GB2312" w:eastAsia="仿宋_GB2312"/>
              </w:rPr>
              <w:t>1.项目负责人（1人）：具有中级技术职称证书得1.5分；具有高级技术职称证书得3分，本项最多得3分。 2.技术负责人（1人）：具有中级技术职称证书得1.5分；具有高级技术职称证书得3分，本项最多得3分。 3.其他人员：每有1人具有注册安全工程师证书得1分，本项最多得4分。 注：①以上人员不得重复计分；②提供证书复印件；③提供人员在职证明材料。</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技术人员配置.docx</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自2023年1月1日以来，供应商每具有一个类似业绩的得1分，最多得2分。 注：①需提供业绩合同复印件并加盖供应商公章；②时间以合同签订时间为准。</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业绩.docx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详见附件：供应商认为需要提供的其他证明材料.docx</w:t>
      </w:r>
    </w:p>
    <w:p>
      <w:pPr>
        <w:pStyle w:val="null3"/>
        <w:ind w:firstLine="960"/>
        <w:jc w:val="left"/>
      </w:pPr>
      <w:r>
        <w:rPr>
          <w:rFonts w:ascii="仿宋_GB2312" w:hAnsi="仿宋_GB2312" w:cs="仿宋_GB2312" w:eastAsia="仿宋_GB2312"/>
        </w:rPr>
        <w:t>详见附件：技术服务要求应答表-上传.docx</w:t>
      </w:r>
    </w:p>
    <w:p>
      <w:pPr>
        <w:pStyle w:val="null3"/>
        <w:ind w:firstLine="960"/>
        <w:jc w:val="left"/>
      </w:pPr>
      <w:r>
        <w:rPr>
          <w:rFonts w:ascii="仿宋_GB2312" w:hAnsi="仿宋_GB2312" w:cs="仿宋_GB2312" w:eastAsia="仿宋_GB2312"/>
        </w:rPr>
        <w:t>详见附件：技术人员配置.docx</w:t>
      </w:r>
    </w:p>
    <w:p>
      <w:pPr>
        <w:pStyle w:val="null3"/>
        <w:ind w:firstLine="960"/>
        <w:jc w:val="left"/>
      </w:pPr>
      <w:r>
        <w:rPr>
          <w:rFonts w:ascii="仿宋_GB2312" w:hAnsi="仿宋_GB2312" w:cs="仿宋_GB2312" w:eastAsia="仿宋_GB2312"/>
        </w:rPr>
        <w:t>详见附件：商务应答表-上传.docx</w:t>
      </w:r>
    </w:p>
    <w:p>
      <w:pPr>
        <w:pStyle w:val="null3"/>
        <w:ind w:firstLine="960"/>
        <w:jc w:val="left"/>
      </w:pPr>
      <w:r>
        <w:rPr>
          <w:rFonts w:ascii="仿宋_GB2312" w:hAnsi="仿宋_GB2312" w:cs="仿宋_GB2312" w:eastAsia="仿宋_GB2312"/>
        </w:rPr>
        <w:t>详见附件：业绩.docx</w:t>
      </w:r>
    </w:p>
    <w:p>
      <w:pPr>
        <w:pStyle w:val="null3"/>
        <w:ind w:firstLine="960"/>
        <w:jc w:val="left"/>
      </w:pPr>
      <w:r>
        <w:rPr>
          <w:rFonts w:ascii="仿宋_GB2312" w:hAnsi="仿宋_GB2312" w:cs="仿宋_GB2312" w:eastAsia="仿宋_GB2312"/>
        </w:rPr>
        <w:t>详见附件：营业执照.docx</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详见附件：安全技术咨询方案.docx</w:t>
      </w:r>
    </w:p>
    <w:p>
      <w:pPr>
        <w:pStyle w:val="null3"/>
        <w:ind w:firstLine="960"/>
        <w:jc w:val="left"/>
      </w:pPr>
      <w:r>
        <w:rPr>
          <w:rFonts w:ascii="仿宋_GB2312" w:hAnsi="仿宋_GB2312" w:cs="仿宋_GB2312" w:eastAsia="仿宋_GB2312"/>
        </w:rPr>
        <w:t>详见附件：安全教育培训方案.docx</w:t>
      </w:r>
    </w:p>
    <w:p>
      <w:pPr>
        <w:pStyle w:val="null3"/>
        <w:ind w:firstLine="960"/>
        <w:jc w:val="left"/>
      </w:pPr>
      <w:r>
        <w:rPr>
          <w:rFonts w:ascii="仿宋_GB2312" w:hAnsi="仿宋_GB2312" w:cs="仿宋_GB2312" w:eastAsia="仿宋_GB2312"/>
        </w:rPr>
        <w:t>详见附件：企业安全巡查方案.docx</w:t>
      </w:r>
    </w:p>
    <w:p>
      <w:pPr>
        <w:pStyle w:val="null3"/>
        <w:ind w:firstLine="960"/>
        <w:jc w:val="left"/>
      </w:pPr>
      <w:r>
        <w:rPr>
          <w:rFonts w:ascii="仿宋_GB2312" w:hAnsi="仿宋_GB2312" w:cs="仿宋_GB2312" w:eastAsia="仿宋_GB2312"/>
        </w:rPr>
        <w:t>详见附件：项目管理方案.docx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