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版本号：N513330202600004820260506001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2026年化肥减量化肥料采购项目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N5133302026000048</w:t>
      </w:r>
    </w:p>
    <w:p>
      <w:pPr>
        <w:pStyle w:val="null3"/>
        <w:jc w:val="left"/>
        <w:outlineLvl w:val="2"/>
      </w:pPr>
      <w:r>
        <w:rPr>
          <w:rFonts w:ascii="仿宋_GB2312" w:hAnsi="仿宋_GB2312" w:cs="仿宋_GB2312" w:eastAsia="仿宋_GB2312"/>
          <w:sz w:val="28"/>
          <w:b/>
        </w:rPr>
        <w:t>德格县农牧农村和科技局</w:t>
      </w:r>
    </w:p>
    <w:p>
      <w:pPr>
        <w:pStyle w:val="null3"/>
        <w:jc w:val="center"/>
        <w:outlineLvl w:val="2"/>
      </w:pPr>
      <w:r>
        <w:rPr>
          <w:rFonts w:ascii="仿宋_GB2312" w:hAnsi="仿宋_GB2312" w:cs="仿宋_GB2312" w:eastAsia="仿宋_GB2312"/>
          <w:sz w:val="28"/>
          <w:b/>
        </w:rPr>
        <w:t>四川柏扬诚屹招标代理有限公司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四川柏扬诚屹招标代理有限公司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德格县农牧农村和科技局</w:t>
      </w:r>
      <w:r>
        <w:rPr>
          <w:rFonts w:ascii="仿宋_GB2312" w:hAnsi="仿宋_GB2312" w:cs="仿宋_GB2312" w:eastAsia="仿宋_GB2312"/>
        </w:rPr>
        <w:t xml:space="preserve"> 委托，拟对 </w:t>
      </w:r>
      <w:r>
        <w:rPr>
          <w:rFonts w:ascii="仿宋_GB2312" w:hAnsi="仿宋_GB2312" w:cs="仿宋_GB2312" w:eastAsia="仿宋_GB2312"/>
        </w:rPr>
        <w:t>2026年化肥减量化肥料采购项目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甘孜藏族自治州德格县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N5133302026000048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2026年化肥减量化肥料采购项目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本项目共一个包，为2026年化肥减量化肥料采购项目。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提供所投复合肥生产厂家有效的《全国工业产品生产许可证》及备案证明资料；提供有机无机复混肥有效的《全国工业产品生产许可证》和《肥料登记证》（描述：投标人须提供所投复合肥生产厂家有效的《全国工业产品生产许可证》及备案证明资料；提供有机无机复混肥有效的《全国工业产品生产许可证》和《肥料登记证》（提供有效证书复印件并加盖投标人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德格县农牧农村和科技局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四川省甘孜藏族自治州德格县康巴文都步行街三楼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627250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0836-8221880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四川柏扬诚屹招标代理有限公司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四川省成都市武侯区（盈创创意中心二号楼）5楼03号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鲁先生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18308410729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代理服务费收费标准：参照国家计委印发的《招标代理服务收费管理暂行办法》（计价格[2002]1980 号）和《国家发展改革委办公厅关于招标 代理服务收费有关问题的通知》（发改办价格[2003]857 号）收费标准的基础进行收费，本项目代理服务费为10500.00元。由中标人在领取中标通知书前一次性支付。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德格县农牧农村和科技局</w:t>
      </w:r>
      <w:r>
        <w:rPr>
          <w:rFonts w:ascii="仿宋_GB2312" w:hAnsi="仿宋_GB2312" w:cs="仿宋_GB2312" w:eastAsia="仿宋_GB2312"/>
        </w:rPr>
        <w:t xml:space="preserve"> 和 </w:t>
      </w:r>
      <w:r>
        <w:rPr>
          <w:rFonts w:ascii="仿宋_GB2312" w:hAnsi="仿宋_GB2312" w:cs="仿宋_GB2312" w:eastAsia="仿宋_GB2312"/>
        </w:rPr>
        <w:t>四川柏扬诚屹招标代理有限公司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德格县农牧农村和科技局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四川柏扬诚屹招标代理有限公司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详见采购文件及供应商响应文件技术要求。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详见采购文件及供应商响应文件商务要求。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响应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德格县农牧农村和科技局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四川柏扬诚屹招标代理有限公司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四川柏扬诚屹招标代理有限公司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联系电话：0836-8221880</w:t>
      </w:r>
    </w:p>
    <w:p>
      <w:pPr>
        <w:pStyle w:val="null3"/>
        <w:jc w:val="left"/>
      </w:pPr>
      <w:r>
        <w:rPr>
          <w:rFonts w:ascii="仿宋_GB2312" w:hAnsi="仿宋_GB2312" w:cs="仿宋_GB2312" w:eastAsia="仿宋_GB2312"/>
        </w:rPr>
        <w:t>地址：四川省甘孜藏族自治州德格县康巴文都步行街三楼</w:t>
      </w:r>
    </w:p>
    <w:p>
      <w:pPr>
        <w:pStyle w:val="null3"/>
        <w:jc w:val="left"/>
      </w:pPr>
      <w:r>
        <w:rPr>
          <w:rFonts w:ascii="仿宋_GB2312" w:hAnsi="仿宋_GB2312" w:cs="仿宋_GB2312" w:eastAsia="仿宋_GB2312"/>
        </w:rPr>
        <w:t>邮编：627250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联系人：鲁先生</w:t>
      </w:r>
    </w:p>
    <w:p>
      <w:pPr>
        <w:pStyle w:val="null3"/>
        <w:jc w:val="left"/>
      </w:pPr>
      <w:r>
        <w:rPr>
          <w:rFonts w:ascii="仿宋_GB2312" w:hAnsi="仿宋_GB2312" w:cs="仿宋_GB2312" w:eastAsia="仿宋_GB2312"/>
        </w:rPr>
        <w:t>联系电话：18308410729</w:t>
      </w:r>
    </w:p>
    <w:p>
      <w:pPr>
        <w:pStyle w:val="null3"/>
        <w:jc w:val="left"/>
      </w:pPr>
      <w:r>
        <w:rPr>
          <w:rFonts w:ascii="仿宋_GB2312" w:hAnsi="仿宋_GB2312" w:cs="仿宋_GB2312" w:eastAsia="仿宋_GB2312"/>
        </w:rPr>
        <w:t>地址：四川省成都市武侯区(盈创创意中心二号楼)5楼03号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690,000.00</w:t>
      </w:r>
    </w:p>
    <w:p>
      <w:pPr>
        <w:pStyle w:val="null3"/>
        <w:jc w:val="left"/>
      </w:pPr>
      <w:r>
        <w:rPr>
          <w:rFonts w:ascii="仿宋_GB2312" w:hAnsi="仿宋_GB2312" w:cs="仿宋_GB2312" w:eastAsia="仿宋_GB2312"/>
        </w:rPr>
        <w:t>采购包最高限价（元）: 690,000.00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A07080105 有机肥料及微生物肥料</w:t>
            </w:r>
          </w:p>
        </w:tc>
        <w:tc>
          <w:tcPr>
            <w:tcW w:type="dxa" w:w="821"/>
          </w:tcPr>
          <w:p>
            <w:pPr>
              <w:pStyle w:val="null3"/>
              <w:jc w:val="left"/>
            </w:pPr>
            <w:r>
              <w:rPr>
                <w:rFonts w:ascii="仿宋_GB2312" w:hAnsi="仿宋_GB2312" w:cs="仿宋_GB2312" w:eastAsia="仿宋_GB2312"/>
              </w:rPr>
              <w:t>有机无机复混肥</w:t>
            </w:r>
          </w:p>
        </w:tc>
        <w:tc>
          <w:tcPr>
            <w:tcW w:type="dxa" w:w="821"/>
          </w:tcPr>
          <w:p>
            <w:pPr>
              <w:pStyle w:val="null3"/>
              <w:jc w:val="right"/>
            </w:pPr>
            <w:r>
              <w:rPr>
                <w:rFonts w:ascii="仿宋_GB2312" w:hAnsi="仿宋_GB2312" w:cs="仿宋_GB2312" w:eastAsia="仿宋_GB2312"/>
              </w:rPr>
              <w:t>63.00（吨）</w:t>
            </w:r>
          </w:p>
        </w:tc>
        <w:tc>
          <w:tcPr>
            <w:tcW w:type="dxa" w:w="821"/>
          </w:tcPr>
          <w:p>
            <w:pPr>
              <w:pStyle w:val="null3"/>
              <w:jc w:val="right"/>
            </w:pPr>
            <w:r>
              <w:rPr>
                <w:rFonts w:ascii="仿宋_GB2312" w:hAnsi="仿宋_GB2312" w:cs="仿宋_GB2312" w:eastAsia="仿宋_GB2312"/>
              </w:rPr>
              <w:t>190,000.00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A07080105 有机肥料及微生物肥料</w:t>
            </w:r>
          </w:p>
        </w:tc>
        <w:tc>
          <w:tcPr>
            <w:tcW w:type="dxa" w:w="821"/>
          </w:tcPr>
          <w:p>
            <w:pPr>
              <w:pStyle w:val="null3"/>
              <w:jc w:val="left"/>
            </w:pPr>
            <w:r>
              <w:rPr>
                <w:rFonts w:ascii="仿宋_GB2312" w:hAnsi="仿宋_GB2312" w:cs="仿宋_GB2312" w:eastAsia="仿宋_GB2312"/>
              </w:rPr>
              <w:t>复合肥</w:t>
            </w:r>
          </w:p>
        </w:tc>
        <w:tc>
          <w:tcPr>
            <w:tcW w:type="dxa" w:w="821"/>
          </w:tcPr>
          <w:p>
            <w:pPr>
              <w:pStyle w:val="null3"/>
              <w:jc w:val="right"/>
            </w:pPr>
            <w:r>
              <w:rPr>
                <w:rFonts w:ascii="仿宋_GB2312" w:hAnsi="仿宋_GB2312" w:cs="仿宋_GB2312" w:eastAsia="仿宋_GB2312"/>
              </w:rPr>
              <w:t>100.00（吨）</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有机无机复混肥</w:t>
            </w:r>
          </w:p>
        </w:tc>
        <w:tc>
          <w:tcPr>
            <w:tcW w:type="dxa" w:w="1138"/>
          </w:tcPr>
          <w:p>
            <w:pPr>
              <w:pStyle w:val="null3"/>
              <w:jc w:val="center"/>
            </w:pPr>
            <w:r>
              <w:rPr>
                <w:rFonts w:ascii="仿宋_GB2312" w:hAnsi="仿宋_GB2312" w:cs="仿宋_GB2312" w:eastAsia="仿宋_GB2312"/>
              </w:rPr>
              <w:t>63.00（吨）</w:t>
            </w:r>
          </w:p>
        </w:tc>
        <w:tc>
          <w:tcPr>
            <w:tcW w:type="dxa" w:w="1365"/>
          </w:tcPr>
          <w:p>
            <w:pPr>
              <w:pStyle w:val="null3"/>
              <w:jc w:val="center"/>
            </w:pPr>
            <w:r>
              <w:rPr>
                <w:rFonts w:ascii="仿宋_GB2312" w:hAnsi="仿宋_GB2312" w:cs="仿宋_GB2312" w:eastAsia="仿宋_GB2312"/>
              </w:rPr>
              <w:t>190,000.00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复合肥</w:t>
            </w:r>
          </w:p>
        </w:tc>
        <w:tc>
          <w:tcPr>
            <w:tcW w:type="dxa" w:w="1138"/>
          </w:tcPr>
          <w:p>
            <w:pPr>
              <w:pStyle w:val="null3"/>
              <w:jc w:val="center"/>
            </w:pPr>
            <w:r>
              <w:rPr>
                <w:rFonts w:ascii="仿宋_GB2312" w:hAnsi="仿宋_GB2312" w:cs="仿宋_GB2312" w:eastAsia="仿宋_GB2312"/>
              </w:rPr>
              <w:t>100.00（吨）</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A07080105 有机肥料及微生物肥料</w:t>
            </w:r>
          </w:p>
        </w:tc>
        <w:tc>
          <w:tcPr>
            <w:tcW w:type="dxa" w:w="2492"/>
          </w:tcPr>
          <w:p>
            <w:pPr>
              <w:pStyle w:val="null3"/>
              <w:jc w:val="left"/>
            </w:pPr>
            <w:r>
              <w:rPr>
                <w:rFonts w:ascii="仿宋_GB2312" w:hAnsi="仿宋_GB2312" w:cs="仿宋_GB2312" w:eastAsia="仿宋_GB2312"/>
              </w:rPr>
              <w:t>复合肥</w:t>
            </w:r>
          </w:p>
        </w:tc>
        <w:tc>
          <w:tcPr>
            <w:tcW w:type="dxa" w:w="2492"/>
          </w:tcPr>
          <w:p>
            <w:pPr>
              <w:pStyle w:val="null3"/>
              <w:jc w:val="left"/>
            </w:pPr>
            <w:r>
              <w:rPr>
                <w:rFonts w:ascii="仿宋_GB2312" w:hAnsi="仿宋_GB2312" w:cs="仿宋_GB2312" w:eastAsia="仿宋_GB2312"/>
              </w:rPr>
              <w:t>复合肥</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标的名称：有机无机复混肥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参数</w:t>
            </w:r>
          </w:p>
        </w:tc>
        <w:tc>
          <w:tcPr>
            <w:tcW w:type="dxa" w:w="5814"/>
          </w:tcPr>
          <w:p>
            <w:pPr>
              <w:pStyle w:val="null3"/>
              <w:spacing w:after="120"/>
              <w:jc w:val="both"/>
            </w:pPr>
            <w:r>
              <w:rPr>
                <w:rFonts w:ascii="仿宋_GB2312" w:hAnsi="仿宋_GB2312" w:cs="仿宋_GB2312" w:eastAsia="仿宋_GB2312"/>
                <w:sz w:val="24"/>
              </w:rPr>
              <w:t>1.产品形态：粒状；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rPr>
              <w:t>2.符合</w:t>
            </w:r>
            <w:r>
              <w:rPr>
                <w:rFonts w:ascii="仿宋_GB2312" w:hAnsi="仿宋_GB2312" w:cs="仿宋_GB2312" w:eastAsia="仿宋_GB2312"/>
                <w:sz w:val="24"/>
              </w:rPr>
              <w:t>GB/T 18877-2020《有机无机复混肥料》及第1号修改单中Ⅱ型的标准；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both"/>
            </w:pPr>
            <w:r>
              <w:rPr>
                <w:rFonts w:ascii="仿宋_GB2312" w:hAnsi="仿宋_GB2312" w:cs="仿宋_GB2312" w:eastAsia="仿宋_GB2312"/>
                <w:sz w:val="24"/>
              </w:rPr>
              <w:t>3.氯离子的质量分数</w:t>
            </w:r>
            <w:r>
              <w:rPr>
                <w:rFonts w:ascii="仿宋_GB2312" w:hAnsi="仿宋_GB2312" w:cs="仿宋_GB2312" w:eastAsia="仿宋_GB2312"/>
                <w:sz w:val="24"/>
              </w:rPr>
              <w:t>≤15%</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rPr>
              <w:t>4.有毒有害物质限量要</w:t>
            </w:r>
            <w:r>
              <w:rPr>
                <w:rFonts w:ascii="仿宋_GB2312" w:hAnsi="仿宋_GB2312" w:cs="仿宋_GB2312" w:eastAsia="仿宋_GB2312"/>
                <w:sz w:val="24"/>
              </w:rPr>
              <w:t>求符合</w:t>
            </w:r>
            <w:r>
              <w:rPr>
                <w:rFonts w:ascii="仿宋_GB2312" w:hAnsi="仿宋_GB2312" w:cs="仿宋_GB2312" w:eastAsia="仿宋_GB2312"/>
                <w:sz w:val="24"/>
              </w:rPr>
              <w:t>GB 38400-2019</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rPr>
              <w:t>5.</w:t>
            </w:r>
            <w:r>
              <w:rPr>
                <w:rFonts w:ascii="仿宋_GB2312" w:hAnsi="仿宋_GB2312" w:cs="仿宋_GB2312" w:eastAsia="仿宋_GB2312"/>
                <w:sz w:val="24"/>
              </w:rPr>
              <w:t>规格：</w:t>
            </w:r>
            <w:r>
              <w:rPr>
                <w:rFonts w:ascii="仿宋_GB2312" w:hAnsi="仿宋_GB2312" w:cs="仿宋_GB2312" w:eastAsia="仿宋_GB2312"/>
                <w:sz w:val="24"/>
              </w:rPr>
              <w:t>25kg/袋</w:t>
            </w:r>
          </w:p>
        </w:tc>
      </w:tr>
    </w:tbl>
    <w:p>
      <w:pPr>
        <w:pStyle w:val="null3"/>
        <w:jc w:val="left"/>
      </w:pPr>
      <w:r>
        <w:rPr>
          <w:rFonts w:ascii="仿宋_GB2312" w:hAnsi="仿宋_GB2312" w:cs="仿宋_GB2312" w:eastAsia="仿宋_GB2312"/>
        </w:rPr>
        <w:t>标的名称：复合肥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N+P</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vertAlign w:val="subscript"/>
              </w:rPr>
              <w:t>5</w:t>
            </w:r>
            <w:r>
              <w:rPr>
                <w:rFonts w:ascii="仿宋_GB2312" w:hAnsi="仿宋_GB2312" w:cs="仿宋_GB2312" w:eastAsia="仿宋_GB2312"/>
                <w:sz w:val="24"/>
              </w:rPr>
              <w:t>+K</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其他符合</w:t>
            </w:r>
            <w:r>
              <w:rPr>
                <w:rFonts w:ascii="仿宋_GB2312" w:hAnsi="仿宋_GB2312" w:cs="仿宋_GB2312" w:eastAsia="仿宋_GB2312"/>
                <w:sz w:val="24"/>
              </w:rPr>
              <w:t>GB/T 15063-2020《复合肥料》标准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rPr>
              <w:t>2.产品形态：颗粒；</w:t>
            </w:r>
          </w:p>
          <w:p>
            <w:pPr>
              <w:pStyle w:val="null3"/>
              <w:jc w:val="left"/>
            </w:pPr>
            <w:r>
              <w:rPr>
                <w:rFonts w:ascii="仿宋_GB2312" w:hAnsi="仿宋_GB2312" w:cs="仿宋_GB2312" w:eastAsia="仿宋_GB2312"/>
                <w:sz w:val="24"/>
              </w:rPr>
              <w:t>3.氯离子的质量分数：</w:t>
            </w:r>
            <w:r>
              <w:rPr>
                <w:rFonts w:ascii="仿宋_GB2312" w:hAnsi="仿宋_GB2312" w:cs="仿宋_GB2312" w:eastAsia="仿宋_GB2312"/>
                <w:sz w:val="24"/>
              </w:rPr>
              <w:t>≤15%；</w:t>
            </w:r>
          </w:p>
          <w:p>
            <w:pPr>
              <w:pStyle w:val="null3"/>
              <w:jc w:val="both"/>
            </w:pPr>
            <w:r>
              <w:rPr>
                <w:rFonts w:ascii="仿宋_GB2312" w:hAnsi="仿宋_GB2312" w:cs="仿宋_GB2312" w:eastAsia="仿宋_GB2312"/>
                <w:sz w:val="24"/>
              </w:rPr>
              <w:t>4.规格：</w:t>
            </w:r>
            <w:r>
              <w:rPr>
                <w:rFonts w:ascii="仿宋_GB2312" w:hAnsi="仿宋_GB2312" w:cs="仿宋_GB2312" w:eastAsia="仿宋_GB2312"/>
                <w:sz w:val="24"/>
              </w:rPr>
              <w:t>40kg/袋。</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1）材料要求：符合国家安全、环保等方面的要求；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2）安全要求：设施设备应满足国家有关安全等方面的要求，本项目在运输、安装等整个活动期间，在项目实施地点范围内，所有安全责任均由中标单位负责；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3）技术标准：按照现行国家、省、市相关规范和标准执行；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4）质量要求：按照现行国家、省、市相关规范和标准执行；</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其他要求：</w:t>
            </w:r>
            <w:r>
              <w:rPr>
                <w:rFonts w:ascii="仿宋_GB2312" w:hAnsi="仿宋_GB2312" w:cs="仿宋_GB2312" w:eastAsia="仿宋_GB2312"/>
                <w:sz w:val="24"/>
              </w:rPr>
              <w:t>①完成本项目所需要的其他材料均要求投标人自行提供，采购人不承担</w:t>
            </w:r>
            <w:r>
              <w:rPr>
                <w:rFonts w:ascii="仿宋_GB2312" w:hAnsi="仿宋_GB2312" w:cs="仿宋_GB2312" w:eastAsia="仿宋_GB2312"/>
                <w:sz w:val="24"/>
              </w:rPr>
              <w:t>投标人</w:t>
            </w:r>
            <w:r>
              <w:rPr>
                <w:rFonts w:ascii="仿宋_GB2312" w:hAnsi="仿宋_GB2312" w:cs="仿宋_GB2312" w:eastAsia="仿宋_GB2312"/>
                <w:sz w:val="24"/>
              </w:rPr>
              <w:t>除中标价外的任何费用；</w:t>
            </w:r>
            <w:r>
              <w:rPr>
                <w:rFonts w:ascii="仿宋_GB2312" w:hAnsi="仿宋_GB2312" w:cs="仿宋_GB2312" w:eastAsia="仿宋_GB2312"/>
                <w:sz w:val="24"/>
              </w:rPr>
              <w:t>②</w:t>
            </w:r>
            <w:r>
              <w:rPr>
                <w:rFonts w:ascii="仿宋_GB2312" w:hAnsi="仿宋_GB2312" w:cs="仿宋_GB2312" w:eastAsia="仿宋_GB2312"/>
                <w:sz w:val="24"/>
              </w:rPr>
              <w:t>投标文件及投标人所投货物的质量、技术和其他要求货物制造标准及技术规范等，须符合最新国家标准。各项技术标准应当符合国家相关的质量标准和出厂标准</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德格县行政县域内，采购人指定地点。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1、供货完成并验收合格后，达到付款条件起15日内，支付合同总金额的100.00%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验收主体：采购人 验收时间：供应商提出验收之日起15日内； 验收方式：成交供应商提出验收申请后，由采购人自行组织验收，验收时采购人、供应商双方皆应派相关人员参加； 验收内容：以采购文件及供应商响应文件及合同为准； 验收程序:一次性验收； 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及其补充文件、国家或行业相关标准为验收的主要依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≥1年（自验收合格之日起计）（涉及其他行业标准的按相关行业标准执行）。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1.1采购人与成交供应商双方必须遵守并执行本项目中约定的各项规定，保证本项目的正常实施。 1.2如因成交供应商工作人员在履行职务过程中的疏忽、失职、过错等故意或过失给采购人造成损失或侵害，包括但不限于采购人本身财产损失、由此而导致的采购人对任何第三方的法律责任等，成交供应商对此均应承担全部的赔偿责任。 1.3如未经采购人同意，成交供应商不得将本项目成果移作他用，不得向第三方泄露本项目成果，违反本条规定，给采购人造成损失的，成交供应商应承担相关的法律责任。 1.4成交供应商未在合同规定日期内提交全部符合项目合同要求的项目成果，每延迟一天，则采购人有权要求成交供应商支付合同总金额1‰的违约金，延迟累计超过15个日历日，采购人有权解除本合同并不向成交供应商支付任何费用，并要求成交供应商承担因合同解除而造成的相关损失。若因甲方或者客观因素造成无法在规定工期内完成任务的，双方应协商解决 1.5因货物的质量问题发生争议，由质量技术监督部门或其指定的质量鉴定机构进行质量鉴定。货物符合标准的，鉴定费由甲方承担；货物不符合质量标准的，鉴定费由中标人承担。合同履行期间,若双方发生争议，可协商或由有关部门调解解决，协商或调解不成的，由当事人依法维护其合法权益。 1.6当出现争议时，甲乙双方应进行友好协商解决，协商不成的应将矛盾提交项目所在地法院诉讼解决。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报价要求（实质性要求）：投标人的报价需充分考虑到货物运输过程直到验收的所有费用(包含但不限于材料费、运输费、保险费、配送费、差旅费、人工、项目管理费、税金和施工（若涉及）等完成本项目所必须的其他一切费用)。2.为保证项目质量，供应商需针对本项目提供实施方案、保障方案、后续服务方案并具有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（1）独立法人机构提供下述证明材料：营业执照扫描件（注：①在有效期内；②具有独立法人资格）； 注：①企业若已更换为三证合一的则提供营业执照扫描件，事业单位提供事业单位法人证书，其他组织提供对应主管部门准许职业的相关证明文件，自然人提供身份证明均具备此条同等效力。②根据国务院办公厅关于加快推进“多证合一”改革的指导意见(国办发〔2017〕41号)等政策要求，若资格要求涉及的登记、备案等有关事项和各类证照已实行多证合一的，提供多证合一证照扫描件。 （2）非独立法人机构提供下述证明材料：其他组织或自然人提供具有独立承担民事责任的能力的证明材料扫描件。</w:t>
            </w:r>
          </w:p>
        </w:tc>
        <w:tc>
          <w:tcPr>
            <w:tcW w:type="dxa" w:w="1661"/>
          </w:tcPr>
          <w:p>
            <w:pPr>
              <w:pStyle w:val="null3"/>
              <w:jc w:val="left"/>
            </w:pPr>
            <w:r>
              <w:rPr>
                <w:rFonts w:ascii="仿宋_GB2312" w:hAnsi="仿宋_GB2312" w:cs="仿宋_GB2312" w:eastAsia="仿宋_GB2312"/>
              </w:rPr>
              <w:t>供应商提交的相关资格证明材料.docx,投标文件封面,投标（响应）函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投标人须提供所投复合肥生产厂家有效的《全国工业产品生产许可证》及备案证明资料；提供有机无机复混肥有效的《全国工业产品生产许可证》和《肥料登记证》</w:t>
            </w:r>
          </w:p>
        </w:tc>
        <w:tc>
          <w:tcPr>
            <w:tcW w:type="dxa" w:w="3322"/>
          </w:tcPr>
          <w:p>
            <w:pPr>
              <w:pStyle w:val="null3"/>
              <w:jc w:val="left"/>
            </w:pPr>
            <w:r>
              <w:rPr>
                <w:rFonts w:ascii="仿宋_GB2312" w:hAnsi="仿宋_GB2312" w:cs="仿宋_GB2312" w:eastAsia="仿宋_GB2312"/>
              </w:rPr>
              <w:t>投标人须提供所投复合肥生产厂家有效的《全国工业产品生产许可证》及备案证明资料；提供有机无机复混肥有效的《全国工业产品生产许可证》和《肥料登记证》（提供有效证书复印件并加盖投标人公章）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在评审过程中，评标委员会应按照采购文件第三章服务内容要求中实质性要求，对投标人响应内容进行审查，未响应或未响应完全的，评标委员会应当将其投标文件作为无效投标处理。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在评审过程中，评标委员会应按照采购文件第三章商务要求中实质性要求，对投标人响应内容进行审查，未响应或未响应完全的，评标委员会应当将其投标文件作为无效投标处理。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在评审过程中，评标委员会应对投标人提供的按采购文件中的明确要求进行单独承诺或提供承诺函或要求提供原件扫描件（认证信息截图 ）的实质性要求的响应资料进行审查未响应或未响应完全的，评标委员会应当将其投标文件作为无效投标处理。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投标产品的技术参数根据以下情况进行评分：完全符合招标文件技术参数要求的得9分；每有一项参数负偏离的扣1.5分（共6项），扣完为止，但不视为投标文件无效。</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编制的实施方案进行综合评审，项目实施方案应包含：①项目重点难点分析；②货源组织方案；③运输计划、配送方案；④进度计划；⑤人员配置方案；⑥产品防潮措施，内容齐全且无缺陷的得36分；每缺少一项扣6分；每有一项存在缺陷的该项扣3分，每项最多扣6分，扣完为止。 注：缺陷是指：①方案内容与项目实际情况不符；②方案中引用法律、规范、标准存在失效或错误等任意一种情形；③非专门针对本项目或内容与本项目需求无关；④存在不可能实现；以上任意一种情形。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投标人针对本项目编制的保障方案进行综合评审，项目保障方案应包含：①质量保障方案；②安全保障方案；③应急预案，内容齐全且无缺陷的得12分；每缺少一项扣4分；每有一项存在缺陷的该项扣2分，每项最多扣4分，扣完为止。 注：缺陷是指：①方案内容与项目实际情况不符；②方案中引用法律、规范、标准存在失效或错误等任意一种情形；③非专门针对本项目或内容与本项目需求无关；④存在不可能实现；以上任意一种情形。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保障方案.docx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针对本项目编制的后续服务方案进行综合评审，后续服务方案应包含：①后续服务管理制度；②后续服务措施；③后续服务承诺，内容齐全且无缺陷的得9分；每缺少一项扣3分；每有一项存在缺陷的该项扣1.5分，每项最多扣3分，扣完为止。 注：缺陷是指：①方案内容与项目实际情况不符；②方案中引用法律、规范、标准存在失效或错误等任意一种情形；③非专门针对本项目或内容与本项目需求无关；④存在不可能实现；以上任意一种情形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投标人自2023年1月1日（含）以来，每提供1个类似项目业绩的得2分，本项最多得4分。 注：以合同签订日期或中标（成交）通知书签发日期为准。提供中标（成交）通知书或合同复印件并加盖供应商公章。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详见附件：保障方案.docx</w:t>
      </w:r>
    </w:p>
    <w:p>
      <w:pPr>
        <w:pStyle w:val="null3"/>
        <w:ind w:firstLine="960"/>
        <w:jc w:val="left"/>
      </w:pPr>
      <w:r>
        <w:rPr>
          <w:rFonts w:ascii="仿宋_GB2312" w:hAnsi="仿宋_GB2312" w:cs="仿宋_GB2312" w:eastAsia="仿宋_GB2312"/>
        </w:rPr>
        <w:t>详见附件：后续服务方案.docx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