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版本号：N510781202600006520260506001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江油市2025年度地膜残留监测、应用评价及技术培训服务项目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N5107812026000065</w:t>
      </w:r>
    </w:p>
    <w:p>
      <w:pPr>
        <w:pStyle w:val="null3"/>
        <w:jc w:val="left"/>
        <w:outlineLvl w:val="2"/>
      </w:pPr>
      <w:r>
        <w:rPr>
          <w:rFonts w:ascii="仿宋_GB2312" w:hAnsi="仿宋_GB2312" w:cs="仿宋_GB2312" w:eastAsia="仿宋_GB2312"/>
          <w:sz w:val="28"/>
          <w:b/>
        </w:rPr>
        <w:t>江油市农业农村局</w:t>
      </w:r>
    </w:p>
    <w:p>
      <w:pPr>
        <w:pStyle w:val="null3"/>
        <w:jc w:val="center"/>
        <w:outlineLvl w:val="2"/>
      </w:pPr>
      <w:r>
        <w:rPr>
          <w:rFonts w:ascii="仿宋_GB2312" w:hAnsi="仿宋_GB2312" w:cs="仿宋_GB2312" w:eastAsia="仿宋_GB2312"/>
          <w:sz w:val="28"/>
          <w:b/>
        </w:rPr>
        <w:t>四川喜邦科技有限公司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四川喜邦科技有限公司</w:t>
      </w:r>
      <w:r>
        <w:rPr>
          <w:rFonts w:ascii="仿宋_GB2312" w:hAnsi="仿宋_GB2312" w:cs="仿宋_GB2312" w:eastAsia="仿宋_GB2312"/>
        </w:rPr>
        <w:t xml:space="preserve"> （以下简称“代理机构”）受 </w:t>
      </w:r>
      <w:r>
        <w:rPr>
          <w:rFonts w:ascii="仿宋_GB2312" w:hAnsi="仿宋_GB2312" w:cs="仿宋_GB2312" w:eastAsia="仿宋_GB2312"/>
        </w:rPr>
        <w:t>江油市农业农村局</w:t>
      </w:r>
      <w:r>
        <w:rPr>
          <w:rFonts w:ascii="仿宋_GB2312" w:hAnsi="仿宋_GB2312" w:cs="仿宋_GB2312" w:eastAsia="仿宋_GB2312"/>
        </w:rPr>
        <w:t xml:space="preserve"> 委托，拟对 </w:t>
      </w:r>
      <w:r>
        <w:rPr>
          <w:rFonts w:ascii="仿宋_GB2312" w:hAnsi="仿宋_GB2312" w:cs="仿宋_GB2312" w:eastAsia="仿宋_GB2312"/>
        </w:rPr>
        <w:t>江油市2025年度地膜残留监测、应用评价及技术培训服务项目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绵阳市江油市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N5107812026000065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江油市2025年度地膜残留监测、应用评价及技术培训服务项目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2025年地膜项目地膜残留监测、地膜覆盖应用评价及技术培训服务采购项目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江油市农业农村局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江油市大鹏路298号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田林</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0816-3320129</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四川喜邦科技有限公司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四川省绵阳市涪城区绵阳科技城科教创业园区园艺山博雅路3附15-2号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莫红</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0816-6271987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采购包1：410,400.00元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代理服务费收费标准：参照《招标代理服务收费管理暂行办法》（计价格[2002]1980号）规定和成本加合理利润的原则收取,由中标（成交）供应商在领取中标（成交）通知书之前向招标代理机构支付。</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江油市农业农村局</w:t>
      </w:r>
      <w:r>
        <w:rPr>
          <w:rFonts w:ascii="仿宋_GB2312" w:hAnsi="仿宋_GB2312" w:cs="仿宋_GB2312" w:eastAsia="仿宋_GB2312"/>
        </w:rPr>
        <w:t xml:space="preserve"> 和 </w:t>
      </w:r>
      <w:r>
        <w:rPr>
          <w:rFonts w:ascii="仿宋_GB2312" w:hAnsi="仿宋_GB2312" w:cs="仿宋_GB2312" w:eastAsia="仿宋_GB2312"/>
        </w:rPr>
        <w:t>四川喜邦科技有限公司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江油市农业农村局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四川喜邦科技有限公司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项目完成，供货商提出验收之日起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按国家有关规定以及采购文件的技术、服务、其他要求、供应商响应文件及本项目合同约定标准进行验收。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按国家有关规定以及采购文件的商务要求、供应商响应文件及本项目合同约定标准进行验收。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及《绵阳市财政局关于进一步做好政府采购项目履约验收工作的通知》（绵财采〔2021〕15号）文件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江油市农业农村局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四川喜邦科技有限公司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四川喜邦科技有限公司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联系人：莫红</w:t>
      </w:r>
    </w:p>
    <w:p>
      <w:pPr>
        <w:pStyle w:val="null3"/>
        <w:jc w:val="left"/>
      </w:pPr>
      <w:r>
        <w:rPr>
          <w:rFonts w:ascii="仿宋_GB2312" w:hAnsi="仿宋_GB2312" w:cs="仿宋_GB2312" w:eastAsia="仿宋_GB2312"/>
        </w:rPr>
        <w:t>联系电话：13404013067</w:t>
      </w:r>
    </w:p>
    <w:p>
      <w:pPr>
        <w:pStyle w:val="null3"/>
        <w:jc w:val="left"/>
      </w:pPr>
      <w:r>
        <w:rPr>
          <w:rFonts w:ascii="仿宋_GB2312" w:hAnsi="仿宋_GB2312" w:cs="仿宋_GB2312" w:eastAsia="仿宋_GB2312"/>
        </w:rPr>
        <w:t>地址：绵阳科技城科教创业园区博雅路3附15-2（盛景幼儿园旁 ）</w:t>
      </w:r>
    </w:p>
    <w:p>
      <w:pPr>
        <w:pStyle w:val="null3"/>
        <w:jc w:val="left"/>
      </w:pPr>
      <w:r>
        <w:rPr>
          <w:rFonts w:ascii="仿宋_GB2312" w:hAnsi="仿宋_GB2312" w:cs="仿宋_GB2312" w:eastAsia="仿宋_GB2312"/>
        </w:rPr>
        <w:t>邮编：621000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410,400.00</w:t>
      </w:r>
    </w:p>
    <w:p>
      <w:pPr>
        <w:pStyle w:val="null3"/>
        <w:jc w:val="left"/>
      </w:pPr>
      <w:r>
        <w:rPr>
          <w:rFonts w:ascii="仿宋_GB2312" w:hAnsi="仿宋_GB2312" w:cs="仿宋_GB2312" w:eastAsia="仿宋_GB2312"/>
        </w:rPr>
        <w:t>采购包最高限价（元）: 370,400.00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C09010500 农业资源与环境保护服务</w:t>
            </w:r>
          </w:p>
        </w:tc>
        <w:tc>
          <w:tcPr>
            <w:tcW w:type="dxa" w:w="821"/>
          </w:tcPr>
          <w:p>
            <w:pPr>
              <w:pStyle w:val="null3"/>
              <w:jc w:val="left"/>
            </w:pPr>
            <w:r>
              <w:rPr>
                <w:rFonts w:ascii="仿宋_GB2312" w:hAnsi="仿宋_GB2312" w:cs="仿宋_GB2312" w:eastAsia="仿宋_GB2312"/>
              </w:rPr>
              <w:t>2025年地膜项目地膜残留监测、地膜覆盖应用评价及技术培训服务采购项目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370,400.00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2025年地膜项目地膜残留监测、地膜覆盖应用评价及技术培训服务采购项目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370,400.00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标的名称：2025年地膜项目地膜残留监测、地膜覆盖应用评价及技术培训服务采购项目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主要工作内容及要求</w:t>
            </w:r>
          </w:p>
        </w:tc>
        <w:tc>
          <w:tcPr>
            <w:tcW w:type="dxa" w:w="5814"/>
          </w:tcPr>
          <w:p>
            <w:pPr>
              <w:pStyle w:val="null3"/>
              <w:jc w:val="left"/>
            </w:pPr>
            <w:r>
              <w:rPr>
                <w:rFonts w:ascii="仿宋_GB2312" w:hAnsi="仿宋_GB2312" w:cs="仿宋_GB2312" w:eastAsia="仿宋_GB2312"/>
              </w:rPr>
              <w:t>1.地膜残留监测。依托2024年已建的地膜残留监测点，针对主要覆膜区域和重点覆膜作物，合理布局固定监测点位，建设地膜残留固定监测点18个，建立长期有效、连续稳定的地膜使用、回收和农田地膜残留监测网络，监测评估主要覆膜种植区域的地膜残留程度，并形成监测报告，为加强地膜残留污染风险的监管、防控及综合决策提供科学依据。</w:t>
            </w:r>
            <w:r>
              <w:br/>
            </w:r>
            <w:r>
              <w:rPr>
                <w:rFonts w:ascii="仿宋_GB2312" w:hAnsi="仿宋_GB2312" w:cs="仿宋_GB2312" w:eastAsia="仿宋_GB2312"/>
              </w:rPr>
              <w:t xml:space="preserve"> 2.地膜覆盖应用评价。在我市地膜核心示范区和主要用膜地区针对主要覆膜农作物开展适宜性评价，评价内容包括保温、保墒、控草、病虫害防控、土壤重金属、上机性能、降解效果、药肥投入、使用成本、回收成本、劳动力投入、作物产量、品质、经济效益等方面。评价作物不少于4个，每个评价面积不小于10亩。形成覆盖应用评价报告。</w:t>
            </w:r>
            <w:r>
              <w:br/>
            </w:r>
            <w:r>
              <w:rPr>
                <w:rFonts w:ascii="仿宋_GB2312" w:hAnsi="仿宋_GB2312" w:cs="仿宋_GB2312" w:eastAsia="仿宋_GB2312"/>
              </w:rPr>
              <w:t xml:space="preserve"> 3.对比试验。开展加厚高强度地膜、全生物降解地膜田间对比试验1个。形成试验报告。</w:t>
            </w:r>
            <w:r>
              <w:br/>
            </w:r>
            <w:r>
              <w:rPr>
                <w:rFonts w:ascii="仿宋_GB2312" w:hAnsi="仿宋_GB2312" w:cs="仿宋_GB2312" w:eastAsia="仿宋_GB2312"/>
              </w:rPr>
              <w:t xml:space="preserve"> 4.农膜使用回收监测。设立农膜使用回收监测点23个，开展农膜使用回收监测，全市调查典型用膜主体120户以上，精确掌握典型农地膜使用回收情况。形成调查监测报告。</w:t>
            </w:r>
            <w:r>
              <w:br/>
            </w:r>
            <w:r>
              <w:rPr>
                <w:rFonts w:ascii="仿宋_GB2312" w:hAnsi="仿宋_GB2312" w:cs="仿宋_GB2312" w:eastAsia="仿宋_GB2312"/>
              </w:rPr>
              <w:t xml:space="preserve"> 5.技术培训。加强地膜科学使用回收技术培训，培训基层农技人员、用膜主体48人，不少于2天。</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自合同签订之日起180日内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财政部关于进一步加强政府采购需求和履约验收管理的指导意见》（财库〔2016〕205号）以及《绵阳市财政局关于进一步做好政府采购项目履约验收工作的通知》（绵财采〔2021〕15号）文件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1、经采购人组织相关人员进行验收合格后，由供应商出具完整的税务发票，凭成果技术报告，达到付款条件起30日内，支付合同总金额的100.00%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双方合同中约定</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供应商应根据本项目采购需求，结合自身情况，对关于本项目拟提供的“一、实施方案包括1.项目实施重点、难点与关键技术分析；2.项目实施进度计划；3.技术保障（包括用于项目的检验检测场所、设备）；4.项目人员保障（包括参与项目的人员配备情况）；5.项目质控保障；6.项目响应措施；7.项目安全保障（包括人身安全、项目资金安全）；8.项目工作日志编制；9.项目技术报告编制；10.项目档案管理。二、团队配置”等进行响应（具体内容可参阅评分标准中明细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评审小组可以根据磋商文件和磋商情况实质性变动以下内容：第三章</w:t>
      </w:r>
      <w:r>
        <w:rPr>
          <w:rFonts w:ascii="仿宋_GB2312" w:hAnsi="仿宋_GB2312" w:cs="仿宋_GB2312" w:eastAsia="仿宋_GB2312"/>
          <w:sz w:val="21"/>
        </w:rPr>
        <w:t>“技术、服务及其他要求”：但不得变动磋商文件中的其他内容，实质性变动的内容，须经采购人代表确认。</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评审小组可以根据磋商文件和磋商情况实质性变动以下内容：第七章</w:t>
      </w:r>
      <w:r>
        <w:rPr>
          <w:rFonts w:ascii="仿宋_GB2312" w:hAnsi="仿宋_GB2312" w:cs="仿宋_GB2312" w:eastAsia="仿宋_GB2312"/>
        </w:rPr>
        <w:t>“拟签订采购合同文本”：但不得变动磋商文件中的其他内容，实质性变动的内容，须经采购人代表确认。</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响应文件封面,营业执照扫描件.docx,投标（响应）函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实质性要求</w:t>
            </w:r>
          </w:p>
        </w:tc>
        <w:tc>
          <w:tcPr>
            <w:tcW w:type="dxa" w:w="3322"/>
          </w:tcPr>
          <w:p>
            <w:pPr>
              <w:pStyle w:val="null3"/>
              <w:jc w:val="left"/>
            </w:pPr>
            <w:r>
              <w:rPr>
                <w:rFonts w:ascii="仿宋_GB2312" w:hAnsi="仿宋_GB2312" w:cs="仿宋_GB2312" w:eastAsia="仿宋_GB2312"/>
              </w:rPr>
              <w:t>符合磋商文件3.2.技术要求和3.3.服务要求中的实质性要求</w:t>
            </w:r>
          </w:p>
        </w:tc>
        <w:tc>
          <w:tcPr>
            <w:tcW w:type="dxa" w:w="1661"/>
          </w:tcPr>
          <w:p>
            <w:pPr>
              <w:pStyle w:val="null3"/>
              <w:jc w:val="left"/>
            </w:pPr>
            <w:r>
              <w:rPr>
                <w:rFonts w:ascii="仿宋_GB2312" w:hAnsi="仿宋_GB2312" w:cs="仿宋_GB2312" w:eastAsia="仿宋_GB2312"/>
              </w:rPr>
              <w:t>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供应商应根据本项目采购需求，结合自身情况，实施方案包括：1.项目实施重点、难点与关键技术分析；2.项目实施进度计划；3.技术保障（包括用于项目的检验检测场所、设备）；4.项目人员保障（包括参与项目的人员配备情况）；5.项目质控保障；6.项目响应措施；7.项目安全保障（包括人身安全、项目资金安全）；8.项目工作日志编制；9.项目技术报告编制；10.项目档案管理。上述所有方案内容齐全且无缺陷的得60分。每有一项缺项或漏项的扣6分，分值扣完为止。每个对应小项方案中内容存在缺陷的，每个小项对应分值扣3分，分值扣完为止。 注：“缺陷”是指以下情形中的任意一项：①单项方案中仅有框架或者标题、单项内容仅复制采购文件的要求；②描述与对应小项方案无关；③单项方案中出现内容脱离实际情况、不符合本项目采购需求；④套用其他项目方案或内容；⑤内容涉及适用的规范及标准（方法）出现错误、专业术语表述错误、实施地点区域错误。</w:t>
            </w:r>
          </w:p>
        </w:tc>
        <w:tc>
          <w:tcPr>
            <w:tcW w:type="dxa" w:w="831"/>
          </w:tcPr>
          <w:p>
            <w:pPr>
              <w:pStyle w:val="null3"/>
              <w:jc w:val="center"/>
            </w:pPr>
            <w:r>
              <w:rPr>
                <w:rFonts w:ascii="仿宋_GB2312" w:hAnsi="仿宋_GB2312" w:cs="仿宋_GB2312" w:eastAsia="仿宋_GB2312"/>
              </w:rPr>
              <w:t>60.0000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按照评分要求提供的相应资料.docx</w:t>
            </w:r>
          </w:p>
        </w:tc>
      </w:tr>
      <w:tr>
        <w:tc>
          <w:tcPr>
            <w:tcW w:type="dxa" w:w="831"/>
            <w:vMerge/>
          </w:tcPr>
          <w:p/>
        </w:tc>
        <w:tc>
          <w:tcPr>
            <w:tcW w:type="dxa" w:w="1661"/>
          </w:tcPr>
          <w:p>
            <w:pPr>
              <w:pStyle w:val="null3"/>
              <w:jc w:val="left"/>
            </w:pPr>
            <w:r>
              <w:rPr>
                <w:rFonts w:ascii="仿宋_GB2312" w:hAnsi="仿宋_GB2312" w:cs="仿宋_GB2312" w:eastAsia="仿宋_GB2312"/>
              </w:rPr>
              <w:t>团队配置</w:t>
            </w:r>
          </w:p>
        </w:tc>
        <w:tc>
          <w:tcPr>
            <w:tcW w:type="dxa" w:w="2575"/>
          </w:tcPr>
          <w:p>
            <w:pPr>
              <w:pStyle w:val="null3"/>
              <w:jc w:val="left"/>
            </w:pPr>
            <w:r>
              <w:rPr>
                <w:rFonts w:ascii="仿宋_GB2312" w:hAnsi="仿宋_GB2312" w:cs="仿宋_GB2312" w:eastAsia="仿宋_GB2312"/>
              </w:rPr>
              <w:t>根据供应商针对本项目拟投入服务团队： 1、拟投入本项目的项目负责人（1人）：具有环境类或测试类或土壤学类或农业或化学类技术职称高级及以上的得2分，中级技术职称的得1分；本项目最高得2分。 2.其他技术人员：具有环境类或测试类或土壤学类或农业或化学类技术职称高级及以上的每有1人得2分，中级技术职称的每有1人得1分；本项最高得8分。 注：①上述人员和专业不可重复计分。②提供人员职称证书、身份证、在职证明复印件并进行电子签章。</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按照评分要求提供的相应资料.docx</w:t>
            </w:r>
          </w:p>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详见附件：按照评分要求提供的相应资料.docx</w:t>
      </w:r>
    </w:p>
    <w:p>
      <w:pPr>
        <w:pStyle w:val="null3"/>
        <w:ind w:firstLine="960"/>
        <w:jc w:val="left"/>
      </w:pPr>
      <w:r>
        <w:rPr>
          <w:rFonts w:ascii="仿宋_GB2312" w:hAnsi="仿宋_GB2312" w:cs="仿宋_GB2312" w:eastAsia="仿宋_GB2312"/>
        </w:rPr>
        <w:t>详见附件：营业执照扫描件.docx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